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A855" w14:textId="77777777" w:rsidR="00CE4D68" w:rsidRPr="00CE4D68" w:rsidRDefault="00BC4B02" w:rsidP="00420A96">
      <w:pPr>
        <w:spacing w:before="100" w:beforeAutospacing="1" w:after="100" w:afterAutospacing="1"/>
      </w:pPr>
      <w:r>
        <w:rPr>
          <w:noProof/>
          <w:lang w:val="en-GB" w:eastAsia="en-GB"/>
        </w:rPr>
        <w:drawing>
          <wp:inline distT="0" distB="0" distL="0" distR="0" wp14:anchorId="0DF359A3" wp14:editId="4BC273D1">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tbl>
      <w:tblPr>
        <w:tblStyle w:val="TableGrid"/>
        <w:tblW w:w="997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Caption w:val="Summary Information on the Proposal "/>
      </w:tblPr>
      <w:tblGrid>
        <w:gridCol w:w="9975"/>
      </w:tblGrid>
      <w:tr w:rsidR="00BC4B02" w14:paraId="45721858" w14:textId="77777777" w:rsidTr="001D0E33">
        <w:trPr>
          <w:tblHeader/>
        </w:trPr>
        <w:tc>
          <w:tcPr>
            <w:tcW w:w="9975" w:type="dxa"/>
          </w:tcPr>
          <w:p w14:paraId="11109D60" w14:textId="77777777" w:rsidR="00BC4B02" w:rsidRPr="0080725F" w:rsidRDefault="00BC4B02" w:rsidP="00BC4B02">
            <w:pPr>
              <w:contextualSpacing/>
              <w:rPr>
                <w:b/>
                <w:sz w:val="28"/>
              </w:rPr>
            </w:pPr>
            <w:r w:rsidRPr="00C25C7E">
              <w:rPr>
                <w:b/>
                <w:sz w:val="24"/>
                <w:szCs w:val="24"/>
              </w:rPr>
              <w:t>Title</w:t>
            </w:r>
            <w:r>
              <w:rPr>
                <w:b/>
                <w:sz w:val="24"/>
                <w:szCs w:val="24"/>
              </w:rPr>
              <w:t xml:space="preserve"> of Project</w:t>
            </w:r>
            <w:r w:rsidRPr="00C25C7E">
              <w:rPr>
                <w:b/>
                <w:sz w:val="24"/>
                <w:szCs w:val="24"/>
              </w:rPr>
              <w:t>:</w:t>
            </w:r>
            <w:r w:rsidR="0080725F">
              <w:rPr>
                <w:b/>
                <w:sz w:val="24"/>
                <w:szCs w:val="24"/>
              </w:rPr>
              <w:t xml:space="preserve"> </w:t>
            </w:r>
            <w:r w:rsidR="00B22D21">
              <w:rPr>
                <w:b/>
                <w:sz w:val="24"/>
                <w:szCs w:val="24"/>
              </w:rPr>
              <w:t xml:space="preserve">Formulation of </w:t>
            </w:r>
            <w:r w:rsidR="0080725F">
              <w:rPr>
                <w:b/>
                <w:sz w:val="24"/>
                <w:szCs w:val="24"/>
              </w:rPr>
              <w:t>a UN system-wide policy</w:t>
            </w:r>
            <w:r w:rsidR="00B22D21">
              <w:rPr>
                <w:b/>
                <w:sz w:val="24"/>
                <w:szCs w:val="24"/>
              </w:rPr>
              <w:t>,</w:t>
            </w:r>
            <w:r w:rsidR="00420A96">
              <w:rPr>
                <w:b/>
                <w:sz w:val="24"/>
                <w:szCs w:val="24"/>
              </w:rPr>
              <w:t xml:space="preserve"> action plan and</w:t>
            </w:r>
            <w:r w:rsidR="0080725F">
              <w:rPr>
                <w:b/>
                <w:sz w:val="24"/>
                <w:szCs w:val="24"/>
              </w:rPr>
              <w:t xml:space="preserve"> accountability framework on disability inclusion</w:t>
            </w:r>
          </w:p>
        </w:tc>
      </w:tr>
      <w:tr w:rsidR="00BC4B02" w14:paraId="7D02EFCC" w14:textId="77777777" w:rsidTr="001D0E33">
        <w:tc>
          <w:tcPr>
            <w:tcW w:w="9975" w:type="dxa"/>
          </w:tcPr>
          <w:p w14:paraId="451CCD76" w14:textId="77777777" w:rsidR="00BC4B02" w:rsidRDefault="00BC4B02" w:rsidP="00BC4B02">
            <w:pPr>
              <w:contextualSpacing/>
              <w:rPr>
                <w:b/>
                <w:sz w:val="28"/>
              </w:rPr>
            </w:pPr>
            <w:r>
              <w:rPr>
                <w:b/>
                <w:sz w:val="24"/>
                <w:szCs w:val="24"/>
              </w:rPr>
              <w:t>Duration (max. 36 months):</w:t>
            </w:r>
            <w:r w:rsidR="0080725F">
              <w:rPr>
                <w:b/>
                <w:sz w:val="24"/>
                <w:szCs w:val="24"/>
              </w:rPr>
              <w:t xml:space="preserve"> 18 months</w:t>
            </w:r>
          </w:p>
        </w:tc>
      </w:tr>
      <w:tr w:rsidR="00BC4B02" w14:paraId="10C1A932" w14:textId="77777777" w:rsidTr="001D0E33">
        <w:tc>
          <w:tcPr>
            <w:tcW w:w="9975" w:type="dxa"/>
          </w:tcPr>
          <w:p w14:paraId="3FA00443" w14:textId="4812E58F" w:rsidR="00E9662B" w:rsidRPr="000C2397" w:rsidRDefault="00BC4B02" w:rsidP="00BC4B02">
            <w:pPr>
              <w:contextualSpacing/>
              <w:rPr>
                <w:b/>
                <w:color w:val="C00000"/>
                <w:sz w:val="24"/>
                <w:szCs w:val="24"/>
              </w:rPr>
            </w:pPr>
            <w:r>
              <w:rPr>
                <w:b/>
                <w:sz w:val="24"/>
                <w:szCs w:val="24"/>
              </w:rPr>
              <w:t>Total Budget:</w:t>
            </w:r>
            <w:r w:rsidR="0080725F">
              <w:rPr>
                <w:b/>
                <w:sz w:val="24"/>
                <w:szCs w:val="24"/>
              </w:rPr>
              <w:t xml:space="preserve"> </w:t>
            </w:r>
            <w:r w:rsidR="00355B6D" w:rsidRPr="00355B6D">
              <w:rPr>
                <w:b/>
                <w:sz w:val="24"/>
                <w:szCs w:val="24"/>
              </w:rPr>
              <w:t>124,997</w:t>
            </w:r>
            <w:r w:rsidR="00355B6D">
              <w:rPr>
                <w:b/>
                <w:sz w:val="24"/>
                <w:szCs w:val="24"/>
              </w:rPr>
              <w:t xml:space="preserve"> </w:t>
            </w:r>
            <w:r w:rsidR="0080725F">
              <w:rPr>
                <w:b/>
                <w:sz w:val="24"/>
                <w:szCs w:val="24"/>
              </w:rPr>
              <w:t>USD</w:t>
            </w:r>
            <w:r w:rsidR="00E9662B">
              <w:rPr>
                <w:b/>
                <w:sz w:val="24"/>
                <w:szCs w:val="24"/>
              </w:rPr>
              <w:t xml:space="preserve"> (Original Proposal) </w:t>
            </w:r>
            <w:r w:rsidR="00432007">
              <w:rPr>
                <w:b/>
                <w:sz w:val="24"/>
                <w:szCs w:val="24"/>
              </w:rPr>
              <w:t xml:space="preserve">+ </w:t>
            </w:r>
            <w:r w:rsidR="00EA6ABC" w:rsidRPr="000C2397">
              <w:rPr>
                <w:b/>
                <w:color w:val="C00000"/>
                <w:sz w:val="24"/>
                <w:szCs w:val="24"/>
              </w:rPr>
              <w:t xml:space="preserve">Amendment 1: </w:t>
            </w:r>
            <w:r w:rsidR="00432007" w:rsidRPr="000C2397">
              <w:rPr>
                <w:b/>
                <w:color w:val="C00000"/>
                <w:sz w:val="24"/>
                <w:szCs w:val="24"/>
              </w:rPr>
              <w:t>USD</w:t>
            </w:r>
            <w:r w:rsidR="00EA6ABC" w:rsidRPr="000C2397">
              <w:rPr>
                <w:b/>
                <w:color w:val="C00000"/>
                <w:sz w:val="24"/>
                <w:szCs w:val="24"/>
              </w:rPr>
              <w:t xml:space="preserve"> 1,049,850 </w:t>
            </w:r>
            <w:r w:rsidR="00E9662B" w:rsidRPr="000C2397">
              <w:rPr>
                <w:b/>
                <w:color w:val="C00000"/>
                <w:sz w:val="24"/>
                <w:szCs w:val="24"/>
              </w:rPr>
              <w:t xml:space="preserve">(To be allocated to </w:t>
            </w:r>
            <w:r w:rsidR="0062403C" w:rsidRPr="000C2397">
              <w:rPr>
                <w:b/>
                <w:color w:val="C00000"/>
                <w:sz w:val="24"/>
                <w:szCs w:val="24"/>
              </w:rPr>
              <w:t>Executive Office of the UN Secretary General</w:t>
            </w:r>
            <w:r w:rsidR="00E9662B" w:rsidRPr="000C2397">
              <w:rPr>
                <w:b/>
                <w:color w:val="C00000"/>
                <w:sz w:val="24"/>
                <w:szCs w:val="24"/>
              </w:rPr>
              <w:t>)</w:t>
            </w:r>
          </w:p>
          <w:p w14:paraId="74B64D55" w14:textId="3D2E9893" w:rsidR="00BC4B02" w:rsidRDefault="00EA6ABC" w:rsidP="00BC4B02">
            <w:pPr>
              <w:contextualSpacing/>
              <w:rPr>
                <w:b/>
                <w:sz w:val="28"/>
              </w:rPr>
            </w:pPr>
            <w:r>
              <w:rPr>
                <w:b/>
                <w:sz w:val="24"/>
                <w:szCs w:val="24"/>
              </w:rPr>
              <w:t>(</w:t>
            </w:r>
            <w:r w:rsidR="00FC0F74">
              <w:rPr>
                <w:b/>
                <w:sz w:val="24"/>
                <w:szCs w:val="24"/>
              </w:rPr>
              <w:t xml:space="preserve">Revised </w:t>
            </w:r>
            <w:r>
              <w:rPr>
                <w:b/>
                <w:sz w:val="24"/>
                <w:szCs w:val="24"/>
              </w:rPr>
              <w:t>Total</w:t>
            </w:r>
            <w:r w:rsidR="001709BB">
              <w:rPr>
                <w:b/>
                <w:sz w:val="24"/>
                <w:szCs w:val="24"/>
              </w:rPr>
              <w:t xml:space="preserve"> Project Budget</w:t>
            </w:r>
            <w:r>
              <w:rPr>
                <w:b/>
                <w:sz w:val="24"/>
                <w:szCs w:val="24"/>
              </w:rPr>
              <w:t xml:space="preserve"> USD1,174,847)</w:t>
            </w:r>
          </w:p>
        </w:tc>
      </w:tr>
      <w:tr w:rsidR="00BC4B02" w14:paraId="2CB8BF0A" w14:textId="77777777" w:rsidTr="001D0E33">
        <w:tc>
          <w:tcPr>
            <w:tcW w:w="9975" w:type="dxa"/>
          </w:tcPr>
          <w:p w14:paraId="7084AB9E" w14:textId="45F46C07" w:rsidR="00BC4B02" w:rsidRDefault="00BC4B02" w:rsidP="00420A96">
            <w:pPr>
              <w:contextualSpacing/>
              <w:rPr>
                <w:b/>
                <w:sz w:val="24"/>
                <w:szCs w:val="24"/>
              </w:rPr>
            </w:pPr>
            <w:r>
              <w:rPr>
                <w:b/>
                <w:sz w:val="24"/>
                <w:szCs w:val="24"/>
              </w:rPr>
              <w:t>Participating UN Organizations:</w:t>
            </w:r>
            <w:r w:rsidR="0080725F">
              <w:rPr>
                <w:b/>
                <w:sz w:val="24"/>
                <w:szCs w:val="24"/>
              </w:rPr>
              <w:t xml:space="preserve"> </w:t>
            </w:r>
            <w:r w:rsidR="002920B4">
              <w:rPr>
                <w:b/>
                <w:sz w:val="24"/>
                <w:szCs w:val="24"/>
              </w:rPr>
              <w:t xml:space="preserve"> ILO in collaboration with m</w:t>
            </w:r>
            <w:r w:rsidR="0080725F">
              <w:rPr>
                <w:b/>
                <w:sz w:val="24"/>
                <w:szCs w:val="24"/>
              </w:rPr>
              <w:t>embers of</w:t>
            </w:r>
            <w:r w:rsidR="00420A96">
              <w:t xml:space="preserve"> </w:t>
            </w:r>
            <w:r w:rsidR="00420A96" w:rsidRPr="00420A96">
              <w:rPr>
                <w:b/>
                <w:sz w:val="24"/>
                <w:szCs w:val="24"/>
              </w:rPr>
              <w:t>sub-working group</w:t>
            </w:r>
            <w:r w:rsidR="00420A96">
              <w:rPr>
                <w:b/>
                <w:sz w:val="24"/>
                <w:szCs w:val="24"/>
              </w:rPr>
              <w:t xml:space="preserve"> of</w:t>
            </w:r>
            <w:r w:rsidR="0080725F">
              <w:rPr>
                <w:b/>
                <w:sz w:val="24"/>
                <w:szCs w:val="24"/>
              </w:rPr>
              <w:t xml:space="preserve"> the Inter Agency Support Group </w:t>
            </w:r>
            <w:r w:rsidR="00420A96">
              <w:rPr>
                <w:b/>
                <w:sz w:val="24"/>
                <w:szCs w:val="24"/>
              </w:rPr>
              <w:t xml:space="preserve">for </w:t>
            </w:r>
            <w:r w:rsidR="0080725F">
              <w:rPr>
                <w:b/>
                <w:sz w:val="24"/>
                <w:szCs w:val="24"/>
              </w:rPr>
              <w:t>the CRPD (IASG)</w:t>
            </w:r>
            <w:r w:rsidR="00432007">
              <w:rPr>
                <w:b/>
                <w:sz w:val="24"/>
                <w:szCs w:val="24"/>
              </w:rPr>
              <w:t xml:space="preserve">; Executive Office of the UN Secretary General </w:t>
            </w:r>
            <w:r w:rsidR="00DA4FAE">
              <w:rPr>
                <w:b/>
                <w:sz w:val="24"/>
                <w:szCs w:val="24"/>
              </w:rPr>
              <w:t>(EOSG)</w:t>
            </w:r>
          </w:p>
        </w:tc>
      </w:tr>
    </w:tbl>
    <w:p w14:paraId="4685B92D" w14:textId="77777777" w:rsidR="00BC4B02" w:rsidRDefault="00BC4B02" w:rsidP="006C28CF">
      <w:pPr>
        <w:pStyle w:val="Heading1"/>
        <w:rPr>
          <w:b w:val="0"/>
        </w:rPr>
      </w:pPr>
      <w:r w:rsidRPr="00483295">
        <w:t xml:space="preserve">Executive </w:t>
      </w:r>
      <w:r w:rsidR="00226B58">
        <w:t>S</w:t>
      </w:r>
      <w:r w:rsidRPr="00483295">
        <w:t>ummary</w:t>
      </w:r>
    </w:p>
    <w:p w14:paraId="131DC553" w14:textId="77777777" w:rsidR="00427AD1" w:rsidRDefault="00427AD1" w:rsidP="005025A2">
      <w:pPr>
        <w:spacing w:after="120" w:line="240" w:lineRule="auto"/>
        <w:jc w:val="both"/>
        <w:rPr>
          <w:b/>
          <w:sz w:val="20"/>
        </w:rPr>
      </w:pPr>
      <w:r>
        <w:rPr>
          <w:b/>
          <w:sz w:val="20"/>
        </w:rPr>
        <w:t xml:space="preserve">The Secretary-General recently convened his Executive Committee (20 April 2018) whereby it was decided that the UN system would be subject to an institutional review, the results of which would </w:t>
      </w:r>
      <w:r w:rsidR="00420A96">
        <w:rPr>
          <w:b/>
          <w:sz w:val="20"/>
        </w:rPr>
        <w:t>feed</w:t>
      </w:r>
      <w:r>
        <w:rPr>
          <w:b/>
          <w:sz w:val="20"/>
        </w:rPr>
        <w:t xml:space="preserve"> into a new system-wide policy, action plan and accountability framework</w:t>
      </w:r>
      <w:r w:rsidR="00420A96">
        <w:rPr>
          <w:b/>
          <w:sz w:val="20"/>
        </w:rPr>
        <w:t xml:space="preserve"> on disability inclusion</w:t>
      </w:r>
      <w:r>
        <w:rPr>
          <w:b/>
          <w:sz w:val="20"/>
        </w:rPr>
        <w:t>. The de</w:t>
      </w:r>
      <w:r w:rsidR="000B08FA">
        <w:rPr>
          <w:b/>
          <w:sz w:val="20"/>
        </w:rPr>
        <w:t xml:space="preserve">velopment of the policy, action </w:t>
      </w:r>
      <w:r>
        <w:rPr>
          <w:b/>
          <w:sz w:val="20"/>
        </w:rPr>
        <w:t>plan and accountability framework has been</w:t>
      </w:r>
      <w:r w:rsidR="00420A96">
        <w:rPr>
          <w:b/>
          <w:sz w:val="20"/>
        </w:rPr>
        <w:t xml:space="preserve"> designated to the sub-working g</w:t>
      </w:r>
      <w:r>
        <w:rPr>
          <w:b/>
          <w:sz w:val="20"/>
        </w:rPr>
        <w:t>roup of the</w:t>
      </w:r>
      <w:r w:rsidR="000B08FA">
        <w:rPr>
          <w:b/>
          <w:sz w:val="20"/>
        </w:rPr>
        <w:t xml:space="preserve"> Inter-Agency Support Group</w:t>
      </w:r>
      <w:r>
        <w:rPr>
          <w:b/>
          <w:sz w:val="20"/>
        </w:rPr>
        <w:t xml:space="preserve"> </w:t>
      </w:r>
      <w:r w:rsidR="000B08FA">
        <w:rPr>
          <w:b/>
          <w:sz w:val="20"/>
        </w:rPr>
        <w:t>(</w:t>
      </w:r>
      <w:r>
        <w:rPr>
          <w:b/>
          <w:sz w:val="20"/>
        </w:rPr>
        <w:t>IASG</w:t>
      </w:r>
      <w:r w:rsidR="000B08FA">
        <w:rPr>
          <w:b/>
          <w:sz w:val="20"/>
        </w:rPr>
        <w:t>)</w:t>
      </w:r>
      <w:r w:rsidR="00420A96">
        <w:rPr>
          <w:b/>
          <w:sz w:val="20"/>
        </w:rPr>
        <w:t>,</w:t>
      </w:r>
      <w:r>
        <w:rPr>
          <w:b/>
          <w:sz w:val="20"/>
        </w:rPr>
        <w:t xml:space="preserve"> and this proposal aims to support the formulation of these key products which will ultimately be considered by the </w:t>
      </w:r>
      <w:r w:rsidR="00420A96">
        <w:rPr>
          <w:b/>
          <w:sz w:val="20"/>
        </w:rPr>
        <w:t xml:space="preserve">UN </w:t>
      </w:r>
      <w:r>
        <w:rPr>
          <w:b/>
          <w:sz w:val="20"/>
        </w:rPr>
        <w:t xml:space="preserve">Chief Executives Board </w:t>
      </w:r>
      <w:r w:rsidR="000B08FA">
        <w:rPr>
          <w:b/>
          <w:sz w:val="20"/>
        </w:rPr>
        <w:t xml:space="preserve">(CEB) </w:t>
      </w:r>
      <w:r>
        <w:rPr>
          <w:b/>
          <w:sz w:val="20"/>
        </w:rPr>
        <w:t>in early 2019.</w:t>
      </w:r>
      <w:r w:rsidR="00975D83" w:rsidDel="00975D83">
        <w:rPr>
          <w:b/>
          <w:sz w:val="20"/>
        </w:rPr>
        <w:t xml:space="preserve"> </w:t>
      </w:r>
    </w:p>
    <w:p w14:paraId="7827A9AF" w14:textId="77777777" w:rsidR="00427AD1" w:rsidRDefault="00427AD1" w:rsidP="00427AD1">
      <w:pPr>
        <w:spacing w:after="0" w:line="240" w:lineRule="auto"/>
        <w:jc w:val="both"/>
        <w:rPr>
          <w:b/>
          <w:sz w:val="20"/>
        </w:rPr>
      </w:pPr>
      <w:r>
        <w:rPr>
          <w:b/>
          <w:sz w:val="20"/>
        </w:rPr>
        <w:t>The proposal will seek to support the aims of the sub-working group in meeting this demand through a consultative, participatory process under the auspices of the IASG</w:t>
      </w:r>
      <w:r w:rsidR="00420A96">
        <w:rPr>
          <w:b/>
          <w:sz w:val="20"/>
        </w:rPr>
        <w:t>,</w:t>
      </w:r>
      <w:r>
        <w:rPr>
          <w:b/>
          <w:sz w:val="20"/>
        </w:rPr>
        <w:t xml:space="preserve"> including a mixed methodology of development and verification including piloting with UNCTs. </w:t>
      </w:r>
    </w:p>
    <w:p w14:paraId="24A5A90B" w14:textId="77777777" w:rsidR="00FF14C4" w:rsidRDefault="00FF14C4" w:rsidP="00427AD1">
      <w:pPr>
        <w:spacing w:after="0" w:line="240" w:lineRule="auto"/>
        <w:jc w:val="both"/>
        <w:rPr>
          <w:b/>
          <w:sz w:val="20"/>
        </w:rPr>
      </w:pPr>
    </w:p>
    <w:p w14:paraId="0252D840" w14:textId="137752BE" w:rsidR="00FF14C4" w:rsidRDefault="00FF14C4" w:rsidP="00427AD1">
      <w:pPr>
        <w:spacing w:after="0" w:line="240" w:lineRule="auto"/>
        <w:jc w:val="both"/>
        <w:rPr>
          <w:b/>
          <w:sz w:val="20"/>
        </w:rPr>
      </w:pPr>
      <w:r>
        <w:rPr>
          <w:b/>
          <w:sz w:val="20"/>
        </w:rPr>
        <w:t xml:space="preserve">Following the </w:t>
      </w:r>
      <w:r w:rsidR="006B52F5">
        <w:rPr>
          <w:b/>
          <w:sz w:val="20"/>
        </w:rPr>
        <w:t xml:space="preserve">endorsement of the </w:t>
      </w:r>
      <w:r w:rsidR="00B31925">
        <w:rPr>
          <w:b/>
          <w:sz w:val="20"/>
        </w:rPr>
        <w:t xml:space="preserve">new system-wide policy, action plan and accountability framework on disability inclusion entitled the </w:t>
      </w:r>
      <w:r w:rsidR="006B52F5">
        <w:rPr>
          <w:b/>
          <w:sz w:val="20"/>
        </w:rPr>
        <w:t xml:space="preserve">UN Disability Inclusion Strategy, the project will support </w:t>
      </w:r>
      <w:r w:rsidR="006B52F5" w:rsidRPr="006B52F5">
        <w:rPr>
          <w:b/>
          <w:sz w:val="20"/>
        </w:rPr>
        <w:t xml:space="preserve">the roll out of the UN Disability Inclusion Strategy (UNDIS) </w:t>
      </w:r>
      <w:r w:rsidR="00B31925">
        <w:rPr>
          <w:b/>
          <w:sz w:val="20"/>
        </w:rPr>
        <w:t>through</w:t>
      </w:r>
      <w:r w:rsidR="006B52F5">
        <w:rPr>
          <w:b/>
          <w:sz w:val="20"/>
        </w:rPr>
        <w:t xml:space="preserve"> the establishment of a technical unit</w:t>
      </w:r>
      <w:r w:rsidR="00C55C06">
        <w:rPr>
          <w:b/>
          <w:sz w:val="20"/>
        </w:rPr>
        <w:t xml:space="preserve"> for an initial period of one year</w:t>
      </w:r>
      <w:r w:rsidR="006B52F5">
        <w:rPr>
          <w:b/>
          <w:sz w:val="20"/>
        </w:rPr>
        <w:t xml:space="preserve"> in the Executive Office of the Secretary General to coordinate and support the implementation of the UNDIS. </w:t>
      </w:r>
    </w:p>
    <w:p w14:paraId="3F3ECD24" w14:textId="77777777" w:rsidR="00427AD1" w:rsidRDefault="00427AD1" w:rsidP="00BC4B02">
      <w:pPr>
        <w:spacing w:before="60" w:after="100" w:afterAutospacing="1"/>
        <w:contextualSpacing/>
        <w:jc w:val="both"/>
        <w:rPr>
          <w:i/>
          <w:sz w:val="20"/>
        </w:rPr>
      </w:pPr>
    </w:p>
    <w:p w14:paraId="6750B944" w14:textId="77777777" w:rsidR="00BC4B02" w:rsidRPr="00E52509" w:rsidRDefault="006C28CF" w:rsidP="006C28CF">
      <w:pPr>
        <w:pStyle w:val="Heading1"/>
      </w:pPr>
      <w:r>
        <w:t xml:space="preserve">1. </w:t>
      </w:r>
      <w:r w:rsidR="00BC4B02" w:rsidRPr="004D202B">
        <w:t>Back</w:t>
      </w:r>
      <w:r w:rsidR="00BC4B02">
        <w:t>ground</w:t>
      </w:r>
      <w:r w:rsidR="00BC4B02" w:rsidRPr="00456CC0">
        <w:rPr>
          <w:rFonts w:eastAsia="Times New Roman" w:cs="Times New Roman"/>
        </w:rPr>
        <w:t xml:space="preserve"> </w:t>
      </w:r>
      <w:r w:rsidR="00BC4B02" w:rsidRPr="00456CC0">
        <w:t xml:space="preserve">and </w:t>
      </w:r>
      <w:r w:rsidR="008605CA">
        <w:t>Rationale</w:t>
      </w:r>
    </w:p>
    <w:p w14:paraId="1EE058B8" w14:textId="77777777" w:rsidR="00BC4B02" w:rsidRPr="00EE587F" w:rsidRDefault="006C28CF" w:rsidP="006C28CF">
      <w:pPr>
        <w:pStyle w:val="Heading2"/>
      </w:pPr>
      <w:r>
        <w:t xml:space="preserve">1.1 </w:t>
      </w:r>
      <w:r w:rsidR="00BC4B02">
        <w:t>Challenges</w:t>
      </w:r>
      <w:r w:rsidR="00C03012">
        <w:t xml:space="preserve"> to be addressed by the project</w:t>
      </w:r>
    </w:p>
    <w:p w14:paraId="1FB85DB7" w14:textId="77777777" w:rsidR="002D0BBF" w:rsidRPr="00CB0E09" w:rsidRDefault="0021480F" w:rsidP="00CB0E09">
      <w:pPr>
        <w:pStyle w:val="CommentText"/>
        <w:jc w:val="both"/>
        <w:rPr>
          <w:b/>
        </w:rPr>
      </w:pPr>
      <w:r>
        <w:br/>
      </w:r>
      <w:r w:rsidRPr="00CB0E09">
        <w:rPr>
          <w:b/>
        </w:rPr>
        <w:t>While an institutional review of the UN system on disability inclusion currently underway will provide the necessary baseline, it has been observed that there are examples of good practice on disability inclusion within some UN entities and among some UN Country Teams (UNCTs). However, there is general agreement among Member States, disability organizations and UN officials, that disability inclusion and accessibility for persons with disabilities are not addressed in a coherent and systematic way, both within the UN system and in its programmatic work.</w:t>
      </w:r>
    </w:p>
    <w:p w14:paraId="7EF00B45" w14:textId="77777777" w:rsidR="0080725F" w:rsidRPr="0080725F" w:rsidRDefault="002D0BBF" w:rsidP="00CB0E09">
      <w:pPr>
        <w:spacing w:after="0" w:line="240" w:lineRule="auto"/>
        <w:jc w:val="both"/>
        <w:rPr>
          <w:b/>
          <w:sz w:val="20"/>
        </w:rPr>
      </w:pPr>
      <w:r>
        <w:rPr>
          <w:b/>
          <w:sz w:val="20"/>
        </w:rPr>
        <w:t>As a result,</w:t>
      </w:r>
      <w:r w:rsidR="0080725F" w:rsidRPr="0080725F">
        <w:rPr>
          <w:b/>
          <w:sz w:val="20"/>
        </w:rPr>
        <w:t xml:space="preserve"> the UN is not </w:t>
      </w:r>
      <w:r w:rsidR="00C17E7B">
        <w:rPr>
          <w:b/>
          <w:sz w:val="20"/>
        </w:rPr>
        <w:t xml:space="preserve">fully </w:t>
      </w:r>
      <w:r>
        <w:rPr>
          <w:b/>
          <w:sz w:val="20"/>
        </w:rPr>
        <w:t xml:space="preserve">equipped to support the full and effective participation of persons with disabilities internally, nor is it </w:t>
      </w:r>
      <w:r w:rsidR="0080725F" w:rsidRPr="0080725F">
        <w:rPr>
          <w:b/>
          <w:sz w:val="20"/>
        </w:rPr>
        <w:t>adequately prepared to support Governments, Disabled Persons’ Organizations</w:t>
      </w:r>
      <w:r w:rsidR="00D967E7">
        <w:rPr>
          <w:b/>
          <w:sz w:val="20"/>
        </w:rPr>
        <w:t xml:space="preserve"> (DPOs)</w:t>
      </w:r>
      <w:r w:rsidR="0080725F" w:rsidRPr="0080725F">
        <w:rPr>
          <w:b/>
          <w:sz w:val="20"/>
        </w:rPr>
        <w:t xml:space="preserve"> and other stakeholders to promote the rights of persons with disabilities in a way consistent with the UN Convention on the Rights of Persons with Disabilities and </w:t>
      </w:r>
      <w:r>
        <w:rPr>
          <w:b/>
          <w:sz w:val="20"/>
        </w:rPr>
        <w:t>in line</w:t>
      </w:r>
      <w:r w:rsidR="0080725F" w:rsidRPr="0080725F">
        <w:rPr>
          <w:b/>
          <w:sz w:val="20"/>
        </w:rPr>
        <w:t xml:space="preserve"> with the commitment</w:t>
      </w:r>
      <w:r w:rsidR="004265BA">
        <w:rPr>
          <w:b/>
          <w:sz w:val="20"/>
        </w:rPr>
        <w:t>s</w:t>
      </w:r>
      <w:r w:rsidR="0080725F" w:rsidRPr="0080725F">
        <w:rPr>
          <w:b/>
          <w:sz w:val="20"/>
        </w:rPr>
        <w:t xml:space="preserve"> of the 2030 Agenda for Sustainable Development</w:t>
      </w:r>
      <w:r w:rsidR="004265BA">
        <w:rPr>
          <w:b/>
          <w:sz w:val="20"/>
        </w:rPr>
        <w:t xml:space="preserve">, including </w:t>
      </w:r>
      <w:r>
        <w:rPr>
          <w:b/>
          <w:sz w:val="20"/>
        </w:rPr>
        <w:t>to ensure no one is left behind</w:t>
      </w:r>
      <w:r w:rsidR="0080725F" w:rsidRPr="0080725F">
        <w:rPr>
          <w:b/>
          <w:sz w:val="20"/>
        </w:rPr>
        <w:t>.</w:t>
      </w:r>
    </w:p>
    <w:p w14:paraId="59ED5571" w14:textId="77777777" w:rsidR="002D0BBF" w:rsidRDefault="002D0BBF" w:rsidP="00CB0E09">
      <w:pPr>
        <w:spacing w:after="0" w:line="240" w:lineRule="auto"/>
        <w:jc w:val="both"/>
        <w:rPr>
          <w:b/>
          <w:sz w:val="20"/>
        </w:rPr>
      </w:pPr>
    </w:p>
    <w:p w14:paraId="00F3C82A" w14:textId="77777777" w:rsidR="00427AD1" w:rsidRDefault="0080725F" w:rsidP="00CB0E09">
      <w:pPr>
        <w:spacing w:after="0" w:line="240" w:lineRule="auto"/>
        <w:jc w:val="both"/>
        <w:rPr>
          <w:b/>
          <w:sz w:val="20"/>
        </w:rPr>
      </w:pPr>
      <w:r w:rsidRPr="0080725F">
        <w:rPr>
          <w:b/>
          <w:sz w:val="20"/>
        </w:rPr>
        <w:t>Addressing this challenge will require top</w:t>
      </w:r>
      <w:r w:rsidR="002D0BBF">
        <w:rPr>
          <w:b/>
          <w:sz w:val="20"/>
        </w:rPr>
        <w:t>-</w:t>
      </w:r>
      <w:r w:rsidRPr="0080725F">
        <w:rPr>
          <w:b/>
          <w:sz w:val="20"/>
        </w:rPr>
        <w:t xml:space="preserve">level commitment </w:t>
      </w:r>
      <w:r w:rsidR="002D0BBF">
        <w:rPr>
          <w:b/>
          <w:sz w:val="20"/>
        </w:rPr>
        <w:t>across</w:t>
      </w:r>
      <w:r w:rsidR="002D0BBF" w:rsidRPr="0080725F">
        <w:rPr>
          <w:b/>
          <w:sz w:val="20"/>
        </w:rPr>
        <w:t xml:space="preserve"> </w:t>
      </w:r>
      <w:r w:rsidRPr="0080725F">
        <w:rPr>
          <w:b/>
          <w:sz w:val="20"/>
        </w:rPr>
        <w:t>the UN system</w:t>
      </w:r>
      <w:r w:rsidR="002D0BBF">
        <w:rPr>
          <w:b/>
          <w:sz w:val="20"/>
        </w:rPr>
        <w:t>, including</w:t>
      </w:r>
      <w:r w:rsidRPr="0080725F">
        <w:rPr>
          <w:b/>
          <w:sz w:val="20"/>
        </w:rPr>
        <w:t xml:space="preserve"> withi</w:t>
      </w:r>
      <w:r w:rsidR="004A3B11">
        <w:rPr>
          <w:b/>
          <w:sz w:val="20"/>
        </w:rPr>
        <w:t>n each of the UN entities and UNCTs</w:t>
      </w:r>
      <w:r w:rsidR="00D967E7">
        <w:rPr>
          <w:b/>
          <w:sz w:val="20"/>
        </w:rPr>
        <w:t>,</w:t>
      </w:r>
      <w:r w:rsidR="00DB4E17">
        <w:rPr>
          <w:b/>
          <w:sz w:val="20"/>
        </w:rPr>
        <w:t xml:space="preserve"> </w:t>
      </w:r>
      <w:r w:rsidRPr="0080725F">
        <w:rPr>
          <w:b/>
          <w:sz w:val="20"/>
        </w:rPr>
        <w:t xml:space="preserve">as well as </w:t>
      </w:r>
      <w:r w:rsidR="002D0BBF">
        <w:rPr>
          <w:b/>
          <w:sz w:val="20"/>
        </w:rPr>
        <w:t>raising awareness and building</w:t>
      </w:r>
      <w:r w:rsidRPr="0080725F">
        <w:rPr>
          <w:b/>
          <w:sz w:val="20"/>
        </w:rPr>
        <w:t xml:space="preserve"> capacities of UN staff both in headquarters and in entities</w:t>
      </w:r>
      <w:r w:rsidR="002D0BBF">
        <w:rPr>
          <w:b/>
          <w:sz w:val="20"/>
        </w:rPr>
        <w:t xml:space="preserve"> on disability inclusion and accessibility for persons with disabilities</w:t>
      </w:r>
      <w:r w:rsidRPr="0080725F">
        <w:rPr>
          <w:b/>
          <w:sz w:val="20"/>
        </w:rPr>
        <w:t>.</w:t>
      </w:r>
    </w:p>
    <w:p w14:paraId="2352AD41" w14:textId="77777777" w:rsidR="0080725F" w:rsidRPr="0080725F" w:rsidRDefault="0080725F" w:rsidP="000B2840">
      <w:pPr>
        <w:spacing w:after="0" w:line="240" w:lineRule="auto"/>
        <w:jc w:val="both"/>
        <w:rPr>
          <w:sz w:val="20"/>
        </w:rPr>
      </w:pPr>
    </w:p>
    <w:p w14:paraId="35CD60B8" w14:textId="77777777" w:rsidR="00C03AA5" w:rsidRPr="006C28CF" w:rsidRDefault="000B2840" w:rsidP="006C28CF">
      <w:pPr>
        <w:pStyle w:val="Heading2"/>
      </w:pPr>
      <w:r>
        <w:t xml:space="preserve">1.2 </w:t>
      </w:r>
      <w:r w:rsidR="00C03AA5" w:rsidRPr="006C28CF">
        <w:t xml:space="preserve">Opportunities </w:t>
      </w:r>
      <w:r w:rsidR="00DC7DFE">
        <w:t>available to</w:t>
      </w:r>
      <w:r w:rsidR="00C03AA5" w:rsidRPr="006C28CF">
        <w:t xml:space="preserve"> the project</w:t>
      </w:r>
      <w:r w:rsidR="00382CFE">
        <w:t xml:space="preserve"> </w:t>
      </w:r>
    </w:p>
    <w:p w14:paraId="23044A79" w14:textId="77777777" w:rsidR="0080725F" w:rsidRDefault="0080725F" w:rsidP="00982C47">
      <w:pPr>
        <w:spacing w:after="0" w:line="240" w:lineRule="auto"/>
        <w:jc w:val="both"/>
        <w:rPr>
          <w:i/>
          <w:sz w:val="20"/>
        </w:rPr>
      </w:pPr>
    </w:p>
    <w:p w14:paraId="76A9DB05" w14:textId="77777777" w:rsidR="0080725F" w:rsidRPr="005025A2" w:rsidRDefault="0080725F" w:rsidP="00982C47">
      <w:pPr>
        <w:spacing w:after="0" w:line="240" w:lineRule="auto"/>
        <w:jc w:val="both"/>
        <w:rPr>
          <w:b/>
          <w:sz w:val="20"/>
          <w:szCs w:val="20"/>
        </w:rPr>
      </w:pPr>
      <w:r>
        <w:rPr>
          <w:b/>
          <w:sz w:val="20"/>
        </w:rPr>
        <w:t>The main opportunity for this project results from the UN Executive Committee Decision</w:t>
      </w:r>
      <w:r w:rsidR="00913E62">
        <w:rPr>
          <w:b/>
          <w:sz w:val="20"/>
        </w:rPr>
        <w:t xml:space="preserve"> </w:t>
      </w:r>
      <w:r>
        <w:rPr>
          <w:b/>
          <w:sz w:val="20"/>
        </w:rPr>
        <w:t xml:space="preserve">2018/20 which, </w:t>
      </w:r>
      <w:r w:rsidR="00913E62">
        <w:rPr>
          <w:b/>
          <w:sz w:val="20"/>
        </w:rPr>
        <w:t>has mandated the IASG sub</w:t>
      </w:r>
      <w:r w:rsidR="00567D6B">
        <w:rPr>
          <w:b/>
          <w:sz w:val="20"/>
        </w:rPr>
        <w:t xml:space="preserve">-working </w:t>
      </w:r>
      <w:r w:rsidR="00913E62">
        <w:rPr>
          <w:b/>
          <w:sz w:val="20"/>
        </w:rPr>
        <w:t>group to present for considerat</w:t>
      </w:r>
      <w:r w:rsidR="000B08FA">
        <w:rPr>
          <w:b/>
          <w:sz w:val="20"/>
        </w:rPr>
        <w:t>ion to UN CEB</w:t>
      </w:r>
      <w:r w:rsidR="00913E62">
        <w:rPr>
          <w:b/>
          <w:sz w:val="20"/>
        </w:rPr>
        <w:t xml:space="preserve"> a system-wide </w:t>
      </w:r>
      <w:r w:rsidR="00AD014C">
        <w:rPr>
          <w:b/>
          <w:sz w:val="20"/>
        </w:rPr>
        <w:t>policy</w:t>
      </w:r>
      <w:r w:rsidR="004A3B11">
        <w:rPr>
          <w:b/>
          <w:sz w:val="20"/>
        </w:rPr>
        <w:t>, action plan</w:t>
      </w:r>
      <w:r w:rsidR="00AD014C">
        <w:rPr>
          <w:b/>
          <w:sz w:val="20"/>
        </w:rPr>
        <w:t xml:space="preserve"> </w:t>
      </w:r>
      <w:r w:rsidR="00913E62">
        <w:rPr>
          <w:b/>
          <w:sz w:val="20"/>
        </w:rPr>
        <w:t>and accountability framework</w:t>
      </w:r>
      <w:r w:rsidR="00AD014C" w:rsidRPr="00AA7868">
        <w:rPr>
          <w:b/>
        </w:rPr>
        <w:t xml:space="preserve"> </w:t>
      </w:r>
      <w:r w:rsidR="00AD014C" w:rsidRPr="006615BE">
        <w:rPr>
          <w:b/>
          <w:sz w:val="20"/>
          <w:szCs w:val="20"/>
        </w:rPr>
        <w:t>to strengthen accessibility and mainstream the rights of persons with disabilities</w:t>
      </w:r>
      <w:r w:rsidR="00913E62" w:rsidRPr="005025A2">
        <w:rPr>
          <w:b/>
          <w:sz w:val="20"/>
          <w:szCs w:val="20"/>
        </w:rPr>
        <w:t>.</w:t>
      </w:r>
    </w:p>
    <w:p w14:paraId="6D445190" w14:textId="77777777" w:rsidR="002D0BBF" w:rsidRDefault="002D0BBF" w:rsidP="00982C47">
      <w:pPr>
        <w:spacing w:after="0" w:line="240" w:lineRule="auto"/>
        <w:jc w:val="both"/>
        <w:rPr>
          <w:b/>
          <w:sz w:val="20"/>
        </w:rPr>
      </w:pPr>
    </w:p>
    <w:p w14:paraId="70FA002A" w14:textId="77777777" w:rsidR="00913E62" w:rsidRPr="0080725F" w:rsidRDefault="00913E62" w:rsidP="00982C47">
      <w:pPr>
        <w:spacing w:after="0" w:line="240" w:lineRule="auto"/>
        <w:jc w:val="both"/>
        <w:rPr>
          <w:b/>
          <w:sz w:val="20"/>
        </w:rPr>
      </w:pPr>
      <w:r>
        <w:rPr>
          <w:b/>
          <w:sz w:val="20"/>
        </w:rPr>
        <w:t xml:space="preserve">The Decision </w:t>
      </w:r>
      <w:r w:rsidR="002D0BBF">
        <w:rPr>
          <w:b/>
          <w:sz w:val="20"/>
        </w:rPr>
        <w:t xml:space="preserve">calls for </w:t>
      </w:r>
      <w:r>
        <w:rPr>
          <w:b/>
          <w:sz w:val="20"/>
        </w:rPr>
        <w:t xml:space="preserve">a review of </w:t>
      </w:r>
      <w:r w:rsidR="002D0BBF">
        <w:rPr>
          <w:b/>
          <w:sz w:val="20"/>
        </w:rPr>
        <w:t xml:space="preserve">how </w:t>
      </w:r>
      <w:r>
        <w:rPr>
          <w:b/>
          <w:sz w:val="20"/>
        </w:rPr>
        <w:t>the UN system is addressing disability inclusion and accessibility for persons with disabilities. The findings of this</w:t>
      </w:r>
      <w:r w:rsidR="002D0BBF">
        <w:rPr>
          <w:b/>
          <w:sz w:val="20"/>
        </w:rPr>
        <w:t xml:space="preserve"> review</w:t>
      </w:r>
      <w:r>
        <w:rPr>
          <w:b/>
          <w:sz w:val="20"/>
        </w:rPr>
        <w:t xml:space="preserve">, which will </w:t>
      </w:r>
      <w:r w:rsidR="00BB4742">
        <w:rPr>
          <w:b/>
          <w:sz w:val="20"/>
        </w:rPr>
        <w:t xml:space="preserve">comprise survey results </w:t>
      </w:r>
      <w:r w:rsidR="002D0BBF">
        <w:rPr>
          <w:b/>
          <w:sz w:val="20"/>
        </w:rPr>
        <w:t>cover</w:t>
      </w:r>
      <w:r w:rsidR="00BB4742">
        <w:rPr>
          <w:b/>
          <w:sz w:val="20"/>
        </w:rPr>
        <w:t>ing</w:t>
      </w:r>
      <w:r>
        <w:rPr>
          <w:b/>
          <w:sz w:val="20"/>
        </w:rPr>
        <w:t xml:space="preserve"> UNDSG entities and 40 UNCTs, will be available by the end of September 2018 and will </w:t>
      </w:r>
      <w:r w:rsidR="00D7599E">
        <w:rPr>
          <w:b/>
          <w:sz w:val="20"/>
        </w:rPr>
        <w:t xml:space="preserve">inform </w:t>
      </w:r>
      <w:r>
        <w:rPr>
          <w:b/>
          <w:sz w:val="20"/>
        </w:rPr>
        <w:t>the drafting of the policy, action plan and accountability framework.</w:t>
      </w:r>
    </w:p>
    <w:p w14:paraId="41E53907" w14:textId="77777777" w:rsidR="00BC4B02" w:rsidRPr="006C28CF" w:rsidRDefault="006C28CF" w:rsidP="00F66AC2">
      <w:pPr>
        <w:pStyle w:val="Heading1"/>
      </w:pPr>
      <w:r>
        <w:t xml:space="preserve">2. </w:t>
      </w:r>
      <w:r w:rsidR="00BC4B02" w:rsidRPr="006C28CF">
        <w:t xml:space="preserve">Project </w:t>
      </w:r>
      <w:r w:rsidR="00A14103">
        <w:t>A</w:t>
      </w:r>
      <w:r w:rsidR="00BC4B02" w:rsidRPr="006C28CF">
        <w:t xml:space="preserve">pproach </w:t>
      </w:r>
    </w:p>
    <w:p w14:paraId="11C99F6E" w14:textId="77777777" w:rsidR="00BC4B02" w:rsidRPr="00D9184A" w:rsidRDefault="00BC4B02" w:rsidP="00F66AC2">
      <w:pPr>
        <w:pStyle w:val="Heading2"/>
      </w:pPr>
      <w:r w:rsidRPr="00D9184A">
        <w:t xml:space="preserve">2.1 </w:t>
      </w:r>
      <w:r>
        <w:t>Focus of the project</w:t>
      </w:r>
      <w:r w:rsidRPr="00D9184A">
        <w:t xml:space="preserve"> – “What is the </w:t>
      </w:r>
      <w:r>
        <w:t>project</w:t>
      </w:r>
      <w:r w:rsidRPr="00D9184A">
        <w:t xml:space="preserve"> about?”</w:t>
      </w:r>
    </w:p>
    <w:p w14:paraId="7EF60949" w14:textId="77777777" w:rsidR="003E7A83" w:rsidRDefault="003E7A83" w:rsidP="00F66AC2">
      <w:pPr>
        <w:spacing w:after="0" w:line="240" w:lineRule="auto"/>
        <w:jc w:val="both"/>
        <w:rPr>
          <w:sz w:val="20"/>
        </w:rPr>
      </w:pPr>
    </w:p>
    <w:p w14:paraId="3FCF3CEA" w14:textId="77777777" w:rsidR="00913E62" w:rsidRPr="004A3B11" w:rsidRDefault="00913E62" w:rsidP="00F66AC2">
      <w:pPr>
        <w:spacing w:after="0" w:line="240" w:lineRule="auto"/>
        <w:jc w:val="both"/>
        <w:rPr>
          <w:b/>
          <w:sz w:val="20"/>
          <w:szCs w:val="20"/>
        </w:rPr>
      </w:pPr>
      <w:r w:rsidRPr="004A3B11">
        <w:rPr>
          <w:b/>
          <w:sz w:val="20"/>
          <w:szCs w:val="20"/>
        </w:rPr>
        <w:t xml:space="preserve">The focus of the project is </w:t>
      </w:r>
      <w:r w:rsidRPr="00CC39BB">
        <w:rPr>
          <w:b/>
          <w:sz w:val="20"/>
          <w:szCs w:val="20"/>
        </w:rPr>
        <w:t xml:space="preserve">to produce by the end of the first </w:t>
      </w:r>
      <w:r w:rsidR="006C1453" w:rsidRPr="00CC39BB">
        <w:rPr>
          <w:b/>
          <w:sz w:val="20"/>
          <w:szCs w:val="20"/>
        </w:rPr>
        <w:t xml:space="preserve">quarter </w:t>
      </w:r>
      <w:r w:rsidRPr="00CC39BB">
        <w:rPr>
          <w:b/>
          <w:sz w:val="20"/>
          <w:szCs w:val="20"/>
        </w:rPr>
        <w:t xml:space="preserve">of 2019 a proposal for a UN system-wide </w:t>
      </w:r>
      <w:r w:rsidR="000B08FA" w:rsidRPr="00CC39BB">
        <w:rPr>
          <w:b/>
          <w:sz w:val="20"/>
          <w:szCs w:val="20"/>
        </w:rPr>
        <w:t xml:space="preserve">policy, action </w:t>
      </w:r>
      <w:r w:rsidR="00567D6B" w:rsidRPr="00CC39BB">
        <w:rPr>
          <w:b/>
          <w:sz w:val="20"/>
          <w:szCs w:val="20"/>
        </w:rPr>
        <w:t>plan and accountability framework</w:t>
      </w:r>
      <w:r w:rsidR="00567D6B" w:rsidRPr="004A3B11">
        <w:rPr>
          <w:b/>
          <w:sz w:val="20"/>
          <w:szCs w:val="20"/>
        </w:rPr>
        <w:t xml:space="preserve"> </w:t>
      </w:r>
      <w:r w:rsidR="00AD014C" w:rsidRPr="004A3B11">
        <w:rPr>
          <w:b/>
          <w:sz w:val="20"/>
          <w:szCs w:val="20"/>
        </w:rPr>
        <w:t xml:space="preserve">to strengthen accessibility and mainstream the rights of persons with </w:t>
      </w:r>
      <w:proofErr w:type="gramStart"/>
      <w:r w:rsidR="00AD014C" w:rsidRPr="004A3B11">
        <w:rPr>
          <w:b/>
          <w:sz w:val="20"/>
          <w:szCs w:val="20"/>
        </w:rPr>
        <w:t>disabilities  across</w:t>
      </w:r>
      <w:proofErr w:type="gramEnd"/>
      <w:r w:rsidR="00AD014C" w:rsidRPr="004A3B11">
        <w:rPr>
          <w:b/>
          <w:sz w:val="20"/>
          <w:szCs w:val="20"/>
        </w:rPr>
        <w:t xml:space="preserve"> the Organization’s operations </w:t>
      </w:r>
      <w:r w:rsidR="00D7599E" w:rsidRPr="004A3B11">
        <w:rPr>
          <w:b/>
          <w:sz w:val="20"/>
          <w:szCs w:val="20"/>
        </w:rPr>
        <w:t>(as defined by decision point 2 of the UN Executive Committee Decision 2018/20)</w:t>
      </w:r>
      <w:r w:rsidRPr="004A3B11">
        <w:rPr>
          <w:b/>
          <w:sz w:val="20"/>
          <w:szCs w:val="20"/>
        </w:rPr>
        <w:t>.</w:t>
      </w:r>
    </w:p>
    <w:p w14:paraId="0C60BF8B" w14:textId="77777777" w:rsidR="00913E62" w:rsidRDefault="00913E62" w:rsidP="00F66AC2">
      <w:pPr>
        <w:spacing w:after="0" w:line="240" w:lineRule="auto"/>
        <w:jc w:val="both"/>
        <w:rPr>
          <w:b/>
          <w:sz w:val="20"/>
        </w:rPr>
      </w:pPr>
    </w:p>
    <w:p w14:paraId="76A0E580" w14:textId="683E75CD" w:rsidR="00913E62" w:rsidRDefault="006C1453" w:rsidP="00F66AC2">
      <w:pPr>
        <w:spacing w:after="0" w:line="240" w:lineRule="auto"/>
        <w:jc w:val="both"/>
        <w:rPr>
          <w:b/>
          <w:sz w:val="20"/>
          <w:szCs w:val="20"/>
        </w:rPr>
      </w:pPr>
      <w:r w:rsidRPr="004A3B11">
        <w:rPr>
          <w:b/>
          <w:sz w:val="20"/>
          <w:szCs w:val="20"/>
        </w:rPr>
        <w:t>F</w:t>
      </w:r>
      <w:r w:rsidR="00913E62" w:rsidRPr="004A3B11">
        <w:rPr>
          <w:b/>
          <w:sz w:val="20"/>
          <w:szCs w:val="20"/>
        </w:rPr>
        <w:t xml:space="preserve">undamental </w:t>
      </w:r>
      <w:r w:rsidRPr="004A3B11">
        <w:rPr>
          <w:b/>
          <w:sz w:val="20"/>
          <w:szCs w:val="20"/>
        </w:rPr>
        <w:t>to its success is</w:t>
      </w:r>
      <w:r w:rsidR="004A3B11">
        <w:rPr>
          <w:b/>
          <w:sz w:val="20"/>
          <w:szCs w:val="20"/>
        </w:rPr>
        <w:t xml:space="preserve"> top-</w:t>
      </w:r>
      <w:r w:rsidR="00913E62" w:rsidRPr="004A3B11">
        <w:rPr>
          <w:b/>
          <w:sz w:val="20"/>
          <w:szCs w:val="20"/>
        </w:rPr>
        <w:t xml:space="preserve">level buy-in of UN entities (in headquarters and in the field), </w:t>
      </w:r>
      <w:r w:rsidRPr="004A3B11">
        <w:rPr>
          <w:b/>
          <w:sz w:val="20"/>
          <w:szCs w:val="20"/>
        </w:rPr>
        <w:t>supported by</w:t>
      </w:r>
      <w:r w:rsidR="00913E62" w:rsidRPr="004A3B11">
        <w:rPr>
          <w:b/>
          <w:sz w:val="20"/>
          <w:szCs w:val="20"/>
        </w:rPr>
        <w:t xml:space="preserve"> the technical involvement and ownership </w:t>
      </w:r>
      <w:r w:rsidRPr="004A3B11">
        <w:rPr>
          <w:b/>
          <w:sz w:val="20"/>
          <w:szCs w:val="20"/>
        </w:rPr>
        <w:t xml:space="preserve">of </w:t>
      </w:r>
      <w:r w:rsidR="00913E62" w:rsidRPr="004A3B11">
        <w:rPr>
          <w:b/>
          <w:sz w:val="20"/>
          <w:szCs w:val="20"/>
        </w:rPr>
        <w:t>the different departments within each entity responsible for implementation (</w:t>
      </w:r>
      <w:r w:rsidRPr="004A3B11">
        <w:rPr>
          <w:b/>
          <w:sz w:val="20"/>
          <w:szCs w:val="20"/>
        </w:rPr>
        <w:t xml:space="preserve">e.g. </w:t>
      </w:r>
      <w:r w:rsidR="00913E62" w:rsidRPr="004A3B11">
        <w:rPr>
          <w:b/>
          <w:sz w:val="20"/>
          <w:szCs w:val="20"/>
        </w:rPr>
        <w:t xml:space="preserve">human resources, programming, </w:t>
      </w:r>
      <w:r w:rsidR="00D7599E" w:rsidRPr="004A3B11">
        <w:rPr>
          <w:b/>
          <w:sz w:val="20"/>
          <w:szCs w:val="20"/>
        </w:rPr>
        <w:t xml:space="preserve">conference/meeting </w:t>
      </w:r>
      <w:r w:rsidR="00913E62" w:rsidRPr="004A3B11">
        <w:rPr>
          <w:b/>
          <w:sz w:val="20"/>
          <w:szCs w:val="20"/>
        </w:rPr>
        <w:t>management</w:t>
      </w:r>
      <w:r w:rsidR="00D7599E" w:rsidRPr="004A3B11">
        <w:rPr>
          <w:b/>
          <w:sz w:val="20"/>
          <w:szCs w:val="20"/>
        </w:rPr>
        <w:t>, information</w:t>
      </w:r>
      <w:r w:rsidR="00913E62" w:rsidRPr="004A3B11">
        <w:rPr>
          <w:b/>
          <w:sz w:val="20"/>
          <w:szCs w:val="20"/>
        </w:rPr>
        <w:t xml:space="preserve">, </w:t>
      </w:r>
      <w:r w:rsidR="00D7599E" w:rsidRPr="004A3B11">
        <w:rPr>
          <w:b/>
          <w:sz w:val="20"/>
          <w:szCs w:val="20"/>
        </w:rPr>
        <w:t>facilities/</w:t>
      </w:r>
      <w:r w:rsidR="00913E62" w:rsidRPr="004A3B11">
        <w:rPr>
          <w:b/>
          <w:sz w:val="20"/>
          <w:szCs w:val="20"/>
        </w:rPr>
        <w:t xml:space="preserve">premises, procurement, evaluation, etc.). </w:t>
      </w:r>
    </w:p>
    <w:p w14:paraId="3F3A2B10" w14:textId="3592ECBD" w:rsidR="00A50263" w:rsidRDefault="00A50263" w:rsidP="00F66AC2">
      <w:pPr>
        <w:spacing w:after="0" w:line="240" w:lineRule="auto"/>
        <w:jc w:val="both"/>
        <w:rPr>
          <w:b/>
          <w:sz w:val="20"/>
          <w:szCs w:val="20"/>
        </w:rPr>
      </w:pPr>
    </w:p>
    <w:p w14:paraId="15914D93" w14:textId="672F2877" w:rsidR="00913E62" w:rsidRPr="00913E62" w:rsidRDefault="00A50263" w:rsidP="0062403C">
      <w:pPr>
        <w:spacing w:after="240" w:line="240" w:lineRule="auto"/>
        <w:jc w:val="both"/>
        <w:rPr>
          <w:b/>
          <w:sz w:val="20"/>
        </w:rPr>
      </w:pPr>
      <w:r>
        <w:rPr>
          <w:b/>
          <w:sz w:val="20"/>
        </w:rPr>
        <w:t xml:space="preserve">Following the endorsement of the new system-wide policy, action plan and accountability framework on disability inclusion entitled the UN Disability Inclusion Strategy, the project will support </w:t>
      </w:r>
      <w:r w:rsidRPr="006B52F5">
        <w:rPr>
          <w:b/>
          <w:sz w:val="20"/>
        </w:rPr>
        <w:t xml:space="preserve">the roll out of the UN Disability Inclusion Strategy (UNDIS) </w:t>
      </w:r>
      <w:r>
        <w:rPr>
          <w:b/>
          <w:sz w:val="20"/>
        </w:rPr>
        <w:t>through the establishment of a technical unit</w:t>
      </w:r>
      <w:r w:rsidR="009121DC">
        <w:rPr>
          <w:b/>
          <w:sz w:val="20"/>
        </w:rPr>
        <w:t xml:space="preserve"> for a</w:t>
      </w:r>
      <w:r w:rsidR="00C55C06">
        <w:rPr>
          <w:b/>
          <w:sz w:val="20"/>
        </w:rPr>
        <w:t>n initial</w:t>
      </w:r>
      <w:r w:rsidR="009121DC">
        <w:rPr>
          <w:b/>
          <w:sz w:val="20"/>
        </w:rPr>
        <w:t xml:space="preserve"> period of one year</w:t>
      </w:r>
      <w:r>
        <w:rPr>
          <w:b/>
          <w:sz w:val="20"/>
        </w:rPr>
        <w:t xml:space="preserve"> in the Executive Office of the Secretary General to coordinate and support the implementation of the UNDIS.</w:t>
      </w:r>
      <w:r w:rsidR="0062403C" w:rsidRPr="00913E62">
        <w:rPr>
          <w:b/>
          <w:sz w:val="20"/>
        </w:rPr>
        <w:t xml:space="preserve"> </w:t>
      </w:r>
    </w:p>
    <w:p w14:paraId="0259AD70" w14:textId="77777777" w:rsidR="00BC4B02" w:rsidRPr="00D9184A" w:rsidRDefault="006C28CF" w:rsidP="00F66AC2">
      <w:pPr>
        <w:pStyle w:val="Heading2"/>
      </w:pPr>
      <w:r>
        <w:t xml:space="preserve">2.2 </w:t>
      </w:r>
      <w:r w:rsidR="00BC4B02" w:rsidRPr="00D9184A">
        <w:t xml:space="preserve">Theory of change of the intervention – “How will the </w:t>
      </w:r>
      <w:r w:rsidR="00BC4B02">
        <w:t>project</w:t>
      </w:r>
      <w:r w:rsidR="00BC4B02" w:rsidRPr="00D9184A">
        <w:t xml:space="preserve"> produce </w:t>
      </w:r>
      <w:r w:rsidR="001D0E33">
        <w:t>the stated impact</w:t>
      </w:r>
      <w:r w:rsidR="00BC4B02" w:rsidRPr="00D9184A">
        <w:t>?”</w:t>
      </w:r>
    </w:p>
    <w:p w14:paraId="455F5B88" w14:textId="77777777" w:rsidR="004E2DE3" w:rsidRDefault="004E2DE3" w:rsidP="004E2DE3">
      <w:pPr>
        <w:spacing w:after="0" w:line="240" w:lineRule="auto"/>
        <w:jc w:val="both"/>
        <w:rPr>
          <w:sz w:val="20"/>
        </w:rPr>
      </w:pPr>
    </w:p>
    <w:p w14:paraId="764752F0" w14:textId="77777777" w:rsidR="004E2DE3" w:rsidRDefault="004E2DE3" w:rsidP="004E2DE3">
      <w:pPr>
        <w:spacing w:after="0" w:line="240" w:lineRule="auto"/>
        <w:jc w:val="both"/>
        <w:rPr>
          <w:b/>
          <w:sz w:val="20"/>
        </w:rPr>
      </w:pPr>
      <w:r>
        <w:rPr>
          <w:b/>
          <w:sz w:val="20"/>
        </w:rPr>
        <w:t xml:space="preserve">The objective of the project is to promote a transformational change in the UN </w:t>
      </w:r>
      <w:r w:rsidR="00567D6B">
        <w:rPr>
          <w:b/>
          <w:sz w:val="20"/>
        </w:rPr>
        <w:t xml:space="preserve">system </w:t>
      </w:r>
      <w:r>
        <w:rPr>
          <w:b/>
          <w:sz w:val="20"/>
        </w:rPr>
        <w:t xml:space="preserve">that will ensure that all UN entities, within their respective mandates, contribute to the rights of persons with disabilities in a way that is consistent with the UN Convention on the Rights of Persons with Disabilities and in </w:t>
      </w:r>
      <w:r w:rsidR="00D7599E">
        <w:rPr>
          <w:b/>
          <w:sz w:val="20"/>
        </w:rPr>
        <w:t>line with the commitment</w:t>
      </w:r>
      <w:r w:rsidR="000B08FA">
        <w:rPr>
          <w:b/>
          <w:sz w:val="20"/>
        </w:rPr>
        <w:t>s</w:t>
      </w:r>
      <w:r w:rsidR="00D7599E">
        <w:rPr>
          <w:b/>
          <w:sz w:val="20"/>
        </w:rPr>
        <w:t xml:space="preserve"> of the</w:t>
      </w:r>
      <w:r>
        <w:rPr>
          <w:b/>
          <w:sz w:val="20"/>
        </w:rPr>
        <w:t xml:space="preserve"> 2030 Agenda for Sustainable Development</w:t>
      </w:r>
      <w:r w:rsidR="00D7599E">
        <w:rPr>
          <w:b/>
          <w:sz w:val="20"/>
        </w:rPr>
        <w:t xml:space="preserve"> </w:t>
      </w:r>
      <w:r w:rsidR="00567D6B">
        <w:rPr>
          <w:b/>
          <w:sz w:val="20"/>
        </w:rPr>
        <w:t xml:space="preserve">including </w:t>
      </w:r>
      <w:r w:rsidR="00D7599E">
        <w:rPr>
          <w:b/>
          <w:sz w:val="20"/>
        </w:rPr>
        <w:t>to ensure no one is left behind</w:t>
      </w:r>
      <w:r>
        <w:rPr>
          <w:b/>
          <w:sz w:val="20"/>
        </w:rPr>
        <w:t>.</w:t>
      </w:r>
    </w:p>
    <w:p w14:paraId="2945AC90" w14:textId="77777777" w:rsidR="004E2DE3" w:rsidRDefault="004E2DE3" w:rsidP="004E2DE3">
      <w:pPr>
        <w:spacing w:after="0" w:line="240" w:lineRule="auto"/>
        <w:jc w:val="both"/>
        <w:rPr>
          <w:b/>
          <w:sz w:val="20"/>
        </w:rPr>
      </w:pPr>
    </w:p>
    <w:p w14:paraId="70F9CF06" w14:textId="77777777" w:rsidR="004E2DE3" w:rsidRDefault="004E2DE3" w:rsidP="004E2DE3">
      <w:pPr>
        <w:spacing w:after="0" w:line="240" w:lineRule="auto"/>
        <w:jc w:val="both"/>
        <w:rPr>
          <w:b/>
          <w:sz w:val="20"/>
        </w:rPr>
      </w:pPr>
      <w:proofErr w:type="gramStart"/>
      <w:r>
        <w:rPr>
          <w:b/>
          <w:sz w:val="20"/>
        </w:rPr>
        <w:t>In order to</w:t>
      </w:r>
      <w:proofErr w:type="gramEnd"/>
      <w:r>
        <w:rPr>
          <w:b/>
          <w:sz w:val="20"/>
        </w:rPr>
        <w:t xml:space="preserve"> achieve this profound change, a first key step is to have a UN system-wide policy on disability inclusion to be agreed by the UN </w:t>
      </w:r>
      <w:r w:rsidR="00D967E7">
        <w:rPr>
          <w:b/>
          <w:sz w:val="20"/>
        </w:rPr>
        <w:t>CEB</w:t>
      </w:r>
      <w:r>
        <w:rPr>
          <w:b/>
          <w:sz w:val="20"/>
        </w:rPr>
        <w:t xml:space="preserve">. This policy would </w:t>
      </w:r>
      <w:r w:rsidR="00AC6EA9">
        <w:rPr>
          <w:b/>
          <w:sz w:val="20"/>
        </w:rPr>
        <w:t>allow for establishing</w:t>
      </w:r>
      <w:r w:rsidR="004209AF">
        <w:rPr>
          <w:b/>
          <w:sz w:val="20"/>
        </w:rPr>
        <w:t xml:space="preserve"> a shared </w:t>
      </w:r>
      <w:r w:rsidR="00AC6EA9">
        <w:rPr>
          <w:b/>
          <w:sz w:val="20"/>
        </w:rPr>
        <w:t>commitment</w:t>
      </w:r>
      <w:r w:rsidR="00FE209D">
        <w:rPr>
          <w:b/>
          <w:sz w:val="20"/>
        </w:rPr>
        <w:t>, common language</w:t>
      </w:r>
      <w:r w:rsidR="00AC6EA9">
        <w:rPr>
          <w:b/>
          <w:sz w:val="20"/>
        </w:rPr>
        <w:t xml:space="preserve"> and coherence across the UN system and </w:t>
      </w:r>
      <w:r>
        <w:rPr>
          <w:b/>
          <w:sz w:val="20"/>
        </w:rPr>
        <w:t xml:space="preserve">set </w:t>
      </w:r>
      <w:r w:rsidR="00AC6EA9">
        <w:rPr>
          <w:b/>
          <w:sz w:val="20"/>
        </w:rPr>
        <w:t xml:space="preserve">specific </w:t>
      </w:r>
      <w:r>
        <w:rPr>
          <w:b/>
          <w:sz w:val="20"/>
        </w:rPr>
        <w:t xml:space="preserve">objectives to be achieved by all UN entities in areas </w:t>
      </w:r>
      <w:r w:rsidR="00D7599E">
        <w:rPr>
          <w:b/>
          <w:sz w:val="20"/>
        </w:rPr>
        <w:t>such as human resources, programming, conference/meeting management, information, facilities/premises, procurement, and evaluation.</w:t>
      </w:r>
    </w:p>
    <w:p w14:paraId="3A881AA8" w14:textId="77777777" w:rsidR="004E2DE3" w:rsidRDefault="004E2DE3" w:rsidP="004E2DE3">
      <w:pPr>
        <w:spacing w:after="0" w:line="240" w:lineRule="auto"/>
        <w:jc w:val="both"/>
        <w:rPr>
          <w:b/>
          <w:sz w:val="20"/>
        </w:rPr>
      </w:pPr>
    </w:p>
    <w:p w14:paraId="12737414" w14:textId="77777777" w:rsidR="004E2DE3" w:rsidRDefault="00D7599E" w:rsidP="004E2DE3">
      <w:pPr>
        <w:spacing w:after="0" w:line="240" w:lineRule="auto"/>
        <w:jc w:val="both"/>
        <w:rPr>
          <w:b/>
          <w:sz w:val="20"/>
        </w:rPr>
      </w:pPr>
      <w:r>
        <w:rPr>
          <w:b/>
          <w:sz w:val="20"/>
        </w:rPr>
        <w:t>Building upon</w:t>
      </w:r>
      <w:r w:rsidR="004E2DE3">
        <w:rPr>
          <w:b/>
          <w:sz w:val="20"/>
        </w:rPr>
        <w:t xml:space="preserve"> the example of the UN approach to gender equality and empowerment of women, the policy would be accompanied by an accountability framework, which would for each of the domains covered by the policy, </w:t>
      </w:r>
      <w:proofErr w:type="gramStart"/>
      <w:r w:rsidR="00567D6B">
        <w:rPr>
          <w:b/>
          <w:sz w:val="20"/>
        </w:rPr>
        <w:t xml:space="preserve">propose </w:t>
      </w:r>
      <w:r w:rsidR="004E2DE3">
        <w:rPr>
          <w:b/>
          <w:sz w:val="20"/>
        </w:rPr>
        <w:t xml:space="preserve"> indicators</w:t>
      </w:r>
      <w:proofErr w:type="gramEnd"/>
      <w:r w:rsidR="004E2DE3">
        <w:rPr>
          <w:b/>
          <w:sz w:val="20"/>
        </w:rPr>
        <w:t xml:space="preserve"> that UN entities and UNCTs </w:t>
      </w:r>
      <w:r w:rsidR="00BB4742">
        <w:rPr>
          <w:b/>
          <w:sz w:val="20"/>
        </w:rPr>
        <w:t xml:space="preserve">would </w:t>
      </w:r>
      <w:r w:rsidR="004E2DE3">
        <w:rPr>
          <w:b/>
          <w:sz w:val="20"/>
        </w:rPr>
        <w:t xml:space="preserve">need to report on regularly in order to </w:t>
      </w:r>
      <w:r w:rsidR="00BB4742">
        <w:rPr>
          <w:b/>
          <w:sz w:val="20"/>
        </w:rPr>
        <w:t xml:space="preserve">demonstrate </w:t>
      </w:r>
      <w:r w:rsidR="00567D6B">
        <w:rPr>
          <w:b/>
          <w:sz w:val="20"/>
        </w:rPr>
        <w:t>progress towards</w:t>
      </w:r>
      <w:r w:rsidR="00BB4742">
        <w:rPr>
          <w:b/>
          <w:sz w:val="20"/>
        </w:rPr>
        <w:t xml:space="preserve"> </w:t>
      </w:r>
      <w:r w:rsidR="004E2DE3">
        <w:rPr>
          <w:b/>
          <w:sz w:val="20"/>
        </w:rPr>
        <w:t xml:space="preserve">the </w:t>
      </w:r>
      <w:r w:rsidR="00BB4742">
        <w:rPr>
          <w:b/>
          <w:sz w:val="20"/>
        </w:rPr>
        <w:t>implementation benchmarks</w:t>
      </w:r>
      <w:r w:rsidR="004E2DE3">
        <w:rPr>
          <w:b/>
          <w:sz w:val="20"/>
        </w:rPr>
        <w:t xml:space="preserve">. </w:t>
      </w:r>
      <w:r w:rsidR="004265BA">
        <w:rPr>
          <w:b/>
          <w:sz w:val="20"/>
        </w:rPr>
        <w:t>The accountability framework will also seek to identify t</w:t>
      </w:r>
      <w:r w:rsidR="007E2431">
        <w:rPr>
          <w:b/>
          <w:sz w:val="20"/>
        </w:rPr>
        <w:t xml:space="preserve">echnical </w:t>
      </w:r>
      <w:r w:rsidR="004265BA">
        <w:rPr>
          <w:b/>
          <w:sz w:val="20"/>
        </w:rPr>
        <w:t xml:space="preserve">tools and guidelines that could be </w:t>
      </w:r>
      <w:r w:rsidR="007E2431">
        <w:rPr>
          <w:b/>
          <w:sz w:val="20"/>
        </w:rPr>
        <w:t xml:space="preserve">developed </w:t>
      </w:r>
      <w:r w:rsidR="004265BA">
        <w:rPr>
          <w:b/>
          <w:sz w:val="20"/>
        </w:rPr>
        <w:t>to</w:t>
      </w:r>
      <w:r w:rsidR="007E2431">
        <w:rPr>
          <w:b/>
          <w:sz w:val="20"/>
        </w:rPr>
        <w:t xml:space="preserve"> support stakeholders </w:t>
      </w:r>
      <w:r w:rsidR="004265BA">
        <w:rPr>
          <w:b/>
          <w:sz w:val="20"/>
        </w:rPr>
        <w:t>in their implementation</w:t>
      </w:r>
      <w:r w:rsidR="007E2431">
        <w:rPr>
          <w:b/>
          <w:sz w:val="20"/>
        </w:rPr>
        <w:t>.</w:t>
      </w:r>
    </w:p>
    <w:p w14:paraId="7238DCF5" w14:textId="77777777" w:rsidR="004E2DE3" w:rsidRDefault="004E2DE3" w:rsidP="004E2DE3">
      <w:pPr>
        <w:spacing w:after="0" w:line="240" w:lineRule="auto"/>
        <w:jc w:val="both"/>
        <w:rPr>
          <w:b/>
          <w:sz w:val="20"/>
        </w:rPr>
      </w:pPr>
    </w:p>
    <w:p w14:paraId="0A819DF7" w14:textId="77777777" w:rsidR="004E2DE3" w:rsidRDefault="004E2DE3" w:rsidP="004E2DE3">
      <w:pPr>
        <w:spacing w:after="0" w:line="240" w:lineRule="auto"/>
        <w:jc w:val="both"/>
        <w:rPr>
          <w:b/>
          <w:sz w:val="20"/>
        </w:rPr>
      </w:pPr>
      <w:r>
        <w:rPr>
          <w:b/>
          <w:sz w:val="20"/>
        </w:rPr>
        <w:t xml:space="preserve">Based on the findings of the </w:t>
      </w:r>
      <w:r w:rsidR="00567D6B">
        <w:rPr>
          <w:b/>
          <w:sz w:val="20"/>
        </w:rPr>
        <w:t xml:space="preserve">institutional review </w:t>
      </w:r>
      <w:r>
        <w:rPr>
          <w:b/>
          <w:sz w:val="20"/>
        </w:rPr>
        <w:t>among UN entities and UNCTs that will be available at the end of September 2018</w:t>
      </w:r>
      <w:r w:rsidR="00C82EF8">
        <w:rPr>
          <w:b/>
          <w:sz w:val="20"/>
        </w:rPr>
        <w:t xml:space="preserve"> and other work currently being undertaken (</w:t>
      </w:r>
      <w:r w:rsidR="00DB4E17">
        <w:rPr>
          <w:b/>
          <w:sz w:val="20"/>
        </w:rPr>
        <w:t xml:space="preserve">such as a </w:t>
      </w:r>
      <w:r w:rsidR="00327539">
        <w:rPr>
          <w:b/>
          <w:sz w:val="20"/>
        </w:rPr>
        <w:t>review of</w:t>
      </w:r>
      <w:r w:rsidR="00C82EF8">
        <w:rPr>
          <w:b/>
          <w:sz w:val="20"/>
        </w:rPr>
        <w:t xml:space="preserve"> accessibility of conferences and meetings </w:t>
      </w:r>
      <w:r w:rsidR="00327539">
        <w:rPr>
          <w:b/>
          <w:sz w:val="20"/>
        </w:rPr>
        <w:t xml:space="preserve">requested </w:t>
      </w:r>
      <w:r w:rsidR="00C82EF8">
        <w:rPr>
          <w:b/>
          <w:sz w:val="20"/>
        </w:rPr>
        <w:t>by DGACM and undertaken by the Join</w:t>
      </w:r>
      <w:r w:rsidR="00327539">
        <w:rPr>
          <w:b/>
          <w:sz w:val="20"/>
        </w:rPr>
        <w:t>t</w:t>
      </w:r>
      <w:r w:rsidR="00C82EF8">
        <w:rPr>
          <w:b/>
          <w:sz w:val="20"/>
        </w:rPr>
        <w:t xml:space="preserve"> Inspection Unit</w:t>
      </w:r>
      <w:r w:rsidR="007A0F6F">
        <w:rPr>
          <w:b/>
          <w:sz w:val="20"/>
        </w:rPr>
        <w:t xml:space="preserve">, and a survey of DPOs that will be undertaken by the International Disability Alliance </w:t>
      </w:r>
      <w:r w:rsidR="001637D5">
        <w:rPr>
          <w:b/>
          <w:sz w:val="20"/>
        </w:rPr>
        <w:t>[</w:t>
      </w:r>
      <w:r w:rsidR="007A0F6F">
        <w:rPr>
          <w:b/>
          <w:sz w:val="20"/>
        </w:rPr>
        <w:t>IDA</w:t>
      </w:r>
      <w:r w:rsidR="001637D5">
        <w:rPr>
          <w:b/>
          <w:sz w:val="20"/>
        </w:rPr>
        <w:t>]</w:t>
      </w:r>
      <w:r w:rsidR="00A310B7">
        <w:rPr>
          <w:b/>
          <w:sz w:val="20"/>
        </w:rPr>
        <w:t>)</w:t>
      </w:r>
      <w:r>
        <w:rPr>
          <w:b/>
          <w:sz w:val="20"/>
        </w:rPr>
        <w:t xml:space="preserve">, </w:t>
      </w:r>
      <w:r w:rsidR="00C82EF8">
        <w:rPr>
          <w:b/>
          <w:sz w:val="20"/>
        </w:rPr>
        <w:t>a</w:t>
      </w:r>
      <w:r w:rsidR="00567D6B">
        <w:rPr>
          <w:b/>
          <w:sz w:val="20"/>
        </w:rPr>
        <w:t>n initial meeting of UN principals is foreseen to be convened by the EOSG to provide overall guidance and vision</w:t>
      </w:r>
      <w:r w:rsidR="00A57E65">
        <w:rPr>
          <w:b/>
          <w:sz w:val="20"/>
        </w:rPr>
        <w:t>, and a</w:t>
      </w:r>
      <w:r w:rsidR="00C82EF8">
        <w:rPr>
          <w:b/>
          <w:sz w:val="20"/>
        </w:rPr>
        <w:t xml:space="preserve"> draft policy will </w:t>
      </w:r>
      <w:r w:rsidR="00567D6B">
        <w:rPr>
          <w:b/>
          <w:sz w:val="20"/>
        </w:rPr>
        <w:t xml:space="preserve">subsequently </w:t>
      </w:r>
      <w:r w:rsidR="00C82EF8">
        <w:rPr>
          <w:b/>
          <w:sz w:val="20"/>
        </w:rPr>
        <w:t xml:space="preserve">be </w:t>
      </w:r>
      <w:r w:rsidR="00327539">
        <w:rPr>
          <w:b/>
          <w:sz w:val="20"/>
        </w:rPr>
        <w:t>produced</w:t>
      </w:r>
      <w:r w:rsidR="00C82EF8">
        <w:rPr>
          <w:b/>
          <w:sz w:val="20"/>
        </w:rPr>
        <w:t>. Furthermore</w:t>
      </w:r>
      <w:r w:rsidR="00327539">
        <w:rPr>
          <w:b/>
          <w:sz w:val="20"/>
        </w:rPr>
        <w:t>,</w:t>
      </w:r>
      <w:r w:rsidR="00C82EF8">
        <w:rPr>
          <w:b/>
          <w:sz w:val="20"/>
        </w:rPr>
        <w:t xml:space="preserve"> </w:t>
      </w:r>
      <w:r>
        <w:rPr>
          <w:b/>
          <w:sz w:val="20"/>
        </w:rPr>
        <w:t xml:space="preserve">an accountability framework for UN entities and for UNCTs will be prepared, which will then undergo piloting in </w:t>
      </w:r>
      <w:proofErr w:type="gramStart"/>
      <w:r>
        <w:rPr>
          <w:b/>
          <w:sz w:val="20"/>
        </w:rPr>
        <w:t>a number of</w:t>
      </w:r>
      <w:proofErr w:type="gramEnd"/>
      <w:r>
        <w:rPr>
          <w:b/>
          <w:sz w:val="20"/>
        </w:rPr>
        <w:t xml:space="preserve"> UN entities, including at least one UN regional commission, and UNCTs. </w:t>
      </w:r>
      <w:r w:rsidR="00C82EF8">
        <w:rPr>
          <w:b/>
          <w:sz w:val="20"/>
        </w:rPr>
        <w:t xml:space="preserve">The active involvement of </w:t>
      </w:r>
      <w:r w:rsidR="00D967E7">
        <w:rPr>
          <w:b/>
          <w:sz w:val="20"/>
        </w:rPr>
        <w:t>DPOs</w:t>
      </w:r>
      <w:r w:rsidR="00C82EF8">
        <w:rPr>
          <w:b/>
          <w:sz w:val="20"/>
        </w:rPr>
        <w:t xml:space="preserve"> will be ensured in this process</w:t>
      </w:r>
      <w:r w:rsidR="00567D6B">
        <w:rPr>
          <w:b/>
          <w:sz w:val="20"/>
        </w:rPr>
        <w:t xml:space="preserve"> including through the </w:t>
      </w:r>
      <w:r w:rsidR="000B08FA">
        <w:rPr>
          <w:b/>
          <w:sz w:val="20"/>
        </w:rPr>
        <w:t>IASG</w:t>
      </w:r>
      <w:r w:rsidR="00567D6B">
        <w:rPr>
          <w:b/>
          <w:sz w:val="20"/>
        </w:rPr>
        <w:t xml:space="preserve"> but also in the relevant contexts of piloting</w:t>
      </w:r>
      <w:r w:rsidR="007A0F6F">
        <w:rPr>
          <w:b/>
          <w:sz w:val="20"/>
        </w:rPr>
        <w:t>.</w:t>
      </w:r>
      <w:r w:rsidR="00C82EF8">
        <w:rPr>
          <w:b/>
          <w:sz w:val="20"/>
        </w:rPr>
        <w:t xml:space="preserve"> </w:t>
      </w:r>
    </w:p>
    <w:p w14:paraId="2995C30E" w14:textId="77777777" w:rsidR="00C82EF8" w:rsidRDefault="00C82EF8" w:rsidP="004E2DE3">
      <w:pPr>
        <w:spacing w:after="0" w:line="240" w:lineRule="auto"/>
        <w:jc w:val="both"/>
        <w:rPr>
          <w:b/>
          <w:sz w:val="20"/>
        </w:rPr>
      </w:pPr>
    </w:p>
    <w:p w14:paraId="7168BE02" w14:textId="77777777" w:rsidR="00C82EF8" w:rsidRDefault="00DB4E17" w:rsidP="004E2DE3">
      <w:pPr>
        <w:spacing w:after="0" w:line="240" w:lineRule="auto"/>
        <w:jc w:val="both"/>
        <w:rPr>
          <w:b/>
          <w:sz w:val="20"/>
        </w:rPr>
      </w:pPr>
      <w:r>
        <w:rPr>
          <w:b/>
          <w:sz w:val="20"/>
        </w:rPr>
        <w:t>The drafting and piloting processes</w:t>
      </w:r>
      <w:r w:rsidR="00C82EF8">
        <w:rPr>
          <w:b/>
          <w:sz w:val="20"/>
        </w:rPr>
        <w:t xml:space="preserve"> </w:t>
      </w:r>
      <w:r w:rsidR="007A0F6F">
        <w:rPr>
          <w:b/>
          <w:sz w:val="20"/>
        </w:rPr>
        <w:t xml:space="preserve">hope to </w:t>
      </w:r>
      <w:r>
        <w:rPr>
          <w:b/>
          <w:sz w:val="20"/>
        </w:rPr>
        <w:t>elicit</w:t>
      </w:r>
      <w:r w:rsidR="00C82EF8">
        <w:rPr>
          <w:b/>
          <w:sz w:val="20"/>
        </w:rPr>
        <w:t xml:space="preserve"> good practices among UN entities, </w:t>
      </w:r>
      <w:r w:rsidR="00A57E65">
        <w:rPr>
          <w:b/>
          <w:sz w:val="20"/>
        </w:rPr>
        <w:t>drawing from the findings of the institutional review and feedback provided from piloting entities</w:t>
      </w:r>
      <w:r w:rsidR="00C82EF8">
        <w:rPr>
          <w:b/>
          <w:sz w:val="20"/>
        </w:rPr>
        <w:t>.</w:t>
      </w:r>
      <w:r w:rsidR="00956A2E">
        <w:rPr>
          <w:b/>
          <w:sz w:val="20"/>
        </w:rPr>
        <w:t xml:space="preserve"> </w:t>
      </w:r>
      <w:proofErr w:type="gramStart"/>
      <w:r w:rsidR="00956A2E">
        <w:rPr>
          <w:b/>
          <w:sz w:val="20"/>
        </w:rPr>
        <w:t>Particular attention</w:t>
      </w:r>
      <w:proofErr w:type="gramEnd"/>
      <w:r w:rsidR="00956A2E">
        <w:rPr>
          <w:b/>
          <w:sz w:val="20"/>
        </w:rPr>
        <w:t xml:space="preserve"> will be given to the way in which the situation of girls and women with disabilities </w:t>
      </w:r>
      <w:r>
        <w:rPr>
          <w:b/>
          <w:sz w:val="20"/>
        </w:rPr>
        <w:t xml:space="preserve">is </w:t>
      </w:r>
      <w:r w:rsidR="00956A2E">
        <w:rPr>
          <w:b/>
          <w:sz w:val="20"/>
        </w:rPr>
        <w:t>being addressed</w:t>
      </w:r>
      <w:r w:rsidR="00567D6B">
        <w:rPr>
          <w:b/>
          <w:sz w:val="20"/>
        </w:rPr>
        <w:t xml:space="preserve"> and specific UN entity approaches to Leave No One Behind and how they address the rights of persons with disabilities. </w:t>
      </w:r>
    </w:p>
    <w:p w14:paraId="5A4E4F55" w14:textId="77777777" w:rsidR="00C82EF8" w:rsidRDefault="00C82EF8" w:rsidP="004E2DE3">
      <w:pPr>
        <w:spacing w:after="0" w:line="240" w:lineRule="auto"/>
        <w:jc w:val="both"/>
        <w:rPr>
          <w:b/>
          <w:sz w:val="20"/>
        </w:rPr>
      </w:pPr>
    </w:p>
    <w:p w14:paraId="09464C6B" w14:textId="77777777" w:rsidR="00C82EF8" w:rsidRDefault="00C82EF8" w:rsidP="004E2DE3">
      <w:pPr>
        <w:spacing w:after="0" w:line="240" w:lineRule="auto"/>
        <w:jc w:val="both"/>
        <w:rPr>
          <w:b/>
          <w:sz w:val="20"/>
        </w:rPr>
      </w:pPr>
      <w:r>
        <w:rPr>
          <w:b/>
          <w:sz w:val="20"/>
        </w:rPr>
        <w:t>Based on the findings from the pilot</w:t>
      </w:r>
      <w:r w:rsidR="00453C42">
        <w:rPr>
          <w:b/>
          <w:sz w:val="20"/>
        </w:rPr>
        <w:t>ing</w:t>
      </w:r>
      <w:r>
        <w:rPr>
          <w:b/>
          <w:sz w:val="20"/>
        </w:rPr>
        <w:t xml:space="preserve">, as well as feedback from relevant thematic inter-agency networks and working groups, workshops will be convened (with presence, as much as possible, of UN entities </w:t>
      </w:r>
      <w:r w:rsidR="00DB4E17">
        <w:rPr>
          <w:b/>
          <w:sz w:val="20"/>
        </w:rPr>
        <w:t xml:space="preserve">based </w:t>
      </w:r>
      <w:r w:rsidR="006D71FD">
        <w:rPr>
          <w:b/>
          <w:sz w:val="20"/>
        </w:rPr>
        <w:t>in various duty stations</w:t>
      </w:r>
      <w:r>
        <w:rPr>
          <w:b/>
          <w:sz w:val="20"/>
        </w:rPr>
        <w:t xml:space="preserve">) to present main findings of the pilot tests and </w:t>
      </w:r>
      <w:r w:rsidR="00C17E7B">
        <w:rPr>
          <w:b/>
          <w:sz w:val="20"/>
        </w:rPr>
        <w:t>finalize</w:t>
      </w:r>
      <w:r>
        <w:rPr>
          <w:b/>
          <w:sz w:val="20"/>
        </w:rPr>
        <w:t xml:space="preserve"> the </w:t>
      </w:r>
      <w:r w:rsidR="00DB4E17">
        <w:rPr>
          <w:b/>
          <w:sz w:val="20"/>
        </w:rPr>
        <w:t xml:space="preserve">draft </w:t>
      </w:r>
      <w:r>
        <w:rPr>
          <w:b/>
          <w:sz w:val="20"/>
        </w:rPr>
        <w:t>policy and accountability framework.</w:t>
      </w:r>
    </w:p>
    <w:p w14:paraId="68EE64DC" w14:textId="77777777" w:rsidR="00C82EF8" w:rsidRDefault="00C82EF8" w:rsidP="004E2DE3">
      <w:pPr>
        <w:spacing w:after="0" w:line="240" w:lineRule="auto"/>
        <w:jc w:val="both"/>
        <w:rPr>
          <w:b/>
          <w:sz w:val="20"/>
        </w:rPr>
      </w:pPr>
    </w:p>
    <w:p w14:paraId="1CA02A69" w14:textId="77777777" w:rsidR="00C82EF8" w:rsidRDefault="00C82EF8" w:rsidP="004E2DE3">
      <w:pPr>
        <w:spacing w:after="0" w:line="240" w:lineRule="auto"/>
        <w:jc w:val="both"/>
        <w:rPr>
          <w:b/>
          <w:sz w:val="20"/>
        </w:rPr>
      </w:pPr>
      <w:r>
        <w:rPr>
          <w:b/>
          <w:sz w:val="20"/>
        </w:rPr>
        <w:t>The IASG subgroup, that will have been coordinating this process, would then finalize the policy</w:t>
      </w:r>
      <w:r w:rsidR="00453C42">
        <w:rPr>
          <w:b/>
          <w:sz w:val="20"/>
        </w:rPr>
        <w:t>, action plan</w:t>
      </w:r>
      <w:r w:rsidR="00A57E65">
        <w:rPr>
          <w:b/>
          <w:sz w:val="20"/>
        </w:rPr>
        <w:t xml:space="preserve"> and accountability framework</w:t>
      </w:r>
      <w:r>
        <w:rPr>
          <w:b/>
          <w:sz w:val="20"/>
        </w:rPr>
        <w:t>.</w:t>
      </w:r>
    </w:p>
    <w:p w14:paraId="4787B37E" w14:textId="77777777" w:rsidR="006B52F5" w:rsidRDefault="006B52F5" w:rsidP="004E2DE3">
      <w:pPr>
        <w:spacing w:after="0" w:line="240" w:lineRule="auto"/>
        <w:jc w:val="both"/>
        <w:rPr>
          <w:b/>
          <w:sz w:val="20"/>
        </w:rPr>
      </w:pPr>
    </w:p>
    <w:p w14:paraId="3BFDCF33" w14:textId="563A0D7C" w:rsidR="006B52F5" w:rsidRPr="004E2DE3" w:rsidRDefault="00DA4FAE" w:rsidP="004E2DE3">
      <w:pPr>
        <w:spacing w:after="0" w:line="240" w:lineRule="auto"/>
        <w:jc w:val="both"/>
        <w:rPr>
          <w:b/>
          <w:sz w:val="20"/>
        </w:rPr>
      </w:pPr>
      <w:r>
        <w:rPr>
          <w:b/>
          <w:sz w:val="20"/>
        </w:rPr>
        <w:t>Following endorsement</w:t>
      </w:r>
      <w:r w:rsidR="006B52F5">
        <w:rPr>
          <w:b/>
          <w:sz w:val="20"/>
        </w:rPr>
        <w:t>, the policy and accountability framework jointly entitled the UN Disability Inclusion Strategy (UNDIS) will be rolled out with support from a technical unit created in the EOSG</w:t>
      </w:r>
      <w:r>
        <w:rPr>
          <w:b/>
          <w:sz w:val="20"/>
        </w:rPr>
        <w:t xml:space="preserve"> which is a </w:t>
      </w:r>
      <w:r w:rsidR="006B52F5">
        <w:rPr>
          <w:b/>
          <w:sz w:val="20"/>
        </w:rPr>
        <w:t>party to the UNPRPD MOU.</w:t>
      </w:r>
      <w:r>
        <w:rPr>
          <w:b/>
          <w:sz w:val="20"/>
        </w:rPr>
        <w:t xml:space="preserve"> The Technical Unit will be located </w:t>
      </w:r>
      <w:r w:rsidR="009121DC">
        <w:rPr>
          <w:b/>
          <w:sz w:val="20"/>
        </w:rPr>
        <w:t>for a</w:t>
      </w:r>
      <w:r w:rsidR="00C55C06">
        <w:rPr>
          <w:b/>
          <w:sz w:val="20"/>
        </w:rPr>
        <w:t>n initial</w:t>
      </w:r>
      <w:r w:rsidR="009121DC">
        <w:rPr>
          <w:b/>
          <w:sz w:val="20"/>
        </w:rPr>
        <w:t xml:space="preserve"> period of one year </w:t>
      </w:r>
      <w:r>
        <w:rPr>
          <w:b/>
          <w:sz w:val="20"/>
        </w:rPr>
        <w:t>in the EOSG to facilitate high level leadership and system wide coordination on disability inclusion.</w:t>
      </w:r>
    </w:p>
    <w:p w14:paraId="1302BCFC" w14:textId="77777777" w:rsidR="00BC4B02" w:rsidRPr="0030288D" w:rsidRDefault="006C28CF" w:rsidP="00F66AC2">
      <w:pPr>
        <w:pStyle w:val="Heading1"/>
        <w:rPr>
          <w:b w:val="0"/>
          <w:szCs w:val="24"/>
        </w:rPr>
      </w:pPr>
      <w:r>
        <w:t xml:space="preserve">3. </w:t>
      </w:r>
      <w:r w:rsidR="00BC4B02" w:rsidRPr="0030288D">
        <w:rPr>
          <w:szCs w:val="24"/>
        </w:rPr>
        <w:t>R</w:t>
      </w:r>
      <w:r w:rsidR="00A14103">
        <w:rPr>
          <w:szCs w:val="24"/>
        </w:rPr>
        <w:t>esult chain of the I</w:t>
      </w:r>
      <w:r w:rsidR="00BC4B02" w:rsidRPr="0030288D">
        <w:rPr>
          <w:szCs w:val="24"/>
        </w:rPr>
        <w:t>ntervention</w:t>
      </w:r>
    </w:p>
    <w:p w14:paraId="6B18C0C6" w14:textId="77777777" w:rsidR="00BC4B02" w:rsidRDefault="00BC4B02" w:rsidP="00BC4B02">
      <w:pPr>
        <w:spacing w:after="0" w:line="240" w:lineRule="auto"/>
        <w:rPr>
          <w:i/>
          <w:sz w:val="20"/>
        </w:rPr>
      </w:pPr>
      <w:r w:rsidRPr="00E52509">
        <w:rPr>
          <w:i/>
          <w:sz w:val="20"/>
        </w:rPr>
        <w:t xml:space="preserve">Based on the information in the previous section, provide a concise formulation of the </w:t>
      </w:r>
      <w:r>
        <w:rPr>
          <w:i/>
          <w:sz w:val="20"/>
        </w:rPr>
        <w:t>project</w:t>
      </w:r>
      <w:r w:rsidRPr="00E52509">
        <w:rPr>
          <w:i/>
          <w:sz w:val="20"/>
        </w:rPr>
        <w:t xml:space="preserve"> objectives (expected impact, intended outcomes and outputs) utilizing the table format provided below.</w:t>
      </w:r>
      <w:r w:rsidRPr="00000D4C">
        <w:rPr>
          <w:rStyle w:val="FootnoteReference"/>
          <w:b/>
          <w:color w:val="000000" w:themeColor="text1"/>
        </w:rPr>
        <w:t xml:space="preserve"> </w:t>
      </w:r>
      <w:r>
        <w:rPr>
          <w:rStyle w:val="FootnoteReference"/>
          <w:b/>
          <w:color w:val="000000" w:themeColor="text1"/>
        </w:rPr>
        <w:footnoteReference w:id="1"/>
      </w:r>
      <w:r w:rsidRPr="00E52509">
        <w:rPr>
          <w:i/>
          <w:sz w:val="20"/>
        </w:rPr>
        <w:t xml:space="preserve"> </w:t>
      </w:r>
    </w:p>
    <w:p w14:paraId="2FA852BC" w14:textId="77777777" w:rsidR="002A75AF" w:rsidRDefault="002A75AF" w:rsidP="00BC4B02">
      <w:pPr>
        <w:spacing w:after="0" w:line="240" w:lineRule="auto"/>
        <w:rPr>
          <w:i/>
          <w:sz w:val="20"/>
        </w:rPr>
      </w:pPr>
    </w:p>
    <w:p w14:paraId="677AB1DD" w14:textId="77777777" w:rsidR="00BC4B02" w:rsidRDefault="00BC4B02" w:rsidP="00340C8C">
      <w:pPr>
        <w:pStyle w:val="Heading2"/>
        <w:rPr>
          <w:color w:val="000000" w:themeColor="text1"/>
        </w:rPr>
      </w:pPr>
      <w:r>
        <w:t>Table 2</w:t>
      </w:r>
      <w:r w:rsidRPr="001362D2">
        <w:t xml:space="preserve">. Expected </w:t>
      </w:r>
      <w:r w:rsidRPr="001362D2">
        <w:rPr>
          <w:color w:val="000000" w:themeColor="text1"/>
        </w:rPr>
        <w:t>impact</w:t>
      </w:r>
    </w:p>
    <w:tbl>
      <w:tblPr>
        <w:tblStyle w:val="TableGrid"/>
        <w:tblW w:w="0" w:type="auto"/>
        <w:tblLook w:val="04A0" w:firstRow="1" w:lastRow="0" w:firstColumn="1" w:lastColumn="0" w:noHBand="0" w:noVBand="1"/>
        <w:tblCaption w:val="Expected Impact"/>
      </w:tblPr>
      <w:tblGrid>
        <w:gridCol w:w="9795"/>
      </w:tblGrid>
      <w:tr w:rsidR="00BC4B02" w14:paraId="32E9B387" w14:textId="77777777" w:rsidTr="00FB40C6">
        <w:trPr>
          <w:tblHeader/>
        </w:trPr>
        <w:tc>
          <w:tcPr>
            <w:tcW w:w="979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90654A2" w14:textId="77777777" w:rsidR="00BC4B02" w:rsidRPr="005B1267" w:rsidRDefault="007835AF" w:rsidP="002A75AF">
            <w:pPr>
              <w:spacing w:before="60" w:after="60"/>
              <w:jc w:val="both"/>
              <w:rPr>
                <w:b/>
                <w:color w:val="000000" w:themeColor="text1"/>
                <w:sz w:val="20"/>
              </w:rPr>
            </w:pPr>
            <w:r>
              <w:rPr>
                <w:b/>
                <w:color w:val="000000" w:themeColor="text1"/>
              </w:rPr>
              <w:t>Impact</w:t>
            </w:r>
          </w:p>
        </w:tc>
      </w:tr>
      <w:tr w:rsidR="00BC4B02" w14:paraId="6D626F32" w14:textId="77777777" w:rsidTr="00FB40C6">
        <w:tc>
          <w:tcPr>
            <w:tcW w:w="9795" w:type="dxa"/>
            <w:tcBorders>
              <w:top w:val="double" w:sz="4" w:space="0" w:color="auto"/>
              <w:left w:val="double" w:sz="4" w:space="0" w:color="auto"/>
              <w:bottom w:val="double" w:sz="4" w:space="0" w:color="auto"/>
              <w:right w:val="double" w:sz="4" w:space="0" w:color="auto"/>
            </w:tcBorders>
          </w:tcPr>
          <w:p w14:paraId="4A99125E" w14:textId="77777777" w:rsidR="00BC4B02" w:rsidRDefault="00956A2E" w:rsidP="003D61F7">
            <w:pPr>
              <w:rPr>
                <w:b/>
                <w:color w:val="000000" w:themeColor="text1"/>
                <w:sz w:val="20"/>
              </w:rPr>
            </w:pPr>
            <w:r>
              <w:rPr>
                <w:sz w:val="20"/>
              </w:rPr>
              <w:t xml:space="preserve">Significantly enhance capacity </w:t>
            </w:r>
            <w:r w:rsidR="00C17E7B">
              <w:rPr>
                <w:sz w:val="20"/>
              </w:rPr>
              <w:t xml:space="preserve">and coherence </w:t>
            </w:r>
            <w:r>
              <w:rPr>
                <w:sz w:val="20"/>
              </w:rPr>
              <w:t>of the UN system to support Governments, DPOs and other stakeholders to promote the rights of persons with disabilities in line with the UNCRPD and consistent with the commitment</w:t>
            </w:r>
            <w:r w:rsidR="000B08FA">
              <w:rPr>
                <w:sz w:val="20"/>
              </w:rPr>
              <w:t>s</w:t>
            </w:r>
            <w:r w:rsidR="003D61F7">
              <w:rPr>
                <w:sz w:val="20"/>
              </w:rPr>
              <w:t xml:space="preserve"> of the 2030 Agenda for Sustainable Development</w:t>
            </w:r>
            <w:r w:rsidR="00453C42">
              <w:rPr>
                <w:sz w:val="20"/>
              </w:rPr>
              <w:t xml:space="preserve"> including</w:t>
            </w:r>
            <w:r w:rsidR="003D61F7">
              <w:rPr>
                <w:sz w:val="20"/>
              </w:rPr>
              <w:t xml:space="preserve"> to ensure no one is left behind</w:t>
            </w:r>
          </w:p>
        </w:tc>
      </w:tr>
    </w:tbl>
    <w:p w14:paraId="7450C334" w14:textId="77777777" w:rsidR="00340C8C" w:rsidRPr="00BB6C6D" w:rsidRDefault="004606A3" w:rsidP="00CE4D68">
      <w:pPr>
        <w:pStyle w:val="Heading2"/>
        <w:ind w:hanging="270"/>
      </w:pPr>
      <w:r>
        <w:rPr>
          <w:sz w:val="20"/>
        </w:rPr>
        <w:tab/>
      </w:r>
      <w:r w:rsidR="00340C8C" w:rsidRPr="00BB6C6D">
        <w:t>Impact Indicators</w:t>
      </w:r>
    </w:p>
    <w:tbl>
      <w:tblPr>
        <w:tblStyle w:val="TableGrid"/>
        <w:tblW w:w="4868" w:type="pct"/>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1584"/>
        <w:gridCol w:w="1574"/>
        <w:gridCol w:w="1770"/>
        <w:gridCol w:w="2147"/>
        <w:gridCol w:w="2729"/>
      </w:tblGrid>
      <w:tr w:rsidR="00340C8C" w:rsidRPr="00BB6C6D" w14:paraId="1313E17E" w14:textId="77777777" w:rsidTr="00BB75C0">
        <w:trPr>
          <w:tblHeader/>
        </w:trPr>
        <w:tc>
          <w:tcPr>
            <w:tcW w:w="784" w:type="pct"/>
            <w:shd w:val="clear" w:color="auto" w:fill="D9D9D9" w:themeFill="background1" w:themeFillShade="D9"/>
          </w:tcPr>
          <w:p w14:paraId="595D8D69" w14:textId="77777777" w:rsidR="00340C8C" w:rsidRPr="00BB6C6D" w:rsidRDefault="00340C8C" w:rsidP="004A5E9B">
            <w:pPr>
              <w:pStyle w:val="ListParagraph"/>
              <w:spacing w:before="100" w:beforeAutospacing="1" w:after="240"/>
              <w:ind w:left="0"/>
              <w:jc w:val="both"/>
              <w:rPr>
                <w:b/>
                <w:sz w:val="20"/>
              </w:rPr>
            </w:pPr>
            <w:r w:rsidRPr="00BB6C6D">
              <w:rPr>
                <w:b/>
                <w:sz w:val="20"/>
              </w:rPr>
              <w:t>Indicator*</w:t>
            </w:r>
            <w:r w:rsidR="00975D83">
              <w:rPr>
                <w:rStyle w:val="FootnoteReference"/>
                <w:b/>
                <w:sz w:val="20"/>
              </w:rPr>
              <w:footnoteReference w:id="2"/>
            </w:r>
          </w:p>
        </w:tc>
        <w:tc>
          <w:tcPr>
            <w:tcW w:w="748" w:type="pct"/>
            <w:shd w:val="clear" w:color="auto" w:fill="D9D9D9" w:themeFill="background1" w:themeFillShade="D9"/>
          </w:tcPr>
          <w:p w14:paraId="7506E828" w14:textId="77777777" w:rsidR="00340C8C" w:rsidRPr="00BB6C6D" w:rsidRDefault="00340C8C" w:rsidP="004A5E9B">
            <w:pPr>
              <w:jc w:val="both"/>
              <w:rPr>
                <w:b/>
                <w:sz w:val="20"/>
              </w:rPr>
            </w:pPr>
            <w:r w:rsidRPr="00BB6C6D">
              <w:rPr>
                <w:b/>
                <w:sz w:val="20"/>
              </w:rPr>
              <w:t xml:space="preserve">Start level </w:t>
            </w:r>
          </w:p>
          <w:p w14:paraId="25053FC4" w14:textId="77777777" w:rsidR="00340C8C" w:rsidRPr="00BB6C6D" w:rsidRDefault="00340C8C" w:rsidP="004A5E9B">
            <w:pPr>
              <w:jc w:val="both"/>
              <w:rPr>
                <w:sz w:val="20"/>
              </w:rPr>
            </w:pPr>
            <w:r w:rsidRPr="00BB6C6D">
              <w:rPr>
                <w:sz w:val="20"/>
              </w:rPr>
              <w:t>(Beginning o</w:t>
            </w:r>
            <w:r w:rsidR="004A5E9B">
              <w:rPr>
                <w:sz w:val="20"/>
              </w:rPr>
              <w:t>f the project reporting period)</w:t>
            </w:r>
          </w:p>
        </w:tc>
        <w:tc>
          <w:tcPr>
            <w:tcW w:w="929" w:type="pct"/>
            <w:shd w:val="clear" w:color="auto" w:fill="D9D9D9" w:themeFill="background1" w:themeFillShade="D9"/>
          </w:tcPr>
          <w:p w14:paraId="556C1825" w14:textId="77777777" w:rsidR="00340C8C" w:rsidRPr="00BB6C6D" w:rsidRDefault="00340C8C" w:rsidP="004A5E9B">
            <w:pPr>
              <w:pStyle w:val="ListParagraph"/>
              <w:spacing w:before="60" w:after="60"/>
              <w:ind w:left="0"/>
              <w:contextualSpacing w:val="0"/>
              <w:rPr>
                <w:b/>
                <w:sz w:val="20"/>
              </w:rPr>
            </w:pPr>
            <w:r>
              <w:rPr>
                <w:b/>
                <w:sz w:val="20"/>
              </w:rPr>
              <w:t>Target</w:t>
            </w:r>
          </w:p>
        </w:tc>
        <w:tc>
          <w:tcPr>
            <w:tcW w:w="1121" w:type="pct"/>
            <w:shd w:val="clear" w:color="auto" w:fill="D9D9D9" w:themeFill="background1" w:themeFillShade="D9"/>
          </w:tcPr>
          <w:p w14:paraId="2EE72A65" w14:textId="77777777" w:rsidR="00340C8C" w:rsidRPr="00BB6C6D" w:rsidRDefault="00340C8C" w:rsidP="004A5E9B">
            <w:pPr>
              <w:pStyle w:val="ListParagraph"/>
              <w:spacing w:before="60" w:after="60"/>
              <w:ind w:left="0"/>
              <w:contextualSpacing w:val="0"/>
              <w:rPr>
                <w:b/>
                <w:sz w:val="20"/>
              </w:rPr>
            </w:pPr>
            <w:r w:rsidRPr="00BB6C6D">
              <w:rPr>
                <w:b/>
                <w:sz w:val="20"/>
              </w:rPr>
              <w:t xml:space="preserve">End level </w:t>
            </w:r>
          </w:p>
          <w:p w14:paraId="75522E31" w14:textId="77777777" w:rsidR="00340C8C" w:rsidRPr="00BB6C6D" w:rsidRDefault="00340C8C" w:rsidP="004A5E9B">
            <w:pPr>
              <w:pStyle w:val="ListParagraph"/>
              <w:spacing w:before="100" w:beforeAutospacing="1" w:after="240"/>
              <w:ind w:left="0"/>
              <w:jc w:val="both"/>
              <w:rPr>
                <w:b/>
                <w:sz w:val="20"/>
              </w:rPr>
            </w:pPr>
            <w:r w:rsidRPr="00BB6C6D">
              <w:rPr>
                <w:sz w:val="20"/>
              </w:rPr>
              <w:t>(End of the project reporting period)</w:t>
            </w:r>
          </w:p>
        </w:tc>
        <w:tc>
          <w:tcPr>
            <w:tcW w:w="1418" w:type="pct"/>
            <w:shd w:val="clear" w:color="auto" w:fill="D9D9D9" w:themeFill="background1" w:themeFillShade="D9"/>
          </w:tcPr>
          <w:p w14:paraId="6CC31545" w14:textId="77777777" w:rsidR="00340C8C" w:rsidRPr="00BB6C6D" w:rsidRDefault="00340C8C" w:rsidP="004A5E9B">
            <w:pPr>
              <w:pStyle w:val="ListParagraph"/>
              <w:spacing w:before="60" w:after="60"/>
              <w:ind w:left="0"/>
              <w:contextualSpacing w:val="0"/>
              <w:rPr>
                <w:b/>
                <w:sz w:val="20"/>
              </w:rPr>
            </w:pPr>
            <w:r>
              <w:rPr>
                <w:b/>
                <w:sz w:val="20"/>
              </w:rPr>
              <w:t>Means of Verification</w:t>
            </w:r>
          </w:p>
        </w:tc>
      </w:tr>
      <w:tr w:rsidR="00340C8C" w:rsidRPr="00BB6C6D" w14:paraId="60B20B57" w14:textId="77777777" w:rsidTr="00BB75C0">
        <w:tc>
          <w:tcPr>
            <w:tcW w:w="784" w:type="pct"/>
          </w:tcPr>
          <w:p w14:paraId="7CBE6820" w14:textId="77777777" w:rsidR="00BB75C0" w:rsidRPr="00BB6C6D" w:rsidRDefault="00BB75C0" w:rsidP="004A5E9B">
            <w:r>
              <w:rPr>
                <w:sz w:val="20"/>
              </w:rPr>
              <w:t xml:space="preserve">Number of UN entities with a disability-specific </w:t>
            </w:r>
            <w:r w:rsidR="006615BE">
              <w:rPr>
                <w:sz w:val="20"/>
              </w:rPr>
              <w:t>policy</w:t>
            </w:r>
            <w:r w:rsidR="006615BE">
              <w:rPr>
                <w:rStyle w:val="CommentReference"/>
              </w:rPr>
              <w:t xml:space="preserve"> </w:t>
            </w:r>
            <w:r w:rsidR="006615BE">
              <w:rPr>
                <w:sz w:val="20"/>
              </w:rPr>
              <w:t>or</w:t>
            </w:r>
            <w:r w:rsidR="00570D33">
              <w:rPr>
                <w:sz w:val="20"/>
              </w:rPr>
              <w:t xml:space="preserve"> disability inclusive polic</w:t>
            </w:r>
            <w:r w:rsidR="00FE31E9">
              <w:rPr>
                <w:sz w:val="20"/>
              </w:rPr>
              <w:t>ies</w:t>
            </w:r>
          </w:p>
        </w:tc>
        <w:tc>
          <w:tcPr>
            <w:tcW w:w="748" w:type="pct"/>
          </w:tcPr>
          <w:p w14:paraId="2FAD8D29" w14:textId="77777777" w:rsidR="00340C8C" w:rsidRPr="00BB6C6D" w:rsidRDefault="00F55790" w:rsidP="004A5E9B">
            <w:r>
              <w:rPr>
                <w:sz w:val="20"/>
              </w:rPr>
              <w:t>To be determined by the findings of the institutional review</w:t>
            </w:r>
          </w:p>
        </w:tc>
        <w:tc>
          <w:tcPr>
            <w:tcW w:w="929" w:type="pct"/>
          </w:tcPr>
          <w:p w14:paraId="300D2959" w14:textId="77777777" w:rsidR="00340C8C" w:rsidRPr="00BB6C6D" w:rsidRDefault="00F55790" w:rsidP="004A5E9B">
            <w:pPr>
              <w:rPr>
                <w:sz w:val="20"/>
              </w:rPr>
            </w:pPr>
            <w:r>
              <w:rPr>
                <w:sz w:val="20"/>
              </w:rPr>
              <w:t>To be determined based on the starting level</w:t>
            </w:r>
          </w:p>
        </w:tc>
        <w:tc>
          <w:tcPr>
            <w:tcW w:w="1121" w:type="pct"/>
          </w:tcPr>
          <w:p w14:paraId="03F811CE" w14:textId="77777777" w:rsidR="00340C8C" w:rsidRPr="00BB6C6D" w:rsidRDefault="00340C8C" w:rsidP="004A5E9B">
            <w:r w:rsidRPr="00BB6C6D">
              <w:rPr>
                <w:sz w:val="20"/>
              </w:rPr>
              <w:t>[…]</w:t>
            </w:r>
          </w:p>
        </w:tc>
        <w:tc>
          <w:tcPr>
            <w:tcW w:w="1418" w:type="pct"/>
          </w:tcPr>
          <w:p w14:paraId="5ECFB079" w14:textId="77777777" w:rsidR="00340C8C" w:rsidRPr="00BB6C6D" w:rsidRDefault="006D71FD" w:rsidP="006D71FD">
            <w:pPr>
              <w:rPr>
                <w:sz w:val="20"/>
              </w:rPr>
            </w:pPr>
            <w:r>
              <w:rPr>
                <w:sz w:val="20"/>
              </w:rPr>
              <w:t>SWAP Accountability framework</w:t>
            </w:r>
          </w:p>
        </w:tc>
      </w:tr>
      <w:tr w:rsidR="00BB75C0" w:rsidRPr="00BB6C6D" w14:paraId="26E4D032" w14:textId="77777777" w:rsidTr="00BB75C0">
        <w:tc>
          <w:tcPr>
            <w:tcW w:w="784" w:type="pct"/>
          </w:tcPr>
          <w:p w14:paraId="2969EC56" w14:textId="77777777" w:rsidR="00BB75C0" w:rsidRDefault="00BB75C0" w:rsidP="00BB75C0">
            <w:pPr>
              <w:rPr>
                <w:sz w:val="20"/>
              </w:rPr>
            </w:pPr>
            <w:r>
              <w:rPr>
                <w:sz w:val="20"/>
              </w:rPr>
              <w:t>Number of UN entitie</w:t>
            </w:r>
            <w:r w:rsidR="00C43F5D">
              <w:rPr>
                <w:sz w:val="20"/>
              </w:rPr>
              <w:t>s with disability incorporated i</w:t>
            </w:r>
            <w:r>
              <w:rPr>
                <w:sz w:val="20"/>
              </w:rPr>
              <w:t>nto broader strategic plans and governance documents</w:t>
            </w:r>
          </w:p>
        </w:tc>
        <w:tc>
          <w:tcPr>
            <w:tcW w:w="748" w:type="pct"/>
          </w:tcPr>
          <w:p w14:paraId="5F9C7003" w14:textId="77777777" w:rsidR="00BB75C0" w:rsidRDefault="00BB75C0" w:rsidP="00BB75C0">
            <w:pPr>
              <w:rPr>
                <w:sz w:val="20"/>
              </w:rPr>
            </w:pPr>
            <w:r>
              <w:rPr>
                <w:sz w:val="20"/>
              </w:rPr>
              <w:t>To be determined by the findings of the institutional review</w:t>
            </w:r>
          </w:p>
        </w:tc>
        <w:tc>
          <w:tcPr>
            <w:tcW w:w="929" w:type="pct"/>
          </w:tcPr>
          <w:p w14:paraId="0F821BF4" w14:textId="77777777" w:rsidR="00BB75C0" w:rsidRDefault="00BB75C0" w:rsidP="00BB75C0">
            <w:pPr>
              <w:rPr>
                <w:sz w:val="20"/>
              </w:rPr>
            </w:pPr>
            <w:r>
              <w:rPr>
                <w:sz w:val="20"/>
              </w:rPr>
              <w:t>To be determined based on the starting level</w:t>
            </w:r>
          </w:p>
        </w:tc>
        <w:tc>
          <w:tcPr>
            <w:tcW w:w="1121" w:type="pct"/>
          </w:tcPr>
          <w:p w14:paraId="0D771298" w14:textId="77777777" w:rsidR="00BB75C0" w:rsidRPr="00BB6C6D" w:rsidRDefault="00975D83" w:rsidP="00BB75C0">
            <w:pPr>
              <w:rPr>
                <w:sz w:val="20"/>
              </w:rPr>
            </w:pPr>
            <w:r w:rsidRPr="00975D83">
              <w:rPr>
                <w:sz w:val="20"/>
              </w:rPr>
              <w:t>[…]</w:t>
            </w:r>
          </w:p>
        </w:tc>
        <w:tc>
          <w:tcPr>
            <w:tcW w:w="1418" w:type="pct"/>
          </w:tcPr>
          <w:p w14:paraId="2C11187A" w14:textId="77777777" w:rsidR="00BB75C0" w:rsidRPr="00BB6C6D" w:rsidRDefault="006D71FD" w:rsidP="00BB75C0">
            <w:pPr>
              <w:rPr>
                <w:sz w:val="20"/>
              </w:rPr>
            </w:pPr>
            <w:r>
              <w:rPr>
                <w:sz w:val="20"/>
              </w:rPr>
              <w:t>SWAP Accountability framework</w:t>
            </w:r>
          </w:p>
        </w:tc>
      </w:tr>
      <w:tr w:rsidR="00BB75C0" w:rsidRPr="00BB6C6D" w14:paraId="7AF2D1B4" w14:textId="77777777" w:rsidTr="00BB75C0">
        <w:tc>
          <w:tcPr>
            <w:tcW w:w="784" w:type="pct"/>
          </w:tcPr>
          <w:p w14:paraId="3313D9C5" w14:textId="77777777" w:rsidR="00BB75C0" w:rsidRDefault="00BB75C0" w:rsidP="00BB75C0">
            <w:pPr>
              <w:rPr>
                <w:sz w:val="20"/>
              </w:rPr>
            </w:pPr>
            <w:r>
              <w:rPr>
                <w:sz w:val="20"/>
              </w:rPr>
              <w:t>Number of UN entities with disability-specific programming</w:t>
            </w:r>
          </w:p>
        </w:tc>
        <w:tc>
          <w:tcPr>
            <w:tcW w:w="748" w:type="pct"/>
          </w:tcPr>
          <w:p w14:paraId="1B96189C" w14:textId="77777777" w:rsidR="00BB75C0" w:rsidRDefault="00BB75C0" w:rsidP="00BB75C0">
            <w:pPr>
              <w:rPr>
                <w:sz w:val="20"/>
              </w:rPr>
            </w:pPr>
            <w:r>
              <w:rPr>
                <w:sz w:val="20"/>
              </w:rPr>
              <w:t>To be determined by the findings of the institutional review</w:t>
            </w:r>
          </w:p>
        </w:tc>
        <w:tc>
          <w:tcPr>
            <w:tcW w:w="929" w:type="pct"/>
          </w:tcPr>
          <w:p w14:paraId="683ADB6E" w14:textId="77777777" w:rsidR="00BB75C0" w:rsidRDefault="00BB75C0" w:rsidP="00BB75C0">
            <w:pPr>
              <w:rPr>
                <w:sz w:val="20"/>
              </w:rPr>
            </w:pPr>
            <w:r>
              <w:rPr>
                <w:sz w:val="20"/>
              </w:rPr>
              <w:t>To be determined based on the starting level</w:t>
            </w:r>
          </w:p>
        </w:tc>
        <w:tc>
          <w:tcPr>
            <w:tcW w:w="1121" w:type="pct"/>
          </w:tcPr>
          <w:p w14:paraId="35010518" w14:textId="77777777" w:rsidR="00BB75C0" w:rsidRPr="00BB6C6D" w:rsidRDefault="00975D83" w:rsidP="00BB75C0">
            <w:pPr>
              <w:rPr>
                <w:sz w:val="20"/>
              </w:rPr>
            </w:pPr>
            <w:r w:rsidRPr="00975D83">
              <w:rPr>
                <w:sz w:val="20"/>
              </w:rPr>
              <w:t>[…]</w:t>
            </w:r>
          </w:p>
        </w:tc>
        <w:tc>
          <w:tcPr>
            <w:tcW w:w="1418" w:type="pct"/>
          </w:tcPr>
          <w:p w14:paraId="032D4669" w14:textId="77777777" w:rsidR="00BB75C0" w:rsidRPr="00BB6C6D" w:rsidRDefault="006D71FD" w:rsidP="00BB75C0">
            <w:pPr>
              <w:rPr>
                <w:sz w:val="20"/>
              </w:rPr>
            </w:pPr>
            <w:r>
              <w:rPr>
                <w:sz w:val="20"/>
              </w:rPr>
              <w:t>SWAP Accountability framework</w:t>
            </w:r>
          </w:p>
        </w:tc>
      </w:tr>
      <w:tr w:rsidR="00BB75C0" w:rsidRPr="00BB6C6D" w14:paraId="5A35CA7F" w14:textId="77777777" w:rsidTr="00BB75C0">
        <w:tc>
          <w:tcPr>
            <w:tcW w:w="784" w:type="pct"/>
          </w:tcPr>
          <w:p w14:paraId="5063E2FF" w14:textId="77777777" w:rsidR="00BB75C0" w:rsidRDefault="00BB75C0" w:rsidP="00BB75C0">
            <w:pPr>
              <w:rPr>
                <w:sz w:val="20"/>
              </w:rPr>
            </w:pPr>
            <w:r>
              <w:rPr>
                <w:sz w:val="20"/>
              </w:rPr>
              <w:t xml:space="preserve">Number of UN entities in which disability </w:t>
            </w:r>
            <w:r w:rsidR="00703924">
              <w:rPr>
                <w:sz w:val="20"/>
              </w:rPr>
              <w:t>is mainstreamed</w:t>
            </w:r>
            <w:r>
              <w:rPr>
                <w:sz w:val="20"/>
              </w:rPr>
              <w:t xml:space="preserve"> in programming</w:t>
            </w:r>
          </w:p>
        </w:tc>
        <w:tc>
          <w:tcPr>
            <w:tcW w:w="748" w:type="pct"/>
          </w:tcPr>
          <w:p w14:paraId="2308441A" w14:textId="77777777" w:rsidR="00BB75C0" w:rsidRDefault="00BB75C0" w:rsidP="00BB75C0">
            <w:pPr>
              <w:rPr>
                <w:sz w:val="20"/>
              </w:rPr>
            </w:pPr>
            <w:r>
              <w:rPr>
                <w:sz w:val="20"/>
              </w:rPr>
              <w:t>To be determined by the findings of the institutional review</w:t>
            </w:r>
          </w:p>
        </w:tc>
        <w:tc>
          <w:tcPr>
            <w:tcW w:w="929" w:type="pct"/>
          </w:tcPr>
          <w:p w14:paraId="0F296FC4" w14:textId="77777777" w:rsidR="00BB75C0" w:rsidRDefault="00BB75C0" w:rsidP="00BB75C0">
            <w:pPr>
              <w:rPr>
                <w:sz w:val="20"/>
              </w:rPr>
            </w:pPr>
            <w:r>
              <w:rPr>
                <w:sz w:val="20"/>
              </w:rPr>
              <w:t>To be determined based on the starting level</w:t>
            </w:r>
          </w:p>
        </w:tc>
        <w:tc>
          <w:tcPr>
            <w:tcW w:w="1121" w:type="pct"/>
          </w:tcPr>
          <w:p w14:paraId="43B16F45" w14:textId="77777777" w:rsidR="00BB75C0" w:rsidRPr="00BB6C6D" w:rsidRDefault="00975D83" w:rsidP="00BB75C0">
            <w:pPr>
              <w:rPr>
                <w:sz w:val="20"/>
              </w:rPr>
            </w:pPr>
            <w:r w:rsidRPr="00975D83">
              <w:rPr>
                <w:sz w:val="20"/>
              </w:rPr>
              <w:t>[…]</w:t>
            </w:r>
          </w:p>
        </w:tc>
        <w:tc>
          <w:tcPr>
            <w:tcW w:w="1418" w:type="pct"/>
          </w:tcPr>
          <w:p w14:paraId="09068555" w14:textId="77777777" w:rsidR="00BB75C0" w:rsidRPr="00BB6C6D" w:rsidRDefault="006D71FD" w:rsidP="00BB75C0">
            <w:pPr>
              <w:rPr>
                <w:sz w:val="20"/>
              </w:rPr>
            </w:pPr>
            <w:r>
              <w:rPr>
                <w:sz w:val="20"/>
              </w:rPr>
              <w:t>SWAP Accountability framework</w:t>
            </w:r>
          </w:p>
        </w:tc>
      </w:tr>
      <w:tr w:rsidR="00BB75C0" w:rsidRPr="00BB6C6D" w14:paraId="24E440E9" w14:textId="77777777" w:rsidTr="00BB75C0">
        <w:tc>
          <w:tcPr>
            <w:tcW w:w="784" w:type="pct"/>
          </w:tcPr>
          <w:p w14:paraId="5CA641F4" w14:textId="77777777" w:rsidR="00BB75C0" w:rsidRDefault="00BB75C0" w:rsidP="00BB75C0">
            <w:pPr>
              <w:rPr>
                <w:sz w:val="20"/>
              </w:rPr>
            </w:pPr>
            <w:r>
              <w:rPr>
                <w:sz w:val="20"/>
              </w:rPr>
              <w:t>Number of UN entities that conduct consultations with DPOs and disability-focused NGOs</w:t>
            </w:r>
          </w:p>
        </w:tc>
        <w:tc>
          <w:tcPr>
            <w:tcW w:w="748" w:type="pct"/>
          </w:tcPr>
          <w:p w14:paraId="713D02FB" w14:textId="77777777" w:rsidR="00BB75C0" w:rsidRDefault="00BB75C0" w:rsidP="00BB75C0">
            <w:pPr>
              <w:rPr>
                <w:sz w:val="20"/>
              </w:rPr>
            </w:pPr>
            <w:r>
              <w:rPr>
                <w:sz w:val="20"/>
              </w:rPr>
              <w:t>To be determined by the findings of the institutional review</w:t>
            </w:r>
          </w:p>
        </w:tc>
        <w:tc>
          <w:tcPr>
            <w:tcW w:w="929" w:type="pct"/>
          </w:tcPr>
          <w:p w14:paraId="4CA8531D" w14:textId="77777777" w:rsidR="00BB75C0" w:rsidRDefault="00BB75C0" w:rsidP="00BB75C0">
            <w:pPr>
              <w:rPr>
                <w:sz w:val="20"/>
              </w:rPr>
            </w:pPr>
            <w:r>
              <w:rPr>
                <w:sz w:val="20"/>
              </w:rPr>
              <w:t>To be determined based on the starting level</w:t>
            </w:r>
          </w:p>
        </w:tc>
        <w:tc>
          <w:tcPr>
            <w:tcW w:w="1121" w:type="pct"/>
          </w:tcPr>
          <w:p w14:paraId="70896A28" w14:textId="77777777" w:rsidR="00BB75C0" w:rsidRPr="00BB6C6D" w:rsidRDefault="00975D83" w:rsidP="00BB75C0">
            <w:pPr>
              <w:rPr>
                <w:sz w:val="20"/>
              </w:rPr>
            </w:pPr>
            <w:r w:rsidRPr="00975D83">
              <w:rPr>
                <w:sz w:val="20"/>
              </w:rPr>
              <w:t>[…]</w:t>
            </w:r>
          </w:p>
        </w:tc>
        <w:tc>
          <w:tcPr>
            <w:tcW w:w="1418" w:type="pct"/>
          </w:tcPr>
          <w:p w14:paraId="62BA6C93" w14:textId="77777777" w:rsidR="00BB75C0" w:rsidRPr="00BB6C6D" w:rsidRDefault="006D71FD" w:rsidP="00BB75C0">
            <w:pPr>
              <w:rPr>
                <w:sz w:val="20"/>
              </w:rPr>
            </w:pPr>
            <w:r>
              <w:rPr>
                <w:sz w:val="20"/>
              </w:rPr>
              <w:t>SWAP Accountability framework</w:t>
            </w:r>
          </w:p>
        </w:tc>
      </w:tr>
      <w:tr w:rsidR="00BB75C0" w:rsidRPr="00BB6C6D" w14:paraId="11A78CFA" w14:textId="77777777" w:rsidTr="00BB75C0">
        <w:tc>
          <w:tcPr>
            <w:tcW w:w="784" w:type="pct"/>
          </w:tcPr>
          <w:p w14:paraId="639AE7A2" w14:textId="77777777" w:rsidR="00BB75C0" w:rsidRDefault="00BB75C0" w:rsidP="00BB75C0">
            <w:pPr>
              <w:rPr>
                <w:sz w:val="20"/>
              </w:rPr>
            </w:pPr>
            <w:r>
              <w:rPr>
                <w:sz w:val="20"/>
              </w:rPr>
              <w:t>Number of UN entities that ensure effective participation of persons with disabilities in projects</w:t>
            </w:r>
            <w:r w:rsidR="00703924">
              <w:rPr>
                <w:sz w:val="20"/>
              </w:rPr>
              <w:t>, including women and girls with disabilities</w:t>
            </w:r>
            <w:r>
              <w:rPr>
                <w:sz w:val="20"/>
              </w:rPr>
              <w:t xml:space="preserve"> (e.g. accessible information, communication, premises; combatting stigma and attitudinal barriers</w:t>
            </w:r>
            <w:r w:rsidR="00062B5E">
              <w:rPr>
                <w:sz w:val="20"/>
              </w:rPr>
              <w:t>, as partners in project planning and implementation</w:t>
            </w:r>
            <w:r>
              <w:rPr>
                <w:sz w:val="20"/>
              </w:rPr>
              <w:t>)</w:t>
            </w:r>
          </w:p>
        </w:tc>
        <w:tc>
          <w:tcPr>
            <w:tcW w:w="748" w:type="pct"/>
          </w:tcPr>
          <w:p w14:paraId="48B52C82" w14:textId="77777777" w:rsidR="00BB75C0" w:rsidRDefault="00BB75C0" w:rsidP="00BB75C0">
            <w:pPr>
              <w:rPr>
                <w:sz w:val="20"/>
              </w:rPr>
            </w:pPr>
            <w:r>
              <w:rPr>
                <w:sz w:val="20"/>
              </w:rPr>
              <w:t>To be determined by the findings of the institutional review</w:t>
            </w:r>
          </w:p>
        </w:tc>
        <w:tc>
          <w:tcPr>
            <w:tcW w:w="929" w:type="pct"/>
          </w:tcPr>
          <w:p w14:paraId="69795E53" w14:textId="77777777" w:rsidR="00BB75C0" w:rsidRDefault="00BB75C0" w:rsidP="00BB75C0">
            <w:pPr>
              <w:rPr>
                <w:sz w:val="20"/>
              </w:rPr>
            </w:pPr>
            <w:r>
              <w:rPr>
                <w:sz w:val="20"/>
              </w:rPr>
              <w:t>To be determined based on the starting level</w:t>
            </w:r>
          </w:p>
        </w:tc>
        <w:tc>
          <w:tcPr>
            <w:tcW w:w="1121" w:type="pct"/>
          </w:tcPr>
          <w:p w14:paraId="702493F4" w14:textId="77777777" w:rsidR="00BB75C0" w:rsidRPr="00BB6C6D" w:rsidRDefault="00975D83" w:rsidP="00BB75C0">
            <w:pPr>
              <w:rPr>
                <w:sz w:val="20"/>
              </w:rPr>
            </w:pPr>
            <w:r w:rsidRPr="00975D83">
              <w:rPr>
                <w:sz w:val="20"/>
              </w:rPr>
              <w:t>[…]</w:t>
            </w:r>
          </w:p>
        </w:tc>
        <w:tc>
          <w:tcPr>
            <w:tcW w:w="1418" w:type="pct"/>
          </w:tcPr>
          <w:p w14:paraId="464CF6DE" w14:textId="77777777" w:rsidR="00BB75C0" w:rsidRPr="00BB6C6D" w:rsidRDefault="006D71FD" w:rsidP="00BB75C0">
            <w:pPr>
              <w:rPr>
                <w:sz w:val="20"/>
              </w:rPr>
            </w:pPr>
            <w:r>
              <w:rPr>
                <w:sz w:val="20"/>
              </w:rPr>
              <w:t>SWAP Accountability framework</w:t>
            </w:r>
          </w:p>
        </w:tc>
      </w:tr>
      <w:tr w:rsidR="006948A0" w:rsidRPr="00BB6C6D" w14:paraId="33B40290" w14:textId="77777777" w:rsidTr="00BB75C0">
        <w:tc>
          <w:tcPr>
            <w:tcW w:w="784" w:type="pct"/>
          </w:tcPr>
          <w:p w14:paraId="63D7FCA1" w14:textId="77777777" w:rsidR="006948A0" w:rsidRDefault="006948A0" w:rsidP="00BB75C0">
            <w:pPr>
              <w:rPr>
                <w:sz w:val="20"/>
              </w:rPr>
            </w:pPr>
            <w:r>
              <w:rPr>
                <w:sz w:val="20"/>
              </w:rPr>
              <w:t xml:space="preserve">Number of UNCTs engaged in joint actions such as joint </w:t>
            </w:r>
            <w:proofErr w:type="spellStart"/>
            <w:r>
              <w:rPr>
                <w:sz w:val="20"/>
              </w:rPr>
              <w:t>programmes</w:t>
            </w:r>
            <w:proofErr w:type="spellEnd"/>
            <w:r>
              <w:rPr>
                <w:sz w:val="20"/>
              </w:rPr>
              <w:t xml:space="preserve"> focused on or including the rights of persons with disabilities</w:t>
            </w:r>
          </w:p>
        </w:tc>
        <w:tc>
          <w:tcPr>
            <w:tcW w:w="748" w:type="pct"/>
          </w:tcPr>
          <w:p w14:paraId="700393F6" w14:textId="77777777" w:rsidR="006948A0" w:rsidRDefault="00827064" w:rsidP="00BB75C0">
            <w:pPr>
              <w:rPr>
                <w:sz w:val="20"/>
              </w:rPr>
            </w:pPr>
            <w:r>
              <w:rPr>
                <w:sz w:val="20"/>
              </w:rPr>
              <w:t>38</w:t>
            </w:r>
            <w:r w:rsidR="00700CAE">
              <w:rPr>
                <w:sz w:val="20"/>
              </w:rPr>
              <w:t xml:space="preserve"> UNCT</w:t>
            </w:r>
            <w:r>
              <w:rPr>
                <w:sz w:val="20"/>
              </w:rPr>
              <w:t xml:space="preserve"> have been</w:t>
            </w:r>
            <w:r w:rsidR="00700CAE">
              <w:rPr>
                <w:sz w:val="20"/>
              </w:rPr>
              <w:t xml:space="preserve"> engaged in</w:t>
            </w:r>
            <w:r>
              <w:rPr>
                <w:sz w:val="20"/>
              </w:rPr>
              <w:t xml:space="preserve">/supported to undertake </w:t>
            </w:r>
            <w:r w:rsidR="00700CAE">
              <w:rPr>
                <w:sz w:val="20"/>
              </w:rPr>
              <w:t xml:space="preserve">UNPRPD joint </w:t>
            </w:r>
            <w:proofErr w:type="spellStart"/>
            <w:r w:rsidR="00700CAE">
              <w:rPr>
                <w:sz w:val="20"/>
              </w:rPr>
              <w:t>programmes</w:t>
            </w:r>
            <w:proofErr w:type="spellEnd"/>
            <w:r w:rsidR="00700CAE">
              <w:rPr>
                <w:sz w:val="20"/>
              </w:rPr>
              <w:t xml:space="preserve"> on CRPD implementation.</w:t>
            </w:r>
          </w:p>
          <w:p w14:paraId="54503EA6" w14:textId="77777777" w:rsidR="00700CAE" w:rsidRDefault="00700CAE" w:rsidP="00BB75C0">
            <w:pPr>
              <w:rPr>
                <w:sz w:val="20"/>
              </w:rPr>
            </w:pPr>
          </w:p>
        </w:tc>
        <w:tc>
          <w:tcPr>
            <w:tcW w:w="929" w:type="pct"/>
          </w:tcPr>
          <w:p w14:paraId="258050EE" w14:textId="77777777" w:rsidR="006948A0" w:rsidRDefault="00B22C8E" w:rsidP="00BB75C0">
            <w:pPr>
              <w:rPr>
                <w:sz w:val="20"/>
              </w:rPr>
            </w:pPr>
            <w:r>
              <w:rPr>
                <w:sz w:val="20"/>
              </w:rPr>
              <w:t>.</w:t>
            </w:r>
          </w:p>
        </w:tc>
        <w:tc>
          <w:tcPr>
            <w:tcW w:w="1121" w:type="pct"/>
          </w:tcPr>
          <w:p w14:paraId="46AD8025" w14:textId="77777777" w:rsidR="006948A0" w:rsidRPr="00975D83" w:rsidRDefault="006948A0" w:rsidP="00BB75C0">
            <w:pPr>
              <w:rPr>
                <w:sz w:val="20"/>
              </w:rPr>
            </w:pPr>
          </w:p>
        </w:tc>
        <w:tc>
          <w:tcPr>
            <w:tcW w:w="1418" w:type="pct"/>
          </w:tcPr>
          <w:p w14:paraId="0919E270" w14:textId="77777777" w:rsidR="006948A0" w:rsidRDefault="008F4E45" w:rsidP="00BB75C0">
            <w:pPr>
              <w:rPr>
                <w:sz w:val="20"/>
              </w:rPr>
            </w:pPr>
            <w:r>
              <w:rPr>
                <w:sz w:val="20"/>
              </w:rPr>
              <w:t>MPTF Gateway</w:t>
            </w:r>
          </w:p>
          <w:p w14:paraId="411091BE" w14:textId="77777777" w:rsidR="008F4E45" w:rsidRDefault="00FB15C7" w:rsidP="00BB75C0">
            <w:pPr>
              <w:rPr>
                <w:sz w:val="20"/>
              </w:rPr>
            </w:pPr>
            <w:r>
              <w:rPr>
                <w:sz w:val="20"/>
              </w:rPr>
              <w:t>UNDAF</w:t>
            </w:r>
            <w:r w:rsidR="002324CA">
              <w:rPr>
                <w:sz w:val="20"/>
              </w:rPr>
              <w:t>s’</w:t>
            </w:r>
            <w:r>
              <w:rPr>
                <w:sz w:val="20"/>
              </w:rPr>
              <w:t xml:space="preserve"> </w:t>
            </w:r>
            <w:r w:rsidR="0060542C">
              <w:rPr>
                <w:sz w:val="20"/>
              </w:rPr>
              <w:t>desk review/SWAP accountability framework</w:t>
            </w:r>
          </w:p>
        </w:tc>
      </w:tr>
    </w:tbl>
    <w:p w14:paraId="1BD30E4E" w14:textId="77777777" w:rsidR="00340C8C" w:rsidRPr="00BB6C6D" w:rsidRDefault="00340C8C" w:rsidP="00340C8C">
      <w:pPr>
        <w:pStyle w:val="Heading2"/>
      </w:pPr>
      <w:r w:rsidRPr="00BB6C6D">
        <w:t>Table 2. Variation</w:t>
      </w:r>
      <w:r w:rsidR="00A92E2E">
        <w:t>s</w:t>
      </w:r>
      <w:r w:rsidRPr="00BB6C6D">
        <w:t xml:space="preserve"> in outcome indicators </w:t>
      </w:r>
    </w:p>
    <w:p w14:paraId="0AD87E76" w14:textId="77777777" w:rsidR="00340C8C" w:rsidRPr="00BB6C6D" w:rsidRDefault="00340C8C" w:rsidP="004A5E9B">
      <w:r w:rsidRPr="00BB6C6D">
        <w:rPr>
          <w:i/>
          <w:sz w:val="20"/>
          <w:szCs w:val="20"/>
        </w:rPr>
        <w:t>(A</w:t>
      </w:r>
      <w:r w:rsidRPr="00BB6C6D">
        <w:rPr>
          <w:i/>
          <w:sz w:val="20"/>
        </w:rPr>
        <w:t>dd a table for each outcome in the approved project document)</w:t>
      </w:r>
    </w:p>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340C8C" w:rsidRPr="00BB6C6D" w14:paraId="52F86668" w14:textId="77777777" w:rsidTr="00FB40C6">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2E782A38" w14:textId="77777777" w:rsidR="00340C8C" w:rsidRPr="00BB6C6D" w:rsidRDefault="00340C8C" w:rsidP="004A5E9B">
            <w:pPr>
              <w:spacing w:before="60" w:after="60"/>
              <w:jc w:val="both"/>
              <w:rPr>
                <w:b/>
                <w:sz w:val="20"/>
              </w:rPr>
            </w:pPr>
            <w:r w:rsidRPr="00BB6C6D">
              <w:rPr>
                <w:b/>
                <w:sz w:val="20"/>
              </w:rPr>
              <w:t>Outcome 1</w:t>
            </w:r>
          </w:p>
        </w:tc>
      </w:tr>
      <w:tr w:rsidR="00340C8C" w:rsidRPr="00BB6C6D" w14:paraId="51069A63" w14:textId="77777777" w:rsidTr="00FB40C6">
        <w:trPr>
          <w:tblHeader/>
        </w:trPr>
        <w:tc>
          <w:tcPr>
            <w:tcW w:w="5000" w:type="pct"/>
            <w:tcBorders>
              <w:left w:val="double" w:sz="4" w:space="0" w:color="auto"/>
              <w:right w:val="double" w:sz="4" w:space="0" w:color="auto"/>
            </w:tcBorders>
          </w:tcPr>
          <w:p w14:paraId="1E7D893D" w14:textId="77777777" w:rsidR="00340C8C" w:rsidRPr="00BB6C6D" w:rsidRDefault="00956A2E" w:rsidP="006D71FD">
            <w:pPr>
              <w:spacing w:before="60" w:after="60"/>
              <w:jc w:val="both"/>
              <w:rPr>
                <w:sz w:val="20"/>
              </w:rPr>
            </w:pPr>
            <w:r>
              <w:rPr>
                <w:sz w:val="20"/>
              </w:rPr>
              <w:t xml:space="preserve">UN Chief Executives Board </w:t>
            </w:r>
            <w:r w:rsidR="00D807CB">
              <w:rPr>
                <w:sz w:val="20"/>
              </w:rPr>
              <w:t>informed by and consider approval of</w:t>
            </w:r>
            <w:r w:rsidR="00EF7350">
              <w:rPr>
                <w:sz w:val="20"/>
              </w:rPr>
              <w:t xml:space="preserve"> </w:t>
            </w:r>
            <w:r>
              <w:rPr>
                <w:sz w:val="20"/>
              </w:rPr>
              <w:t xml:space="preserve">a UN system-wide </w:t>
            </w:r>
            <w:r w:rsidR="00A64571">
              <w:rPr>
                <w:sz w:val="20"/>
              </w:rPr>
              <w:t>policy</w:t>
            </w:r>
            <w:r w:rsidR="00453C42">
              <w:rPr>
                <w:sz w:val="20"/>
              </w:rPr>
              <w:t>, action plan</w:t>
            </w:r>
            <w:r>
              <w:rPr>
                <w:sz w:val="20"/>
              </w:rPr>
              <w:t xml:space="preserve"> and accountability framework on disability inclusion and accessibility for persons with disabilities</w:t>
            </w:r>
            <w:r w:rsidR="00A64571">
              <w:rPr>
                <w:sz w:val="20"/>
              </w:rPr>
              <w:t>.</w:t>
            </w:r>
          </w:p>
        </w:tc>
      </w:tr>
    </w:tbl>
    <w:p w14:paraId="055DAEC5" w14:textId="77777777" w:rsidR="00340C8C" w:rsidRPr="00BB6C6D" w:rsidRDefault="00340C8C" w:rsidP="004A5E9B">
      <w:pPr>
        <w:pStyle w:val="Heading2"/>
      </w:pPr>
      <w:r w:rsidRPr="00BB6C6D">
        <w:t>Outcome 1 Indicators</w:t>
      </w:r>
    </w:p>
    <w:tbl>
      <w:tblPr>
        <w:tblStyle w:val="TableGrid"/>
        <w:tblpPr w:leftFromText="180" w:rightFromText="180" w:vertAnchor="text" w:tblpX="13" w:tblpY="1"/>
        <w:tblOverlap w:val="never"/>
        <w:tblW w:w="4868" w:type="pct"/>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1583"/>
        <w:gridCol w:w="2057"/>
        <w:gridCol w:w="2243"/>
        <w:gridCol w:w="2243"/>
        <w:gridCol w:w="1678"/>
      </w:tblGrid>
      <w:tr w:rsidR="007A0F6F" w:rsidRPr="00BB6C6D" w14:paraId="53D87264" w14:textId="77777777" w:rsidTr="00006DA4">
        <w:trPr>
          <w:tblHeader/>
        </w:trPr>
        <w:tc>
          <w:tcPr>
            <w:tcW w:w="807" w:type="pct"/>
            <w:shd w:val="clear" w:color="auto" w:fill="D9D9D9" w:themeFill="background1" w:themeFillShade="D9"/>
          </w:tcPr>
          <w:p w14:paraId="76067722" w14:textId="77777777" w:rsidR="00340C8C" w:rsidRPr="00BB6C6D" w:rsidRDefault="00340C8C" w:rsidP="004A5E9B">
            <w:pPr>
              <w:spacing w:before="100" w:beforeAutospacing="1" w:after="240"/>
              <w:contextualSpacing/>
              <w:jc w:val="both"/>
              <w:rPr>
                <w:b/>
                <w:sz w:val="20"/>
              </w:rPr>
            </w:pPr>
            <w:r w:rsidRPr="00BB6C6D">
              <w:rPr>
                <w:b/>
                <w:sz w:val="20"/>
              </w:rPr>
              <w:t>Indicator*</w:t>
            </w:r>
          </w:p>
        </w:tc>
        <w:tc>
          <w:tcPr>
            <w:tcW w:w="1049" w:type="pct"/>
            <w:shd w:val="clear" w:color="auto" w:fill="D9D9D9" w:themeFill="background1" w:themeFillShade="D9"/>
          </w:tcPr>
          <w:p w14:paraId="71153CB3" w14:textId="77777777" w:rsidR="00340C8C" w:rsidRPr="00BB6C6D" w:rsidRDefault="00340C8C" w:rsidP="004A5E9B">
            <w:pPr>
              <w:spacing w:before="100" w:beforeAutospacing="1" w:after="240"/>
              <w:contextualSpacing/>
              <w:jc w:val="both"/>
              <w:rPr>
                <w:b/>
                <w:sz w:val="20"/>
              </w:rPr>
            </w:pPr>
            <w:r w:rsidRPr="00BB6C6D">
              <w:rPr>
                <w:b/>
                <w:sz w:val="20"/>
              </w:rPr>
              <w:t xml:space="preserve">Start level </w:t>
            </w:r>
          </w:p>
          <w:p w14:paraId="56C687DA" w14:textId="77777777" w:rsidR="00340C8C" w:rsidRPr="00BB6C6D" w:rsidRDefault="00340C8C" w:rsidP="004A5E9B">
            <w:pPr>
              <w:spacing w:before="100" w:beforeAutospacing="1" w:after="240"/>
              <w:contextualSpacing/>
              <w:jc w:val="both"/>
              <w:rPr>
                <w:sz w:val="20"/>
              </w:rPr>
            </w:pPr>
            <w:r w:rsidRPr="00BB6C6D">
              <w:rPr>
                <w:sz w:val="20"/>
              </w:rPr>
              <w:t>Baseline</w:t>
            </w:r>
          </w:p>
          <w:p w14:paraId="19569488" w14:textId="77777777" w:rsidR="00340C8C" w:rsidRPr="00BB6C6D" w:rsidRDefault="00340C8C" w:rsidP="004A5E9B">
            <w:pPr>
              <w:spacing w:before="100" w:beforeAutospacing="1" w:after="240"/>
              <w:contextualSpacing/>
              <w:jc w:val="both"/>
              <w:rPr>
                <w:sz w:val="20"/>
              </w:rPr>
            </w:pPr>
            <w:r w:rsidRPr="00BB6C6D">
              <w:rPr>
                <w:sz w:val="20"/>
              </w:rPr>
              <w:t>(Beginning o</w:t>
            </w:r>
            <w:r w:rsidR="004A5E9B">
              <w:rPr>
                <w:sz w:val="20"/>
              </w:rPr>
              <w:t>f the project reporting period)</w:t>
            </w:r>
          </w:p>
        </w:tc>
        <w:tc>
          <w:tcPr>
            <w:tcW w:w="1144" w:type="pct"/>
            <w:shd w:val="clear" w:color="auto" w:fill="D9D9D9" w:themeFill="background1" w:themeFillShade="D9"/>
          </w:tcPr>
          <w:p w14:paraId="298CF32F" w14:textId="77777777" w:rsidR="00340C8C" w:rsidRPr="00BB6C6D" w:rsidRDefault="000828F4" w:rsidP="004A5E9B">
            <w:pPr>
              <w:spacing w:before="100" w:beforeAutospacing="1" w:after="240"/>
              <w:contextualSpacing/>
              <w:jc w:val="both"/>
              <w:rPr>
                <w:b/>
                <w:sz w:val="20"/>
              </w:rPr>
            </w:pPr>
            <w:r>
              <w:rPr>
                <w:b/>
                <w:sz w:val="20"/>
              </w:rPr>
              <w:t xml:space="preserve">Target </w:t>
            </w:r>
          </w:p>
        </w:tc>
        <w:tc>
          <w:tcPr>
            <w:tcW w:w="1144" w:type="pct"/>
            <w:shd w:val="clear" w:color="auto" w:fill="D9D9D9" w:themeFill="background1" w:themeFillShade="D9"/>
          </w:tcPr>
          <w:p w14:paraId="1F5A1A62" w14:textId="77777777" w:rsidR="00340C8C" w:rsidRPr="00BB6C6D" w:rsidRDefault="00340C8C" w:rsidP="004A5E9B">
            <w:pPr>
              <w:spacing w:before="100" w:beforeAutospacing="1" w:after="240"/>
              <w:contextualSpacing/>
              <w:jc w:val="both"/>
              <w:rPr>
                <w:b/>
                <w:sz w:val="20"/>
              </w:rPr>
            </w:pPr>
            <w:r w:rsidRPr="00BB6C6D">
              <w:rPr>
                <w:b/>
                <w:sz w:val="20"/>
              </w:rPr>
              <w:t xml:space="preserve">End level </w:t>
            </w:r>
          </w:p>
          <w:p w14:paraId="5EB2DFF1" w14:textId="77777777" w:rsidR="00340C8C" w:rsidRPr="00BB6C6D" w:rsidRDefault="00340C8C" w:rsidP="004A5E9B">
            <w:pPr>
              <w:spacing w:before="100" w:beforeAutospacing="1" w:after="240"/>
              <w:contextualSpacing/>
              <w:jc w:val="both"/>
              <w:rPr>
                <w:sz w:val="20"/>
              </w:rPr>
            </w:pPr>
            <w:r w:rsidRPr="00BB6C6D">
              <w:rPr>
                <w:sz w:val="20"/>
              </w:rPr>
              <w:t>End</w:t>
            </w:r>
            <w:r>
              <w:rPr>
                <w:sz w:val="20"/>
              </w:rPr>
              <w:t xml:space="preserve"> </w:t>
            </w:r>
            <w:r w:rsidRPr="00BB6C6D">
              <w:rPr>
                <w:sz w:val="20"/>
              </w:rPr>
              <w:t>line</w:t>
            </w:r>
          </w:p>
          <w:p w14:paraId="0F45FF30" w14:textId="77777777" w:rsidR="00340C8C" w:rsidRPr="00BB6C6D" w:rsidRDefault="00340C8C" w:rsidP="004A5E9B">
            <w:pPr>
              <w:spacing w:before="100" w:beforeAutospacing="1" w:after="240"/>
              <w:contextualSpacing/>
              <w:jc w:val="both"/>
              <w:rPr>
                <w:sz w:val="20"/>
              </w:rPr>
            </w:pPr>
            <w:r w:rsidRPr="00BB6C6D">
              <w:rPr>
                <w:sz w:val="20"/>
              </w:rPr>
              <w:t>(End o</w:t>
            </w:r>
            <w:r w:rsidR="0034054C">
              <w:rPr>
                <w:sz w:val="20"/>
              </w:rPr>
              <w:t>f the project reporting period)</w:t>
            </w:r>
          </w:p>
        </w:tc>
        <w:tc>
          <w:tcPr>
            <w:tcW w:w="856" w:type="pct"/>
            <w:shd w:val="clear" w:color="auto" w:fill="D9D9D9" w:themeFill="background1" w:themeFillShade="D9"/>
          </w:tcPr>
          <w:p w14:paraId="0B5B97BA" w14:textId="77777777" w:rsidR="00340C8C" w:rsidRPr="00BB6C6D" w:rsidRDefault="00340C8C" w:rsidP="004A5E9B">
            <w:pPr>
              <w:spacing w:before="100" w:beforeAutospacing="1" w:after="240"/>
              <w:contextualSpacing/>
              <w:jc w:val="both"/>
              <w:rPr>
                <w:b/>
                <w:sz w:val="20"/>
              </w:rPr>
            </w:pPr>
            <w:r w:rsidRPr="00BB6C6D">
              <w:rPr>
                <w:b/>
                <w:sz w:val="20"/>
              </w:rPr>
              <w:t>Means of Verification</w:t>
            </w:r>
          </w:p>
        </w:tc>
      </w:tr>
      <w:tr w:rsidR="007A0F6F" w:rsidRPr="00BB6C6D" w14:paraId="783415ED" w14:textId="77777777" w:rsidTr="00006DA4">
        <w:tc>
          <w:tcPr>
            <w:tcW w:w="807" w:type="pct"/>
          </w:tcPr>
          <w:p w14:paraId="31A94C88" w14:textId="77777777" w:rsidR="00340C8C" w:rsidRPr="00BB6C6D" w:rsidRDefault="003120AD" w:rsidP="004A5E9B">
            <w:r>
              <w:rPr>
                <w:sz w:val="20"/>
              </w:rPr>
              <w:t>Submission to CEB</w:t>
            </w:r>
            <w:r w:rsidR="00453C42">
              <w:rPr>
                <w:sz w:val="20"/>
              </w:rPr>
              <w:t xml:space="preserve"> of a system-wide policy</w:t>
            </w:r>
            <w:r w:rsidR="00186E17">
              <w:rPr>
                <w:sz w:val="20"/>
              </w:rPr>
              <w:t>, action plan</w:t>
            </w:r>
            <w:r w:rsidR="00453C42">
              <w:rPr>
                <w:sz w:val="20"/>
              </w:rPr>
              <w:t xml:space="preserve"> and accountability framework on disability inclusion and accessibility</w:t>
            </w:r>
          </w:p>
        </w:tc>
        <w:tc>
          <w:tcPr>
            <w:tcW w:w="1049" w:type="pct"/>
          </w:tcPr>
          <w:p w14:paraId="46E9CDF4" w14:textId="77777777" w:rsidR="00340C8C" w:rsidRPr="00BB6C6D" w:rsidRDefault="000B08FA" w:rsidP="000B08FA">
            <w:r>
              <w:rPr>
                <w:sz w:val="20"/>
              </w:rPr>
              <w:t>S</w:t>
            </w:r>
            <w:r w:rsidR="00186E17">
              <w:rPr>
                <w:sz w:val="20"/>
              </w:rPr>
              <w:t xml:space="preserve">ystem-wide policy, action plan </w:t>
            </w:r>
            <w:r w:rsidR="00C03D9E">
              <w:rPr>
                <w:sz w:val="20"/>
              </w:rPr>
              <w:t xml:space="preserve">and accountability framework </w:t>
            </w:r>
            <w:r w:rsidR="00B853BD">
              <w:rPr>
                <w:sz w:val="20"/>
              </w:rPr>
              <w:t>does not exist.</w:t>
            </w:r>
          </w:p>
        </w:tc>
        <w:tc>
          <w:tcPr>
            <w:tcW w:w="1144" w:type="pct"/>
          </w:tcPr>
          <w:p w14:paraId="128EED99" w14:textId="77777777" w:rsidR="00340C8C" w:rsidRPr="00BB6C6D" w:rsidRDefault="00B853BD" w:rsidP="004A5E9B">
            <w:pPr>
              <w:rPr>
                <w:sz w:val="20"/>
              </w:rPr>
            </w:pPr>
            <w:r>
              <w:rPr>
                <w:sz w:val="20"/>
              </w:rPr>
              <w:t>System-wide policy</w:t>
            </w:r>
            <w:r w:rsidR="00186E17">
              <w:rPr>
                <w:sz w:val="20"/>
              </w:rPr>
              <w:t>, action plan</w:t>
            </w:r>
            <w:r>
              <w:rPr>
                <w:sz w:val="20"/>
              </w:rPr>
              <w:t xml:space="preserve"> and accountability framework to be developed pursuant to the EC decision and following the results of the system-wide review submitted for review to </w:t>
            </w:r>
            <w:r w:rsidR="00995B33">
              <w:rPr>
                <w:sz w:val="20"/>
              </w:rPr>
              <w:t>31</w:t>
            </w:r>
            <w:r w:rsidR="007A0F6F">
              <w:rPr>
                <w:sz w:val="20"/>
              </w:rPr>
              <w:t xml:space="preserve"> members of the CEB</w:t>
            </w:r>
            <w:r>
              <w:rPr>
                <w:sz w:val="20"/>
              </w:rPr>
              <w:t>.</w:t>
            </w:r>
          </w:p>
        </w:tc>
        <w:tc>
          <w:tcPr>
            <w:tcW w:w="1144" w:type="pct"/>
          </w:tcPr>
          <w:p w14:paraId="103DC5E6" w14:textId="77777777" w:rsidR="00340C8C" w:rsidRPr="00BB6C6D" w:rsidRDefault="00340C8C" w:rsidP="004A5E9B">
            <w:r w:rsidRPr="00BB6C6D">
              <w:rPr>
                <w:sz w:val="20"/>
              </w:rPr>
              <w:t>[…]</w:t>
            </w:r>
          </w:p>
        </w:tc>
        <w:tc>
          <w:tcPr>
            <w:tcW w:w="856" w:type="pct"/>
          </w:tcPr>
          <w:p w14:paraId="2CDDCEB0" w14:textId="77777777" w:rsidR="00340C8C" w:rsidRDefault="007A0F6F" w:rsidP="007A0F6F">
            <w:pPr>
              <w:rPr>
                <w:sz w:val="20"/>
              </w:rPr>
            </w:pPr>
            <w:r>
              <w:rPr>
                <w:sz w:val="20"/>
              </w:rPr>
              <w:t xml:space="preserve">CEB records/reports </w:t>
            </w:r>
          </w:p>
          <w:p w14:paraId="544F1060" w14:textId="77777777" w:rsidR="00453C42" w:rsidRPr="00BB6C6D" w:rsidRDefault="00453C42" w:rsidP="007A0F6F">
            <w:pPr>
              <w:rPr>
                <w:sz w:val="20"/>
              </w:rPr>
            </w:pPr>
          </w:p>
        </w:tc>
      </w:tr>
    </w:tbl>
    <w:p w14:paraId="293E9FB3" w14:textId="77777777" w:rsidR="00340C8C" w:rsidRDefault="00340C8C" w:rsidP="00BC4B02">
      <w:pPr>
        <w:spacing w:after="0" w:line="240" w:lineRule="auto"/>
        <w:jc w:val="both"/>
        <w:rPr>
          <w:b/>
          <w:sz w:val="20"/>
        </w:rPr>
      </w:pPr>
    </w:p>
    <w:p w14:paraId="62815A49" w14:textId="77777777" w:rsidR="009C7F15" w:rsidRPr="00412DCC" w:rsidRDefault="009C7F15" w:rsidP="009C7F15">
      <w:pPr>
        <w:pStyle w:val="Heading2"/>
        <w:rPr>
          <w:i/>
        </w:rPr>
      </w:pPr>
      <w:r w:rsidRPr="00F11AE6">
        <w:t>Outputs</w:t>
      </w:r>
    </w:p>
    <w:tbl>
      <w:tblPr>
        <w:tblStyle w:val="TableGrid"/>
        <w:tblW w:w="9800" w:type="dxa"/>
        <w:tblInd w:w="-15"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6473"/>
        <w:gridCol w:w="3327"/>
      </w:tblGrid>
      <w:tr w:rsidR="009C7F15" w:rsidRPr="007B06BC" w14:paraId="4839A08A" w14:textId="77777777" w:rsidTr="0062403C">
        <w:trPr>
          <w:trHeight w:val="413"/>
          <w:tblHeader/>
        </w:trPr>
        <w:tc>
          <w:tcPr>
            <w:tcW w:w="6473" w:type="dxa"/>
            <w:tcBorders>
              <w:left w:val="double" w:sz="4" w:space="0" w:color="auto"/>
            </w:tcBorders>
            <w:shd w:val="clear" w:color="auto" w:fill="D9D9D9" w:themeFill="background1" w:themeFillShade="D9"/>
          </w:tcPr>
          <w:p w14:paraId="17718E92" w14:textId="77777777" w:rsidR="009C7F15" w:rsidRPr="00685A94" w:rsidRDefault="009C7F15" w:rsidP="00C6156F">
            <w:pPr>
              <w:pStyle w:val="ListParagraph"/>
              <w:spacing w:before="60" w:after="60"/>
              <w:ind w:left="0"/>
              <w:contextualSpacing w:val="0"/>
              <w:jc w:val="both"/>
              <w:rPr>
                <w:b/>
                <w:sz w:val="20"/>
              </w:rPr>
            </w:pPr>
            <w:r>
              <w:rPr>
                <w:b/>
                <w:sz w:val="20"/>
              </w:rPr>
              <w:t>Formulation</w:t>
            </w:r>
          </w:p>
        </w:tc>
        <w:tc>
          <w:tcPr>
            <w:tcW w:w="3327" w:type="dxa"/>
            <w:tcBorders>
              <w:right w:val="double" w:sz="4" w:space="0" w:color="auto"/>
            </w:tcBorders>
            <w:shd w:val="clear" w:color="auto" w:fill="D9D9D9" w:themeFill="background1" w:themeFillShade="D9"/>
          </w:tcPr>
          <w:p w14:paraId="7A7727AA" w14:textId="77777777" w:rsidR="009C7F15" w:rsidRPr="00685A94" w:rsidRDefault="009C7F15" w:rsidP="00C6156F">
            <w:pPr>
              <w:pStyle w:val="ListParagraph"/>
              <w:spacing w:before="60" w:after="60"/>
              <w:ind w:left="0"/>
              <w:contextualSpacing w:val="0"/>
              <w:jc w:val="both"/>
              <w:rPr>
                <w:b/>
                <w:sz w:val="20"/>
              </w:rPr>
            </w:pPr>
            <w:r>
              <w:rPr>
                <w:b/>
                <w:sz w:val="20"/>
              </w:rPr>
              <w:t xml:space="preserve">Tentative timeline </w:t>
            </w:r>
          </w:p>
        </w:tc>
      </w:tr>
      <w:tr w:rsidR="009C7F15" w:rsidRPr="007B06BC" w14:paraId="04592872" w14:textId="77777777" w:rsidTr="0062403C">
        <w:trPr>
          <w:trHeight w:val="413"/>
        </w:trPr>
        <w:tc>
          <w:tcPr>
            <w:tcW w:w="6473" w:type="dxa"/>
            <w:tcBorders>
              <w:left w:val="double" w:sz="4" w:space="0" w:color="auto"/>
            </w:tcBorders>
          </w:tcPr>
          <w:p w14:paraId="65D0AAAB" w14:textId="77777777" w:rsidR="009C7F15" w:rsidRPr="007B06BC" w:rsidRDefault="00956A2E" w:rsidP="009C7F15">
            <w:pPr>
              <w:pStyle w:val="ListParagraph"/>
              <w:numPr>
                <w:ilvl w:val="1"/>
                <w:numId w:val="10"/>
              </w:numPr>
              <w:spacing w:before="60" w:after="60" w:line="240" w:lineRule="auto"/>
              <w:contextualSpacing w:val="0"/>
              <w:jc w:val="both"/>
              <w:rPr>
                <w:sz w:val="20"/>
              </w:rPr>
            </w:pPr>
            <w:r>
              <w:rPr>
                <w:sz w:val="20"/>
              </w:rPr>
              <w:t xml:space="preserve">UN system-wide policy on disability inclusion and accessibility </w:t>
            </w:r>
            <w:r w:rsidR="00CB4702">
              <w:rPr>
                <w:sz w:val="20"/>
              </w:rPr>
              <w:t xml:space="preserve">submitted for consideration to the </w:t>
            </w:r>
            <w:r>
              <w:rPr>
                <w:sz w:val="20"/>
              </w:rPr>
              <w:t>UN CEB</w:t>
            </w:r>
          </w:p>
        </w:tc>
        <w:tc>
          <w:tcPr>
            <w:tcW w:w="3327" w:type="dxa"/>
            <w:tcBorders>
              <w:right w:val="double" w:sz="4" w:space="0" w:color="auto"/>
            </w:tcBorders>
          </w:tcPr>
          <w:p w14:paraId="1130487A" w14:textId="77777777" w:rsidR="009C7F15" w:rsidRDefault="00F55790" w:rsidP="00F55790">
            <w:r>
              <w:rPr>
                <w:sz w:val="20"/>
              </w:rPr>
              <w:t>March</w:t>
            </w:r>
            <w:r w:rsidR="00453C42">
              <w:rPr>
                <w:sz w:val="20"/>
              </w:rPr>
              <w:t xml:space="preserve"> </w:t>
            </w:r>
            <w:r w:rsidR="00956A2E">
              <w:rPr>
                <w:sz w:val="20"/>
              </w:rPr>
              <w:t>2019</w:t>
            </w:r>
          </w:p>
        </w:tc>
      </w:tr>
      <w:tr w:rsidR="009C7F15" w:rsidRPr="007B06BC" w14:paraId="6D81BB3A" w14:textId="77777777" w:rsidTr="0062403C">
        <w:trPr>
          <w:trHeight w:val="413"/>
        </w:trPr>
        <w:tc>
          <w:tcPr>
            <w:tcW w:w="6473" w:type="dxa"/>
            <w:tcBorders>
              <w:left w:val="double" w:sz="4" w:space="0" w:color="auto"/>
            </w:tcBorders>
          </w:tcPr>
          <w:p w14:paraId="6B7152C3" w14:textId="77777777" w:rsidR="009C7F15" w:rsidRPr="007B06BC" w:rsidRDefault="00956A2E" w:rsidP="009C7F15">
            <w:pPr>
              <w:pStyle w:val="ListParagraph"/>
              <w:numPr>
                <w:ilvl w:val="1"/>
                <w:numId w:val="10"/>
              </w:numPr>
              <w:spacing w:before="60" w:after="60" w:line="240" w:lineRule="auto"/>
              <w:contextualSpacing w:val="0"/>
              <w:jc w:val="both"/>
              <w:rPr>
                <w:sz w:val="20"/>
              </w:rPr>
            </w:pPr>
            <w:r>
              <w:rPr>
                <w:sz w:val="20"/>
              </w:rPr>
              <w:t>Accountability framework(s) for UN entities and UNCTs on disability inclusion and accessibility adopted by the UN CEB</w:t>
            </w:r>
          </w:p>
        </w:tc>
        <w:tc>
          <w:tcPr>
            <w:tcW w:w="3327" w:type="dxa"/>
            <w:tcBorders>
              <w:right w:val="double" w:sz="4" w:space="0" w:color="auto"/>
            </w:tcBorders>
          </w:tcPr>
          <w:p w14:paraId="7580E944" w14:textId="77777777" w:rsidR="009C7F15" w:rsidRDefault="00CC39BB" w:rsidP="00C6156F">
            <w:r w:rsidRPr="00CE3038">
              <w:rPr>
                <w:sz w:val="20"/>
              </w:rPr>
              <w:t>March 2019</w:t>
            </w:r>
          </w:p>
        </w:tc>
      </w:tr>
      <w:tr w:rsidR="00186E17" w:rsidRPr="007B06BC" w14:paraId="6F356AB5" w14:textId="77777777" w:rsidTr="0062403C">
        <w:trPr>
          <w:trHeight w:val="413"/>
        </w:trPr>
        <w:tc>
          <w:tcPr>
            <w:tcW w:w="6473" w:type="dxa"/>
            <w:tcBorders>
              <w:left w:val="double" w:sz="4" w:space="0" w:color="auto"/>
              <w:bottom w:val="double" w:sz="4" w:space="0" w:color="auto"/>
            </w:tcBorders>
          </w:tcPr>
          <w:p w14:paraId="24F8A512" w14:textId="77777777" w:rsidR="00186E17" w:rsidRDefault="00186E17" w:rsidP="00956A2E">
            <w:pPr>
              <w:pStyle w:val="ListParagraph"/>
              <w:numPr>
                <w:ilvl w:val="1"/>
                <w:numId w:val="10"/>
              </w:numPr>
              <w:spacing w:before="60" w:after="60"/>
              <w:contextualSpacing w:val="0"/>
              <w:jc w:val="both"/>
              <w:rPr>
                <w:sz w:val="20"/>
              </w:rPr>
            </w:pPr>
            <w:r>
              <w:rPr>
                <w:sz w:val="20"/>
              </w:rPr>
              <w:t>Action plan containing road map for the effective implementation of the policy and accountability framework</w:t>
            </w:r>
          </w:p>
        </w:tc>
        <w:tc>
          <w:tcPr>
            <w:tcW w:w="3327" w:type="dxa"/>
            <w:tcBorders>
              <w:bottom w:val="double" w:sz="4" w:space="0" w:color="auto"/>
              <w:right w:val="double" w:sz="4" w:space="0" w:color="auto"/>
            </w:tcBorders>
          </w:tcPr>
          <w:p w14:paraId="71E166E6" w14:textId="77777777" w:rsidR="00186E17" w:rsidRDefault="00CC39BB" w:rsidP="00C6156F">
            <w:pPr>
              <w:rPr>
                <w:sz w:val="20"/>
              </w:rPr>
            </w:pPr>
            <w:r>
              <w:rPr>
                <w:sz w:val="20"/>
              </w:rPr>
              <w:t>March 2019</w:t>
            </w:r>
          </w:p>
        </w:tc>
      </w:tr>
      <w:tr w:rsidR="0062403C" w:rsidRPr="007B06BC" w14:paraId="7360271F" w14:textId="77777777" w:rsidTr="0062403C">
        <w:trPr>
          <w:trHeight w:val="413"/>
        </w:trPr>
        <w:tc>
          <w:tcPr>
            <w:tcW w:w="6473" w:type="dxa"/>
            <w:tcBorders>
              <w:left w:val="double" w:sz="4" w:space="0" w:color="auto"/>
              <w:bottom w:val="double" w:sz="4" w:space="0" w:color="auto"/>
            </w:tcBorders>
          </w:tcPr>
          <w:p w14:paraId="3CE85631" w14:textId="2CBB39F2" w:rsidR="0062403C" w:rsidRDefault="0062403C" w:rsidP="00956A2E">
            <w:pPr>
              <w:pStyle w:val="ListParagraph"/>
              <w:numPr>
                <w:ilvl w:val="1"/>
                <w:numId w:val="10"/>
              </w:numPr>
              <w:spacing w:before="60" w:after="60"/>
              <w:contextualSpacing w:val="0"/>
              <w:jc w:val="both"/>
              <w:rPr>
                <w:sz w:val="20"/>
              </w:rPr>
            </w:pPr>
            <w:r w:rsidRPr="0062403C">
              <w:rPr>
                <w:sz w:val="20"/>
              </w:rPr>
              <w:t>Technical guidelines accompanying the accountability framework(s) on disability inclusion and accessibility</w:t>
            </w:r>
          </w:p>
        </w:tc>
        <w:tc>
          <w:tcPr>
            <w:tcW w:w="3327" w:type="dxa"/>
            <w:tcBorders>
              <w:bottom w:val="double" w:sz="4" w:space="0" w:color="auto"/>
              <w:right w:val="double" w:sz="4" w:space="0" w:color="auto"/>
            </w:tcBorders>
          </w:tcPr>
          <w:p w14:paraId="383F6706" w14:textId="18D6C48B" w:rsidR="0062403C" w:rsidRDefault="0062403C" w:rsidP="00C6156F">
            <w:pPr>
              <w:rPr>
                <w:sz w:val="20"/>
              </w:rPr>
            </w:pPr>
            <w:r w:rsidRPr="0062403C">
              <w:rPr>
                <w:sz w:val="20"/>
              </w:rPr>
              <w:t>December 2019</w:t>
            </w:r>
          </w:p>
        </w:tc>
      </w:tr>
    </w:tbl>
    <w:p w14:paraId="5CB0C5AA" w14:textId="6F5ECBEB" w:rsidR="009C7F15" w:rsidRDefault="009C7F15" w:rsidP="00BC4B02">
      <w:pPr>
        <w:spacing w:after="0" w:line="240" w:lineRule="auto"/>
        <w:jc w:val="both"/>
        <w:rPr>
          <w:b/>
          <w:sz w:val="20"/>
        </w:rPr>
      </w:pPr>
    </w:p>
    <w:tbl>
      <w:tblPr>
        <w:tblStyle w:val="TableGrid"/>
        <w:tblW w:w="4873" w:type="pct"/>
        <w:tblLook w:val="04A0" w:firstRow="1" w:lastRow="0" w:firstColumn="1" w:lastColumn="0" w:noHBand="0" w:noVBand="1"/>
      </w:tblPr>
      <w:tblGrid>
        <w:gridCol w:w="9795"/>
      </w:tblGrid>
      <w:tr w:rsidR="0045238F" w:rsidRPr="00BB6C6D" w14:paraId="33D875E9" w14:textId="77777777" w:rsidTr="00630A8B">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05374180" w14:textId="3964C327" w:rsidR="0045238F" w:rsidRPr="00BB6C6D" w:rsidRDefault="0045238F" w:rsidP="00630A8B">
            <w:pPr>
              <w:spacing w:before="60" w:after="60"/>
              <w:jc w:val="both"/>
              <w:rPr>
                <w:b/>
                <w:sz w:val="20"/>
              </w:rPr>
            </w:pPr>
            <w:r w:rsidRPr="00EF74B9">
              <w:rPr>
                <w:b/>
                <w:color w:val="C00000"/>
                <w:sz w:val="20"/>
              </w:rPr>
              <w:t xml:space="preserve">Outcome </w:t>
            </w:r>
            <w:r w:rsidRPr="00EF74B9">
              <w:rPr>
                <w:b/>
                <w:color w:val="C00000"/>
                <w:sz w:val="20"/>
              </w:rPr>
              <w:t>2</w:t>
            </w:r>
          </w:p>
        </w:tc>
      </w:tr>
      <w:tr w:rsidR="0045238F" w:rsidRPr="00BB6C6D" w14:paraId="5FCCC464" w14:textId="77777777" w:rsidTr="00630A8B">
        <w:trPr>
          <w:tblHeader/>
        </w:trPr>
        <w:tc>
          <w:tcPr>
            <w:tcW w:w="5000" w:type="pct"/>
            <w:tcBorders>
              <w:left w:val="double" w:sz="4" w:space="0" w:color="auto"/>
              <w:right w:val="double" w:sz="4" w:space="0" w:color="auto"/>
            </w:tcBorders>
          </w:tcPr>
          <w:p w14:paraId="12303E25" w14:textId="1769F514" w:rsidR="0045238F" w:rsidRPr="00BB6C6D" w:rsidRDefault="0045238F" w:rsidP="00630A8B">
            <w:pPr>
              <w:spacing w:before="60" w:after="60"/>
              <w:jc w:val="both"/>
              <w:rPr>
                <w:sz w:val="20"/>
              </w:rPr>
            </w:pPr>
            <w:r w:rsidRPr="0045238F">
              <w:rPr>
                <w:sz w:val="20"/>
              </w:rPr>
              <w:t>System wide coordination and technical support mechanism on UNDIS implementation and reporting</w:t>
            </w:r>
            <w:r w:rsidR="00DE1AE5">
              <w:rPr>
                <w:sz w:val="20"/>
              </w:rPr>
              <w:t xml:space="preserve">. </w:t>
            </w:r>
            <w:r w:rsidR="00DE1AE5" w:rsidRPr="00DE1AE5">
              <w:rPr>
                <w:sz w:val="20"/>
              </w:rPr>
              <w:t>1.1.</w:t>
            </w:r>
            <w:r w:rsidR="00DE1AE5" w:rsidRPr="00DE1AE5">
              <w:rPr>
                <w:sz w:val="20"/>
              </w:rPr>
              <w:tab/>
              <w:t>UNDIS Technical Unit established and made operational</w:t>
            </w:r>
            <w:r w:rsidR="00DE1AE5" w:rsidRPr="00DE1AE5">
              <w:rPr>
                <w:sz w:val="20"/>
              </w:rPr>
              <w:tab/>
              <w:t>August 2019 onwards</w:t>
            </w:r>
            <w:r w:rsidRPr="0045238F">
              <w:rPr>
                <w:sz w:val="20"/>
              </w:rPr>
              <w:t xml:space="preserve"> </w:t>
            </w:r>
          </w:p>
        </w:tc>
      </w:tr>
    </w:tbl>
    <w:p w14:paraId="22C1F095" w14:textId="4E0C70B7" w:rsidR="0045238F" w:rsidRDefault="0045238F" w:rsidP="00BC4B02">
      <w:pPr>
        <w:spacing w:after="0" w:line="240" w:lineRule="auto"/>
        <w:jc w:val="both"/>
        <w:rPr>
          <w:b/>
          <w:sz w:val="20"/>
        </w:rPr>
      </w:pPr>
      <w:r>
        <w:rPr>
          <w:b/>
          <w:sz w:val="20"/>
        </w:rPr>
        <w:t xml:space="preserve"> </w:t>
      </w:r>
      <w:r w:rsidR="00EF74B9">
        <w:rPr>
          <w:b/>
          <w:sz w:val="20"/>
        </w:rPr>
        <w:t xml:space="preserve">Outcome 2 </w:t>
      </w:r>
      <w:r>
        <w:rPr>
          <w:b/>
          <w:sz w:val="20"/>
        </w:rPr>
        <w:t>Indicator</w:t>
      </w:r>
    </w:p>
    <w:tbl>
      <w:tblPr>
        <w:tblStyle w:val="TableGrid"/>
        <w:tblpPr w:leftFromText="180" w:rightFromText="180" w:vertAnchor="text" w:tblpX="13" w:tblpY="1"/>
        <w:tblOverlap w:val="never"/>
        <w:tblW w:w="4868" w:type="pct"/>
        <w:tblLook w:val="04A0" w:firstRow="1" w:lastRow="0" w:firstColumn="1" w:lastColumn="0" w:noHBand="0" w:noVBand="1"/>
      </w:tblPr>
      <w:tblGrid>
        <w:gridCol w:w="1583"/>
        <w:gridCol w:w="2057"/>
        <w:gridCol w:w="2243"/>
        <w:gridCol w:w="2243"/>
        <w:gridCol w:w="1678"/>
      </w:tblGrid>
      <w:tr w:rsidR="0045238F" w14:paraId="2360BF28" w14:textId="77777777" w:rsidTr="00630A8B">
        <w:tc>
          <w:tcPr>
            <w:tcW w:w="807" w:type="pct"/>
          </w:tcPr>
          <w:p w14:paraId="3876FD75" w14:textId="00A80C42" w:rsidR="0045238F" w:rsidRDefault="0045238F" w:rsidP="00630A8B">
            <w:pPr>
              <w:rPr>
                <w:sz w:val="20"/>
              </w:rPr>
            </w:pPr>
            <w:r>
              <w:rPr>
                <w:sz w:val="20"/>
              </w:rPr>
              <w:t xml:space="preserve">UNDIS Coordination Mechanism </w:t>
            </w:r>
          </w:p>
        </w:tc>
        <w:tc>
          <w:tcPr>
            <w:tcW w:w="1049" w:type="pct"/>
          </w:tcPr>
          <w:p w14:paraId="47E64220" w14:textId="089AFC2B" w:rsidR="0045238F" w:rsidRDefault="0045238F" w:rsidP="00630A8B">
            <w:pPr>
              <w:rPr>
                <w:sz w:val="20"/>
              </w:rPr>
            </w:pPr>
            <w:r>
              <w:rPr>
                <w:sz w:val="20"/>
              </w:rPr>
              <w:t>No coordination unit i</w:t>
            </w:r>
            <w:r>
              <w:rPr>
                <w:sz w:val="20"/>
              </w:rPr>
              <w:t>n</w:t>
            </w:r>
            <w:r>
              <w:rPr>
                <w:sz w:val="20"/>
              </w:rPr>
              <w:t xml:space="preserve"> place</w:t>
            </w:r>
          </w:p>
        </w:tc>
        <w:tc>
          <w:tcPr>
            <w:tcW w:w="1144" w:type="pct"/>
          </w:tcPr>
          <w:p w14:paraId="6783B08C" w14:textId="77777777" w:rsidR="0045238F" w:rsidRDefault="0045238F" w:rsidP="00630A8B">
            <w:pPr>
              <w:rPr>
                <w:sz w:val="20"/>
              </w:rPr>
            </w:pPr>
            <w:r>
              <w:rPr>
                <w:sz w:val="20"/>
              </w:rPr>
              <w:t>High Level Coordination lead by Under Secretary General through UNDIS Technical Unit in the EOSG</w:t>
            </w:r>
          </w:p>
        </w:tc>
        <w:tc>
          <w:tcPr>
            <w:tcW w:w="1144" w:type="pct"/>
          </w:tcPr>
          <w:p w14:paraId="4218CC6B" w14:textId="77777777" w:rsidR="0045238F" w:rsidRPr="00BB6C6D" w:rsidRDefault="0045238F" w:rsidP="00630A8B">
            <w:pPr>
              <w:rPr>
                <w:sz w:val="20"/>
              </w:rPr>
            </w:pPr>
            <w:r w:rsidRPr="00BB6C6D">
              <w:rPr>
                <w:sz w:val="20"/>
              </w:rPr>
              <w:t>[…]</w:t>
            </w:r>
          </w:p>
        </w:tc>
        <w:tc>
          <w:tcPr>
            <w:tcW w:w="856" w:type="pct"/>
          </w:tcPr>
          <w:p w14:paraId="4C66EB61" w14:textId="77777777" w:rsidR="0045238F" w:rsidRDefault="0045238F" w:rsidP="00630A8B">
            <w:pPr>
              <w:rPr>
                <w:sz w:val="20"/>
              </w:rPr>
            </w:pPr>
            <w:r>
              <w:rPr>
                <w:sz w:val="20"/>
              </w:rPr>
              <w:t>EOSG Reports</w:t>
            </w:r>
          </w:p>
        </w:tc>
      </w:tr>
    </w:tbl>
    <w:p w14:paraId="62E64F24" w14:textId="125D7DE0" w:rsidR="0045238F" w:rsidRDefault="00DE1AE5" w:rsidP="00BC4B02">
      <w:pPr>
        <w:spacing w:after="0" w:line="240" w:lineRule="auto"/>
        <w:jc w:val="both"/>
        <w:rPr>
          <w:b/>
          <w:sz w:val="20"/>
        </w:rPr>
      </w:pPr>
      <w:r>
        <w:rPr>
          <w:b/>
          <w:sz w:val="20"/>
        </w:rPr>
        <w:t>Outputs</w:t>
      </w:r>
    </w:p>
    <w:tbl>
      <w:tblPr>
        <w:tblStyle w:val="TableGrid"/>
        <w:tblW w:w="9800" w:type="dxa"/>
        <w:tblInd w:w="-15" w:type="dxa"/>
        <w:tblLook w:val="04A0" w:firstRow="1" w:lastRow="0" w:firstColumn="1" w:lastColumn="0" w:noHBand="0" w:noVBand="1"/>
      </w:tblPr>
      <w:tblGrid>
        <w:gridCol w:w="6473"/>
        <w:gridCol w:w="3327"/>
      </w:tblGrid>
      <w:tr w:rsidR="00DE1AE5" w:rsidRPr="00685A94" w14:paraId="2E033BFD" w14:textId="77777777" w:rsidTr="00630A8B">
        <w:trPr>
          <w:trHeight w:val="413"/>
          <w:tblHeader/>
        </w:trPr>
        <w:tc>
          <w:tcPr>
            <w:tcW w:w="6473" w:type="dxa"/>
            <w:tcBorders>
              <w:left w:val="double" w:sz="4" w:space="0" w:color="auto"/>
            </w:tcBorders>
            <w:shd w:val="clear" w:color="auto" w:fill="D9D9D9" w:themeFill="background1" w:themeFillShade="D9"/>
          </w:tcPr>
          <w:p w14:paraId="1F4641C5" w14:textId="77777777" w:rsidR="00DE1AE5" w:rsidRPr="00685A94" w:rsidRDefault="00DE1AE5" w:rsidP="00630A8B">
            <w:pPr>
              <w:pStyle w:val="ListParagraph"/>
              <w:spacing w:before="60" w:after="60"/>
              <w:ind w:left="0"/>
              <w:contextualSpacing w:val="0"/>
              <w:jc w:val="both"/>
              <w:rPr>
                <w:b/>
                <w:sz w:val="20"/>
              </w:rPr>
            </w:pPr>
            <w:r>
              <w:rPr>
                <w:b/>
                <w:sz w:val="20"/>
              </w:rPr>
              <w:t>Formulation</w:t>
            </w:r>
          </w:p>
        </w:tc>
        <w:tc>
          <w:tcPr>
            <w:tcW w:w="3327" w:type="dxa"/>
            <w:tcBorders>
              <w:right w:val="double" w:sz="4" w:space="0" w:color="auto"/>
            </w:tcBorders>
            <w:shd w:val="clear" w:color="auto" w:fill="D9D9D9" w:themeFill="background1" w:themeFillShade="D9"/>
          </w:tcPr>
          <w:p w14:paraId="6555F775" w14:textId="77777777" w:rsidR="00DE1AE5" w:rsidRPr="00685A94" w:rsidRDefault="00DE1AE5" w:rsidP="00630A8B">
            <w:pPr>
              <w:pStyle w:val="ListParagraph"/>
              <w:spacing w:before="60" w:after="60"/>
              <w:ind w:left="0"/>
              <w:contextualSpacing w:val="0"/>
              <w:jc w:val="both"/>
              <w:rPr>
                <w:b/>
                <w:sz w:val="20"/>
              </w:rPr>
            </w:pPr>
            <w:r>
              <w:rPr>
                <w:b/>
                <w:sz w:val="20"/>
              </w:rPr>
              <w:t xml:space="preserve">Tentative timeline </w:t>
            </w:r>
          </w:p>
        </w:tc>
      </w:tr>
      <w:tr w:rsidR="00DE1AE5" w14:paraId="3F9DB140" w14:textId="77777777" w:rsidTr="00630A8B">
        <w:trPr>
          <w:trHeight w:val="413"/>
        </w:trPr>
        <w:tc>
          <w:tcPr>
            <w:tcW w:w="6473" w:type="dxa"/>
            <w:tcBorders>
              <w:left w:val="double" w:sz="4" w:space="0" w:color="auto"/>
            </w:tcBorders>
          </w:tcPr>
          <w:p w14:paraId="4D2135BF" w14:textId="0116DE57" w:rsidR="00DE1AE5" w:rsidRPr="00EF74B9" w:rsidRDefault="00DE1AE5" w:rsidP="00EF74B9">
            <w:pPr>
              <w:pStyle w:val="ListParagraph"/>
              <w:numPr>
                <w:ilvl w:val="1"/>
                <w:numId w:val="49"/>
              </w:numPr>
              <w:spacing w:before="60" w:after="60" w:line="240" w:lineRule="auto"/>
              <w:jc w:val="both"/>
              <w:rPr>
                <w:sz w:val="20"/>
              </w:rPr>
            </w:pPr>
            <w:r w:rsidRPr="00EF74B9">
              <w:rPr>
                <w:sz w:val="20"/>
              </w:rPr>
              <w:t>UNDIS Technical Unit established and made operational</w:t>
            </w:r>
          </w:p>
        </w:tc>
        <w:tc>
          <w:tcPr>
            <w:tcW w:w="3327" w:type="dxa"/>
            <w:tcBorders>
              <w:right w:val="double" w:sz="4" w:space="0" w:color="auto"/>
            </w:tcBorders>
          </w:tcPr>
          <w:p w14:paraId="0E17BC41" w14:textId="40858DE9" w:rsidR="00DE1AE5" w:rsidRDefault="00EF74B9" w:rsidP="00630A8B">
            <w:r>
              <w:rPr>
                <w:sz w:val="20"/>
              </w:rPr>
              <w:t>August 2019 onwards</w:t>
            </w:r>
          </w:p>
        </w:tc>
      </w:tr>
    </w:tbl>
    <w:p w14:paraId="27B2C1DC" w14:textId="77777777" w:rsidR="00DE1AE5" w:rsidRDefault="00DE1AE5" w:rsidP="00BC4B02">
      <w:pPr>
        <w:spacing w:after="0" w:line="240" w:lineRule="auto"/>
        <w:jc w:val="both"/>
        <w:rPr>
          <w:b/>
          <w:sz w:val="20"/>
        </w:rPr>
      </w:pPr>
    </w:p>
    <w:p w14:paraId="049BE354" w14:textId="77777777" w:rsidR="00BC4B02" w:rsidRPr="002D0888" w:rsidRDefault="002D0888" w:rsidP="002D0888">
      <w:pPr>
        <w:pStyle w:val="Heading1"/>
      </w:pPr>
      <w:r>
        <w:t xml:space="preserve">4. </w:t>
      </w:r>
      <w:r w:rsidR="00BC4B02" w:rsidRPr="002D0888">
        <w:t>Partnership-</w:t>
      </w:r>
      <w:r w:rsidR="00056FB7">
        <w:t>b</w:t>
      </w:r>
      <w:r w:rsidR="00BC4B02" w:rsidRPr="002D0888">
        <w:t xml:space="preserve">uilding </w:t>
      </w:r>
      <w:r w:rsidR="00056FB7">
        <w:t>p</w:t>
      </w:r>
      <w:r w:rsidR="00BC4B02" w:rsidRPr="002D0888">
        <w:t>otential</w:t>
      </w:r>
    </w:p>
    <w:p w14:paraId="6B6CB573" w14:textId="77777777" w:rsidR="00BD40E6" w:rsidRDefault="00BD40E6" w:rsidP="00BC4B02">
      <w:pPr>
        <w:spacing w:after="0" w:line="240" w:lineRule="auto"/>
        <w:jc w:val="both"/>
        <w:rPr>
          <w:i/>
          <w:sz w:val="20"/>
        </w:rPr>
      </w:pPr>
    </w:p>
    <w:p w14:paraId="4479F5DD" w14:textId="77777777" w:rsidR="00BD40E6" w:rsidRPr="001B7549" w:rsidRDefault="00BD40E6" w:rsidP="00BC4B02">
      <w:pPr>
        <w:spacing w:after="0" w:line="240" w:lineRule="auto"/>
        <w:jc w:val="both"/>
        <w:rPr>
          <w:b/>
          <w:sz w:val="20"/>
        </w:rPr>
      </w:pPr>
      <w:r w:rsidRPr="001B7549">
        <w:rPr>
          <w:b/>
          <w:sz w:val="20"/>
        </w:rPr>
        <w:t xml:space="preserve">The project requires the very active involvement of all IASG member entities (including the observers) and </w:t>
      </w:r>
      <w:r w:rsidR="00CB4702" w:rsidRPr="001B7549">
        <w:rPr>
          <w:b/>
          <w:sz w:val="20"/>
        </w:rPr>
        <w:t xml:space="preserve">all 31 entities in the CEB and </w:t>
      </w:r>
      <w:r w:rsidRPr="001B7549">
        <w:rPr>
          <w:b/>
          <w:sz w:val="20"/>
        </w:rPr>
        <w:t>should also lead to the participation of UN entities that are not yet in the IASG, like DGACM</w:t>
      </w:r>
      <w:r w:rsidR="009F1046" w:rsidRPr="001B7549">
        <w:rPr>
          <w:b/>
          <w:sz w:val="20"/>
        </w:rPr>
        <w:t>.</w:t>
      </w:r>
    </w:p>
    <w:p w14:paraId="15D9E725" w14:textId="77777777" w:rsidR="0074582C" w:rsidRPr="001B7549" w:rsidRDefault="0074582C" w:rsidP="00BC4B02">
      <w:pPr>
        <w:spacing w:after="0" w:line="240" w:lineRule="auto"/>
        <w:jc w:val="both"/>
        <w:rPr>
          <w:b/>
          <w:sz w:val="20"/>
        </w:rPr>
      </w:pPr>
    </w:p>
    <w:p w14:paraId="63853155" w14:textId="77777777" w:rsidR="00BD40E6" w:rsidRPr="001B7549" w:rsidRDefault="0074582C" w:rsidP="00BC4B02">
      <w:pPr>
        <w:spacing w:after="0" w:line="240" w:lineRule="auto"/>
        <w:jc w:val="both"/>
        <w:rPr>
          <w:b/>
          <w:sz w:val="20"/>
        </w:rPr>
      </w:pPr>
      <w:r w:rsidRPr="001B7549">
        <w:rPr>
          <w:b/>
          <w:sz w:val="20"/>
        </w:rPr>
        <w:t xml:space="preserve">In addition to </w:t>
      </w:r>
      <w:r w:rsidR="00CB4702" w:rsidRPr="001B7549">
        <w:rPr>
          <w:b/>
          <w:sz w:val="20"/>
        </w:rPr>
        <w:t>encouraging</w:t>
      </w:r>
      <w:r w:rsidR="00BD40E6" w:rsidRPr="001B7549">
        <w:rPr>
          <w:b/>
          <w:sz w:val="20"/>
        </w:rPr>
        <w:t xml:space="preserve"> active </w:t>
      </w:r>
      <w:r w:rsidR="00CB4702" w:rsidRPr="001B7549">
        <w:rPr>
          <w:b/>
          <w:sz w:val="20"/>
        </w:rPr>
        <w:t>participation from all entities</w:t>
      </w:r>
      <w:r w:rsidR="00EE10ED" w:rsidRPr="001B7549">
        <w:rPr>
          <w:b/>
          <w:sz w:val="20"/>
        </w:rPr>
        <w:t xml:space="preserve"> and collaboration among entities</w:t>
      </w:r>
      <w:r w:rsidR="00CB4702" w:rsidRPr="001B7549">
        <w:rPr>
          <w:b/>
          <w:sz w:val="20"/>
        </w:rPr>
        <w:t xml:space="preserve"> </w:t>
      </w:r>
      <w:r w:rsidR="00BD40E6" w:rsidRPr="001B7549">
        <w:rPr>
          <w:b/>
          <w:sz w:val="20"/>
        </w:rPr>
        <w:t xml:space="preserve">on disability inclusion, the project will also strengthen </w:t>
      </w:r>
      <w:r w:rsidRPr="001B7549">
        <w:rPr>
          <w:b/>
          <w:sz w:val="20"/>
        </w:rPr>
        <w:t>partnerships</w:t>
      </w:r>
      <w:r w:rsidR="00BD40E6" w:rsidRPr="001B7549">
        <w:rPr>
          <w:b/>
          <w:sz w:val="20"/>
        </w:rPr>
        <w:t xml:space="preserve"> among the different inter-agency networks and working groups</w:t>
      </w:r>
      <w:r w:rsidR="009F1046" w:rsidRPr="001B7549">
        <w:rPr>
          <w:b/>
          <w:sz w:val="20"/>
        </w:rPr>
        <w:t xml:space="preserve"> (such as the CEB Human Resources Network</w:t>
      </w:r>
      <w:r w:rsidRPr="001B7549">
        <w:rPr>
          <w:b/>
          <w:sz w:val="20"/>
        </w:rPr>
        <w:t>,</w:t>
      </w:r>
      <w:r w:rsidR="009F1046" w:rsidRPr="001B7549">
        <w:rPr>
          <w:b/>
          <w:sz w:val="20"/>
        </w:rPr>
        <w:t xml:space="preserve"> Procurement Network, etc.)</w:t>
      </w:r>
      <w:r w:rsidRPr="001B7549">
        <w:rPr>
          <w:b/>
          <w:sz w:val="20"/>
        </w:rPr>
        <w:t xml:space="preserve"> </w:t>
      </w:r>
      <w:r w:rsidR="00CB4702" w:rsidRPr="001B7549">
        <w:rPr>
          <w:b/>
          <w:sz w:val="20"/>
        </w:rPr>
        <w:t>and the relevant UN</w:t>
      </w:r>
      <w:r w:rsidR="003120AD" w:rsidRPr="001B7549">
        <w:rPr>
          <w:b/>
          <w:sz w:val="20"/>
        </w:rPr>
        <w:t>S</w:t>
      </w:r>
      <w:r w:rsidR="00CB4702" w:rsidRPr="001B7549">
        <w:rPr>
          <w:b/>
          <w:sz w:val="20"/>
        </w:rPr>
        <w:t xml:space="preserve">DG fora, </w:t>
      </w:r>
      <w:r w:rsidRPr="001B7549">
        <w:rPr>
          <w:b/>
          <w:sz w:val="20"/>
        </w:rPr>
        <w:t>building channels of communication and cooperation</w:t>
      </w:r>
      <w:r w:rsidR="00BD40E6" w:rsidRPr="001B7549">
        <w:rPr>
          <w:b/>
          <w:sz w:val="20"/>
        </w:rPr>
        <w:t xml:space="preserve"> in areas like human resources, procurement, evaluation and programming</w:t>
      </w:r>
      <w:r w:rsidR="000B08FA" w:rsidRPr="001B7549">
        <w:rPr>
          <w:b/>
          <w:sz w:val="20"/>
        </w:rPr>
        <w:t>,</w:t>
      </w:r>
      <w:r w:rsidRPr="001B7549">
        <w:rPr>
          <w:b/>
          <w:sz w:val="20"/>
        </w:rPr>
        <w:t xml:space="preserve"> to enhance accessibility and disability inclusion</w:t>
      </w:r>
      <w:r w:rsidR="00BD40E6" w:rsidRPr="001B7549">
        <w:rPr>
          <w:b/>
          <w:sz w:val="20"/>
        </w:rPr>
        <w:t>.</w:t>
      </w:r>
    </w:p>
    <w:p w14:paraId="07C2813E" w14:textId="77777777" w:rsidR="0074582C" w:rsidRPr="001B7549" w:rsidRDefault="0074582C" w:rsidP="00BC4B02">
      <w:pPr>
        <w:spacing w:after="0" w:line="240" w:lineRule="auto"/>
        <w:jc w:val="both"/>
        <w:rPr>
          <w:b/>
          <w:sz w:val="20"/>
        </w:rPr>
      </w:pPr>
    </w:p>
    <w:p w14:paraId="4BE4E890" w14:textId="77777777" w:rsidR="00BD40E6" w:rsidRPr="001B7549" w:rsidRDefault="00BD40E6" w:rsidP="00BC4B02">
      <w:pPr>
        <w:spacing w:after="0" w:line="240" w:lineRule="auto"/>
        <w:jc w:val="both"/>
        <w:rPr>
          <w:b/>
          <w:sz w:val="24"/>
        </w:rPr>
      </w:pPr>
      <w:r w:rsidRPr="001B7549">
        <w:rPr>
          <w:b/>
          <w:sz w:val="20"/>
        </w:rPr>
        <w:t>Finally, the project</w:t>
      </w:r>
      <w:r w:rsidR="0074582C" w:rsidRPr="001B7549">
        <w:rPr>
          <w:b/>
          <w:sz w:val="20"/>
        </w:rPr>
        <w:t>’s consultative nature</w:t>
      </w:r>
      <w:r w:rsidRPr="001B7549">
        <w:rPr>
          <w:b/>
          <w:sz w:val="20"/>
        </w:rPr>
        <w:t xml:space="preserve"> will contribute to more developed partnership</w:t>
      </w:r>
      <w:r w:rsidR="0074582C" w:rsidRPr="001B7549">
        <w:rPr>
          <w:b/>
          <w:sz w:val="20"/>
        </w:rPr>
        <w:t>s</w:t>
      </w:r>
      <w:r w:rsidRPr="001B7549">
        <w:rPr>
          <w:b/>
          <w:sz w:val="20"/>
        </w:rPr>
        <w:t xml:space="preserve"> </w:t>
      </w:r>
      <w:r w:rsidR="0074582C" w:rsidRPr="001B7549">
        <w:rPr>
          <w:b/>
          <w:sz w:val="20"/>
        </w:rPr>
        <w:t xml:space="preserve">between </w:t>
      </w:r>
      <w:r w:rsidRPr="001B7549">
        <w:rPr>
          <w:b/>
          <w:sz w:val="20"/>
        </w:rPr>
        <w:t>UN entities</w:t>
      </w:r>
      <w:r w:rsidR="0074582C" w:rsidRPr="001B7549">
        <w:rPr>
          <w:b/>
          <w:sz w:val="20"/>
        </w:rPr>
        <w:t xml:space="preserve"> and DPOs</w:t>
      </w:r>
      <w:r w:rsidR="00EE10ED" w:rsidRPr="001B7549">
        <w:rPr>
          <w:b/>
          <w:sz w:val="20"/>
        </w:rPr>
        <w:t>,</w:t>
      </w:r>
      <w:r w:rsidRPr="001B7549">
        <w:rPr>
          <w:b/>
          <w:sz w:val="20"/>
        </w:rPr>
        <w:t xml:space="preserve"> especially at country level.</w:t>
      </w:r>
    </w:p>
    <w:p w14:paraId="27BAA944" w14:textId="77777777" w:rsidR="00830399" w:rsidRPr="002D0888" w:rsidRDefault="002D0888" w:rsidP="00830399">
      <w:pPr>
        <w:pStyle w:val="Heading1"/>
      </w:pPr>
      <w:r>
        <w:t>5.</w:t>
      </w:r>
      <w:r w:rsidR="00830399" w:rsidRPr="00830399">
        <w:t xml:space="preserve"> </w:t>
      </w:r>
      <w:r w:rsidR="00056FB7">
        <w:t>Knowledge m</w:t>
      </w:r>
      <w:r w:rsidR="00830399" w:rsidRPr="002D0888">
        <w:t xml:space="preserve">anagement </w:t>
      </w:r>
      <w:r w:rsidR="00830399">
        <w:t xml:space="preserve">and </w:t>
      </w:r>
      <w:r w:rsidR="00056FB7">
        <w:t>d</w:t>
      </w:r>
      <w:r w:rsidR="00830399">
        <w:t>issemination</w:t>
      </w:r>
    </w:p>
    <w:p w14:paraId="3EFC5E16" w14:textId="77777777" w:rsidR="00830399" w:rsidRPr="001B4D1D" w:rsidRDefault="00B10106" w:rsidP="00830399">
      <w:pPr>
        <w:spacing w:after="0" w:line="240" w:lineRule="auto"/>
        <w:jc w:val="both"/>
        <w:rPr>
          <w:sz w:val="20"/>
        </w:rPr>
      </w:pPr>
      <w:r>
        <w:rPr>
          <w:sz w:val="20"/>
        </w:rPr>
        <w:t>Max 20</w:t>
      </w:r>
      <w:r w:rsidR="00830399" w:rsidRPr="001B4D1D">
        <w:rPr>
          <w:sz w:val="20"/>
        </w:rPr>
        <w:t>0 words.</w:t>
      </w:r>
    </w:p>
    <w:p w14:paraId="72B2374C" w14:textId="77777777" w:rsidR="00683C36" w:rsidRDefault="00683C36" w:rsidP="00830399">
      <w:pPr>
        <w:pStyle w:val="ListParagraph"/>
        <w:spacing w:after="0" w:line="240" w:lineRule="auto"/>
        <w:ind w:left="0"/>
        <w:contextualSpacing w:val="0"/>
        <w:jc w:val="both"/>
        <w:rPr>
          <w:i/>
          <w:sz w:val="20"/>
        </w:rPr>
      </w:pPr>
    </w:p>
    <w:p w14:paraId="3A005F7D" w14:textId="77777777" w:rsidR="00830399" w:rsidRDefault="00830399" w:rsidP="00830399">
      <w:pPr>
        <w:pStyle w:val="ListParagraph"/>
        <w:spacing w:after="0" w:line="240" w:lineRule="auto"/>
        <w:ind w:left="0"/>
        <w:contextualSpacing w:val="0"/>
        <w:jc w:val="both"/>
        <w:rPr>
          <w:i/>
          <w:sz w:val="20"/>
        </w:rPr>
      </w:pPr>
      <w:r>
        <w:rPr>
          <w:i/>
          <w:sz w:val="20"/>
        </w:rPr>
        <w:t xml:space="preserve">Please describe the </w:t>
      </w:r>
      <w:r w:rsidRPr="00834F16">
        <w:rPr>
          <w:i/>
          <w:sz w:val="20"/>
        </w:rPr>
        <w:t>way</w:t>
      </w:r>
      <w:r w:rsidR="00683C36">
        <w:rPr>
          <w:i/>
          <w:sz w:val="20"/>
        </w:rPr>
        <w:t>s</w:t>
      </w:r>
      <w:r w:rsidRPr="00834F16">
        <w:rPr>
          <w:i/>
          <w:sz w:val="20"/>
        </w:rPr>
        <w:t xml:space="preserve"> in which the proposed project plans to document</w:t>
      </w:r>
      <w:r w:rsidR="00601404">
        <w:rPr>
          <w:i/>
          <w:sz w:val="20"/>
        </w:rPr>
        <w:t>,</w:t>
      </w:r>
      <w:r w:rsidRPr="00834F16">
        <w:rPr>
          <w:i/>
          <w:sz w:val="20"/>
        </w:rPr>
        <w:t xml:space="preserve"> disseminate</w:t>
      </w:r>
      <w:r w:rsidR="0015759B">
        <w:rPr>
          <w:i/>
          <w:sz w:val="20"/>
        </w:rPr>
        <w:t xml:space="preserve"> and as needed institutionalize</w:t>
      </w:r>
      <w:r w:rsidRPr="00834F16">
        <w:rPr>
          <w:i/>
          <w:sz w:val="20"/>
        </w:rPr>
        <w:t xml:space="preserve"> </w:t>
      </w:r>
      <w:r>
        <w:rPr>
          <w:i/>
          <w:sz w:val="20"/>
        </w:rPr>
        <w:t xml:space="preserve">the </w:t>
      </w:r>
      <w:r w:rsidRPr="00834F16">
        <w:rPr>
          <w:i/>
          <w:sz w:val="20"/>
        </w:rPr>
        <w:t>knowledge</w:t>
      </w:r>
      <w:r>
        <w:rPr>
          <w:i/>
          <w:sz w:val="20"/>
        </w:rPr>
        <w:t>,</w:t>
      </w:r>
      <w:r w:rsidRPr="00834F16">
        <w:rPr>
          <w:i/>
          <w:sz w:val="20"/>
        </w:rPr>
        <w:t xml:space="preserve"> products</w:t>
      </w:r>
      <w:r w:rsidR="004B6D3A">
        <w:rPr>
          <w:i/>
          <w:sz w:val="20"/>
        </w:rPr>
        <w:t>,</w:t>
      </w:r>
      <w:r w:rsidRPr="00834F16">
        <w:rPr>
          <w:i/>
          <w:sz w:val="20"/>
        </w:rPr>
        <w:t xml:space="preserve"> tools</w:t>
      </w:r>
      <w:r w:rsidR="004B6D3A">
        <w:rPr>
          <w:i/>
          <w:sz w:val="20"/>
        </w:rPr>
        <w:t xml:space="preserve"> and networks</w:t>
      </w:r>
      <w:r w:rsidRPr="00834F16">
        <w:rPr>
          <w:i/>
          <w:sz w:val="20"/>
        </w:rPr>
        <w:t xml:space="preserve"> </w:t>
      </w:r>
      <w:r>
        <w:rPr>
          <w:i/>
          <w:sz w:val="20"/>
        </w:rPr>
        <w:t xml:space="preserve">generated through the Project </w:t>
      </w:r>
      <w:r w:rsidRPr="00834F16">
        <w:rPr>
          <w:i/>
          <w:sz w:val="20"/>
        </w:rPr>
        <w:t xml:space="preserve">to </w:t>
      </w:r>
      <w:r w:rsidR="004B6D3A">
        <w:rPr>
          <w:i/>
          <w:sz w:val="20"/>
        </w:rPr>
        <w:t>support</w:t>
      </w:r>
      <w:r w:rsidRPr="00834F16">
        <w:rPr>
          <w:i/>
          <w:sz w:val="20"/>
        </w:rPr>
        <w:t xml:space="preserve"> CRPD implementation at country level. </w:t>
      </w:r>
    </w:p>
    <w:p w14:paraId="3B5C0212" w14:textId="77777777" w:rsidR="00BD40E6" w:rsidRDefault="00BD40E6" w:rsidP="00830399">
      <w:pPr>
        <w:pStyle w:val="ListParagraph"/>
        <w:spacing w:after="0" w:line="240" w:lineRule="auto"/>
        <w:ind w:left="0"/>
        <w:contextualSpacing w:val="0"/>
        <w:jc w:val="both"/>
        <w:rPr>
          <w:sz w:val="20"/>
        </w:rPr>
      </w:pPr>
    </w:p>
    <w:p w14:paraId="53C84734" w14:textId="77777777" w:rsidR="00BD40E6" w:rsidRPr="001B7549" w:rsidRDefault="009857E6" w:rsidP="00830399">
      <w:pPr>
        <w:pStyle w:val="ListParagraph"/>
        <w:spacing w:after="0" w:line="240" w:lineRule="auto"/>
        <w:ind w:left="0"/>
        <w:contextualSpacing w:val="0"/>
        <w:jc w:val="both"/>
        <w:rPr>
          <w:b/>
          <w:sz w:val="20"/>
        </w:rPr>
      </w:pPr>
      <w:r w:rsidRPr="001B7549">
        <w:rPr>
          <w:sz w:val="20"/>
        </w:rPr>
        <w:t>Aside from the policy, action plan and accountability framework, t</w:t>
      </w:r>
      <w:r w:rsidR="00BD40E6" w:rsidRPr="001B7549">
        <w:rPr>
          <w:sz w:val="20"/>
        </w:rPr>
        <w:t xml:space="preserve">he main knowledge product will be the technical guidelines </w:t>
      </w:r>
      <w:r w:rsidR="00BD40E6" w:rsidRPr="001B7549">
        <w:rPr>
          <w:b/>
          <w:sz w:val="20"/>
        </w:rPr>
        <w:t>that will accompany the accountability framework.</w:t>
      </w:r>
      <w:r w:rsidR="0074582C" w:rsidRPr="001B7549">
        <w:rPr>
          <w:b/>
          <w:sz w:val="20"/>
        </w:rPr>
        <w:t xml:space="preserve"> </w:t>
      </w:r>
      <w:r w:rsidRPr="001B7549">
        <w:rPr>
          <w:b/>
          <w:sz w:val="20"/>
        </w:rPr>
        <w:t xml:space="preserve">Following the </w:t>
      </w:r>
      <w:r w:rsidR="0074582C" w:rsidRPr="001B7549">
        <w:rPr>
          <w:b/>
          <w:sz w:val="20"/>
        </w:rPr>
        <w:t>eventual adoption by</w:t>
      </w:r>
      <w:r w:rsidRPr="001B7549">
        <w:rPr>
          <w:b/>
          <w:sz w:val="20"/>
        </w:rPr>
        <w:t xml:space="preserve"> the CEB of the policy</w:t>
      </w:r>
      <w:r w:rsidR="006D71FD" w:rsidRPr="001B7549">
        <w:rPr>
          <w:b/>
          <w:sz w:val="20"/>
        </w:rPr>
        <w:t>, action plan</w:t>
      </w:r>
      <w:r w:rsidRPr="001B7549">
        <w:rPr>
          <w:b/>
          <w:sz w:val="20"/>
        </w:rPr>
        <w:t xml:space="preserve"> and accountability framework and throughout the </w:t>
      </w:r>
      <w:r w:rsidR="0074582C" w:rsidRPr="001B7549">
        <w:rPr>
          <w:b/>
          <w:sz w:val="20"/>
        </w:rPr>
        <w:t>application to the UN system</w:t>
      </w:r>
      <w:r w:rsidRPr="001B7549">
        <w:rPr>
          <w:b/>
          <w:sz w:val="20"/>
        </w:rPr>
        <w:t xml:space="preserve">, the technical guidance </w:t>
      </w:r>
      <w:r w:rsidR="0074582C" w:rsidRPr="001B7549">
        <w:rPr>
          <w:b/>
          <w:sz w:val="20"/>
        </w:rPr>
        <w:t xml:space="preserve">will </w:t>
      </w:r>
      <w:r w:rsidRPr="001B7549">
        <w:rPr>
          <w:b/>
          <w:sz w:val="20"/>
        </w:rPr>
        <w:t xml:space="preserve">be </w:t>
      </w:r>
      <w:r w:rsidR="002D5BD5" w:rsidRPr="001B7549">
        <w:rPr>
          <w:b/>
          <w:sz w:val="20"/>
        </w:rPr>
        <w:t xml:space="preserve">made available on </w:t>
      </w:r>
      <w:r w:rsidRPr="001B7549">
        <w:rPr>
          <w:b/>
          <w:sz w:val="20"/>
        </w:rPr>
        <w:t>the relevant corporate p</w:t>
      </w:r>
      <w:r w:rsidR="002D5BD5" w:rsidRPr="001B7549">
        <w:rPr>
          <w:b/>
          <w:sz w:val="20"/>
        </w:rPr>
        <w:t>latforms to all relevant stakeholders</w:t>
      </w:r>
      <w:r w:rsidRPr="001B7549">
        <w:rPr>
          <w:b/>
          <w:sz w:val="20"/>
        </w:rPr>
        <w:t xml:space="preserve"> and particularly UN Country Teams to support a coordinated, coherent and integrated approach to supporting mainstreaming in the system</w:t>
      </w:r>
      <w:r w:rsidR="00B3433A" w:rsidRPr="001B7549">
        <w:rPr>
          <w:b/>
          <w:sz w:val="20"/>
        </w:rPr>
        <w:t>.</w:t>
      </w:r>
    </w:p>
    <w:p w14:paraId="4560677D" w14:textId="77777777" w:rsidR="00BD40E6" w:rsidRPr="001B7549" w:rsidRDefault="00BD40E6" w:rsidP="00830399">
      <w:pPr>
        <w:pStyle w:val="ListParagraph"/>
        <w:spacing w:after="0" w:line="240" w:lineRule="auto"/>
        <w:ind w:left="0"/>
        <w:contextualSpacing w:val="0"/>
        <w:jc w:val="both"/>
        <w:rPr>
          <w:b/>
          <w:sz w:val="20"/>
        </w:rPr>
      </w:pPr>
    </w:p>
    <w:p w14:paraId="1E6EF8D5" w14:textId="77777777" w:rsidR="002D5BD5" w:rsidRPr="001B7549" w:rsidRDefault="00BD40E6" w:rsidP="00830399">
      <w:pPr>
        <w:pStyle w:val="ListParagraph"/>
        <w:spacing w:after="0" w:line="240" w:lineRule="auto"/>
        <w:ind w:left="0"/>
        <w:contextualSpacing w:val="0"/>
        <w:jc w:val="both"/>
        <w:rPr>
          <w:b/>
          <w:sz w:val="20"/>
        </w:rPr>
      </w:pPr>
      <w:r w:rsidRPr="001B7549">
        <w:rPr>
          <w:b/>
          <w:sz w:val="20"/>
        </w:rPr>
        <w:t xml:space="preserve">While these guidelines will be tailored to the </w:t>
      </w:r>
      <w:r w:rsidR="0074582C" w:rsidRPr="001B7549">
        <w:rPr>
          <w:b/>
          <w:sz w:val="20"/>
        </w:rPr>
        <w:t xml:space="preserve">context </w:t>
      </w:r>
      <w:r w:rsidRPr="001B7549">
        <w:rPr>
          <w:b/>
          <w:sz w:val="20"/>
        </w:rPr>
        <w:t>of UN entities, the experience from the UN gender system</w:t>
      </w:r>
      <w:r w:rsidR="0074582C" w:rsidRPr="001B7549">
        <w:rPr>
          <w:b/>
          <w:sz w:val="20"/>
        </w:rPr>
        <w:t>-</w:t>
      </w:r>
      <w:r w:rsidRPr="001B7549">
        <w:rPr>
          <w:b/>
          <w:sz w:val="20"/>
        </w:rPr>
        <w:t>wide action plan (</w:t>
      </w:r>
      <w:r w:rsidR="0074582C" w:rsidRPr="001B7549">
        <w:rPr>
          <w:b/>
          <w:sz w:val="20"/>
        </w:rPr>
        <w:t>SWAP</w:t>
      </w:r>
      <w:r w:rsidRPr="001B7549">
        <w:rPr>
          <w:b/>
          <w:sz w:val="20"/>
        </w:rPr>
        <w:t>) has shown that these products are</w:t>
      </w:r>
      <w:r w:rsidR="0074582C" w:rsidRPr="001B7549">
        <w:rPr>
          <w:b/>
          <w:sz w:val="20"/>
        </w:rPr>
        <w:t xml:space="preserve"> also</w:t>
      </w:r>
      <w:r w:rsidRPr="001B7549">
        <w:rPr>
          <w:b/>
          <w:sz w:val="20"/>
        </w:rPr>
        <w:t xml:space="preserve"> relevant for othe</w:t>
      </w:r>
      <w:r w:rsidR="0074582C" w:rsidRPr="001B7549">
        <w:rPr>
          <w:b/>
          <w:sz w:val="20"/>
        </w:rPr>
        <w:t>r</w:t>
      </w:r>
      <w:r w:rsidRPr="001B7549">
        <w:rPr>
          <w:b/>
          <w:sz w:val="20"/>
        </w:rPr>
        <w:t xml:space="preserve"> stakeholders, including </w:t>
      </w:r>
      <w:r w:rsidR="0074582C" w:rsidRPr="001B7549">
        <w:rPr>
          <w:b/>
          <w:sz w:val="20"/>
        </w:rPr>
        <w:t>government m</w:t>
      </w:r>
      <w:r w:rsidRPr="001B7549">
        <w:rPr>
          <w:b/>
          <w:sz w:val="20"/>
        </w:rPr>
        <w:t>inistries and private sector</w:t>
      </w:r>
      <w:r w:rsidR="0074582C" w:rsidRPr="001B7549">
        <w:rPr>
          <w:b/>
          <w:sz w:val="20"/>
        </w:rPr>
        <w:t xml:space="preserve"> entities</w:t>
      </w:r>
      <w:r w:rsidRPr="001B7549">
        <w:rPr>
          <w:b/>
          <w:sz w:val="20"/>
        </w:rPr>
        <w:t xml:space="preserve">. They will also be a relevant advocacy tool for </w:t>
      </w:r>
      <w:r w:rsidR="0074582C" w:rsidRPr="001B7549">
        <w:rPr>
          <w:b/>
          <w:sz w:val="20"/>
        </w:rPr>
        <w:t>DPOs</w:t>
      </w:r>
      <w:r w:rsidR="002D5BD5" w:rsidRPr="001B7549">
        <w:rPr>
          <w:b/>
          <w:sz w:val="20"/>
        </w:rPr>
        <w:t>.</w:t>
      </w:r>
    </w:p>
    <w:p w14:paraId="224CD5BA" w14:textId="77777777" w:rsidR="002D5BD5" w:rsidRPr="001B7549" w:rsidRDefault="002D5BD5" w:rsidP="00830399">
      <w:pPr>
        <w:pStyle w:val="ListParagraph"/>
        <w:spacing w:after="0" w:line="240" w:lineRule="auto"/>
        <w:ind w:left="0"/>
        <w:contextualSpacing w:val="0"/>
        <w:jc w:val="both"/>
        <w:rPr>
          <w:b/>
          <w:sz w:val="20"/>
        </w:rPr>
      </w:pPr>
    </w:p>
    <w:p w14:paraId="78B00BF2" w14:textId="77777777" w:rsidR="00BD40E6" w:rsidRPr="001B7549" w:rsidRDefault="002D5BD5" w:rsidP="00830399">
      <w:pPr>
        <w:pStyle w:val="ListParagraph"/>
        <w:spacing w:after="0" w:line="240" w:lineRule="auto"/>
        <w:ind w:left="0"/>
        <w:contextualSpacing w:val="0"/>
        <w:jc w:val="both"/>
        <w:rPr>
          <w:b/>
          <w:sz w:val="20"/>
        </w:rPr>
      </w:pPr>
      <w:r w:rsidRPr="001B7549">
        <w:rPr>
          <w:b/>
          <w:sz w:val="20"/>
        </w:rPr>
        <w:t>On a broader scale, the</w:t>
      </w:r>
      <w:r w:rsidR="009857E6" w:rsidRPr="001B7549">
        <w:rPr>
          <w:b/>
          <w:sz w:val="20"/>
        </w:rPr>
        <w:t xml:space="preserve"> policy and accountability framework</w:t>
      </w:r>
      <w:r w:rsidRPr="001B7549">
        <w:rPr>
          <w:b/>
          <w:sz w:val="20"/>
        </w:rPr>
        <w:t xml:space="preserve"> </w:t>
      </w:r>
      <w:r w:rsidR="0021480F" w:rsidRPr="001B7549">
        <w:rPr>
          <w:b/>
          <w:sz w:val="20"/>
        </w:rPr>
        <w:t>aim</w:t>
      </w:r>
      <w:r w:rsidRPr="001B7549">
        <w:rPr>
          <w:b/>
          <w:sz w:val="20"/>
        </w:rPr>
        <w:t xml:space="preserve"> to provide a common language and set forth a common understanding across UN entities of baseline requirements and best practices of disability inclusion in various contexts, which can serve as a basis for bilateral and multilateral discussions on disability rights and disability-inclusive development at global, regional and national levels.</w:t>
      </w:r>
    </w:p>
    <w:p w14:paraId="14C738C7" w14:textId="77777777" w:rsidR="00BC4B02" w:rsidRPr="002D0888" w:rsidRDefault="00830399" w:rsidP="002D0888">
      <w:pPr>
        <w:pStyle w:val="Heading1"/>
      </w:pPr>
      <w:r>
        <w:t>6.</w:t>
      </w:r>
      <w:r w:rsidR="002D0888">
        <w:t xml:space="preserve"> </w:t>
      </w:r>
      <w:r w:rsidR="00081DE7">
        <w:t xml:space="preserve">Project </w:t>
      </w:r>
      <w:r w:rsidR="00056FB7">
        <w:t>m</w:t>
      </w:r>
      <w:r w:rsidR="00BC4B02" w:rsidRPr="002D0888">
        <w:t xml:space="preserve">anagement </w:t>
      </w:r>
      <w:r w:rsidR="00056FB7">
        <w:t>and m</w:t>
      </w:r>
      <w:r w:rsidR="00081DE7">
        <w:t xml:space="preserve">onitoring </w:t>
      </w:r>
      <w:r w:rsidR="00BC4B02" w:rsidRPr="002D0888">
        <w:t>arrangements</w:t>
      </w:r>
    </w:p>
    <w:p w14:paraId="39D9F97E" w14:textId="77777777" w:rsidR="00BD40E6" w:rsidRPr="001B7549" w:rsidRDefault="00C6156F" w:rsidP="00BD40E6">
      <w:pPr>
        <w:spacing w:before="100" w:beforeAutospacing="1" w:after="60"/>
        <w:jc w:val="both"/>
        <w:rPr>
          <w:b/>
          <w:sz w:val="20"/>
        </w:rPr>
      </w:pPr>
      <w:r w:rsidRPr="001B7549">
        <w:rPr>
          <w:b/>
          <w:sz w:val="20"/>
        </w:rPr>
        <w:t>In line with the UN Executive Committee Decision 20/2018, t</w:t>
      </w:r>
      <w:r w:rsidR="00BD40E6" w:rsidRPr="001B7549">
        <w:rPr>
          <w:b/>
          <w:sz w:val="20"/>
        </w:rPr>
        <w:t xml:space="preserve">he project will be managed by the IASG subgroup that was created in 2017 to start working on a disability </w:t>
      </w:r>
      <w:r w:rsidR="002D5BD5" w:rsidRPr="001B7549">
        <w:rPr>
          <w:b/>
          <w:sz w:val="20"/>
        </w:rPr>
        <w:t>SWAP</w:t>
      </w:r>
      <w:r w:rsidR="00BD40E6" w:rsidRPr="001B7549">
        <w:rPr>
          <w:b/>
          <w:sz w:val="20"/>
        </w:rPr>
        <w:t xml:space="preserve">. </w:t>
      </w:r>
      <w:r w:rsidRPr="001B7549">
        <w:rPr>
          <w:b/>
          <w:sz w:val="20"/>
        </w:rPr>
        <w:t xml:space="preserve">The </w:t>
      </w:r>
      <w:r w:rsidR="007E2431" w:rsidRPr="001B7549">
        <w:rPr>
          <w:b/>
          <w:sz w:val="20"/>
        </w:rPr>
        <w:t>sub</w:t>
      </w:r>
      <w:r w:rsidR="00B3433A" w:rsidRPr="001B7549">
        <w:rPr>
          <w:b/>
          <w:sz w:val="20"/>
        </w:rPr>
        <w:t xml:space="preserve">-working </w:t>
      </w:r>
      <w:r w:rsidRPr="001B7549">
        <w:rPr>
          <w:b/>
          <w:sz w:val="20"/>
        </w:rPr>
        <w:t>group</w:t>
      </w:r>
      <w:r w:rsidR="00BD40E6" w:rsidRPr="001B7549">
        <w:rPr>
          <w:b/>
          <w:sz w:val="20"/>
        </w:rPr>
        <w:t xml:space="preserve"> is </w:t>
      </w:r>
      <w:r w:rsidR="00955CA3" w:rsidRPr="001B7549">
        <w:rPr>
          <w:b/>
          <w:sz w:val="20"/>
        </w:rPr>
        <w:t xml:space="preserve">currently </w:t>
      </w:r>
      <w:r w:rsidR="00BD40E6" w:rsidRPr="001B7549">
        <w:rPr>
          <w:b/>
          <w:sz w:val="20"/>
        </w:rPr>
        <w:t xml:space="preserve">co-chaired by UNDP and ILO and </w:t>
      </w:r>
      <w:r w:rsidR="00955CA3" w:rsidRPr="001B7549">
        <w:rPr>
          <w:b/>
          <w:sz w:val="20"/>
        </w:rPr>
        <w:t>enjoys the participation of numerous othe</w:t>
      </w:r>
      <w:r w:rsidR="00B3433A" w:rsidRPr="001B7549">
        <w:rPr>
          <w:b/>
          <w:sz w:val="20"/>
        </w:rPr>
        <w:t>r UN entities including UNWOMEN and</w:t>
      </w:r>
      <w:r w:rsidR="00955CA3" w:rsidRPr="001B7549">
        <w:rPr>
          <w:b/>
          <w:sz w:val="20"/>
        </w:rPr>
        <w:t xml:space="preserve"> DESA and </w:t>
      </w:r>
      <w:r w:rsidR="00BD40E6" w:rsidRPr="001B7549">
        <w:rPr>
          <w:b/>
          <w:sz w:val="20"/>
        </w:rPr>
        <w:t xml:space="preserve">benefits from the special involvement and support of the International Disability Alliance. </w:t>
      </w:r>
      <w:r w:rsidRPr="001B7549">
        <w:rPr>
          <w:b/>
          <w:sz w:val="20"/>
        </w:rPr>
        <w:t>It is open to all IASG members and its membership has grown due t</w:t>
      </w:r>
      <w:r w:rsidR="007E2431" w:rsidRPr="001B7549">
        <w:rPr>
          <w:b/>
          <w:sz w:val="20"/>
        </w:rPr>
        <w:t>o</w:t>
      </w:r>
      <w:r w:rsidRPr="001B7549">
        <w:rPr>
          <w:b/>
          <w:sz w:val="20"/>
        </w:rPr>
        <w:t xml:space="preserve"> the recent </w:t>
      </w:r>
      <w:r w:rsidR="007E2431" w:rsidRPr="001B7549">
        <w:rPr>
          <w:b/>
          <w:sz w:val="20"/>
        </w:rPr>
        <w:t>impetus for a disability SWAP</w:t>
      </w:r>
      <w:r w:rsidRPr="001B7549">
        <w:rPr>
          <w:b/>
          <w:sz w:val="20"/>
        </w:rPr>
        <w:t>.</w:t>
      </w:r>
      <w:r w:rsidR="00AF4339" w:rsidRPr="001B7549">
        <w:rPr>
          <w:b/>
          <w:sz w:val="20"/>
        </w:rPr>
        <w:t xml:space="preserve"> </w:t>
      </w:r>
    </w:p>
    <w:p w14:paraId="7A453062" w14:textId="77777777" w:rsidR="00BD40E6" w:rsidRPr="001B7549" w:rsidRDefault="00C6156F" w:rsidP="00BD40E6">
      <w:pPr>
        <w:spacing w:before="100" w:beforeAutospacing="1" w:after="60"/>
        <w:jc w:val="both"/>
        <w:rPr>
          <w:b/>
          <w:sz w:val="20"/>
        </w:rPr>
      </w:pPr>
      <w:r w:rsidRPr="001B7549">
        <w:rPr>
          <w:b/>
          <w:sz w:val="20"/>
        </w:rPr>
        <w:t xml:space="preserve">The UN Executive Committee </w:t>
      </w:r>
      <w:r w:rsidR="007E2431" w:rsidRPr="001B7549">
        <w:rPr>
          <w:b/>
          <w:sz w:val="20"/>
        </w:rPr>
        <w:t>D</w:t>
      </w:r>
      <w:r w:rsidRPr="001B7549">
        <w:rPr>
          <w:b/>
          <w:sz w:val="20"/>
        </w:rPr>
        <w:t>ecision set</w:t>
      </w:r>
      <w:r w:rsidR="007E2431" w:rsidRPr="001B7549">
        <w:rPr>
          <w:b/>
          <w:sz w:val="20"/>
        </w:rPr>
        <w:t>s</w:t>
      </w:r>
      <w:r w:rsidRPr="001B7549">
        <w:rPr>
          <w:b/>
          <w:sz w:val="20"/>
        </w:rPr>
        <w:t xml:space="preserve"> a very clear timeframe for the project</w:t>
      </w:r>
      <w:r w:rsidR="007E2431" w:rsidRPr="001B7549">
        <w:rPr>
          <w:b/>
          <w:sz w:val="20"/>
        </w:rPr>
        <w:t>:</w:t>
      </w:r>
      <w:r w:rsidRPr="001B7549">
        <w:rPr>
          <w:b/>
          <w:sz w:val="20"/>
        </w:rPr>
        <w:t xml:space="preserve"> end of September</w:t>
      </w:r>
      <w:r w:rsidR="007E2431" w:rsidRPr="001B7549">
        <w:rPr>
          <w:b/>
          <w:sz w:val="20"/>
        </w:rPr>
        <w:t xml:space="preserve"> 2018</w:t>
      </w:r>
      <w:r w:rsidRPr="001B7549">
        <w:rPr>
          <w:b/>
          <w:sz w:val="20"/>
        </w:rPr>
        <w:t xml:space="preserve"> for the findings of the </w:t>
      </w:r>
      <w:r w:rsidR="00955CA3" w:rsidRPr="001B7549">
        <w:rPr>
          <w:b/>
          <w:sz w:val="20"/>
        </w:rPr>
        <w:t>review</w:t>
      </w:r>
      <w:r w:rsidR="007E2431" w:rsidRPr="001B7549">
        <w:rPr>
          <w:b/>
          <w:sz w:val="20"/>
        </w:rPr>
        <w:t>,</w:t>
      </w:r>
      <w:r w:rsidRPr="001B7549">
        <w:rPr>
          <w:b/>
          <w:sz w:val="20"/>
        </w:rPr>
        <w:t xml:space="preserve"> and </w:t>
      </w:r>
      <w:r w:rsidR="00955CA3" w:rsidRPr="001B7549">
        <w:rPr>
          <w:b/>
          <w:sz w:val="20"/>
        </w:rPr>
        <w:t xml:space="preserve">then subsequently until the </w:t>
      </w:r>
      <w:r w:rsidRPr="001B7549">
        <w:rPr>
          <w:b/>
          <w:sz w:val="20"/>
        </w:rPr>
        <w:t xml:space="preserve">end of the first </w:t>
      </w:r>
      <w:r w:rsidR="007E2431" w:rsidRPr="001B7549">
        <w:rPr>
          <w:b/>
          <w:sz w:val="20"/>
        </w:rPr>
        <w:t xml:space="preserve">quarter </w:t>
      </w:r>
      <w:r w:rsidRPr="001B7549">
        <w:rPr>
          <w:b/>
          <w:sz w:val="20"/>
        </w:rPr>
        <w:t xml:space="preserve">of 2019 for presentation of the draft policy and accountability framework to the </w:t>
      </w:r>
      <w:r w:rsidR="00955CA3" w:rsidRPr="001B7549">
        <w:rPr>
          <w:b/>
          <w:sz w:val="20"/>
        </w:rPr>
        <w:t>CEB.</w:t>
      </w:r>
    </w:p>
    <w:p w14:paraId="4B5E2918" w14:textId="77777777" w:rsidR="00AF4339" w:rsidRPr="001B7549" w:rsidRDefault="00C6156F" w:rsidP="00AF4339">
      <w:pPr>
        <w:spacing w:before="100" w:beforeAutospacing="1" w:after="60"/>
        <w:jc w:val="both"/>
        <w:rPr>
          <w:b/>
          <w:sz w:val="20"/>
        </w:rPr>
      </w:pPr>
      <w:r w:rsidRPr="001B7549">
        <w:rPr>
          <w:b/>
          <w:sz w:val="20"/>
        </w:rPr>
        <w:t xml:space="preserve">This ambitious timeline will require monthly meetings of the IASG subgroup to keep track of progress, decide on the piloting phase, </w:t>
      </w:r>
      <w:r w:rsidR="007E2431" w:rsidRPr="001B7549">
        <w:rPr>
          <w:b/>
          <w:sz w:val="20"/>
        </w:rPr>
        <w:t xml:space="preserve">prepare the </w:t>
      </w:r>
      <w:r w:rsidRPr="001B7549">
        <w:rPr>
          <w:b/>
          <w:sz w:val="20"/>
        </w:rPr>
        <w:t xml:space="preserve">workshops to be held before the end of </w:t>
      </w:r>
      <w:r w:rsidR="007E2431" w:rsidRPr="001B7549">
        <w:rPr>
          <w:b/>
          <w:sz w:val="20"/>
        </w:rPr>
        <w:t>2018</w:t>
      </w:r>
      <w:r w:rsidRPr="001B7549">
        <w:rPr>
          <w:b/>
          <w:sz w:val="20"/>
        </w:rPr>
        <w:t xml:space="preserve"> and </w:t>
      </w:r>
      <w:proofErr w:type="gramStart"/>
      <w:r w:rsidRPr="001B7549">
        <w:rPr>
          <w:b/>
          <w:sz w:val="20"/>
        </w:rPr>
        <w:t>in particular discuss</w:t>
      </w:r>
      <w:proofErr w:type="gramEnd"/>
      <w:r w:rsidRPr="001B7549">
        <w:rPr>
          <w:b/>
          <w:sz w:val="20"/>
        </w:rPr>
        <w:t xml:space="preserve"> the differe</w:t>
      </w:r>
      <w:r w:rsidR="00B3433A" w:rsidRPr="001B7549">
        <w:rPr>
          <w:b/>
          <w:sz w:val="20"/>
        </w:rPr>
        <w:t>nt draft versions of the policy and</w:t>
      </w:r>
      <w:r w:rsidRPr="001B7549">
        <w:rPr>
          <w:b/>
          <w:sz w:val="20"/>
        </w:rPr>
        <w:t xml:space="preserve"> accountability framework.</w:t>
      </w:r>
      <w:r w:rsidR="00AF4339" w:rsidRPr="001B7549">
        <w:rPr>
          <w:b/>
          <w:sz w:val="20"/>
        </w:rPr>
        <w:t xml:space="preserve"> The sub-group will report back to the broader IASG group from time to time with updates on project progress as well </w:t>
      </w:r>
      <w:r w:rsidR="0028469B" w:rsidRPr="001B7549">
        <w:rPr>
          <w:b/>
          <w:sz w:val="20"/>
        </w:rPr>
        <w:t xml:space="preserve">as </w:t>
      </w:r>
      <w:r w:rsidR="00AF4339" w:rsidRPr="001B7549">
        <w:rPr>
          <w:b/>
          <w:sz w:val="20"/>
        </w:rPr>
        <w:t xml:space="preserve">meeting UNPRPD reporting requirements. </w:t>
      </w:r>
    </w:p>
    <w:p w14:paraId="765B638B" w14:textId="1D302E91" w:rsidR="006B52F5" w:rsidRPr="001B7549" w:rsidRDefault="00C66D13" w:rsidP="00B853BD">
      <w:pPr>
        <w:spacing w:before="100" w:beforeAutospacing="1" w:after="60"/>
        <w:jc w:val="both"/>
        <w:rPr>
          <w:b/>
          <w:sz w:val="20"/>
        </w:rPr>
      </w:pPr>
      <w:r w:rsidRPr="001B7549">
        <w:rPr>
          <w:b/>
          <w:sz w:val="20"/>
        </w:rPr>
        <w:t xml:space="preserve">To allow for efficiency and coordination, </w:t>
      </w:r>
      <w:r w:rsidR="007E2431" w:rsidRPr="001B7549">
        <w:rPr>
          <w:b/>
          <w:sz w:val="20"/>
        </w:rPr>
        <w:t>it is proposed that funding be managed centrally by</w:t>
      </w:r>
      <w:r w:rsidRPr="001B7549">
        <w:rPr>
          <w:b/>
          <w:sz w:val="20"/>
        </w:rPr>
        <w:t xml:space="preserve"> a single entity and with</w:t>
      </w:r>
      <w:r w:rsidR="007E2431" w:rsidRPr="001B7549">
        <w:rPr>
          <w:b/>
          <w:sz w:val="20"/>
        </w:rPr>
        <w:t xml:space="preserve"> ILO</w:t>
      </w:r>
      <w:r w:rsidRPr="001B7549">
        <w:rPr>
          <w:b/>
          <w:sz w:val="20"/>
        </w:rPr>
        <w:t xml:space="preserve"> as a co-chair of the IASG subgroup</w:t>
      </w:r>
      <w:r w:rsidR="00152612" w:rsidRPr="001B7549">
        <w:rPr>
          <w:b/>
          <w:sz w:val="20"/>
        </w:rPr>
        <w:t>,</w:t>
      </w:r>
      <w:r w:rsidRPr="001B7549">
        <w:rPr>
          <w:b/>
          <w:sz w:val="20"/>
        </w:rPr>
        <w:t xml:space="preserve"> it is planned for the funding to be transferred to</w:t>
      </w:r>
      <w:r w:rsidR="00FA6572" w:rsidRPr="001B7549">
        <w:rPr>
          <w:b/>
          <w:sz w:val="20"/>
        </w:rPr>
        <w:t>,</w:t>
      </w:r>
      <w:r w:rsidRPr="001B7549">
        <w:rPr>
          <w:b/>
          <w:sz w:val="20"/>
        </w:rPr>
        <w:t xml:space="preserve"> managed</w:t>
      </w:r>
      <w:r w:rsidR="00FA6572" w:rsidRPr="001B7549">
        <w:rPr>
          <w:b/>
          <w:sz w:val="20"/>
        </w:rPr>
        <w:t xml:space="preserve"> and reported upon</w:t>
      </w:r>
      <w:r w:rsidRPr="001B7549">
        <w:rPr>
          <w:b/>
          <w:sz w:val="20"/>
        </w:rPr>
        <w:t xml:space="preserve"> by ILO</w:t>
      </w:r>
      <w:r w:rsidR="007E2431" w:rsidRPr="001B7549">
        <w:rPr>
          <w:b/>
          <w:sz w:val="20"/>
        </w:rPr>
        <w:t>.</w:t>
      </w:r>
      <w:r w:rsidR="006B52F5" w:rsidRPr="001B7549">
        <w:rPr>
          <w:b/>
        </w:rPr>
        <w:t xml:space="preserve"> </w:t>
      </w:r>
      <w:r w:rsidR="006B52F5" w:rsidRPr="001B7549">
        <w:rPr>
          <w:b/>
          <w:sz w:val="20"/>
        </w:rPr>
        <w:t>For coordination and technical support to the UNDIS, a unit will be created in the EOSG</w:t>
      </w:r>
      <w:r w:rsidR="009121DC" w:rsidRPr="001B7549">
        <w:rPr>
          <w:b/>
          <w:sz w:val="20"/>
        </w:rPr>
        <w:t xml:space="preserve"> for an initial period of one year</w:t>
      </w:r>
      <w:r w:rsidR="006B52F5" w:rsidRPr="001B7549">
        <w:rPr>
          <w:b/>
          <w:sz w:val="20"/>
        </w:rPr>
        <w:t>.</w:t>
      </w:r>
    </w:p>
    <w:p w14:paraId="2B06C5EE" w14:textId="77777777" w:rsidR="00BC4B02" w:rsidRPr="001B7549" w:rsidRDefault="00BC4B02" w:rsidP="00B853BD">
      <w:pPr>
        <w:spacing w:before="100" w:beforeAutospacing="1" w:after="60"/>
        <w:jc w:val="both"/>
        <w:rPr>
          <w:b/>
        </w:rPr>
      </w:pPr>
      <w:r w:rsidRPr="001B7549">
        <w:rPr>
          <w:b/>
        </w:rPr>
        <w:t>Table 4. Implementation arrangements</w:t>
      </w:r>
    </w:p>
    <w:p w14:paraId="3DE40DCF" w14:textId="77777777" w:rsidR="00BC4B02" w:rsidRDefault="00BC4B02" w:rsidP="00BC4B02">
      <w:pPr>
        <w:pStyle w:val="ListParagraph"/>
        <w:spacing w:after="0" w:line="240" w:lineRule="auto"/>
        <w:ind w:left="360"/>
        <w:contextualSpacing w:val="0"/>
        <w:jc w:val="both"/>
        <w:rPr>
          <w:b/>
          <w:sz w:val="20"/>
        </w:rPr>
      </w:pPr>
    </w:p>
    <w:tbl>
      <w:tblPr>
        <w:tblStyle w:val="TableGrid"/>
        <w:tblW w:w="972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657"/>
        <w:gridCol w:w="2369"/>
        <w:gridCol w:w="2400"/>
        <w:gridCol w:w="2294"/>
      </w:tblGrid>
      <w:tr w:rsidR="00BC4B02" w14:paraId="56D28089" w14:textId="77777777" w:rsidTr="00FB40C6">
        <w:trPr>
          <w:tblHeader/>
        </w:trPr>
        <w:tc>
          <w:tcPr>
            <w:tcW w:w="2657" w:type="dxa"/>
            <w:tcBorders>
              <w:bottom w:val="double" w:sz="4" w:space="0" w:color="auto"/>
            </w:tcBorders>
            <w:shd w:val="clear" w:color="auto" w:fill="D9D9D9" w:themeFill="background1" w:themeFillShade="D9"/>
          </w:tcPr>
          <w:p w14:paraId="70F28993"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Outcome number</w:t>
            </w:r>
          </w:p>
        </w:tc>
        <w:tc>
          <w:tcPr>
            <w:tcW w:w="2369" w:type="dxa"/>
            <w:tcBorders>
              <w:bottom w:val="double" w:sz="4" w:space="0" w:color="auto"/>
            </w:tcBorders>
            <w:shd w:val="clear" w:color="auto" w:fill="D9D9D9" w:themeFill="background1" w:themeFillShade="D9"/>
          </w:tcPr>
          <w:p w14:paraId="2394C244"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UNPRPD Focal Point</w:t>
            </w:r>
          </w:p>
        </w:tc>
        <w:tc>
          <w:tcPr>
            <w:tcW w:w="2400" w:type="dxa"/>
            <w:tcBorders>
              <w:bottom w:val="double" w:sz="4" w:space="0" w:color="auto"/>
            </w:tcBorders>
            <w:shd w:val="clear" w:color="auto" w:fill="D9D9D9" w:themeFill="background1" w:themeFillShade="D9"/>
          </w:tcPr>
          <w:p w14:paraId="1CED79E8"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Implementing agencies</w:t>
            </w:r>
          </w:p>
        </w:tc>
        <w:tc>
          <w:tcPr>
            <w:tcW w:w="2294" w:type="dxa"/>
            <w:tcBorders>
              <w:bottom w:val="double" w:sz="4" w:space="0" w:color="auto"/>
            </w:tcBorders>
            <w:shd w:val="clear" w:color="auto" w:fill="D9D9D9" w:themeFill="background1" w:themeFillShade="D9"/>
          </w:tcPr>
          <w:p w14:paraId="5D6A6C88"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Other partners</w:t>
            </w:r>
          </w:p>
        </w:tc>
      </w:tr>
      <w:tr w:rsidR="000401F6" w14:paraId="6F33D7B8" w14:textId="77777777" w:rsidTr="00FB40C6">
        <w:tc>
          <w:tcPr>
            <w:tcW w:w="2657" w:type="dxa"/>
            <w:tcBorders>
              <w:top w:val="double" w:sz="4" w:space="0" w:color="auto"/>
              <w:bottom w:val="double" w:sz="4" w:space="0" w:color="auto"/>
              <w:right w:val="double" w:sz="4" w:space="0" w:color="auto"/>
            </w:tcBorders>
          </w:tcPr>
          <w:p w14:paraId="6499ED85" w14:textId="5C773F0D" w:rsidR="000401F6" w:rsidRDefault="00C6156F" w:rsidP="0062403C">
            <w:pPr>
              <w:pStyle w:val="ListParagraph"/>
              <w:numPr>
                <w:ilvl w:val="0"/>
                <w:numId w:val="48"/>
              </w:numPr>
              <w:ind w:left="252"/>
              <w:contextualSpacing w:val="0"/>
              <w:jc w:val="both"/>
              <w:rPr>
                <w:b/>
                <w:sz w:val="20"/>
              </w:rPr>
            </w:pPr>
            <w:r>
              <w:rPr>
                <w:b/>
                <w:sz w:val="20"/>
              </w:rPr>
              <w:t xml:space="preserve"> </w:t>
            </w:r>
            <w:r w:rsidR="00AE48FA">
              <w:rPr>
                <w:sz w:val="20"/>
              </w:rPr>
              <w:t>Submit to</w:t>
            </w:r>
            <w:r>
              <w:rPr>
                <w:sz w:val="20"/>
              </w:rPr>
              <w:t xml:space="preserve"> the UN Chief Executives Board a UN system-wide policy, action pla</w:t>
            </w:r>
            <w:r w:rsidR="00AE48FA">
              <w:rPr>
                <w:sz w:val="20"/>
              </w:rPr>
              <w:t xml:space="preserve">n and accountability framework </w:t>
            </w:r>
            <w:r>
              <w:rPr>
                <w:sz w:val="20"/>
              </w:rPr>
              <w:t>on disability inclusion and accessibility for persons with disabilities</w:t>
            </w:r>
          </w:p>
        </w:tc>
        <w:tc>
          <w:tcPr>
            <w:tcW w:w="2369" w:type="dxa"/>
            <w:tcBorders>
              <w:top w:val="double" w:sz="4" w:space="0" w:color="auto"/>
              <w:left w:val="double" w:sz="4" w:space="0" w:color="auto"/>
              <w:bottom w:val="double" w:sz="4" w:space="0" w:color="auto"/>
              <w:right w:val="double" w:sz="4" w:space="0" w:color="auto"/>
            </w:tcBorders>
          </w:tcPr>
          <w:p w14:paraId="0039FAC9" w14:textId="77777777" w:rsidR="000401F6" w:rsidRPr="0062403C" w:rsidRDefault="00EE10ED" w:rsidP="000401F6">
            <w:pPr>
              <w:pStyle w:val="ListParagraph"/>
              <w:ind w:left="0"/>
              <w:contextualSpacing w:val="0"/>
              <w:jc w:val="both"/>
              <w:rPr>
                <w:sz w:val="20"/>
              </w:rPr>
            </w:pPr>
            <w:r w:rsidRPr="0062403C">
              <w:rPr>
                <w:sz w:val="20"/>
              </w:rPr>
              <w:t xml:space="preserve">Stefan </w:t>
            </w:r>
            <w:r w:rsidR="0067638F" w:rsidRPr="0062403C">
              <w:rPr>
                <w:sz w:val="20"/>
              </w:rPr>
              <w:t>Tromel, ILO</w:t>
            </w:r>
          </w:p>
        </w:tc>
        <w:tc>
          <w:tcPr>
            <w:tcW w:w="2400" w:type="dxa"/>
            <w:tcBorders>
              <w:top w:val="double" w:sz="4" w:space="0" w:color="auto"/>
              <w:left w:val="double" w:sz="4" w:space="0" w:color="auto"/>
              <w:bottom w:val="double" w:sz="4" w:space="0" w:color="auto"/>
              <w:right w:val="double" w:sz="4" w:space="0" w:color="auto"/>
            </w:tcBorders>
          </w:tcPr>
          <w:p w14:paraId="4B56A0F9" w14:textId="77777777" w:rsidR="000401F6" w:rsidRPr="0062403C" w:rsidRDefault="00427AD1" w:rsidP="00427AD1">
            <w:pPr>
              <w:jc w:val="both"/>
              <w:rPr>
                <w:sz w:val="20"/>
              </w:rPr>
            </w:pPr>
            <w:r w:rsidRPr="0062403C">
              <w:rPr>
                <w:sz w:val="20"/>
              </w:rPr>
              <w:t>Co-chairs of the sub-working group: ILO with current co-chair UNDP</w:t>
            </w:r>
          </w:p>
        </w:tc>
        <w:tc>
          <w:tcPr>
            <w:tcW w:w="2294" w:type="dxa"/>
            <w:tcBorders>
              <w:top w:val="double" w:sz="4" w:space="0" w:color="auto"/>
              <w:left w:val="double" w:sz="4" w:space="0" w:color="auto"/>
              <w:bottom w:val="double" w:sz="4" w:space="0" w:color="auto"/>
            </w:tcBorders>
          </w:tcPr>
          <w:p w14:paraId="556A53E3" w14:textId="77777777" w:rsidR="000401F6" w:rsidRDefault="00C6156F" w:rsidP="000401F6">
            <w:pPr>
              <w:rPr>
                <w:sz w:val="20"/>
              </w:rPr>
            </w:pPr>
            <w:r>
              <w:rPr>
                <w:sz w:val="20"/>
              </w:rPr>
              <w:t>IDA</w:t>
            </w:r>
          </w:p>
          <w:p w14:paraId="6B21151D" w14:textId="77777777" w:rsidR="00C6156F" w:rsidRDefault="00C6156F" w:rsidP="000401F6">
            <w:r>
              <w:rPr>
                <w:sz w:val="20"/>
              </w:rPr>
              <w:t>All current and new members of the IASG</w:t>
            </w:r>
          </w:p>
        </w:tc>
      </w:tr>
      <w:tr w:rsidR="00DB335C" w14:paraId="5BE97506" w14:textId="77777777" w:rsidTr="00FB40C6">
        <w:tc>
          <w:tcPr>
            <w:tcW w:w="2657" w:type="dxa"/>
            <w:tcBorders>
              <w:top w:val="double" w:sz="4" w:space="0" w:color="auto"/>
              <w:bottom w:val="double" w:sz="4" w:space="0" w:color="auto"/>
              <w:right w:val="double" w:sz="4" w:space="0" w:color="auto"/>
            </w:tcBorders>
          </w:tcPr>
          <w:p w14:paraId="32E7941F" w14:textId="7D932877" w:rsidR="00DB335C" w:rsidRPr="0062403C" w:rsidRDefault="00006D44" w:rsidP="00006D44">
            <w:pPr>
              <w:pStyle w:val="ListParagraph"/>
              <w:numPr>
                <w:ilvl w:val="0"/>
                <w:numId w:val="10"/>
              </w:numPr>
              <w:contextualSpacing w:val="0"/>
              <w:jc w:val="both"/>
              <w:rPr>
                <w:sz w:val="20"/>
              </w:rPr>
            </w:pPr>
            <w:r w:rsidRPr="000C2397">
              <w:rPr>
                <w:color w:val="C00000"/>
                <w:sz w:val="20"/>
              </w:rPr>
              <w:t xml:space="preserve">System wide coordination and technical support mechanism on UNDIS implementation and reporting  </w:t>
            </w:r>
          </w:p>
        </w:tc>
        <w:tc>
          <w:tcPr>
            <w:tcW w:w="2369" w:type="dxa"/>
            <w:tcBorders>
              <w:top w:val="double" w:sz="4" w:space="0" w:color="auto"/>
              <w:left w:val="double" w:sz="4" w:space="0" w:color="auto"/>
              <w:bottom w:val="double" w:sz="4" w:space="0" w:color="auto"/>
              <w:right w:val="double" w:sz="4" w:space="0" w:color="auto"/>
            </w:tcBorders>
          </w:tcPr>
          <w:p w14:paraId="792A40DA" w14:textId="4CBFE7AA" w:rsidR="00DB335C" w:rsidRPr="0062403C" w:rsidRDefault="00D35812" w:rsidP="000401F6">
            <w:pPr>
              <w:pStyle w:val="ListParagraph"/>
              <w:ind w:left="0"/>
              <w:contextualSpacing w:val="0"/>
              <w:jc w:val="both"/>
              <w:rPr>
                <w:sz w:val="20"/>
              </w:rPr>
            </w:pPr>
            <w:r w:rsidRPr="0062403C">
              <w:rPr>
                <w:sz w:val="20"/>
              </w:rPr>
              <w:t>Gopal Mitra</w:t>
            </w:r>
            <w:r w:rsidR="0062403C" w:rsidRPr="0062403C">
              <w:rPr>
                <w:sz w:val="20"/>
              </w:rPr>
              <w:t xml:space="preserve">, </w:t>
            </w:r>
            <w:r w:rsidRPr="0062403C">
              <w:rPr>
                <w:sz w:val="20"/>
              </w:rPr>
              <w:t>EOSG</w:t>
            </w:r>
          </w:p>
        </w:tc>
        <w:tc>
          <w:tcPr>
            <w:tcW w:w="2400" w:type="dxa"/>
            <w:tcBorders>
              <w:top w:val="double" w:sz="4" w:space="0" w:color="auto"/>
              <w:left w:val="double" w:sz="4" w:space="0" w:color="auto"/>
              <w:bottom w:val="double" w:sz="4" w:space="0" w:color="auto"/>
              <w:right w:val="double" w:sz="4" w:space="0" w:color="auto"/>
            </w:tcBorders>
          </w:tcPr>
          <w:p w14:paraId="6506D1FF" w14:textId="3D01FD47" w:rsidR="00DB335C" w:rsidRPr="0062403C" w:rsidRDefault="00226E36" w:rsidP="00427AD1">
            <w:pPr>
              <w:jc w:val="both"/>
              <w:rPr>
                <w:sz w:val="20"/>
              </w:rPr>
            </w:pPr>
            <w:r w:rsidRPr="0062403C">
              <w:rPr>
                <w:sz w:val="20"/>
              </w:rPr>
              <w:t>EOSG</w:t>
            </w:r>
          </w:p>
        </w:tc>
        <w:tc>
          <w:tcPr>
            <w:tcW w:w="2294" w:type="dxa"/>
            <w:tcBorders>
              <w:top w:val="double" w:sz="4" w:space="0" w:color="auto"/>
              <w:left w:val="double" w:sz="4" w:space="0" w:color="auto"/>
              <w:bottom w:val="double" w:sz="4" w:space="0" w:color="auto"/>
            </w:tcBorders>
          </w:tcPr>
          <w:p w14:paraId="51B30591" w14:textId="66C6BD59" w:rsidR="00DB335C" w:rsidRDefault="00226E36" w:rsidP="000401F6">
            <w:pPr>
              <w:rPr>
                <w:sz w:val="20"/>
              </w:rPr>
            </w:pPr>
            <w:r>
              <w:rPr>
                <w:sz w:val="20"/>
              </w:rPr>
              <w:t>IASG and other UN system entities and mechanisms</w:t>
            </w:r>
          </w:p>
        </w:tc>
      </w:tr>
    </w:tbl>
    <w:p w14:paraId="263B4FDB" w14:textId="77777777" w:rsidR="00BC4B02" w:rsidRPr="00002BED" w:rsidRDefault="00BC4B02" w:rsidP="00BC4B02">
      <w:pPr>
        <w:spacing w:after="0" w:line="240" w:lineRule="auto"/>
        <w:jc w:val="both"/>
        <w:rPr>
          <w:sz w:val="20"/>
        </w:rPr>
      </w:pPr>
    </w:p>
    <w:p w14:paraId="1FC7BAB4" w14:textId="77777777" w:rsidR="00E80F54" w:rsidRDefault="00E80F54">
      <w:pPr>
        <w:spacing w:after="160" w:line="259" w:lineRule="auto"/>
        <w:rPr>
          <w:rFonts w:ascii="Calibri" w:eastAsiaTheme="majorEastAsia" w:hAnsi="Calibri" w:cstheme="majorBidi"/>
          <w:b/>
          <w:color w:val="2E74B5" w:themeColor="accent1" w:themeShade="BF"/>
          <w:sz w:val="24"/>
          <w:szCs w:val="32"/>
        </w:rPr>
      </w:pPr>
      <w:r>
        <w:br w:type="page"/>
      </w:r>
    </w:p>
    <w:p w14:paraId="4C7354E2" w14:textId="3D9BDF06" w:rsidR="00F66AC2" w:rsidRPr="005C52C0" w:rsidRDefault="00CE32D7" w:rsidP="00F66AC2">
      <w:pPr>
        <w:pStyle w:val="Heading1"/>
      </w:pPr>
      <w:bookmarkStart w:id="0" w:name="_GoBack"/>
      <w:bookmarkEnd w:id="0"/>
      <w:r>
        <w:t>7</w:t>
      </w:r>
      <w:r w:rsidR="002D0888">
        <w:t xml:space="preserve">. </w:t>
      </w:r>
      <w:r w:rsidR="00F66AC2">
        <w:t>Risk</w:t>
      </w:r>
      <w:r w:rsidR="00F66AC2" w:rsidRPr="005C52C0">
        <w:t xml:space="preserve"> Management</w:t>
      </w:r>
    </w:p>
    <w:p w14:paraId="7F8C3126" w14:textId="77777777" w:rsidR="00884CE1" w:rsidRDefault="00884CE1" w:rsidP="00F66AC2">
      <w:pPr>
        <w:spacing w:after="0"/>
        <w:jc w:val="both"/>
        <w:rPr>
          <w:color w:val="000000" w:themeColor="text1"/>
          <w:sz w:val="20"/>
        </w:rPr>
      </w:pPr>
    </w:p>
    <w:p w14:paraId="404670D9" w14:textId="77777777" w:rsidR="005C0459" w:rsidRPr="00872996" w:rsidRDefault="005A67C4" w:rsidP="00F66AC2">
      <w:pPr>
        <w:spacing w:after="0"/>
        <w:jc w:val="both"/>
        <w:rPr>
          <w:i/>
          <w:color w:val="000000" w:themeColor="text1"/>
          <w:sz w:val="20"/>
        </w:rPr>
      </w:pPr>
      <w:r w:rsidRPr="00872996">
        <w:rPr>
          <w:i/>
          <w:color w:val="000000" w:themeColor="text1"/>
          <w:sz w:val="20"/>
        </w:rPr>
        <w:t>Using the</w:t>
      </w:r>
      <w:r w:rsidR="00791903" w:rsidRPr="00872996">
        <w:rPr>
          <w:i/>
          <w:color w:val="000000" w:themeColor="text1"/>
          <w:sz w:val="20"/>
        </w:rPr>
        <w:t xml:space="preserve"> table below</w:t>
      </w:r>
      <w:r w:rsidRPr="00872996">
        <w:rPr>
          <w:i/>
          <w:color w:val="000000" w:themeColor="text1"/>
          <w:sz w:val="20"/>
        </w:rPr>
        <w:t xml:space="preserve"> please outline what the r</w:t>
      </w:r>
      <w:r w:rsidR="00F66AC2" w:rsidRPr="00872996">
        <w:rPr>
          <w:i/>
          <w:color w:val="000000" w:themeColor="text1"/>
          <w:sz w:val="20"/>
        </w:rPr>
        <w:t>isk</w:t>
      </w:r>
      <w:r w:rsidRPr="00872996">
        <w:rPr>
          <w:i/>
          <w:color w:val="000000" w:themeColor="text1"/>
          <w:sz w:val="20"/>
        </w:rPr>
        <w:t xml:space="preserve">s are </w:t>
      </w:r>
      <w:r w:rsidR="00F6422D">
        <w:rPr>
          <w:i/>
          <w:color w:val="000000" w:themeColor="text1"/>
          <w:sz w:val="20"/>
        </w:rPr>
        <w:t xml:space="preserve">and what </w:t>
      </w:r>
      <w:r w:rsidRPr="00872996">
        <w:rPr>
          <w:i/>
          <w:color w:val="000000" w:themeColor="text1"/>
          <w:sz w:val="20"/>
        </w:rPr>
        <w:t>the risk management s</w:t>
      </w:r>
      <w:r w:rsidR="00F66AC2" w:rsidRPr="00872996">
        <w:rPr>
          <w:i/>
          <w:color w:val="000000" w:themeColor="text1"/>
          <w:sz w:val="20"/>
        </w:rPr>
        <w:t>trategy</w:t>
      </w:r>
      <w:r w:rsidR="00F6422D">
        <w:rPr>
          <w:i/>
          <w:color w:val="000000" w:themeColor="text1"/>
          <w:sz w:val="20"/>
        </w:rPr>
        <w:t xml:space="preserve"> is</w:t>
      </w:r>
      <w:r w:rsidRPr="00872996">
        <w:rPr>
          <w:i/>
          <w:color w:val="000000" w:themeColor="text1"/>
          <w:sz w:val="20"/>
        </w:rPr>
        <w:t xml:space="preserve">? </w:t>
      </w:r>
    </w:p>
    <w:p w14:paraId="6963F9FD" w14:textId="77777777" w:rsidR="00C2722E" w:rsidRDefault="00C2722E" w:rsidP="00F66AC2">
      <w:pPr>
        <w:spacing w:after="0"/>
        <w:jc w:val="both"/>
        <w:rPr>
          <w:b/>
          <w:color w:val="000000" w:themeColor="text1"/>
          <w:sz w:val="20"/>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2072"/>
        <w:gridCol w:w="1446"/>
        <w:gridCol w:w="1199"/>
        <w:gridCol w:w="1722"/>
        <w:gridCol w:w="1942"/>
        <w:gridCol w:w="1494"/>
      </w:tblGrid>
      <w:tr w:rsidR="00B408B8" w14:paraId="5F73E6F5" w14:textId="77777777" w:rsidTr="00356369">
        <w:trPr>
          <w:tblHeader/>
        </w:trPr>
        <w:tc>
          <w:tcPr>
            <w:tcW w:w="2235" w:type="dxa"/>
            <w:shd w:val="clear" w:color="auto" w:fill="D9D9D9" w:themeFill="background1" w:themeFillShade="D9"/>
          </w:tcPr>
          <w:p w14:paraId="3B7A51DA" w14:textId="77777777" w:rsidR="00F66AC2" w:rsidRPr="00EE06B6" w:rsidRDefault="00F66AC2" w:rsidP="004A5E9B">
            <w:pPr>
              <w:jc w:val="both"/>
              <w:rPr>
                <w:b/>
                <w:i/>
                <w:color w:val="000000" w:themeColor="text1"/>
                <w:sz w:val="20"/>
              </w:rPr>
            </w:pPr>
            <w:r w:rsidRPr="00EE06B6">
              <w:rPr>
                <w:b/>
                <w:i/>
                <w:color w:val="000000" w:themeColor="text1"/>
                <w:sz w:val="20"/>
              </w:rPr>
              <w:t>Type of risk*</w:t>
            </w:r>
          </w:p>
          <w:p w14:paraId="5EA2E419" w14:textId="77777777" w:rsidR="00F66AC2" w:rsidRPr="00EE06B6" w:rsidRDefault="00F66AC2" w:rsidP="00285A35">
            <w:pPr>
              <w:jc w:val="both"/>
              <w:rPr>
                <w:i/>
                <w:color w:val="000000" w:themeColor="text1"/>
                <w:sz w:val="20"/>
              </w:rPr>
            </w:pPr>
            <w:r w:rsidRPr="00EE06B6">
              <w:rPr>
                <w:b/>
                <w:i/>
                <w:color w:val="000000" w:themeColor="text1"/>
                <w:sz w:val="20"/>
              </w:rPr>
              <w:t>(contextual</w:t>
            </w:r>
            <w:r w:rsidR="00285A35" w:rsidRPr="00EE06B6">
              <w:rPr>
                <w:b/>
                <w:i/>
                <w:color w:val="000000" w:themeColor="text1"/>
                <w:sz w:val="20"/>
              </w:rPr>
              <w:t xml:space="preserve">, </w:t>
            </w:r>
            <w:r w:rsidRPr="00EE06B6">
              <w:rPr>
                <w:b/>
                <w:i/>
                <w:color w:val="000000" w:themeColor="text1"/>
                <w:sz w:val="20"/>
              </w:rPr>
              <w:t>programmatic, institutional)</w:t>
            </w:r>
          </w:p>
        </w:tc>
        <w:tc>
          <w:tcPr>
            <w:tcW w:w="1460" w:type="dxa"/>
            <w:shd w:val="clear" w:color="auto" w:fill="D9D9D9" w:themeFill="background1" w:themeFillShade="D9"/>
          </w:tcPr>
          <w:p w14:paraId="2A156CFF" w14:textId="77777777" w:rsidR="00F66AC2" w:rsidRPr="00EE06B6" w:rsidRDefault="00F66AC2" w:rsidP="004A5E9B">
            <w:pPr>
              <w:jc w:val="center"/>
              <w:rPr>
                <w:b/>
                <w:i/>
                <w:color w:val="000000" w:themeColor="text1"/>
                <w:sz w:val="20"/>
              </w:rPr>
            </w:pPr>
            <w:r w:rsidRPr="00EE06B6">
              <w:rPr>
                <w:b/>
                <w:i/>
                <w:color w:val="000000" w:themeColor="text1"/>
                <w:sz w:val="20"/>
              </w:rPr>
              <w:t>Risk</w:t>
            </w:r>
          </w:p>
        </w:tc>
        <w:tc>
          <w:tcPr>
            <w:tcW w:w="1227" w:type="dxa"/>
            <w:shd w:val="clear" w:color="auto" w:fill="D9D9D9" w:themeFill="background1" w:themeFillShade="D9"/>
          </w:tcPr>
          <w:p w14:paraId="13034B48" w14:textId="77777777" w:rsidR="00F66AC2" w:rsidRPr="00EE06B6" w:rsidRDefault="00F66AC2" w:rsidP="00F31637">
            <w:pPr>
              <w:jc w:val="both"/>
              <w:rPr>
                <w:b/>
                <w:i/>
                <w:color w:val="000000" w:themeColor="text1"/>
                <w:sz w:val="20"/>
              </w:rPr>
            </w:pPr>
            <w:r w:rsidRPr="00EE06B6">
              <w:rPr>
                <w:b/>
                <w:i/>
                <w:color w:val="000000" w:themeColor="text1"/>
                <w:sz w:val="20"/>
              </w:rPr>
              <w:t xml:space="preserve">Likelihood </w:t>
            </w:r>
          </w:p>
          <w:p w14:paraId="006BB811" w14:textId="77777777" w:rsidR="00F31637" w:rsidRPr="00EE06B6" w:rsidRDefault="00F31637" w:rsidP="00F31637">
            <w:pPr>
              <w:jc w:val="both"/>
              <w:rPr>
                <w:b/>
                <w:i/>
                <w:color w:val="000000" w:themeColor="text1"/>
                <w:sz w:val="20"/>
              </w:rPr>
            </w:pPr>
            <w:r w:rsidRPr="00EE06B6">
              <w:rPr>
                <w:b/>
                <w:i/>
                <w:color w:val="000000" w:themeColor="text1"/>
                <w:sz w:val="20"/>
              </w:rPr>
              <w:t>(Low, Moderate, High)</w:t>
            </w:r>
          </w:p>
        </w:tc>
        <w:tc>
          <w:tcPr>
            <w:tcW w:w="1888" w:type="dxa"/>
            <w:shd w:val="clear" w:color="auto" w:fill="D9D9D9" w:themeFill="background1" w:themeFillShade="D9"/>
          </w:tcPr>
          <w:p w14:paraId="3F810C6A" w14:textId="77777777" w:rsidR="00F66AC2" w:rsidRPr="00EE06B6" w:rsidRDefault="00F66AC2" w:rsidP="004A5E9B">
            <w:pPr>
              <w:jc w:val="both"/>
              <w:rPr>
                <w:b/>
                <w:i/>
                <w:color w:val="000000" w:themeColor="text1"/>
                <w:sz w:val="20"/>
              </w:rPr>
            </w:pPr>
            <w:r w:rsidRPr="00EE06B6">
              <w:rPr>
                <w:b/>
                <w:i/>
                <w:color w:val="000000" w:themeColor="text1"/>
                <w:sz w:val="20"/>
              </w:rPr>
              <w:t>Impact on result</w:t>
            </w:r>
          </w:p>
          <w:p w14:paraId="54C606BD" w14:textId="77777777" w:rsidR="00F31637" w:rsidRPr="00EE06B6" w:rsidRDefault="00F31637" w:rsidP="004A5E9B">
            <w:pPr>
              <w:jc w:val="both"/>
              <w:rPr>
                <w:i/>
                <w:color w:val="000000" w:themeColor="text1"/>
                <w:sz w:val="20"/>
              </w:rPr>
            </w:pPr>
            <w:r w:rsidRPr="00EE06B6">
              <w:rPr>
                <w:b/>
                <w:i/>
                <w:color w:val="000000" w:themeColor="text1"/>
                <w:sz w:val="20"/>
              </w:rPr>
              <w:t>(Low, Moderate, High)</w:t>
            </w:r>
          </w:p>
        </w:tc>
        <w:tc>
          <w:tcPr>
            <w:tcW w:w="1494" w:type="dxa"/>
            <w:shd w:val="clear" w:color="auto" w:fill="D9D9D9" w:themeFill="background1" w:themeFillShade="D9"/>
          </w:tcPr>
          <w:p w14:paraId="4BFD69DC" w14:textId="77777777" w:rsidR="00F66AC2" w:rsidRPr="00EE06B6" w:rsidRDefault="00E53BAD" w:rsidP="004A5E9B">
            <w:pPr>
              <w:jc w:val="both"/>
              <w:rPr>
                <w:i/>
                <w:color w:val="000000" w:themeColor="text1"/>
                <w:sz w:val="20"/>
              </w:rPr>
            </w:pPr>
            <w:r w:rsidRPr="00EE06B6">
              <w:rPr>
                <w:b/>
                <w:i/>
                <w:color w:val="000000" w:themeColor="text1"/>
                <w:sz w:val="20"/>
              </w:rPr>
              <w:t xml:space="preserve">Risk </w:t>
            </w:r>
            <w:r w:rsidR="00F66AC2" w:rsidRPr="00EE06B6">
              <w:rPr>
                <w:b/>
                <w:i/>
                <w:color w:val="000000" w:themeColor="text1"/>
                <w:sz w:val="20"/>
              </w:rPr>
              <w:t>Mitigation strategies</w:t>
            </w:r>
          </w:p>
        </w:tc>
        <w:tc>
          <w:tcPr>
            <w:tcW w:w="1571" w:type="dxa"/>
            <w:shd w:val="clear" w:color="auto" w:fill="D9D9D9" w:themeFill="background1" w:themeFillShade="D9"/>
          </w:tcPr>
          <w:p w14:paraId="53D2F7A9" w14:textId="77777777" w:rsidR="00F66AC2" w:rsidRPr="00EE06B6" w:rsidRDefault="00E53BAD" w:rsidP="00350DCE">
            <w:pPr>
              <w:jc w:val="both"/>
              <w:rPr>
                <w:i/>
                <w:color w:val="000000" w:themeColor="text1"/>
                <w:sz w:val="20"/>
              </w:rPr>
            </w:pPr>
            <w:r w:rsidRPr="00EE06B6">
              <w:rPr>
                <w:b/>
                <w:i/>
                <w:color w:val="000000" w:themeColor="text1"/>
                <w:sz w:val="20"/>
              </w:rPr>
              <w:t>Re</w:t>
            </w:r>
            <w:r w:rsidR="00B24801" w:rsidRPr="00EE06B6">
              <w:rPr>
                <w:b/>
                <w:i/>
                <w:color w:val="000000" w:themeColor="text1"/>
                <w:sz w:val="20"/>
              </w:rPr>
              <w:t xml:space="preserve">sponsible entity </w:t>
            </w:r>
            <w:r w:rsidRPr="00EE06B6">
              <w:rPr>
                <w:b/>
                <w:i/>
                <w:color w:val="000000" w:themeColor="text1"/>
                <w:sz w:val="20"/>
              </w:rPr>
              <w:t>for Risk treatment</w:t>
            </w:r>
          </w:p>
        </w:tc>
      </w:tr>
      <w:tr w:rsidR="00B408B8" w14:paraId="41101D86" w14:textId="77777777" w:rsidTr="004A5E9B">
        <w:tc>
          <w:tcPr>
            <w:tcW w:w="2235" w:type="dxa"/>
          </w:tcPr>
          <w:p w14:paraId="7C7039AA" w14:textId="77777777" w:rsidR="00F66AC2" w:rsidRPr="005C52C0" w:rsidRDefault="00F66AC2" w:rsidP="004A5E9B">
            <w:pPr>
              <w:jc w:val="both"/>
              <w:rPr>
                <w:b/>
                <w:i/>
                <w:sz w:val="20"/>
              </w:rPr>
            </w:pPr>
          </w:p>
          <w:p w14:paraId="786127D7" w14:textId="77777777" w:rsidR="00F66AC2" w:rsidRPr="00AA7868" w:rsidRDefault="00B408B8" w:rsidP="004A5E9B">
            <w:pPr>
              <w:jc w:val="both"/>
              <w:rPr>
                <w:b/>
                <w:i/>
                <w:sz w:val="20"/>
              </w:rPr>
            </w:pPr>
            <w:r w:rsidRPr="00AA7868">
              <w:rPr>
                <w:b/>
                <w:i/>
                <w:sz w:val="20"/>
              </w:rPr>
              <w:t>Institutional</w:t>
            </w:r>
          </w:p>
        </w:tc>
        <w:tc>
          <w:tcPr>
            <w:tcW w:w="1460" w:type="dxa"/>
          </w:tcPr>
          <w:p w14:paraId="42425153" w14:textId="77777777" w:rsidR="00F66AC2" w:rsidRPr="000C5EA2" w:rsidRDefault="00C6156F" w:rsidP="004A5E9B">
            <w:pPr>
              <w:jc w:val="both"/>
              <w:rPr>
                <w:b/>
                <w:i/>
                <w:sz w:val="20"/>
              </w:rPr>
            </w:pPr>
            <w:r>
              <w:rPr>
                <w:b/>
                <w:i/>
                <w:sz w:val="20"/>
              </w:rPr>
              <w:t xml:space="preserve">Not enough </w:t>
            </w:r>
            <w:proofErr w:type="gramStart"/>
            <w:r>
              <w:rPr>
                <w:b/>
                <w:i/>
                <w:sz w:val="20"/>
              </w:rPr>
              <w:t>top level</w:t>
            </w:r>
            <w:proofErr w:type="gramEnd"/>
            <w:r>
              <w:rPr>
                <w:b/>
                <w:i/>
                <w:sz w:val="20"/>
              </w:rPr>
              <w:t xml:space="preserve"> political</w:t>
            </w:r>
            <w:r w:rsidR="00252261">
              <w:rPr>
                <w:b/>
                <w:i/>
                <w:sz w:val="20"/>
              </w:rPr>
              <w:t xml:space="preserve"> buy-in</w:t>
            </w:r>
            <w:r>
              <w:rPr>
                <w:b/>
                <w:i/>
                <w:sz w:val="20"/>
              </w:rPr>
              <w:t xml:space="preserve"> for the policy and accountability framework</w:t>
            </w:r>
          </w:p>
          <w:p w14:paraId="0536BE7D" w14:textId="77777777" w:rsidR="00F66AC2" w:rsidRPr="005C52C0" w:rsidRDefault="00F66AC2" w:rsidP="004A5E9B">
            <w:pPr>
              <w:jc w:val="both"/>
              <w:rPr>
                <w:b/>
                <w:i/>
                <w:sz w:val="20"/>
              </w:rPr>
            </w:pPr>
          </w:p>
        </w:tc>
        <w:tc>
          <w:tcPr>
            <w:tcW w:w="1227" w:type="dxa"/>
          </w:tcPr>
          <w:p w14:paraId="20367304" w14:textId="77777777" w:rsidR="00F66AC2" w:rsidRPr="005C52C0" w:rsidRDefault="00252261" w:rsidP="004A5E9B">
            <w:pPr>
              <w:jc w:val="both"/>
              <w:rPr>
                <w:b/>
                <w:i/>
                <w:sz w:val="20"/>
              </w:rPr>
            </w:pPr>
            <w:r>
              <w:rPr>
                <w:b/>
                <w:i/>
                <w:sz w:val="20"/>
              </w:rPr>
              <w:t>Moderate</w:t>
            </w:r>
          </w:p>
          <w:p w14:paraId="63E71D5E" w14:textId="77777777" w:rsidR="00F66AC2" w:rsidRDefault="00F66AC2" w:rsidP="004A5E9B">
            <w:pPr>
              <w:jc w:val="both"/>
              <w:rPr>
                <w:i/>
                <w:sz w:val="20"/>
              </w:rPr>
            </w:pPr>
          </w:p>
        </w:tc>
        <w:tc>
          <w:tcPr>
            <w:tcW w:w="1888" w:type="dxa"/>
          </w:tcPr>
          <w:p w14:paraId="345E92D7" w14:textId="77777777" w:rsidR="00F66AC2" w:rsidRPr="005C52C0" w:rsidRDefault="00252261" w:rsidP="004A5E9B">
            <w:pPr>
              <w:jc w:val="both"/>
              <w:rPr>
                <w:b/>
                <w:i/>
                <w:sz w:val="20"/>
              </w:rPr>
            </w:pPr>
            <w:r>
              <w:rPr>
                <w:b/>
                <w:i/>
                <w:sz w:val="20"/>
              </w:rPr>
              <w:t>High</w:t>
            </w:r>
          </w:p>
          <w:p w14:paraId="2B3406F7" w14:textId="77777777" w:rsidR="00F66AC2" w:rsidRDefault="00F66AC2" w:rsidP="004A5E9B">
            <w:pPr>
              <w:jc w:val="both"/>
              <w:rPr>
                <w:i/>
                <w:sz w:val="20"/>
              </w:rPr>
            </w:pPr>
          </w:p>
        </w:tc>
        <w:tc>
          <w:tcPr>
            <w:tcW w:w="1494" w:type="dxa"/>
          </w:tcPr>
          <w:p w14:paraId="05FC08CD" w14:textId="77777777" w:rsidR="00252261" w:rsidRDefault="00B408B8" w:rsidP="004A5E9B">
            <w:pPr>
              <w:jc w:val="both"/>
              <w:rPr>
                <w:b/>
                <w:i/>
                <w:sz w:val="20"/>
              </w:rPr>
            </w:pPr>
            <w:r>
              <w:rPr>
                <w:b/>
                <w:i/>
                <w:sz w:val="20"/>
              </w:rPr>
              <w:t xml:space="preserve">1. </w:t>
            </w:r>
            <w:r w:rsidR="00252261">
              <w:rPr>
                <w:b/>
                <w:i/>
                <w:sz w:val="20"/>
              </w:rPr>
              <w:t xml:space="preserve">Provide comprehensive briefings for Principals and representatives detailing: </w:t>
            </w:r>
          </w:p>
          <w:p w14:paraId="30EA567F" w14:textId="77777777" w:rsidR="00252261" w:rsidRDefault="00252261" w:rsidP="004A5E9B">
            <w:pPr>
              <w:jc w:val="both"/>
              <w:rPr>
                <w:b/>
                <w:i/>
                <w:sz w:val="20"/>
              </w:rPr>
            </w:pPr>
            <w:r>
              <w:rPr>
                <w:b/>
                <w:i/>
                <w:sz w:val="20"/>
              </w:rPr>
              <w:t>(</w:t>
            </w:r>
            <w:proofErr w:type="spellStart"/>
            <w:r>
              <w:rPr>
                <w:b/>
                <w:i/>
                <w:sz w:val="20"/>
              </w:rPr>
              <w:t>i</w:t>
            </w:r>
            <w:proofErr w:type="spellEnd"/>
            <w:r>
              <w:rPr>
                <w:b/>
                <w:i/>
                <w:sz w:val="20"/>
              </w:rPr>
              <w:t xml:space="preserve">) substantive issues as they relate to UN operations and activities; </w:t>
            </w:r>
          </w:p>
          <w:p w14:paraId="29051E8E" w14:textId="77777777" w:rsidR="00252261" w:rsidRDefault="00252261" w:rsidP="004A5E9B">
            <w:pPr>
              <w:jc w:val="both"/>
              <w:rPr>
                <w:b/>
                <w:i/>
                <w:sz w:val="20"/>
              </w:rPr>
            </w:pPr>
            <w:r>
              <w:rPr>
                <w:b/>
                <w:i/>
                <w:sz w:val="20"/>
              </w:rPr>
              <w:t xml:space="preserve">(ii) the proven benefits of adopting the SWAP from the perspective of a) human rights, and b) effectiveness </w:t>
            </w:r>
            <w:proofErr w:type="gramStart"/>
            <w:r>
              <w:rPr>
                <w:b/>
                <w:i/>
                <w:sz w:val="20"/>
              </w:rPr>
              <w:t>of  coordinated</w:t>
            </w:r>
            <w:proofErr w:type="gramEnd"/>
            <w:r>
              <w:rPr>
                <w:b/>
                <w:i/>
                <w:sz w:val="20"/>
              </w:rPr>
              <w:t xml:space="preserve"> approach (cost sharing and knowledge sharing between UN entities and other stakeholders);  </w:t>
            </w:r>
          </w:p>
          <w:p w14:paraId="4471EDF3" w14:textId="77777777" w:rsidR="00F66AC2" w:rsidRDefault="00252261" w:rsidP="004A5E9B">
            <w:pPr>
              <w:jc w:val="both"/>
              <w:rPr>
                <w:b/>
                <w:i/>
                <w:sz w:val="20"/>
              </w:rPr>
            </w:pPr>
            <w:r>
              <w:rPr>
                <w:b/>
                <w:i/>
                <w:sz w:val="20"/>
              </w:rPr>
              <w:t>(iii) potential reputational risk if the UN system does not take adequate action on disability inclusion</w:t>
            </w:r>
          </w:p>
          <w:p w14:paraId="61C25E3D" w14:textId="77777777" w:rsidR="00B408B8" w:rsidRDefault="00B408B8" w:rsidP="004A5E9B">
            <w:pPr>
              <w:jc w:val="both"/>
              <w:rPr>
                <w:b/>
                <w:i/>
                <w:sz w:val="20"/>
              </w:rPr>
            </w:pPr>
          </w:p>
          <w:p w14:paraId="78A637A1" w14:textId="77777777" w:rsidR="00B408B8" w:rsidRPr="00AA7868" w:rsidRDefault="00B408B8" w:rsidP="00AA7868">
            <w:pPr>
              <w:pStyle w:val="ListParagraph"/>
              <w:numPr>
                <w:ilvl w:val="0"/>
                <w:numId w:val="10"/>
              </w:numPr>
              <w:jc w:val="both"/>
              <w:rPr>
                <w:b/>
                <w:i/>
                <w:sz w:val="20"/>
              </w:rPr>
            </w:pPr>
            <w:r>
              <w:rPr>
                <w:b/>
                <w:i/>
                <w:sz w:val="20"/>
              </w:rPr>
              <w:t>Undertake advocacy and awareness raising efforts of the importance of accessibility and disability inclusion through strategic communications and engagements with staff in UN entities, to generate a</w:t>
            </w:r>
            <w:r w:rsidR="00965051">
              <w:rPr>
                <w:b/>
                <w:i/>
                <w:sz w:val="20"/>
              </w:rPr>
              <w:t>n</w:t>
            </w:r>
            <w:r>
              <w:rPr>
                <w:b/>
                <w:i/>
                <w:sz w:val="20"/>
              </w:rPr>
              <w:t xml:space="preserve"> </w:t>
            </w:r>
            <w:r w:rsidR="00965051">
              <w:rPr>
                <w:b/>
                <w:i/>
                <w:sz w:val="20"/>
              </w:rPr>
              <w:t xml:space="preserve">internal, </w:t>
            </w:r>
            <w:r>
              <w:rPr>
                <w:b/>
                <w:i/>
                <w:sz w:val="20"/>
              </w:rPr>
              <w:t>bottom-u</w:t>
            </w:r>
            <w:r w:rsidR="00965051">
              <w:rPr>
                <w:b/>
                <w:i/>
                <w:sz w:val="20"/>
              </w:rPr>
              <w:t>p approach within each UN entity to support adoption of a SWAP</w:t>
            </w:r>
            <w:r>
              <w:rPr>
                <w:b/>
                <w:i/>
                <w:sz w:val="20"/>
              </w:rPr>
              <w:t xml:space="preserve">. </w:t>
            </w:r>
          </w:p>
          <w:p w14:paraId="1BB103CA" w14:textId="77777777" w:rsidR="00F66AC2" w:rsidRDefault="00F66AC2" w:rsidP="004A5E9B">
            <w:pPr>
              <w:jc w:val="both"/>
              <w:rPr>
                <w:i/>
                <w:sz w:val="20"/>
              </w:rPr>
            </w:pPr>
          </w:p>
        </w:tc>
        <w:tc>
          <w:tcPr>
            <w:tcW w:w="1571" w:type="dxa"/>
          </w:tcPr>
          <w:p w14:paraId="70EB303A" w14:textId="77777777" w:rsidR="00F66AC2" w:rsidRPr="005C52C0" w:rsidRDefault="007A0F6F" w:rsidP="004A5E9B">
            <w:pPr>
              <w:jc w:val="both"/>
              <w:rPr>
                <w:b/>
                <w:i/>
                <w:sz w:val="20"/>
              </w:rPr>
            </w:pPr>
            <w:r>
              <w:rPr>
                <w:b/>
                <w:i/>
                <w:sz w:val="20"/>
              </w:rPr>
              <w:t>All IASG subgroup members</w:t>
            </w:r>
          </w:p>
          <w:p w14:paraId="09A604BB" w14:textId="77777777" w:rsidR="00F66AC2" w:rsidRDefault="00F66AC2" w:rsidP="004A5E9B">
            <w:pPr>
              <w:jc w:val="both"/>
              <w:rPr>
                <w:i/>
                <w:sz w:val="20"/>
              </w:rPr>
            </w:pPr>
          </w:p>
        </w:tc>
      </w:tr>
      <w:tr w:rsidR="00B408B8" w14:paraId="65594C61" w14:textId="77777777" w:rsidTr="004A5E9B">
        <w:tc>
          <w:tcPr>
            <w:tcW w:w="2235" w:type="dxa"/>
          </w:tcPr>
          <w:p w14:paraId="2249823C" w14:textId="77777777" w:rsidR="00F66AC2" w:rsidRPr="005C52C0" w:rsidRDefault="00B408B8" w:rsidP="004A5E9B">
            <w:pPr>
              <w:jc w:val="both"/>
              <w:rPr>
                <w:b/>
                <w:i/>
                <w:sz w:val="20"/>
              </w:rPr>
            </w:pPr>
            <w:r>
              <w:rPr>
                <w:b/>
                <w:i/>
                <w:sz w:val="20"/>
              </w:rPr>
              <w:t>Programmatic</w:t>
            </w:r>
          </w:p>
          <w:p w14:paraId="7916087E" w14:textId="77777777" w:rsidR="00F66AC2" w:rsidRDefault="00F66AC2" w:rsidP="004A5E9B">
            <w:pPr>
              <w:jc w:val="both"/>
              <w:rPr>
                <w:i/>
                <w:sz w:val="20"/>
              </w:rPr>
            </w:pPr>
          </w:p>
        </w:tc>
        <w:tc>
          <w:tcPr>
            <w:tcW w:w="1460" w:type="dxa"/>
          </w:tcPr>
          <w:p w14:paraId="5D50BBAA" w14:textId="77777777" w:rsidR="00F66AC2" w:rsidRPr="000C5EA2" w:rsidRDefault="00C6156F" w:rsidP="004A5E9B">
            <w:pPr>
              <w:jc w:val="both"/>
              <w:rPr>
                <w:b/>
                <w:i/>
                <w:sz w:val="20"/>
              </w:rPr>
            </w:pPr>
            <w:r>
              <w:rPr>
                <w:b/>
                <w:i/>
                <w:sz w:val="20"/>
              </w:rPr>
              <w:t xml:space="preserve">Not enough technical support for the accountability framework and </w:t>
            </w:r>
            <w:proofErr w:type="gramStart"/>
            <w:r>
              <w:rPr>
                <w:b/>
                <w:i/>
                <w:sz w:val="20"/>
              </w:rPr>
              <w:t>the  technical</w:t>
            </w:r>
            <w:proofErr w:type="gramEnd"/>
            <w:r>
              <w:rPr>
                <w:b/>
                <w:i/>
                <w:sz w:val="20"/>
              </w:rPr>
              <w:t xml:space="preserve"> guidelines</w:t>
            </w:r>
          </w:p>
          <w:p w14:paraId="7D3C4631" w14:textId="77777777" w:rsidR="00F66AC2" w:rsidRPr="005C52C0" w:rsidRDefault="00F66AC2" w:rsidP="004A5E9B">
            <w:pPr>
              <w:jc w:val="both"/>
              <w:rPr>
                <w:b/>
                <w:i/>
                <w:sz w:val="20"/>
              </w:rPr>
            </w:pPr>
          </w:p>
        </w:tc>
        <w:tc>
          <w:tcPr>
            <w:tcW w:w="1227" w:type="dxa"/>
          </w:tcPr>
          <w:p w14:paraId="0C5DB30D" w14:textId="77777777" w:rsidR="00F66AC2" w:rsidRPr="005C52C0" w:rsidRDefault="00B408B8" w:rsidP="004A5E9B">
            <w:pPr>
              <w:jc w:val="both"/>
              <w:rPr>
                <w:b/>
                <w:i/>
                <w:sz w:val="20"/>
              </w:rPr>
            </w:pPr>
            <w:r>
              <w:rPr>
                <w:b/>
                <w:i/>
                <w:sz w:val="20"/>
              </w:rPr>
              <w:t>Moderate</w:t>
            </w:r>
          </w:p>
          <w:p w14:paraId="01AAA6E9" w14:textId="77777777" w:rsidR="00F66AC2" w:rsidRDefault="00F66AC2" w:rsidP="004A5E9B">
            <w:pPr>
              <w:jc w:val="both"/>
              <w:rPr>
                <w:i/>
                <w:sz w:val="20"/>
              </w:rPr>
            </w:pPr>
          </w:p>
        </w:tc>
        <w:tc>
          <w:tcPr>
            <w:tcW w:w="1888" w:type="dxa"/>
          </w:tcPr>
          <w:p w14:paraId="0AD1DA11" w14:textId="77777777" w:rsidR="00F66AC2" w:rsidRPr="005C52C0" w:rsidRDefault="00B408B8" w:rsidP="004A5E9B">
            <w:pPr>
              <w:jc w:val="both"/>
              <w:rPr>
                <w:b/>
                <w:i/>
                <w:sz w:val="20"/>
              </w:rPr>
            </w:pPr>
            <w:r>
              <w:rPr>
                <w:b/>
                <w:i/>
                <w:sz w:val="20"/>
              </w:rPr>
              <w:t>Moderate</w:t>
            </w:r>
          </w:p>
          <w:p w14:paraId="2FA7721B" w14:textId="77777777" w:rsidR="00F66AC2" w:rsidRDefault="00F66AC2" w:rsidP="004A5E9B">
            <w:pPr>
              <w:jc w:val="both"/>
              <w:rPr>
                <w:i/>
                <w:sz w:val="20"/>
              </w:rPr>
            </w:pPr>
          </w:p>
        </w:tc>
        <w:tc>
          <w:tcPr>
            <w:tcW w:w="1494" w:type="dxa"/>
          </w:tcPr>
          <w:p w14:paraId="45D13B8F" w14:textId="77777777" w:rsidR="00F66AC2" w:rsidRPr="005C52C0" w:rsidRDefault="00B408B8" w:rsidP="004A5E9B">
            <w:pPr>
              <w:jc w:val="both"/>
              <w:rPr>
                <w:b/>
                <w:i/>
                <w:sz w:val="20"/>
              </w:rPr>
            </w:pPr>
            <w:r>
              <w:rPr>
                <w:b/>
                <w:i/>
                <w:sz w:val="20"/>
              </w:rPr>
              <w:t xml:space="preserve">1. </w:t>
            </w:r>
            <w:r w:rsidR="00965051">
              <w:rPr>
                <w:b/>
                <w:i/>
                <w:sz w:val="20"/>
              </w:rPr>
              <w:t xml:space="preserve">Leverage existing </w:t>
            </w:r>
            <w:r w:rsidR="003D61F7">
              <w:rPr>
                <w:b/>
                <w:i/>
                <w:sz w:val="20"/>
              </w:rPr>
              <w:t>resources and</w:t>
            </w:r>
            <w:r w:rsidR="00965051">
              <w:rPr>
                <w:b/>
                <w:i/>
                <w:sz w:val="20"/>
              </w:rPr>
              <w:t xml:space="preserve"> engage and </w:t>
            </w:r>
            <w:r w:rsidR="00336982">
              <w:rPr>
                <w:b/>
                <w:i/>
                <w:sz w:val="20"/>
              </w:rPr>
              <w:t>collaborate</w:t>
            </w:r>
            <w:r w:rsidR="00965051">
              <w:rPr>
                <w:b/>
                <w:i/>
                <w:sz w:val="20"/>
              </w:rPr>
              <w:t xml:space="preserve"> with entities currently undertaking similar work within the UN system to share knowledge (e.g. Joint Inspection Unit, ESCAP, etc.)</w:t>
            </w:r>
          </w:p>
          <w:p w14:paraId="06E6ABAA" w14:textId="77777777" w:rsidR="00F66AC2" w:rsidRDefault="00F66AC2" w:rsidP="004A5E9B">
            <w:pPr>
              <w:jc w:val="both"/>
              <w:rPr>
                <w:i/>
                <w:sz w:val="20"/>
              </w:rPr>
            </w:pPr>
          </w:p>
        </w:tc>
        <w:tc>
          <w:tcPr>
            <w:tcW w:w="1571" w:type="dxa"/>
          </w:tcPr>
          <w:p w14:paraId="5A54584C" w14:textId="77777777" w:rsidR="00F66AC2" w:rsidRPr="005C52C0" w:rsidRDefault="00F66AC2" w:rsidP="004A5E9B">
            <w:pPr>
              <w:jc w:val="both"/>
              <w:rPr>
                <w:b/>
                <w:i/>
                <w:sz w:val="20"/>
              </w:rPr>
            </w:pPr>
            <w:r w:rsidRPr="005C52C0">
              <w:rPr>
                <w:b/>
                <w:i/>
                <w:sz w:val="20"/>
              </w:rPr>
              <w:t>[…]</w:t>
            </w:r>
          </w:p>
          <w:p w14:paraId="70CC36A5" w14:textId="77777777" w:rsidR="00F66AC2" w:rsidRDefault="00F66AC2" w:rsidP="004A5E9B">
            <w:pPr>
              <w:jc w:val="both"/>
              <w:rPr>
                <w:i/>
                <w:sz w:val="20"/>
              </w:rPr>
            </w:pPr>
          </w:p>
        </w:tc>
      </w:tr>
    </w:tbl>
    <w:p w14:paraId="2DD40992" w14:textId="77777777" w:rsidR="00F66AC2" w:rsidRPr="00D31469" w:rsidRDefault="00F66AC2" w:rsidP="00F66AC2">
      <w:pPr>
        <w:spacing w:after="0" w:line="240" w:lineRule="auto"/>
        <w:jc w:val="both"/>
        <w:rPr>
          <w:sz w:val="16"/>
        </w:rPr>
      </w:pPr>
    </w:p>
    <w:p w14:paraId="3A7FE1D5" w14:textId="77777777" w:rsidR="00683C36" w:rsidRDefault="00683C36">
      <w:pPr>
        <w:spacing w:after="160" w:line="259" w:lineRule="auto"/>
        <w:rPr>
          <w:rFonts w:ascii="Calibri" w:eastAsiaTheme="majorEastAsia" w:hAnsi="Calibri" w:cstheme="majorBidi"/>
          <w:b/>
          <w:color w:val="2E74B5" w:themeColor="accent1" w:themeShade="BF"/>
          <w:sz w:val="24"/>
          <w:szCs w:val="32"/>
        </w:rPr>
      </w:pPr>
      <w:r>
        <w:br w:type="page"/>
      </w:r>
    </w:p>
    <w:p w14:paraId="57078045" w14:textId="77777777" w:rsidR="00BC4B02" w:rsidRPr="002D0888" w:rsidRDefault="00CE32D7" w:rsidP="002D0888">
      <w:pPr>
        <w:pStyle w:val="Heading1"/>
      </w:pPr>
      <w:r>
        <w:t>8</w:t>
      </w:r>
      <w:r w:rsidR="002D0888">
        <w:t xml:space="preserve">. </w:t>
      </w:r>
      <w:r w:rsidR="00BC4B02" w:rsidRPr="002D0888">
        <w:t>Budget</w:t>
      </w:r>
    </w:p>
    <w:p w14:paraId="55D0B361" w14:textId="77777777" w:rsidR="00BC4B02" w:rsidRDefault="00BC4B02" w:rsidP="000B5A27">
      <w:pPr>
        <w:spacing w:after="0" w:line="240" w:lineRule="auto"/>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p w14:paraId="427E61AF" w14:textId="4A8E45EC" w:rsidR="001F6CA3" w:rsidRDefault="00BC4B02" w:rsidP="001F6CA3">
      <w:pPr>
        <w:pStyle w:val="Heading2"/>
      </w:pPr>
      <w:r w:rsidRPr="00E63255">
        <w:t>Project Budget</w:t>
      </w:r>
    </w:p>
    <w:tbl>
      <w:tblPr>
        <w:tblStyle w:val="TableGridLight"/>
        <w:tblW w:w="11128" w:type="dxa"/>
        <w:tblLayout w:type="fixed"/>
        <w:tblLook w:val="04A0" w:firstRow="1" w:lastRow="0" w:firstColumn="1" w:lastColumn="0" w:noHBand="0" w:noVBand="1"/>
        <w:tblDescription w:val="Project Budget"/>
      </w:tblPr>
      <w:tblGrid>
        <w:gridCol w:w="1537"/>
        <w:gridCol w:w="1417"/>
        <w:gridCol w:w="1181"/>
        <w:gridCol w:w="1087"/>
        <w:gridCol w:w="1276"/>
        <w:gridCol w:w="1276"/>
        <w:gridCol w:w="1311"/>
        <w:gridCol w:w="861"/>
        <w:gridCol w:w="1182"/>
      </w:tblGrid>
      <w:tr w:rsidR="00226E36" w:rsidRPr="0087330D" w14:paraId="47BE7111" w14:textId="77777777" w:rsidTr="003B1D62">
        <w:trPr>
          <w:trHeight w:val="1050"/>
        </w:trPr>
        <w:tc>
          <w:tcPr>
            <w:tcW w:w="1537" w:type="dxa"/>
            <w:hideMark/>
          </w:tcPr>
          <w:p w14:paraId="336A2A93" w14:textId="77777777"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Category</w:t>
            </w:r>
          </w:p>
        </w:tc>
        <w:tc>
          <w:tcPr>
            <w:tcW w:w="1417" w:type="dxa"/>
            <w:hideMark/>
          </w:tcPr>
          <w:p w14:paraId="0AF00845" w14:textId="77777777"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Item</w:t>
            </w:r>
          </w:p>
        </w:tc>
        <w:tc>
          <w:tcPr>
            <w:tcW w:w="1181" w:type="dxa"/>
            <w:hideMark/>
          </w:tcPr>
          <w:p w14:paraId="357A01C1" w14:textId="77777777"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Unit Cost</w:t>
            </w:r>
          </w:p>
        </w:tc>
        <w:tc>
          <w:tcPr>
            <w:tcW w:w="1087" w:type="dxa"/>
            <w:hideMark/>
          </w:tcPr>
          <w:p w14:paraId="24A215EB" w14:textId="77777777"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No units</w:t>
            </w:r>
          </w:p>
        </w:tc>
        <w:tc>
          <w:tcPr>
            <w:tcW w:w="1276" w:type="dxa"/>
            <w:hideMark/>
          </w:tcPr>
          <w:p w14:paraId="792F92D0" w14:textId="76508618"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Total cost</w:t>
            </w:r>
            <w:r>
              <w:rPr>
                <w:rFonts w:ascii="Calibri" w:eastAsia="Times New Roman" w:hAnsi="Calibri" w:cs="Times New Roman"/>
                <w:b/>
                <w:bCs/>
                <w:color w:val="000000"/>
                <w:sz w:val="20"/>
                <w:szCs w:val="20"/>
                <w:lang w:val="en-GB" w:eastAsia="en-GB"/>
              </w:rPr>
              <w:t xml:space="preserve"> Original Proposal</w:t>
            </w:r>
            <w:r w:rsidR="00E9662B">
              <w:rPr>
                <w:rFonts w:ascii="Calibri" w:eastAsia="Times New Roman" w:hAnsi="Calibri" w:cs="Times New Roman"/>
                <w:b/>
                <w:bCs/>
                <w:color w:val="000000"/>
                <w:sz w:val="20"/>
                <w:szCs w:val="20"/>
                <w:lang w:val="en-GB" w:eastAsia="en-GB"/>
              </w:rPr>
              <w:t xml:space="preserve"> </w:t>
            </w:r>
          </w:p>
        </w:tc>
        <w:tc>
          <w:tcPr>
            <w:tcW w:w="1276" w:type="dxa"/>
            <w:hideMark/>
          </w:tcPr>
          <w:p w14:paraId="3120297A" w14:textId="16ED0A99" w:rsidR="00226E36" w:rsidRPr="000C2397" w:rsidRDefault="003A01BD" w:rsidP="00226E36">
            <w:pPr>
              <w:spacing w:after="0" w:line="240" w:lineRule="auto"/>
              <w:jc w:val="both"/>
              <w:rPr>
                <w:rFonts w:ascii="Calibri" w:eastAsia="Times New Roman" w:hAnsi="Calibri" w:cs="Times New Roman"/>
                <w:b/>
                <w:bCs/>
                <w:color w:val="C00000"/>
                <w:sz w:val="20"/>
                <w:szCs w:val="20"/>
                <w:lang w:val="en-GB" w:eastAsia="en-GB"/>
              </w:rPr>
            </w:pPr>
            <w:r w:rsidRPr="000C2397">
              <w:rPr>
                <w:rFonts w:ascii="Calibri" w:eastAsia="Times New Roman" w:hAnsi="Calibri" w:cs="Times New Roman"/>
                <w:b/>
                <w:bCs/>
                <w:color w:val="C00000"/>
                <w:sz w:val="20"/>
                <w:szCs w:val="20"/>
                <w:lang w:val="en-GB" w:eastAsia="en-GB"/>
              </w:rPr>
              <w:t>[</w:t>
            </w:r>
            <w:r w:rsidR="00226E36" w:rsidRPr="000C2397">
              <w:rPr>
                <w:rFonts w:ascii="Calibri" w:eastAsia="Times New Roman" w:hAnsi="Calibri" w:cs="Times New Roman"/>
                <w:b/>
                <w:bCs/>
                <w:color w:val="C00000"/>
                <w:sz w:val="20"/>
                <w:szCs w:val="20"/>
                <w:lang w:val="en-GB" w:eastAsia="en-GB"/>
              </w:rPr>
              <w:t>Request from UNPRPD Fund under Amendment 1</w:t>
            </w:r>
            <w:r w:rsidR="00006D44" w:rsidRPr="000C2397">
              <w:rPr>
                <w:rStyle w:val="FootnoteReference"/>
                <w:rFonts w:ascii="Calibri" w:eastAsia="Times New Roman" w:hAnsi="Calibri" w:cs="Times New Roman"/>
                <w:b/>
                <w:bCs/>
                <w:color w:val="C00000"/>
                <w:sz w:val="20"/>
                <w:szCs w:val="20"/>
                <w:lang w:val="en-GB" w:eastAsia="en-GB"/>
              </w:rPr>
              <w:footnoteReference w:id="3"/>
            </w:r>
            <w:r w:rsidRPr="000C2397">
              <w:rPr>
                <w:rFonts w:ascii="Calibri" w:eastAsia="Times New Roman" w:hAnsi="Calibri" w:cs="Times New Roman"/>
                <w:b/>
                <w:bCs/>
                <w:color w:val="C00000"/>
                <w:sz w:val="20"/>
                <w:szCs w:val="20"/>
                <w:lang w:val="en-GB" w:eastAsia="en-GB"/>
              </w:rPr>
              <w:t>]</w:t>
            </w:r>
          </w:p>
        </w:tc>
        <w:tc>
          <w:tcPr>
            <w:tcW w:w="1311" w:type="dxa"/>
          </w:tcPr>
          <w:p w14:paraId="07AED79F" w14:textId="3DB0BF70"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Revised Total Project Costs </w:t>
            </w:r>
          </w:p>
        </w:tc>
        <w:tc>
          <w:tcPr>
            <w:tcW w:w="861" w:type="dxa"/>
            <w:hideMark/>
          </w:tcPr>
          <w:p w14:paraId="39E40729" w14:textId="3CAB036A"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UNPRPD POs cost-sharing</w:t>
            </w:r>
          </w:p>
        </w:tc>
        <w:tc>
          <w:tcPr>
            <w:tcW w:w="1182" w:type="dxa"/>
            <w:hideMark/>
          </w:tcPr>
          <w:p w14:paraId="7BF38190" w14:textId="77777777"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Other partners cost-sharing</w:t>
            </w:r>
          </w:p>
        </w:tc>
      </w:tr>
      <w:tr w:rsidR="00226E36" w:rsidRPr="0087330D" w14:paraId="5A018E43" w14:textId="77777777" w:rsidTr="003B1D62">
        <w:trPr>
          <w:trHeight w:val="1050"/>
        </w:trPr>
        <w:tc>
          <w:tcPr>
            <w:tcW w:w="1537" w:type="dxa"/>
          </w:tcPr>
          <w:p w14:paraId="70046779"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Staff and Personnel Costs</w:t>
            </w:r>
          </w:p>
        </w:tc>
        <w:tc>
          <w:tcPr>
            <w:tcW w:w="1417" w:type="dxa"/>
          </w:tcPr>
          <w:p w14:paraId="7402860A"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1" w:type="dxa"/>
          </w:tcPr>
          <w:p w14:paraId="1FDD1BDB"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087" w:type="dxa"/>
          </w:tcPr>
          <w:p w14:paraId="00825B88"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tcPr>
          <w:p w14:paraId="23FE2203"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tcPr>
          <w:p w14:paraId="14E6A6F2" w14:textId="7D627ABF" w:rsidR="00226E36" w:rsidRPr="000C2397" w:rsidRDefault="00226E36" w:rsidP="00226E36">
            <w:pPr>
              <w:spacing w:after="0" w:line="240" w:lineRule="auto"/>
              <w:jc w:val="right"/>
              <w:rPr>
                <w:rFonts w:ascii="Calibri" w:hAnsi="Calibri" w:cs="Calibri"/>
                <w:color w:val="C00000"/>
              </w:rPr>
            </w:pPr>
            <w:r w:rsidRPr="000C2397">
              <w:rPr>
                <w:rFonts w:ascii="Calibri" w:hAnsi="Calibri" w:cs="Calibri"/>
                <w:color w:val="C00000"/>
              </w:rPr>
              <w:t xml:space="preserve">656,700 </w:t>
            </w:r>
          </w:p>
          <w:p w14:paraId="676B8A01" w14:textId="1F4C3024" w:rsidR="00226E36" w:rsidRPr="000C2397" w:rsidRDefault="00226E36" w:rsidP="00226E36">
            <w:pPr>
              <w:spacing w:after="0" w:line="240" w:lineRule="auto"/>
              <w:jc w:val="right"/>
              <w:rPr>
                <w:rFonts w:ascii="Calibri" w:eastAsia="Times New Roman" w:hAnsi="Calibri" w:cs="Times New Roman"/>
                <w:color w:val="C00000"/>
                <w:sz w:val="20"/>
                <w:szCs w:val="20"/>
                <w:lang w:val="en-GB" w:eastAsia="en-GB"/>
              </w:rPr>
            </w:pPr>
          </w:p>
        </w:tc>
        <w:tc>
          <w:tcPr>
            <w:tcW w:w="1311" w:type="dxa"/>
          </w:tcPr>
          <w:p w14:paraId="6A35C685" w14:textId="0DDF805C"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656,700</w:t>
            </w:r>
          </w:p>
        </w:tc>
        <w:tc>
          <w:tcPr>
            <w:tcW w:w="861" w:type="dxa"/>
          </w:tcPr>
          <w:p w14:paraId="239A478E" w14:textId="5992A7A2"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tcPr>
          <w:p w14:paraId="70B7E60E"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0D8712D3" w14:textId="77777777" w:rsidTr="003B1D62">
        <w:trPr>
          <w:trHeight w:val="1050"/>
        </w:trPr>
        <w:tc>
          <w:tcPr>
            <w:tcW w:w="1537" w:type="dxa"/>
          </w:tcPr>
          <w:p w14:paraId="08BB7ED4"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Supplies, commodities and materials</w:t>
            </w:r>
          </w:p>
        </w:tc>
        <w:tc>
          <w:tcPr>
            <w:tcW w:w="1417" w:type="dxa"/>
          </w:tcPr>
          <w:p w14:paraId="1BFD405E"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Publication costs</w:t>
            </w:r>
          </w:p>
        </w:tc>
        <w:tc>
          <w:tcPr>
            <w:tcW w:w="1181" w:type="dxa"/>
          </w:tcPr>
          <w:p w14:paraId="5D9B1636"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2</w:t>
            </w:r>
          </w:p>
        </w:tc>
        <w:tc>
          <w:tcPr>
            <w:tcW w:w="1087" w:type="dxa"/>
          </w:tcPr>
          <w:p w14:paraId="21AFFB13"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2,160</w:t>
            </w:r>
          </w:p>
        </w:tc>
        <w:tc>
          <w:tcPr>
            <w:tcW w:w="1276" w:type="dxa"/>
          </w:tcPr>
          <w:p w14:paraId="773FB921"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4,320</w:t>
            </w:r>
          </w:p>
        </w:tc>
        <w:tc>
          <w:tcPr>
            <w:tcW w:w="1276" w:type="dxa"/>
          </w:tcPr>
          <w:p w14:paraId="62AE0DCA" w14:textId="460BFEC7" w:rsidR="00226E36" w:rsidRPr="000C2397" w:rsidRDefault="00006D44" w:rsidP="0062403C">
            <w:pPr>
              <w:spacing w:after="0" w:line="240" w:lineRule="auto"/>
              <w:jc w:val="right"/>
              <w:rPr>
                <w:rFonts w:ascii="Calibri" w:eastAsia="Times New Roman" w:hAnsi="Calibri" w:cs="Times New Roman"/>
                <w:color w:val="C00000"/>
                <w:sz w:val="20"/>
                <w:szCs w:val="20"/>
                <w:lang w:val="en-GB" w:eastAsia="en-GB"/>
              </w:rPr>
            </w:pPr>
            <w:r w:rsidRPr="000C2397">
              <w:rPr>
                <w:rFonts w:ascii="Calibri" w:eastAsia="Times New Roman" w:hAnsi="Calibri" w:cs="Times New Roman"/>
                <w:color w:val="C00000"/>
                <w:sz w:val="20"/>
                <w:szCs w:val="20"/>
                <w:lang w:val="en-GB" w:eastAsia="en-GB"/>
              </w:rPr>
              <w:t>[…]</w:t>
            </w:r>
          </w:p>
        </w:tc>
        <w:tc>
          <w:tcPr>
            <w:tcW w:w="1311" w:type="dxa"/>
          </w:tcPr>
          <w:p w14:paraId="26879D65" w14:textId="796FD353"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4,320</w:t>
            </w:r>
          </w:p>
        </w:tc>
        <w:tc>
          <w:tcPr>
            <w:tcW w:w="861" w:type="dxa"/>
          </w:tcPr>
          <w:p w14:paraId="4A53E050" w14:textId="2C0DBFE6"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tcPr>
          <w:p w14:paraId="0ED1466A"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743D0CDA" w14:textId="77777777" w:rsidTr="003B1D62">
        <w:trPr>
          <w:trHeight w:val="1290"/>
        </w:trPr>
        <w:tc>
          <w:tcPr>
            <w:tcW w:w="1537" w:type="dxa"/>
            <w:hideMark/>
          </w:tcPr>
          <w:p w14:paraId="11E9D29E" w14:textId="77777777"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Equipment vehicles, furniture depreciation</w:t>
            </w:r>
          </w:p>
        </w:tc>
        <w:tc>
          <w:tcPr>
            <w:tcW w:w="1417" w:type="dxa"/>
            <w:hideMark/>
          </w:tcPr>
          <w:p w14:paraId="5241A015"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1" w:type="dxa"/>
            <w:hideMark/>
          </w:tcPr>
          <w:p w14:paraId="3AA737AC"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087" w:type="dxa"/>
            <w:hideMark/>
          </w:tcPr>
          <w:p w14:paraId="3C0F867E"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hideMark/>
          </w:tcPr>
          <w:p w14:paraId="3AA774C7"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hideMark/>
          </w:tcPr>
          <w:p w14:paraId="4537CA70" w14:textId="70A606AB" w:rsidR="00226E36" w:rsidRPr="000C2397" w:rsidRDefault="00226E36" w:rsidP="00226E36">
            <w:pPr>
              <w:spacing w:after="0" w:line="240" w:lineRule="auto"/>
              <w:rPr>
                <w:rFonts w:ascii="Calibri" w:eastAsia="Times New Roman" w:hAnsi="Calibri" w:cs="Times New Roman"/>
                <w:color w:val="C00000"/>
                <w:sz w:val="20"/>
                <w:szCs w:val="20"/>
                <w:lang w:val="en-GB" w:eastAsia="en-GB"/>
              </w:rPr>
            </w:pPr>
            <w:r w:rsidRPr="000C2397">
              <w:rPr>
                <w:rFonts w:ascii="Calibri" w:hAnsi="Calibri" w:cs="Calibri"/>
                <w:color w:val="C00000"/>
              </w:rPr>
              <w:t>10,000</w:t>
            </w:r>
          </w:p>
        </w:tc>
        <w:tc>
          <w:tcPr>
            <w:tcW w:w="1311" w:type="dxa"/>
          </w:tcPr>
          <w:p w14:paraId="1879C4BE" w14:textId="275F8AD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10,000</w:t>
            </w:r>
          </w:p>
        </w:tc>
        <w:tc>
          <w:tcPr>
            <w:tcW w:w="861" w:type="dxa"/>
            <w:hideMark/>
          </w:tcPr>
          <w:p w14:paraId="085E03DB" w14:textId="3BADE011"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19C6A1E2"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4CE3784C" w14:textId="77777777" w:rsidTr="003B1D62">
        <w:trPr>
          <w:trHeight w:val="780"/>
        </w:trPr>
        <w:tc>
          <w:tcPr>
            <w:tcW w:w="1537" w:type="dxa"/>
            <w:hideMark/>
          </w:tcPr>
          <w:p w14:paraId="6522F869"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Contractual Services</w:t>
            </w:r>
          </w:p>
        </w:tc>
        <w:tc>
          <w:tcPr>
            <w:tcW w:w="1417" w:type="dxa"/>
            <w:hideMark/>
          </w:tcPr>
          <w:p w14:paraId="09A0BFAC"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Senior consultant</w:t>
            </w:r>
          </w:p>
        </w:tc>
        <w:tc>
          <w:tcPr>
            <w:tcW w:w="1181" w:type="dxa"/>
            <w:hideMark/>
          </w:tcPr>
          <w:p w14:paraId="76E5CFB2"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700</w:t>
            </w:r>
          </w:p>
        </w:tc>
        <w:tc>
          <w:tcPr>
            <w:tcW w:w="1087" w:type="dxa"/>
            <w:hideMark/>
          </w:tcPr>
          <w:p w14:paraId="695DD1ED"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50</w:t>
            </w:r>
          </w:p>
        </w:tc>
        <w:tc>
          <w:tcPr>
            <w:tcW w:w="1276" w:type="dxa"/>
            <w:hideMark/>
          </w:tcPr>
          <w:p w14:paraId="4F4B7173"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35,000</w:t>
            </w:r>
          </w:p>
        </w:tc>
        <w:tc>
          <w:tcPr>
            <w:tcW w:w="1276" w:type="dxa"/>
            <w:hideMark/>
          </w:tcPr>
          <w:p w14:paraId="1C4C2863" w14:textId="3B722583" w:rsidR="00226E36" w:rsidRPr="000C2397" w:rsidRDefault="00226E36" w:rsidP="00226E36">
            <w:pPr>
              <w:spacing w:after="0" w:line="240" w:lineRule="auto"/>
              <w:jc w:val="right"/>
              <w:rPr>
                <w:rFonts w:ascii="Calibri" w:eastAsia="Times New Roman" w:hAnsi="Calibri" w:cs="Times New Roman"/>
                <w:color w:val="C00000"/>
                <w:sz w:val="20"/>
                <w:szCs w:val="20"/>
                <w:lang w:val="en-GB" w:eastAsia="en-GB"/>
              </w:rPr>
            </w:pPr>
            <w:r w:rsidRPr="000C2397">
              <w:rPr>
                <w:rFonts w:ascii="Calibri" w:hAnsi="Calibri" w:cs="Calibri"/>
                <w:color w:val="C00000"/>
              </w:rPr>
              <w:t>112,608</w:t>
            </w:r>
          </w:p>
        </w:tc>
        <w:tc>
          <w:tcPr>
            <w:tcW w:w="1311" w:type="dxa"/>
          </w:tcPr>
          <w:p w14:paraId="2668FE53" w14:textId="5539E8D7" w:rsidR="009B27A5" w:rsidRDefault="009B27A5" w:rsidP="009B27A5">
            <w:pPr>
              <w:spacing w:after="0" w:line="240" w:lineRule="auto"/>
              <w:rPr>
                <w:rFonts w:ascii="Calibri" w:hAnsi="Calibri" w:cs="Calibri"/>
              </w:rPr>
            </w:pPr>
            <w:r>
              <w:rPr>
                <w:rFonts w:ascii="Calibri" w:hAnsi="Calibri" w:cs="Calibri"/>
              </w:rPr>
              <w:t xml:space="preserve">147,608 </w:t>
            </w:r>
          </w:p>
          <w:p w14:paraId="72F0F1DF"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p>
        </w:tc>
        <w:tc>
          <w:tcPr>
            <w:tcW w:w="861" w:type="dxa"/>
            <w:hideMark/>
          </w:tcPr>
          <w:p w14:paraId="30B62F1D" w14:textId="127D7B54"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583A3A82"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6794DF36" w14:textId="77777777" w:rsidTr="003B1D62">
        <w:trPr>
          <w:trHeight w:val="780"/>
        </w:trPr>
        <w:tc>
          <w:tcPr>
            <w:tcW w:w="1537" w:type="dxa"/>
            <w:hideMark/>
          </w:tcPr>
          <w:p w14:paraId="4D8AEB1A" w14:textId="77777777" w:rsidR="00226E36" w:rsidRPr="0087330D" w:rsidRDefault="00226E36" w:rsidP="00226E36">
            <w:pPr>
              <w:spacing w:after="0" w:line="240" w:lineRule="auto"/>
              <w:jc w:val="both"/>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 </w:t>
            </w:r>
          </w:p>
        </w:tc>
        <w:tc>
          <w:tcPr>
            <w:tcW w:w="1417" w:type="dxa"/>
            <w:hideMark/>
          </w:tcPr>
          <w:p w14:paraId="656A2912"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Mid-level consultant</w:t>
            </w:r>
          </w:p>
        </w:tc>
        <w:tc>
          <w:tcPr>
            <w:tcW w:w="1181" w:type="dxa"/>
            <w:hideMark/>
          </w:tcPr>
          <w:p w14:paraId="34B69592"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450</w:t>
            </w:r>
          </w:p>
        </w:tc>
        <w:tc>
          <w:tcPr>
            <w:tcW w:w="1087" w:type="dxa"/>
            <w:hideMark/>
          </w:tcPr>
          <w:p w14:paraId="5B94C972"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30</w:t>
            </w:r>
          </w:p>
        </w:tc>
        <w:tc>
          <w:tcPr>
            <w:tcW w:w="1276" w:type="dxa"/>
            <w:hideMark/>
          </w:tcPr>
          <w:p w14:paraId="7600F839"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13,500</w:t>
            </w:r>
          </w:p>
        </w:tc>
        <w:tc>
          <w:tcPr>
            <w:tcW w:w="1276" w:type="dxa"/>
          </w:tcPr>
          <w:p w14:paraId="1E3F8C6F" w14:textId="4C0CC29B" w:rsidR="00226E36" w:rsidRPr="000C2397" w:rsidRDefault="00BB089F" w:rsidP="00226E36">
            <w:pPr>
              <w:spacing w:after="0" w:line="240" w:lineRule="auto"/>
              <w:jc w:val="right"/>
              <w:rPr>
                <w:rFonts w:ascii="Calibri" w:eastAsia="Times New Roman" w:hAnsi="Calibri" w:cs="Times New Roman"/>
                <w:color w:val="C00000"/>
                <w:sz w:val="20"/>
                <w:szCs w:val="20"/>
                <w:lang w:val="en-GB" w:eastAsia="en-GB"/>
              </w:rPr>
            </w:pPr>
            <w:r w:rsidRPr="000C2397">
              <w:rPr>
                <w:rFonts w:ascii="Calibri" w:eastAsia="Times New Roman" w:hAnsi="Calibri" w:cs="Times New Roman"/>
                <w:color w:val="C00000"/>
                <w:sz w:val="20"/>
                <w:szCs w:val="20"/>
                <w:lang w:val="en-GB" w:eastAsia="en-GB"/>
              </w:rPr>
              <w:t>[…]</w:t>
            </w:r>
          </w:p>
        </w:tc>
        <w:tc>
          <w:tcPr>
            <w:tcW w:w="1311" w:type="dxa"/>
          </w:tcPr>
          <w:p w14:paraId="58A3FEBB" w14:textId="1433E1DD" w:rsidR="009B27A5" w:rsidRDefault="009B27A5" w:rsidP="009B27A5">
            <w:pPr>
              <w:spacing w:after="0" w:line="240" w:lineRule="auto"/>
              <w:rPr>
                <w:rFonts w:ascii="Calibri" w:hAnsi="Calibri" w:cs="Calibri"/>
              </w:rPr>
            </w:pPr>
            <w:r>
              <w:rPr>
                <w:rFonts w:ascii="Calibri" w:hAnsi="Calibri" w:cs="Calibri"/>
              </w:rPr>
              <w:t xml:space="preserve">13,500 </w:t>
            </w:r>
          </w:p>
          <w:p w14:paraId="4C3C46C4"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p>
        </w:tc>
        <w:tc>
          <w:tcPr>
            <w:tcW w:w="861" w:type="dxa"/>
            <w:hideMark/>
          </w:tcPr>
          <w:p w14:paraId="06FB3D31" w14:textId="207BE63C"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6F67437C"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7DD39B00" w14:textId="77777777" w:rsidTr="003B1D62">
        <w:trPr>
          <w:trHeight w:val="525"/>
        </w:trPr>
        <w:tc>
          <w:tcPr>
            <w:tcW w:w="1537" w:type="dxa"/>
            <w:hideMark/>
          </w:tcPr>
          <w:p w14:paraId="5543FB80"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Travel</w:t>
            </w:r>
          </w:p>
        </w:tc>
        <w:tc>
          <w:tcPr>
            <w:tcW w:w="1417" w:type="dxa"/>
            <w:hideMark/>
          </w:tcPr>
          <w:p w14:paraId="2C143205"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Workshops</w:t>
            </w:r>
          </w:p>
        </w:tc>
        <w:tc>
          <w:tcPr>
            <w:tcW w:w="1181" w:type="dxa"/>
            <w:hideMark/>
          </w:tcPr>
          <w:p w14:paraId="1DCFBF76"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20,000</w:t>
            </w:r>
          </w:p>
        </w:tc>
        <w:tc>
          <w:tcPr>
            <w:tcW w:w="1087" w:type="dxa"/>
            <w:hideMark/>
          </w:tcPr>
          <w:p w14:paraId="45F0DCF2"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2</w:t>
            </w:r>
          </w:p>
        </w:tc>
        <w:tc>
          <w:tcPr>
            <w:tcW w:w="1276" w:type="dxa"/>
            <w:hideMark/>
          </w:tcPr>
          <w:p w14:paraId="445909E7"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40,000</w:t>
            </w:r>
          </w:p>
        </w:tc>
        <w:tc>
          <w:tcPr>
            <w:tcW w:w="1276" w:type="dxa"/>
          </w:tcPr>
          <w:p w14:paraId="26DDC287" w14:textId="218A187D" w:rsidR="00226E36" w:rsidRPr="000C2397" w:rsidRDefault="00BB089F" w:rsidP="00226E36">
            <w:pPr>
              <w:spacing w:after="0" w:line="240" w:lineRule="auto"/>
              <w:jc w:val="right"/>
              <w:rPr>
                <w:rFonts w:ascii="Calibri" w:eastAsia="Times New Roman" w:hAnsi="Calibri" w:cs="Times New Roman"/>
                <w:color w:val="C00000"/>
                <w:sz w:val="20"/>
                <w:szCs w:val="20"/>
                <w:lang w:val="en-GB" w:eastAsia="en-GB"/>
              </w:rPr>
            </w:pPr>
            <w:r w:rsidRPr="000C2397">
              <w:rPr>
                <w:rFonts w:ascii="Calibri" w:eastAsia="Times New Roman" w:hAnsi="Calibri" w:cs="Times New Roman"/>
                <w:color w:val="C00000"/>
                <w:sz w:val="20"/>
                <w:szCs w:val="20"/>
                <w:lang w:val="en-GB" w:eastAsia="en-GB"/>
              </w:rPr>
              <w:t>[…]</w:t>
            </w:r>
          </w:p>
        </w:tc>
        <w:tc>
          <w:tcPr>
            <w:tcW w:w="1311" w:type="dxa"/>
          </w:tcPr>
          <w:p w14:paraId="3AD1E55A" w14:textId="0204638A" w:rsidR="009B27A5" w:rsidRDefault="009B27A5" w:rsidP="009B27A5">
            <w:pPr>
              <w:spacing w:after="0" w:line="240" w:lineRule="auto"/>
              <w:rPr>
                <w:rFonts w:ascii="Calibri" w:hAnsi="Calibri" w:cs="Calibri"/>
              </w:rPr>
            </w:pPr>
            <w:r>
              <w:rPr>
                <w:rFonts w:ascii="Calibri" w:hAnsi="Calibri" w:cs="Calibri"/>
              </w:rPr>
              <w:t xml:space="preserve">40,000 </w:t>
            </w:r>
          </w:p>
          <w:p w14:paraId="529445E6"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p>
        </w:tc>
        <w:tc>
          <w:tcPr>
            <w:tcW w:w="861" w:type="dxa"/>
            <w:hideMark/>
          </w:tcPr>
          <w:p w14:paraId="247C8631" w14:textId="3F73A52B"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5834D4C6"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0BEC06F5" w14:textId="77777777" w:rsidTr="003B1D62">
        <w:trPr>
          <w:trHeight w:val="1545"/>
        </w:trPr>
        <w:tc>
          <w:tcPr>
            <w:tcW w:w="1537" w:type="dxa"/>
            <w:hideMark/>
          </w:tcPr>
          <w:p w14:paraId="39EE3E7E" w14:textId="77777777" w:rsidR="00226E36" w:rsidRPr="0087330D" w:rsidRDefault="00226E36" w:rsidP="00226E36">
            <w:pPr>
              <w:spacing w:after="0" w:line="240" w:lineRule="auto"/>
              <w:ind w:firstLineChars="200" w:firstLine="402"/>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 </w:t>
            </w:r>
          </w:p>
        </w:tc>
        <w:tc>
          <w:tcPr>
            <w:tcW w:w="1417" w:type="dxa"/>
            <w:hideMark/>
          </w:tcPr>
          <w:p w14:paraId="03E04C68"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Travels to pilot entities or inter-agency meetings</w:t>
            </w:r>
          </w:p>
        </w:tc>
        <w:tc>
          <w:tcPr>
            <w:tcW w:w="1181" w:type="dxa"/>
            <w:hideMark/>
          </w:tcPr>
          <w:p w14:paraId="4EDFE315"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3,000</w:t>
            </w:r>
          </w:p>
        </w:tc>
        <w:tc>
          <w:tcPr>
            <w:tcW w:w="1087" w:type="dxa"/>
            <w:hideMark/>
          </w:tcPr>
          <w:p w14:paraId="7E178A65"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8</w:t>
            </w:r>
          </w:p>
        </w:tc>
        <w:tc>
          <w:tcPr>
            <w:tcW w:w="1276" w:type="dxa"/>
            <w:hideMark/>
          </w:tcPr>
          <w:p w14:paraId="682548DD"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24,000</w:t>
            </w:r>
          </w:p>
        </w:tc>
        <w:tc>
          <w:tcPr>
            <w:tcW w:w="1276" w:type="dxa"/>
          </w:tcPr>
          <w:p w14:paraId="79693001" w14:textId="35DD3343" w:rsidR="00226E36" w:rsidRPr="000C2397" w:rsidRDefault="008D2A17" w:rsidP="00226E36">
            <w:pPr>
              <w:spacing w:after="0" w:line="240" w:lineRule="auto"/>
              <w:jc w:val="right"/>
              <w:rPr>
                <w:rFonts w:ascii="Calibri" w:eastAsia="Times New Roman" w:hAnsi="Calibri" w:cs="Times New Roman"/>
                <w:color w:val="C00000"/>
                <w:sz w:val="20"/>
                <w:szCs w:val="20"/>
                <w:lang w:val="en-GB" w:eastAsia="en-GB"/>
              </w:rPr>
            </w:pPr>
            <w:r w:rsidRPr="000C2397">
              <w:rPr>
                <w:rFonts w:ascii="Calibri" w:hAnsi="Calibri" w:cs="Calibri"/>
                <w:color w:val="C00000"/>
              </w:rPr>
              <w:t>100,000</w:t>
            </w:r>
          </w:p>
        </w:tc>
        <w:tc>
          <w:tcPr>
            <w:tcW w:w="1311" w:type="dxa"/>
          </w:tcPr>
          <w:p w14:paraId="4D8D41BF" w14:textId="3B1DC4D9" w:rsidR="00226E36" w:rsidRPr="0087330D" w:rsidRDefault="008D2A17" w:rsidP="00226E3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124000</w:t>
            </w:r>
          </w:p>
        </w:tc>
        <w:tc>
          <w:tcPr>
            <w:tcW w:w="861" w:type="dxa"/>
            <w:hideMark/>
          </w:tcPr>
          <w:p w14:paraId="5363A1E1" w14:textId="1D4A7C3F"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304616F8"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438CB23A" w14:textId="77777777" w:rsidTr="003B1D62">
        <w:trPr>
          <w:trHeight w:val="525"/>
        </w:trPr>
        <w:tc>
          <w:tcPr>
            <w:tcW w:w="1537" w:type="dxa"/>
            <w:hideMark/>
          </w:tcPr>
          <w:p w14:paraId="78D396D4"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Transfers and grants</w:t>
            </w:r>
          </w:p>
        </w:tc>
        <w:tc>
          <w:tcPr>
            <w:tcW w:w="1417" w:type="dxa"/>
            <w:hideMark/>
          </w:tcPr>
          <w:p w14:paraId="684E3B33"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1" w:type="dxa"/>
            <w:hideMark/>
          </w:tcPr>
          <w:p w14:paraId="1C41FADB"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087" w:type="dxa"/>
            <w:hideMark/>
          </w:tcPr>
          <w:p w14:paraId="2A41698B"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hideMark/>
          </w:tcPr>
          <w:p w14:paraId="2A7AC600"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hideMark/>
          </w:tcPr>
          <w:p w14:paraId="430AB2EF" w14:textId="2C5AB5C0" w:rsidR="00226E36" w:rsidRPr="000C2397" w:rsidRDefault="007F5D44" w:rsidP="00226E36">
            <w:pPr>
              <w:spacing w:after="0" w:line="240" w:lineRule="auto"/>
              <w:rPr>
                <w:rFonts w:ascii="Calibri" w:eastAsia="Times New Roman" w:hAnsi="Calibri" w:cs="Times New Roman"/>
                <w:color w:val="C00000"/>
                <w:sz w:val="20"/>
                <w:szCs w:val="20"/>
                <w:lang w:val="en-GB" w:eastAsia="en-GB"/>
              </w:rPr>
            </w:pPr>
            <w:r>
              <w:rPr>
                <w:rFonts w:ascii="Calibri" w:eastAsia="Times New Roman" w:hAnsi="Calibri" w:cs="Times New Roman"/>
                <w:color w:val="C00000"/>
                <w:sz w:val="20"/>
                <w:szCs w:val="20"/>
                <w:lang w:val="en-GB" w:eastAsia="en-GB"/>
              </w:rPr>
              <w:t xml:space="preserve"> </w:t>
            </w:r>
            <w:r w:rsidR="00226E36" w:rsidRPr="000C2397">
              <w:rPr>
                <w:rFonts w:ascii="Calibri" w:eastAsia="Times New Roman" w:hAnsi="Calibri" w:cs="Times New Roman"/>
                <w:color w:val="C00000"/>
                <w:sz w:val="20"/>
                <w:szCs w:val="20"/>
                <w:lang w:val="en-GB" w:eastAsia="en-GB"/>
              </w:rPr>
              <w:t>[…]</w:t>
            </w:r>
          </w:p>
        </w:tc>
        <w:tc>
          <w:tcPr>
            <w:tcW w:w="1311" w:type="dxa"/>
          </w:tcPr>
          <w:p w14:paraId="4C972587" w14:textId="7F7FD62B" w:rsidR="00226E36" w:rsidRPr="0087330D" w:rsidRDefault="00006D44"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861" w:type="dxa"/>
            <w:hideMark/>
          </w:tcPr>
          <w:p w14:paraId="0C7F58DD" w14:textId="3F201374"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0C80C831"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3D2CAF0F" w14:textId="77777777" w:rsidTr="003B1D62">
        <w:trPr>
          <w:trHeight w:val="780"/>
        </w:trPr>
        <w:tc>
          <w:tcPr>
            <w:tcW w:w="1537" w:type="dxa"/>
            <w:hideMark/>
          </w:tcPr>
          <w:p w14:paraId="079E3E47"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 xml:space="preserve">General Operating expenses </w:t>
            </w:r>
          </w:p>
        </w:tc>
        <w:tc>
          <w:tcPr>
            <w:tcW w:w="1417" w:type="dxa"/>
            <w:hideMark/>
          </w:tcPr>
          <w:p w14:paraId="5CC7F026"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1" w:type="dxa"/>
            <w:hideMark/>
          </w:tcPr>
          <w:p w14:paraId="7D54D125"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087" w:type="dxa"/>
            <w:hideMark/>
          </w:tcPr>
          <w:p w14:paraId="39E8757F"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hideMark/>
          </w:tcPr>
          <w:p w14:paraId="25F0691F" w14:textId="600C3F66" w:rsidR="00226E36" w:rsidRPr="0087330D" w:rsidRDefault="007D0348" w:rsidP="00226E36">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24,000</w:t>
            </w:r>
          </w:p>
        </w:tc>
        <w:tc>
          <w:tcPr>
            <w:tcW w:w="1276" w:type="dxa"/>
            <w:hideMark/>
          </w:tcPr>
          <w:p w14:paraId="1AA036B4" w14:textId="546658B3" w:rsidR="00226E36" w:rsidRPr="000C2397" w:rsidRDefault="00226E36" w:rsidP="00226E36">
            <w:pPr>
              <w:spacing w:after="0" w:line="240" w:lineRule="auto"/>
              <w:rPr>
                <w:rFonts w:ascii="Calibri" w:hAnsi="Calibri" w:cs="Calibri"/>
                <w:color w:val="C00000"/>
              </w:rPr>
            </w:pPr>
            <w:r w:rsidRPr="000C2397">
              <w:rPr>
                <w:rFonts w:ascii="Calibri" w:hAnsi="Calibri" w:cs="Calibri"/>
                <w:color w:val="C00000"/>
              </w:rPr>
              <w:t xml:space="preserve">101,860 </w:t>
            </w:r>
          </w:p>
          <w:p w14:paraId="12FD97E4" w14:textId="69703553" w:rsidR="00226E36" w:rsidRPr="000C2397" w:rsidRDefault="00226E36" w:rsidP="00226E36">
            <w:pPr>
              <w:spacing w:after="0" w:line="240" w:lineRule="auto"/>
              <w:rPr>
                <w:rFonts w:ascii="Calibri" w:eastAsia="Times New Roman" w:hAnsi="Calibri" w:cs="Times New Roman"/>
                <w:color w:val="C00000"/>
                <w:sz w:val="20"/>
                <w:szCs w:val="20"/>
                <w:lang w:val="en-GB" w:eastAsia="en-GB"/>
              </w:rPr>
            </w:pPr>
          </w:p>
        </w:tc>
        <w:tc>
          <w:tcPr>
            <w:tcW w:w="1311" w:type="dxa"/>
          </w:tcPr>
          <w:p w14:paraId="21FB4D15" w14:textId="58D43A69" w:rsidR="009B27A5" w:rsidRDefault="009B27A5" w:rsidP="009B27A5">
            <w:pPr>
              <w:spacing w:after="0" w:line="240" w:lineRule="auto"/>
              <w:rPr>
                <w:rFonts w:ascii="Calibri" w:hAnsi="Calibri" w:cs="Calibri"/>
              </w:rPr>
            </w:pPr>
            <w:r>
              <w:rPr>
                <w:rFonts w:ascii="Calibri" w:hAnsi="Calibri" w:cs="Calibri"/>
              </w:rPr>
              <w:t xml:space="preserve">125,860 </w:t>
            </w:r>
          </w:p>
          <w:p w14:paraId="32F1633B"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p>
        </w:tc>
        <w:tc>
          <w:tcPr>
            <w:tcW w:w="861" w:type="dxa"/>
            <w:hideMark/>
          </w:tcPr>
          <w:p w14:paraId="25B8C033" w14:textId="5D878475"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3BB22B1C"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66726649" w14:textId="77777777" w:rsidTr="003B1D62">
        <w:trPr>
          <w:trHeight w:val="315"/>
        </w:trPr>
        <w:tc>
          <w:tcPr>
            <w:tcW w:w="1537" w:type="dxa"/>
            <w:hideMark/>
          </w:tcPr>
          <w:p w14:paraId="76449CC6"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Subtotal</w:t>
            </w:r>
          </w:p>
        </w:tc>
        <w:tc>
          <w:tcPr>
            <w:tcW w:w="1417" w:type="dxa"/>
            <w:hideMark/>
          </w:tcPr>
          <w:p w14:paraId="413F5F53" w14:textId="77777777" w:rsidR="00226E36" w:rsidRPr="0087330D" w:rsidRDefault="00226E36" w:rsidP="00226E36">
            <w:pPr>
              <w:spacing w:after="0" w:line="240" w:lineRule="auto"/>
              <w:ind w:firstLineChars="200" w:firstLine="400"/>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1" w:type="dxa"/>
          </w:tcPr>
          <w:p w14:paraId="3738D5AF" w14:textId="77777777" w:rsidR="00226E36" w:rsidRPr="0087330D" w:rsidRDefault="00226E36" w:rsidP="00226E36">
            <w:pPr>
              <w:spacing w:after="0" w:line="240" w:lineRule="auto"/>
              <w:ind w:firstLineChars="200" w:firstLine="400"/>
              <w:rPr>
                <w:rFonts w:ascii="Calibri" w:eastAsia="Times New Roman" w:hAnsi="Calibri" w:cs="Times New Roman"/>
                <w:color w:val="000000"/>
                <w:sz w:val="20"/>
                <w:szCs w:val="20"/>
                <w:lang w:val="en-GB" w:eastAsia="en-GB"/>
              </w:rPr>
            </w:pPr>
          </w:p>
        </w:tc>
        <w:tc>
          <w:tcPr>
            <w:tcW w:w="1087" w:type="dxa"/>
          </w:tcPr>
          <w:p w14:paraId="1A6A6EF2" w14:textId="77777777" w:rsidR="00226E36" w:rsidRPr="0087330D" w:rsidRDefault="00226E36" w:rsidP="00226E36">
            <w:pPr>
              <w:spacing w:after="0" w:line="240" w:lineRule="auto"/>
              <w:ind w:firstLineChars="200" w:firstLine="400"/>
              <w:rPr>
                <w:rFonts w:ascii="Calibri" w:eastAsia="Times New Roman" w:hAnsi="Calibri" w:cs="Times New Roman"/>
                <w:color w:val="000000"/>
                <w:sz w:val="20"/>
                <w:szCs w:val="20"/>
                <w:lang w:val="en-GB" w:eastAsia="en-GB"/>
              </w:rPr>
            </w:pPr>
          </w:p>
        </w:tc>
        <w:tc>
          <w:tcPr>
            <w:tcW w:w="1276" w:type="dxa"/>
            <w:hideMark/>
          </w:tcPr>
          <w:p w14:paraId="002F01A0" w14:textId="77777777" w:rsidR="00226E36" w:rsidRPr="001421AE" w:rsidRDefault="00226E36" w:rsidP="00226E36">
            <w:pPr>
              <w:spacing w:after="0" w:line="240" w:lineRule="auto"/>
              <w:rPr>
                <w:rFonts w:ascii="Calibri" w:eastAsia="Times New Roman" w:hAnsi="Calibri" w:cs="Times New Roman"/>
                <w:b/>
                <w:color w:val="000000"/>
                <w:sz w:val="20"/>
                <w:szCs w:val="20"/>
                <w:lang w:val="en-GB" w:eastAsia="en-GB"/>
              </w:rPr>
            </w:pPr>
            <w:r w:rsidRPr="001421AE">
              <w:rPr>
                <w:rFonts w:ascii="Calibri" w:eastAsia="Times New Roman" w:hAnsi="Calibri" w:cs="Times New Roman"/>
                <w:b/>
                <w:color w:val="000000"/>
                <w:sz w:val="20"/>
                <w:szCs w:val="20"/>
                <w:lang w:val="en-GB" w:eastAsia="en-GB"/>
              </w:rPr>
              <w:t>116,820</w:t>
            </w:r>
          </w:p>
        </w:tc>
        <w:tc>
          <w:tcPr>
            <w:tcW w:w="1276" w:type="dxa"/>
            <w:hideMark/>
          </w:tcPr>
          <w:p w14:paraId="68B1AA57" w14:textId="60D1C5CE" w:rsidR="009B27A5" w:rsidRPr="000C2397" w:rsidRDefault="009B27A5" w:rsidP="009B27A5">
            <w:pPr>
              <w:spacing w:after="0" w:line="240" w:lineRule="auto"/>
              <w:rPr>
                <w:rFonts w:ascii="Calibri" w:hAnsi="Calibri" w:cs="Calibri"/>
                <w:b/>
                <w:bCs/>
                <w:color w:val="C00000"/>
              </w:rPr>
            </w:pPr>
            <w:r w:rsidRPr="000C2397">
              <w:rPr>
                <w:rFonts w:ascii="Calibri" w:hAnsi="Calibri" w:cs="Calibri"/>
                <w:b/>
                <w:bCs/>
                <w:color w:val="C00000"/>
              </w:rPr>
              <w:t xml:space="preserve">981,168 </w:t>
            </w:r>
          </w:p>
          <w:p w14:paraId="265E0415" w14:textId="02E0C67E" w:rsidR="00226E36" w:rsidRPr="000C2397" w:rsidRDefault="00226E36" w:rsidP="00226E36">
            <w:pPr>
              <w:spacing w:after="0" w:line="240" w:lineRule="auto"/>
              <w:rPr>
                <w:rFonts w:ascii="Calibri" w:eastAsia="Times New Roman" w:hAnsi="Calibri" w:cs="Times New Roman"/>
                <w:b/>
                <w:color w:val="C00000"/>
                <w:sz w:val="20"/>
                <w:szCs w:val="20"/>
                <w:lang w:val="en-GB" w:eastAsia="en-GB"/>
              </w:rPr>
            </w:pPr>
          </w:p>
        </w:tc>
        <w:tc>
          <w:tcPr>
            <w:tcW w:w="1311" w:type="dxa"/>
          </w:tcPr>
          <w:p w14:paraId="3D07752A" w14:textId="6E3A1603" w:rsidR="00226E36" w:rsidRPr="0087330D" w:rsidRDefault="009B27A5" w:rsidP="00226E36">
            <w:pPr>
              <w:spacing w:after="0" w:line="240" w:lineRule="auto"/>
              <w:rPr>
                <w:rFonts w:ascii="Calibri" w:eastAsia="Times New Roman" w:hAnsi="Calibri" w:cs="Times New Roman"/>
                <w:color w:val="000000"/>
                <w:sz w:val="20"/>
                <w:szCs w:val="20"/>
                <w:lang w:val="en-GB" w:eastAsia="en-GB"/>
              </w:rPr>
            </w:pPr>
            <w:r w:rsidRPr="009B27A5">
              <w:rPr>
                <w:rFonts w:ascii="Calibri" w:eastAsia="Times New Roman" w:hAnsi="Calibri" w:cs="Times New Roman"/>
                <w:color w:val="000000"/>
                <w:sz w:val="20"/>
                <w:szCs w:val="20"/>
                <w:lang w:val="en-GB" w:eastAsia="en-GB"/>
              </w:rPr>
              <w:t>1,097,988</w:t>
            </w:r>
          </w:p>
        </w:tc>
        <w:tc>
          <w:tcPr>
            <w:tcW w:w="861" w:type="dxa"/>
            <w:hideMark/>
          </w:tcPr>
          <w:p w14:paraId="7FCF72DE" w14:textId="7178A965"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 […]</w:t>
            </w:r>
          </w:p>
        </w:tc>
        <w:tc>
          <w:tcPr>
            <w:tcW w:w="1182" w:type="dxa"/>
            <w:hideMark/>
          </w:tcPr>
          <w:p w14:paraId="5476A3AF" w14:textId="77777777" w:rsidR="00226E36" w:rsidRPr="0087330D" w:rsidRDefault="00226E36" w:rsidP="00226E36">
            <w:pPr>
              <w:spacing w:after="0" w:line="240" w:lineRule="auto"/>
              <w:ind w:firstLineChars="200" w:firstLine="400"/>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 </w:t>
            </w:r>
          </w:p>
        </w:tc>
      </w:tr>
      <w:tr w:rsidR="00226E36" w:rsidRPr="0087330D" w14:paraId="478EBB49" w14:textId="77777777" w:rsidTr="003B1D62">
        <w:trPr>
          <w:trHeight w:val="795"/>
        </w:trPr>
        <w:tc>
          <w:tcPr>
            <w:tcW w:w="1537" w:type="dxa"/>
            <w:hideMark/>
          </w:tcPr>
          <w:p w14:paraId="4DCAE612"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Indirect costs (7%)</w:t>
            </w:r>
          </w:p>
        </w:tc>
        <w:tc>
          <w:tcPr>
            <w:tcW w:w="1417" w:type="dxa"/>
            <w:hideMark/>
          </w:tcPr>
          <w:p w14:paraId="7BE91B6C"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Programme Support Costs</w:t>
            </w:r>
          </w:p>
        </w:tc>
        <w:tc>
          <w:tcPr>
            <w:tcW w:w="1181" w:type="dxa"/>
            <w:hideMark/>
          </w:tcPr>
          <w:p w14:paraId="38CE0B1A"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 […]</w:t>
            </w:r>
          </w:p>
        </w:tc>
        <w:tc>
          <w:tcPr>
            <w:tcW w:w="1087" w:type="dxa"/>
            <w:hideMark/>
          </w:tcPr>
          <w:p w14:paraId="538CAA81"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hideMark/>
          </w:tcPr>
          <w:p w14:paraId="5675EA55" w14:textId="77777777" w:rsidR="00226E36" w:rsidRPr="0087330D" w:rsidRDefault="00226E36" w:rsidP="00226E36">
            <w:pPr>
              <w:spacing w:after="0" w:line="240" w:lineRule="auto"/>
              <w:jc w:val="right"/>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8,177</w:t>
            </w:r>
          </w:p>
        </w:tc>
        <w:tc>
          <w:tcPr>
            <w:tcW w:w="1276" w:type="dxa"/>
            <w:hideMark/>
          </w:tcPr>
          <w:p w14:paraId="4A4D1433" w14:textId="6A9E4CBF" w:rsidR="009B27A5" w:rsidRPr="000C2397" w:rsidRDefault="009B27A5" w:rsidP="009B27A5">
            <w:pPr>
              <w:spacing w:after="0" w:line="240" w:lineRule="auto"/>
              <w:jc w:val="right"/>
              <w:rPr>
                <w:rFonts w:ascii="Calibri" w:hAnsi="Calibri" w:cs="Calibri"/>
                <w:b/>
                <w:bCs/>
                <w:color w:val="C00000"/>
              </w:rPr>
            </w:pPr>
            <w:r w:rsidRPr="000C2397">
              <w:rPr>
                <w:rFonts w:ascii="Calibri" w:hAnsi="Calibri" w:cs="Calibri"/>
                <w:b/>
                <w:bCs/>
                <w:color w:val="C00000"/>
              </w:rPr>
              <w:t xml:space="preserve">68,682 </w:t>
            </w:r>
          </w:p>
          <w:p w14:paraId="04ABA60F" w14:textId="05525520" w:rsidR="00226E36" w:rsidRPr="000C2397" w:rsidRDefault="00226E36" w:rsidP="00226E36">
            <w:pPr>
              <w:spacing w:after="0" w:line="240" w:lineRule="auto"/>
              <w:jc w:val="right"/>
              <w:rPr>
                <w:rFonts w:ascii="Calibri" w:eastAsia="Times New Roman" w:hAnsi="Calibri" w:cs="Times New Roman"/>
                <w:color w:val="C00000"/>
                <w:sz w:val="20"/>
                <w:szCs w:val="20"/>
                <w:lang w:val="en-GB" w:eastAsia="en-GB"/>
              </w:rPr>
            </w:pPr>
          </w:p>
        </w:tc>
        <w:tc>
          <w:tcPr>
            <w:tcW w:w="1311" w:type="dxa"/>
          </w:tcPr>
          <w:p w14:paraId="7C2CC7E0" w14:textId="63010C48" w:rsidR="00226E36" w:rsidRPr="0087330D" w:rsidRDefault="009B27A5" w:rsidP="00226E36">
            <w:pPr>
              <w:spacing w:after="0" w:line="240" w:lineRule="auto"/>
              <w:rPr>
                <w:rFonts w:ascii="Calibri" w:eastAsia="Times New Roman" w:hAnsi="Calibri" w:cs="Times New Roman"/>
                <w:color w:val="000000"/>
                <w:sz w:val="20"/>
                <w:szCs w:val="20"/>
                <w:lang w:val="en-GB" w:eastAsia="en-GB"/>
              </w:rPr>
            </w:pPr>
            <w:r w:rsidRPr="009B27A5">
              <w:rPr>
                <w:rFonts w:ascii="Calibri" w:eastAsia="Times New Roman" w:hAnsi="Calibri" w:cs="Times New Roman"/>
                <w:color w:val="000000"/>
                <w:sz w:val="20"/>
                <w:szCs w:val="20"/>
                <w:lang w:val="en-GB" w:eastAsia="en-GB"/>
              </w:rPr>
              <w:t>76,859</w:t>
            </w:r>
          </w:p>
        </w:tc>
        <w:tc>
          <w:tcPr>
            <w:tcW w:w="861" w:type="dxa"/>
            <w:hideMark/>
          </w:tcPr>
          <w:p w14:paraId="480E457F" w14:textId="62268E45"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668CEDE1"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r w:rsidR="00226E36" w:rsidRPr="0087330D" w14:paraId="47E29CF5" w14:textId="77777777" w:rsidTr="003B1D62">
        <w:trPr>
          <w:trHeight w:val="330"/>
        </w:trPr>
        <w:tc>
          <w:tcPr>
            <w:tcW w:w="1537" w:type="dxa"/>
            <w:hideMark/>
          </w:tcPr>
          <w:p w14:paraId="49B3C499" w14:textId="77777777" w:rsidR="00226E36" w:rsidRPr="0087330D" w:rsidRDefault="00226E36" w:rsidP="00226E36">
            <w:pPr>
              <w:spacing w:after="0" w:line="240" w:lineRule="auto"/>
              <w:rPr>
                <w:rFonts w:ascii="Calibri" w:eastAsia="Times New Roman" w:hAnsi="Calibri" w:cs="Times New Roman"/>
                <w:b/>
                <w:bCs/>
                <w:color w:val="000000"/>
                <w:sz w:val="20"/>
                <w:szCs w:val="20"/>
                <w:lang w:val="en-GB" w:eastAsia="en-GB"/>
              </w:rPr>
            </w:pPr>
            <w:r w:rsidRPr="0087330D">
              <w:rPr>
                <w:rFonts w:ascii="Calibri" w:eastAsia="Times New Roman" w:hAnsi="Calibri" w:cs="Times New Roman"/>
                <w:b/>
                <w:bCs/>
                <w:color w:val="000000"/>
                <w:sz w:val="20"/>
                <w:szCs w:val="20"/>
                <w:lang w:val="en-GB" w:eastAsia="en-GB"/>
              </w:rPr>
              <w:t>Total</w:t>
            </w:r>
          </w:p>
        </w:tc>
        <w:tc>
          <w:tcPr>
            <w:tcW w:w="1417" w:type="dxa"/>
            <w:hideMark/>
          </w:tcPr>
          <w:p w14:paraId="1089FCB3"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1" w:type="dxa"/>
            <w:hideMark/>
          </w:tcPr>
          <w:p w14:paraId="18B00DB6"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087" w:type="dxa"/>
            <w:hideMark/>
          </w:tcPr>
          <w:p w14:paraId="350AB8D0"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276" w:type="dxa"/>
            <w:hideMark/>
          </w:tcPr>
          <w:p w14:paraId="7760D827" w14:textId="20FC8B2E" w:rsidR="00226E36" w:rsidRPr="001421AE" w:rsidRDefault="00226E36" w:rsidP="00226E36">
            <w:pPr>
              <w:spacing w:after="0" w:line="240" w:lineRule="auto"/>
              <w:jc w:val="right"/>
              <w:rPr>
                <w:rFonts w:ascii="Calibri" w:eastAsia="Times New Roman" w:hAnsi="Calibri" w:cs="Times New Roman"/>
                <w:b/>
                <w:color w:val="000000"/>
                <w:sz w:val="20"/>
                <w:szCs w:val="20"/>
                <w:lang w:val="en-GB" w:eastAsia="en-GB"/>
              </w:rPr>
            </w:pPr>
            <w:r w:rsidRPr="001421AE">
              <w:rPr>
                <w:rFonts w:ascii="Calibri" w:eastAsia="Times New Roman" w:hAnsi="Calibri" w:cs="Times New Roman"/>
                <w:b/>
                <w:color w:val="000000"/>
                <w:sz w:val="20"/>
                <w:szCs w:val="20"/>
                <w:lang w:val="en-GB" w:eastAsia="en-GB"/>
              </w:rPr>
              <w:t xml:space="preserve"> 124,997</w:t>
            </w:r>
          </w:p>
        </w:tc>
        <w:tc>
          <w:tcPr>
            <w:tcW w:w="1276" w:type="dxa"/>
            <w:vAlign w:val="center"/>
            <w:hideMark/>
          </w:tcPr>
          <w:p w14:paraId="423AFDC3" w14:textId="55F31E37" w:rsidR="009B27A5" w:rsidRPr="000C2397" w:rsidRDefault="009B27A5" w:rsidP="009B27A5">
            <w:pPr>
              <w:spacing w:after="0" w:line="240" w:lineRule="auto"/>
              <w:jc w:val="right"/>
              <w:rPr>
                <w:rFonts w:ascii="Calibri" w:hAnsi="Calibri" w:cs="Calibri"/>
                <w:b/>
                <w:bCs/>
                <w:color w:val="C00000"/>
              </w:rPr>
            </w:pPr>
            <w:r w:rsidRPr="000C2397">
              <w:rPr>
                <w:rFonts w:ascii="Calibri" w:hAnsi="Calibri" w:cs="Calibri"/>
                <w:b/>
                <w:bCs/>
                <w:color w:val="C00000"/>
              </w:rPr>
              <w:t xml:space="preserve">1,049,850 </w:t>
            </w:r>
          </w:p>
          <w:p w14:paraId="59515324" w14:textId="6C25E86C" w:rsidR="00226E36" w:rsidRPr="000C2397" w:rsidRDefault="00226E36" w:rsidP="00226E36">
            <w:pPr>
              <w:spacing w:after="0" w:line="240" w:lineRule="auto"/>
              <w:jc w:val="right"/>
              <w:rPr>
                <w:rFonts w:ascii="Calibri" w:eastAsia="Times New Roman" w:hAnsi="Calibri" w:cs="Times New Roman"/>
                <w:b/>
                <w:color w:val="C00000"/>
                <w:sz w:val="20"/>
                <w:szCs w:val="20"/>
                <w:lang w:val="en-GB" w:eastAsia="en-GB"/>
              </w:rPr>
            </w:pPr>
          </w:p>
        </w:tc>
        <w:tc>
          <w:tcPr>
            <w:tcW w:w="1311" w:type="dxa"/>
          </w:tcPr>
          <w:p w14:paraId="6C8161AE" w14:textId="71A3AC4A" w:rsidR="00226E36" w:rsidRPr="0087330D" w:rsidRDefault="009B27A5" w:rsidP="009B27A5">
            <w:pPr>
              <w:spacing w:after="0" w:line="240" w:lineRule="auto"/>
              <w:rPr>
                <w:rFonts w:ascii="Calibri" w:eastAsia="Times New Roman" w:hAnsi="Calibri" w:cs="Times New Roman"/>
                <w:color w:val="000000"/>
                <w:sz w:val="20"/>
                <w:szCs w:val="20"/>
                <w:lang w:val="en-GB" w:eastAsia="en-GB"/>
              </w:rPr>
            </w:pPr>
            <w:r w:rsidRPr="009B27A5">
              <w:rPr>
                <w:rFonts w:ascii="Calibri" w:hAnsi="Calibri" w:cs="Calibri"/>
              </w:rPr>
              <w:t>1,174,847</w:t>
            </w:r>
            <w:r>
              <w:rPr>
                <w:rFonts w:ascii="Calibri" w:hAnsi="Calibri" w:cs="Calibri"/>
              </w:rPr>
              <w:t xml:space="preserve"> </w:t>
            </w:r>
          </w:p>
        </w:tc>
        <w:tc>
          <w:tcPr>
            <w:tcW w:w="861" w:type="dxa"/>
            <w:hideMark/>
          </w:tcPr>
          <w:p w14:paraId="1FEF7967" w14:textId="5CFCE245"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c>
          <w:tcPr>
            <w:tcW w:w="1182" w:type="dxa"/>
            <w:hideMark/>
          </w:tcPr>
          <w:p w14:paraId="4111186B" w14:textId="77777777" w:rsidR="00226E36" w:rsidRPr="0087330D" w:rsidRDefault="00226E36" w:rsidP="00226E36">
            <w:pPr>
              <w:spacing w:after="0" w:line="240" w:lineRule="auto"/>
              <w:rPr>
                <w:rFonts w:ascii="Calibri" w:eastAsia="Times New Roman" w:hAnsi="Calibri" w:cs="Times New Roman"/>
                <w:color w:val="000000"/>
                <w:sz w:val="20"/>
                <w:szCs w:val="20"/>
                <w:lang w:val="en-GB" w:eastAsia="en-GB"/>
              </w:rPr>
            </w:pPr>
            <w:r w:rsidRPr="0087330D">
              <w:rPr>
                <w:rFonts w:ascii="Calibri" w:eastAsia="Times New Roman" w:hAnsi="Calibri" w:cs="Times New Roman"/>
                <w:color w:val="000000"/>
                <w:sz w:val="20"/>
                <w:szCs w:val="20"/>
                <w:lang w:val="en-GB" w:eastAsia="en-GB"/>
              </w:rPr>
              <w:t>[…]</w:t>
            </w:r>
          </w:p>
        </w:tc>
      </w:tr>
    </w:tbl>
    <w:p w14:paraId="1F189AB2" w14:textId="77777777" w:rsidR="001F6CA3" w:rsidRDefault="001F6CA3" w:rsidP="00DD43A1">
      <w:pPr>
        <w:rPr>
          <w:sz w:val="20"/>
        </w:rPr>
      </w:pPr>
    </w:p>
    <w:sectPr w:rsidR="001F6CA3" w:rsidSect="00AE57F6">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52C4" w14:textId="77777777" w:rsidR="00910462" w:rsidRDefault="00910462" w:rsidP="00BC4B02">
      <w:pPr>
        <w:spacing w:after="0" w:line="240" w:lineRule="auto"/>
      </w:pPr>
      <w:r>
        <w:separator/>
      </w:r>
    </w:p>
  </w:endnote>
  <w:endnote w:type="continuationSeparator" w:id="0">
    <w:p w14:paraId="447BFB6A" w14:textId="77777777" w:rsidR="00910462" w:rsidRDefault="00910462" w:rsidP="00BC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695307"/>
      <w:docPartObj>
        <w:docPartGallery w:val="Page Numbers (Bottom of Page)"/>
        <w:docPartUnique/>
      </w:docPartObj>
    </w:sdtPr>
    <w:sdtEndPr>
      <w:rPr>
        <w:noProof/>
      </w:rPr>
    </w:sdtEndPr>
    <w:sdtContent>
      <w:p w14:paraId="5BAFC1EC" w14:textId="77777777" w:rsidR="00226E36" w:rsidRDefault="00226E3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0AF6570" w14:textId="77777777" w:rsidR="00226E36" w:rsidRDefault="00226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9D38" w14:textId="77777777" w:rsidR="00910462" w:rsidRDefault="00910462" w:rsidP="00BC4B02">
      <w:pPr>
        <w:spacing w:after="0" w:line="240" w:lineRule="auto"/>
      </w:pPr>
      <w:r>
        <w:separator/>
      </w:r>
    </w:p>
  </w:footnote>
  <w:footnote w:type="continuationSeparator" w:id="0">
    <w:p w14:paraId="07692D8E" w14:textId="77777777" w:rsidR="00910462" w:rsidRDefault="00910462" w:rsidP="00BC4B02">
      <w:pPr>
        <w:spacing w:after="0" w:line="240" w:lineRule="auto"/>
      </w:pPr>
      <w:r>
        <w:continuationSeparator/>
      </w:r>
    </w:p>
  </w:footnote>
  <w:footnote w:id="1">
    <w:p w14:paraId="52E8438F" w14:textId="77777777" w:rsidR="00226E36" w:rsidRPr="00F0682A" w:rsidRDefault="00226E36" w:rsidP="002A75AF">
      <w:pPr>
        <w:spacing w:after="0" w:line="240" w:lineRule="auto"/>
        <w:jc w:val="both"/>
        <w:rPr>
          <w:i/>
          <w:sz w:val="18"/>
        </w:rPr>
      </w:pPr>
      <w:r w:rsidRPr="00000D4C">
        <w:rPr>
          <w:rStyle w:val="FootnoteReference"/>
        </w:rPr>
        <w:footnoteRef/>
      </w:r>
      <w:r w:rsidRPr="00F0682A">
        <w:rPr>
          <w:sz w:val="20"/>
        </w:rPr>
        <w:t xml:space="preserve"> </w:t>
      </w:r>
      <w:r w:rsidRPr="00F0682A">
        <w:rPr>
          <w:i/>
          <w:sz w:val="18"/>
        </w:rPr>
        <w:t xml:space="preserve">In defining the above, please refer to the following definitions based on the UNDG Harmonized RBM Terminology. </w:t>
      </w:r>
    </w:p>
    <w:p w14:paraId="337495F3" w14:textId="77777777" w:rsidR="00226E36" w:rsidRPr="00F0682A" w:rsidRDefault="00226E36" w:rsidP="00A160C0">
      <w:pPr>
        <w:spacing w:after="0" w:line="240" w:lineRule="auto"/>
        <w:jc w:val="both"/>
        <w:rPr>
          <w:i/>
          <w:sz w:val="18"/>
        </w:rPr>
      </w:pPr>
      <w:r w:rsidRPr="00F0682A">
        <w:rPr>
          <w:b/>
          <w:i/>
          <w:sz w:val="18"/>
        </w:rPr>
        <w:t>Impact:</w:t>
      </w:r>
      <w:r w:rsidRPr="00F0682A">
        <w:rPr>
          <w:i/>
          <w:sz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1AA94C51" w14:textId="77777777" w:rsidR="00226E36" w:rsidRPr="00F0682A" w:rsidRDefault="00226E36" w:rsidP="00A160C0">
      <w:pPr>
        <w:spacing w:after="0" w:line="240" w:lineRule="auto"/>
        <w:jc w:val="both"/>
        <w:rPr>
          <w:i/>
          <w:sz w:val="18"/>
        </w:rPr>
      </w:pPr>
      <w:r w:rsidRPr="00F0682A">
        <w:rPr>
          <w:b/>
          <w:i/>
          <w:sz w:val="18"/>
        </w:rPr>
        <w:t>Outcome:</w:t>
      </w:r>
      <w:r w:rsidRPr="00F0682A">
        <w:rPr>
          <w:i/>
          <w:sz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6BE18C60" w14:textId="77777777" w:rsidR="00226E36" w:rsidRPr="00F0682A" w:rsidRDefault="00226E36" w:rsidP="00A160C0">
      <w:pPr>
        <w:spacing w:after="0" w:line="240" w:lineRule="auto"/>
        <w:jc w:val="both"/>
        <w:rPr>
          <w:i/>
          <w:sz w:val="18"/>
        </w:rPr>
      </w:pPr>
      <w:r w:rsidRPr="00F0682A">
        <w:rPr>
          <w:b/>
          <w:i/>
          <w:sz w:val="18"/>
        </w:rPr>
        <w:t>Outputs:</w:t>
      </w:r>
      <w:r w:rsidRPr="00F0682A">
        <w:rPr>
          <w:i/>
          <w:sz w:val="18"/>
        </w:rPr>
        <w:t xml:space="preserve"> The products and services which result from the completion of activities within a development intervention.</w:t>
      </w:r>
    </w:p>
    <w:p w14:paraId="46D32D9E" w14:textId="77777777" w:rsidR="00226E36" w:rsidRDefault="00226E36" w:rsidP="00BC4B02">
      <w:pPr>
        <w:pStyle w:val="FootnoteText"/>
      </w:pPr>
    </w:p>
  </w:footnote>
  <w:footnote w:id="2">
    <w:p w14:paraId="2E89F239" w14:textId="77777777" w:rsidR="00226E36" w:rsidRPr="006D71FD" w:rsidRDefault="00226E36" w:rsidP="00975D83">
      <w:pPr>
        <w:rPr>
          <w:b/>
          <w:sz w:val="20"/>
        </w:rPr>
      </w:pPr>
      <w:r>
        <w:rPr>
          <w:rStyle w:val="FootnoteReference"/>
        </w:rPr>
        <w:footnoteRef/>
      </w:r>
      <w:r>
        <w:t xml:space="preserve"> </w:t>
      </w:r>
      <w:r w:rsidRPr="006D71FD">
        <w:rPr>
          <w:b/>
          <w:sz w:val="20"/>
        </w:rPr>
        <w:t>[All indicators listed are to be measured once policy is in place]</w:t>
      </w:r>
    </w:p>
    <w:p w14:paraId="7D1E36CA" w14:textId="77777777" w:rsidR="00226E36" w:rsidRDefault="00226E36">
      <w:pPr>
        <w:pStyle w:val="FootnoteText"/>
      </w:pPr>
    </w:p>
  </w:footnote>
  <w:footnote w:id="3">
    <w:p w14:paraId="46165C1B" w14:textId="55302E1D" w:rsidR="00006D44" w:rsidRDefault="00006D44">
      <w:pPr>
        <w:pStyle w:val="FootnoteText"/>
      </w:pPr>
      <w:r>
        <w:rPr>
          <w:rStyle w:val="FootnoteReference"/>
        </w:rPr>
        <w:footnoteRef/>
      </w:r>
      <w:r>
        <w:t xml:space="preserve"> To be transferred as per Amendment 1 to EOSG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DFB"/>
    <w:multiLevelType w:val="hybridMultilevel"/>
    <w:tmpl w:val="A2D4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248B0"/>
    <w:multiLevelType w:val="hybridMultilevel"/>
    <w:tmpl w:val="9F9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868B4"/>
    <w:multiLevelType w:val="hybridMultilevel"/>
    <w:tmpl w:val="1AF219C8"/>
    <w:lvl w:ilvl="0" w:tplc="C2C0E4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92DBE"/>
    <w:multiLevelType w:val="hybridMultilevel"/>
    <w:tmpl w:val="9968955C"/>
    <w:lvl w:ilvl="0" w:tplc="906CF13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563CA7"/>
    <w:multiLevelType w:val="hybridMultilevel"/>
    <w:tmpl w:val="378C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1C03D8"/>
    <w:multiLevelType w:val="hybridMultilevel"/>
    <w:tmpl w:val="DAFA679A"/>
    <w:lvl w:ilvl="0" w:tplc="50542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56414"/>
    <w:multiLevelType w:val="hybridMultilevel"/>
    <w:tmpl w:val="6D386E5A"/>
    <w:lvl w:ilvl="0" w:tplc="F342D8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776D1"/>
    <w:multiLevelType w:val="multilevel"/>
    <w:tmpl w:val="F8A2F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6639F"/>
    <w:multiLevelType w:val="hybridMultilevel"/>
    <w:tmpl w:val="08A2A8A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AAC330C"/>
    <w:multiLevelType w:val="hybridMultilevel"/>
    <w:tmpl w:val="1538782E"/>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2DB23EB7"/>
    <w:multiLevelType w:val="hybridMultilevel"/>
    <w:tmpl w:val="86A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90D8D"/>
    <w:multiLevelType w:val="hybridMultilevel"/>
    <w:tmpl w:val="2C8C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76DDF"/>
    <w:multiLevelType w:val="hybridMultilevel"/>
    <w:tmpl w:val="AE0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795599"/>
    <w:multiLevelType w:val="hybridMultilevel"/>
    <w:tmpl w:val="1C509C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141B68"/>
    <w:multiLevelType w:val="hybridMultilevel"/>
    <w:tmpl w:val="191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302DA"/>
    <w:multiLevelType w:val="hybridMultilevel"/>
    <w:tmpl w:val="7876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44372D38"/>
    <w:multiLevelType w:val="hybridMultilevel"/>
    <w:tmpl w:val="CDB2E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DD1FD0"/>
    <w:multiLevelType w:val="hybridMultilevel"/>
    <w:tmpl w:val="3994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0048C5"/>
    <w:multiLevelType w:val="hybridMultilevel"/>
    <w:tmpl w:val="0498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862240"/>
    <w:multiLevelType w:val="hybridMultilevel"/>
    <w:tmpl w:val="3B188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A059FE"/>
    <w:multiLevelType w:val="hybridMultilevel"/>
    <w:tmpl w:val="2C14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C15261"/>
    <w:multiLevelType w:val="hybridMultilevel"/>
    <w:tmpl w:val="47F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B2642"/>
    <w:multiLevelType w:val="multilevel"/>
    <w:tmpl w:val="F788C1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587D52"/>
    <w:multiLevelType w:val="hybridMultilevel"/>
    <w:tmpl w:val="244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F198E"/>
    <w:multiLevelType w:val="hybridMultilevel"/>
    <w:tmpl w:val="34F608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04060"/>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5151F"/>
    <w:multiLevelType w:val="multilevel"/>
    <w:tmpl w:val="12EEB7DC"/>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9726A"/>
    <w:multiLevelType w:val="hybridMultilevel"/>
    <w:tmpl w:val="493AB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77A46"/>
    <w:multiLevelType w:val="hybridMultilevel"/>
    <w:tmpl w:val="55E8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744C7"/>
    <w:multiLevelType w:val="multilevel"/>
    <w:tmpl w:val="B39CE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E305C45"/>
    <w:multiLevelType w:val="hybridMultilevel"/>
    <w:tmpl w:val="167E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7"/>
  </w:num>
  <w:num w:numId="4">
    <w:abstractNumId w:val="36"/>
  </w:num>
  <w:num w:numId="5">
    <w:abstractNumId w:val="9"/>
  </w:num>
  <w:num w:numId="6">
    <w:abstractNumId w:val="3"/>
  </w:num>
  <w:num w:numId="7">
    <w:abstractNumId w:val="12"/>
  </w:num>
  <w:num w:numId="8">
    <w:abstractNumId w:val="39"/>
  </w:num>
  <w:num w:numId="9">
    <w:abstractNumId w:val="40"/>
  </w:num>
  <w:num w:numId="10">
    <w:abstractNumId w:val="34"/>
  </w:num>
  <w:num w:numId="11">
    <w:abstractNumId w:val="1"/>
  </w:num>
  <w:num w:numId="12">
    <w:abstractNumId w:val="19"/>
  </w:num>
  <w:num w:numId="13">
    <w:abstractNumId w:val="29"/>
  </w:num>
  <w:num w:numId="14">
    <w:abstractNumId w:val="8"/>
  </w:num>
  <w:num w:numId="15">
    <w:abstractNumId w:val="46"/>
  </w:num>
  <w:num w:numId="16">
    <w:abstractNumId w:val="4"/>
  </w:num>
  <w:num w:numId="17">
    <w:abstractNumId w:val="48"/>
  </w:num>
  <w:num w:numId="18">
    <w:abstractNumId w:val="32"/>
  </w:num>
  <w:num w:numId="19">
    <w:abstractNumId w:val="18"/>
  </w:num>
  <w:num w:numId="20">
    <w:abstractNumId w:val="23"/>
  </w:num>
  <w:num w:numId="21">
    <w:abstractNumId w:val="42"/>
  </w:num>
  <w:num w:numId="22">
    <w:abstractNumId w:val="26"/>
  </w:num>
  <w:num w:numId="23">
    <w:abstractNumId w:val="5"/>
  </w:num>
  <w:num w:numId="24">
    <w:abstractNumId w:val="31"/>
  </w:num>
  <w:num w:numId="25">
    <w:abstractNumId w:val="21"/>
  </w:num>
  <w:num w:numId="26">
    <w:abstractNumId w:val="35"/>
  </w:num>
  <w:num w:numId="27">
    <w:abstractNumId w:val="33"/>
  </w:num>
  <w:num w:numId="28">
    <w:abstractNumId w:val="27"/>
  </w:num>
  <w:num w:numId="29">
    <w:abstractNumId w:val="14"/>
  </w:num>
  <w:num w:numId="30">
    <w:abstractNumId w:val="11"/>
  </w:num>
  <w:num w:numId="31">
    <w:abstractNumId w:val="24"/>
  </w:num>
  <w:num w:numId="32">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0"/>
  </w:num>
  <w:num w:numId="34">
    <w:abstractNumId w:val="28"/>
  </w:num>
  <w:num w:numId="35">
    <w:abstractNumId w:val="41"/>
  </w:num>
  <w:num w:numId="36">
    <w:abstractNumId w:val="25"/>
  </w:num>
  <w:num w:numId="37">
    <w:abstractNumId w:val="2"/>
  </w:num>
  <w:num w:numId="38">
    <w:abstractNumId w:val="47"/>
  </w:num>
  <w:num w:numId="39">
    <w:abstractNumId w:val="13"/>
  </w:num>
  <w:num w:numId="40">
    <w:abstractNumId w:val="6"/>
  </w:num>
  <w:num w:numId="41">
    <w:abstractNumId w:val="15"/>
  </w:num>
  <w:num w:numId="42">
    <w:abstractNumId w:val="10"/>
  </w:num>
  <w:num w:numId="43">
    <w:abstractNumId w:val="37"/>
  </w:num>
  <w:num w:numId="44">
    <w:abstractNumId w:val="43"/>
  </w:num>
  <w:num w:numId="45">
    <w:abstractNumId w:val="22"/>
  </w:num>
  <w:num w:numId="46">
    <w:abstractNumId w:val="20"/>
  </w:num>
  <w:num w:numId="47">
    <w:abstractNumId w:val="45"/>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02"/>
    <w:rsid w:val="00006D44"/>
    <w:rsid w:val="00006DA4"/>
    <w:rsid w:val="00016325"/>
    <w:rsid w:val="00017187"/>
    <w:rsid w:val="00021D3E"/>
    <w:rsid w:val="00025A91"/>
    <w:rsid w:val="000401F6"/>
    <w:rsid w:val="00040676"/>
    <w:rsid w:val="00056FB7"/>
    <w:rsid w:val="00060E82"/>
    <w:rsid w:val="00062B5E"/>
    <w:rsid w:val="0007506F"/>
    <w:rsid w:val="000753B5"/>
    <w:rsid w:val="00081DE7"/>
    <w:rsid w:val="000828F4"/>
    <w:rsid w:val="00083D15"/>
    <w:rsid w:val="00087605"/>
    <w:rsid w:val="00091E82"/>
    <w:rsid w:val="000A7760"/>
    <w:rsid w:val="000B013A"/>
    <w:rsid w:val="000B08FA"/>
    <w:rsid w:val="000B2840"/>
    <w:rsid w:val="000B5A27"/>
    <w:rsid w:val="000C2397"/>
    <w:rsid w:val="000C39AD"/>
    <w:rsid w:val="000E41F8"/>
    <w:rsid w:val="000F19A3"/>
    <w:rsid w:val="00104BC3"/>
    <w:rsid w:val="00111C07"/>
    <w:rsid w:val="001137A1"/>
    <w:rsid w:val="00122C6B"/>
    <w:rsid w:val="00123F27"/>
    <w:rsid w:val="00127918"/>
    <w:rsid w:val="001421AE"/>
    <w:rsid w:val="001423F4"/>
    <w:rsid w:val="00144D7F"/>
    <w:rsid w:val="00145215"/>
    <w:rsid w:val="00147F1D"/>
    <w:rsid w:val="00152612"/>
    <w:rsid w:val="0015759B"/>
    <w:rsid w:val="001637D5"/>
    <w:rsid w:val="001709BB"/>
    <w:rsid w:val="00173E0E"/>
    <w:rsid w:val="00186E17"/>
    <w:rsid w:val="00193FCB"/>
    <w:rsid w:val="001B4D1D"/>
    <w:rsid w:val="001B7549"/>
    <w:rsid w:val="001C3EF1"/>
    <w:rsid w:val="001D0E33"/>
    <w:rsid w:val="001D275A"/>
    <w:rsid w:val="001E2EF2"/>
    <w:rsid w:val="001F6CA3"/>
    <w:rsid w:val="0021480F"/>
    <w:rsid w:val="002222B9"/>
    <w:rsid w:val="0022274C"/>
    <w:rsid w:val="00226B58"/>
    <w:rsid w:val="00226E36"/>
    <w:rsid w:val="002324CA"/>
    <w:rsid w:val="00252261"/>
    <w:rsid w:val="00256438"/>
    <w:rsid w:val="00267E28"/>
    <w:rsid w:val="00272142"/>
    <w:rsid w:val="00281809"/>
    <w:rsid w:val="00283B03"/>
    <w:rsid w:val="0028469B"/>
    <w:rsid w:val="00285A35"/>
    <w:rsid w:val="00290C3D"/>
    <w:rsid w:val="002914A5"/>
    <w:rsid w:val="002920B4"/>
    <w:rsid w:val="00293AA0"/>
    <w:rsid w:val="002A68BC"/>
    <w:rsid w:val="002A75AF"/>
    <w:rsid w:val="002C19C9"/>
    <w:rsid w:val="002C1CF6"/>
    <w:rsid w:val="002C360B"/>
    <w:rsid w:val="002C3744"/>
    <w:rsid w:val="002D0888"/>
    <w:rsid w:val="002D0BBF"/>
    <w:rsid w:val="002D5BD5"/>
    <w:rsid w:val="002E096C"/>
    <w:rsid w:val="002E1232"/>
    <w:rsid w:val="002E2FEF"/>
    <w:rsid w:val="002E6062"/>
    <w:rsid w:val="002F2344"/>
    <w:rsid w:val="002F6661"/>
    <w:rsid w:val="00304BDB"/>
    <w:rsid w:val="003120AD"/>
    <w:rsid w:val="003176C2"/>
    <w:rsid w:val="00327539"/>
    <w:rsid w:val="003309A3"/>
    <w:rsid w:val="00332CD0"/>
    <w:rsid w:val="00336982"/>
    <w:rsid w:val="0034054C"/>
    <w:rsid w:val="00340C8C"/>
    <w:rsid w:val="00350DCE"/>
    <w:rsid w:val="00351BD5"/>
    <w:rsid w:val="00355B6D"/>
    <w:rsid w:val="003562FF"/>
    <w:rsid w:val="00356369"/>
    <w:rsid w:val="00371131"/>
    <w:rsid w:val="00375E00"/>
    <w:rsid w:val="00382CFE"/>
    <w:rsid w:val="00383440"/>
    <w:rsid w:val="003A01BD"/>
    <w:rsid w:val="003B1D62"/>
    <w:rsid w:val="003B41B3"/>
    <w:rsid w:val="003C18E5"/>
    <w:rsid w:val="003C293D"/>
    <w:rsid w:val="003C2B34"/>
    <w:rsid w:val="003C40A9"/>
    <w:rsid w:val="003C64C4"/>
    <w:rsid w:val="003D61F7"/>
    <w:rsid w:val="003E7A83"/>
    <w:rsid w:val="003F15DB"/>
    <w:rsid w:val="003F2B49"/>
    <w:rsid w:val="003F4E56"/>
    <w:rsid w:val="003F7230"/>
    <w:rsid w:val="004018EB"/>
    <w:rsid w:val="004155F4"/>
    <w:rsid w:val="004209AF"/>
    <w:rsid w:val="00420A96"/>
    <w:rsid w:val="004265BA"/>
    <w:rsid w:val="00427AD1"/>
    <w:rsid w:val="00432007"/>
    <w:rsid w:val="0045238F"/>
    <w:rsid w:val="00453C42"/>
    <w:rsid w:val="00455EE9"/>
    <w:rsid w:val="004606A3"/>
    <w:rsid w:val="00461AE0"/>
    <w:rsid w:val="00462C5F"/>
    <w:rsid w:val="00471547"/>
    <w:rsid w:val="00477F5F"/>
    <w:rsid w:val="00483705"/>
    <w:rsid w:val="00486E65"/>
    <w:rsid w:val="00490D07"/>
    <w:rsid w:val="004922F3"/>
    <w:rsid w:val="00493D93"/>
    <w:rsid w:val="00496580"/>
    <w:rsid w:val="004A1BB1"/>
    <w:rsid w:val="004A3B11"/>
    <w:rsid w:val="004A5E9B"/>
    <w:rsid w:val="004B069F"/>
    <w:rsid w:val="004B662F"/>
    <w:rsid w:val="004B6D3A"/>
    <w:rsid w:val="004D3182"/>
    <w:rsid w:val="004E2DE3"/>
    <w:rsid w:val="004F056D"/>
    <w:rsid w:val="005025A2"/>
    <w:rsid w:val="00530DAB"/>
    <w:rsid w:val="00537690"/>
    <w:rsid w:val="00551ADA"/>
    <w:rsid w:val="0055473D"/>
    <w:rsid w:val="00557CD4"/>
    <w:rsid w:val="00560B2A"/>
    <w:rsid w:val="00567D6B"/>
    <w:rsid w:val="00570D33"/>
    <w:rsid w:val="00577AEA"/>
    <w:rsid w:val="0058015D"/>
    <w:rsid w:val="00592D0D"/>
    <w:rsid w:val="005A67C4"/>
    <w:rsid w:val="005B1267"/>
    <w:rsid w:val="005B2B2F"/>
    <w:rsid w:val="005C0459"/>
    <w:rsid w:val="005E1B75"/>
    <w:rsid w:val="005F1B96"/>
    <w:rsid w:val="005F3C07"/>
    <w:rsid w:val="005F6227"/>
    <w:rsid w:val="00601404"/>
    <w:rsid w:val="0060542C"/>
    <w:rsid w:val="00620EEC"/>
    <w:rsid w:val="0062403C"/>
    <w:rsid w:val="00624962"/>
    <w:rsid w:val="006400BF"/>
    <w:rsid w:val="00641C2D"/>
    <w:rsid w:val="006420BD"/>
    <w:rsid w:val="006470AF"/>
    <w:rsid w:val="006615BE"/>
    <w:rsid w:val="0067638F"/>
    <w:rsid w:val="00683C36"/>
    <w:rsid w:val="006948A0"/>
    <w:rsid w:val="0069520F"/>
    <w:rsid w:val="006A6614"/>
    <w:rsid w:val="006B52F5"/>
    <w:rsid w:val="006C1453"/>
    <w:rsid w:val="006C2182"/>
    <w:rsid w:val="006C28CF"/>
    <w:rsid w:val="006D2E18"/>
    <w:rsid w:val="006D71FD"/>
    <w:rsid w:val="006F2553"/>
    <w:rsid w:val="00700CAE"/>
    <w:rsid w:val="00703924"/>
    <w:rsid w:val="0070582B"/>
    <w:rsid w:val="007318FB"/>
    <w:rsid w:val="0074582C"/>
    <w:rsid w:val="007477A5"/>
    <w:rsid w:val="00776473"/>
    <w:rsid w:val="00780F2A"/>
    <w:rsid w:val="007835AF"/>
    <w:rsid w:val="00783A6D"/>
    <w:rsid w:val="00786D74"/>
    <w:rsid w:val="00791903"/>
    <w:rsid w:val="007A0F6F"/>
    <w:rsid w:val="007A3C4E"/>
    <w:rsid w:val="007A4C8C"/>
    <w:rsid w:val="007A702F"/>
    <w:rsid w:val="007D0348"/>
    <w:rsid w:val="007E2431"/>
    <w:rsid w:val="007E4568"/>
    <w:rsid w:val="007E577C"/>
    <w:rsid w:val="007F16D6"/>
    <w:rsid w:val="007F53A2"/>
    <w:rsid w:val="007F580B"/>
    <w:rsid w:val="007F5D44"/>
    <w:rsid w:val="008068F4"/>
    <w:rsid w:val="0080725F"/>
    <w:rsid w:val="00810522"/>
    <w:rsid w:val="0081633D"/>
    <w:rsid w:val="00821BCA"/>
    <w:rsid w:val="00827064"/>
    <w:rsid w:val="00830399"/>
    <w:rsid w:val="00834F16"/>
    <w:rsid w:val="00843A26"/>
    <w:rsid w:val="00853F0B"/>
    <w:rsid w:val="00854D41"/>
    <w:rsid w:val="00856CC2"/>
    <w:rsid w:val="008605CA"/>
    <w:rsid w:val="008708B3"/>
    <w:rsid w:val="00872996"/>
    <w:rsid w:val="0087330D"/>
    <w:rsid w:val="00875816"/>
    <w:rsid w:val="00884CE1"/>
    <w:rsid w:val="008925C4"/>
    <w:rsid w:val="008A09DB"/>
    <w:rsid w:val="008A56EB"/>
    <w:rsid w:val="008C5A15"/>
    <w:rsid w:val="008C7F37"/>
    <w:rsid w:val="008D003C"/>
    <w:rsid w:val="008D2A17"/>
    <w:rsid w:val="008E1999"/>
    <w:rsid w:val="008F28BF"/>
    <w:rsid w:val="008F4A92"/>
    <w:rsid w:val="008F4E45"/>
    <w:rsid w:val="00901657"/>
    <w:rsid w:val="00904EF0"/>
    <w:rsid w:val="00905070"/>
    <w:rsid w:val="00910462"/>
    <w:rsid w:val="009121DC"/>
    <w:rsid w:val="00913E62"/>
    <w:rsid w:val="00922381"/>
    <w:rsid w:val="009274BA"/>
    <w:rsid w:val="00934854"/>
    <w:rsid w:val="00934C75"/>
    <w:rsid w:val="009362DB"/>
    <w:rsid w:val="00946A04"/>
    <w:rsid w:val="00955CA3"/>
    <w:rsid w:val="00956A2E"/>
    <w:rsid w:val="009611D5"/>
    <w:rsid w:val="00965051"/>
    <w:rsid w:val="0097215C"/>
    <w:rsid w:val="009753E2"/>
    <w:rsid w:val="00975D83"/>
    <w:rsid w:val="00975EE7"/>
    <w:rsid w:val="00982C47"/>
    <w:rsid w:val="009857E6"/>
    <w:rsid w:val="00995B33"/>
    <w:rsid w:val="009A0EE9"/>
    <w:rsid w:val="009B27A5"/>
    <w:rsid w:val="009C27DC"/>
    <w:rsid w:val="009C6EFD"/>
    <w:rsid w:val="009C7F15"/>
    <w:rsid w:val="009D1071"/>
    <w:rsid w:val="009F1046"/>
    <w:rsid w:val="009F35AB"/>
    <w:rsid w:val="00A14103"/>
    <w:rsid w:val="00A160C0"/>
    <w:rsid w:val="00A310B7"/>
    <w:rsid w:val="00A41294"/>
    <w:rsid w:val="00A50263"/>
    <w:rsid w:val="00A57E65"/>
    <w:rsid w:val="00A612B1"/>
    <w:rsid w:val="00A64571"/>
    <w:rsid w:val="00A92E2E"/>
    <w:rsid w:val="00AA7868"/>
    <w:rsid w:val="00AA7C80"/>
    <w:rsid w:val="00AB21A3"/>
    <w:rsid w:val="00AC6DEC"/>
    <w:rsid w:val="00AC6EA9"/>
    <w:rsid w:val="00AD014C"/>
    <w:rsid w:val="00AE06A9"/>
    <w:rsid w:val="00AE48FA"/>
    <w:rsid w:val="00AE57F6"/>
    <w:rsid w:val="00AF4339"/>
    <w:rsid w:val="00B02FA7"/>
    <w:rsid w:val="00B077AC"/>
    <w:rsid w:val="00B10106"/>
    <w:rsid w:val="00B125E6"/>
    <w:rsid w:val="00B21DB4"/>
    <w:rsid w:val="00B22C8E"/>
    <w:rsid w:val="00B22D21"/>
    <w:rsid w:val="00B24801"/>
    <w:rsid w:val="00B269CF"/>
    <w:rsid w:val="00B30094"/>
    <w:rsid w:val="00B31925"/>
    <w:rsid w:val="00B3433A"/>
    <w:rsid w:val="00B34D03"/>
    <w:rsid w:val="00B35286"/>
    <w:rsid w:val="00B408B8"/>
    <w:rsid w:val="00B60191"/>
    <w:rsid w:val="00B75EAE"/>
    <w:rsid w:val="00B853BD"/>
    <w:rsid w:val="00B85B94"/>
    <w:rsid w:val="00B91603"/>
    <w:rsid w:val="00B95E3F"/>
    <w:rsid w:val="00BA3878"/>
    <w:rsid w:val="00BA66DF"/>
    <w:rsid w:val="00BB089F"/>
    <w:rsid w:val="00BB3CDC"/>
    <w:rsid w:val="00BB4742"/>
    <w:rsid w:val="00BB4B87"/>
    <w:rsid w:val="00BB6013"/>
    <w:rsid w:val="00BB75C0"/>
    <w:rsid w:val="00BC48C3"/>
    <w:rsid w:val="00BC4B02"/>
    <w:rsid w:val="00BD40E6"/>
    <w:rsid w:val="00BD464C"/>
    <w:rsid w:val="00BE1AEF"/>
    <w:rsid w:val="00BF7B20"/>
    <w:rsid w:val="00C03012"/>
    <w:rsid w:val="00C03AA5"/>
    <w:rsid w:val="00C03D9E"/>
    <w:rsid w:val="00C155A6"/>
    <w:rsid w:val="00C17E7B"/>
    <w:rsid w:val="00C2286F"/>
    <w:rsid w:val="00C2722E"/>
    <w:rsid w:val="00C43B63"/>
    <w:rsid w:val="00C43F5D"/>
    <w:rsid w:val="00C44A70"/>
    <w:rsid w:val="00C45D57"/>
    <w:rsid w:val="00C55C06"/>
    <w:rsid w:val="00C6156F"/>
    <w:rsid w:val="00C63E72"/>
    <w:rsid w:val="00C66D13"/>
    <w:rsid w:val="00C71E9A"/>
    <w:rsid w:val="00C724FB"/>
    <w:rsid w:val="00C82EF8"/>
    <w:rsid w:val="00C844C8"/>
    <w:rsid w:val="00C84A6B"/>
    <w:rsid w:val="00C93574"/>
    <w:rsid w:val="00C94DF4"/>
    <w:rsid w:val="00CA3459"/>
    <w:rsid w:val="00CB0E09"/>
    <w:rsid w:val="00CB4702"/>
    <w:rsid w:val="00CC39BB"/>
    <w:rsid w:val="00CD409C"/>
    <w:rsid w:val="00CD5BFA"/>
    <w:rsid w:val="00CD6489"/>
    <w:rsid w:val="00CE2283"/>
    <w:rsid w:val="00CE2FEF"/>
    <w:rsid w:val="00CE3038"/>
    <w:rsid w:val="00CE32D7"/>
    <w:rsid w:val="00CE4D68"/>
    <w:rsid w:val="00CF0103"/>
    <w:rsid w:val="00CF2CC1"/>
    <w:rsid w:val="00D06B04"/>
    <w:rsid w:val="00D20236"/>
    <w:rsid w:val="00D26E0C"/>
    <w:rsid w:val="00D30166"/>
    <w:rsid w:val="00D33532"/>
    <w:rsid w:val="00D35812"/>
    <w:rsid w:val="00D5624F"/>
    <w:rsid w:val="00D57884"/>
    <w:rsid w:val="00D62C11"/>
    <w:rsid w:val="00D64328"/>
    <w:rsid w:val="00D658EF"/>
    <w:rsid w:val="00D7599E"/>
    <w:rsid w:val="00D807CB"/>
    <w:rsid w:val="00D8320C"/>
    <w:rsid w:val="00D83467"/>
    <w:rsid w:val="00D96095"/>
    <w:rsid w:val="00D967E7"/>
    <w:rsid w:val="00DA44A5"/>
    <w:rsid w:val="00DA4FAE"/>
    <w:rsid w:val="00DB1F1A"/>
    <w:rsid w:val="00DB335C"/>
    <w:rsid w:val="00DB479E"/>
    <w:rsid w:val="00DB4E17"/>
    <w:rsid w:val="00DC1613"/>
    <w:rsid w:val="00DC7DFE"/>
    <w:rsid w:val="00DD35A5"/>
    <w:rsid w:val="00DD43A1"/>
    <w:rsid w:val="00DE1AE5"/>
    <w:rsid w:val="00DE37DD"/>
    <w:rsid w:val="00DE4E19"/>
    <w:rsid w:val="00DE7FC7"/>
    <w:rsid w:val="00DF1D4F"/>
    <w:rsid w:val="00DF4061"/>
    <w:rsid w:val="00DF6706"/>
    <w:rsid w:val="00E034C1"/>
    <w:rsid w:val="00E07E34"/>
    <w:rsid w:val="00E1650C"/>
    <w:rsid w:val="00E35542"/>
    <w:rsid w:val="00E369A8"/>
    <w:rsid w:val="00E41343"/>
    <w:rsid w:val="00E528A9"/>
    <w:rsid w:val="00E53BAD"/>
    <w:rsid w:val="00E62338"/>
    <w:rsid w:val="00E80F54"/>
    <w:rsid w:val="00E83C1B"/>
    <w:rsid w:val="00E9662B"/>
    <w:rsid w:val="00EA4DA3"/>
    <w:rsid w:val="00EA6ABC"/>
    <w:rsid w:val="00EB3F2E"/>
    <w:rsid w:val="00EB3F46"/>
    <w:rsid w:val="00EC4002"/>
    <w:rsid w:val="00EC49C7"/>
    <w:rsid w:val="00EC754D"/>
    <w:rsid w:val="00ED704D"/>
    <w:rsid w:val="00EE06B6"/>
    <w:rsid w:val="00EE10ED"/>
    <w:rsid w:val="00EF5701"/>
    <w:rsid w:val="00EF7350"/>
    <w:rsid w:val="00EF74B9"/>
    <w:rsid w:val="00F02A84"/>
    <w:rsid w:val="00F06EEE"/>
    <w:rsid w:val="00F31637"/>
    <w:rsid w:val="00F335EE"/>
    <w:rsid w:val="00F4157C"/>
    <w:rsid w:val="00F55790"/>
    <w:rsid w:val="00F5792C"/>
    <w:rsid w:val="00F6422D"/>
    <w:rsid w:val="00F66104"/>
    <w:rsid w:val="00F669A8"/>
    <w:rsid w:val="00F66AC2"/>
    <w:rsid w:val="00F8008C"/>
    <w:rsid w:val="00F8306E"/>
    <w:rsid w:val="00FA5BCA"/>
    <w:rsid w:val="00FA6572"/>
    <w:rsid w:val="00FB15C7"/>
    <w:rsid w:val="00FB40C6"/>
    <w:rsid w:val="00FC0F74"/>
    <w:rsid w:val="00FD1CC1"/>
    <w:rsid w:val="00FE209D"/>
    <w:rsid w:val="00FE31E9"/>
    <w:rsid w:val="00FF14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CF37A"/>
  <w15:chartTrackingRefBased/>
  <w15:docId w15:val="{1AD49B69-C984-4FFE-A7CB-981407AF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B02"/>
    <w:pPr>
      <w:spacing w:after="200" w:line="276" w:lineRule="auto"/>
    </w:pPr>
    <w:rPr>
      <w:lang w:val="en-US"/>
    </w:rPr>
  </w:style>
  <w:style w:type="paragraph" w:styleId="Heading1">
    <w:name w:val="heading 1"/>
    <w:basedOn w:val="Normal"/>
    <w:next w:val="Normal"/>
    <w:link w:val="Heading1Char"/>
    <w:uiPriority w:val="9"/>
    <w:qFormat/>
    <w:rsid w:val="006C28CF"/>
    <w:pPr>
      <w:keepNext/>
      <w:keepLines/>
      <w:spacing w:before="240" w:after="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6C28CF"/>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6C28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CF"/>
    <w:rPr>
      <w:rFonts w:ascii="Calibri" w:eastAsiaTheme="majorEastAsia" w:hAnsi="Calibri" w:cstheme="majorBidi"/>
      <w:b/>
      <w:color w:val="2E74B5" w:themeColor="accent1" w:themeShade="BF"/>
      <w:sz w:val="24"/>
      <w:szCs w:val="32"/>
      <w:lang w:val="en-US"/>
    </w:rPr>
  </w:style>
  <w:style w:type="character" w:customStyle="1" w:styleId="BalloonTextChar">
    <w:name w:val="Balloon Text Char"/>
    <w:basedOn w:val="DefaultParagraphFont"/>
    <w:link w:val="BalloonText"/>
    <w:uiPriority w:val="99"/>
    <w:semiHidden/>
    <w:rsid w:val="00BC4B02"/>
    <w:rPr>
      <w:rFonts w:ascii="Tahoma" w:hAnsi="Tahoma" w:cs="Tahoma"/>
      <w:sz w:val="16"/>
      <w:szCs w:val="16"/>
      <w:lang w:val="en-US"/>
    </w:rPr>
  </w:style>
  <w:style w:type="paragraph" w:styleId="BalloonText">
    <w:name w:val="Balloon Text"/>
    <w:basedOn w:val="Normal"/>
    <w:link w:val="BalloonTextChar"/>
    <w:uiPriority w:val="99"/>
    <w:semiHidden/>
    <w:unhideWhenUsed/>
    <w:rsid w:val="00BC4B02"/>
    <w:pPr>
      <w:spacing w:after="0" w:line="240" w:lineRule="auto"/>
    </w:pPr>
    <w:rPr>
      <w:rFonts w:ascii="Tahoma" w:hAnsi="Tahoma" w:cs="Tahoma"/>
      <w:sz w:val="16"/>
      <w:szCs w:val="16"/>
    </w:rPr>
  </w:style>
  <w:style w:type="paragraph" w:styleId="ListParagraph">
    <w:name w:val="List Paragraph"/>
    <w:basedOn w:val="Normal"/>
    <w:link w:val="ListParagraphChar"/>
    <w:uiPriority w:val="99"/>
    <w:qFormat/>
    <w:rsid w:val="00BC4B02"/>
    <w:pPr>
      <w:ind w:left="720"/>
      <w:contextualSpacing/>
    </w:pPr>
  </w:style>
  <w:style w:type="character" w:customStyle="1" w:styleId="ListParagraphChar">
    <w:name w:val="List Paragraph Char"/>
    <w:link w:val="ListParagraph"/>
    <w:uiPriority w:val="99"/>
    <w:locked/>
    <w:rsid w:val="00BC4B02"/>
    <w:rPr>
      <w:lang w:val="en-US"/>
    </w:rPr>
  </w:style>
  <w:style w:type="character" w:customStyle="1" w:styleId="EndnoteTextChar">
    <w:name w:val="Endnote Text Char"/>
    <w:basedOn w:val="DefaultParagraphFont"/>
    <w:link w:val="EndnoteText"/>
    <w:uiPriority w:val="99"/>
    <w:semiHidden/>
    <w:rsid w:val="00BC4B02"/>
    <w:rPr>
      <w:sz w:val="20"/>
      <w:szCs w:val="20"/>
      <w:lang w:val="en-US"/>
    </w:rPr>
  </w:style>
  <w:style w:type="paragraph" w:styleId="EndnoteText">
    <w:name w:val="endnote text"/>
    <w:basedOn w:val="Normal"/>
    <w:link w:val="EndnoteTextChar"/>
    <w:uiPriority w:val="99"/>
    <w:semiHidden/>
    <w:unhideWhenUsed/>
    <w:rsid w:val="00BC4B02"/>
    <w:pPr>
      <w:spacing w:after="0" w:line="240" w:lineRule="auto"/>
    </w:pPr>
    <w:rPr>
      <w:sz w:val="20"/>
      <w:szCs w:val="20"/>
    </w:rPr>
  </w:style>
  <w:style w:type="character" w:styleId="EndnoteReference">
    <w:name w:val="endnote reference"/>
    <w:basedOn w:val="DefaultParagraphFont"/>
    <w:uiPriority w:val="99"/>
    <w:semiHidden/>
    <w:unhideWhenUsed/>
    <w:rsid w:val="00BC4B02"/>
    <w:rPr>
      <w:vertAlign w:val="superscript"/>
    </w:rPr>
  </w:style>
  <w:style w:type="paragraph" w:styleId="FootnoteText">
    <w:name w:val="footnote text"/>
    <w:basedOn w:val="Normal"/>
    <w:link w:val="FootnoteTextChar"/>
    <w:uiPriority w:val="99"/>
    <w:unhideWhenUsed/>
    <w:rsid w:val="00BC4B02"/>
    <w:pPr>
      <w:spacing w:after="0" w:line="240" w:lineRule="auto"/>
    </w:pPr>
    <w:rPr>
      <w:sz w:val="20"/>
      <w:szCs w:val="20"/>
    </w:rPr>
  </w:style>
  <w:style w:type="character" w:customStyle="1" w:styleId="FootnoteTextChar">
    <w:name w:val="Footnote Text Char"/>
    <w:basedOn w:val="DefaultParagraphFont"/>
    <w:link w:val="FootnoteText"/>
    <w:uiPriority w:val="99"/>
    <w:rsid w:val="00BC4B02"/>
    <w:rPr>
      <w:sz w:val="20"/>
      <w:szCs w:val="20"/>
      <w:lang w:val="en-US"/>
    </w:rPr>
  </w:style>
  <w:style w:type="character" w:styleId="FootnoteReference">
    <w:name w:val="footnote reference"/>
    <w:basedOn w:val="DefaultParagraphFont"/>
    <w:uiPriority w:val="99"/>
    <w:semiHidden/>
    <w:unhideWhenUsed/>
    <w:rsid w:val="00BC4B02"/>
    <w:rPr>
      <w:vertAlign w:val="superscript"/>
    </w:rPr>
  </w:style>
  <w:style w:type="character" w:customStyle="1" w:styleId="CommentTextChar">
    <w:name w:val="Comment Text Char"/>
    <w:basedOn w:val="DefaultParagraphFont"/>
    <w:link w:val="CommentText"/>
    <w:uiPriority w:val="99"/>
    <w:rsid w:val="00BC4B02"/>
    <w:rPr>
      <w:sz w:val="20"/>
      <w:szCs w:val="20"/>
      <w:lang w:val="en-US"/>
    </w:rPr>
  </w:style>
  <w:style w:type="paragraph" w:styleId="CommentText">
    <w:name w:val="annotation text"/>
    <w:basedOn w:val="Normal"/>
    <w:link w:val="CommentTextChar"/>
    <w:uiPriority w:val="99"/>
    <w:unhideWhenUsed/>
    <w:rsid w:val="00BC4B02"/>
    <w:pPr>
      <w:spacing w:line="240" w:lineRule="auto"/>
    </w:pPr>
    <w:rPr>
      <w:sz w:val="20"/>
      <w:szCs w:val="20"/>
    </w:rPr>
  </w:style>
  <w:style w:type="character" w:customStyle="1" w:styleId="CommentSubjectChar">
    <w:name w:val="Comment Subject Char"/>
    <w:basedOn w:val="CommentTextChar"/>
    <w:link w:val="CommentSubject"/>
    <w:uiPriority w:val="99"/>
    <w:semiHidden/>
    <w:rsid w:val="00BC4B02"/>
    <w:rPr>
      <w:b/>
      <w:bCs/>
      <w:sz w:val="20"/>
      <w:szCs w:val="20"/>
      <w:lang w:val="en-US"/>
    </w:rPr>
  </w:style>
  <w:style w:type="paragraph" w:styleId="CommentSubject">
    <w:name w:val="annotation subject"/>
    <w:basedOn w:val="CommentText"/>
    <w:next w:val="CommentText"/>
    <w:link w:val="CommentSubjectChar"/>
    <w:uiPriority w:val="99"/>
    <w:semiHidden/>
    <w:unhideWhenUsed/>
    <w:rsid w:val="00BC4B02"/>
    <w:rPr>
      <w:b/>
      <w:bCs/>
    </w:rPr>
  </w:style>
  <w:style w:type="table" w:styleId="TableGrid">
    <w:name w:val="Table Grid"/>
    <w:basedOn w:val="TableNormal"/>
    <w:uiPriority w:val="59"/>
    <w:rsid w:val="00BC4B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02"/>
    <w:rPr>
      <w:lang w:val="en-US"/>
    </w:rPr>
  </w:style>
  <w:style w:type="paragraph" w:styleId="Footer">
    <w:name w:val="footer"/>
    <w:basedOn w:val="Normal"/>
    <w:link w:val="FooterChar"/>
    <w:uiPriority w:val="99"/>
    <w:unhideWhenUsed/>
    <w:rsid w:val="00BC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02"/>
    <w:rPr>
      <w:lang w:val="en-US"/>
    </w:rPr>
  </w:style>
  <w:style w:type="paragraph" w:styleId="Title">
    <w:name w:val="Title"/>
    <w:basedOn w:val="Normal"/>
    <w:next w:val="Normal"/>
    <w:link w:val="TitleChar"/>
    <w:uiPriority w:val="10"/>
    <w:qFormat/>
    <w:rsid w:val="00256438"/>
    <w:pPr>
      <w:spacing w:after="0" w:line="240" w:lineRule="auto"/>
      <w:contextualSpacing/>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256438"/>
    <w:rPr>
      <w:rFonts w:ascii="Calibri" w:eastAsiaTheme="majorEastAsia" w:hAnsi="Calibri" w:cstheme="majorBidi"/>
      <w:b/>
      <w:spacing w:val="-10"/>
      <w:kern w:val="28"/>
      <w:sz w:val="28"/>
      <w:szCs w:val="56"/>
      <w:lang w:val="en-US"/>
    </w:rPr>
  </w:style>
  <w:style w:type="character" w:customStyle="1" w:styleId="Heading2Char">
    <w:name w:val="Heading 2 Char"/>
    <w:basedOn w:val="DefaultParagraphFont"/>
    <w:link w:val="Heading2"/>
    <w:uiPriority w:val="9"/>
    <w:rsid w:val="006C28CF"/>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6C28C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EC4002"/>
    <w:rPr>
      <w:color w:val="0563C1" w:themeColor="hyperlink"/>
      <w:u w:val="single"/>
    </w:rPr>
  </w:style>
  <w:style w:type="character" w:styleId="CommentReference">
    <w:name w:val="annotation reference"/>
    <w:basedOn w:val="DefaultParagraphFont"/>
    <w:uiPriority w:val="99"/>
    <w:semiHidden/>
    <w:unhideWhenUsed/>
    <w:rsid w:val="00DB4E17"/>
    <w:rPr>
      <w:sz w:val="16"/>
      <w:szCs w:val="16"/>
    </w:rPr>
  </w:style>
  <w:style w:type="table" w:styleId="TableGridLight">
    <w:name w:val="Grid Table Light"/>
    <w:basedOn w:val="TableNormal"/>
    <w:uiPriority w:val="40"/>
    <w:rsid w:val="004F05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basedOn w:val="Normal"/>
    <w:rsid w:val="008708B3"/>
    <w:pPr>
      <w:autoSpaceDE w:val="0"/>
      <w:autoSpaceDN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946">
      <w:bodyDiv w:val="1"/>
      <w:marLeft w:val="0"/>
      <w:marRight w:val="0"/>
      <w:marTop w:val="0"/>
      <w:marBottom w:val="0"/>
      <w:divBdr>
        <w:top w:val="none" w:sz="0" w:space="0" w:color="auto"/>
        <w:left w:val="none" w:sz="0" w:space="0" w:color="auto"/>
        <w:bottom w:val="none" w:sz="0" w:space="0" w:color="auto"/>
        <w:right w:val="none" w:sz="0" w:space="0" w:color="auto"/>
      </w:divBdr>
    </w:div>
    <w:div w:id="113718386">
      <w:bodyDiv w:val="1"/>
      <w:marLeft w:val="0"/>
      <w:marRight w:val="0"/>
      <w:marTop w:val="0"/>
      <w:marBottom w:val="0"/>
      <w:divBdr>
        <w:top w:val="none" w:sz="0" w:space="0" w:color="auto"/>
        <w:left w:val="none" w:sz="0" w:space="0" w:color="auto"/>
        <w:bottom w:val="none" w:sz="0" w:space="0" w:color="auto"/>
        <w:right w:val="none" w:sz="0" w:space="0" w:color="auto"/>
      </w:divBdr>
    </w:div>
    <w:div w:id="215746076">
      <w:bodyDiv w:val="1"/>
      <w:marLeft w:val="0"/>
      <w:marRight w:val="0"/>
      <w:marTop w:val="0"/>
      <w:marBottom w:val="0"/>
      <w:divBdr>
        <w:top w:val="none" w:sz="0" w:space="0" w:color="auto"/>
        <w:left w:val="none" w:sz="0" w:space="0" w:color="auto"/>
        <w:bottom w:val="none" w:sz="0" w:space="0" w:color="auto"/>
        <w:right w:val="none" w:sz="0" w:space="0" w:color="auto"/>
      </w:divBdr>
    </w:div>
    <w:div w:id="314995354">
      <w:bodyDiv w:val="1"/>
      <w:marLeft w:val="0"/>
      <w:marRight w:val="0"/>
      <w:marTop w:val="0"/>
      <w:marBottom w:val="0"/>
      <w:divBdr>
        <w:top w:val="none" w:sz="0" w:space="0" w:color="auto"/>
        <w:left w:val="none" w:sz="0" w:space="0" w:color="auto"/>
        <w:bottom w:val="none" w:sz="0" w:space="0" w:color="auto"/>
        <w:right w:val="none" w:sz="0" w:space="0" w:color="auto"/>
      </w:divBdr>
    </w:div>
    <w:div w:id="321199896">
      <w:bodyDiv w:val="1"/>
      <w:marLeft w:val="0"/>
      <w:marRight w:val="0"/>
      <w:marTop w:val="0"/>
      <w:marBottom w:val="0"/>
      <w:divBdr>
        <w:top w:val="none" w:sz="0" w:space="0" w:color="auto"/>
        <w:left w:val="none" w:sz="0" w:space="0" w:color="auto"/>
        <w:bottom w:val="none" w:sz="0" w:space="0" w:color="auto"/>
        <w:right w:val="none" w:sz="0" w:space="0" w:color="auto"/>
      </w:divBdr>
    </w:div>
    <w:div w:id="554246275">
      <w:bodyDiv w:val="1"/>
      <w:marLeft w:val="0"/>
      <w:marRight w:val="0"/>
      <w:marTop w:val="0"/>
      <w:marBottom w:val="0"/>
      <w:divBdr>
        <w:top w:val="none" w:sz="0" w:space="0" w:color="auto"/>
        <w:left w:val="none" w:sz="0" w:space="0" w:color="auto"/>
        <w:bottom w:val="none" w:sz="0" w:space="0" w:color="auto"/>
        <w:right w:val="none" w:sz="0" w:space="0" w:color="auto"/>
      </w:divBdr>
    </w:div>
    <w:div w:id="691339524">
      <w:bodyDiv w:val="1"/>
      <w:marLeft w:val="0"/>
      <w:marRight w:val="0"/>
      <w:marTop w:val="0"/>
      <w:marBottom w:val="0"/>
      <w:divBdr>
        <w:top w:val="none" w:sz="0" w:space="0" w:color="auto"/>
        <w:left w:val="none" w:sz="0" w:space="0" w:color="auto"/>
        <w:bottom w:val="none" w:sz="0" w:space="0" w:color="auto"/>
        <w:right w:val="none" w:sz="0" w:space="0" w:color="auto"/>
      </w:divBdr>
    </w:div>
    <w:div w:id="952784301">
      <w:bodyDiv w:val="1"/>
      <w:marLeft w:val="0"/>
      <w:marRight w:val="0"/>
      <w:marTop w:val="0"/>
      <w:marBottom w:val="0"/>
      <w:divBdr>
        <w:top w:val="none" w:sz="0" w:space="0" w:color="auto"/>
        <w:left w:val="none" w:sz="0" w:space="0" w:color="auto"/>
        <w:bottom w:val="none" w:sz="0" w:space="0" w:color="auto"/>
        <w:right w:val="none" w:sz="0" w:space="0" w:color="auto"/>
      </w:divBdr>
    </w:div>
    <w:div w:id="1112941418">
      <w:bodyDiv w:val="1"/>
      <w:marLeft w:val="0"/>
      <w:marRight w:val="0"/>
      <w:marTop w:val="0"/>
      <w:marBottom w:val="0"/>
      <w:divBdr>
        <w:top w:val="none" w:sz="0" w:space="0" w:color="auto"/>
        <w:left w:val="none" w:sz="0" w:space="0" w:color="auto"/>
        <w:bottom w:val="none" w:sz="0" w:space="0" w:color="auto"/>
        <w:right w:val="none" w:sz="0" w:space="0" w:color="auto"/>
      </w:divBdr>
    </w:div>
    <w:div w:id="1143279825">
      <w:bodyDiv w:val="1"/>
      <w:marLeft w:val="0"/>
      <w:marRight w:val="0"/>
      <w:marTop w:val="0"/>
      <w:marBottom w:val="0"/>
      <w:divBdr>
        <w:top w:val="none" w:sz="0" w:space="0" w:color="auto"/>
        <w:left w:val="none" w:sz="0" w:space="0" w:color="auto"/>
        <w:bottom w:val="none" w:sz="0" w:space="0" w:color="auto"/>
        <w:right w:val="none" w:sz="0" w:space="0" w:color="auto"/>
      </w:divBdr>
    </w:div>
    <w:div w:id="1518620426">
      <w:bodyDiv w:val="1"/>
      <w:marLeft w:val="0"/>
      <w:marRight w:val="0"/>
      <w:marTop w:val="0"/>
      <w:marBottom w:val="0"/>
      <w:divBdr>
        <w:top w:val="none" w:sz="0" w:space="0" w:color="auto"/>
        <w:left w:val="none" w:sz="0" w:space="0" w:color="auto"/>
        <w:bottom w:val="none" w:sz="0" w:space="0" w:color="auto"/>
        <w:right w:val="none" w:sz="0" w:space="0" w:color="auto"/>
      </w:divBdr>
    </w:div>
    <w:div w:id="1643971878">
      <w:bodyDiv w:val="1"/>
      <w:marLeft w:val="0"/>
      <w:marRight w:val="0"/>
      <w:marTop w:val="0"/>
      <w:marBottom w:val="0"/>
      <w:divBdr>
        <w:top w:val="none" w:sz="0" w:space="0" w:color="auto"/>
        <w:left w:val="none" w:sz="0" w:space="0" w:color="auto"/>
        <w:bottom w:val="none" w:sz="0" w:space="0" w:color="auto"/>
        <w:right w:val="none" w:sz="0" w:space="0" w:color="auto"/>
      </w:divBdr>
    </w:div>
    <w:div w:id="1645236003">
      <w:bodyDiv w:val="1"/>
      <w:marLeft w:val="0"/>
      <w:marRight w:val="0"/>
      <w:marTop w:val="0"/>
      <w:marBottom w:val="0"/>
      <w:divBdr>
        <w:top w:val="none" w:sz="0" w:space="0" w:color="auto"/>
        <w:left w:val="none" w:sz="0" w:space="0" w:color="auto"/>
        <w:bottom w:val="none" w:sz="0" w:space="0" w:color="auto"/>
        <w:right w:val="none" w:sz="0" w:space="0" w:color="auto"/>
      </w:divBdr>
    </w:div>
    <w:div w:id="1647854650">
      <w:bodyDiv w:val="1"/>
      <w:marLeft w:val="0"/>
      <w:marRight w:val="0"/>
      <w:marTop w:val="0"/>
      <w:marBottom w:val="0"/>
      <w:divBdr>
        <w:top w:val="none" w:sz="0" w:space="0" w:color="auto"/>
        <w:left w:val="none" w:sz="0" w:space="0" w:color="auto"/>
        <w:bottom w:val="none" w:sz="0" w:space="0" w:color="auto"/>
        <w:right w:val="none" w:sz="0" w:space="0" w:color="auto"/>
      </w:divBdr>
    </w:div>
    <w:div w:id="1804034888">
      <w:bodyDiv w:val="1"/>
      <w:marLeft w:val="0"/>
      <w:marRight w:val="0"/>
      <w:marTop w:val="0"/>
      <w:marBottom w:val="0"/>
      <w:divBdr>
        <w:top w:val="none" w:sz="0" w:space="0" w:color="auto"/>
        <w:left w:val="none" w:sz="0" w:space="0" w:color="auto"/>
        <w:bottom w:val="none" w:sz="0" w:space="0" w:color="auto"/>
        <w:right w:val="none" w:sz="0" w:space="0" w:color="auto"/>
      </w:divBdr>
    </w:div>
    <w:div w:id="19503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MPTF_00068_00043</ProjectId>
    <FundCode xmlns="f9695bc1-6109-4dcd-a27a-f8a0370b00e2">MPTF_00068</FundCode>
    <Comments xmlns="f9695bc1-6109-4dcd-a27a-f8a0370b00e2" xsi:nil="true"/>
    <Active xmlns="f9695bc1-6109-4dcd-a27a-f8a0370b00e2">Yes</Active>
    <DocumentDate xmlns="b1528a4b-5ccb-40f7-a09e-43427183cd95">2022-10-18T07:00:00+00:00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FE8B478-32FB-4ED3-9DA5-8767D6B7DCC5}">
  <ds:schemaRefs>
    <ds:schemaRef ds:uri="http://schemas.openxmlformats.org/officeDocument/2006/bibliography"/>
  </ds:schemaRefs>
</ds:datastoreItem>
</file>

<file path=customXml/itemProps2.xml><?xml version="1.0" encoding="utf-8"?>
<ds:datastoreItem xmlns:ds="http://schemas.openxmlformats.org/officeDocument/2006/customXml" ds:itemID="{993F094E-D15D-4ECF-A79D-1239DDCEF503}"/>
</file>

<file path=customXml/itemProps3.xml><?xml version="1.0" encoding="utf-8"?>
<ds:datastoreItem xmlns:ds="http://schemas.openxmlformats.org/officeDocument/2006/customXml" ds:itemID="{5D06183D-14E6-4BD3-A308-245814633755}"/>
</file>

<file path=customXml/itemProps4.xml><?xml version="1.0" encoding="utf-8"?>
<ds:datastoreItem xmlns:ds="http://schemas.openxmlformats.org/officeDocument/2006/customXml" ds:itemID="{1FC2282C-6655-49A0-8376-2184DB1D1ACB}"/>
</file>

<file path=docProps/app.xml><?xml version="1.0" encoding="utf-8"?>
<Properties xmlns="http://schemas.openxmlformats.org/officeDocument/2006/extended-properties" xmlns:vt="http://schemas.openxmlformats.org/officeDocument/2006/docPropsVTypes">
  <Template>Normal</Template>
  <TotalTime>32</TotalTime>
  <Pages>12</Pages>
  <Words>3185</Words>
  <Characters>18156</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Executive Summary</vt:lpstr>
      <vt:lpstr>1. Background and Rationale</vt:lpstr>
      <vt:lpstr>    1.1 Challenges to be addressed by the project</vt:lpstr>
      <vt:lpstr>    1.2 Opportunities available to the project </vt:lpstr>
      <vt:lpstr>2. Project Approach </vt:lpstr>
      <vt:lpstr>    2.1 Focus of the project – “What is the project about?”</vt:lpstr>
      <vt:lpstr>    2.2 Theory of change of the intervention – “How will the project produce the sta</vt:lpstr>
      <vt:lpstr>3. Result chain of the Intervention</vt:lpstr>
      <vt:lpstr>    Table 2. Expected impact</vt:lpstr>
      <vt:lpstr>    Impact Indicators</vt:lpstr>
      <vt:lpstr>    Table 2. Variations in outcome indicators </vt:lpstr>
      <vt:lpstr>    Outcome 1 Indicators</vt:lpstr>
      <vt:lpstr>    Outputs</vt:lpstr>
      <vt:lpstr>4. Partnership-building potential</vt:lpstr>
      <vt:lpstr>5. Knowledge management and dissemination</vt:lpstr>
      <vt:lpstr>6. Project management and monitoring arrangements</vt:lpstr>
      <vt:lpstr>7. Risk Management</vt:lpstr>
      <vt:lpstr>8. Budget</vt:lpstr>
      <vt:lpstr>    Project Budget</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IASG subgroup proposal for a SWAP_Amendment 1_UNDIS_ EOSG.docx</dc:title>
  <dc:subject/>
  <dc:creator>Sreerupa</dc:creator>
  <cp:keywords/>
  <dc:description/>
  <cp:lastModifiedBy>Sreerupa</cp:lastModifiedBy>
  <cp:revision>14</cp:revision>
  <cp:lastPrinted>2018-07-30T12:49:00Z</cp:lastPrinted>
  <dcterms:created xsi:type="dcterms:W3CDTF">2019-07-12T13:38:00Z</dcterms:created>
  <dcterms:modified xsi:type="dcterms:W3CDTF">2019-07-12T18:43:00Z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3141200</vt:r8>
  </property>
  <property fmtid="{D5CDD505-2E9C-101B-9397-08002B2CF9AE}" pid="4" name="MediaServiceImageTags">
    <vt:lpwstr/>
  </property>
</Properties>
</file>