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03161" w14:textId="77777777" w:rsidR="00714A9F" w:rsidRDefault="00714A9F">
      <w:pPr>
        <w:spacing w:after="280"/>
      </w:pPr>
    </w:p>
    <w:p w14:paraId="22533ED7" w14:textId="77777777" w:rsidR="00714A9F" w:rsidRDefault="0081062A">
      <w:pPr>
        <w:spacing w:before="280" w:after="280"/>
        <w:jc w:val="center"/>
        <w:rPr>
          <w:sz w:val="40"/>
          <w:szCs w:val="40"/>
        </w:rPr>
      </w:pPr>
      <w:r>
        <w:rPr>
          <w:sz w:val="40"/>
          <w:szCs w:val="40"/>
        </w:rPr>
        <w:t>4</w:t>
      </w:r>
      <w:r>
        <w:rPr>
          <w:sz w:val="40"/>
          <w:szCs w:val="40"/>
          <w:vertAlign w:val="superscript"/>
        </w:rPr>
        <w:t>th</w:t>
      </w:r>
      <w:r>
        <w:rPr>
          <w:sz w:val="40"/>
          <w:szCs w:val="40"/>
        </w:rPr>
        <w:t xml:space="preserve"> Funding Call – Step 2 / Inception Phase</w:t>
      </w:r>
    </w:p>
    <w:p w14:paraId="6E9E8775" w14:textId="77777777" w:rsidR="00714A9F" w:rsidRDefault="0081062A">
      <w:pPr>
        <w:pStyle w:val="Heading1"/>
        <w:jc w:val="center"/>
      </w:pPr>
      <w:r>
        <w:t>Work plan and Program Budget Template</w:t>
      </w:r>
    </w:p>
    <w:p w14:paraId="52BF8D09" w14:textId="77777777" w:rsidR="00714A9F" w:rsidRDefault="00714A9F">
      <w:pPr>
        <w:spacing w:after="0"/>
        <w:rPr>
          <w:b/>
          <w:sz w:val="28"/>
          <w:szCs w:val="28"/>
        </w:rPr>
      </w:pPr>
    </w:p>
    <w:p w14:paraId="19928417" w14:textId="77777777" w:rsidR="00714A9F" w:rsidRDefault="00714A9F">
      <w:pPr>
        <w:spacing w:after="0"/>
        <w:rPr>
          <w:b/>
          <w:sz w:val="28"/>
          <w:szCs w:val="28"/>
        </w:rPr>
      </w:pPr>
    </w:p>
    <w:tbl>
      <w:tblPr>
        <w:tblStyle w:val="a"/>
        <w:tblW w:w="953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530"/>
      </w:tblGrid>
      <w:tr w:rsidR="00714A9F" w14:paraId="108477E0" w14:textId="77777777">
        <w:tc>
          <w:tcPr>
            <w:tcW w:w="9530" w:type="dxa"/>
          </w:tcPr>
          <w:p w14:paraId="24E21676" w14:textId="77777777" w:rsidR="00714A9F" w:rsidRDefault="0081062A">
            <w:pPr>
              <w:rPr>
                <w:b/>
                <w:sz w:val="28"/>
                <w:szCs w:val="28"/>
              </w:rPr>
            </w:pPr>
            <w:r>
              <w:rPr>
                <w:b/>
                <w:sz w:val="24"/>
                <w:szCs w:val="24"/>
              </w:rPr>
              <w:t>Title: Inception Phase 4</w:t>
            </w:r>
            <w:r>
              <w:rPr>
                <w:b/>
                <w:sz w:val="24"/>
                <w:szCs w:val="24"/>
                <w:vertAlign w:val="superscript"/>
              </w:rPr>
              <w:t>th</w:t>
            </w:r>
            <w:r>
              <w:rPr>
                <w:b/>
                <w:sz w:val="24"/>
                <w:szCs w:val="24"/>
              </w:rPr>
              <w:t xml:space="preserve"> Funding Round</w:t>
            </w:r>
          </w:p>
        </w:tc>
      </w:tr>
      <w:tr w:rsidR="00714A9F" w14:paraId="64EB0BA2" w14:textId="77777777">
        <w:tc>
          <w:tcPr>
            <w:tcW w:w="9530" w:type="dxa"/>
          </w:tcPr>
          <w:p w14:paraId="44F77908" w14:textId="77777777" w:rsidR="00714A9F" w:rsidRDefault="0081062A">
            <w:pPr>
              <w:rPr>
                <w:b/>
                <w:sz w:val="28"/>
                <w:szCs w:val="28"/>
              </w:rPr>
            </w:pPr>
            <w:r>
              <w:rPr>
                <w:b/>
                <w:sz w:val="24"/>
                <w:szCs w:val="24"/>
              </w:rPr>
              <w:t>Country: Republic of Armenia</w:t>
            </w:r>
          </w:p>
        </w:tc>
      </w:tr>
      <w:tr w:rsidR="00714A9F" w14:paraId="77728867" w14:textId="77777777">
        <w:tc>
          <w:tcPr>
            <w:tcW w:w="9530" w:type="dxa"/>
          </w:tcPr>
          <w:p w14:paraId="282A3CFD" w14:textId="00C90783" w:rsidR="00714A9F" w:rsidRDefault="0081062A">
            <w:pPr>
              <w:rPr>
                <w:b/>
                <w:sz w:val="28"/>
                <w:szCs w:val="28"/>
              </w:rPr>
            </w:pPr>
            <w:r>
              <w:rPr>
                <w:b/>
                <w:sz w:val="24"/>
                <w:szCs w:val="24"/>
              </w:rPr>
              <w:t xml:space="preserve">Duration: </w:t>
            </w:r>
            <w:r w:rsidR="00901C0C">
              <w:rPr>
                <w:b/>
                <w:sz w:val="24"/>
                <w:szCs w:val="24"/>
              </w:rPr>
              <w:t>3.5</w:t>
            </w:r>
            <w:r>
              <w:rPr>
                <w:b/>
                <w:sz w:val="24"/>
                <w:szCs w:val="24"/>
              </w:rPr>
              <w:t xml:space="preserve"> months</w:t>
            </w:r>
          </w:p>
        </w:tc>
      </w:tr>
      <w:tr w:rsidR="00714A9F" w14:paraId="7C33A156" w14:textId="77777777">
        <w:tc>
          <w:tcPr>
            <w:tcW w:w="9530" w:type="dxa"/>
          </w:tcPr>
          <w:p w14:paraId="7FE7D718" w14:textId="4FA73923" w:rsidR="00714A9F" w:rsidRDefault="0081062A">
            <w:pPr>
              <w:rPr>
                <w:b/>
                <w:sz w:val="28"/>
                <w:szCs w:val="28"/>
              </w:rPr>
            </w:pPr>
            <w:r>
              <w:rPr>
                <w:b/>
                <w:sz w:val="24"/>
                <w:szCs w:val="24"/>
              </w:rPr>
              <w:t>Total Budget</w:t>
            </w:r>
            <w:r>
              <w:rPr>
                <w:b/>
                <w:sz w:val="24"/>
                <w:szCs w:val="24"/>
                <w:vertAlign w:val="superscript"/>
              </w:rPr>
              <w:footnoteReference w:id="1"/>
            </w:r>
            <w:r>
              <w:rPr>
                <w:b/>
                <w:sz w:val="24"/>
                <w:szCs w:val="24"/>
              </w:rPr>
              <w:t xml:space="preserve">: </w:t>
            </w:r>
            <w:r w:rsidR="00901C0C">
              <w:rPr>
                <w:b/>
                <w:sz w:val="24"/>
                <w:szCs w:val="24"/>
              </w:rPr>
              <w:t>1</w:t>
            </w:r>
            <w:r w:rsidR="00B177A4">
              <w:rPr>
                <w:b/>
                <w:sz w:val="24"/>
                <w:szCs w:val="24"/>
              </w:rPr>
              <w:t>64</w:t>
            </w:r>
            <w:r w:rsidR="00901C0C">
              <w:rPr>
                <w:b/>
                <w:sz w:val="24"/>
                <w:szCs w:val="24"/>
              </w:rPr>
              <w:t xml:space="preserve">,500 USD (requested from UNPRPD - </w:t>
            </w:r>
            <w:r>
              <w:rPr>
                <w:b/>
                <w:sz w:val="24"/>
                <w:szCs w:val="24"/>
              </w:rPr>
              <w:t>100,000 USD</w:t>
            </w:r>
            <w:r w:rsidR="00901C0C">
              <w:rPr>
                <w:b/>
                <w:sz w:val="24"/>
                <w:szCs w:val="24"/>
              </w:rPr>
              <w:t>)</w:t>
            </w:r>
          </w:p>
        </w:tc>
      </w:tr>
      <w:tr w:rsidR="00714A9F" w14:paraId="0B22583C" w14:textId="77777777">
        <w:tc>
          <w:tcPr>
            <w:tcW w:w="9530" w:type="dxa"/>
          </w:tcPr>
          <w:p w14:paraId="63C1568D" w14:textId="77777777" w:rsidR="00714A9F" w:rsidRDefault="0081062A">
            <w:pPr>
              <w:rPr>
                <w:b/>
                <w:sz w:val="24"/>
                <w:szCs w:val="24"/>
              </w:rPr>
            </w:pPr>
            <w:r>
              <w:rPr>
                <w:b/>
                <w:sz w:val="24"/>
                <w:szCs w:val="24"/>
              </w:rPr>
              <w:t>Participating UN Organization receiving the funds: UNDP</w:t>
            </w:r>
          </w:p>
        </w:tc>
      </w:tr>
    </w:tbl>
    <w:p w14:paraId="3F9FB6AF" w14:textId="77777777" w:rsidR="00714A9F" w:rsidRDefault="00714A9F">
      <w:pPr>
        <w:spacing w:after="0" w:line="240" w:lineRule="auto"/>
        <w:rPr>
          <w:b/>
          <w:sz w:val="24"/>
          <w:szCs w:val="24"/>
        </w:rPr>
      </w:pPr>
    </w:p>
    <w:p w14:paraId="6D303CF3" w14:textId="77777777" w:rsidR="00714A9F" w:rsidRDefault="00714A9F">
      <w:pPr>
        <w:spacing w:after="280"/>
        <w:jc w:val="both"/>
        <w:rPr>
          <w:i/>
          <w:sz w:val="20"/>
          <w:szCs w:val="20"/>
        </w:rPr>
      </w:pPr>
    </w:p>
    <w:p w14:paraId="6E9F2D43" w14:textId="77777777" w:rsidR="00714A9F" w:rsidRDefault="0081062A">
      <w:pPr>
        <w:pStyle w:val="Heading1"/>
        <w:numPr>
          <w:ilvl w:val="0"/>
          <w:numId w:val="1"/>
        </w:numPr>
      </w:pPr>
      <w:r>
        <w:t xml:space="preserve">Context </w:t>
      </w:r>
    </w:p>
    <w:p w14:paraId="6B984E43" w14:textId="0D09BBFA" w:rsidR="00714A9F" w:rsidRPr="00A456C0" w:rsidRDefault="00A456C0">
      <w:pPr>
        <w:jc w:val="both"/>
        <w:rPr>
          <w:i/>
          <w:iCs/>
        </w:rPr>
      </w:pPr>
      <w:r>
        <w:rPr>
          <w:i/>
          <w:iCs/>
        </w:rPr>
        <w:t>[</w:t>
      </w:r>
      <w:r w:rsidR="0081062A" w:rsidRPr="00A456C0">
        <w:rPr>
          <w:i/>
          <w:iCs/>
        </w:rPr>
        <w:t>Please provide information on significant changes to the context, if any, since the EOIs was submitted.</w:t>
      </w:r>
      <w:r>
        <w:rPr>
          <w:i/>
          <w:iCs/>
        </w:rPr>
        <w:t>]</w:t>
      </w:r>
      <w:r w:rsidR="0081062A" w:rsidRPr="00A456C0">
        <w:rPr>
          <w:i/>
          <w:iCs/>
        </w:rPr>
        <w:t xml:space="preserve"> </w:t>
      </w:r>
    </w:p>
    <w:p w14:paraId="4CFF41F9" w14:textId="77777777" w:rsidR="00714A9F" w:rsidRDefault="0081062A">
      <w:pPr>
        <w:spacing w:before="300" w:after="300"/>
        <w:jc w:val="both"/>
      </w:pPr>
      <w:r>
        <w:t>As outlined in the EOI, the UNCT approach will be based on setting-up the necessary enabling environment and ecosystem with mechanisms and platforms allowing systemic approach to CRPD implementation and disability mainstreaming. The top 5 priorities will include accessibility, participation, data collection and statistics, promotion of employment opportunities and independent living, effective and independent monitoring mechanisms, and platforms.</w:t>
      </w:r>
    </w:p>
    <w:p w14:paraId="7792BB01" w14:textId="15670C5F" w:rsidR="00714A9F" w:rsidRDefault="0081062A">
      <w:pPr>
        <w:spacing w:before="300" w:after="300"/>
        <w:jc w:val="both"/>
      </w:pPr>
      <w:r>
        <w:t xml:space="preserve">In 2020 September-October unprecedented escalation of </w:t>
      </w:r>
      <w:r w:rsidR="00034ED3">
        <w:t>hostilities</w:t>
      </w:r>
      <w:r>
        <w:t xml:space="preserve"> in Nagorno Karabakh</w:t>
      </w:r>
      <w:r w:rsidR="00577734">
        <w:t xml:space="preserve"> conflict zone</w:t>
      </w:r>
      <w:r>
        <w:t xml:space="preserve"> was devastating and left a number of war veterans</w:t>
      </w:r>
      <w:r w:rsidR="00FB35C8">
        <w:t>, as well as civilians</w:t>
      </w:r>
      <w:r>
        <w:t xml:space="preserve"> with disabilities requiring urgent physical and </w:t>
      </w:r>
      <w:r w:rsidR="00A456C0">
        <w:t>psychosocial services,</w:t>
      </w:r>
      <w:r>
        <w:t xml:space="preserve"> rehabilitation and other support services.  This once again highlighted the key gap in having an inclusive ecosystem and disability mainstreaming in policies and programmes, which resulted in limited provision of and access to services and lack of enabling environment for equal participation. </w:t>
      </w:r>
    </w:p>
    <w:p w14:paraId="1DCE4DA1" w14:textId="3E12497C" w:rsidR="00714A9F" w:rsidRDefault="00034ED3" w:rsidP="00A456C0">
      <w:pPr>
        <w:spacing w:before="300" w:after="300"/>
        <w:jc w:val="both"/>
        <w:rPr>
          <w:highlight w:val="white"/>
        </w:rPr>
      </w:pPr>
      <w:r>
        <w:rPr>
          <w:highlight w:val="white"/>
        </w:rPr>
        <w:t>E</w:t>
      </w:r>
      <w:r w:rsidR="0081062A">
        <w:rPr>
          <w:highlight w:val="white"/>
        </w:rPr>
        <w:t>scalation</w:t>
      </w:r>
      <w:r>
        <w:rPr>
          <w:highlight w:val="white"/>
        </w:rPr>
        <w:t xml:space="preserve"> of the </w:t>
      </w:r>
      <w:r w:rsidR="00577734">
        <w:rPr>
          <w:highlight w:val="white"/>
        </w:rPr>
        <w:t>h</w:t>
      </w:r>
      <w:r>
        <w:rPr>
          <w:highlight w:val="white"/>
        </w:rPr>
        <w:t>ostilities in N</w:t>
      </w:r>
      <w:r w:rsidR="00577734">
        <w:rPr>
          <w:highlight w:val="white"/>
        </w:rPr>
        <w:t xml:space="preserve">agorno </w:t>
      </w:r>
      <w:r>
        <w:rPr>
          <w:highlight w:val="white"/>
        </w:rPr>
        <w:t>K</w:t>
      </w:r>
      <w:r w:rsidR="00577734">
        <w:rPr>
          <w:highlight w:val="white"/>
        </w:rPr>
        <w:t>arabakh</w:t>
      </w:r>
      <w:r w:rsidR="0081062A">
        <w:rPr>
          <w:highlight w:val="white"/>
        </w:rPr>
        <w:t xml:space="preserve"> together with the second wave of the COVID-19 pandemic </w:t>
      </w:r>
      <w:r w:rsidR="0081062A">
        <w:t xml:space="preserve">created new humanitarian needs and added significant pressure on existing response capacities, especially health, social and economic systems as COVID cases surged and hospitals coped with wounded from the war. The conflict resulted in the displacement of approximately 90.000 persons from and around Nagorno-Karabakh to Armenia, with the vast majority (around 88%) being women and children (40%).   </w:t>
      </w:r>
    </w:p>
    <w:p w14:paraId="0E84DE93" w14:textId="77777777" w:rsidR="00714A9F" w:rsidRDefault="0081062A">
      <w:pPr>
        <w:spacing w:before="240" w:after="0"/>
        <w:jc w:val="both"/>
        <w:rPr>
          <w:highlight w:val="white"/>
        </w:rPr>
      </w:pPr>
      <w:r>
        <w:rPr>
          <w:highlight w:val="white"/>
        </w:rPr>
        <w:lastRenderedPageBreak/>
        <w:t>UNICEF and partners on the ground are responding to reports of aggression, insomnia, and other symptoms of depression and anxiety being experienced by children and their caregivers through psycho-social response programs.</w:t>
      </w:r>
    </w:p>
    <w:p w14:paraId="1A5B7303" w14:textId="534366BE" w:rsidR="00714A9F" w:rsidRDefault="0081062A">
      <w:pPr>
        <w:spacing w:before="240" w:after="240"/>
        <w:jc w:val="both"/>
        <w:rPr>
          <w:highlight w:val="white"/>
        </w:rPr>
      </w:pPr>
      <w:r>
        <w:rPr>
          <w:highlight w:val="white"/>
        </w:rPr>
        <w:t>Insufficient government resources and their reallocation towards addressing COVID-19 pandemic and the consequences of recent military hostilities in N</w:t>
      </w:r>
      <w:r w:rsidR="00577734">
        <w:rPr>
          <w:highlight w:val="white"/>
        </w:rPr>
        <w:t xml:space="preserve">agorno </w:t>
      </w:r>
      <w:r>
        <w:rPr>
          <w:highlight w:val="white"/>
        </w:rPr>
        <w:t>K</w:t>
      </w:r>
      <w:r w:rsidR="00577734">
        <w:rPr>
          <w:highlight w:val="white"/>
        </w:rPr>
        <w:t>arabakh</w:t>
      </w:r>
      <w:r>
        <w:rPr>
          <w:highlight w:val="white"/>
        </w:rPr>
        <w:t xml:space="preserve"> conflict zone created challenges in the attainment and sustainability of new and effective strategies and implementation of disability reform.</w:t>
      </w:r>
    </w:p>
    <w:p w14:paraId="41580A1D" w14:textId="2A02CDBA" w:rsidR="00714A9F" w:rsidRDefault="0081062A">
      <w:pPr>
        <w:spacing w:before="240" w:after="240"/>
        <w:jc w:val="both"/>
        <w:rPr>
          <w:highlight w:val="white"/>
        </w:rPr>
      </w:pPr>
      <w:r>
        <w:rPr>
          <w:highlight w:val="white"/>
        </w:rPr>
        <w:t>The COVID-19 pandemic and escalation</w:t>
      </w:r>
      <w:r w:rsidR="00577734">
        <w:rPr>
          <w:highlight w:val="white"/>
        </w:rPr>
        <w:t xml:space="preserve"> of hostilities</w:t>
      </w:r>
      <w:r>
        <w:rPr>
          <w:highlight w:val="white"/>
        </w:rPr>
        <w:t xml:space="preserve"> in </w:t>
      </w:r>
      <w:r w:rsidR="00577734">
        <w:rPr>
          <w:highlight w:val="white"/>
        </w:rPr>
        <w:t>Nagorno Karabakh</w:t>
      </w:r>
      <w:r>
        <w:rPr>
          <w:highlight w:val="white"/>
        </w:rPr>
        <w:t xml:space="preserve"> forced to consider a new reality with insufficient resources, new additional challenges for children with disabilities and their families with a focus on displaced or living in the border communities. </w:t>
      </w:r>
      <w:r w:rsidR="003E61A8">
        <w:rPr>
          <w:highlight w:val="white"/>
        </w:rPr>
        <w:t>It raised</w:t>
      </w:r>
      <w:r>
        <w:rPr>
          <w:highlight w:val="white"/>
        </w:rPr>
        <w:t xml:space="preserve"> the need for targeting resources towards more inclusive health, social and educational services.</w:t>
      </w:r>
    </w:p>
    <w:p w14:paraId="6988D412" w14:textId="77777777" w:rsidR="00714A9F" w:rsidRDefault="00714A9F">
      <w:pPr>
        <w:spacing w:before="300" w:after="300"/>
        <w:jc w:val="both"/>
      </w:pPr>
    </w:p>
    <w:p w14:paraId="413CB910" w14:textId="77777777" w:rsidR="00714A9F" w:rsidRDefault="00714A9F">
      <w:pPr>
        <w:spacing w:after="0" w:line="240" w:lineRule="auto"/>
        <w:jc w:val="both"/>
        <w:rPr>
          <w:i/>
          <w:sz w:val="20"/>
          <w:szCs w:val="20"/>
        </w:rPr>
      </w:pPr>
    </w:p>
    <w:p w14:paraId="519484AF" w14:textId="77777777" w:rsidR="00714A9F" w:rsidRDefault="0081062A">
      <w:pPr>
        <w:numPr>
          <w:ilvl w:val="0"/>
          <w:numId w:val="1"/>
        </w:numPr>
        <w:pBdr>
          <w:top w:val="nil"/>
          <w:left w:val="nil"/>
          <w:bottom w:val="nil"/>
          <w:right w:val="nil"/>
          <w:between w:val="nil"/>
        </w:pBdr>
        <w:spacing w:after="0" w:line="240" w:lineRule="auto"/>
        <w:jc w:val="both"/>
        <w:rPr>
          <w:rFonts w:ascii="Cambria" w:eastAsia="Cambria" w:hAnsi="Cambria" w:cs="Cambria"/>
          <w:color w:val="366091"/>
          <w:sz w:val="32"/>
          <w:szCs w:val="32"/>
        </w:rPr>
      </w:pPr>
      <w:r>
        <w:rPr>
          <w:rFonts w:ascii="Cambria" w:eastAsia="Cambria" w:hAnsi="Cambria" w:cs="Cambria"/>
          <w:color w:val="366091"/>
          <w:sz w:val="32"/>
          <w:szCs w:val="32"/>
        </w:rPr>
        <w:t xml:space="preserve">Workplan and budget </w:t>
      </w:r>
    </w:p>
    <w:p w14:paraId="49B320AA" w14:textId="77777777" w:rsidR="00714A9F" w:rsidRDefault="00714A9F">
      <w:pPr>
        <w:spacing w:after="0" w:line="240" w:lineRule="auto"/>
        <w:jc w:val="both"/>
        <w:rPr>
          <w:rFonts w:ascii="Cambria" w:eastAsia="Cambria" w:hAnsi="Cambria" w:cs="Cambria"/>
          <w:color w:val="366091"/>
          <w:sz w:val="32"/>
          <w:szCs w:val="32"/>
        </w:rPr>
      </w:pPr>
    </w:p>
    <w:p w14:paraId="77F8F398" w14:textId="77777777" w:rsidR="00714A9F" w:rsidRDefault="0081062A">
      <w:pPr>
        <w:spacing w:after="0" w:line="240" w:lineRule="auto"/>
        <w:jc w:val="both"/>
      </w:pPr>
      <w:r>
        <w:t>Please refer to the Overview document on the details regarding the Induction Workshop, the Situational Analysis, and the Full Proposal for Step 2/ Inception Phase. Full templates for each of these activities will be provided at a later point in the process. Please provide an estimate of costing for the following activities.</w:t>
      </w:r>
    </w:p>
    <w:p w14:paraId="24A60642" w14:textId="77777777" w:rsidR="00714A9F" w:rsidRDefault="00714A9F">
      <w:pPr>
        <w:spacing w:after="0" w:line="240" w:lineRule="auto"/>
        <w:jc w:val="both"/>
      </w:pPr>
    </w:p>
    <w:p w14:paraId="104AC528" w14:textId="77777777" w:rsidR="00714A9F" w:rsidRDefault="0081062A">
      <w:pPr>
        <w:spacing w:after="0" w:line="240" w:lineRule="auto"/>
        <w:jc w:val="both"/>
      </w:pPr>
      <w:r>
        <w:t xml:space="preserve">Once funds have been transferred for the Inception Phase, the TS will be in touch to discuss updates to the workplan and budget, if required. </w:t>
      </w:r>
    </w:p>
    <w:p w14:paraId="1F7A4555" w14:textId="77777777" w:rsidR="00714A9F" w:rsidRDefault="00714A9F">
      <w:pPr>
        <w:spacing w:after="0" w:line="240" w:lineRule="auto"/>
        <w:jc w:val="both"/>
        <w:rPr>
          <w:b/>
          <w:sz w:val="20"/>
          <w:szCs w:val="20"/>
        </w:rPr>
      </w:pPr>
    </w:p>
    <w:p w14:paraId="30C29164" w14:textId="77777777" w:rsidR="00714A9F" w:rsidRDefault="00714A9F">
      <w:pPr>
        <w:spacing w:after="0" w:line="240" w:lineRule="auto"/>
        <w:jc w:val="both"/>
        <w:rPr>
          <w:b/>
          <w:sz w:val="20"/>
          <w:szCs w:val="20"/>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35"/>
        <w:gridCol w:w="2385"/>
      </w:tblGrid>
      <w:tr w:rsidR="00714A9F" w14:paraId="1C7F8FF5" w14:textId="77777777">
        <w:tc>
          <w:tcPr>
            <w:tcW w:w="5305" w:type="dxa"/>
            <w:shd w:val="clear" w:color="auto" w:fill="EEECE1"/>
          </w:tcPr>
          <w:p w14:paraId="3350760E" w14:textId="77777777" w:rsidR="00714A9F" w:rsidRDefault="0081062A">
            <w:pPr>
              <w:jc w:val="both"/>
              <w:rPr>
                <w:b/>
                <w:sz w:val="20"/>
                <w:szCs w:val="20"/>
              </w:rPr>
            </w:pPr>
            <w:r>
              <w:rPr>
                <w:b/>
                <w:sz w:val="20"/>
                <w:szCs w:val="20"/>
              </w:rPr>
              <w:t xml:space="preserve">Output 1 Induction Workshop </w:t>
            </w:r>
          </w:p>
        </w:tc>
        <w:tc>
          <w:tcPr>
            <w:tcW w:w="1935" w:type="dxa"/>
            <w:shd w:val="clear" w:color="auto" w:fill="EEECE1"/>
          </w:tcPr>
          <w:p w14:paraId="30CDD0ED" w14:textId="77777777" w:rsidR="00714A9F" w:rsidRDefault="0081062A">
            <w:pPr>
              <w:jc w:val="both"/>
              <w:rPr>
                <w:b/>
                <w:sz w:val="20"/>
                <w:szCs w:val="20"/>
              </w:rPr>
            </w:pPr>
            <w:r>
              <w:rPr>
                <w:b/>
                <w:sz w:val="20"/>
                <w:szCs w:val="20"/>
              </w:rPr>
              <w:t xml:space="preserve">Estimated Cost </w:t>
            </w:r>
          </w:p>
        </w:tc>
        <w:tc>
          <w:tcPr>
            <w:tcW w:w="2385" w:type="dxa"/>
            <w:shd w:val="clear" w:color="auto" w:fill="EEECE1"/>
          </w:tcPr>
          <w:p w14:paraId="62D4E5C5" w14:textId="77777777" w:rsidR="00714A9F" w:rsidRDefault="0081062A">
            <w:pPr>
              <w:jc w:val="both"/>
              <w:rPr>
                <w:b/>
                <w:sz w:val="20"/>
                <w:szCs w:val="20"/>
              </w:rPr>
            </w:pPr>
            <w:r>
              <w:rPr>
                <w:b/>
                <w:sz w:val="20"/>
                <w:szCs w:val="20"/>
              </w:rPr>
              <w:t>Estimated Timeline</w:t>
            </w:r>
          </w:p>
        </w:tc>
      </w:tr>
      <w:tr w:rsidR="00714A9F" w14:paraId="10CDFF65" w14:textId="77777777">
        <w:trPr>
          <w:trHeight w:val="581"/>
        </w:trPr>
        <w:tc>
          <w:tcPr>
            <w:tcW w:w="5305" w:type="dxa"/>
          </w:tcPr>
          <w:p w14:paraId="64C2783A" w14:textId="77777777" w:rsidR="00714A9F" w:rsidRDefault="0081062A">
            <w:pPr>
              <w:numPr>
                <w:ilvl w:val="0"/>
                <w:numId w:val="2"/>
              </w:numPr>
              <w:pBdr>
                <w:top w:val="nil"/>
                <w:left w:val="nil"/>
                <w:bottom w:val="nil"/>
                <w:right w:val="nil"/>
                <w:between w:val="nil"/>
              </w:pBdr>
              <w:spacing w:after="200" w:line="276" w:lineRule="auto"/>
              <w:jc w:val="both"/>
              <w:rPr>
                <w:color w:val="000000"/>
                <w:sz w:val="20"/>
                <w:szCs w:val="20"/>
              </w:rPr>
            </w:pPr>
            <w:r>
              <w:rPr>
                <w:color w:val="000000"/>
                <w:sz w:val="20"/>
                <w:szCs w:val="20"/>
              </w:rPr>
              <w:t>Coordination and organization of activities and content</w:t>
            </w:r>
          </w:p>
        </w:tc>
        <w:tc>
          <w:tcPr>
            <w:tcW w:w="1935" w:type="dxa"/>
          </w:tcPr>
          <w:p w14:paraId="138B3B30" w14:textId="77777777" w:rsidR="00714A9F" w:rsidRDefault="0081062A">
            <w:pPr>
              <w:jc w:val="center"/>
              <w:rPr>
                <w:sz w:val="20"/>
                <w:szCs w:val="20"/>
              </w:rPr>
            </w:pPr>
            <w:r>
              <w:rPr>
                <w:sz w:val="20"/>
                <w:szCs w:val="20"/>
              </w:rPr>
              <w:t>1,000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6C6A" w14:textId="77777777" w:rsidR="00714A9F" w:rsidRDefault="0081062A">
            <w:pPr>
              <w:spacing w:before="240" w:line="276" w:lineRule="auto"/>
              <w:jc w:val="both"/>
              <w:rPr>
                <w:sz w:val="20"/>
                <w:szCs w:val="20"/>
              </w:rPr>
            </w:pPr>
            <w:r>
              <w:rPr>
                <w:sz w:val="20"/>
                <w:szCs w:val="20"/>
              </w:rPr>
              <w:t>1-6 March (1 week)</w:t>
            </w:r>
          </w:p>
        </w:tc>
      </w:tr>
      <w:tr w:rsidR="00714A9F" w14:paraId="3616F30B" w14:textId="77777777">
        <w:trPr>
          <w:trHeight w:val="595"/>
        </w:trPr>
        <w:tc>
          <w:tcPr>
            <w:tcW w:w="5305" w:type="dxa"/>
          </w:tcPr>
          <w:p w14:paraId="49CB73D9" w14:textId="77777777" w:rsidR="00714A9F" w:rsidRDefault="0081062A">
            <w:pPr>
              <w:numPr>
                <w:ilvl w:val="0"/>
                <w:numId w:val="2"/>
              </w:numPr>
              <w:pBdr>
                <w:top w:val="nil"/>
                <w:left w:val="nil"/>
                <w:bottom w:val="nil"/>
                <w:right w:val="nil"/>
                <w:between w:val="nil"/>
              </w:pBdr>
              <w:spacing w:after="200" w:line="276" w:lineRule="auto"/>
              <w:jc w:val="both"/>
              <w:rPr>
                <w:color w:val="000000"/>
                <w:sz w:val="20"/>
                <w:szCs w:val="20"/>
              </w:rPr>
            </w:pPr>
            <w:r>
              <w:rPr>
                <w:color w:val="000000"/>
                <w:sz w:val="20"/>
                <w:szCs w:val="20"/>
              </w:rPr>
              <w:t>Adaptation / translation of training materials</w:t>
            </w:r>
          </w:p>
        </w:tc>
        <w:tc>
          <w:tcPr>
            <w:tcW w:w="1935" w:type="dxa"/>
          </w:tcPr>
          <w:p w14:paraId="1D28217A" w14:textId="77777777" w:rsidR="00714A9F" w:rsidRDefault="0081062A">
            <w:pPr>
              <w:jc w:val="center"/>
              <w:rPr>
                <w:sz w:val="20"/>
                <w:szCs w:val="20"/>
              </w:rPr>
            </w:pPr>
            <w:r>
              <w:rPr>
                <w:sz w:val="20"/>
                <w:szCs w:val="20"/>
              </w:rPr>
              <w:t>5,000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91066" w14:textId="77777777" w:rsidR="00714A9F" w:rsidRDefault="0081062A">
            <w:pPr>
              <w:spacing w:before="240" w:line="276" w:lineRule="auto"/>
              <w:jc w:val="both"/>
              <w:rPr>
                <w:sz w:val="20"/>
                <w:szCs w:val="20"/>
              </w:rPr>
            </w:pPr>
            <w:r>
              <w:rPr>
                <w:sz w:val="20"/>
                <w:szCs w:val="20"/>
              </w:rPr>
              <w:t>8-13 March (1 week)</w:t>
            </w:r>
          </w:p>
        </w:tc>
      </w:tr>
      <w:tr w:rsidR="00714A9F" w14:paraId="592C6D64" w14:textId="77777777">
        <w:tc>
          <w:tcPr>
            <w:tcW w:w="5305" w:type="dxa"/>
          </w:tcPr>
          <w:p w14:paraId="2976CC9B" w14:textId="77777777" w:rsidR="00714A9F" w:rsidRDefault="0081062A">
            <w:pPr>
              <w:numPr>
                <w:ilvl w:val="0"/>
                <w:numId w:val="2"/>
              </w:numPr>
              <w:pBdr>
                <w:top w:val="nil"/>
                <w:left w:val="nil"/>
                <w:bottom w:val="nil"/>
                <w:right w:val="nil"/>
                <w:between w:val="nil"/>
              </w:pBdr>
              <w:spacing w:after="200" w:line="276" w:lineRule="auto"/>
              <w:jc w:val="both"/>
              <w:rPr>
                <w:color w:val="000000"/>
                <w:sz w:val="20"/>
                <w:szCs w:val="20"/>
              </w:rPr>
            </w:pPr>
            <w:r>
              <w:rPr>
                <w:color w:val="000000"/>
                <w:sz w:val="20"/>
                <w:szCs w:val="20"/>
              </w:rPr>
              <w:t>Delivery of Induction Workshop</w:t>
            </w:r>
          </w:p>
        </w:tc>
        <w:tc>
          <w:tcPr>
            <w:tcW w:w="1935" w:type="dxa"/>
          </w:tcPr>
          <w:p w14:paraId="4D942775" w14:textId="77777777" w:rsidR="00714A9F" w:rsidRDefault="0081062A">
            <w:pPr>
              <w:jc w:val="center"/>
              <w:rPr>
                <w:sz w:val="20"/>
                <w:szCs w:val="20"/>
              </w:rPr>
            </w:pPr>
            <w:r>
              <w:rPr>
                <w:sz w:val="20"/>
                <w:szCs w:val="20"/>
              </w:rPr>
              <w:t>20,000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A827A" w14:textId="77777777" w:rsidR="00714A9F" w:rsidRDefault="0081062A">
            <w:pPr>
              <w:spacing w:before="240" w:line="276" w:lineRule="auto"/>
              <w:jc w:val="both"/>
              <w:rPr>
                <w:sz w:val="20"/>
                <w:szCs w:val="20"/>
              </w:rPr>
            </w:pPr>
            <w:r>
              <w:rPr>
                <w:sz w:val="20"/>
                <w:szCs w:val="20"/>
              </w:rPr>
              <w:t>15-26 March (2 weeks)</w:t>
            </w:r>
          </w:p>
        </w:tc>
      </w:tr>
      <w:tr w:rsidR="00714A9F" w14:paraId="2CC18A0A" w14:textId="77777777">
        <w:tc>
          <w:tcPr>
            <w:tcW w:w="5305" w:type="dxa"/>
          </w:tcPr>
          <w:p w14:paraId="186D84D3" w14:textId="77777777" w:rsidR="00714A9F" w:rsidRDefault="0081062A">
            <w:pPr>
              <w:numPr>
                <w:ilvl w:val="0"/>
                <w:numId w:val="2"/>
              </w:numPr>
              <w:pBdr>
                <w:top w:val="nil"/>
                <w:left w:val="nil"/>
                <w:bottom w:val="nil"/>
                <w:right w:val="nil"/>
                <w:between w:val="nil"/>
              </w:pBdr>
              <w:spacing w:after="200" w:line="276" w:lineRule="auto"/>
              <w:jc w:val="both"/>
              <w:rPr>
                <w:color w:val="000000"/>
                <w:sz w:val="20"/>
                <w:szCs w:val="20"/>
              </w:rPr>
            </w:pPr>
            <w:r>
              <w:rPr>
                <w:color w:val="000000"/>
                <w:sz w:val="20"/>
                <w:szCs w:val="20"/>
              </w:rPr>
              <w:t>Follow up activities</w:t>
            </w:r>
          </w:p>
        </w:tc>
        <w:tc>
          <w:tcPr>
            <w:tcW w:w="1935" w:type="dxa"/>
          </w:tcPr>
          <w:p w14:paraId="3C8D50EB" w14:textId="77777777" w:rsidR="00714A9F" w:rsidRDefault="0081062A">
            <w:pPr>
              <w:jc w:val="center"/>
              <w:rPr>
                <w:sz w:val="20"/>
                <w:szCs w:val="20"/>
              </w:rPr>
            </w:pPr>
            <w:r>
              <w:rPr>
                <w:sz w:val="20"/>
                <w:szCs w:val="20"/>
              </w:rPr>
              <w:t>3,000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61F0A" w14:textId="77777777" w:rsidR="00714A9F" w:rsidRDefault="0081062A">
            <w:pPr>
              <w:spacing w:before="240" w:line="276" w:lineRule="auto"/>
              <w:jc w:val="both"/>
              <w:rPr>
                <w:sz w:val="20"/>
                <w:szCs w:val="20"/>
              </w:rPr>
            </w:pPr>
            <w:r>
              <w:rPr>
                <w:sz w:val="20"/>
                <w:szCs w:val="20"/>
              </w:rPr>
              <w:t>29-31 March (1 week)</w:t>
            </w:r>
          </w:p>
        </w:tc>
      </w:tr>
      <w:tr w:rsidR="00714A9F" w14:paraId="556AC7B6" w14:textId="77777777">
        <w:tc>
          <w:tcPr>
            <w:tcW w:w="5305" w:type="dxa"/>
          </w:tcPr>
          <w:p w14:paraId="17D97F72" w14:textId="77777777" w:rsidR="00714A9F" w:rsidRDefault="0081062A">
            <w:pPr>
              <w:numPr>
                <w:ilvl w:val="0"/>
                <w:numId w:val="2"/>
              </w:numPr>
              <w:pBdr>
                <w:top w:val="nil"/>
                <w:left w:val="nil"/>
                <w:bottom w:val="nil"/>
                <w:right w:val="nil"/>
                <w:between w:val="nil"/>
              </w:pBdr>
              <w:spacing w:after="200" w:line="276" w:lineRule="auto"/>
              <w:jc w:val="both"/>
              <w:rPr>
                <w:color w:val="000000"/>
                <w:sz w:val="20"/>
                <w:szCs w:val="20"/>
              </w:rPr>
            </w:pPr>
            <w:r>
              <w:rPr>
                <w:color w:val="000000"/>
                <w:sz w:val="20"/>
                <w:szCs w:val="20"/>
              </w:rPr>
              <w:t xml:space="preserve">Other </w:t>
            </w:r>
          </w:p>
        </w:tc>
        <w:tc>
          <w:tcPr>
            <w:tcW w:w="1935" w:type="dxa"/>
          </w:tcPr>
          <w:p w14:paraId="0DFAFBC7" w14:textId="77777777" w:rsidR="00714A9F" w:rsidRDefault="0081062A">
            <w:pPr>
              <w:jc w:val="center"/>
              <w:rPr>
                <w:sz w:val="20"/>
                <w:szCs w:val="20"/>
              </w:rPr>
            </w:pPr>
            <w:r>
              <w:rPr>
                <w:sz w:val="20"/>
                <w:szCs w:val="20"/>
              </w:rPr>
              <w:t>1,000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9C015" w14:textId="77777777" w:rsidR="00714A9F" w:rsidRDefault="0081062A">
            <w:pPr>
              <w:spacing w:before="240" w:line="276" w:lineRule="auto"/>
              <w:jc w:val="both"/>
              <w:rPr>
                <w:sz w:val="20"/>
                <w:szCs w:val="20"/>
              </w:rPr>
            </w:pPr>
            <w:r>
              <w:rPr>
                <w:sz w:val="20"/>
                <w:szCs w:val="20"/>
              </w:rPr>
              <w:t>-</w:t>
            </w:r>
          </w:p>
        </w:tc>
      </w:tr>
      <w:tr w:rsidR="00714A9F" w14:paraId="16ECC276" w14:textId="77777777">
        <w:trPr>
          <w:trHeight w:val="724"/>
        </w:trPr>
        <w:tc>
          <w:tcPr>
            <w:tcW w:w="5305" w:type="dxa"/>
          </w:tcPr>
          <w:p w14:paraId="7C7C621C" w14:textId="77777777" w:rsidR="00714A9F" w:rsidRDefault="0081062A">
            <w:pPr>
              <w:jc w:val="both"/>
              <w:rPr>
                <w:i/>
                <w:sz w:val="20"/>
                <w:szCs w:val="20"/>
              </w:rPr>
            </w:pPr>
            <w:r>
              <w:rPr>
                <w:i/>
                <w:sz w:val="20"/>
                <w:szCs w:val="20"/>
              </w:rPr>
              <w:t>Sub-total</w:t>
            </w:r>
          </w:p>
        </w:tc>
        <w:tc>
          <w:tcPr>
            <w:tcW w:w="1935" w:type="dxa"/>
          </w:tcPr>
          <w:p w14:paraId="4ACCD9F0" w14:textId="77777777" w:rsidR="00714A9F" w:rsidRDefault="0081062A">
            <w:pPr>
              <w:jc w:val="center"/>
              <w:rPr>
                <w:i/>
                <w:sz w:val="20"/>
                <w:szCs w:val="20"/>
              </w:rPr>
            </w:pPr>
            <w:r>
              <w:rPr>
                <w:i/>
                <w:sz w:val="20"/>
                <w:szCs w:val="20"/>
              </w:rPr>
              <w:t>30,000</w:t>
            </w:r>
          </w:p>
        </w:tc>
        <w:tc>
          <w:tcPr>
            <w:tcW w:w="2385" w:type="dxa"/>
          </w:tcPr>
          <w:p w14:paraId="2FD19924" w14:textId="77777777" w:rsidR="00714A9F" w:rsidRDefault="0081062A">
            <w:pPr>
              <w:jc w:val="both"/>
              <w:rPr>
                <w:i/>
                <w:sz w:val="20"/>
                <w:szCs w:val="20"/>
              </w:rPr>
            </w:pPr>
            <w:r>
              <w:rPr>
                <w:i/>
                <w:sz w:val="20"/>
                <w:szCs w:val="20"/>
              </w:rPr>
              <w:t>4-5 weeks, March</w:t>
            </w:r>
          </w:p>
        </w:tc>
      </w:tr>
      <w:tr w:rsidR="00714A9F" w14:paraId="136CD995" w14:textId="77777777">
        <w:tc>
          <w:tcPr>
            <w:tcW w:w="5305" w:type="dxa"/>
            <w:shd w:val="clear" w:color="auto" w:fill="EEECE1"/>
          </w:tcPr>
          <w:p w14:paraId="13ECEE2E" w14:textId="77777777" w:rsidR="00714A9F" w:rsidRDefault="0081062A">
            <w:pPr>
              <w:jc w:val="both"/>
              <w:rPr>
                <w:b/>
                <w:sz w:val="20"/>
                <w:szCs w:val="20"/>
              </w:rPr>
            </w:pPr>
            <w:r>
              <w:rPr>
                <w:b/>
                <w:sz w:val="20"/>
                <w:szCs w:val="20"/>
              </w:rPr>
              <w:t xml:space="preserve">Output 2 Situational Analysis </w:t>
            </w:r>
          </w:p>
        </w:tc>
        <w:tc>
          <w:tcPr>
            <w:tcW w:w="1935" w:type="dxa"/>
            <w:shd w:val="clear" w:color="auto" w:fill="EEECE1"/>
          </w:tcPr>
          <w:p w14:paraId="037A0EDD" w14:textId="77777777" w:rsidR="00714A9F" w:rsidRDefault="0081062A">
            <w:pPr>
              <w:jc w:val="both"/>
              <w:rPr>
                <w:b/>
                <w:sz w:val="20"/>
                <w:szCs w:val="20"/>
              </w:rPr>
            </w:pPr>
            <w:r>
              <w:rPr>
                <w:b/>
                <w:sz w:val="20"/>
                <w:szCs w:val="20"/>
              </w:rPr>
              <w:t>Estimated Cost</w:t>
            </w:r>
          </w:p>
        </w:tc>
        <w:tc>
          <w:tcPr>
            <w:tcW w:w="2385" w:type="dxa"/>
            <w:shd w:val="clear" w:color="auto" w:fill="EEECE1"/>
          </w:tcPr>
          <w:p w14:paraId="7C98F7F1" w14:textId="77777777" w:rsidR="00714A9F" w:rsidRDefault="0081062A">
            <w:pPr>
              <w:jc w:val="both"/>
              <w:rPr>
                <w:b/>
                <w:sz w:val="20"/>
                <w:szCs w:val="20"/>
              </w:rPr>
            </w:pPr>
            <w:r>
              <w:rPr>
                <w:b/>
                <w:sz w:val="20"/>
                <w:szCs w:val="20"/>
              </w:rPr>
              <w:t>Estimated Timeline</w:t>
            </w:r>
          </w:p>
        </w:tc>
      </w:tr>
      <w:tr w:rsidR="00714A9F" w14:paraId="2788CCBB" w14:textId="77777777">
        <w:tc>
          <w:tcPr>
            <w:tcW w:w="5305" w:type="dxa"/>
          </w:tcPr>
          <w:p w14:paraId="51E3D483" w14:textId="77777777" w:rsidR="00714A9F" w:rsidRDefault="0081062A">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lastRenderedPageBreak/>
              <w:t xml:space="preserve">Coordination of activities </w:t>
            </w:r>
          </w:p>
        </w:tc>
        <w:tc>
          <w:tcPr>
            <w:tcW w:w="1935" w:type="dxa"/>
          </w:tcPr>
          <w:p w14:paraId="2C5C85F3" w14:textId="77777777" w:rsidR="00714A9F" w:rsidRDefault="0081062A">
            <w:pPr>
              <w:jc w:val="center"/>
              <w:rPr>
                <w:sz w:val="20"/>
                <w:szCs w:val="20"/>
              </w:rPr>
            </w:pPr>
            <w:r>
              <w:rPr>
                <w:sz w:val="20"/>
                <w:szCs w:val="20"/>
              </w:rPr>
              <w:t>1,000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8561" w14:textId="77777777" w:rsidR="00714A9F" w:rsidRDefault="0081062A">
            <w:pPr>
              <w:spacing w:before="240" w:line="276" w:lineRule="auto"/>
              <w:jc w:val="both"/>
              <w:rPr>
                <w:sz w:val="20"/>
                <w:szCs w:val="20"/>
              </w:rPr>
            </w:pPr>
            <w:r>
              <w:rPr>
                <w:sz w:val="20"/>
                <w:szCs w:val="20"/>
              </w:rPr>
              <w:t>1-8 April (1 week)</w:t>
            </w:r>
          </w:p>
        </w:tc>
      </w:tr>
      <w:tr w:rsidR="00714A9F" w14:paraId="5898276D" w14:textId="77777777">
        <w:tc>
          <w:tcPr>
            <w:tcW w:w="5305" w:type="dxa"/>
          </w:tcPr>
          <w:p w14:paraId="4622EA64" w14:textId="77777777" w:rsidR="00714A9F" w:rsidRDefault="0081062A">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t xml:space="preserve">Consultations with stakeholders </w:t>
            </w:r>
          </w:p>
        </w:tc>
        <w:tc>
          <w:tcPr>
            <w:tcW w:w="1935" w:type="dxa"/>
          </w:tcPr>
          <w:p w14:paraId="4486CA9B" w14:textId="77777777" w:rsidR="00714A9F" w:rsidRDefault="0081062A">
            <w:pPr>
              <w:jc w:val="center"/>
              <w:rPr>
                <w:sz w:val="20"/>
                <w:szCs w:val="20"/>
              </w:rPr>
            </w:pPr>
            <w:r>
              <w:rPr>
                <w:sz w:val="20"/>
                <w:szCs w:val="20"/>
              </w:rPr>
              <w:t>10,000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1772B4" w14:textId="77777777" w:rsidR="00714A9F" w:rsidRDefault="0081062A">
            <w:pPr>
              <w:spacing w:before="240" w:line="276" w:lineRule="auto"/>
              <w:jc w:val="both"/>
              <w:rPr>
                <w:sz w:val="20"/>
                <w:szCs w:val="20"/>
              </w:rPr>
            </w:pPr>
            <w:r>
              <w:rPr>
                <w:sz w:val="20"/>
                <w:szCs w:val="20"/>
              </w:rPr>
              <w:t>9-16 April (1 week)</w:t>
            </w:r>
          </w:p>
        </w:tc>
      </w:tr>
      <w:tr w:rsidR="00714A9F" w14:paraId="37BD34EC" w14:textId="77777777">
        <w:tc>
          <w:tcPr>
            <w:tcW w:w="5305" w:type="dxa"/>
          </w:tcPr>
          <w:p w14:paraId="602D57BD" w14:textId="77777777" w:rsidR="00714A9F" w:rsidRDefault="0081062A">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t>Collection and analysis of data</w:t>
            </w:r>
          </w:p>
        </w:tc>
        <w:tc>
          <w:tcPr>
            <w:tcW w:w="1935" w:type="dxa"/>
          </w:tcPr>
          <w:p w14:paraId="468BE805" w14:textId="77777777" w:rsidR="00714A9F" w:rsidRDefault="0081062A">
            <w:pPr>
              <w:jc w:val="center"/>
              <w:rPr>
                <w:sz w:val="20"/>
                <w:szCs w:val="20"/>
              </w:rPr>
            </w:pPr>
            <w:r>
              <w:rPr>
                <w:sz w:val="20"/>
                <w:szCs w:val="20"/>
              </w:rPr>
              <w:t>33,000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0D30C" w14:textId="77777777" w:rsidR="00714A9F" w:rsidRDefault="0081062A">
            <w:pPr>
              <w:spacing w:before="240" w:line="276" w:lineRule="auto"/>
              <w:jc w:val="both"/>
              <w:rPr>
                <w:sz w:val="20"/>
                <w:szCs w:val="20"/>
              </w:rPr>
            </w:pPr>
            <w:r>
              <w:rPr>
                <w:sz w:val="20"/>
                <w:szCs w:val="20"/>
              </w:rPr>
              <w:t>19 April -8 May (3 weeks)</w:t>
            </w:r>
          </w:p>
        </w:tc>
      </w:tr>
      <w:tr w:rsidR="00714A9F" w14:paraId="251191A9" w14:textId="77777777">
        <w:tc>
          <w:tcPr>
            <w:tcW w:w="5305" w:type="dxa"/>
          </w:tcPr>
          <w:p w14:paraId="70A41919" w14:textId="77777777" w:rsidR="00714A9F" w:rsidRDefault="0081062A">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t>Draft of the situational analysis report</w:t>
            </w:r>
          </w:p>
        </w:tc>
        <w:tc>
          <w:tcPr>
            <w:tcW w:w="1935" w:type="dxa"/>
          </w:tcPr>
          <w:p w14:paraId="6263DABA" w14:textId="77777777" w:rsidR="00714A9F" w:rsidRDefault="0081062A">
            <w:pPr>
              <w:jc w:val="center"/>
              <w:rPr>
                <w:sz w:val="20"/>
                <w:szCs w:val="20"/>
              </w:rPr>
            </w:pPr>
            <w:r>
              <w:rPr>
                <w:sz w:val="20"/>
                <w:szCs w:val="20"/>
              </w:rPr>
              <w:t>6,000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AFB25" w14:textId="77777777" w:rsidR="00714A9F" w:rsidRDefault="0081062A">
            <w:pPr>
              <w:spacing w:before="240" w:line="276" w:lineRule="auto"/>
              <w:jc w:val="both"/>
              <w:rPr>
                <w:sz w:val="20"/>
                <w:szCs w:val="20"/>
              </w:rPr>
            </w:pPr>
            <w:r>
              <w:rPr>
                <w:sz w:val="20"/>
                <w:szCs w:val="20"/>
              </w:rPr>
              <w:t>10-22 May (2 weeks)</w:t>
            </w:r>
          </w:p>
        </w:tc>
      </w:tr>
      <w:tr w:rsidR="00714A9F" w14:paraId="7B59E390" w14:textId="77777777">
        <w:tc>
          <w:tcPr>
            <w:tcW w:w="5305" w:type="dxa"/>
          </w:tcPr>
          <w:p w14:paraId="2E0DC45B" w14:textId="77777777" w:rsidR="00714A9F" w:rsidRDefault="0081062A">
            <w:pPr>
              <w:jc w:val="both"/>
              <w:rPr>
                <w:i/>
                <w:sz w:val="20"/>
                <w:szCs w:val="20"/>
              </w:rPr>
            </w:pPr>
            <w:r>
              <w:rPr>
                <w:i/>
                <w:sz w:val="20"/>
                <w:szCs w:val="20"/>
              </w:rPr>
              <w:t>Sub-total</w:t>
            </w:r>
          </w:p>
        </w:tc>
        <w:tc>
          <w:tcPr>
            <w:tcW w:w="1935" w:type="dxa"/>
          </w:tcPr>
          <w:p w14:paraId="6132A73B" w14:textId="77777777" w:rsidR="00714A9F" w:rsidRDefault="0081062A">
            <w:pPr>
              <w:jc w:val="center"/>
              <w:rPr>
                <w:i/>
                <w:sz w:val="20"/>
                <w:szCs w:val="20"/>
              </w:rPr>
            </w:pPr>
            <w:r>
              <w:rPr>
                <w:i/>
                <w:sz w:val="20"/>
                <w:szCs w:val="20"/>
              </w:rPr>
              <w:t>50,000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669E8" w14:textId="77777777" w:rsidR="00714A9F" w:rsidRDefault="0081062A">
            <w:pPr>
              <w:spacing w:before="240" w:line="276" w:lineRule="auto"/>
              <w:jc w:val="both"/>
              <w:rPr>
                <w:i/>
                <w:sz w:val="20"/>
                <w:szCs w:val="20"/>
              </w:rPr>
            </w:pPr>
            <w:r>
              <w:rPr>
                <w:i/>
                <w:sz w:val="20"/>
                <w:szCs w:val="20"/>
              </w:rPr>
              <w:t>7-8 weeks, April-May</w:t>
            </w:r>
          </w:p>
        </w:tc>
      </w:tr>
      <w:tr w:rsidR="00714A9F" w14:paraId="71D0C4AB" w14:textId="77777777">
        <w:tc>
          <w:tcPr>
            <w:tcW w:w="5305" w:type="dxa"/>
            <w:shd w:val="clear" w:color="auto" w:fill="EEECE1"/>
          </w:tcPr>
          <w:p w14:paraId="427BF5F0" w14:textId="77777777" w:rsidR="00714A9F" w:rsidRDefault="0081062A">
            <w:pPr>
              <w:jc w:val="both"/>
              <w:rPr>
                <w:b/>
                <w:sz w:val="20"/>
                <w:szCs w:val="20"/>
              </w:rPr>
            </w:pPr>
            <w:r>
              <w:rPr>
                <w:b/>
                <w:sz w:val="20"/>
                <w:szCs w:val="20"/>
              </w:rPr>
              <w:t>Output 3 Full Proposal</w:t>
            </w:r>
          </w:p>
        </w:tc>
        <w:tc>
          <w:tcPr>
            <w:tcW w:w="1935" w:type="dxa"/>
            <w:shd w:val="clear" w:color="auto" w:fill="EEECE1"/>
          </w:tcPr>
          <w:p w14:paraId="2896BDF3" w14:textId="77777777" w:rsidR="00714A9F" w:rsidRDefault="0081062A">
            <w:pPr>
              <w:jc w:val="both"/>
              <w:rPr>
                <w:b/>
                <w:sz w:val="20"/>
                <w:szCs w:val="20"/>
              </w:rPr>
            </w:pPr>
            <w:r>
              <w:rPr>
                <w:b/>
                <w:sz w:val="20"/>
                <w:szCs w:val="20"/>
              </w:rPr>
              <w:t>Estimated Cost</w:t>
            </w:r>
          </w:p>
        </w:tc>
        <w:tc>
          <w:tcPr>
            <w:tcW w:w="2385" w:type="dxa"/>
            <w:shd w:val="clear" w:color="auto" w:fill="EEECE1"/>
          </w:tcPr>
          <w:p w14:paraId="3A01CAE0" w14:textId="77777777" w:rsidR="00714A9F" w:rsidRDefault="0081062A">
            <w:pPr>
              <w:jc w:val="both"/>
              <w:rPr>
                <w:b/>
                <w:sz w:val="20"/>
                <w:szCs w:val="20"/>
              </w:rPr>
            </w:pPr>
            <w:r>
              <w:rPr>
                <w:b/>
                <w:sz w:val="20"/>
                <w:szCs w:val="20"/>
              </w:rPr>
              <w:t>Estimated Timeline</w:t>
            </w:r>
          </w:p>
        </w:tc>
      </w:tr>
      <w:tr w:rsidR="00714A9F" w14:paraId="051FF17C" w14:textId="77777777">
        <w:tc>
          <w:tcPr>
            <w:tcW w:w="5305" w:type="dxa"/>
          </w:tcPr>
          <w:p w14:paraId="7115D765" w14:textId="77777777" w:rsidR="00714A9F" w:rsidRDefault="0081062A">
            <w:pPr>
              <w:numPr>
                <w:ilvl w:val="0"/>
                <w:numId w:val="4"/>
              </w:numPr>
              <w:pBdr>
                <w:top w:val="nil"/>
                <w:left w:val="nil"/>
                <w:bottom w:val="nil"/>
                <w:right w:val="nil"/>
                <w:between w:val="nil"/>
              </w:pBdr>
              <w:spacing w:after="200" w:line="276" w:lineRule="auto"/>
              <w:jc w:val="both"/>
              <w:rPr>
                <w:color w:val="000000"/>
                <w:sz w:val="20"/>
                <w:szCs w:val="20"/>
              </w:rPr>
            </w:pPr>
            <w:r>
              <w:rPr>
                <w:color w:val="000000"/>
                <w:sz w:val="20"/>
                <w:szCs w:val="20"/>
              </w:rPr>
              <w:t xml:space="preserve">Consultations with stakeholders </w:t>
            </w:r>
          </w:p>
        </w:tc>
        <w:tc>
          <w:tcPr>
            <w:tcW w:w="1935" w:type="dxa"/>
          </w:tcPr>
          <w:p w14:paraId="6DF52085" w14:textId="77777777" w:rsidR="00714A9F" w:rsidRDefault="0081062A">
            <w:pPr>
              <w:jc w:val="center"/>
              <w:rPr>
                <w:sz w:val="20"/>
                <w:szCs w:val="20"/>
              </w:rPr>
            </w:pPr>
            <w:r>
              <w:rPr>
                <w:sz w:val="20"/>
                <w:szCs w:val="20"/>
              </w:rPr>
              <w:t>12,000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7EA2" w14:textId="77777777" w:rsidR="00714A9F" w:rsidRDefault="0081062A">
            <w:pPr>
              <w:spacing w:before="240" w:line="276" w:lineRule="auto"/>
              <w:jc w:val="both"/>
              <w:rPr>
                <w:sz w:val="20"/>
                <w:szCs w:val="20"/>
              </w:rPr>
            </w:pPr>
            <w:r>
              <w:rPr>
                <w:sz w:val="20"/>
                <w:szCs w:val="20"/>
              </w:rPr>
              <w:t>24-29 May (1 week)</w:t>
            </w:r>
          </w:p>
        </w:tc>
      </w:tr>
      <w:tr w:rsidR="00714A9F" w14:paraId="2996518B" w14:textId="77777777">
        <w:tc>
          <w:tcPr>
            <w:tcW w:w="5305" w:type="dxa"/>
          </w:tcPr>
          <w:p w14:paraId="357FD36D" w14:textId="77777777" w:rsidR="00714A9F" w:rsidRDefault="0081062A">
            <w:pPr>
              <w:numPr>
                <w:ilvl w:val="0"/>
                <w:numId w:val="4"/>
              </w:numPr>
              <w:pBdr>
                <w:top w:val="nil"/>
                <w:left w:val="nil"/>
                <w:bottom w:val="nil"/>
                <w:right w:val="nil"/>
                <w:between w:val="nil"/>
              </w:pBdr>
              <w:spacing w:after="200" w:line="276" w:lineRule="auto"/>
              <w:jc w:val="both"/>
              <w:rPr>
                <w:color w:val="000000"/>
                <w:sz w:val="20"/>
                <w:szCs w:val="20"/>
              </w:rPr>
            </w:pPr>
            <w:r>
              <w:rPr>
                <w:color w:val="000000"/>
                <w:sz w:val="20"/>
                <w:szCs w:val="20"/>
              </w:rPr>
              <w:t>Development of proposal</w:t>
            </w:r>
          </w:p>
        </w:tc>
        <w:tc>
          <w:tcPr>
            <w:tcW w:w="1935" w:type="dxa"/>
          </w:tcPr>
          <w:p w14:paraId="03DECAFA" w14:textId="77777777" w:rsidR="00714A9F" w:rsidRDefault="0081062A">
            <w:pPr>
              <w:jc w:val="center"/>
              <w:rPr>
                <w:sz w:val="20"/>
                <w:szCs w:val="20"/>
              </w:rPr>
            </w:pPr>
            <w:r>
              <w:rPr>
                <w:sz w:val="20"/>
                <w:szCs w:val="20"/>
              </w:rPr>
              <w:t>4,000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D8C26" w14:textId="77777777" w:rsidR="00714A9F" w:rsidRDefault="0081062A">
            <w:pPr>
              <w:spacing w:before="240" w:line="276" w:lineRule="auto"/>
              <w:jc w:val="both"/>
              <w:rPr>
                <w:sz w:val="20"/>
                <w:szCs w:val="20"/>
              </w:rPr>
            </w:pPr>
            <w:r>
              <w:rPr>
                <w:sz w:val="20"/>
                <w:szCs w:val="20"/>
              </w:rPr>
              <w:t>24 May-5 June (2 weeks)</w:t>
            </w:r>
          </w:p>
        </w:tc>
      </w:tr>
      <w:tr w:rsidR="00714A9F" w14:paraId="339A218E" w14:textId="77777777">
        <w:tc>
          <w:tcPr>
            <w:tcW w:w="5305" w:type="dxa"/>
          </w:tcPr>
          <w:p w14:paraId="06C2FCC5" w14:textId="77777777" w:rsidR="00714A9F" w:rsidRDefault="0081062A">
            <w:pPr>
              <w:numPr>
                <w:ilvl w:val="0"/>
                <w:numId w:val="4"/>
              </w:numPr>
              <w:pBdr>
                <w:top w:val="nil"/>
                <w:left w:val="nil"/>
                <w:bottom w:val="nil"/>
                <w:right w:val="nil"/>
                <w:between w:val="nil"/>
              </w:pBdr>
              <w:spacing w:after="200" w:line="276" w:lineRule="auto"/>
              <w:jc w:val="both"/>
              <w:rPr>
                <w:color w:val="000000"/>
                <w:sz w:val="20"/>
                <w:szCs w:val="20"/>
              </w:rPr>
            </w:pPr>
            <w:r>
              <w:rPr>
                <w:color w:val="000000"/>
                <w:sz w:val="20"/>
                <w:szCs w:val="20"/>
              </w:rPr>
              <w:t>M&amp;E planning</w:t>
            </w:r>
          </w:p>
        </w:tc>
        <w:tc>
          <w:tcPr>
            <w:tcW w:w="1935" w:type="dxa"/>
          </w:tcPr>
          <w:p w14:paraId="0167B8AF" w14:textId="77777777" w:rsidR="00714A9F" w:rsidRDefault="0081062A">
            <w:pPr>
              <w:jc w:val="center"/>
              <w:rPr>
                <w:sz w:val="20"/>
                <w:szCs w:val="20"/>
              </w:rPr>
            </w:pPr>
            <w:r>
              <w:rPr>
                <w:sz w:val="20"/>
                <w:szCs w:val="20"/>
              </w:rPr>
              <w:t>4,000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4BE03" w14:textId="77777777" w:rsidR="00714A9F" w:rsidRDefault="0081062A">
            <w:pPr>
              <w:spacing w:before="240" w:line="276" w:lineRule="auto"/>
              <w:jc w:val="both"/>
              <w:rPr>
                <w:sz w:val="20"/>
                <w:szCs w:val="20"/>
              </w:rPr>
            </w:pPr>
            <w:r>
              <w:rPr>
                <w:sz w:val="20"/>
                <w:szCs w:val="20"/>
              </w:rPr>
              <w:t>7-12 June (1 week)</w:t>
            </w:r>
          </w:p>
        </w:tc>
      </w:tr>
      <w:tr w:rsidR="00714A9F" w14:paraId="6937E775" w14:textId="77777777">
        <w:tc>
          <w:tcPr>
            <w:tcW w:w="5305" w:type="dxa"/>
          </w:tcPr>
          <w:p w14:paraId="3B0606DC" w14:textId="77777777" w:rsidR="00714A9F" w:rsidRDefault="0081062A">
            <w:pPr>
              <w:jc w:val="both"/>
              <w:rPr>
                <w:i/>
                <w:sz w:val="20"/>
                <w:szCs w:val="20"/>
              </w:rPr>
            </w:pPr>
            <w:r>
              <w:rPr>
                <w:i/>
                <w:sz w:val="20"/>
                <w:szCs w:val="20"/>
              </w:rPr>
              <w:t>Sub-total</w:t>
            </w:r>
          </w:p>
        </w:tc>
        <w:tc>
          <w:tcPr>
            <w:tcW w:w="1935" w:type="dxa"/>
          </w:tcPr>
          <w:p w14:paraId="7141EEF0" w14:textId="77777777" w:rsidR="00714A9F" w:rsidRDefault="0081062A">
            <w:pPr>
              <w:jc w:val="center"/>
              <w:rPr>
                <w:i/>
                <w:sz w:val="20"/>
                <w:szCs w:val="20"/>
              </w:rPr>
            </w:pPr>
            <w:r>
              <w:rPr>
                <w:i/>
                <w:sz w:val="20"/>
                <w:szCs w:val="20"/>
              </w:rPr>
              <w:t>20,000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85A96" w14:textId="77777777" w:rsidR="00714A9F" w:rsidRDefault="0081062A">
            <w:pPr>
              <w:spacing w:before="240" w:line="276" w:lineRule="auto"/>
              <w:jc w:val="both"/>
              <w:rPr>
                <w:i/>
                <w:sz w:val="20"/>
                <w:szCs w:val="20"/>
              </w:rPr>
            </w:pPr>
            <w:r>
              <w:rPr>
                <w:i/>
                <w:sz w:val="20"/>
                <w:szCs w:val="20"/>
              </w:rPr>
              <w:t>3 weeks- May-June</w:t>
            </w:r>
          </w:p>
        </w:tc>
      </w:tr>
      <w:tr w:rsidR="00714A9F" w14:paraId="53E31111" w14:textId="77777777">
        <w:tc>
          <w:tcPr>
            <w:tcW w:w="5305" w:type="dxa"/>
          </w:tcPr>
          <w:p w14:paraId="20B771D6" w14:textId="77777777" w:rsidR="00714A9F" w:rsidRDefault="0081062A">
            <w:pPr>
              <w:jc w:val="both"/>
              <w:rPr>
                <w:b/>
                <w:i/>
                <w:sz w:val="20"/>
                <w:szCs w:val="20"/>
              </w:rPr>
            </w:pPr>
            <w:r>
              <w:rPr>
                <w:b/>
                <w:i/>
                <w:sz w:val="20"/>
                <w:szCs w:val="20"/>
              </w:rPr>
              <w:t>Total</w:t>
            </w:r>
          </w:p>
        </w:tc>
        <w:tc>
          <w:tcPr>
            <w:tcW w:w="1935" w:type="dxa"/>
          </w:tcPr>
          <w:p w14:paraId="3896DBA9" w14:textId="77777777" w:rsidR="00714A9F" w:rsidRDefault="0081062A">
            <w:pPr>
              <w:jc w:val="center"/>
              <w:rPr>
                <w:b/>
                <w:i/>
                <w:sz w:val="20"/>
                <w:szCs w:val="20"/>
              </w:rPr>
            </w:pPr>
            <w:r>
              <w:rPr>
                <w:b/>
                <w:i/>
                <w:sz w:val="20"/>
                <w:szCs w:val="20"/>
              </w:rPr>
              <w:t>100,000</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5AFB9" w14:textId="77777777" w:rsidR="00714A9F" w:rsidRDefault="0081062A">
            <w:pPr>
              <w:spacing w:before="240" w:line="276" w:lineRule="auto"/>
              <w:jc w:val="both"/>
              <w:rPr>
                <w:b/>
                <w:i/>
                <w:sz w:val="20"/>
                <w:szCs w:val="20"/>
              </w:rPr>
            </w:pPr>
            <w:r>
              <w:rPr>
                <w:b/>
                <w:i/>
                <w:sz w:val="20"/>
                <w:szCs w:val="20"/>
              </w:rPr>
              <w:t>March-June (15 weeks)</w:t>
            </w:r>
          </w:p>
        </w:tc>
      </w:tr>
    </w:tbl>
    <w:p w14:paraId="4912903E" w14:textId="77777777" w:rsidR="00714A9F" w:rsidRDefault="00714A9F">
      <w:pPr>
        <w:spacing w:after="0" w:line="240" w:lineRule="auto"/>
        <w:jc w:val="both"/>
        <w:rPr>
          <w:b/>
          <w:sz w:val="20"/>
          <w:szCs w:val="20"/>
        </w:rPr>
      </w:pPr>
    </w:p>
    <w:p w14:paraId="683476E8" w14:textId="77777777" w:rsidR="00714A9F" w:rsidRDefault="00714A9F">
      <w:pPr>
        <w:spacing w:after="0" w:line="240" w:lineRule="auto"/>
        <w:jc w:val="both"/>
        <w:rPr>
          <w:b/>
          <w:sz w:val="20"/>
          <w:szCs w:val="20"/>
        </w:rPr>
      </w:pPr>
    </w:p>
    <w:p w14:paraId="3FC2A10F" w14:textId="77777777" w:rsidR="00714A9F" w:rsidRDefault="00714A9F">
      <w:pPr>
        <w:spacing w:after="0" w:line="240" w:lineRule="auto"/>
        <w:jc w:val="both"/>
        <w:rPr>
          <w:b/>
          <w:sz w:val="20"/>
          <w:szCs w:val="20"/>
        </w:rPr>
      </w:pPr>
    </w:p>
    <w:sectPr w:rsidR="00714A9F">
      <w:headerReference w:type="default" r:id="rId7"/>
      <w:pgSz w:w="11900" w:h="16840"/>
      <w:pgMar w:top="1170" w:right="1440" w:bottom="171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0234" w14:textId="77777777" w:rsidR="00912D2B" w:rsidRDefault="00912D2B">
      <w:pPr>
        <w:spacing w:after="0" w:line="240" w:lineRule="auto"/>
      </w:pPr>
      <w:r>
        <w:separator/>
      </w:r>
    </w:p>
  </w:endnote>
  <w:endnote w:type="continuationSeparator" w:id="0">
    <w:p w14:paraId="3226E19E" w14:textId="77777777" w:rsidR="00912D2B" w:rsidRDefault="0091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㐱}"/>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2C1D" w14:textId="77777777" w:rsidR="00912D2B" w:rsidRDefault="00912D2B">
      <w:pPr>
        <w:spacing w:after="0" w:line="240" w:lineRule="auto"/>
      </w:pPr>
      <w:r>
        <w:separator/>
      </w:r>
    </w:p>
  </w:footnote>
  <w:footnote w:type="continuationSeparator" w:id="0">
    <w:p w14:paraId="2B3869FA" w14:textId="77777777" w:rsidR="00912D2B" w:rsidRDefault="00912D2B">
      <w:pPr>
        <w:spacing w:after="0" w:line="240" w:lineRule="auto"/>
      </w:pPr>
      <w:r>
        <w:continuationSeparator/>
      </w:r>
    </w:p>
  </w:footnote>
  <w:footnote w:id="1">
    <w:p w14:paraId="65CFB212" w14:textId="77777777" w:rsidR="00714A9F" w:rsidRDefault="008106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Budget for this phase is 100.000. If your country has received funds under the COVID 19 call the budget should be 70,000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76A9" w14:textId="77777777" w:rsidR="00714A9F" w:rsidRDefault="0081062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B750CFF" wp14:editId="24803721">
          <wp:extent cx="3788664" cy="935736"/>
          <wp:effectExtent l="0" t="0" r="0" b="0"/>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3788664" cy="9357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95F"/>
    <w:multiLevelType w:val="multilevel"/>
    <w:tmpl w:val="9664F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65B89"/>
    <w:multiLevelType w:val="multilevel"/>
    <w:tmpl w:val="B65A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743FF8"/>
    <w:multiLevelType w:val="multilevel"/>
    <w:tmpl w:val="B6C05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44C29"/>
    <w:multiLevelType w:val="multilevel"/>
    <w:tmpl w:val="F22654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9F"/>
    <w:rsid w:val="00034ED3"/>
    <w:rsid w:val="003E61A8"/>
    <w:rsid w:val="004E3EF8"/>
    <w:rsid w:val="00577734"/>
    <w:rsid w:val="005D71C9"/>
    <w:rsid w:val="00663D93"/>
    <w:rsid w:val="00714A9F"/>
    <w:rsid w:val="0081062A"/>
    <w:rsid w:val="00901C0C"/>
    <w:rsid w:val="00912D2B"/>
    <w:rsid w:val="00A456C0"/>
    <w:rsid w:val="00B177A4"/>
    <w:rsid w:val="00E349F5"/>
    <w:rsid w:val="00FB35C8"/>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decimalSymbol w:val=","/>
  <w:listSeparator w:val=","/>
  <w14:docId w14:val="65BAF593"/>
  <w15:docId w15:val="{D0931AF8-42C1-6140-83E3-C54E97A1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3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D3"/>
  </w:style>
  <w:style w:type="paragraph" w:styleId="Footer">
    <w:name w:val="footer"/>
    <w:basedOn w:val="Normal"/>
    <w:link w:val="FooterChar"/>
    <w:uiPriority w:val="99"/>
    <w:unhideWhenUsed/>
    <w:rsid w:val="0003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MPTF_00068_00056</ProjectId>
    <FundCode xmlns="f9695bc1-6109-4dcd-a27a-f8a0370b00e2">MPTF_00068</FundCode>
    <Comments xmlns="f9695bc1-6109-4dcd-a27a-f8a0370b00e2" xsi:nil="true"/>
    <Active xmlns="f9695bc1-6109-4dcd-a27a-f8a0370b00e2">Yes</Active>
    <DocumentDate xmlns="b1528a4b-5ccb-40f7-a09e-43427183cd95">2021-02-24T08:00:00+00:00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F9DAA7D7-B876-46D6-9BDB-42646B264F61}"/>
</file>

<file path=customXml/itemProps2.xml><?xml version="1.0" encoding="utf-8"?>
<ds:datastoreItem xmlns:ds="http://schemas.openxmlformats.org/officeDocument/2006/customXml" ds:itemID="{450B2787-8FD6-4D2C-8D94-D20646B54484}"/>
</file>

<file path=customXml/itemProps3.xml><?xml version="1.0" encoding="utf-8"?>
<ds:datastoreItem xmlns:ds="http://schemas.openxmlformats.org/officeDocument/2006/customXml" ds:itemID="{0D2F74FC-7644-40F6-88A5-918AE6730FB2}"/>
</file>

<file path=docProps/app.xml><?xml version="1.0" encoding="utf-8"?>
<Properties xmlns="http://schemas.openxmlformats.org/officeDocument/2006/extended-properties" xmlns:vt="http://schemas.openxmlformats.org/officeDocument/2006/docPropsVTypes">
  <Template>Normal.dotm</Template>
  <TotalTime>19</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MPTF - Inception phase R4_Armenia.docx[36].docx</dc:title>
  <cp:lastModifiedBy>Arevik Anapiosyan</cp:lastModifiedBy>
  <cp:revision>8</cp:revision>
  <dcterms:created xsi:type="dcterms:W3CDTF">2021-01-15T12:20:00Z</dcterms:created>
  <dcterms:modified xsi:type="dcterms:W3CDTF">2021-01-22T15:25:00Z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