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23" w:rsidRDefault="000C5AD1" w:rsidP="00B92F99">
      <w:pPr>
        <w:pStyle w:val="Title"/>
        <w:spacing w:line="276" w:lineRule="auto"/>
        <w:ind w:left="7920" w:firstLine="720"/>
        <w:jc w:val="left"/>
        <w:rPr>
          <w:sz w:val="22"/>
          <w:lang w:val="en-GB"/>
        </w:rPr>
      </w:pPr>
      <w:r>
        <w:rPr>
          <w:sz w:val="22"/>
          <w:lang w:val="en-GB"/>
        </w:rPr>
        <w:t>A</w:t>
      </w:r>
      <w:r w:rsidR="00846B23" w:rsidRPr="00846B23">
        <w:rPr>
          <w:sz w:val="22"/>
          <w:lang w:val="en-GB"/>
        </w:rPr>
        <w:t xml:space="preserve">NNEX </w:t>
      </w:r>
      <w:r w:rsidR="004B00EE">
        <w:rPr>
          <w:sz w:val="22"/>
          <w:lang w:val="en-GB"/>
        </w:rPr>
        <w:t>4</w:t>
      </w:r>
    </w:p>
    <w:p w:rsidR="000C5AD1" w:rsidRPr="00846B23" w:rsidRDefault="000C5AD1" w:rsidP="00846B23">
      <w:pPr>
        <w:pStyle w:val="Title"/>
        <w:spacing w:line="276" w:lineRule="auto"/>
        <w:ind w:left="7920"/>
        <w:jc w:val="left"/>
        <w:rPr>
          <w:sz w:val="22"/>
          <w:lang w:val="en-GB"/>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5A3FB3" w:rsidRPr="005A3FB3" w:rsidTr="00853A76">
        <w:trPr>
          <w:trHeight w:val="1098"/>
        </w:trPr>
        <w:tc>
          <w:tcPr>
            <w:tcW w:w="20" w:type="dxa"/>
            <w:vAlign w:val="bottom"/>
          </w:tcPr>
          <w:p w:rsidR="005A3FB3" w:rsidRPr="005A3FB3" w:rsidRDefault="005A3FB3" w:rsidP="005A3FB3">
            <w:pPr>
              <w:pStyle w:val="UN-00Logosoncoveralignedleft"/>
              <w:spacing w:line="276" w:lineRule="auto"/>
              <w:rPr>
                <w:sz w:val="24"/>
                <w:szCs w:val="24"/>
                <w:highlight w:val="yellow"/>
              </w:rPr>
            </w:pPr>
          </w:p>
        </w:tc>
        <w:tc>
          <w:tcPr>
            <w:tcW w:w="5650" w:type="dxa"/>
            <w:vAlign w:val="bottom"/>
          </w:tcPr>
          <w:p w:rsidR="005A3FB3" w:rsidRPr="0012646E" w:rsidRDefault="005A3FB3" w:rsidP="001264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12646E" w:rsidRPr="005A3FB3" w:rsidRDefault="0012646E" w:rsidP="0012646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 w:val="60"/>
                <w:szCs w:val="60"/>
                <w:highlight w:val="yellow"/>
              </w:rPr>
            </w:pPr>
            <w:r w:rsidRPr="0012646E">
              <w:rPr>
                <w:spacing w:val="-3"/>
                <w:sz w:val="52"/>
                <w:szCs w:val="52"/>
                <w:lang w:val="en-US"/>
              </w:rPr>
              <w:t>Multi-Partner Trust Fund</w:t>
            </w:r>
          </w:p>
        </w:tc>
        <w:tc>
          <w:tcPr>
            <w:tcW w:w="2997" w:type="dxa"/>
            <w:vAlign w:val="bottom"/>
          </w:tcPr>
          <w:p w:rsidR="005A3FB3" w:rsidRPr="005A3FB3" w:rsidRDefault="00E64D9B" w:rsidP="005A3FB3">
            <w:pPr>
              <w:pStyle w:val="UN-00Logosoncoveralignedright"/>
              <w:spacing w:line="276" w:lineRule="auto"/>
              <w:jc w:val="center"/>
              <w:rPr>
                <w:sz w:val="24"/>
                <w:szCs w:val="24"/>
                <w:highlight w:val="yellow"/>
              </w:rPr>
            </w:pPr>
            <w:r>
              <w:rPr>
                <w:noProof/>
                <w:sz w:val="24"/>
                <w:szCs w:val="24"/>
              </w:rPr>
              <w:drawing>
                <wp:inline distT="0" distB="0" distL="0" distR="0" wp14:anchorId="5A3B191D" wp14:editId="283F5011">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846B23" w:rsidRPr="00846B23" w:rsidRDefault="00846B23" w:rsidP="00846B23">
      <w:pPr>
        <w:pStyle w:val="Title"/>
        <w:spacing w:line="276" w:lineRule="auto"/>
        <w:ind w:left="7920"/>
        <w:jc w:val="left"/>
        <w:rPr>
          <w:sz w:val="22"/>
          <w:lang w:val="en-GB"/>
        </w:rPr>
      </w:pPr>
    </w:p>
    <w:p w:rsidR="00846B23" w:rsidRPr="005A3FB3" w:rsidRDefault="00846B23" w:rsidP="00846B23">
      <w:pPr>
        <w:tabs>
          <w:tab w:val="left" w:pos="-720"/>
          <w:tab w:val="left" w:pos="0"/>
          <w:tab w:val="left" w:pos="4500"/>
        </w:tabs>
        <w:suppressAutoHyphens/>
        <w:ind w:right="720"/>
        <w:jc w:val="right"/>
        <w:rPr>
          <w:b/>
          <w:szCs w:val="24"/>
        </w:rPr>
      </w:pPr>
    </w:p>
    <w:p w:rsidR="00846B23" w:rsidRPr="005A3FB3" w:rsidRDefault="00846B23" w:rsidP="00846B23">
      <w:pPr>
        <w:rPr>
          <w:b/>
        </w:rPr>
      </w:pPr>
    </w:p>
    <w:p w:rsidR="00853A76" w:rsidRDefault="00853A76" w:rsidP="00853A76">
      <w:pPr>
        <w:rPr>
          <w:b/>
          <w:bCs/>
          <w:caps/>
          <w:sz w:val="28"/>
          <w:lang w:val="en-US"/>
        </w:rPr>
      </w:pPr>
    </w:p>
    <w:p w:rsidR="00853A76" w:rsidRDefault="00853A76" w:rsidP="00846B23">
      <w:pPr>
        <w:jc w:val="center"/>
        <w:rPr>
          <w:b/>
          <w:bCs/>
          <w:caps/>
          <w:sz w:val="28"/>
          <w:lang w:val="en-US"/>
        </w:rPr>
      </w:pPr>
    </w:p>
    <w:p w:rsidR="00853A76" w:rsidRDefault="00853A76" w:rsidP="00846B23">
      <w:pPr>
        <w:jc w:val="center"/>
        <w:rPr>
          <w:b/>
          <w:bCs/>
          <w:caps/>
          <w:sz w:val="28"/>
          <w:lang w:val="en-US"/>
        </w:rPr>
      </w:pPr>
    </w:p>
    <w:p w:rsidR="00853A76" w:rsidRDefault="00853A76" w:rsidP="00846B23">
      <w:pPr>
        <w:jc w:val="center"/>
        <w:rPr>
          <w:b/>
          <w:bCs/>
          <w:caps/>
          <w:sz w:val="28"/>
          <w:lang w:val="en-US"/>
        </w:rPr>
      </w:pPr>
    </w:p>
    <w:p w:rsidR="000C5AD1" w:rsidRDefault="000C5AD1" w:rsidP="00846B23">
      <w:pPr>
        <w:jc w:val="center"/>
        <w:rPr>
          <w:b/>
          <w:bCs/>
          <w:caps/>
          <w:sz w:val="28"/>
          <w:lang w:val="en-US"/>
        </w:rPr>
      </w:pPr>
    </w:p>
    <w:p w:rsidR="00846B23" w:rsidRPr="005A3FB3" w:rsidRDefault="00846B23" w:rsidP="00846B23">
      <w:pPr>
        <w:jc w:val="center"/>
        <w:rPr>
          <w:b/>
          <w:bCs/>
          <w:caps/>
          <w:sz w:val="28"/>
          <w:lang w:val="en-US"/>
        </w:rPr>
      </w:pPr>
      <w:r w:rsidRPr="005A3FB3">
        <w:rPr>
          <w:b/>
          <w:bCs/>
          <w:caps/>
          <w:sz w:val="28"/>
          <w:lang w:val="en-US"/>
        </w:rPr>
        <w:t>ANNUAL NARRATIVE progress report</w:t>
      </w:r>
    </w:p>
    <w:p w:rsidR="00846B23" w:rsidRPr="005A3FB3" w:rsidRDefault="00846B23" w:rsidP="00846B23">
      <w:pPr>
        <w:rPr>
          <w:lang w:val="en-US"/>
        </w:rPr>
      </w:pPr>
    </w:p>
    <w:p w:rsidR="00846B23" w:rsidRPr="005A3FB3" w:rsidRDefault="00846B23" w:rsidP="00846B23">
      <w:pPr>
        <w:pStyle w:val="Heading1"/>
        <w:ind w:left="1440" w:hanging="1440"/>
        <w:rPr>
          <w:rFonts w:ascii="Times New Roman" w:hAnsi="Times New Roman"/>
          <w:sz w:val="24"/>
          <w:szCs w:val="24"/>
          <w:u w:val="single"/>
          <w:lang w:val="en-US"/>
        </w:rPr>
      </w:pPr>
      <w:r w:rsidRPr="005A3FB3">
        <w:rPr>
          <w:rFonts w:ascii="Times New Roman" w:hAnsi="Times New Roman"/>
          <w:sz w:val="24"/>
          <w:szCs w:val="24"/>
          <w:u w:val="single"/>
          <w:lang w:val="en-US"/>
        </w:rPr>
        <w:t>REPORT COVER PAGE</w:t>
      </w:r>
    </w:p>
    <w:p w:rsidR="00846B23" w:rsidRPr="005A3FB3" w:rsidRDefault="00846B23" w:rsidP="00846B23">
      <w:pPr>
        <w:rPr>
          <w:highlight w:val="yellow"/>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E523D7" w:rsidP="00853A76">
            <w:pPr>
              <w:pStyle w:val="Heading2"/>
              <w:ind w:left="0"/>
              <w:rPr>
                <w:szCs w:val="24"/>
                <w:lang w:val="en-US"/>
              </w:rPr>
            </w:pPr>
            <w:r w:rsidRPr="00853A76">
              <w:rPr>
                <w:szCs w:val="24"/>
                <w:lang w:val="en-US"/>
              </w:rPr>
              <w:t>Participating Organization</w:t>
            </w:r>
            <w:r w:rsidR="00846B23" w:rsidRPr="00853A76">
              <w:rPr>
                <w:szCs w:val="24"/>
                <w:lang w:val="en-US"/>
              </w:rPr>
              <w:t>:</w:t>
            </w:r>
            <w:r w:rsidR="001920CA">
              <w:t xml:space="preserve"> </w:t>
            </w:r>
            <w:r w:rsidR="001920CA" w:rsidRPr="002C3E06">
              <w:rPr>
                <w:b w:val="0"/>
              </w:rPr>
              <w:t>U</w:t>
            </w:r>
            <w:r w:rsidR="001920CA" w:rsidRPr="002C3E06">
              <w:rPr>
                <w:b w:val="0"/>
                <w:bCs w:val="0"/>
                <w:lang w:eastAsia="en-US"/>
              </w:rPr>
              <w:t>N</w:t>
            </w:r>
            <w:r w:rsidR="001920CA" w:rsidRPr="001920CA">
              <w:rPr>
                <w:b w:val="0"/>
                <w:bCs w:val="0"/>
                <w:lang w:eastAsia="en-US"/>
              </w:rPr>
              <w:t>ITED NATIONS CHILDREN’S FUND (UNICEF)</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Default="00853A76" w:rsidP="00853A76">
            <w:pPr>
              <w:pStyle w:val="Heading2"/>
              <w:ind w:left="0"/>
              <w:rPr>
                <w:szCs w:val="24"/>
                <w:lang w:val="en-US"/>
              </w:rPr>
            </w:pPr>
            <w:r>
              <w:rPr>
                <w:szCs w:val="24"/>
                <w:lang w:val="en-US"/>
              </w:rPr>
              <w:t>Priority Sector</w:t>
            </w:r>
            <w:r w:rsidR="00846B23" w:rsidRPr="00853A76">
              <w:rPr>
                <w:szCs w:val="24"/>
                <w:lang w:val="en-US"/>
              </w:rPr>
              <w:t xml:space="preserve"> covered:</w:t>
            </w:r>
          </w:p>
          <w:p w:rsidR="001920CA" w:rsidRPr="001920CA" w:rsidRDefault="001920CA" w:rsidP="001920CA">
            <w:pPr>
              <w:rPr>
                <w:lang w:val="en-US" w:eastAsia="x-none"/>
              </w:rPr>
            </w:pPr>
            <w:r>
              <w:rPr>
                <w:lang w:val="en-US" w:eastAsia="x-none"/>
              </w:rPr>
              <w:t>NUTRITION</w:t>
            </w:r>
          </w:p>
        </w:tc>
      </w:tr>
      <w:tr w:rsidR="00846B23" w:rsidRPr="00853A76" w:rsidTr="00DB3C8E">
        <w:trPr>
          <w:trHeight w:val="396"/>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1920CA" w:rsidRDefault="00846B23" w:rsidP="00DB3C8E">
            <w:pPr>
              <w:pStyle w:val="Heading2"/>
              <w:ind w:left="0"/>
            </w:pPr>
            <w:r w:rsidRPr="00853A76">
              <w:rPr>
                <w:szCs w:val="24"/>
                <w:lang w:val="en-US"/>
              </w:rPr>
              <w:t>Programme</w:t>
            </w:r>
            <w:r w:rsidRPr="00853A76">
              <w:rPr>
                <w:sz w:val="22"/>
                <w:szCs w:val="24"/>
                <w:vertAlign w:val="superscript"/>
                <w:lang w:val="en-US"/>
              </w:rPr>
              <w:t xml:space="preserve">1 </w:t>
            </w:r>
            <w:r w:rsidRPr="00853A76">
              <w:rPr>
                <w:szCs w:val="24"/>
                <w:lang w:val="en-US"/>
              </w:rPr>
              <w:t>No. and Programme Title:</w:t>
            </w:r>
            <w:r w:rsidR="001920CA">
              <w:t xml:space="preserve"> </w:t>
            </w:r>
          </w:p>
          <w:p w:rsidR="00846B23" w:rsidRDefault="001920CA" w:rsidP="001920CA">
            <w:r>
              <w:t>MPTF - Window 1</w:t>
            </w:r>
          </w:p>
          <w:p w:rsidR="001920CA" w:rsidRPr="001920CA" w:rsidRDefault="001920CA" w:rsidP="001920CA">
            <w:pPr>
              <w:rPr>
                <w:lang w:eastAsia="x-none"/>
              </w:rPr>
            </w:pPr>
            <w:r>
              <w:t>Addressing gaps on multi-sectoral costing and financial tracking for nutrition</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Default="00846B23" w:rsidP="00DB3C8E">
            <w:pPr>
              <w:pStyle w:val="Heading2"/>
              <w:ind w:hanging="720"/>
              <w:rPr>
                <w:szCs w:val="24"/>
                <w:lang w:val="en-US"/>
              </w:rPr>
            </w:pPr>
            <w:r w:rsidRPr="00853A76">
              <w:rPr>
                <w:szCs w:val="24"/>
                <w:lang w:val="en-US"/>
              </w:rPr>
              <w:t xml:space="preserve">Report Number: </w:t>
            </w:r>
          </w:p>
          <w:p w:rsidR="001920CA" w:rsidRPr="001920CA" w:rsidRDefault="001920CA" w:rsidP="001920CA">
            <w:pPr>
              <w:rPr>
                <w:lang w:val="en-US" w:eastAsia="x-none"/>
              </w:rPr>
            </w:pPr>
            <w:r>
              <w:rPr>
                <w:lang w:val="en-US" w:eastAsia="x-none"/>
              </w:rPr>
              <w:t>1</w:t>
            </w:r>
          </w:p>
        </w:tc>
      </w:tr>
      <w:tr w:rsidR="00846B23" w:rsidRPr="00853A76" w:rsidTr="0012646E">
        <w:trPr>
          <w:trHeight w:val="297"/>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p w:rsidR="00846B23" w:rsidRPr="00853A76" w:rsidRDefault="00846B23" w:rsidP="00DB3C8E">
            <w:pPr>
              <w:pStyle w:val="BodyText"/>
              <w:ind w:hanging="720"/>
              <w:rPr>
                <w:lang w:val="en-US" w:eastAsia="en-US"/>
              </w:rPr>
            </w:pPr>
          </w:p>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1920CA" w:rsidRDefault="00846B23" w:rsidP="001920CA">
            <w:pPr>
              <w:pStyle w:val="Heading2"/>
              <w:ind w:hanging="720"/>
              <w:rPr>
                <w:szCs w:val="24"/>
                <w:lang w:val="en-US"/>
              </w:rPr>
            </w:pPr>
            <w:r w:rsidRPr="00853A76">
              <w:rPr>
                <w:szCs w:val="24"/>
                <w:lang w:val="en-US"/>
              </w:rPr>
              <w:t>Reporting Period:</w:t>
            </w:r>
          </w:p>
          <w:p w:rsidR="00846B23" w:rsidRPr="00853A76" w:rsidRDefault="00846B23" w:rsidP="001920CA">
            <w:pPr>
              <w:pStyle w:val="Heading2"/>
              <w:ind w:hanging="720"/>
              <w:rPr>
                <w:szCs w:val="24"/>
                <w:lang w:val="en-US"/>
              </w:rPr>
            </w:pPr>
            <w:r w:rsidRPr="00853A76">
              <w:rPr>
                <w:szCs w:val="24"/>
                <w:lang w:val="en-US"/>
              </w:rPr>
              <w:tab/>
            </w:r>
            <w:r w:rsidR="001920CA">
              <w:rPr>
                <w:szCs w:val="24"/>
                <w:lang w:val="en-US"/>
              </w:rPr>
              <w:t>Jan 2015-Dec 2015</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Default="00846B23" w:rsidP="00DB3C8E">
            <w:pPr>
              <w:pStyle w:val="Heading2"/>
              <w:ind w:hanging="720"/>
              <w:rPr>
                <w:szCs w:val="24"/>
                <w:lang w:val="en-US"/>
              </w:rPr>
            </w:pPr>
            <w:r w:rsidRPr="00853A76">
              <w:rPr>
                <w:szCs w:val="24"/>
                <w:lang w:val="en-US"/>
              </w:rPr>
              <w:t>Programme Budget:</w:t>
            </w:r>
          </w:p>
          <w:p w:rsidR="001920CA" w:rsidRPr="001920CA" w:rsidRDefault="001920CA" w:rsidP="001920CA">
            <w:pPr>
              <w:rPr>
                <w:lang w:val="en-US" w:eastAsia="x-none"/>
              </w:rPr>
            </w:pPr>
            <w:r>
              <w:rPr>
                <w:b/>
                <w:spacing w:val="-1"/>
              </w:rPr>
              <w:t>US$</w:t>
            </w:r>
            <w:r>
              <w:rPr>
                <w:b/>
              </w:rPr>
              <w:t xml:space="preserve"> 320,000</w:t>
            </w:r>
          </w:p>
        </w:tc>
      </w:tr>
      <w:tr w:rsidR="00846B23" w:rsidRPr="00853A76" w:rsidTr="000C5AD1">
        <w:trPr>
          <w:trHeight w:val="252"/>
        </w:trPr>
        <w:tc>
          <w:tcPr>
            <w:tcW w:w="4732"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c>
          <w:tcPr>
            <w:tcW w:w="236" w:type="dxa"/>
            <w:tcBorders>
              <w:left w:val="single" w:sz="4" w:space="0" w:color="auto"/>
              <w:right w:val="single" w:sz="4" w:space="0" w:color="auto"/>
            </w:tcBorders>
          </w:tcPr>
          <w:p w:rsidR="00846B23" w:rsidRPr="00853A76" w:rsidRDefault="00846B23" w:rsidP="00DB3C8E">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846B23" w:rsidP="00DB3C8E">
            <w:pPr>
              <w:pStyle w:val="BodyText"/>
              <w:ind w:hanging="720"/>
              <w:rPr>
                <w:lang w:val="en-US" w:eastAsia="en-US"/>
              </w:rPr>
            </w:pPr>
          </w:p>
        </w:tc>
      </w:tr>
    </w:tbl>
    <w:p w:rsidR="00846B23" w:rsidRPr="00853A76" w:rsidRDefault="00846B23" w:rsidP="00846B23">
      <w:pPr>
        <w:ind w:hanging="720"/>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List Implementing Partners:</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Programme Coverage/Scope:</w:t>
            </w:r>
          </w:p>
        </w:tc>
      </w:tr>
      <w:tr w:rsidR="00846B23" w:rsidRPr="00853A76" w:rsidTr="00DB3C8E">
        <w:trPr>
          <w:trHeight w:val="459"/>
        </w:trPr>
        <w:tc>
          <w:tcPr>
            <w:tcW w:w="4732" w:type="dxa"/>
            <w:tcBorders>
              <w:left w:val="single" w:sz="4" w:space="0" w:color="auto"/>
              <w:bottom w:val="single" w:sz="4" w:space="0" w:color="auto"/>
              <w:right w:val="single" w:sz="4" w:space="0" w:color="auto"/>
            </w:tcBorders>
          </w:tcPr>
          <w:p w:rsidR="00846B23" w:rsidRPr="00853A76" w:rsidRDefault="001920CA" w:rsidP="002C3E06">
            <w:pPr>
              <w:pStyle w:val="BodyText"/>
              <w:widowControl/>
              <w:jc w:val="left"/>
              <w:rPr>
                <w:color w:val="0000FF"/>
                <w:lang w:val="en-US" w:eastAsia="en-US"/>
              </w:rPr>
            </w:pPr>
            <w:r>
              <w:t>REGIONAL OFFICES OF UNITED NATIONS CHILDREN’S  FUND (UNICEF)</w:t>
            </w:r>
            <w:r w:rsidRPr="001920CA">
              <w:rPr>
                <w:i/>
                <w:lang w:val="en-US" w:eastAsia="en-US"/>
              </w:rPr>
              <w:t xml:space="preserve"> </w:t>
            </w:r>
          </w:p>
        </w:tc>
        <w:tc>
          <w:tcPr>
            <w:tcW w:w="236" w:type="dxa"/>
            <w:tcBorders>
              <w:left w:val="single" w:sz="4" w:space="0" w:color="auto"/>
              <w:right w:val="single" w:sz="4" w:space="0" w:color="auto"/>
            </w:tcBorders>
          </w:tcPr>
          <w:p w:rsidR="00846B23" w:rsidRPr="00853A76" w:rsidRDefault="00846B23" w:rsidP="00DB3C8E">
            <w:pPr>
              <w:pStyle w:val="BodyText"/>
              <w:rPr>
                <w:lang w:val="en-US" w:eastAsia="en-US"/>
              </w:rPr>
            </w:pPr>
          </w:p>
        </w:tc>
        <w:tc>
          <w:tcPr>
            <w:tcW w:w="4277" w:type="dxa"/>
            <w:tcBorders>
              <w:left w:val="single" w:sz="4" w:space="0" w:color="auto"/>
              <w:bottom w:val="single" w:sz="4" w:space="0" w:color="auto"/>
              <w:right w:val="single" w:sz="4" w:space="0" w:color="auto"/>
            </w:tcBorders>
          </w:tcPr>
          <w:p w:rsidR="00846B23" w:rsidRPr="00853A76" w:rsidRDefault="001920CA" w:rsidP="00DB3C8E">
            <w:pPr>
              <w:pStyle w:val="BodyText"/>
              <w:rPr>
                <w:lang w:val="en-US" w:eastAsia="en-US"/>
              </w:rPr>
            </w:pPr>
            <w:r>
              <w:t>UNICEF Regional Offices (West and Central Africa RO [WCARO], Eastern and Southern Africa [ESARO], Latin America and Caribbean [LACRO], East Asia [EAPRO], South Asia [ROSA])</w:t>
            </w:r>
            <w:r w:rsidRPr="00853A76">
              <w:rPr>
                <w:lang w:val="en-US" w:eastAsia="en-US"/>
              </w:rPr>
              <w:t xml:space="preserve"> </w:t>
            </w:r>
          </w:p>
        </w:tc>
      </w:tr>
    </w:tbl>
    <w:p w:rsidR="00846B23" w:rsidRPr="00853A76" w:rsidRDefault="00846B23" w:rsidP="00846B23">
      <w:pPr>
        <w:rPr>
          <w:lang w:val="en-US"/>
        </w:rPr>
      </w:pPr>
    </w:p>
    <w:tbl>
      <w:tblPr>
        <w:tblW w:w="0" w:type="auto"/>
        <w:tblLook w:val="01E0" w:firstRow="1" w:lastRow="1" w:firstColumn="1" w:lastColumn="1" w:noHBand="0" w:noVBand="0"/>
      </w:tblPr>
      <w:tblGrid>
        <w:gridCol w:w="4732"/>
        <w:gridCol w:w="236"/>
        <w:gridCol w:w="4277"/>
      </w:tblGrid>
      <w:tr w:rsidR="00846B23" w:rsidRPr="00853A76" w:rsidTr="00DB3C8E">
        <w:tc>
          <w:tcPr>
            <w:tcW w:w="4732" w:type="dxa"/>
            <w:tcBorders>
              <w:top w:val="single" w:sz="4" w:space="0" w:color="auto"/>
              <w:left w:val="single" w:sz="4" w:space="0" w:color="auto"/>
              <w:right w:val="single" w:sz="4" w:space="0" w:color="auto"/>
            </w:tcBorders>
          </w:tcPr>
          <w:p w:rsidR="00846B23" w:rsidRPr="00853A76" w:rsidRDefault="00846B23" w:rsidP="00DB3C8E">
            <w:pPr>
              <w:pStyle w:val="Heading2"/>
              <w:ind w:hanging="720"/>
              <w:rPr>
                <w:szCs w:val="24"/>
                <w:lang w:val="en-US"/>
              </w:rPr>
            </w:pPr>
            <w:r w:rsidRPr="00853A76">
              <w:rPr>
                <w:szCs w:val="24"/>
                <w:lang w:val="en-US"/>
              </w:rPr>
              <w:t>Abbreviations and acronyms:</w:t>
            </w:r>
          </w:p>
        </w:tc>
        <w:tc>
          <w:tcPr>
            <w:tcW w:w="236" w:type="dxa"/>
            <w:tcBorders>
              <w:left w:val="single" w:sz="4" w:space="0" w:color="auto"/>
              <w:right w:val="single" w:sz="4" w:space="0" w:color="auto"/>
            </w:tcBorders>
          </w:tcPr>
          <w:p w:rsidR="00846B23" w:rsidRPr="00853A76" w:rsidRDefault="00846B23" w:rsidP="00DB3C8E">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846B23" w:rsidRPr="00853A76" w:rsidRDefault="00846B23" w:rsidP="00DB3C8E">
            <w:pPr>
              <w:pStyle w:val="Heading2"/>
              <w:ind w:left="0" w:right="29"/>
              <w:rPr>
                <w:szCs w:val="24"/>
                <w:lang w:val="en-US"/>
              </w:rPr>
            </w:pPr>
            <w:r w:rsidRPr="00853A76">
              <w:rPr>
                <w:szCs w:val="24"/>
                <w:lang w:val="en-US"/>
              </w:rPr>
              <w:t>Programme Duration/Closed Programme:</w:t>
            </w:r>
          </w:p>
        </w:tc>
      </w:tr>
      <w:tr w:rsidR="00846B23" w:rsidRPr="00853A76" w:rsidTr="000C5AD1">
        <w:trPr>
          <w:trHeight w:val="702"/>
        </w:trPr>
        <w:tc>
          <w:tcPr>
            <w:tcW w:w="4732" w:type="dxa"/>
            <w:tcBorders>
              <w:left w:val="single" w:sz="4" w:space="0" w:color="auto"/>
              <w:bottom w:val="single" w:sz="4" w:space="0" w:color="auto"/>
              <w:right w:val="single" w:sz="4" w:space="0" w:color="auto"/>
            </w:tcBorders>
          </w:tcPr>
          <w:p w:rsidR="008B1363" w:rsidRPr="002C3E06" w:rsidRDefault="001920CA" w:rsidP="00DB3C8E">
            <w:pPr>
              <w:jc w:val="both"/>
              <w:rPr>
                <w:i/>
                <w:sz w:val="22"/>
                <w:lang w:val="en-US"/>
              </w:rPr>
            </w:pPr>
            <w:r w:rsidRPr="002C3E06">
              <w:rPr>
                <w:i/>
                <w:sz w:val="22"/>
                <w:lang w:val="en-US"/>
              </w:rPr>
              <w:t>SUN Scaling U</w:t>
            </w:r>
            <w:r w:rsidR="008B1363" w:rsidRPr="002C3E06">
              <w:rPr>
                <w:i/>
                <w:sz w:val="22"/>
                <w:lang w:val="en-US"/>
              </w:rPr>
              <w:t>p</w:t>
            </w:r>
            <w:r w:rsidRPr="002C3E06">
              <w:rPr>
                <w:i/>
                <w:sz w:val="22"/>
                <w:lang w:val="en-US"/>
              </w:rPr>
              <w:t xml:space="preserve"> Nutrition</w:t>
            </w:r>
            <w:r w:rsidR="008B1363" w:rsidRPr="002C3E06">
              <w:rPr>
                <w:i/>
                <w:sz w:val="22"/>
                <w:lang w:val="en-US"/>
              </w:rPr>
              <w:t>.</w:t>
            </w:r>
          </w:p>
          <w:p w:rsidR="008B1363" w:rsidRPr="002C3E06" w:rsidRDefault="008B1363" w:rsidP="00DB3C8E">
            <w:pPr>
              <w:jc w:val="both"/>
              <w:rPr>
                <w:i/>
                <w:sz w:val="22"/>
                <w:lang w:val="en-US"/>
              </w:rPr>
            </w:pPr>
            <w:r w:rsidRPr="002C3E06">
              <w:rPr>
                <w:i/>
                <w:sz w:val="22"/>
                <w:lang w:val="en-US"/>
              </w:rPr>
              <w:t>CO Country office; RO Regional Office</w:t>
            </w:r>
          </w:p>
          <w:p w:rsidR="008B1363" w:rsidRPr="002C3E06" w:rsidRDefault="008B1363" w:rsidP="008B1363">
            <w:pPr>
              <w:jc w:val="both"/>
              <w:rPr>
                <w:i/>
                <w:sz w:val="22"/>
                <w:lang w:val="en-US"/>
              </w:rPr>
            </w:pPr>
            <w:r w:rsidRPr="002C3E06">
              <w:rPr>
                <w:i/>
                <w:sz w:val="22"/>
                <w:lang w:val="en-US"/>
              </w:rPr>
              <w:t>WCARO</w:t>
            </w:r>
            <w:r w:rsidRPr="002C3E06">
              <w:rPr>
                <w:i/>
                <w:sz w:val="22"/>
                <w:lang w:val="en-US"/>
              </w:rPr>
              <w:t xml:space="preserve"> </w:t>
            </w:r>
            <w:r w:rsidRPr="002C3E06">
              <w:rPr>
                <w:i/>
                <w:sz w:val="22"/>
                <w:lang w:val="en-US"/>
              </w:rPr>
              <w:t>West and Central Africa RO</w:t>
            </w:r>
            <w:r w:rsidR="002C3E06" w:rsidRPr="002C3E06">
              <w:rPr>
                <w:i/>
                <w:sz w:val="22"/>
                <w:lang w:val="en-US"/>
              </w:rPr>
              <w:t>;</w:t>
            </w:r>
          </w:p>
          <w:p w:rsidR="008B1363" w:rsidRPr="002C3E06" w:rsidRDefault="008B1363" w:rsidP="008B1363">
            <w:pPr>
              <w:jc w:val="both"/>
              <w:rPr>
                <w:i/>
                <w:sz w:val="22"/>
                <w:lang w:val="en-US"/>
              </w:rPr>
            </w:pPr>
            <w:r w:rsidRPr="002C3E06">
              <w:rPr>
                <w:i/>
                <w:sz w:val="22"/>
                <w:lang w:val="en-US"/>
              </w:rPr>
              <w:t>ESARO</w:t>
            </w:r>
            <w:r w:rsidRPr="002C3E06">
              <w:rPr>
                <w:i/>
                <w:sz w:val="22"/>
                <w:lang w:val="en-US"/>
              </w:rPr>
              <w:t xml:space="preserve"> Eastern and Southern Africa </w:t>
            </w:r>
            <w:r w:rsidR="002C3E06" w:rsidRPr="002C3E06">
              <w:rPr>
                <w:i/>
                <w:sz w:val="22"/>
                <w:lang w:val="en-US"/>
              </w:rPr>
              <w:t>RO;</w:t>
            </w:r>
          </w:p>
          <w:p w:rsidR="008B1363" w:rsidRPr="002C3E06" w:rsidRDefault="008B1363" w:rsidP="008B1363">
            <w:pPr>
              <w:jc w:val="both"/>
              <w:rPr>
                <w:i/>
                <w:sz w:val="22"/>
                <w:lang w:val="en-US"/>
              </w:rPr>
            </w:pPr>
            <w:r w:rsidRPr="002C3E06">
              <w:rPr>
                <w:i/>
                <w:sz w:val="22"/>
                <w:lang w:val="en-US"/>
              </w:rPr>
              <w:t>LACRO</w:t>
            </w:r>
            <w:r w:rsidRPr="002C3E06">
              <w:rPr>
                <w:i/>
                <w:sz w:val="22"/>
                <w:lang w:val="en-US"/>
              </w:rPr>
              <w:t xml:space="preserve"> </w:t>
            </w:r>
            <w:r w:rsidRPr="002C3E06">
              <w:rPr>
                <w:i/>
                <w:sz w:val="22"/>
                <w:lang w:val="en-US"/>
              </w:rPr>
              <w:t>Latin America and Caribbean</w:t>
            </w:r>
            <w:r w:rsidR="002C3E06" w:rsidRPr="002C3E06">
              <w:rPr>
                <w:i/>
                <w:sz w:val="22"/>
                <w:lang w:val="en-US"/>
              </w:rPr>
              <w:t xml:space="preserve"> RO;</w:t>
            </w:r>
          </w:p>
          <w:p w:rsidR="001920CA" w:rsidRPr="00853A76" w:rsidRDefault="002C3E06" w:rsidP="002C3E06">
            <w:pPr>
              <w:jc w:val="both"/>
              <w:rPr>
                <w:i/>
                <w:lang w:val="en-US"/>
              </w:rPr>
            </w:pPr>
            <w:r w:rsidRPr="002C3E06">
              <w:rPr>
                <w:i/>
                <w:sz w:val="22"/>
                <w:lang w:val="en-US"/>
              </w:rPr>
              <w:t xml:space="preserve">EAPRO </w:t>
            </w:r>
            <w:r w:rsidR="008B1363" w:rsidRPr="002C3E06">
              <w:rPr>
                <w:i/>
                <w:sz w:val="22"/>
                <w:lang w:val="en-US"/>
              </w:rPr>
              <w:t xml:space="preserve">East Asia </w:t>
            </w:r>
            <w:r w:rsidR="008B1363" w:rsidRPr="002C3E06">
              <w:rPr>
                <w:i/>
                <w:sz w:val="22"/>
                <w:lang w:val="en-US"/>
              </w:rPr>
              <w:t xml:space="preserve">and </w:t>
            </w:r>
            <w:r w:rsidRPr="002C3E06">
              <w:rPr>
                <w:i/>
                <w:sz w:val="22"/>
                <w:lang w:val="en-US"/>
              </w:rPr>
              <w:t xml:space="preserve">Pacific RO; ROSA RO </w:t>
            </w:r>
            <w:r w:rsidR="008B1363" w:rsidRPr="002C3E06">
              <w:rPr>
                <w:sz w:val="22"/>
              </w:rPr>
              <w:t>Sou</w:t>
            </w:r>
            <w:r w:rsidRPr="002C3E06">
              <w:rPr>
                <w:sz w:val="22"/>
              </w:rPr>
              <w:t xml:space="preserve">th Asia </w:t>
            </w:r>
          </w:p>
        </w:tc>
        <w:tc>
          <w:tcPr>
            <w:tcW w:w="236" w:type="dxa"/>
            <w:tcBorders>
              <w:left w:val="single" w:sz="4" w:space="0" w:color="auto"/>
              <w:right w:val="single" w:sz="4" w:space="0" w:color="auto"/>
            </w:tcBorders>
          </w:tcPr>
          <w:p w:rsidR="00846B23" w:rsidRPr="00853A76" w:rsidRDefault="00846B23" w:rsidP="00DB3C8E">
            <w:pPr>
              <w:pStyle w:val="BodyText"/>
              <w:rPr>
                <w:lang w:val="en-US" w:eastAsia="en-US"/>
              </w:rPr>
            </w:pPr>
          </w:p>
        </w:tc>
        <w:tc>
          <w:tcPr>
            <w:tcW w:w="4277" w:type="dxa"/>
            <w:tcBorders>
              <w:left w:val="single" w:sz="4" w:space="0" w:color="auto"/>
              <w:bottom w:val="single" w:sz="4" w:space="0" w:color="auto"/>
              <w:right w:val="single" w:sz="4" w:space="0" w:color="auto"/>
            </w:tcBorders>
          </w:tcPr>
          <w:p w:rsidR="001920CA" w:rsidRPr="001920CA" w:rsidRDefault="001920CA" w:rsidP="00F85741">
            <w:pPr>
              <w:pStyle w:val="BodyText"/>
              <w:widowControl/>
              <w:numPr>
                <w:ilvl w:val="0"/>
                <w:numId w:val="1"/>
              </w:numPr>
              <w:tabs>
                <w:tab w:val="clear" w:pos="720"/>
              </w:tabs>
              <w:spacing w:before="60" w:after="60"/>
              <w:ind w:left="432"/>
              <w:jc w:val="left"/>
            </w:pPr>
            <w:r>
              <w:t>15 months</w:t>
            </w:r>
            <w:r w:rsidRPr="001920CA">
              <w:t xml:space="preserve">         </w:t>
            </w:r>
          </w:p>
          <w:p w:rsidR="00846B23" w:rsidRPr="00853A76" w:rsidRDefault="00846B23" w:rsidP="00F85741">
            <w:pPr>
              <w:pStyle w:val="BodyText"/>
              <w:widowControl/>
              <w:numPr>
                <w:ilvl w:val="0"/>
                <w:numId w:val="1"/>
              </w:numPr>
              <w:tabs>
                <w:tab w:val="clear" w:pos="720"/>
              </w:tabs>
              <w:spacing w:before="60" w:after="60"/>
              <w:ind w:left="432"/>
              <w:jc w:val="left"/>
              <w:rPr>
                <w:i/>
                <w:lang w:val="en-US" w:eastAsia="en-US"/>
              </w:rPr>
            </w:pPr>
            <w:r w:rsidRPr="001920CA">
              <w:t xml:space="preserve"> </w:t>
            </w:r>
            <w:r w:rsidR="001920CA" w:rsidRPr="001920CA">
              <w:t>No-cost extension and budget revision was approved by the SUN MPTF on 3 August 2015.</w:t>
            </w:r>
          </w:p>
        </w:tc>
      </w:tr>
    </w:tbl>
    <w:p w:rsidR="00846B23" w:rsidRPr="005A3FB3" w:rsidRDefault="00846B23" w:rsidP="00846B23">
      <w:pPr>
        <w:rPr>
          <w:highlight w:val="yellow"/>
          <w:lang w:val="en-US"/>
        </w:rPr>
      </w:pPr>
    </w:p>
    <w:p w:rsidR="00846B23" w:rsidRPr="005A3FB3" w:rsidRDefault="00846B23" w:rsidP="00846B23">
      <w:pPr>
        <w:pStyle w:val="FootnoteText"/>
        <w:rPr>
          <w:highlight w:val="yellow"/>
        </w:rPr>
      </w:pPr>
    </w:p>
    <w:p w:rsidR="00846B23" w:rsidRPr="005A3FB3" w:rsidRDefault="00846B23" w:rsidP="00846B23">
      <w:pPr>
        <w:pStyle w:val="FootnoteText"/>
        <w:rPr>
          <w:highlight w:val="yellow"/>
        </w:rPr>
      </w:pPr>
    </w:p>
    <w:p w:rsidR="00846B23" w:rsidRPr="005A3FB3" w:rsidRDefault="00846B23" w:rsidP="00846B23">
      <w:pPr>
        <w:pStyle w:val="FootnoteText"/>
        <w:rPr>
          <w:highlight w:val="yellow"/>
          <w:lang w:val="en-US"/>
        </w:rPr>
      </w:pPr>
    </w:p>
    <w:p w:rsidR="00846B23" w:rsidRPr="005A3FB3" w:rsidRDefault="00E64D9B" w:rsidP="00846B23">
      <w:pPr>
        <w:pStyle w:val="Heading1"/>
        <w:tabs>
          <w:tab w:val="left" w:pos="360"/>
        </w:tabs>
        <w:rPr>
          <w:rFonts w:ascii="Times New Roman" w:hAnsi="Times New Roman"/>
          <w:sz w:val="24"/>
          <w:szCs w:val="24"/>
          <w:highlight w:val="yellow"/>
          <w:lang w:val="en-US"/>
        </w:rPr>
      </w:pPr>
      <w:r>
        <w:rPr>
          <w:rFonts w:ascii="Times New Roman" w:hAnsi="Times New Roman"/>
          <w:noProof/>
          <w:snapToGrid/>
          <w:sz w:val="24"/>
          <w:szCs w:val="24"/>
          <w:lang w:val="en-US" w:eastAsia="en-US"/>
        </w:rPr>
        <mc:AlternateContent>
          <mc:Choice Requires="wps">
            <w:drawing>
              <wp:anchor distT="0" distB="0" distL="114300" distR="114300" simplePos="0" relativeHeight="251657216" behindDoc="0" locked="0" layoutInCell="1" allowOverlap="1" wp14:anchorId="1FEF708C" wp14:editId="3FBD7291">
                <wp:simplePos x="0" y="0"/>
                <wp:positionH relativeFrom="column">
                  <wp:posOffset>0</wp:posOffset>
                </wp:positionH>
                <wp:positionV relativeFrom="paragraph">
                  <wp:posOffset>-60960</wp:posOffset>
                </wp:positionV>
                <wp:extent cx="5829300" cy="1828800"/>
                <wp:effectExtent l="9525" t="15240" r="9525"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FF"/>
                        </a:solidFill>
                        <a:ln w="19050">
                          <a:solidFill>
                            <a:srgbClr val="000000"/>
                          </a:solidFill>
                          <a:miter lim="800000"/>
                          <a:headEnd/>
                          <a:tailEnd/>
                        </a:ln>
                      </wps:spPr>
                      <wps:txbx>
                        <w:txbxContent>
                          <w:p w:rsidR="004B4539" w:rsidRPr="001B0651" w:rsidRDefault="004B4539" w:rsidP="00846B23">
                            <w:pPr>
                              <w:shd w:val="clear" w:color="auto" w:fill="99CCFF"/>
                              <w:jc w:val="center"/>
                              <w:rPr>
                                <w:b/>
                                <w:sz w:val="6"/>
                                <w:szCs w:val="6"/>
                              </w:rPr>
                            </w:pPr>
                          </w:p>
                          <w:p w:rsidR="004B4539" w:rsidRDefault="004B4539" w:rsidP="00846B23">
                            <w:pPr>
                              <w:shd w:val="clear" w:color="auto" w:fill="99CCFF"/>
                              <w:jc w:val="center"/>
                              <w:rPr>
                                <w:b/>
                                <w:sz w:val="22"/>
                                <w:szCs w:val="22"/>
                              </w:rPr>
                            </w:pPr>
                            <w:r w:rsidRPr="001B0651">
                              <w:rPr>
                                <w:b/>
                                <w:sz w:val="22"/>
                                <w:szCs w:val="22"/>
                              </w:rPr>
                              <w:t>Report Formatting Instructions</w:t>
                            </w:r>
                          </w:p>
                          <w:p w:rsidR="004B4539" w:rsidRDefault="004B4539" w:rsidP="00846B23">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4B4539" w:rsidRPr="001B0651" w:rsidRDefault="004B4539" w:rsidP="00846B23">
                            <w:pPr>
                              <w:shd w:val="clear" w:color="auto" w:fill="99CCFF"/>
                              <w:jc w:val="center"/>
                              <w:rPr>
                                <w:b/>
                                <w:sz w:val="22"/>
                                <w:szCs w:val="22"/>
                              </w:rPr>
                            </w:pP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Do not put the narrative text into boxes and do not incorporate boxes, graphs, etc into the narrative report.</w:t>
                            </w:r>
                            <w:r>
                              <w:rPr>
                                <w:sz w:val="22"/>
                                <w:szCs w:val="22"/>
                              </w:rPr>
                              <w:t xml:space="preserve"> </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Number all sections and paragraphs as indicated below</w:t>
                            </w:r>
                            <w:r>
                              <w:rPr>
                                <w:sz w:val="22"/>
                                <w:szCs w:val="22"/>
                              </w:rPr>
                              <w:t>.</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F708C" id="_x0000_t202" coordsize="21600,21600" o:spt="202" path="m,l,21600r21600,l21600,xe">
                <v:stroke joinstyle="miter"/>
                <v:path gradientshapeok="t" o:connecttype="rect"/>
              </v:shapetype>
              <v:shape id="Text Box 6" o:spid="_x0000_s1026" type="#_x0000_t202" style="position:absolute;left:0;text-align:left;margin-left:0;margin-top:-4.8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RXKAIAAFI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" strokeweight="1.5pt">
                <v:textbox>
                  <w:txbxContent>
                    <w:p w:rsidR="004B4539" w:rsidRPr="001B0651" w:rsidRDefault="004B4539" w:rsidP="00846B23">
                      <w:pPr>
                        <w:shd w:val="clear" w:color="auto" w:fill="99CCFF"/>
                        <w:jc w:val="center"/>
                        <w:rPr>
                          <w:b/>
                          <w:sz w:val="6"/>
                          <w:szCs w:val="6"/>
                        </w:rPr>
                      </w:pPr>
                    </w:p>
                    <w:p w:rsidR="004B4539" w:rsidRDefault="004B4539" w:rsidP="00846B23">
                      <w:pPr>
                        <w:shd w:val="clear" w:color="auto" w:fill="99CCFF"/>
                        <w:jc w:val="center"/>
                        <w:rPr>
                          <w:b/>
                          <w:sz w:val="22"/>
                          <w:szCs w:val="22"/>
                        </w:rPr>
                      </w:pPr>
                      <w:r w:rsidRPr="001B0651">
                        <w:rPr>
                          <w:b/>
                          <w:sz w:val="22"/>
                          <w:szCs w:val="22"/>
                        </w:rPr>
                        <w:t>Report Formatting Instructions</w:t>
                      </w:r>
                    </w:p>
                    <w:p w:rsidR="004B4539" w:rsidRDefault="004B4539" w:rsidP="00846B23">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4B4539" w:rsidRPr="001B0651" w:rsidRDefault="004B4539" w:rsidP="00846B23">
                      <w:pPr>
                        <w:shd w:val="clear" w:color="auto" w:fill="99CCFF"/>
                        <w:jc w:val="center"/>
                        <w:rPr>
                          <w:b/>
                          <w:sz w:val="22"/>
                          <w:szCs w:val="22"/>
                        </w:rPr>
                      </w:pP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Do not put the narrative text into boxes and do not incorporate boxes, graphs, etc into the narrative report.</w:t>
                      </w:r>
                      <w:r>
                        <w:rPr>
                          <w:sz w:val="22"/>
                          <w:szCs w:val="22"/>
                        </w:rPr>
                        <w:t xml:space="preserve"> </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Number all sections and paragraphs as indicated below</w:t>
                      </w:r>
                      <w:r>
                        <w:rPr>
                          <w:sz w:val="22"/>
                          <w:szCs w:val="22"/>
                        </w:rPr>
                        <w:t>.</w:t>
                      </w:r>
                    </w:p>
                    <w:p w:rsidR="004B4539" w:rsidRPr="00DA5316" w:rsidRDefault="004B4539" w:rsidP="00F85741">
                      <w:pPr>
                        <w:widowControl/>
                        <w:numPr>
                          <w:ilvl w:val="0"/>
                          <w:numId w:val="3"/>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v:textbox>
              </v:shape>
            </w:pict>
          </mc:Fallback>
        </mc:AlternateContent>
      </w:r>
    </w:p>
    <w:p w:rsidR="00846B23" w:rsidRPr="005A3FB3" w:rsidRDefault="00846B23" w:rsidP="00846B23">
      <w:pPr>
        <w:pStyle w:val="Heading1"/>
        <w:tabs>
          <w:tab w:val="left" w:pos="360"/>
        </w:tabs>
        <w:rPr>
          <w:rFonts w:ascii="Times New Roman" w:hAnsi="Times New Roman"/>
          <w:sz w:val="24"/>
          <w:szCs w:val="24"/>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5A3FB3" w:rsidRDefault="00846B23" w:rsidP="00846B23">
      <w:pPr>
        <w:rPr>
          <w:highlight w:val="yellow"/>
        </w:rPr>
      </w:pPr>
    </w:p>
    <w:p w:rsidR="00846B23" w:rsidRPr="00853A76" w:rsidRDefault="00846B23" w:rsidP="00846B23"/>
    <w:p w:rsidR="00846B23" w:rsidRPr="0087204D" w:rsidRDefault="00846B23" w:rsidP="00846B23">
      <w:pPr>
        <w:pStyle w:val="Heading1"/>
        <w:tabs>
          <w:tab w:val="left" w:pos="360"/>
        </w:tabs>
        <w:rPr>
          <w:rFonts w:ascii="Times New Roman" w:hAnsi="Times New Roman"/>
          <w:sz w:val="22"/>
          <w:szCs w:val="22"/>
          <w:u w:val="single"/>
          <w:lang w:val="en-US"/>
        </w:rPr>
      </w:pPr>
      <w:r w:rsidRPr="0087204D">
        <w:rPr>
          <w:rFonts w:ascii="Times New Roman" w:hAnsi="Times New Roman"/>
          <w:sz w:val="22"/>
          <w:szCs w:val="22"/>
          <w:u w:val="single"/>
          <w:lang w:val="en-US"/>
        </w:rPr>
        <w:t>NARRATIVE REPORT FORMAT</w:t>
      </w:r>
    </w:p>
    <w:p w:rsidR="00846B23" w:rsidRPr="0087204D" w:rsidRDefault="00846B23" w:rsidP="00846B23">
      <w:pPr>
        <w:rPr>
          <w:sz w:val="22"/>
          <w:szCs w:val="22"/>
          <w:highlight w:val="yellow"/>
          <w:lang w:val="en-US"/>
        </w:rPr>
      </w:pPr>
    </w:p>
    <w:p w:rsidR="00846B23" w:rsidRPr="0087204D" w:rsidRDefault="00846B23" w:rsidP="00F85741">
      <w:pPr>
        <w:pStyle w:val="Heading1"/>
        <w:widowControl/>
        <w:numPr>
          <w:ilvl w:val="0"/>
          <w:numId w:val="2"/>
        </w:numPr>
        <w:tabs>
          <w:tab w:val="clear" w:pos="1080"/>
          <w:tab w:val="clear" w:pos="4680"/>
          <w:tab w:val="left" w:pos="360"/>
        </w:tabs>
        <w:spacing w:before="240" w:after="120"/>
        <w:ind w:left="360" w:hanging="360"/>
        <w:jc w:val="left"/>
        <w:rPr>
          <w:rFonts w:ascii="Times New Roman" w:hAnsi="Times New Roman"/>
          <w:sz w:val="22"/>
          <w:szCs w:val="22"/>
          <w:lang w:val="en-US"/>
        </w:rPr>
      </w:pPr>
      <w:r w:rsidRPr="0087204D">
        <w:rPr>
          <w:rFonts w:ascii="Times New Roman" w:hAnsi="Times New Roman"/>
          <w:sz w:val="22"/>
          <w:szCs w:val="22"/>
          <w:lang w:val="en-US"/>
        </w:rPr>
        <w:t>Purpose</w:t>
      </w:r>
    </w:p>
    <w:p w:rsidR="001920CA" w:rsidRDefault="001920CA" w:rsidP="001920CA">
      <w:pPr>
        <w:pStyle w:val="Body"/>
        <w:spacing w:after="120" w:line="240" w:lineRule="auto"/>
        <w:ind w:firstLine="0"/>
        <w:rPr>
          <w:rFonts w:ascii="Times New Roman" w:eastAsia="Times New Roman" w:hAnsi="Times New Roman"/>
          <w:snapToGrid w:val="0"/>
          <w:color w:val="auto"/>
          <w:sz w:val="24"/>
          <w:szCs w:val="24"/>
          <w:lang w:val="en-GB"/>
        </w:rPr>
      </w:pPr>
      <w:r>
        <w:rPr>
          <w:rFonts w:ascii="Times New Roman" w:eastAsia="Times New Roman" w:hAnsi="Times New Roman"/>
          <w:snapToGrid w:val="0"/>
          <w:color w:val="auto"/>
          <w:sz w:val="24"/>
          <w:szCs w:val="24"/>
          <w:lang w:val="en-GB"/>
        </w:rPr>
        <w:t>The expected</w:t>
      </w:r>
      <w:r>
        <w:rPr>
          <w:rFonts w:ascii="Times New Roman" w:eastAsia="Times New Roman" w:hAnsi="Times New Roman"/>
          <w:b/>
          <w:snapToGrid w:val="0"/>
          <w:color w:val="auto"/>
          <w:sz w:val="24"/>
          <w:szCs w:val="24"/>
          <w:lang w:val="en-GB"/>
        </w:rPr>
        <w:t xml:space="preserve"> outcome</w:t>
      </w:r>
      <w:r>
        <w:rPr>
          <w:rFonts w:ascii="Times New Roman" w:eastAsia="Times New Roman" w:hAnsi="Times New Roman"/>
          <w:snapToGrid w:val="0"/>
          <w:color w:val="auto"/>
          <w:sz w:val="24"/>
          <w:szCs w:val="24"/>
          <w:lang w:val="en-GB"/>
        </w:rPr>
        <w:t xml:space="preserve"> of the </w:t>
      </w:r>
      <w:r>
        <w:rPr>
          <w:rFonts w:ascii="Times New Roman" w:hAnsi="Times New Roman"/>
          <w:bCs/>
          <w:i/>
          <w:sz w:val="24"/>
          <w:szCs w:val="24"/>
        </w:rPr>
        <w:t xml:space="preserve">“Addressing gaps on multi-sectoral costing and financial tracking for nutrition” </w:t>
      </w:r>
      <w:r>
        <w:rPr>
          <w:rFonts w:ascii="Times New Roman" w:eastAsia="Times New Roman" w:hAnsi="Times New Roman"/>
          <w:snapToGrid w:val="0"/>
          <w:color w:val="auto"/>
          <w:sz w:val="24"/>
          <w:szCs w:val="24"/>
          <w:lang w:val="en-GB"/>
        </w:rPr>
        <w:t xml:space="preserve">project </w:t>
      </w:r>
      <w:r>
        <w:rPr>
          <w:rFonts w:ascii="Times New Roman" w:hAnsi="Times New Roman"/>
          <w:bCs/>
          <w:sz w:val="24"/>
          <w:szCs w:val="24"/>
        </w:rPr>
        <w:t xml:space="preserve">is to support </w:t>
      </w:r>
      <w:r>
        <w:rPr>
          <w:rFonts w:ascii="Times New Roman" w:eastAsia="Times New Roman" w:hAnsi="Times New Roman"/>
          <w:snapToGrid w:val="0"/>
          <w:color w:val="auto"/>
          <w:sz w:val="24"/>
          <w:szCs w:val="24"/>
          <w:lang w:val="en-GB"/>
        </w:rPr>
        <w:t xml:space="preserve">SUN Countries joining the exercise to develop common results frameworks and cost national and sub-national plans for nutrition in order to guide coordinated implementation by stakeholders and to mobilise the required resources to address gaps and sustain results. </w:t>
      </w:r>
    </w:p>
    <w:p w:rsidR="001920CA" w:rsidRDefault="001920CA" w:rsidP="001920CA">
      <w:pPr>
        <w:pStyle w:val="Body"/>
        <w:spacing w:after="120" w:line="240" w:lineRule="auto"/>
        <w:ind w:firstLine="0"/>
        <w:rPr>
          <w:rFonts w:ascii="Times New Roman" w:eastAsia="Times New Roman" w:hAnsi="Times New Roman"/>
          <w:b/>
          <w:snapToGrid w:val="0"/>
          <w:color w:val="auto"/>
          <w:sz w:val="24"/>
          <w:szCs w:val="24"/>
          <w:u w:val="single"/>
          <w:lang w:val="en-GB"/>
        </w:rPr>
      </w:pPr>
      <w:r>
        <w:rPr>
          <w:rFonts w:ascii="Times New Roman" w:hAnsi="Times New Roman"/>
          <w:bCs/>
          <w:sz w:val="24"/>
          <w:szCs w:val="24"/>
        </w:rPr>
        <w:t>Regional workshops organized within the framework of this project aimed</w:t>
      </w:r>
      <w:r>
        <w:rPr>
          <w:rFonts w:ascii="Times New Roman" w:hAnsi="Times New Roman"/>
          <w:sz w:val="24"/>
          <w:szCs w:val="24"/>
        </w:rPr>
        <w:t xml:space="preserve"> to accelerate efforts of countries to report on nutrition-relevant budget allocations to increase </w:t>
      </w:r>
      <w:r>
        <w:rPr>
          <w:rFonts w:ascii="Times New Roman" w:eastAsia="Times New Roman" w:hAnsi="Times New Roman"/>
          <w:snapToGrid w:val="0"/>
          <w:color w:val="auto"/>
          <w:sz w:val="24"/>
          <w:szCs w:val="24"/>
          <w:lang w:val="en-GB"/>
        </w:rPr>
        <w:t xml:space="preserve">the dialogue and alignment among sectors and to mobilize resources towards improved nutrition. This project covered Asia, Africa and Latin America. </w:t>
      </w:r>
      <w:r>
        <w:rPr>
          <w:rFonts w:ascii="Times New Roman" w:eastAsia="Times New Roman" w:hAnsi="Times New Roman"/>
          <w:b/>
          <w:snapToGrid w:val="0"/>
          <w:color w:val="auto"/>
          <w:sz w:val="24"/>
          <w:szCs w:val="24"/>
          <w:u w:val="single"/>
          <w:lang w:val="en-GB"/>
        </w:rPr>
        <w:t>(MPTF Logframe Window 1 – Key area of Change + Outcome A)</w:t>
      </w:r>
    </w:p>
    <w:p w:rsidR="00846B23" w:rsidRPr="001920CA" w:rsidRDefault="001920CA" w:rsidP="001920CA">
      <w:pPr>
        <w:pStyle w:val="Body"/>
        <w:spacing w:after="120" w:line="240" w:lineRule="auto"/>
        <w:ind w:firstLine="0"/>
        <w:rPr>
          <w:rFonts w:ascii="Times New Roman" w:hAnsi="Times New Roman"/>
          <w:sz w:val="24"/>
          <w:szCs w:val="24"/>
        </w:rPr>
      </w:pPr>
      <w:r w:rsidRPr="001920CA">
        <w:rPr>
          <w:rFonts w:ascii="Times New Roman" w:hAnsi="Times New Roman"/>
          <w:sz w:val="24"/>
          <w:szCs w:val="24"/>
        </w:rPr>
        <w:t>The</w:t>
      </w:r>
      <w:r w:rsidRPr="001920CA">
        <w:rPr>
          <w:rFonts w:ascii="Times New Roman" w:hAnsi="Times New Roman"/>
          <w:sz w:val="24"/>
          <w:szCs w:val="24"/>
        </w:rPr>
        <w:t xml:space="preserve"> main implementing partners</w:t>
      </w:r>
      <w:r w:rsidRPr="001920CA">
        <w:rPr>
          <w:rFonts w:ascii="Times New Roman" w:hAnsi="Times New Roman"/>
          <w:sz w:val="24"/>
          <w:szCs w:val="24"/>
        </w:rPr>
        <w:t xml:space="preserve"> </w:t>
      </w:r>
      <w:r>
        <w:rPr>
          <w:rFonts w:ascii="Times New Roman" w:hAnsi="Times New Roman"/>
          <w:sz w:val="24"/>
          <w:szCs w:val="24"/>
        </w:rPr>
        <w:t xml:space="preserve">were </w:t>
      </w:r>
      <w:r w:rsidRPr="001920CA">
        <w:rPr>
          <w:rFonts w:ascii="Times New Roman" w:hAnsi="Times New Roman"/>
          <w:sz w:val="24"/>
          <w:szCs w:val="24"/>
        </w:rPr>
        <w:t>UNICEF Regional Offices (West and Central Africa RO [WCARO], Eastern and Southern Africa [ESARO], Latin America and Caribbean [LACRO], East Asia [EAPRO], South Asia [ROSA])</w:t>
      </w:r>
      <w:r>
        <w:rPr>
          <w:rFonts w:ascii="Times New Roman" w:hAnsi="Times New Roman"/>
          <w:sz w:val="24"/>
          <w:szCs w:val="24"/>
        </w:rPr>
        <w:t xml:space="preserve">.  The UNICEF Regional Offices were responsible for organizing </w:t>
      </w:r>
      <w:r>
        <w:rPr>
          <w:rFonts w:ascii="Times New Roman" w:hAnsi="Times New Roman"/>
          <w:b/>
          <w:bCs/>
          <w:sz w:val="24"/>
          <w:szCs w:val="24"/>
        </w:rPr>
        <w:t>Three Regional Workshops on Tracking Domestic Resources</w:t>
      </w:r>
      <w:r>
        <w:rPr>
          <w:rFonts w:ascii="Times New Roman" w:hAnsi="Times New Roman"/>
          <w:bCs/>
          <w:sz w:val="24"/>
          <w:szCs w:val="24"/>
        </w:rPr>
        <w:t xml:space="preserve"> Asia, Africa and Latin America</w:t>
      </w:r>
      <w:r>
        <w:rPr>
          <w:rFonts w:ascii="Times New Roman" w:hAnsi="Times New Roman"/>
          <w:bCs/>
          <w:sz w:val="24"/>
          <w:szCs w:val="24"/>
        </w:rPr>
        <w:t xml:space="preserve">, </w:t>
      </w:r>
      <w:r>
        <w:rPr>
          <w:rFonts w:ascii="Times New Roman" w:hAnsi="Times New Roman"/>
          <w:sz w:val="24"/>
          <w:szCs w:val="24"/>
        </w:rPr>
        <w:t xml:space="preserve">and </w:t>
      </w:r>
      <w:r>
        <w:rPr>
          <w:rFonts w:ascii="Times New Roman" w:hAnsi="Times New Roman"/>
          <w:bCs/>
          <w:sz w:val="24"/>
          <w:szCs w:val="24"/>
        </w:rPr>
        <w:t xml:space="preserve">a further </w:t>
      </w:r>
      <w:r>
        <w:rPr>
          <w:rFonts w:ascii="Times New Roman" w:hAnsi="Times New Roman"/>
          <w:b/>
          <w:bCs/>
          <w:sz w:val="24"/>
          <w:szCs w:val="24"/>
        </w:rPr>
        <w:t>two Regional Workshops on Costing and Planning</w:t>
      </w:r>
      <w:r>
        <w:rPr>
          <w:rFonts w:ascii="Times New Roman" w:hAnsi="Times New Roman"/>
          <w:bCs/>
          <w:sz w:val="24"/>
          <w:szCs w:val="24"/>
        </w:rPr>
        <w:t xml:space="preserve"> will take place in Asia and Latin America.</w:t>
      </w:r>
      <w:r>
        <w:rPr>
          <w:rFonts w:ascii="Times New Roman" w:hAnsi="Times New Roman"/>
          <w:bCs/>
          <w:sz w:val="24"/>
          <w:szCs w:val="24"/>
        </w:rPr>
        <w:t xml:space="preserve"> This involved logistics and </w:t>
      </w:r>
    </w:p>
    <w:p w:rsidR="00846B23" w:rsidRPr="0087204D" w:rsidRDefault="00846B23" w:rsidP="00846B23">
      <w:pPr>
        <w:pStyle w:val="BodyText"/>
        <w:rPr>
          <w:sz w:val="22"/>
          <w:szCs w:val="22"/>
        </w:rPr>
      </w:pPr>
    </w:p>
    <w:p w:rsidR="00846B23" w:rsidRPr="0087204D" w:rsidRDefault="00846B23" w:rsidP="00F85741">
      <w:pPr>
        <w:pStyle w:val="BodyText"/>
        <w:widowControl/>
        <w:numPr>
          <w:ilvl w:val="0"/>
          <w:numId w:val="2"/>
        </w:numPr>
        <w:tabs>
          <w:tab w:val="clear" w:pos="1080"/>
        </w:tabs>
        <w:ind w:left="360" w:hanging="360"/>
        <w:rPr>
          <w:b/>
          <w:sz w:val="22"/>
          <w:szCs w:val="22"/>
        </w:rPr>
      </w:pPr>
      <w:r w:rsidRPr="0087204D">
        <w:rPr>
          <w:b/>
          <w:sz w:val="22"/>
          <w:szCs w:val="22"/>
        </w:rPr>
        <w:t xml:space="preserve">Resources </w:t>
      </w:r>
    </w:p>
    <w:p w:rsidR="00846B23" w:rsidRPr="0087204D" w:rsidRDefault="00846B23" w:rsidP="00846B23">
      <w:pPr>
        <w:pStyle w:val="BodyText"/>
        <w:spacing w:before="120"/>
        <w:ind w:firstLine="360"/>
        <w:rPr>
          <w:i/>
          <w:sz w:val="22"/>
          <w:szCs w:val="22"/>
        </w:rPr>
      </w:pPr>
      <w:r w:rsidRPr="0087204D">
        <w:rPr>
          <w:i/>
          <w:sz w:val="22"/>
          <w:szCs w:val="22"/>
        </w:rPr>
        <w:t>Financial Resources:</w:t>
      </w:r>
    </w:p>
    <w:p w:rsidR="00846B23" w:rsidRDefault="00846B23" w:rsidP="00846B23">
      <w:pPr>
        <w:pStyle w:val="BodyText"/>
        <w:rPr>
          <w:i/>
          <w:sz w:val="22"/>
          <w:szCs w:val="22"/>
        </w:rPr>
      </w:pPr>
    </w:p>
    <w:p w:rsidR="00F26365" w:rsidRDefault="00F26365" w:rsidP="00F26365">
      <w:pPr>
        <w:tabs>
          <w:tab w:val="left" w:pos="521"/>
        </w:tabs>
        <w:spacing w:after="60"/>
        <w:rPr>
          <w:spacing w:val="-1"/>
        </w:rPr>
      </w:pPr>
      <w:r w:rsidRPr="00F26365">
        <w:rPr>
          <w:spacing w:val="-1"/>
        </w:rPr>
        <w:t>Total Approved Programme Budget</w:t>
      </w:r>
      <w:r>
        <w:rPr>
          <w:spacing w:val="-1"/>
        </w:rPr>
        <w:t xml:space="preserve"> for this project is </w:t>
      </w:r>
      <w:r w:rsidRPr="00F26365">
        <w:rPr>
          <w:spacing w:val="-1"/>
        </w:rPr>
        <w:t>US$ 320,000</w:t>
      </w:r>
      <w:r>
        <w:rPr>
          <w:spacing w:val="-1"/>
        </w:rPr>
        <w:t xml:space="preserve">.  </w:t>
      </w:r>
    </w:p>
    <w:p w:rsidR="00F26365" w:rsidRDefault="00F26365" w:rsidP="00F26365">
      <w:pPr>
        <w:tabs>
          <w:tab w:val="left" w:pos="521"/>
        </w:tabs>
        <w:spacing w:after="60"/>
        <w:rPr>
          <w:spacing w:val="-1"/>
        </w:rPr>
      </w:pPr>
      <w:r>
        <w:rPr>
          <w:spacing w:val="-1"/>
        </w:rPr>
        <w:t>A n</w:t>
      </w:r>
      <w:r w:rsidRPr="00F26365">
        <w:rPr>
          <w:spacing w:val="-1"/>
        </w:rPr>
        <w:t>o-cost extension and budget revision was approved by the SUN MPTF on 3 August 2015</w:t>
      </w:r>
      <w:r w:rsidR="002C3E06">
        <w:rPr>
          <w:spacing w:val="-1"/>
        </w:rPr>
        <w:t xml:space="preserve">. </w:t>
      </w:r>
      <w:r w:rsidRPr="00F26365">
        <w:rPr>
          <w:spacing w:val="-1"/>
        </w:rPr>
        <w:t xml:space="preserve">The no-cost time extension </w:t>
      </w:r>
      <w:r w:rsidR="002C3E06">
        <w:rPr>
          <w:spacing w:val="-1"/>
        </w:rPr>
        <w:t>from 31 August 2015 to May 2016</w:t>
      </w:r>
      <w:r w:rsidR="002C3E06">
        <w:rPr>
          <w:spacing w:val="-1"/>
        </w:rPr>
        <w:t xml:space="preserve"> </w:t>
      </w:r>
      <w:r>
        <w:rPr>
          <w:spacing w:val="-1"/>
        </w:rPr>
        <w:t>was</w:t>
      </w:r>
      <w:r w:rsidRPr="00F26365">
        <w:rPr>
          <w:spacing w:val="-1"/>
        </w:rPr>
        <w:t xml:space="preserve"> requested so as to allow for the scheduling of the </w:t>
      </w:r>
      <w:r>
        <w:rPr>
          <w:spacing w:val="-1"/>
        </w:rPr>
        <w:t xml:space="preserve">final </w:t>
      </w:r>
      <w:r w:rsidRPr="00F26365">
        <w:rPr>
          <w:spacing w:val="-1"/>
        </w:rPr>
        <w:t>Asia workshop</w:t>
      </w:r>
      <w:r>
        <w:rPr>
          <w:spacing w:val="-1"/>
        </w:rPr>
        <w:t>.</w:t>
      </w:r>
      <w:r w:rsidRPr="00F26365">
        <w:t xml:space="preserve"> </w:t>
      </w:r>
      <w:r>
        <w:rPr>
          <w:spacing w:val="-1"/>
        </w:rPr>
        <w:t xml:space="preserve">A </w:t>
      </w:r>
      <w:r w:rsidRPr="00F26365">
        <w:rPr>
          <w:spacing w:val="-1"/>
        </w:rPr>
        <w:t>budget reallocation</w:t>
      </w:r>
      <w:r>
        <w:rPr>
          <w:spacing w:val="-1"/>
        </w:rPr>
        <w:t xml:space="preserve"> was submitted</w:t>
      </w:r>
      <w:r w:rsidR="002C3E06">
        <w:rPr>
          <w:spacing w:val="-1"/>
        </w:rPr>
        <w:t>, although the total project remained the same. (T</w:t>
      </w:r>
      <w:r>
        <w:rPr>
          <w:spacing w:val="-1"/>
        </w:rPr>
        <w:t>he final workshop was estimated to be lower than planned, with the anticipation that no additional funds would be required</w:t>
      </w:r>
      <w:r w:rsidR="002C3E06">
        <w:rPr>
          <w:spacing w:val="-1"/>
        </w:rPr>
        <w:t>)</w:t>
      </w:r>
      <w:r>
        <w:rPr>
          <w:spacing w:val="-1"/>
        </w:rPr>
        <w:t>.</w:t>
      </w:r>
    </w:p>
    <w:p w:rsidR="00F26365" w:rsidRDefault="00F26365" w:rsidP="00846B23">
      <w:pPr>
        <w:pStyle w:val="BodyText"/>
        <w:rPr>
          <w:i/>
          <w:sz w:val="22"/>
          <w:szCs w:val="22"/>
        </w:rPr>
      </w:pPr>
    </w:p>
    <w:p w:rsidR="00F26365" w:rsidRDefault="00F26365" w:rsidP="00846B23">
      <w:pPr>
        <w:pStyle w:val="BodyText"/>
        <w:rPr>
          <w:i/>
          <w:sz w:val="22"/>
          <w:szCs w:val="22"/>
        </w:rPr>
      </w:pPr>
    </w:p>
    <w:p w:rsidR="00F26365" w:rsidRPr="0087204D" w:rsidRDefault="00F26365" w:rsidP="00846B23">
      <w:pPr>
        <w:pStyle w:val="BodyText"/>
        <w:rPr>
          <w:i/>
          <w:sz w:val="22"/>
          <w:szCs w:val="22"/>
        </w:rPr>
      </w:pPr>
    </w:p>
    <w:p w:rsidR="00853A76" w:rsidRPr="0087204D" w:rsidRDefault="00853A76" w:rsidP="00846B23">
      <w:pPr>
        <w:pStyle w:val="BodyText"/>
        <w:rPr>
          <w:b/>
          <w:sz w:val="22"/>
          <w:szCs w:val="22"/>
        </w:rPr>
      </w:pPr>
    </w:p>
    <w:p w:rsidR="00846B23" w:rsidRDefault="00846B23" w:rsidP="00F85741">
      <w:pPr>
        <w:pStyle w:val="BodyText"/>
        <w:widowControl/>
        <w:numPr>
          <w:ilvl w:val="0"/>
          <w:numId w:val="2"/>
        </w:numPr>
        <w:tabs>
          <w:tab w:val="clear" w:pos="1080"/>
        </w:tabs>
        <w:ind w:left="360" w:hanging="360"/>
        <w:rPr>
          <w:b/>
          <w:sz w:val="22"/>
          <w:szCs w:val="22"/>
        </w:rPr>
      </w:pPr>
      <w:r w:rsidRPr="0087204D">
        <w:rPr>
          <w:b/>
          <w:sz w:val="22"/>
          <w:szCs w:val="22"/>
        </w:rPr>
        <w:t>Implementation and Monitoring Arrangements</w:t>
      </w:r>
    </w:p>
    <w:p w:rsidR="00D75C29" w:rsidRDefault="00D75C29" w:rsidP="00D75C29">
      <w:pPr>
        <w:pStyle w:val="BodyText"/>
        <w:widowControl/>
        <w:rPr>
          <w:b/>
          <w:sz w:val="22"/>
          <w:szCs w:val="22"/>
        </w:rPr>
      </w:pPr>
    </w:p>
    <w:p w:rsidR="002C3E06" w:rsidRDefault="00D75C29" w:rsidP="00D75C29">
      <w:pPr>
        <w:pStyle w:val="TableParagraph"/>
        <w:spacing w:before="79"/>
        <w:rPr>
          <w:rFonts w:ascii="Times New Roman" w:hAnsi="Times New Roman" w:cs="Times New Roman"/>
          <w:bCs/>
          <w:sz w:val="24"/>
          <w:szCs w:val="24"/>
        </w:rPr>
      </w:pPr>
      <w:r>
        <w:rPr>
          <w:rFonts w:ascii="Times New Roman" w:hAnsi="Times New Roman" w:cs="Times New Roman"/>
          <w:bCs/>
          <w:sz w:val="24"/>
          <w:szCs w:val="24"/>
        </w:rPr>
        <w:t xml:space="preserve">UNICEF’s Regional Offices, working with the support of the SUN Secretariat, were able to organize 4 regional workshops in Latin America, Africa (Francophone and Anglophone) and Asia on Tracking Domestic Resources and Costing and Planning (Latin America) in April 2015.  </w:t>
      </w:r>
    </w:p>
    <w:p w:rsidR="002C3E06" w:rsidRDefault="002C3E06" w:rsidP="00D75C29">
      <w:pPr>
        <w:pStyle w:val="TableParagraph"/>
        <w:spacing w:before="79"/>
        <w:rPr>
          <w:rFonts w:ascii="Times New Roman" w:hAnsi="Times New Roman" w:cs="Times New Roman"/>
          <w:bCs/>
          <w:sz w:val="24"/>
          <w:szCs w:val="24"/>
        </w:rPr>
      </w:pPr>
    </w:p>
    <w:p w:rsidR="00D75C29" w:rsidRDefault="00D75C29" w:rsidP="00D75C29">
      <w:pPr>
        <w:pStyle w:val="TableParagraph"/>
        <w:spacing w:before="79"/>
        <w:rPr>
          <w:rFonts w:ascii="Times New Roman" w:hAnsi="Times New Roman" w:cs="Times New Roman"/>
          <w:bCs/>
          <w:sz w:val="24"/>
          <w:szCs w:val="24"/>
        </w:rPr>
      </w:pPr>
      <w:r>
        <w:rPr>
          <w:rFonts w:ascii="Times New Roman" w:hAnsi="Times New Roman" w:cs="Times New Roman"/>
          <w:bCs/>
          <w:sz w:val="24"/>
          <w:szCs w:val="24"/>
        </w:rPr>
        <w:t xml:space="preserve">This capacity building and knowledge sharing exercise included representation from 32 countries, and importantly was inclusive – with participation of multiple stakeholders from national government (multiple sectors), civil society (including NGOs and academia), UN agencies, donors and the private sector. Including these multiple stakeholders allowed for the rich discussions that not only covered the step by step process for budget analysis for nutrition, but also the implications for efficiency, effectiveness, accountability and for advocacy.  </w:t>
      </w:r>
    </w:p>
    <w:p w:rsidR="00D75C29" w:rsidRDefault="00D75C29" w:rsidP="00D75C29">
      <w:pPr>
        <w:pStyle w:val="BodyText"/>
        <w:widowControl/>
        <w:rPr>
          <w:b/>
          <w:sz w:val="22"/>
          <w:szCs w:val="22"/>
          <w:lang w:val="en-US"/>
        </w:rPr>
      </w:pPr>
    </w:p>
    <w:p w:rsidR="00D75C29" w:rsidRPr="00D75C29" w:rsidRDefault="00D75C29" w:rsidP="00D75C29">
      <w:pPr>
        <w:pStyle w:val="TableParagraph"/>
        <w:spacing w:before="79"/>
        <w:rPr>
          <w:rFonts w:ascii="Times New Roman" w:hAnsi="Times New Roman" w:cs="Times New Roman"/>
          <w:bCs/>
          <w:sz w:val="24"/>
          <w:szCs w:val="24"/>
        </w:rPr>
      </w:pPr>
      <w:r w:rsidRPr="00D75C29">
        <w:rPr>
          <w:rFonts w:ascii="Times New Roman" w:hAnsi="Times New Roman" w:cs="Times New Roman"/>
          <w:bCs/>
          <w:sz w:val="24"/>
          <w:szCs w:val="24"/>
        </w:rPr>
        <w:t xml:space="preserve">No major risks were faced in implementing these workshops. </w:t>
      </w:r>
    </w:p>
    <w:p w:rsidR="00D75C29" w:rsidRDefault="00D75C29" w:rsidP="00D75C29">
      <w:pPr>
        <w:pStyle w:val="BodyText"/>
        <w:widowControl/>
        <w:rPr>
          <w:b/>
          <w:sz w:val="22"/>
          <w:szCs w:val="22"/>
          <w:lang w:val="en-US"/>
        </w:rPr>
      </w:pPr>
    </w:p>
    <w:p w:rsidR="00D75C29" w:rsidRPr="00D75C29" w:rsidRDefault="00D75C29" w:rsidP="00D75C29">
      <w:pPr>
        <w:pStyle w:val="BodyText"/>
        <w:widowControl/>
        <w:rPr>
          <w:b/>
          <w:sz w:val="22"/>
          <w:szCs w:val="22"/>
          <w:lang w:val="en-US"/>
        </w:rPr>
      </w:pPr>
    </w:p>
    <w:p w:rsidR="00846B23" w:rsidRPr="0087204D" w:rsidRDefault="00846B23" w:rsidP="00F85741">
      <w:pPr>
        <w:pStyle w:val="BodyText"/>
        <w:widowControl/>
        <w:numPr>
          <w:ilvl w:val="0"/>
          <w:numId w:val="2"/>
        </w:numPr>
        <w:tabs>
          <w:tab w:val="clear" w:pos="1080"/>
        </w:tabs>
        <w:ind w:left="360" w:hanging="360"/>
        <w:rPr>
          <w:b/>
          <w:sz w:val="22"/>
          <w:szCs w:val="22"/>
        </w:rPr>
      </w:pPr>
      <w:r w:rsidRPr="0087204D">
        <w:rPr>
          <w:b/>
          <w:sz w:val="22"/>
          <w:szCs w:val="22"/>
        </w:rPr>
        <w:t xml:space="preserve">Results </w:t>
      </w:r>
    </w:p>
    <w:p w:rsidR="00846B23" w:rsidRPr="0087204D" w:rsidRDefault="00846B23" w:rsidP="00846B23">
      <w:pPr>
        <w:pStyle w:val="BodyText"/>
        <w:ind w:left="360"/>
        <w:rPr>
          <w:sz w:val="22"/>
          <w:szCs w:val="22"/>
        </w:rPr>
      </w:pPr>
    </w:p>
    <w:p w:rsidR="00B05101" w:rsidRPr="00D75C29" w:rsidRDefault="00D75C29" w:rsidP="00B05101">
      <w:pPr>
        <w:pStyle w:val="TableParagraph"/>
        <w:spacing w:before="79"/>
        <w:rPr>
          <w:rFonts w:ascii="Times New Roman" w:hAnsi="Times New Roman" w:cs="Times New Roman"/>
          <w:bCs/>
          <w:sz w:val="24"/>
          <w:szCs w:val="24"/>
        </w:rPr>
      </w:pPr>
      <w:r w:rsidRPr="00B05101">
        <w:rPr>
          <w:rFonts w:ascii="Times New Roman" w:hAnsi="Times New Roman" w:cs="Times New Roman"/>
          <w:bCs/>
          <w:sz w:val="24"/>
          <w:szCs w:val="24"/>
        </w:rPr>
        <w:t>Below is a summary and assessment of the outcomes achieved during the reporting period.</w:t>
      </w:r>
      <w:r w:rsidR="00B05101" w:rsidRPr="00B05101">
        <w:rPr>
          <w:rFonts w:ascii="Times New Roman" w:hAnsi="Times New Roman" w:cs="Times New Roman"/>
          <w:bCs/>
          <w:sz w:val="24"/>
          <w:szCs w:val="24"/>
        </w:rPr>
        <w:t xml:space="preserve"> </w:t>
      </w:r>
      <w:r w:rsidR="00B05101" w:rsidRPr="00D75C29">
        <w:rPr>
          <w:rFonts w:ascii="Times New Roman" w:hAnsi="Times New Roman" w:cs="Times New Roman"/>
          <w:bCs/>
          <w:sz w:val="24"/>
          <w:szCs w:val="24"/>
        </w:rPr>
        <w:t xml:space="preserve">Workshop </w:t>
      </w:r>
      <w:r w:rsidR="00B05101">
        <w:rPr>
          <w:rFonts w:ascii="Times New Roman" w:hAnsi="Times New Roman" w:cs="Times New Roman"/>
          <w:bCs/>
          <w:sz w:val="24"/>
          <w:szCs w:val="24"/>
        </w:rPr>
        <w:t xml:space="preserve">outputs and reports, including lessons learned were shared in the </w:t>
      </w:r>
      <w:r w:rsidR="00B05101" w:rsidRPr="00D75C29">
        <w:rPr>
          <w:rFonts w:ascii="Times New Roman" w:hAnsi="Times New Roman" w:cs="Times New Roman"/>
          <w:bCs/>
          <w:sz w:val="24"/>
          <w:szCs w:val="24"/>
        </w:rPr>
        <w:t xml:space="preserve">Quarterly Report </w:t>
      </w:r>
      <w:r w:rsidR="00B05101">
        <w:rPr>
          <w:rFonts w:ascii="Times New Roman" w:hAnsi="Times New Roman" w:cs="Times New Roman"/>
          <w:bCs/>
          <w:sz w:val="24"/>
          <w:szCs w:val="24"/>
        </w:rPr>
        <w:t xml:space="preserve">and Annexes, submitted </w:t>
      </w:r>
      <w:r w:rsidR="00B05101" w:rsidRPr="00D75C29">
        <w:rPr>
          <w:rFonts w:ascii="Times New Roman" w:hAnsi="Times New Roman" w:cs="Times New Roman"/>
          <w:bCs/>
          <w:sz w:val="24"/>
          <w:szCs w:val="24"/>
        </w:rPr>
        <w:t>24 August 2015.</w:t>
      </w:r>
      <w:r w:rsidR="002C3E06">
        <w:rPr>
          <w:rFonts w:ascii="Times New Roman" w:hAnsi="Times New Roman" w:cs="Times New Roman"/>
          <w:bCs/>
          <w:sz w:val="24"/>
          <w:szCs w:val="24"/>
        </w:rPr>
        <w:t xml:space="preserve"> There have been no further activities since this last report.</w:t>
      </w:r>
    </w:p>
    <w:p w:rsidR="00D75C29" w:rsidRDefault="00D75C29" w:rsidP="00D75C29">
      <w:pPr>
        <w:pStyle w:val="BodyText"/>
        <w:rPr>
          <w:sz w:val="22"/>
          <w:szCs w:val="22"/>
        </w:rPr>
      </w:pPr>
    </w:p>
    <w:p w:rsidR="00D75C29" w:rsidRDefault="00D75C29" w:rsidP="00D75C29">
      <w:pPr>
        <w:pStyle w:val="BodyText"/>
        <w:rPr>
          <w:b/>
          <w:spacing w:val="-1"/>
        </w:rPr>
      </w:pPr>
      <w:r>
        <w:rPr>
          <w:b/>
          <w:spacing w:val="-1"/>
        </w:rPr>
        <w:t>Outcome</w:t>
      </w:r>
      <w:r>
        <w:rPr>
          <w:b/>
          <w:spacing w:val="-1"/>
        </w:rPr>
        <w:t xml:space="preserve"> 1:</w:t>
      </w:r>
    </w:p>
    <w:p w:rsidR="00D75C29" w:rsidRDefault="00D75C29" w:rsidP="00D75C29">
      <w:pPr>
        <w:pStyle w:val="BodyText"/>
        <w:rPr>
          <w:sz w:val="22"/>
          <w:szCs w:val="22"/>
        </w:rPr>
      </w:pPr>
      <w:r>
        <w:rPr>
          <w:b/>
          <w:bCs/>
          <w:szCs w:val="24"/>
        </w:rPr>
        <w:t>Three Regional Workshops on Tracking Domestic Resources</w:t>
      </w:r>
      <w:r>
        <w:rPr>
          <w:bCs/>
          <w:szCs w:val="24"/>
        </w:rPr>
        <w:t xml:space="preserve"> will take place in Asia, Africa and Latin America to create a space for participating countries to share the methodologies, data sources and estimated figures for nutrition-specific and nutrition-sensitive budget allocations across relevant sectors.</w:t>
      </w:r>
    </w:p>
    <w:p w:rsidR="00D75C29" w:rsidRDefault="00D75C29" w:rsidP="00846B23">
      <w:pPr>
        <w:pStyle w:val="BodyText"/>
        <w:ind w:left="360"/>
        <w:rPr>
          <w:sz w:val="22"/>
          <w:szCs w:val="22"/>
        </w:rPr>
      </w:pPr>
    </w:p>
    <w:p w:rsidR="00D75C29" w:rsidRDefault="00D75C29" w:rsidP="00D75C29">
      <w:pPr>
        <w:pStyle w:val="BodyText"/>
        <w:rPr>
          <w:b/>
          <w:spacing w:val="-1"/>
        </w:rPr>
      </w:pPr>
      <w:r>
        <w:rPr>
          <w:b/>
          <w:spacing w:val="-1"/>
        </w:rPr>
        <w:t>Achievements/Results:</w:t>
      </w:r>
      <w:r>
        <w:rPr>
          <w:b/>
          <w:spacing w:val="-1"/>
        </w:rPr>
        <w:t xml:space="preserve"> Fully achieved.</w:t>
      </w:r>
    </w:p>
    <w:p w:rsidR="00D75C29" w:rsidRDefault="00D75C29" w:rsidP="00D75C29">
      <w:pPr>
        <w:pStyle w:val="BodyText"/>
        <w:rPr>
          <w:b/>
          <w:spacing w:val="-1"/>
        </w:rPr>
      </w:pPr>
    </w:p>
    <w:p w:rsidR="00D75C29" w:rsidRDefault="00D75C29" w:rsidP="00D75C29">
      <w:pPr>
        <w:rPr>
          <w:b/>
          <w:bCs/>
          <w:snapToGrid/>
          <w:szCs w:val="24"/>
          <w:lang w:val="en-US"/>
        </w:rPr>
      </w:pPr>
      <w:r>
        <w:rPr>
          <w:b/>
          <w:bCs/>
          <w:szCs w:val="24"/>
        </w:rPr>
        <w:t xml:space="preserve">Four tracking Domestic Resources workshop were held in April 2015 in: </w:t>
      </w:r>
    </w:p>
    <w:p w:rsidR="00D75C29" w:rsidRDefault="00D75C29" w:rsidP="00F85741">
      <w:pPr>
        <w:pStyle w:val="ListParagraph"/>
        <w:numPr>
          <w:ilvl w:val="0"/>
          <w:numId w:val="4"/>
        </w:numPr>
        <w:ind w:left="360"/>
        <w:contextualSpacing/>
        <w:rPr>
          <w:szCs w:val="24"/>
        </w:rPr>
      </w:pPr>
      <w:r>
        <w:rPr>
          <w:b/>
          <w:bCs/>
          <w:szCs w:val="24"/>
        </w:rPr>
        <w:t xml:space="preserve">Asia </w:t>
      </w:r>
      <w:r>
        <w:rPr>
          <w:bCs/>
          <w:szCs w:val="24"/>
        </w:rPr>
        <w:t xml:space="preserve">(Bangkok) for </w:t>
      </w:r>
      <w:r>
        <w:rPr>
          <w:szCs w:val="24"/>
        </w:rPr>
        <w:t>Bangladesh, Indonesia, Maharashtra State, Nepal, Pakistan, Philippines, Tajikistan and Vietnam.</w:t>
      </w:r>
    </w:p>
    <w:p w:rsidR="00D75C29" w:rsidRDefault="00D75C29" w:rsidP="00F85741">
      <w:pPr>
        <w:pStyle w:val="ListParagraph"/>
        <w:numPr>
          <w:ilvl w:val="0"/>
          <w:numId w:val="4"/>
        </w:numPr>
        <w:ind w:left="360"/>
        <w:contextualSpacing/>
        <w:rPr>
          <w:szCs w:val="24"/>
          <w:lang w:val="es-US"/>
        </w:rPr>
      </w:pPr>
      <w:r>
        <w:rPr>
          <w:b/>
          <w:bCs/>
          <w:szCs w:val="24"/>
          <w:lang w:val="es-US"/>
        </w:rPr>
        <w:t xml:space="preserve">Latin America </w:t>
      </w:r>
      <w:r>
        <w:rPr>
          <w:bCs/>
          <w:szCs w:val="24"/>
          <w:lang w:val="es-US"/>
        </w:rPr>
        <w:t xml:space="preserve">(Guatemala) for </w:t>
      </w:r>
      <w:r>
        <w:rPr>
          <w:szCs w:val="24"/>
          <w:lang w:val="es-US"/>
        </w:rPr>
        <w:t>Costa Rica, Guatemala, El Salvador, Peru.</w:t>
      </w:r>
    </w:p>
    <w:p w:rsidR="00D75C29" w:rsidRDefault="00D75C29" w:rsidP="00F85741">
      <w:pPr>
        <w:pStyle w:val="ListParagraph"/>
        <w:numPr>
          <w:ilvl w:val="0"/>
          <w:numId w:val="4"/>
        </w:numPr>
        <w:ind w:left="360"/>
        <w:contextualSpacing/>
        <w:rPr>
          <w:szCs w:val="24"/>
          <w:lang w:val="fr-FR"/>
        </w:rPr>
      </w:pPr>
      <w:r>
        <w:rPr>
          <w:b/>
          <w:szCs w:val="24"/>
          <w:lang w:val="fr-FR"/>
        </w:rPr>
        <w:t>Africa</w:t>
      </w:r>
      <w:r>
        <w:rPr>
          <w:szCs w:val="24"/>
          <w:lang w:val="fr-FR"/>
        </w:rPr>
        <w:t xml:space="preserve"> (Abidjan – Francophone) for (le Bénin, le Burkina Faso, le Burundi, le Cameroun, les Comores, la Côte d’Ivoire,</w:t>
      </w:r>
    </w:p>
    <w:p w:rsidR="00D75C29" w:rsidRDefault="00D75C29" w:rsidP="00D75C29">
      <w:pPr>
        <w:pStyle w:val="ListParagraph"/>
        <w:ind w:left="360"/>
        <w:rPr>
          <w:szCs w:val="24"/>
          <w:lang w:val="fr-FR"/>
        </w:rPr>
      </w:pPr>
      <w:r>
        <w:rPr>
          <w:szCs w:val="24"/>
          <w:lang w:val="fr-FR"/>
        </w:rPr>
        <w:t>Madagascar, le Mali, la Mauritanie, la République Démocratique du Congo, le Sénégal, le Tchad et le Togo)</w:t>
      </w:r>
    </w:p>
    <w:p w:rsidR="00D75C29" w:rsidRPr="00D75C29" w:rsidRDefault="00D75C29" w:rsidP="00F85741">
      <w:pPr>
        <w:pStyle w:val="ListParagraph"/>
        <w:numPr>
          <w:ilvl w:val="0"/>
          <w:numId w:val="4"/>
        </w:numPr>
        <w:ind w:left="360"/>
        <w:contextualSpacing/>
        <w:rPr>
          <w:b/>
          <w:bCs/>
          <w:szCs w:val="24"/>
          <w:lang w:val="en-US"/>
        </w:rPr>
      </w:pPr>
      <w:r>
        <w:rPr>
          <w:b/>
          <w:szCs w:val="24"/>
          <w:lang w:val="fr-FR"/>
        </w:rPr>
        <w:t>Africa</w:t>
      </w:r>
      <w:r>
        <w:rPr>
          <w:szCs w:val="24"/>
          <w:lang w:val="fr-FR"/>
        </w:rPr>
        <w:t xml:space="preserve"> (Entebbe – Anglophone) for </w:t>
      </w:r>
      <w:r>
        <w:rPr>
          <w:szCs w:val="24"/>
        </w:rPr>
        <w:t>Ghana, Kenya, Lesotho, South Sudan, The Gambia, Uganda and Zambia</w:t>
      </w:r>
    </w:p>
    <w:p w:rsidR="00D75C29" w:rsidRDefault="00D75C29" w:rsidP="00D75C29">
      <w:pPr>
        <w:pStyle w:val="ListParagraph"/>
        <w:ind w:left="360"/>
        <w:contextualSpacing/>
        <w:rPr>
          <w:b/>
          <w:bCs/>
          <w:szCs w:val="24"/>
          <w:lang w:val="en-US"/>
        </w:rPr>
      </w:pPr>
    </w:p>
    <w:p w:rsidR="00D75C29" w:rsidRDefault="00D75C29" w:rsidP="00D75C29">
      <w:pPr>
        <w:rPr>
          <w:szCs w:val="24"/>
        </w:rPr>
      </w:pPr>
      <w:r>
        <w:rPr>
          <w:b/>
          <w:bCs/>
          <w:szCs w:val="24"/>
        </w:rPr>
        <w:t xml:space="preserve">In total, government representatives from 32 countries (including 2 observing countries) participated. </w:t>
      </w:r>
      <w:r>
        <w:rPr>
          <w:bCs/>
          <w:szCs w:val="24"/>
        </w:rPr>
        <w:t>In addition,</w:t>
      </w:r>
      <w:r>
        <w:rPr>
          <w:b/>
          <w:bCs/>
          <w:szCs w:val="24"/>
        </w:rPr>
        <w:t xml:space="preserve"> </w:t>
      </w:r>
      <w:r>
        <w:rPr>
          <w:szCs w:val="24"/>
        </w:rPr>
        <w:t xml:space="preserve">multiple stakeholder groups including the United Nations, Civil Society, Private sector and Donor organizations participated.  </w:t>
      </w:r>
    </w:p>
    <w:p w:rsidR="00D75C29" w:rsidRDefault="00D75C29" w:rsidP="00D75C29">
      <w:pPr>
        <w:rPr>
          <w:szCs w:val="22"/>
        </w:rPr>
      </w:pPr>
      <w:r>
        <w:rPr>
          <w:szCs w:val="24"/>
        </w:rPr>
        <w:t>Countries had made significant progress with the 3-step process for budget analysis and were able to improve their understanding in key areas in</w:t>
      </w:r>
      <w:r>
        <w:t>cluding;</w:t>
      </w:r>
    </w:p>
    <w:p w:rsidR="00D75C29" w:rsidRDefault="00D75C29" w:rsidP="00F85741">
      <w:pPr>
        <w:pStyle w:val="ListParagraph"/>
        <w:numPr>
          <w:ilvl w:val="0"/>
          <w:numId w:val="5"/>
        </w:numPr>
        <w:contextualSpacing/>
      </w:pPr>
      <w:r>
        <w:t>how to reach an estimate of the total budget relevant to nutrition across key sectors</w:t>
      </w:r>
    </w:p>
    <w:p w:rsidR="00D75C29" w:rsidRDefault="00D75C29" w:rsidP="00F85741">
      <w:pPr>
        <w:pStyle w:val="ListParagraph"/>
        <w:numPr>
          <w:ilvl w:val="0"/>
          <w:numId w:val="5"/>
        </w:numPr>
        <w:contextualSpacing/>
      </w:pPr>
      <w:r>
        <w:t>understand with key ministries how investments can improve their effectiveness and reach</w:t>
      </w:r>
    </w:p>
    <w:p w:rsidR="00D75C29" w:rsidRDefault="00D75C29" w:rsidP="00F85741">
      <w:pPr>
        <w:pStyle w:val="ListParagraph"/>
        <w:numPr>
          <w:ilvl w:val="0"/>
          <w:numId w:val="5"/>
        </w:numPr>
        <w:contextualSpacing/>
      </w:pPr>
      <w:r>
        <w:lastRenderedPageBreak/>
        <w:t>how the findings can be used for advocacy</w:t>
      </w:r>
    </w:p>
    <w:p w:rsidR="00D75C29" w:rsidRDefault="00D75C29" w:rsidP="00F85741">
      <w:pPr>
        <w:pStyle w:val="ListParagraph"/>
        <w:numPr>
          <w:ilvl w:val="0"/>
          <w:numId w:val="5"/>
        </w:numPr>
        <w:contextualSpacing/>
      </w:pPr>
      <w:r>
        <w:t>how budget analysis forms part of a wider effort to track financial resources</w:t>
      </w:r>
    </w:p>
    <w:p w:rsidR="00D75C29" w:rsidRDefault="00D75C29" w:rsidP="00D75C29"/>
    <w:p w:rsidR="00D75C29" w:rsidRDefault="00D75C29" w:rsidP="00D75C29">
      <w:r>
        <w:t>Country-specific results and conclusions are available in the workshop reports.</w:t>
      </w:r>
    </w:p>
    <w:p w:rsidR="00D75C29" w:rsidRDefault="00D75C29" w:rsidP="00D75C29">
      <w:pPr>
        <w:pStyle w:val="BodyText"/>
        <w:rPr>
          <w:b/>
          <w:spacing w:val="-1"/>
        </w:rPr>
      </w:pPr>
    </w:p>
    <w:p w:rsidR="00D75C29" w:rsidRDefault="00D75C29" w:rsidP="00D75C29">
      <w:pPr>
        <w:pStyle w:val="BodyText"/>
        <w:rPr>
          <w:b/>
          <w:spacing w:val="-1"/>
        </w:rPr>
      </w:pPr>
    </w:p>
    <w:p w:rsidR="00D75C29" w:rsidRDefault="00D75C29" w:rsidP="00D75C29">
      <w:pPr>
        <w:pStyle w:val="BodyText"/>
        <w:rPr>
          <w:b/>
          <w:spacing w:val="-1"/>
        </w:rPr>
      </w:pPr>
      <w:r>
        <w:rPr>
          <w:b/>
          <w:spacing w:val="-1"/>
        </w:rPr>
        <w:t xml:space="preserve">Outcome </w:t>
      </w:r>
      <w:r>
        <w:rPr>
          <w:b/>
          <w:spacing w:val="-1"/>
        </w:rPr>
        <w:t>2</w:t>
      </w:r>
      <w:r>
        <w:rPr>
          <w:b/>
          <w:spacing w:val="-1"/>
        </w:rPr>
        <w:t>:</w:t>
      </w:r>
      <w:r>
        <w:rPr>
          <w:b/>
          <w:spacing w:val="-1"/>
        </w:rPr>
        <w:t xml:space="preserve"> </w:t>
      </w:r>
      <w:r>
        <w:rPr>
          <w:bCs/>
          <w:szCs w:val="24"/>
        </w:rPr>
        <w:t xml:space="preserve">Building on previous Costing and Planning workshops held in Africa in 2014, a further </w:t>
      </w:r>
      <w:r>
        <w:rPr>
          <w:b/>
          <w:bCs/>
          <w:szCs w:val="24"/>
        </w:rPr>
        <w:t>two Regional Workshops on Costing and Planning</w:t>
      </w:r>
      <w:r>
        <w:rPr>
          <w:bCs/>
          <w:szCs w:val="24"/>
        </w:rPr>
        <w:t xml:space="preserve"> will take place in Asia and Latin America.</w:t>
      </w:r>
    </w:p>
    <w:p w:rsidR="00D75C29" w:rsidRDefault="00D75C29" w:rsidP="00D75C29">
      <w:pPr>
        <w:pStyle w:val="BodyText"/>
        <w:rPr>
          <w:sz w:val="22"/>
          <w:szCs w:val="22"/>
        </w:rPr>
      </w:pPr>
    </w:p>
    <w:p w:rsidR="00D75C29" w:rsidRDefault="00D75C29" w:rsidP="00D75C29">
      <w:pPr>
        <w:pStyle w:val="BodyText"/>
        <w:rPr>
          <w:b/>
          <w:spacing w:val="-1"/>
        </w:rPr>
      </w:pPr>
      <w:r>
        <w:rPr>
          <w:b/>
          <w:spacing w:val="-1"/>
        </w:rPr>
        <w:t xml:space="preserve">Achievements/Results: </w:t>
      </w:r>
      <w:r>
        <w:rPr>
          <w:b/>
          <w:spacing w:val="-1"/>
        </w:rPr>
        <w:t xml:space="preserve">Partially </w:t>
      </w:r>
      <w:r>
        <w:rPr>
          <w:b/>
          <w:spacing w:val="-1"/>
        </w:rPr>
        <w:t>achieved.</w:t>
      </w:r>
    </w:p>
    <w:p w:rsidR="00D75C29" w:rsidRDefault="00D75C29" w:rsidP="00D75C29">
      <w:pPr>
        <w:rPr>
          <w:b/>
          <w:bCs/>
          <w:szCs w:val="24"/>
        </w:rPr>
      </w:pPr>
    </w:p>
    <w:p w:rsidR="00D75C29" w:rsidRDefault="00D75C29" w:rsidP="00D75C29">
      <w:pPr>
        <w:rPr>
          <w:snapToGrid/>
          <w:szCs w:val="24"/>
          <w:lang w:val="en-US"/>
        </w:rPr>
      </w:pPr>
      <w:r>
        <w:rPr>
          <w:b/>
          <w:bCs/>
          <w:szCs w:val="24"/>
        </w:rPr>
        <w:t>One Regional Workshop on Costing and Planning</w:t>
      </w:r>
      <w:r>
        <w:rPr>
          <w:bCs/>
          <w:szCs w:val="24"/>
        </w:rPr>
        <w:t xml:space="preserve"> </w:t>
      </w:r>
      <w:r>
        <w:rPr>
          <w:b/>
          <w:bCs/>
          <w:szCs w:val="24"/>
        </w:rPr>
        <w:t xml:space="preserve">Domestic Resources workshop took place in April 2015 in Latin America (back to back with the Tracking Domestic Resources workshop). </w:t>
      </w:r>
      <w:r>
        <w:rPr>
          <w:bCs/>
          <w:szCs w:val="24"/>
        </w:rPr>
        <w:t>This joint workshop took place in</w:t>
      </w:r>
      <w:r>
        <w:rPr>
          <w:b/>
          <w:bCs/>
          <w:szCs w:val="24"/>
        </w:rPr>
        <w:t xml:space="preserve"> </w:t>
      </w:r>
      <w:r>
        <w:rPr>
          <w:bCs/>
          <w:szCs w:val="24"/>
        </w:rPr>
        <w:t xml:space="preserve">Guatemala with participation of four countries:  for </w:t>
      </w:r>
      <w:r>
        <w:rPr>
          <w:szCs w:val="24"/>
        </w:rPr>
        <w:t>Costa Rica, Guatemala, El Salvador, Peru.</w:t>
      </w:r>
    </w:p>
    <w:p w:rsidR="00D75C29" w:rsidRDefault="00D75C29" w:rsidP="00D75C29">
      <w:pPr>
        <w:rPr>
          <w:szCs w:val="22"/>
        </w:rPr>
      </w:pPr>
    </w:p>
    <w:p w:rsidR="00D75C29" w:rsidRDefault="00D75C29" w:rsidP="00D75C29">
      <w:r>
        <w:t>Country-specific results and conclusions are available in the workshop reports.</w:t>
      </w:r>
    </w:p>
    <w:p w:rsidR="00D75C29" w:rsidRDefault="00D75C29" w:rsidP="00D75C29">
      <w:pPr>
        <w:pStyle w:val="TableParagraph"/>
        <w:spacing w:before="79"/>
        <w:rPr>
          <w:rFonts w:ascii="Times New Roman"/>
          <w:b/>
          <w:spacing w:val="-1"/>
          <w:sz w:val="24"/>
          <w:szCs w:val="24"/>
        </w:rPr>
      </w:pPr>
    </w:p>
    <w:p w:rsidR="00D75C29" w:rsidRPr="0087204D" w:rsidRDefault="00D75C29" w:rsidP="00846B23">
      <w:pPr>
        <w:pStyle w:val="BodyText"/>
        <w:ind w:left="360"/>
        <w:rPr>
          <w:sz w:val="22"/>
          <w:szCs w:val="22"/>
        </w:rPr>
      </w:pPr>
    </w:p>
    <w:p w:rsidR="00846B23" w:rsidRPr="0087204D" w:rsidRDefault="00846B23" w:rsidP="00F85741">
      <w:pPr>
        <w:pStyle w:val="BodyText"/>
        <w:widowControl/>
        <w:numPr>
          <w:ilvl w:val="0"/>
          <w:numId w:val="2"/>
        </w:numPr>
        <w:tabs>
          <w:tab w:val="clear" w:pos="1080"/>
          <w:tab w:val="num" w:pos="360"/>
        </w:tabs>
        <w:ind w:left="360" w:hanging="360"/>
        <w:rPr>
          <w:b/>
          <w:bCs/>
          <w:sz w:val="22"/>
          <w:szCs w:val="22"/>
        </w:rPr>
      </w:pPr>
      <w:r w:rsidRPr="0087204D">
        <w:rPr>
          <w:b/>
          <w:sz w:val="22"/>
          <w:szCs w:val="22"/>
        </w:rPr>
        <w:t>Future Work Plan</w:t>
      </w:r>
      <w:r w:rsidRPr="0087204D">
        <w:rPr>
          <w:b/>
          <w:bCs/>
          <w:sz w:val="22"/>
          <w:szCs w:val="22"/>
        </w:rPr>
        <w:t xml:space="preserve"> </w:t>
      </w:r>
      <w:r w:rsidRPr="0087204D">
        <w:rPr>
          <w:b/>
          <w:sz w:val="22"/>
          <w:szCs w:val="22"/>
        </w:rPr>
        <w:t xml:space="preserve"> </w:t>
      </w:r>
    </w:p>
    <w:p w:rsidR="008B1363" w:rsidRDefault="00B05101" w:rsidP="008B1363">
      <w:pPr>
        <w:pStyle w:val="Body"/>
        <w:spacing w:before="160" w:after="160" w:line="240" w:lineRule="auto"/>
        <w:ind w:firstLine="0"/>
        <w:rPr>
          <w:rFonts w:ascii="Times New Roman"/>
          <w:spacing w:val="-1"/>
          <w:sz w:val="24"/>
          <w:szCs w:val="24"/>
        </w:rPr>
      </w:pPr>
      <w:r>
        <w:rPr>
          <w:rFonts w:ascii="Times New Roman"/>
          <w:spacing w:val="-1"/>
          <w:sz w:val="24"/>
          <w:szCs w:val="24"/>
        </w:rPr>
        <w:t xml:space="preserve">The final Asia workshop is scheduled to take place in Bangkok </w:t>
      </w:r>
      <w:r w:rsidR="00444D10" w:rsidRPr="008B1363">
        <w:rPr>
          <w:rFonts w:ascii="Times New Roman"/>
          <w:spacing w:val="-1"/>
          <w:sz w:val="24"/>
          <w:szCs w:val="24"/>
        </w:rPr>
        <w:t xml:space="preserve">for </w:t>
      </w:r>
      <w:r w:rsidR="00444D10" w:rsidRPr="008B1363">
        <w:rPr>
          <w:rFonts w:ascii="Times New Roman"/>
          <w:spacing w:val="-1"/>
          <w:sz w:val="24"/>
          <w:szCs w:val="24"/>
        </w:rPr>
        <w:t xml:space="preserve">25-27 April </w:t>
      </w:r>
      <w:r w:rsidR="00444D10" w:rsidRPr="008B1363">
        <w:rPr>
          <w:rFonts w:ascii="Times New Roman"/>
          <w:spacing w:val="-1"/>
          <w:sz w:val="24"/>
          <w:szCs w:val="24"/>
        </w:rPr>
        <w:t xml:space="preserve">2016 </w:t>
      </w:r>
      <w:r w:rsidR="00444D10" w:rsidRPr="008B1363">
        <w:rPr>
          <w:rFonts w:ascii="Times New Roman"/>
          <w:spacing w:val="-1"/>
          <w:sz w:val="24"/>
          <w:szCs w:val="24"/>
        </w:rPr>
        <w:t xml:space="preserve">for CEE/CIS, ROSA and EAPRO SUN countries plus a few additional prospective SUN countries. </w:t>
      </w:r>
      <w:r w:rsidR="008B1363" w:rsidRPr="008B1363">
        <w:rPr>
          <w:rFonts w:ascii="Times New Roman"/>
          <w:spacing w:val="-1"/>
          <w:sz w:val="24"/>
          <w:szCs w:val="24"/>
        </w:rPr>
        <w:t xml:space="preserve">Participants included government representatives from planning, health and finance sectors and multiple stakeholder groups including the United Nations, Civil Society and Donor </w:t>
      </w:r>
      <w:r w:rsidR="002C3E06" w:rsidRPr="008B1363">
        <w:rPr>
          <w:rFonts w:ascii="Times New Roman"/>
          <w:spacing w:val="-1"/>
          <w:sz w:val="24"/>
          <w:szCs w:val="24"/>
        </w:rPr>
        <w:t>organizations</w:t>
      </w:r>
      <w:r w:rsidR="008B1363" w:rsidRPr="008B1363">
        <w:rPr>
          <w:rFonts w:ascii="Times New Roman"/>
          <w:spacing w:val="-1"/>
          <w:sz w:val="24"/>
          <w:szCs w:val="24"/>
        </w:rPr>
        <w:t>.</w:t>
      </w:r>
      <w:r w:rsidR="008B1363">
        <w:rPr>
          <w:rFonts w:ascii="Times New Roman"/>
          <w:spacing w:val="-1"/>
          <w:sz w:val="24"/>
          <w:szCs w:val="24"/>
        </w:rPr>
        <w:t xml:space="preserve"> </w:t>
      </w:r>
    </w:p>
    <w:p w:rsidR="008B1363" w:rsidRPr="00D430B1" w:rsidRDefault="008B1363" w:rsidP="008B1363">
      <w:r w:rsidRPr="00D430B1">
        <w:t>The workshop’s main objectives are as follows:</w:t>
      </w:r>
    </w:p>
    <w:p w:rsidR="008B1363" w:rsidRPr="00D430B1" w:rsidRDefault="008B1363" w:rsidP="00F85741">
      <w:pPr>
        <w:pStyle w:val="ListParagraph"/>
        <w:widowControl/>
        <w:numPr>
          <w:ilvl w:val="0"/>
          <w:numId w:val="6"/>
        </w:numPr>
        <w:spacing w:before="200" w:after="200"/>
        <w:contextualSpacing/>
      </w:pPr>
      <w:r w:rsidRPr="00D430B1">
        <w:t xml:space="preserve">To get an estimate of the total budget allocated for nutrition across the key sectors and identify changes over time. </w:t>
      </w:r>
    </w:p>
    <w:p w:rsidR="008B1363" w:rsidRPr="00D430B1" w:rsidRDefault="008B1363" w:rsidP="00F85741">
      <w:pPr>
        <w:pStyle w:val="ListParagraph"/>
        <w:widowControl/>
        <w:numPr>
          <w:ilvl w:val="0"/>
          <w:numId w:val="6"/>
        </w:numPr>
        <w:spacing w:before="200" w:after="200"/>
        <w:contextualSpacing/>
      </w:pPr>
      <w:r w:rsidRPr="00D430B1">
        <w:t>To better understand with key ministries and departments how the identified investments can improve their effectiveness and coverage.</w:t>
      </w:r>
    </w:p>
    <w:p w:rsidR="008B1363" w:rsidRPr="00D430B1" w:rsidRDefault="008B1363" w:rsidP="00F85741">
      <w:pPr>
        <w:pStyle w:val="ListParagraph"/>
        <w:widowControl/>
        <w:numPr>
          <w:ilvl w:val="0"/>
          <w:numId w:val="6"/>
        </w:numPr>
        <w:spacing w:before="200" w:after="200"/>
        <w:contextualSpacing/>
      </w:pPr>
      <w:r w:rsidRPr="00D430B1">
        <w:t xml:space="preserve">To share analyses of the costs of not investing in improving nutrition (the costs of malnutrition) </w:t>
      </w:r>
    </w:p>
    <w:p w:rsidR="008B1363" w:rsidRPr="00D430B1" w:rsidRDefault="008B1363" w:rsidP="00F85741">
      <w:pPr>
        <w:pStyle w:val="ListParagraph"/>
        <w:widowControl/>
        <w:numPr>
          <w:ilvl w:val="0"/>
          <w:numId w:val="6"/>
        </w:numPr>
        <w:spacing w:before="200" w:after="200"/>
        <w:contextualSpacing/>
      </w:pPr>
      <w:r w:rsidRPr="00D430B1">
        <w:t>To discuss how the findings can be disseminated and used for advocacy in making the investment case with different audiences.</w:t>
      </w:r>
    </w:p>
    <w:p w:rsidR="008B1363" w:rsidRDefault="008B1363" w:rsidP="00F85741">
      <w:pPr>
        <w:pStyle w:val="ListParagraph"/>
        <w:widowControl/>
        <w:numPr>
          <w:ilvl w:val="0"/>
          <w:numId w:val="6"/>
        </w:numPr>
        <w:spacing w:before="200" w:after="200"/>
        <w:contextualSpacing/>
      </w:pPr>
      <w:r w:rsidRPr="00D430B1">
        <w:t>To provide examples of best practices and quality costing of nutrition actions (specific and sensitive) across sectors</w:t>
      </w:r>
    </w:p>
    <w:p w:rsidR="008B1363" w:rsidRPr="008B1363" w:rsidRDefault="008B1363" w:rsidP="00F85741">
      <w:pPr>
        <w:pStyle w:val="ListParagraph"/>
        <w:widowControl/>
        <w:numPr>
          <w:ilvl w:val="0"/>
          <w:numId w:val="6"/>
        </w:numPr>
        <w:spacing w:before="200" w:after="200"/>
        <w:contextualSpacing/>
      </w:pPr>
      <w:r w:rsidRPr="00D430B1">
        <w:t>To discuss how this exercise can become part of more comprehensive efforts to track financial resources and undertake quality costing exercises at different levels to hold responsible parties accountable and leverage increased investment for nutrition. Linked to this how the SUN Movement and resource persons or institutions can provide timely and adequate support.</w:t>
      </w:r>
    </w:p>
    <w:p w:rsidR="00846B23" w:rsidRPr="008B1363" w:rsidRDefault="002C3E06" w:rsidP="008B1363">
      <w:pPr>
        <w:pStyle w:val="Body"/>
        <w:spacing w:before="160" w:after="160" w:line="240" w:lineRule="auto"/>
        <w:ind w:firstLine="0"/>
        <w:rPr>
          <w:rFonts w:ascii="Times New Roman"/>
          <w:spacing w:val="-1"/>
          <w:sz w:val="24"/>
          <w:szCs w:val="24"/>
        </w:rPr>
      </w:pPr>
      <w:r>
        <w:rPr>
          <w:rFonts w:ascii="Times New Roman"/>
          <w:spacing w:val="-1"/>
          <w:sz w:val="24"/>
          <w:szCs w:val="24"/>
        </w:rPr>
        <w:t>The e</w:t>
      </w:r>
      <w:r w:rsidR="00846B23" w:rsidRPr="008B1363">
        <w:rPr>
          <w:rFonts w:ascii="Times New Roman"/>
          <w:spacing w:val="-1"/>
          <w:sz w:val="24"/>
          <w:szCs w:val="24"/>
        </w:rPr>
        <w:t xml:space="preserve">stimated </w:t>
      </w:r>
      <w:r>
        <w:rPr>
          <w:rFonts w:ascii="Times New Roman"/>
          <w:spacing w:val="-1"/>
          <w:sz w:val="24"/>
          <w:szCs w:val="24"/>
        </w:rPr>
        <w:t>b</w:t>
      </w:r>
      <w:r w:rsidR="00846B23" w:rsidRPr="008B1363">
        <w:rPr>
          <w:rFonts w:ascii="Times New Roman"/>
          <w:spacing w:val="-1"/>
          <w:sz w:val="24"/>
          <w:szCs w:val="24"/>
        </w:rPr>
        <w:t xml:space="preserve">udget </w:t>
      </w:r>
      <w:r>
        <w:rPr>
          <w:rFonts w:ascii="Times New Roman"/>
          <w:spacing w:val="-1"/>
          <w:sz w:val="24"/>
          <w:szCs w:val="24"/>
        </w:rPr>
        <w:t xml:space="preserve">remains </w:t>
      </w:r>
      <w:r w:rsidR="0046717F">
        <w:rPr>
          <w:rFonts w:ascii="Times New Roman"/>
          <w:spacing w:val="-1"/>
          <w:sz w:val="24"/>
          <w:szCs w:val="24"/>
        </w:rPr>
        <w:t xml:space="preserve">the same </w:t>
      </w:r>
      <w:r w:rsidR="008B1363">
        <w:rPr>
          <w:rFonts w:ascii="Times New Roman"/>
          <w:spacing w:val="-1"/>
          <w:sz w:val="24"/>
          <w:szCs w:val="24"/>
        </w:rPr>
        <w:t xml:space="preserve">as </w:t>
      </w:r>
      <w:r>
        <w:rPr>
          <w:rFonts w:ascii="Times New Roman"/>
          <w:spacing w:val="-1"/>
          <w:sz w:val="24"/>
          <w:szCs w:val="24"/>
        </w:rPr>
        <w:t xml:space="preserve">that </w:t>
      </w:r>
      <w:r w:rsidR="008B1363">
        <w:rPr>
          <w:rFonts w:ascii="Times New Roman"/>
          <w:spacing w:val="-1"/>
          <w:sz w:val="24"/>
          <w:szCs w:val="24"/>
        </w:rPr>
        <w:t xml:space="preserve">submitted in August </w:t>
      </w:r>
      <w:r w:rsidR="0046717F">
        <w:rPr>
          <w:rFonts w:ascii="Times New Roman"/>
          <w:spacing w:val="-1"/>
          <w:sz w:val="24"/>
          <w:szCs w:val="24"/>
        </w:rPr>
        <w:t>2015 (</w:t>
      </w:r>
      <w:r w:rsidR="008B1363" w:rsidRPr="008B1363">
        <w:rPr>
          <w:rFonts w:ascii="Times New Roman"/>
          <w:spacing w:val="-1"/>
          <w:sz w:val="24"/>
          <w:szCs w:val="24"/>
        </w:rPr>
        <w:t>$83,822</w:t>
      </w:r>
      <w:r w:rsidR="0046717F">
        <w:rPr>
          <w:rFonts w:ascii="Times New Roman"/>
          <w:spacing w:val="-1"/>
          <w:sz w:val="24"/>
          <w:szCs w:val="24"/>
        </w:rPr>
        <w:t>)</w:t>
      </w:r>
      <w:r w:rsidR="008B1363">
        <w:rPr>
          <w:rFonts w:ascii="Times New Roman"/>
          <w:spacing w:val="-1"/>
          <w:sz w:val="24"/>
          <w:szCs w:val="24"/>
        </w:rPr>
        <w:t xml:space="preserve">.  UNICEF EAPRO is seeking additional funds to address any </w:t>
      </w:r>
      <w:r w:rsidR="00846B23" w:rsidRPr="008B1363">
        <w:rPr>
          <w:rFonts w:ascii="Times New Roman"/>
          <w:spacing w:val="-1"/>
          <w:sz w:val="24"/>
          <w:szCs w:val="24"/>
        </w:rPr>
        <w:t>shortfalls.</w:t>
      </w:r>
      <w:r>
        <w:rPr>
          <w:rFonts w:ascii="Times New Roman"/>
          <w:spacing w:val="-1"/>
          <w:sz w:val="24"/>
          <w:szCs w:val="24"/>
        </w:rPr>
        <w:t xml:space="preserve"> A donor statement </w:t>
      </w:r>
      <w:r w:rsidR="0046717F">
        <w:rPr>
          <w:rFonts w:ascii="Times New Roman"/>
          <w:spacing w:val="-1"/>
          <w:sz w:val="24"/>
          <w:szCs w:val="24"/>
        </w:rPr>
        <w:t>for 2015 is provided for reference.</w:t>
      </w:r>
      <w:bookmarkStart w:id="0" w:name="_GoBack"/>
      <w:bookmarkEnd w:id="0"/>
    </w:p>
    <w:sectPr w:rsidR="00846B23" w:rsidRPr="008B1363" w:rsidSect="00CE423D">
      <w:footerReference w:type="even" r:id="rId10"/>
      <w:footerReference w:type="default" r:id="rId11"/>
      <w:type w:val="continuous"/>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41" w:rsidRDefault="00F85741">
      <w:r>
        <w:separator/>
      </w:r>
    </w:p>
  </w:endnote>
  <w:endnote w:type="continuationSeparator" w:id="0">
    <w:p w:rsidR="00F85741" w:rsidRDefault="00F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Baskerville">
    <w:altName w:val="Times New Roman"/>
    <w:charset w:val="00"/>
    <w:family w:val="auto"/>
    <w:pitch w:val="variable"/>
    <w:sig w:usb0="00000000" w:usb1="00000000" w:usb2="00000000" w:usb3="00000000" w:csb0="000001FB"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39" w:rsidRDefault="004B4539"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B4539" w:rsidRDefault="004B4539" w:rsidP="00FF7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39" w:rsidRDefault="004B4539" w:rsidP="00BB4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17F">
      <w:rPr>
        <w:rStyle w:val="PageNumber"/>
        <w:noProof/>
      </w:rPr>
      <w:t>4</w:t>
    </w:r>
    <w:r>
      <w:rPr>
        <w:rStyle w:val="PageNumber"/>
      </w:rPr>
      <w:fldChar w:fldCharType="end"/>
    </w:r>
  </w:p>
  <w:p w:rsidR="004B4539" w:rsidRDefault="004B4539" w:rsidP="00FF76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41" w:rsidRDefault="00F85741">
      <w:r>
        <w:separator/>
      </w:r>
    </w:p>
  </w:footnote>
  <w:footnote w:type="continuationSeparator" w:id="0">
    <w:p w:rsidR="00F85741" w:rsidRDefault="00F8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DA0"/>
    <w:multiLevelType w:val="hybridMultilevel"/>
    <w:tmpl w:val="08644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2"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E4896"/>
    <w:multiLevelType w:val="hybridMultilevel"/>
    <w:tmpl w:val="E3EE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14A97"/>
    <w:multiLevelType w:val="hybridMultilevel"/>
    <w:tmpl w:val="07D2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B"/>
    <w:rsid w:val="0000121C"/>
    <w:rsid w:val="000022DA"/>
    <w:rsid w:val="000026EE"/>
    <w:rsid w:val="00003DFD"/>
    <w:rsid w:val="00007CFD"/>
    <w:rsid w:val="00021079"/>
    <w:rsid w:val="00024290"/>
    <w:rsid w:val="000325C9"/>
    <w:rsid w:val="00033009"/>
    <w:rsid w:val="00033BD8"/>
    <w:rsid w:val="000342E1"/>
    <w:rsid w:val="00042952"/>
    <w:rsid w:val="000444CB"/>
    <w:rsid w:val="000528F4"/>
    <w:rsid w:val="00053853"/>
    <w:rsid w:val="000571B8"/>
    <w:rsid w:val="000601A9"/>
    <w:rsid w:val="00060CD7"/>
    <w:rsid w:val="00066851"/>
    <w:rsid w:val="000860BC"/>
    <w:rsid w:val="000866DC"/>
    <w:rsid w:val="000909DE"/>
    <w:rsid w:val="000929D7"/>
    <w:rsid w:val="0009648E"/>
    <w:rsid w:val="000A0792"/>
    <w:rsid w:val="000A4ABA"/>
    <w:rsid w:val="000A7782"/>
    <w:rsid w:val="000B244D"/>
    <w:rsid w:val="000B2A16"/>
    <w:rsid w:val="000B3120"/>
    <w:rsid w:val="000B4300"/>
    <w:rsid w:val="000B6544"/>
    <w:rsid w:val="000B7AC8"/>
    <w:rsid w:val="000C5AD1"/>
    <w:rsid w:val="000D1659"/>
    <w:rsid w:val="000D70F7"/>
    <w:rsid w:val="000E07EE"/>
    <w:rsid w:val="000E2D7D"/>
    <w:rsid w:val="000E33DC"/>
    <w:rsid w:val="000F1B0A"/>
    <w:rsid w:val="000F2509"/>
    <w:rsid w:val="000F2B65"/>
    <w:rsid w:val="00101593"/>
    <w:rsid w:val="00101805"/>
    <w:rsid w:val="00101AFD"/>
    <w:rsid w:val="00101C9D"/>
    <w:rsid w:val="00102D22"/>
    <w:rsid w:val="001111E0"/>
    <w:rsid w:val="0011209D"/>
    <w:rsid w:val="001137F7"/>
    <w:rsid w:val="00116018"/>
    <w:rsid w:val="00116D3B"/>
    <w:rsid w:val="001220AD"/>
    <w:rsid w:val="00123A62"/>
    <w:rsid w:val="00126026"/>
    <w:rsid w:val="00126259"/>
    <w:rsid w:val="0012646E"/>
    <w:rsid w:val="00132A57"/>
    <w:rsid w:val="00144232"/>
    <w:rsid w:val="00150A71"/>
    <w:rsid w:val="001521BF"/>
    <w:rsid w:val="0015401C"/>
    <w:rsid w:val="001547D8"/>
    <w:rsid w:val="00161F50"/>
    <w:rsid w:val="0016468F"/>
    <w:rsid w:val="00165CB0"/>
    <w:rsid w:val="00166F36"/>
    <w:rsid w:val="001800EC"/>
    <w:rsid w:val="00191CFA"/>
    <w:rsid w:val="001920CA"/>
    <w:rsid w:val="00192754"/>
    <w:rsid w:val="00196E7B"/>
    <w:rsid w:val="001B04B8"/>
    <w:rsid w:val="001B2962"/>
    <w:rsid w:val="001B6971"/>
    <w:rsid w:val="001B69C4"/>
    <w:rsid w:val="001B76A4"/>
    <w:rsid w:val="001D00DF"/>
    <w:rsid w:val="001D05AB"/>
    <w:rsid w:val="001D53DC"/>
    <w:rsid w:val="001D7246"/>
    <w:rsid w:val="001E011A"/>
    <w:rsid w:val="001E0243"/>
    <w:rsid w:val="001E3C8B"/>
    <w:rsid w:val="001E65BE"/>
    <w:rsid w:val="001E7BCB"/>
    <w:rsid w:val="001F09AF"/>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5E01"/>
    <w:rsid w:val="002C271C"/>
    <w:rsid w:val="002C2965"/>
    <w:rsid w:val="002C3C42"/>
    <w:rsid w:val="002C3E06"/>
    <w:rsid w:val="002C44B6"/>
    <w:rsid w:val="002C5F83"/>
    <w:rsid w:val="002C64D6"/>
    <w:rsid w:val="002D0297"/>
    <w:rsid w:val="002D4FE3"/>
    <w:rsid w:val="002D5F8B"/>
    <w:rsid w:val="002D7528"/>
    <w:rsid w:val="002E78F9"/>
    <w:rsid w:val="002E7AB3"/>
    <w:rsid w:val="002F40B1"/>
    <w:rsid w:val="002F445C"/>
    <w:rsid w:val="002F6939"/>
    <w:rsid w:val="0030134C"/>
    <w:rsid w:val="00303DE1"/>
    <w:rsid w:val="003066DC"/>
    <w:rsid w:val="00306F10"/>
    <w:rsid w:val="00307D3B"/>
    <w:rsid w:val="00310803"/>
    <w:rsid w:val="00312188"/>
    <w:rsid w:val="00312783"/>
    <w:rsid w:val="00316EF8"/>
    <w:rsid w:val="003216B3"/>
    <w:rsid w:val="00322884"/>
    <w:rsid w:val="003233AD"/>
    <w:rsid w:val="003238A3"/>
    <w:rsid w:val="00323A4F"/>
    <w:rsid w:val="003250D7"/>
    <w:rsid w:val="00326133"/>
    <w:rsid w:val="00326663"/>
    <w:rsid w:val="00327319"/>
    <w:rsid w:val="00327720"/>
    <w:rsid w:val="0033015B"/>
    <w:rsid w:val="00335556"/>
    <w:rsid w:val="0033607F"/>
    <w:rsid w:val="003374B2"/>
    <w:rsid w:val="0034083C"/>
    <w:rsid w:val="003441D1"/>
    <w:rsid w:val="00344BCB"/>
    <w:rsid w:val="00345134"/>
    <w:rsid w:val="0034525D"/>
    <w:rsid w:val="003458B4"/>
    <w:rsid w:val="00347A4A"/>
    <w:rsid w:val="00351001"/>
    <w:rsid w:val="003546C8"/>
    <w:rsid w:val="0035605D"/>
    <w:rsid w:val="00356A43"/>
    <w:rsid w:val="003611BA"/>
    <w:rsid w:val="00365048"/>
    <w:rsid w:val="003663E3"/>
    <w:rsid w:val="003673EA"/>
    <w:rsid w:val="0037387D"/>
    <w:rsid w:val="003742E6"/>
    <w:rsid w:val="0037436A"/>
    <w:rsid w:val="003748FB"/>
    <w:rsid w:val="00377DB4"/>
    <w:rsid w:val="00380DBE"/>
    <w:rsid w:val="00381799"/>
    <w:rsid w:val="003903AB"/>
    <w:rsid w:val="00390A8E"/>
    <w:rsid w:val="0039652E"/>
    <w:rsid w:val="003A104F"/>
    <w:rsid w:val="003A1899"/>
    <w:rsid w:val="003A33E1"/>
    <w:rsid w:val="003A50C8"/>
    <w:rsid w:val="003B2994"/>
    <w:rsid w:val="003B325A"/>
    <w:rsid w:val="003C4AFB"/>
    <w:rsid w:val="003C6AEE"/>
    <w:rsid w:val="003D32CE"/>
    <w:rsid w:val="003D3F4F"/>
    <w:rsid w:val="003D4ACF"/>
    <w:rsid w:val="003D5E68"/>
    <w:rsid w:val="003D742B"/>
    <w:rsid w:val="003E2E2B"/>
    <w:rsid w:val="003E4D8E"/>
    <w:rsid w:val="003E51DB"/>
    <w:rsid w:val="003E7ABC"/>
    <w:rsid w:val="003F4031"/>
    <w:rsid w:val="003F564A"/>
    <w:rsid w:val="003F5F96"/>
    <w:rsid w:val="003F69AA"/>
    <w:rsid w:val="00403154"/>
    <w:rsid w:val="00411956"/>
    <w:rsid w:val="00414240"/>
    <w:rsid w:val="0042523D"/>
    <w:rsid w:val="00430278"/>
    <w:rsid w:val="004303C1"/>
    <w:rsid w:val="004311AA"/>
    <w:rsid w:val="004316B2"/>
    <w:rsid w:val="00440084"/>
    <w:rsid w:val="004431C7"/>
    <w:rsid w:val="00444664"/>
    <w:rsid w:val="00444D10"/>
    <w:rsid w:val="004524B2"/>
    <w:rsid w:val="00452B9C"/>
    <w:rsid w:val="004548B1"/>
    <w:rsid w:val="00454944"/>
    <w:rsid w:val="00457892"/>
    <w:rsid w:val="00460367"/>
    <w:rsid w:val="00461311"/>
    <w:rsid w:val="00462550"/>
    <w:rsid w:val="00462EBB"/>
    <w:rsid w:val="00466CE2"/>
    <w:rsid w:val="0046717F"/>
    <w:rsid w:val="00467230"/>
    <w:rsid w:val="00470DBF"/>
    <w:rsid w:val="00472F6A"/>
    <w:rsid w:val="00476073"/>
    <w:rsid w:val="004771BB"/>
    <w:rsid w:val="00477D5C"/>
    <w:rsid w:val="00484E4A"/>
    <w:rsid w:val="00484F8C"/>
    <w:rsid w:val="00485A99"/>
    <w:rsid w:val="00492636"/>
    <w:rsid w:val="00492A93"/>
    <w:rsid w:val="0049530E"/>
    <w:rsid w:val="00495B9A"/>
    <w:rsid w:val="004A03B3"/>
    <w:rsid w:val="004A24F5"/>
    <w:rsid w:val="004A73CA"/>
    <w:rsid w:val="004B00EE"/>
    <w:rsid w:val="004B35E4"/>
    <w:rsid w:val="004B4539"/>
    <w:rsid w:val="004B5AC3"/>
    <w:rsid w:val="004B69B6"/>
    <w:rsid w:val="004C0C0B"/>
    <w:rsid w:val="004C1F71"/>
    <w:rsid w:val="004C369F"/>
    <w:rsid w:val="004C47CA"/>
    <w:rsid w:val="004C5EFD"/>
    <w:rsid w:val="004D1822"/>
    <w:rsid w:val="004D22F2"/>
    <w:rsid w:val="004D2334"/>
    <w:rsid w:val="004D2B06"/>
    <w:rsid w:val="004D5968"/>
    <w:rsid w:val="004D5DEF"/>
    <w:rsid w:val="004E382D"/>
    <w:rsid w:val="004E3D40"/>
    <w:rsid w:val="004E55D3"/>
    <w:rsid w:val="004F209D"/>
    <w:rsid w:val="004F216A"/>
    <w:rsid w:val="004F71E6"/>
    <w:rsid w:val="00510FDE"/>
    <w:rsid w:val="00511D3D"/>
    <w:rsid w:val="00513F09"/>
    <w:rsid w:val="00515F29"/>
    <w:rsid w:val="005176A8"/>
    <w:rsid w:val="00522AA2"/>
    <w:rsid w:val="00523FC4"/>
    <w:rsid w:val="00526F35"/>
    <w:rsid w:val="0053484D"/>
    <w:rsid w:val="00544D5C"/>
    <w:rsid w:val="00545652"/>
    <w:rsid w:val="0055374B"/>
    <w:rsid w:val="00553D99"/>
    <w:rsid w:val="0055798A"/>
    <w:rsid w:val="0056438C"/>
    <w:rsid w:val="00567EF4"/>
    <w:rsid w:val="00570F56"/>
    <w:rsid w:val="005727C9"/>
    <w:rsid w:val="00573397"/>
    <w:rsid w:val="005743F1"/>
    <w:rsid w:val="0057461B"/>
    <w:rsid w:val="00575EAA"/>
    <w:rsid w:val="00577379"/>
    <w:rsid w:val="005822EE"/>
    <w:rsid w:val="005833E4"/>
    <w:rsid w:val="00584949"/>
    <w:rsid w:val="0059107A"/>
    <w:rsid w:val="00591877"/>
    <w:rsid w:val="0059523D"/>
    <w:rsid w:val="00595420"/>
    <w:rsid w:val="005A3FB3"/>
    <w:rsid w:val="005A7120"/>
    <w:rsid w:val="005B138D"/>
    <w:rsid w:val="005B221E"/>
    <w:rsid w:val="005B413F"/>
    <w:rsid w:val="005B44B9"/>
    <w:rsid w:val="005B47A7"/>
    <w:rsid w:val="005B4D68"/>
    <w:rsid w:val="005C3D50"/>
    <w:rsid w:val="005C6211"/>
    <w:rsid w:val="005D52B0"/>
    <w:rsid w:val="005D75D2"/>
    <w:rsid w:val="005E7A60"/>
    <w:rsid w:val="005E7B5C"/>
    <w:rsid w:val="005F44D3"/>
    <w:rsid w:val="005F660D"/>
    <w:rsid w:val="005F79A3"/>
    <w:rsid w:val="00606FEA"/>
    <w:rsid w:val="00611239"/>
    <w:rsid w:val="00612981"/>
    <w:rsid w:val="00621888"/>
    <w:rsid w:val="00625C11"/>
    <w:rsid w:val="00627A03"/>
    <w:rsid w:val="006308E6"/>
    <w:rsid w:val="00635A0C"/>
    <w:rsid w:val="0063664B"/>
    <w:rsid w:val="00636F72"/>
    <w:rsid w:val="00637E15"/>
    <w:rsid w:val="00642287"/>
    <w:rsid w:val="00646260"/>
    <w:rsid w:val="006529BB"/>
    <w:rsid w:val="006538D7"/>
    <w:rsid w:val="00657DA5"/>
    <w:rsid w:val="0066657A"/>
    <w:rsid w:val="006667DF"/>
    <w:rsid w:val="00667FC7"/>
    <w:rsid w:val="00674C84"/>
    <w:rsid w:val="00680318"/>
    <w:rsid w:val="00680EB1"/>
    <w:rsid w:val="006850BC"/>
    <w:rsid w:val="006859C7"/>
    <w:rsid w:val="006A07A8"/>
    <w:rsid w:val="006A2B93"/>
    <w:rsid w:val="006A3553"/>
    <w:rsid w:val="006B0199"/>
    <w:rsid w:val="006B122A"/>
    <w:rsid w:val="006B3288"/>
    <w:rsid w:val="006B3DA1"/>
    <w:rsid w:val="006B744F"/>
    <w:rsid w:val="006C227C"/>
    <w:rsid w:val="006C7BAD"/>
    <w:rsid w:val="006D0D01"/>
    <w:rsid w:val="006D2D18"/>
    <w:rsid w:val="006D4A8B"/>
    <w:rsid w:val="006D4E49"/>
    <w:rsid w:val="006D5668"/>
    <w:rsid w:val="006D7E56"/>
    <w:rsid w:val="006E42F4"/>
    <w:rsid w:val="006E790D"/>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B54"/>
    <w:rsid w:val="007549B7"/>
    <w:rsid w:val="007562B4"/>
    <w:rsid w:val="0076097E"/>
    <w:rsid w:val="00761113"/>
    <w:rsid w:val="00762635"/>
    <w:rsid w:val="007635A2"/>
    <w:rsid w:val="007677D0"/>
    <w:rsid w:val="00771629"/>
    <w:rsid w:val="00781F5D"/>
    <w:rsid w:val="00782CAE"/>
    <w:rsid w:val="007837D5"/>
    <w:rsid w:val="007838DB"/>
    <w:rsid w:val="00785AB8"/>
    <w:rsid w:val="0078705A"/>
    <w:rsid w:val="00791D41"/>
    <w:rsid w:val="00793DFF"/>
    <w:rsid w:val="007A005D"/>
    <w:rsid w:val="007A1CA4"/>
    <w:rsid w:val="007A42E5"/>
    <w:rsid w:val="007A7A94"/>
    <w:rsid w:val="007B1107"/>
    <w:rsid w:val="007C30D3"/>
    <w:rsid w:val="007C4153"/>
    <w:rsid w:val="007D06E8"/>
    <w:rsid w:val="007D0C1A"/>
    <w:rsid w:val="007D2828"/>
    <w:rsid w:val="007D3533"/>
    <w:rsid w:val="007D3EFE"/>
    <w:rsid w:val="007E0D2F"/>
    <w:rsid w:val="007E27BE"/>
    <w:rsid w:val="007E31AE"/>
    <w:rsid w:val="007E3FF7"/>
    <w:rsid w:val="007E46F6"/>
    <w:rsid w:val="007E6445"/>
    <w:rsid w:val="007E6A46"/>
    <w:rsid w:val="00800343"/>
    <w:rsid w:val="008011BE"/>
    <w:rsid w:val="00804953"/>
    <w:rsid w:val="00806636"/>
    <w:rsid w:val="00806BF7"/>
    <w:rsid w:val="008077B2"/>
    <w:rsid w:val="00810A80"/>
    <w:rsid w:val="00817B1C"/>
    <w:rsid w:val="00821B49"/>
    <w:rsid w:val="00822FF1"/>
    <w:rsid w:val="008264D9"/>
    <w:rsid w:val="00831822"/>
    <w:rsid w:val="0083411C"/>
    <w:rsid w:val="00834A41"/>
    <w:rsid w:val="00845251"/>
    <w:rsid w:val="008460B2"/>
    <w:rsid w:val="00846B23"/>
    <w:rsid w:val="008475A9"/>
    <w:rsid w:val="00850CA0"/>
    <w:rsid w:val="00852551"/>
    <w:rsid w:val="00852FC7"/>
    <w:rsid w:val="00853A76"/>
    <w:rsid w:val="00854F77"/>
    <w:rsid w:val="00860CF8"/>
    <w:rsid w:val="008652F3"/>
    <w:rsid w:val="0087204D"/>
    <w:rsid w:val="00872235"/>
    <w:rsid w:val="00881055"/>
    <w:rsid w:val="00883213"/>
    <w:rsid w:val="00884946"/>
    <w:rsid w:val="00885816"/>
    <w:rsid w:val="00890B28"/>
    <w:rsid w:val="008948DD"/>
    <w:rsid w:val="008A125E"/>
    <w:rsid w:val="008A1DAF"/>
    <w:rsid w:val="008A3419"/>
    <w:rsid w:val="008A409A"/>
    <w:rsid w:val="008B125D"/>
    <w:rsid w:val="008B1363"/>
    <w:rsid w:val="008B1818"/>
    <w:rsid w:val="008C2641"/>
    <w:rsid w:val="008C2DFA"/>
    <w:rsid w:val="008C529F"/>
    <w:rsid w:val="008C6211"/>
    <w:rsid w:val="008D0B98"/>
    <w:rsid w:val="008D7CD8"/>
    <w:rsid w:val="008E5825"/>
    <w:rsid w:val="008E6828"/>
    <w:rsid w:val="008F028C"/>
    <w:rsid w:val="008F3AF6"/>
    <w:rsid w:val="008F51B9"/>
    <w:rsid w:val="008F55AF"/>
    <w:rsid w:val="008F6136"/>
    <w:rsid w:val="0090465A"/>
    <w:rsid w:val="00904712"/>
    <w:rsid w:val="009129E7"/>
    <w:rsid w:val="0091494E"/>
    <w:rsid w:val="009238AE"/>
    <w:rsid w:val="0094006C"/>
    <w:rsid w:val="00943159"/>
    <w:rsid w:val="00944BD6"/>
    <w:rsid w:val="009533BA"/>
    <w:rsid w:val="0095533B"/>
    <w:rsid w:val="00955B47"/>
    <w:rsid w:val="00957B4C"/>
    <w:rsid w:val="00961FD7"/>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42C2"/>
    <w:rsid w:val="009A4406"/>
    <w:rsid w:val="009B1049"/>
    <w:rsid w:val="009B19DD"/>
    <w:rsid w:val="009B38D7"/>
    <w:rsid w:val="009B72B2"/>
    <w:rsid w:val="009C352A"/>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EC1"/>
    <w:rsid w:val="00A542CB"/>
    <w:rsid w:val="00A64ABE"/>
    <w:rsid w:val="00A7194D"/>
    <w:rsid w:val="00A73E0F"/>
    <w:rsid w:val="00A74015"/>
    <w:rsid w:val="00A74951"/>
    <w:rsid w:val="00A755A5"/>
    <w:rsid w:val="00A810B9"/>
    <w:rsid w:val="00A813D2"/>
    <w:rsid w:val="00A83B41"/>
    <w:rsid w:val="00A840BF"/>
    <w:rsid w:val="00A8498A"/>
    <w:rsid w:val="00A87EEA"/>
    <w:rsid w:val="00A942E1"/>
    <w:rsid w:val="00AA4A6B"/>
    <w:rsid w:val="00AA6475"/>
    <w:rsid w:val="00AA704B"/>
    <w:rsid w:val="00AB1A0F"/>
    <w:rsid w:val="00AC071B"/>
    <w:rsid w:val="00AC2F57"/>
    <w:rsid w:val="00AC6369"/>
    <w:rsid w:val="00AC6BF0"/>
    <w:rsid w:val="00AD1A9B"/>
    <w:rsid w:val="00AD3217"/>
    <w:rsid w:val="00AD3B75"/>
    <w:rsid w:val="00AD4D45"/>
    <w:rsid w:val="00AD582B"/>
    <w:rsid w:val="00AD64CF"/>
    <w:rsid w:val="00AE4915"/>
    <w:rsid w:val="00AE5848"/>
    <w:rsid w:val="00AF32B2"/>
    <w:rsid w:val="00AF4485"/>
    <w:rsid w:val="00AF674E"/>
    <w:rsid w:val="00AF675B"/>
    <w:rsid w:val="00AF6922"/>
    <w:rsid w:val="00B047E0"/>
    <w:rsid w:val="00B048CD"/>
    <w:rsid w:val="00B05101"/>
    <w:rsid w:val="00B05E14"/>
    <w:rsid w:val="00B115F9"/>
    <w:rsid w:val="00B117DA"/>
    <w:rsid w:val="00B13E30"/>
    <w:rsid w:val="00B169CA"/>
    <w:rsid w:val="00B17D57"/>
    <w:rsid w:val="00B24120"/>
    <w:rsid w:val="00B252E4"/>
    <w:rsid w:val="00B3120B"/>
    <w:rsid w:val="00B33F93"/>
    <w:rsid w:val="00B35D5D"/>
    <w:rsid w:val="00B378E8"/>
    <w:rsid w:val="00B50CB9"/>
    <w:rsid w:val="00B50ECC"/>
    <w:rsid w:val="00B51604"/>
    <w:rsid w:val="00B536B4"/>
    <w:rsid w:val="00B536D5"/>
    <w:rsid w:val="00B550F4"/>
    <w:rsid w:val="00B56CC5"/>
    <w:rsid w:val="00B6461A"/>
    <w:rsid w:val="00B66D4C"/>
    <w:rsid w:val="00B73AE2"/>
    <w:rsid w:val="00B761A0"/>
    <w:rsid w:val="00B77139"/>
    <w:rsid w:val="00B85322"/>
    <w:rsid w:val="00B85D7A"/>
    <w:rsid w:val="00B863AD"/>
    <w:rsid w:val="00B92F99"/>
    <w:rsid w:val="00B9581B"/>
    <w:rsid w:val="00BA4B98"/>
    <w:rsid w:val="00BA6682"/>
    <w:rsid w:val="00BB0A8E"/>
    <w:rsid w:val="00BB1C38"/>
    <w:rsid w:val="00BB4B60"/>
    <w:rsid w:val="00BC5936"/>
    <w:rsid w:val="00BC6AA1"/>
    <w:rsid w:val="00BD348D"/>
    <w:rsid w:val="00BD4B60"/>
    <w:rsid w:val="00BD4E1C"/>
    <w:rsid w:val="00BD7B74"/>
    <w:rsid w:val="00BE07EB"/>
    <w:rsid w:val="00BE3964"/>
    <w:rsid w:val="00BE4F30"/>
    <w:rsid w:val="00BE53A9"/>
    <w:rsid w:val="00BE5A5F"/>
    <w:rsid w:val="00BE6A25"/>
    <w:rsid w:val="00C0144B"/>
    <w:rsid w:val="00C07D66"/>
    <w:rsid w:val="00C1052B"/>
    <w:rsid w:val="00C1100B"/>
    <w:rsid w:val="00C151D2"/>
    <w:rsid w:val="00C15A77"/>
    <w:rsid w:val="00C15D57"/>
    <w:rsid w:val="00C23C4F"/>
    <w:rsid w:val="00C310F9"/>
    <w:rsid w:val="00C34456"/>
    <w:rsid w:val="00C348D7"/>
    <w:rsid w:val="00C35077"/>
    <w:rsid w:val="00C36FBE"/>
    <w:rsid w:val="00C40505"/>
    <w:rsid w:val="00C44349"/>
    <w:rsid w:val="00C457D4"/>
    <w:rsid w:val="00C47FAE"/>
    <w:rsid w:val="00C527CE"/>
    <w:rsid w:val="00C53FE5"/>
    <w:rsid w:val="00C54E63"/>
    <w:rsid w:val="00C61424"/>
    <w:rsid w:val="00C63DE1"/>
    <w:rsid w:val="00C6754E"/>
    <w:rsid w:val="00C7033B"/>
    <w:rsid w:val="00C72255"/>
    <w:rsid w:val="00C74191"/>
    <w:rsid w:val="00C7683E"/>
    <w:rsid w:val="00C80670"/>
    <w:rsid w:val="00C83A8D"/>
    <w:rsid w:val="00C86646"/>
    <w:rsid w:val="00C906AF"/>
    <w:rsid w:val="00C91580"/>
    <w:rsid w:val="00C91C9E"/>
    <w:rsid w:val="00C94B4A"/>
    <w:rsid w:val="00C962BE"/>
    <w:rsid w:val="00CA1B55"/>
    <w:rsid w:val="00CA2CD3"/>
    <w:rsid w:val="00CA2EDB"/>
    <w:rsid w:val="00CA325B"/>
    <w:rsid w:val="00CA76B5"/>
    <w:rsid w:val="00CA7E15"/>
    <w:rsid w:val="00CB0D89"/>
    <w:rsid w:val="00CB5BA7"/>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159A"/>
    <w:rsid w:val="00D049EE"/>
    <w:rsid w:val="00D06450"/>
    <w:rsid w:val="00D111B1"/>
    <w:rsid w:val="00D1274E"/>
    <w:rsid w:val="00D15AE0"/>
    <w:rsid w:val="00D218BB"/>
    <w:rsid w:val="00D21DDC"/>
    <w:rsid w:val="00D32ECF"/>
    <w:rsid w:val="00D371DE"/>
    <w:rsid w:val="00D4248F"/>
    <w:rsid w:val="00D42D6F"/>
    <w:rsid w:val="00D43104"/>
    <w:rsid w:val="00D44812"/>
    <w:rsid w:val="00D4491B"/>
    <w:rsid w:val="00D4623A"/>
    <w:rsid w:val="00D47A22"/>
    <w:rsid w:val="00D5009A"/>
    <w:rsid w:val="00D51A28"/>
    <w:rsid w:val="00D52AB2"/>
    <w:rsid w:val="00D53665"/>
    <w:rsid w:val="00D54800"/>
    <w:rsid w:val="00D5510C"/>
    <w:rsid w:val="00D60593"/>
    <w:rsid w:val="00D60D63"/>
    <w:rsid w:val="00D62483"/>
    <w:rsid w:val="00D63802"/>
    <w:rsid w:val="00D67575"/>
    <w:rsid w:val="00D6796D"/>
    <w:rsid w:val="00D71BAB"/>
    <w:rsid w:val="00D71BB8"/>
    <w:rsid w:val="00D75B07"/>
    <w:rsid w:val="00D75C29"/>
    <w:rsid w:val="00D81846"/>
    <w:rsid w:val="00D841D0"/>
    <w:rsid w:val="00D90D54"/>
    <w:rsid w:val="00D94176"/>
    <w:rsid w:val="00D94B66"/>
    <w:rsid w:val="00DA3CCF"/>
    <w:rsid w:val="00DA3F2E"/>
    <w:rsid w:val="00DA5D82"/>
    <w:rsid w:val="00DB135B"/>
    <w:rsid w:val="00DB1F8D"/>
    <w:rsid w:val="00DB3C8E"/>
    <w:rsid w:val="00DC5A12"/>
    <w:rsid w:val="00DC7908"/>
    <w:rsid w:val="00DD3433"/>
    <w:rsid w:val="00DD3A0D"/>
    <w:rsid w:val="00DD555F"/>
    <w:rsid w:val="00DD5ED7"/>
    <w:rsid w:val="00DD6F6F"/>
    <w:rsid w:val="00DF1481"/>
    <w:rsid w:val="00E011C9"/>
    <w:rsid w:val="00E047B3"/>
    <w:rsid w:val="00E047F7"/>
    <w:rsid w:val="00E04B4E"/>
    <w:rsid w:val="00E04CB4"/>
    <w:rsid w:val="00E06B3B"/>
    <w:rsid w:val="00E07BAD"/>
    <w:rsid w:val="00E15F9C"/>
    <w:rsid w:val="00E23736"/>
    <w:rsid w:val="00E26B4B"/>
    <w:rsid w:val="00E33275"/>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7F00"/>
    <w:rsid w:val="00E73BBA"/>
    <w:rsid w:val="00E73C04"/>
    <w:rsid w:val="00E75972"/>
    <w:rsid w:val="00E75B45"/>
    <w:rsid w:val="00E768BF"/>
    <w:rsid w:val="00E7706D"/>
    <w:rsid w:val="00E77557"/>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55F4"/>
    <w:rsid w:val="00EE63EB"/>
    <w:rsid w:val="00EE7C13"/>
    <w:rsid w:val="00EF2154"/>
    <w:rsid w:val="00EF3242"/>
    <w:rsid w:val="00F00148"/>
    <w:rsid w:val="00F015ED"/>
    <w:rsid w:val="00F111D8"/>
    <w:rsid w:val="00F11E8A"/>
    <w:rsid w:val="00F202AE"/>
    <w:rsid w:val="00F22A4C"/>
    <w:rsid w:val="00F243A8"/>
    <w:rsid w:val="00F25217"/>
    <w:rsid w:val="00F26365"/>
    <w:rsid w:val="00F2673F"/>
    <w:rsid w:val="00F268D6"/>
    <w:rsid w:val="00F26E2E"/>
    <w:rsid w:val="00F27340"/>
    <w:rsid w:val="00F30C9C"/>
    <w:rsid w:val="00F30DE1"/>
    <w:rsid w:val="00F375F0"/>
    <w:rsid w:val="00F3785D"/>
    <w:rsid w:val="00F409B2"/>
    <w:rsid w:val="00F41F88"/>
    <w:rsid w:val="00F42A0C"/>
    <w:rsid w:val="00F46087"/>
    <w:rsid w:val="00F47259"/>
    <w:rsid w:val="00F533AE"/>
    <w:rsid w:val="00F548EE"/>
    <w:rsid w:val="00F63A70"/>
    <w:rsid w:val="00F63AF2"/>
    <w:rsid w:val="00F64B7B"/>
    <w:rsid w:val="00F66153"/>
    <w:rsid w:val="00F7303B"/>
    <w:rsid w:val="00F73757"/>
    <w:rsid w:val="00F8222B"/>
    <w:rsid w:val="00F85741"/>
    <w:rsid w:val="00F92C38"/>
    <w:rsid w:val="00F95684"/>
    <w:rsid w:val="00F956DF"/>
    <w:rsid w:val="00FA0D0A"/>
    <w:rsid w:val="00FA1857"/>
    <w:rsid w:val="00FA1A40"/>
    <w:rsid w:val="00FB3D2E"/>
    <w:rsid w:val="00FB67F8"/>
    <w:rsid w:val="00FB700D"/>
    <w:rsid w:val="00FC05C9"/>
    <w:rsid w:val="00FC1459"/>
    <w:rsid w:val="00FC3075"/>
    <w:rsid w:val="00FC55FC"/>
    <w:rsid w:val="00FD02AB"/>
    <w:rsid w:val="00FD074B"/>
    <w:rsid w:val="00FD2EEC"/>
    <w:rsid w:val="00FD5DF0"/>
    <w:rsid w:val="00FD60AA"/>
    <w:rsid w:val="00FD659A"/>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077FA-D3E1-4783-93E4-0FB6CF72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GB"/>
    </w:rPr>
  </w:style>
  <w:style w:type="paragraph" w:styleId="Heading1">
    <w:name w:val="heading 1"/>
    <w:basedOn w:val="Normal"/>
    <w:next w:val="Normal"/>
    <w:link w:val="Heading1Char"/>
    <w:qFormat/>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pPr>
      <w:keepNext/>
      <w:ind w:left="720" w:right="900"/>
      <w:outlineLvl w:val="1"/>
    </w:pPr>
    <w:rPr>
      <w:b/>
      <w:bCs/>
      <w:lang w:eastAsia="x-none"/>
    </w:rPr>
  </w:style>
  <w:style w:type="paragraph" w:styleId="Heading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pPr>
      <w:keepNext/>
      <w:ind w:right="-36"/>
      <w:jc w:val="both"/>
      <w:outlineLvl w:val="4"/>
    </w:pPr>
    <w:rPr>
      <w:b/>
      <w:bCs/>
    </w:rPr>
  </w:style>
  <w:style w:type="paragraph" w:styleId="Heading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
    <w:name w:val="Body Text"/>
    <w:basedOn w:val="Normal"/>
    <w:link w:val="BodyTextChar"/>
    <w:pPr>
      <w:jc w:val="both"/>
    </w:pPr>
    <w:rPr>
      <w:lang w:eastAsia="x-none"/>
    </w:rPr>
  </w:style>
  <w:style w:type="character" w:styleId="Hyperlink">
    <w:name w:val="Hyperlink"/>
    <w:rPr>
      <w:color w:val="0000FF"/>
      <w:u w:val="single"/>
    </w:rPr>
  </w:style>
  <w:style w:type="paragraph" w:styleId="BodyText2">
    <w:name w:val="Body Text 2"/>
    <w:basedOn w:val="Normal"/>
    <w:link w:val="BodyText2Char"/>
    <w:pPr>
      <w:autoSpaceDE w:val="0"/>
      <w:autoSpaceDN w:val="0"/>
      <w:adjustRightInd w:val="0"/>
    </w:pPr>
    <w:rPr>
      <w:rFonts w:ascii="Helv" w:hAnsi="Helv"/>
      <w:snapToGrid/>
      <w:sz w:val="22"/>
      <w:lang w:eastAsia="x-none"/>
    </w:rPr>
  </w:style>
  <w:style w:type="paragraph" w:styleId="BlockText">
    <w:name w:val="Block Text"/>
    <w:basedOn w:val="Normal"/>
    <w:pPr>
      <w:ind w:left="720" w:right="900"/>
    </w:pPr>
    <w:rPr>
      <w:b/>
      <w:bCs/>
    </w:rPr>
  </w:style>
  <w:style w:type="character" w:styleId="PageNumber">
    <w:name w:val="page number"/>
    <w:basedOn w:val="DefaultParagraphFont"/>
  </w:style>
  <w:style w:type="paragraph" w:customStyle="1" w:styleId="a">
    <w:name w:val="_"/>
    <w:basedOn w:val="Normal"/>
    <w:pPr>
      <w:autoSpaceDE w:val="0"/>
      <w:autoSpaceDN w:val="0"/>
      <w:adjustRightInd w:val="0"/>
      <w:ind w:left="720" w:hanging="720"/>
    </w:pPr>
    <w:rPr>
      <w:snapToGrid/>
      <w:sz w:val="20"/>
      <w:szCs w:val="24"/>
    </w:rPr>
  </w:style>
  <w:style w:type="paragraph" w:styleId="BodyTextIndent">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Pr>
      <w:sz w:val="20"/>
      <w:lang w:eastAsia="x-none"/>
    </w:rPr>
  </w:style>
  <w:style w:type="paragraph" w:styleId="BodyTextIndent2">
    <w:name w:val="Body Text Indent 2"/>
    <w:basedOn w:val="Normal"/>
    <w:pPr>
      <w:tabs>
        <w:tab w:val="left" w:pos="0"/>
        <w:tab w:val="left" w:pos="1080"/>
        <w:tab w:val="left" w:pos="1440"/>
        <w:tab w:val="left" w:pos="1800"/>
      </w:tabs>
      <w:ind w:left="720"/>
      <w:jc w:val="both"/>
    </w:pPr>
    <w:rPr>
      <w:i/>
      <w:iCs/>
      <w:sz w:val="22"/>
    </w:rPr>
  </w:style>
  <w:style w:type="paragraph" w:styleId="BodyTextIndent3">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pPr>
      <w:widowControl/>
      <w:jc w:val="center"/>
    </w:pPr>
    <w:rPr>
      <w:b/>
      <w:snapToGrid/>
      <w:sz w:val="28"/>
      <w:lang w:val="x-none" w:eastAsia="x-none"/>
    </w:rPr>
  </w:style>
  <w:style w:type="character" w:styleId="FollowedHyperlink">
    <w:name w:val="FollowedHyperlink"/>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BalloonText">
    <w:name w:val="Balloon Text"/>
    <w:basedOn w:val="Normal"/>
    <w:link w:val="BalloonTextChar"/>
    <w:rPr>
      <w:rFonts w:ascii="Tahoma" w:hAnsi="Tahoma"/>
      <w:sz w:val="16"/>
      <w:szCs w:val="16"/>
      <w:lang w:eastAsia="x-none"/>
    </w:rPr>
  </w:style>
  <w:style w:type="table" w:styleId="TableGrid">
    <w:name w:val="Table Grid"/>
    <w:basedOn w:val="Table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ListParagraph">
    <w:name w:val="List Paragraph"/>
    <w:basedOn w:val="Normal"/>
    <w:uiPriority w:val="34"/>
    <w:qFormat/>
    <w:rsid w:val="00D0159A"/>
    <w:pPr>
      <w:ind w:left="720"/>
    </w:p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link w:val="FootnoteText"/>
    <w:rsid w:val="00FD60AA"/>
    <w:rPr>
      <w:snapToGrid w:val="0"/>
      <w:lang w:val="en-GB"/>
    </w:rPr>
  </w:style>
  <w:style w:type="paragraph" w:styleId="PlainText">
    <w:name w:val="Plain Text"/>
    <w:basedOn w:val="Normal"/>
    <w:link w:val="PlainTextChar"/>
    <w:rsid w:val="0066657A"/>
    <w:pPr>
      <w:widowControl/>
      <w:spacing w:before="100" w:beforeAutospacing="1" w:after="100" w:afterAutospacing="1"/>
    </w:pPr>
    <w:rPr>
      <w:snapToGrid/>
      <w:szCs w:val="24"/>
      <w:lang w:val="x-none" w:eastAsia="x-none"/>
    </w:rPr>
  </w:style>
  <w:style w:type="character" w:customStyle="1" w:styleId="PlainTextChar">
    <w:name w:val="Plain Text Char"/>
    <w:link w:val="PlainText"/>
    <w:rsid w:val="0066657A"/>
    <w:rPr>
      <w:sz w:val="24"/>
      <w:szCs w:val="24"/>
    </w:rPr>
  </w:style>
  <w:style w:type="character" w:customStyle="1" w:styleId="FooterChar">
    <w:name w:val="Footer Char"/>
    <w:link w:val="Footer"/>
    <w:uiPriority w:val="99"/>
    <w:rsid w:val="0066657A"/>
    <w:rPr>
      <w:snapToGrid w:val="0"/>
      <w:sz w:val="24"/>
      <w:lang w:val="en-GB"/>
    </w:rPr>
  </w:style>
  <w:style w:type="character" w:customStyle="1" w:styleId="Heading1Char">
    <w:name w:val="Heading 1 Char"/>
    <w:link w:val="Heading1"/>
    <w:rsid w:val="0066657A"/>
    <w:rPr>
      <w:rFonts w:ascii="CG Times" w:hAnsi="CG Times"/>
      <w:b/>
      <w:snapToGrid w:val="0"/>
      <w:sz w:val="18"/>
      <w:lang w:val="en-GB"/>
    </w:rPr>
  </w:style>
  <w:style w:type="character" w:customStyle="1" w:styleId="Heading2Char">
    <w:name w:val="Heading 2 Char"/>
    <w:link w:val="Heading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CommentReference">
    <w:name w:val="annotation reference"/>
    <w:rsid w:val="001B6971"/>
    <w:rPr>
      <w:sz w:val="16"/>
      <w:szCs w:val="16"/>
    </w:rPr>
  </w:style>
  <w:style w:type="paragraph" w:styleId="CommentText">
    <w:name w:val="annotation text"/>
    <w:basedOn w:val="Normal"/>
    <w:link w:val="CommentTextChar"/>
    <w:rsid w:val="001B6971"/>
    <w:rPr>
      <w:sz w:val="20"/>
      <w:lang w:eastAsia="x-none"/>
    </w:rPr>
  </w:style>
  <w:style w:type="paragraph" w:styleId="CommentSubject">
    <w:name w:val="annotation subject"/>
    <w:basedOn w:val="CommentText"/>
    <w:next w:val="CommentText"/>
    <w:link w:val="CommentSubjectCh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HeaderChar">
    <w:name w:val="Header Char"/>
    <w:link w:val="Header"/>
    <w:rsid w:val="00BC5936"/>
    <w:rPr>
      <w:snapToGrid w:val="0"/>
      <w:sz w:val="24"/>
      <w:lang w:val="en-GB"/>
    </w:rPr>
  </w:style>
  <w:style w:type="character" w:customStyle="1" w:styleId="BodyTextChar">
    <w:name w:val="Body Text Char"/>
    <w:link w:val="BodyText"/>
    <w:rsid w:val="00BC5936"/>
    <w:rPr>
      <w:snapToGrid w:val="0"/>
      <w:sz w:val="24"/>
      <w:lang w:val="en-GB"/>
    </w:rPr>
  </w:style>
  <w:style w:type="character" w:customStyle="1" w:styleId="BodyText2Char">
    <w:name w:val="Body Text 2 Char"/>
    <w:link w:val="BodyText2"/>
    <w:rsid w:val="00BC5936"/>
    <w:rPr>
      <w:rFonts w:ascii="Helv" w:hAnsi="Helv"/>
      <w:sz w:val="22"/>
      <w:lang w:val="en-GB"/>
    </w:rPr>
  </w:style>
  <w:style w:type="character" w:customStyle="1" w:styleId="TitleChar">
    <w:name w:val="Title Char"/>
    <w:link w:val="Title"/>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CommentTextChar">
    <w:name w:val="Comment Text Char"/>
    <w:link w:val="CommentText"/>
    <w:rsid w:val="00D71BAB"/>
    <w:rPr>
      <w:snapToGrid w:val="0"/>
      <w:lang w:val="en-GB"/>
    </w:rPr>
  </w:style>
  <w:style w:type="character" w:customStyle="1" w:styleId="CommentSubjectChar">
    <w:name w:val="Comment Subject Char"/>
    <w:link w:val="CommentSubject"/>
    <w:rsid w:val="00D71BAB"/>
    <w:rPr>
      <w:b/>
      <w:bCs/>
      <w:snapToGrid w:val="0"/>
      <w:lang w:val="en-GB"/>
    </w:rPr>
  </w:style>
  <w:style w:type="character" w:styleId="Strong">
    <w:name w:val="Strong"/>
    <w:qFormat/>
    <w:rsid w:val="00D71BAB"/>
    <w:rPr>
      <w:b/>
      <w:bCs/>
    </w:rPr>
  </w:style>
  <w:style w:type="paragraph" w:styleId="EndnoteText">
    <w:name w:val="endnote text"/>
    <w:basedOn w:val="Normal"/>
    <w:link w:val="EndnoteTextChar"/>
    <w:rsid w:val="00D71BAB"/>
    <w:rPr>
      <w:sz w:val="20"/>
      <w:lang w:eastAsia="x-none"/>
    </w:rPr>
  </w:style>
  <w:style w:type="character" w:customStyle="1" w:styleId="EndnoteTextChar">
    <w:name w:val="Endnote Text Char"/>
    <w:link w:val="EndnoteText"/>
    <w:rsid w:val="00D71BAB"/>
    <w:rPr>
      <w:snapToGrid w:val="0"/>
      <w:lang w:val="en-GB"/>
    </w:rPr>
  </w:style>
  <w:style w:type="character" w:styleId="EndnoteReference">
    <w:name w:val="endnote reference"/>
    <w:rsid w:val="00D71BAB"/>
    <w:rPr>
      <w:vertAlign w:val="superscript"/>
    </w:rPr>
  </w:style>
  <w:style w:type="paragraph" w:styleId="Quote">
    <w:name w:val="Quote"/>
    <w:basedOn w:val="Normal"/>
    <w:next w:val="Normal"/>
    <w:link w:val="QuoteChar"/>
    <w:uiPriority w:val="29"/>
    <w:qFormat/>
    <w:rsid w:val="00724624"/>
    <w:rPr>
      <w:i/>
      <w:iCs/>
      <w:color w:val="000000"/>
      <w:lang w:val="x-none"/>
    </w:rPr>
  </w:style>
  <w:style w:type="character" w:customStyle="1" w:styleId="QuoteChar">
    <w:name w:val="Quote Char"/>
    <w:link w:val="Quote"/>
    <w:uiPriority w:val="29"/>
    <w:rsid w:val="00724624"/>
    <w:rPr>
      <w:i/>
      <w:iCs/>
      <w:snapToGrid w:val="0"/>
      <w:color w:val="000000"/>
      <w:sz w:val="24"/>
      <w:lang w:eastAsia="en-US"/>
    </w:rPr>
  </w:style>
  <w:style w:type="character" w:styleId="Emphasis">
    <w:name w:val="Emphasis"/>
    <w:qFormat/>
    <w:rsid w:val="00724624"/>
    <w:rPr>
      <w:i/>
      <w:iCs/>
    </w:rPr>
  </w:style>
  <w:style w:type="character" w:customStyle="1" w:styleId="BalloonTextChar">
    <w:name w:val="Balloon Text Char"/>
    <w:link w:val="BalloonText"/>
    <w:rsid w:val="004B00EE"/>
    <w:rPr>
      <w:rFonts w:ascii="Tahoma" w:hAnsi="Tahoma" w:cs="Tahoma"/>
      <w:snapToGrid w:val="0"/>
      <w:sz w:val="16"/>
      <w:szCs w:val="16"/>
      <w:lang w:val="en-GB"/>
    </w:rPr>
  </w:style>
  <w:style w:type="paragraph" w:customStyle="1" w:styleId="Body">
    <w:name w:val="Body"/>
    <w:rsid w:val="001920CA"/>
    <w:pPr>
      <w:spacing w:line="264" w:lineRule="auto"/>
      <w:ind w:firstLine="360"/>
      <w:outlineLvl w:val="0"/>
    </w:pPr>
    <w:rPr>
      <w:rFonts w:ascii="Baskerville" w:eastAsia="ヒラギノ角ゴ Pro W3" w:hAnsi="Baskerville"/>
      <w:color w:val="000000"/>
    </w:rPr>
  </w:style>
  <w:style w:type="paragraph" w:customStyle="1" w:styleId="TableParagraph">
    <w:name w:val="Table Paragraph"/>
    <w:basedOn w:val="Normal"/>
    <w:uiPriority w:val="1"/>
    <w:qFormat/>
    <w:rsid w:val="00D75C29"/>
    <w:rPr>
      <w:rFonts w:asciiTheme="minorHAnsi" w:eastAsiaTheme="minorHAnsi" w:hAnsiTheme="minorHAnsi" w:cstheme="minorBidi"/>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370155241">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599485112">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768623435">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887136460">
      <w:bodyDiv w:val="1"/>
      <w:marLeft w:val="0"/>
      <w:marRight w:val="0"/>
      <w:marTop w:val="0"/>
      <w:marBottom w:val="0"/>
      <w:divBdr>
        <w:top w:val="none" w:sz="0" w:space="0" w:color="auto"/>
        <w:left w:val="none" w:sz="0" w:space="0" w:color="auto"/>
        <w:bottom w:val="none" w:sz="0" w:space="0" w:color="auto"/>
        <w:right w:val="none" w:sz="0" w:space="0" w:color="auto"/>
      </w:divBdr>
    </w:div>
    <w:div w:id="1947229599">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06E1-8560-4D9E-B161-4F886667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8149</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Yarlini Balarajan</cp:lastModifiedBy>
  <cp:revision>4</cp:revision>
  <cp:lastPrinted>2012-07-31T07:38:00Z</cp:lastPrinted>
  <dcterms:created xsi:type="dcterms:W3CDTF">2016-03-23T19:49:00Z</dcterms:created>
  <dcterms:modified xsi:type="dcterms:W3CDTF">2016-03-23T20:27:00Z</dcterms:modified>
</cp:coreProperties>
</file>