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771"/>
        <w:gridCol w:w="2418"/>
        <w:gridCol w:w="1416"/>
      </w:tblGrid>
      <w:tr w:rsidR="0043140D" w:rsidRPr="00ED37CF" w14:paraId="7D546E5E" w14:textId="77777777" w:rsidTr="00B60022">
        <w:trPr>
          <w:trHeight w:val="1745"/>
        </w:trPr>
        <w:tc>
          <w:tcPr>
            <w:tcW w:w="6345" w:type="dxa"/>
            <w:shd w:val="clear" w:color="auto" w:fill="auto"/>
          </w:tcPr>
          <w:p w14:paraId="57D25FB4" w14:textId="49C49244" w:rsidR="0043140D" w:rsidRPr="00ED37CF" w:rsidRDefault="00F21C2F" w:rsidP="00B60022">
            <w:pPr>
              <w:rPr>
                <w:rFonts w:cs="Arial"/>
              </w:rPr>
            </w:pPr>
            <w:bookmarkStart w:id="0" w:name="_Toc389486834"/>
            <w:bookmarkStart w:id="1" w:name="_Toc393116664"/>
            <w:bookmarkStart w:id="2" w:name="_Toc393117830"/>
            <w:bookmarkStart w:id="3" w:name="_GoBack"/>
            <w:bookmarkEnd w:id="3"/>
            <w:r w:rsidRPr="00ED37CF">
              <w:rPr>
                <w:rFonts w:cs="Arial"/>
                <w:noProof/>
                <w:lang w:val="en-US" w:bidi="ar-SA"/>
              </w:rPr>
              <w:drawing>
                <wp:inline distT="0" distB="0" distL="0" distR="0" wp14:anchorId="152C2913" wp14:editId="5A3086BB">
                  <wp:extent cx="1637665" cy="302260"/>
                  <wp:effectExtent l="19050" t="0" r="635" b="0"/>
                  <wp:docPr id="8"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8"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2846" w:type="dxa"/>
            <w:shd w:val="clear" w:color="auto" w:fill="auto"/>
          </w:tcPr>
          <w:p w14:paraId="3CAE6118" w14:textId="77777777" w:rsidR="0043140D" w:rsidRPr="00ED37CF" w:rsidRDefault="0043140D" w:rsidP="00B60022">
            <w:pPr>
              <w:rPr>
                <w:rFonts w:cs="Arial"/>
              </w:rPr>
            </w:pPr>
          </w:p>
          <w:p w14:paraId="08CFB45B" w14:textId="77777777" w:rsidR="0043140D" w:rsidRPr="00ED37CF" w:rsidRDefault="0043140D" w:rsidP="00B60022">
            <w:pPr>
              <w:rPr>
                <w:rFonts w:cs="Arial"/>
              </w:rPr>
            </w:pPr>
          </w:p>
          <w:p w14:paraId="2346CA59" w14:textId="59F9490A" w:rsidR="0043140D" w:rsidRPr="00ED37CF" w:rsidRDefault="0043140D" w:rsidP="00B60022">
            <w:pPr>
              <w:rPr>
                <w:rFonts w:cs="Arial"/>
                <w:b/>
                <w:u w:val="single"/>
              </w:rPr>
            </w:pPr>
          </w:p>
        </w:tc>
        <w:tc>
          <w:tcPr>
            <w:tcW w:w="1469" w:type="dxa"/>
            <w:shd w:val="clear" w:color="auto" w:fill="auto"/>
          </w:tcPr>
          <w:p w14:paraId="6DCD7027" w14:textId="77777777" w:rsidR="0043140D" w:rsidRPr="00ED37CF" w:rsidRDefault="0043140D" w:rsidP="00B60022">
            <w:pPr>
              <w:rPr>
                <w:rFonts w:cs="Arial"/>
                <w:b/>
                <w:u w:val="single"/>
              </w:rPr>
            </w:pPr>
            <w:r w:rsidRPr="00ED37CF">
              <w:rPr>
                <w:rFonts w:cs="Arial"/>
                <w:b/>
                <w:iCs/>
                <w:noProof/>
                <w:color w:val="333399"/>
                <w:lang w:val="en-US" w:bidi="ar-SA"/>
              </w:rPr>
              <w:drawing>
                <wp:inline distT="0" distB="0" distL="0" distR="0" wp14:anchorId="7E6C5984" wp14:editId="1DB329D2">
                  <wp:extent cx="562610" cy="1059815"/>
                  <wp:effectExtent l="19050" t="0" r="889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62610" cy="1059815"/>
                          </a:xfrm>
                          <a:prstGeom prst="rect">
                            <a:avLst/>
                          </a:prstGeom>
                          <a:noFill/>
                        </pic:spPr>
                      </pic:pic>
                    </a:graphicData>
                  </a:graphic>
                </wp:inline>
              </w:drawing>
            </w:r>
          </w:p>
        </w:tc>
      </w:tr>
    </w:tbl>
    <w:p w14:paraId="2B1B0310" w14:textId="77777777" w:rsidR="0043140D" w:rsidRPr="00ED37CF" w:rsidRDefault="0043140D" w:rsidP="0043140D">
      <w:pPr>
        <w:rPr>
          <w:rFonts w:cs="Arial"/>
          <w:b/>
          <w:bCs/>
        </w:rPr>
      </w:pPr>
    </w:p>
    <w:p w14:paraId="46513A7A" w14:textId="77777777" w:rsidR="0043140D" w:rsidRPr="00ED37CF" w:rsidRDefault="0043140D" w:rsidP="0043140D">
      <w:pPr>
        <w:rPr>
          <w:rFonts w:cs="Arial"/>
          <w:b/>
          <w:bCs/>
        </w:rPr>
      </w:pPr>
    </w:p>
    <w:p w14:paraId="353D46F8" w14:textId="77777777" w:rsidR="0043140D" w:rsidRPr="00ED37CF" w:rsidRDefault="0043140D" w:rsidP="0043140D">
      <w:pPr>
        <w:rPr>
          <w:rFonts w:cs="Arial"/>
          <w:b/>
          <w:bCs/>
        </w:rPr>
      </w:pPr>
    </w:p>
    <w:p w14:paraId="0AD85A1C" w14:textId="77777777" w:rsidR="0043140D" w:rsidRPr="00ED37CF" w:rsidRDefault="0043140D" w:rsidP="0043140D">
      <w:pPr>
        <w:rPr>
          <w:rFonts w:cs="Arial"/>
          <w:b/>
          <w:bCs/>
          <w:sz w:val="32"/>
        </w:rPr>
      </w:pPr>
    </w:p>
    <w:p w14:paraId="290598A0" w14:textId="77777777" w:rsidR="0043140D" w:rsidRPr="00ED37CF" w:rsidRDefault="0043140D" w:rsidP="0043140D">
      <w:pPr>
        <w:rPr>
          <w:rFonts w:cs="Arial"/>
          <w:b/>
          <w:bCs/>
          <w:sz w:val="32"/>
        </w:rPr>
      </w:pPr>
    </w:p>
    <w:p w14:paraId="56BCEB4B" w14:textId="77777777" w:rsidR="0043140D" w:rsidRPr="00ED37CF" w:rsidRDefault="0043140D" w:rsidP="0043140D">
      <w:pPr>
        <w:rPr>
          <w:rFonts w:cs="Arial"/>
          <w:b/>
          <w:bCs/>
          <w:sz w:val="32"/>
        </w:rPr>
      </w:pPr>
    </w:p>
    <w:p w14:paraId="289B8CCA" w14:textId="77777777" w:rsidR="0043140D" w:rsidRPr="00ED37CF" w:rsidRDefault="0043140D" w:rsidP="0043140D">
      <w:pPr>
        <w:rPr>
          <w:rFonts w:cs="Arial"/>
          <w:b/>
          <w:bCs/>
          <w:sz w:val="32"/>
        </w:rPr>
      </w:pPr>
    </w:p>
    <w:p w14:paraId="7274F47A" w14:textId="77777777" w:rsidR="0043140D" w:rsidRPr="00ED37CF" w:rsidRDefault="0043140D" w:rsidP="0043140D">
      <w:pPr>
        <w:jc w:val="center"/>
        <w:rPr>
          <w:rFonts w:cs="Arial"/>
          <w:b/>
          <w:bCs/>
          <w:sz w:val="32"/>
        </w:rPr>
      </w:pPr>
      <w:r w:rsidRPr="00ED37CF">
        <w:rPr>
          <w:rFonts w:cs="Arial"/>
          <w:b/>
          <w:bCs/>
          <w:sz w:val="32"/>
        </w:rPr>
        <w:t xml:space="preserve">Final Narrative Programme Report </w:t>
      </w:r>
    </w:p>
    <w:p w14:paraId="0BD3D706" w14:textId="77777777" w:rsidR="0043140D" w:rsidRPr="00ED37CF" w:rsidRDefault="0043140D" w:rsidP="0043140D">
      <w:pPr>
        <w:jc w:val="center"/>
        <w:rPr>
          <w:rFonts w:cs="Arial"/>
          <w:b/>
          <w:bCs/>
          <w:sz w:val="32"/>
        </w:rPr>
      </w:pPr>
      <w:r w:rsidRPr="00ED37CF">
        <w:rPr>
          <w:rFonts w:cs="Arial"/>
          <w:b/>
          <w:bCs/>
          <w:sz w:val="32"/>
        </w:rPr>
        <w:t>United Nations Interagency Rehabilitation Programme</w:t>
      </w:r>
    </w:p>
    <w:p w14:paraId="58ECA778" w14:textId="77777777" w:rsidR="0043140D" w:rsidRPr="00ED37CF" w:rsidRDefault="0043140D" w:rsidP="0043140D">
      <w:pPr>
        <w:jc w:val="center"/>
        <w:rPr>
          <w:rFonts w:cs="Arial"/>
          <w:b/>
          <w:bCs/>
        </w:rPr>
      </w:pPr>
    </w:p>
    <w:p w14:paraId="09E17978" w14:textId="77777777" w:rsidR="0043140D" w:rsidRPr="00ED37CF" w:rsidRDefault="0043140D" w:rsidP="0043140D">
      <w:pPr>
        <w:jc w:val="center"/>
        <w:rPr>
          <w:rFonts w:cs="Arial"/>
          <w:b/>
          <w:bCs/>
        </w:rPr>
      </w:pPr>
    </w:p>
    <w:p w14:paraId="29FDA006" w14:textId="77777777" w:rsidR="0043140D" w:rsidRPr="00ED37CF" w:rsidRDefault="0043140D" w:rsidP="0043140D">
      <w:pPr>
        <w:jc w:val="center"/>
        <w:rPr>
          <w:rFonts w:cs="Arial"/>
          <w:bCs/>
          <w:sz w:val="24"/>
          <w:szCs w:val="24"/>
        </w:rPr>
      </w:pPr>
      <w:r w:rsidRPr="00ED37CF">
        <w:rPr>
          <w:rFonts w:cs="Arial"/>
          <w:bCs/>
          <w:sz w:val="24"/>
          <w:szCs w:val="24"/>
        </w:rPr>
        <w:t>Submitted by the Programme Manager</w:t>
      </w:r>
    </w:p>
    <w:p w14:paraId="01F0DF33" w14:textId="77777777" w:rsidR="0043140D" w:rsidRPr="00ED37CF" w:rsidRDefault="0043140D" w:rsidP="0043140D">
      <w:pPr>
        <w:jc w:val="center"/>
        <w:rPr>
          <w:rFonts w:cs="Arial"/>
          <w:b/>
          <w:bCs/>
          <w:sz w:val="24"/>
          <w:szCs w:val="24"/>
        </w:rPr>
      </w:pPr>
      <w:r w:rsidRPr="00ED37CF">
        <w:rPr>
          <w:rFonts w:cs="Arial"/>
          <w:bCs/>
          <w:sz w:val="24"/>
          <w:szCs w:val="24"/>
        </w:rPr>
        <w:t>For the period of June 2010 to December 2014</w:t>
      </w:r>
    </w:p>
    <w:p w14:paraId="10AF52EA" w14:textId="77777777" w:rsidR="0043140D" w:rsidRPr="00ED37CF" w:rsidRDefault="0043140D" w:rsidP="0043140D">
      <w:pPr>
        <w:rPr>
          <w:rFonts w:cs="Arial"/>
          <w:b/>
          <w:bCs/>
          <w:sz w:val="23"/>
          <w:szCs w:val="23"/>
        </w:rPr>
      </w:pPr>
    </w:p>
    <w:p w14:paraId="310C9502" w14:textId="77777777" w:rsidR="0043140D" w:rsidRPr="00ED37CF" w:rsidRDefault="0043140D">
      <w:pPr>
        <w:spacing w:after="200" w:line="276" w:lineRule="auto"/>
        <w:jc w:val="left"/>
        <w:rPr>
          <w:rFonts w:cs="Arial"/>
          <w:b/>
          <w:bCs/>
          <w:sz w:val="23"/>
          <w:szCs w:val="23"/>
        </w:rPr>
      </w:pPr>
      <w:r w:rsidRPr="00ED37CF">
        <w:rPr>
          <w:rFonts w:cs="Arial"/>
          <w:b/>
          <w:bCs/>
          <w:sz w:val="23"/>
          <w:szCs w:val="23"/>
        </w:rPr>
        <w:br w:type="page"/>
      </w:r>
    </w:p>
    <w:tbl>
      <w:tblPr>
        <w:tblpPr w:leftFromText="180" w:rightFromText="180" w:vertAnchor="text" w:horzAnchor="margin" w:tblpY="2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5751"/>
      </w:tblGrid>
      <w:tr w:rsidR="0043140D" w:rsidRPr="00ED37CF" w14:paraId="55C66D04" w14:textId="77777777" w:rsidTr="0043140D">
        <w:trPr>
          <w:trHeight w:val="457"/>
        </w:trPr>
        <w:tc>
          <w:tcPr>
            <w:tcW w:w="5000" w:type="pct"/>
            <w:gridSpan w:val="2"/>
            <w:tcBorders>
              <w:bottom w:val="single" w:sz="4" w:space="0" w:color="000000"/>
            </w:tcBorders>
            <w:shd w:val="clear" w:color="auto" w:fill="D9D9D9"/>
            <w:vAlign w:val="center"/>
          </w:tcPr>
          <w:p w14:paraId="4ABD2878" w14:textId="77777777" w:rsidR="0043140D" w:rsidRPr="00ED37CF" w:rsidRDefault="0043140D" w:rsidP="00B60022">
            <w:pPr>
              <w:rPr>
                <w:rFonts w:cs="Arial"/>
                <w:b/>
                <w:bCs/>
              </w:rPr>
            </w:pPr>
            <w:r w:rsidRPr="00ED37CF">
              <w:rPr>
                <w:rFonts w:cs="Arial"/>
                <w:b/>
                <w:bCs/>
                <w:sz w:val="24"/>
                <w:szCs w:val="24"/>
              </w:rPr>
              <w:lastRenderedPageBreak/>
              <w:t>PARTICIPATING UN ORGANIZATIONS</w:t>
            </w:r>
          </w:p>
        </w:tc>
      </w:tr>
      <w:tr w:rsidR="0043140D" w:rsidRPr="00ED37CF" w14:paraId="15479898" w14:textId="77777777" w:rsidTr="0043140D">
        <w:trPr>
          <w:trHeight w:val="2228"/>
        </w:trPr>
        <w:tc>
          <w:tcPr>
            <w:tcW w:w="2006" w:type="pct"/>
            <w:tcBorders>
              <w:top w:val="single" w:sz="4" w:space="0" w:color="000000"/>
              <w:left w:val="single" w:sz="4" w:space="0" w:color="000000"/>
              <w:bottom w:val="nil"/>
              <w:right w:val="nil"/>
            </w:tcBorders>
            <w:shd w:val="clear" w:color="auto" w:fill="auto"/>
          </w:tcPr>
          <w:p w14:paraId="38512219" w14:textId="77777777" w:rsidR="0043140D" w:rsidRPr="00ED37CF" w:rsidRDefault="0043140D" w:rsidP="00B60022">
            <w:pPr>
              <w:jc w:val="right"/>
              <w:rPr>
                <w:rFonts w:cs="Arial"/>
              </w:rPr>
            </w:pPr>
          </w:p>
          <w:p w14:paraId="1B95E549" w14:textId="77777777" w:rsidR="0043140D" w:rsidRPr="00ED37CF" w:rsidRDefault="0043140D" w:rsidP="00B60022">
            <w:pPr>
              <w:jc w:val="right"/>
              <w:rPr>
                <w:rFonts w:cs="Arial"/>
              </w:rPr>
            </w:pPr>
            <w:r w:rsidRPr="00ED37CF">
              <w:rPr>
                <w:rFonts w:cs="Arial"/>
                <w:noProof/>
                <w:lang w:val="en-US" w:bidi="ar-SA"/>
              </w:rPr>
              <w:drawing>
                <wp:inline distT="0" distB="0" distL="0" distR="0" wp14:anchorId="7D582358" wp14:editId="3950E0CE">
                  <wp:extent cx="413385" cy="898525"/>
                  <wp:effectExtent l="19050" t="0" r="5715" b="0"/>
                  <wp:docPr id="7" name="Picture 3"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pic:cNvPicPr>
                            <a:picLocks noChangeAspect="1" noChangeArrowheads="1"/>
                          </pic:cNvPicPr>
                        </pic:nvPicPr>
                        <pic:blipFill>
                          <a:blip r:embed="rId10" cstate="print"/>
                          <a:srcRect/>
                          <a:stretch>
                            <a:fillRect/>
                          </a:stretch>
                        </pic:blipFill>
                        <pic:spPr bwMode="auto">
                          <a:xfrm>
                            <a:off x="0" y="0"/>
                            <a:ext cx="413385" cy="898525"/>
                          </a:xfrm>
                          <a:prstGeom prst="rect">
                            <a:avLst/>
                          </a:prstGeom>
                          <a:noFill/>
                          <a:ln w="9525">
                            <a:noFill/>
                            <a:miter lim="800000"/>
                            <a:headEnd/>
                            <a:tailEnd/>
                          </a:ln>
                        </pic:spPr>
                      </pic:pic>
                    </a:graphicData>
                  </a:graphic>
                </wp:inline>
              </w:drawing>
            </w:r>
          </w:p>
          <w:p w14:paraId="6089F0F1" w14:textId="77777777" w:rsidR="0043140D" w:rsidRPr="00ED37CF" w:rsidRDefault="0043140D" w:rsidP="00B60022">
            <w:pPr>
              <w:jc w:val="right"/>
              <w:rPr>
                <w:rFonts w:cs="Arial"/>
                <w:b/>
                <w:bCs/>
              </w:rPr>
            </w:pPr>
          </w:p>
        </w:tc>
        <w:tc>
          <w:tcPr>
            <w:tcW w:w="2994" w:type="pct"/>
            <w:tcBorders>
              <w:top w:val="single" w:sz="4" w:space="0" w:color="000000"/>
              <w:left w:val="nil"/>
              <w:bottom w:val="nil"/>
              <w:right w:val="single" w:sz="4" w:space="0" w:color="000000"/>
            </w:tcBorders>
            <w:shd w:val="clear" w:color="auto" w:fill="auto"/>
            <w:vAlign w:val="center"/>
          </w:tcPr>
          <w:p w14:paraId="26ED3C12" w14:textId="77777777" w:rsidR="0043140D" w:rsidRPr="00ED37CF" w:rsidRDefault="0043140D" w:rsidP="00B60022">
            <w:pPr>
              <w:rPr>
                <w:rFonts w:cs="Arial"/>
                <w:b/>
                <w:bCs/>
                <w:color w:val="000000"/>
                <w:sz w:val="24"/>
                <w:szCs w:val="24"/>
              </w:rPr>
            </w:pPr>
            <w:r w:rsidRPr="00ED37CF">
              <w:rPr>
                <w:rFonts w:cs="Arial"/>
                <w:b/>
                <w:bCs/>
                <w:color w:val="000000"/>
                <w:sz w:val="24"/>
                <w:szCs w:val="24"/>
              </w:rPr>
              <w:t>United Nations Development Programme (UNDP)</w:t>
            </w:r>
          </w:p>
          <w:p w14:paraId="7626554E" w14:textId="77777777" w:rsidR="0043140D" w:rsidRPr="00ED37CF" w:rsidRDefault="0043140D" w:rsidP="00B60022">
            <w:pPr>
              <w:rPr>
                <w:rFonts w:cs="Arial"/>
                <w:b/>
                <w:bCs/>
                <w:color w:val="000000"/>
                <w:sz w:val="24"/>
                <w:szCs w:val="24"/>
              </w:rPr>
            </w:pPr>
          </w:p>
          <w:p w14:paraId="37A37837" w14:textId="77777777" w:rsidR="0043140D" w:rsidRPr="00ED37CF" w:rsidRDefault="0043140D" w:rsidP="00B60022">
            <w:pPr>
              <w:rPr>
                <w:rFonts w:cs="Arial"/>
                <w:b/>
                <w:bCs/>
                <w:sz w:val="24"/>
                <w:szCs w:val="24"/>
              </w:rPr>
            </w:pPr>
          </w:p>
        </w:tc>
      </w:tr>
      <w:tr w:rsidR="0043140D" w:rsidRPr="00ED37CF" w14:paraId="26F37414" w14:textId="77777777" w:rsidTr="0043140D">
        <w:trPr>
          <w:trHeight w:val="834"/>
        </w:trPr>
        <w:tc>
          <w:tcPr>
            <w:tcW w:w="2006" w:type="pct"/>
            <w:tcBorders>
              <w:top w:val="nil"/>
              <w:left w:val="single" w:sz="4" w:space="0" w:color="000000"/>
              <w:bottom w:val="nil"/>
              <w:right w:val="nil"/>
            </w:tcBorders>
            <w:shd w:val="clear" w:color="auto" w:fill="auto"/>
          </w:tcPr>
          <w:p w14:paraId="76B5C50D" w14:textId="77777777" w:rsidR="0043140D" w:rsidRPr="00ED37CF" w:rsidRDefault="0043140D" w:rsidP="00B60022">
            <w:pPr>
              <w:jc w:val="right"/>
              <w:rPr>
                <w:rFonts w:cs="Arial"/>
              </w:rPr>
            </w:pPr>
            <w:r w:rsidRPr="00ED37CF">
              <w:rPr>
                <w:rFonts w:cs="Arial"/>
                <w:noProof/>
                <w:lang w:val="en-US" w:bidi="ar-SA"/>
              </w:rPr>
              <w:drawing>
                <wp:inline distT="0" distB="0" distL="0" distR="0" wp14:anchorId="6ECCFFCC" wp14:editId="497E2175">
                  <wp:extent cx="898525" cy="278130"/>
                  <wp:effectExtent l="19050" t="0" r="0" b="0"/>
                  <wp:docPr id="1" name="Picture 4"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CEF"/>
                          <pic:cNvPicPr>
                            <a:picLocks noChangeAspect="1" noChangeArrowheads="1"/>
                          </pic:cNvPicPr>
                        </pic:nvPicPr>
                        <pic:blipFill>
                          <a:blip r:embed="rId11" cstate="print"/>
                          <a:srcRect/>
                          <a:stretch>
                            <a:fillRect/>
                          </a:stretch>
                        </pic:blipFill>
                        <pic:spPr bwMode="auto">
                          <a:xfrm>
                            <a:off x="0" y="0"/>
                            <a:ext cx="898525" cy="278130"/>
                          </a:xfrm>
                          <a:prstGeom prst="rect">
                            <a:avLst/>
                          </a:prstGeom>
                          <a:noFill/>
                          <a:ln w="9525">
                            <a:noFill/>
                            <a:miter lim="800000"/>
                            <a:headEnd/>
                            <a:tailEnd/>
                          </a:ln>
                        </pic:spPr>
                      </pic:pic>
                    </a:graphicData>
                  </a:graphic>
                </wp:inline>
              </w:drawing>
            </w:r>
          </w:p>
          <w:p w14:paraId="365568A7" w14:textId="77777777" w:rsidR="0043140D" w:rsidRPr="00ED37CF" w:rsidRDefault="0043140D" w:rsidP="00B60022">
            <w:pPr>
              <w:jc w:val="right"/>
              <w:rPr>
                <w:rFonts w:cs="Arial"/>
                <w:b/>
                <w:bCs/>
              </w:rPr>
            </w:pPr>
          </w:p>
        </w:tc>
        <w:tc>
          <w:tcPr>
            <w:tcW w:w="2994" w:type="pct"/>
            <w:tcBorders>
              <w:top w:val="nil"/>
              <w:left w:val="nil"/>
              <w:bottom w:val="nil"/>
              <w:right w:val="single" w:sz="4" w:space="0" w:color="000000"/>
            </w:tcBorders>
            <w:shd w:val="clear" w:color="auto" w:fill="auto"/>
            <w:vAlign w:val="center"/>
          </w:tcPr>
          <w:p w14:paraId="059C9BEC" w14:textId="77777777" w:rsidR="0043140D" w:rsidRPr="00ED37CF" w:rsidRDefault="0043140D" w:rsidP="00B60022">
            <w:pPr>
              <w:rPr>
                <w:rFonts w:cs="Arial"/>
                <w:b/>
                <w:bCs/>
                <w:color w:val="000000"/>
                <w:sz w:val="24"/>
                <w:szCs w:val="24"/>
              </w:rPr>
            </w:pPr>
            <w:r w:rsidRPr="00ED37CF">
              <w:rPr>
                <w:rFonts w:cs="Arial"/>
                <w:b/>
                <w:bCs/>
                <w:color w:val="000000"/>
                <w:sz w:val="24"/>
                <w:szCs w:val="24"/>
              </w:rPr>
              <w:t>United Nations Children’s Fund (UNICEF)</w:t>
            </w:r>
          </w:p>
          <w:p w14:paraId="64166AA0" w14:textId="77777777" w:rsidR="0043140D" w:rsidRPr="00ED37CF" w:rsidRDefault="0043140D" w:rsidP="00B60022">
            <w:pPr>
              <w:rPr>
                <w:rFonts w:cs="Arial"/>
                <w:b/>
                <w:bCs/>
                <w:color w:val="000000"/>
                <w:sz w:val="24"/>
                <w:szCs w:val="24"/>
              </w:rPr>
            </w:pPr>
          </w:p>
          <w:p w14:paraId="4B055750" w14:textId="77777777" w:rsidR="0043140D" w:rsidRPr="00ED37CF" w:rsidRDefault="0043140D" w:rsidP="00B60022">
            <w:pPr>
              <w:rPr>
                <w:rFonts w:cs="Arial"/>
                <w:b/>
                <w:bCs/>
                <w:sz w:val="24"/>
                <w:szCs w:val="24"/>
              </w:rPr>
            </w:pPr>
          </w:p>
        </w:tc>
      </w:tr>
      <w:tr w:rsidR="0043140D" w:rsidRPr="00ED37CF" w14:paraId="79F9A025" w14:textId="77777777" w:rsidTr="0043140D">
        <w:trPr>
          <w:trHeight w:val="867"/>
        </w:trPr>
        <w:tc>
          <w:tcPr>
            <w:tcW w:w="2006" w:type="pct"/>
            <w:tcBorders>
              <w:top w:val="nil"/>
              <w:left w:val="single" w:sz="4" w:space="0" w:color="000000"/>
              <w:bottom w:val="nil"/>
              <w:right w:val="nil"/>
            </w:tcBorders>
            <w:shd w:val="clear" w:color="auto" w:fill="auto"/>
          </w:tcPr>
          <w:p w14:paraId="64B8D8D6" w14:textId="77777777" w:rsidR="0043140D" w:rsidRPr="00ED37CF" w:rsidRDefault="0043140D" w:rsidP="00B60022">
            <w:pPr>
              <w:jc w:val="right"/>
              <w:rPr>
                <w:rFonts w:cs="Arial"/>
              </w:rPr>
            </w:pPr>
            <w:r w:rsidRPr="00ED37CF">
              <w:rPr>
                <w:rFonts w:cs="Arial"/>
                <w:noProof/>
                <w:lang w:val="en-US" w:bidi="ar-SA"/>
              </w:rPr>
              <w:drawing>
                <wp:inline distT="0" distB="0" distL="0" distR="0" wp14:anchorId="06D65229" wp14:editId="671A9B66">
                  <wp:extent cx="787400" cy="309880"/>
                  <wp:effectExtent l="19050" t="0" r="0" b="0"/>
                  <wp:docPr id="5" name="Picture 5"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PA"/>
                          <pic:cNvPicPr>
                            <a:picLocks noChangeAspect="1" noChangeArrowheads="1"/>
                          </pic:cNvPicPr>
                        </pic:nvPicPr>
                        <pic:blipFill>
                          <a:blip r:embed="rId12" cstate="print"/>
                          <a:srcRect/>
                          <a:stretch>
                            <a:fillRect/>
                          </a:stretch>
                        </pic:blipFill>
                        <pic:spPr bwMode="auto">
                          <a:xfrm>
                            <a:off x="0" y="0"/>
                            <a:ext cx="787400" cy="309880"/>
                          </a:xfrm>
                          <a:prstGeom prst="rect">
                            <a:avLst/>
                          </a:prstGeom>
                          <a:noFill/>
                          <a:ln w="9525">
                            <a:noFill/>
                            <a:miter lim="800000"/>
                            <a:headEnd/>
                            <a:tailEnd/>
                          </a:ln>
                        </pic:spPr>
                      </pic:pic>
                    </a:graphicData>
                  </a:graphic>
                </wp:inline>
              </w:drawing>
            </w:r>
          </w:p>
          <w:p w14:paraId="22638514" w14:textId="77777777" w:rsidR="0043140D" w:rsidRPr="00ED37CF" w:rsidRDefault="0043140D" w:rsidP="00B60022">
            <w:pPr>
              <w:jc w:val="right"/>
              <w:rPr>
                <w:rFonts w:cs="Arial"/>
                <w:b/>
                <w:bCs/>
              </w:rPr>
            </w:pPr>
          </w:p>
        </w:tc>
        <w:tc>
          <w:tcPr>
            <w:tcW w:w="2994" w:type="pct"/>
            <w:tcBorders>
              <w:top w:val="nil"/>
              <w:left w:val="nil"/>
              <w:bottom w:val="nil"/>
              <w:right w:val="single" w:sz="4" w:space="0" w:color="000000"/>
            </w:tcBorders>
            <w:shd w:val="clear" w:color="auto" w:fill="auto"/>
            <w:vAlign w:val="center"/>
          </w:tcPr>
          <w:p w14:paraId="5EF502FE" w14:textId="77777777" w:rsidR="0043140D" w:rsidRPr="00ED37CF" w:rsidRDefault="0043140D" w:rsidP="00B60022">
            <w:pPr>
              <w:rPr>
                <w:rFonts w:cs="Arial"/>
                <w:b/>
                <w:bCs/>
                <w:color w:val="000000"/>
                <w:sz w:val="24"/>
                <w:szCs w:val="24"/>
              </w:rPr>
            </w:pPr>
            <w:r w:rsidRPr="00ED37CF">
              <w:rPr>
                <w:rFonts w:cs="Arial"/>
                <w:b/>
                <w:bCs/>
                <w:color w:val="000000"/>
                <w:sz w:val="24"/>
                <w:szCs w:val="24"/>
              </w:rPr>
              <w:t>United Nations Population Fund (UNFPA)</w:t>
            </w:r>
          </w:p>
          <w:p w14:paraId="7880A2FC" w14:textId="77777777" w:rsidR="0043140D" w:rsidRPr="00ED37CF" w:rsidRDefault="0043140D" w:rsidP="00B60022">
            <w:pPr>
              <w:rPr>
                <w:rFonts w:cs="Arial"/>
                <w:b/>
                <w:bCs/>
                <w:sz w:val="24"/>
                <w:szCs w:val="24"/>
              </w:rPr>
            </w:pPr>
          </w:p>
        </w:tc>
      </w:tr>
      <w:tr w:rsidR="0043140D" w:rsidRPr="00ED37CF" w14:paraId="16C7EE3A" w14:textId="77777777" w:rsidTr="0043140D">
        <w:trPr>
          <w:trHeight w:val="1020"/>
        </w:trPr>
        <w:tc>
          <w:tcPr>
            <w:tcW w:w="2006" w:type="pct"/>
            <w:tcBorders>
              <w:top w:val="nil"/>
              <w:left w:val="single" w:sz="4" w:space="0" w:color="000000"/>
              <w:bottom w:val="single" w:sz="4" w:space="0" w:color="000000"/>
              <w:right w:val="nil"/>
            </w:tcBorders>
            <w:shd w:val="clear" w:color="auto" w:fill="auto"/>
          </w:tcPr>
          <w:p w14:paraId="78819C5B" w14:textId="77777777" w:rsidR="0043140D" w:rsidRPr="00ED37CF" w:rsidRDefault="0043140D" w:rsidP="00B60022">
            <w:pPr>
              <w:tabs>
                <w:tab w:val="left" w:pos="2502"/>
              </w:tabs>
              <w:jc w:val="right"/>
              <w:rPr>
                <w:rFonts w:cs="Arial"/>
              </w:rPr>
            </w:pPr>
            <w:r w:rsidRPr="00ED37CF">
              <w:rPr>
                <w:rFonts w:cs="Arial"/>
                <w:noProof/>
                <w:lang w:val="en-US" w:bidi="ar-SA"/>
              </w:rPr>
              <w:drawing>
                <wp:inline distT="0" distB="0" distL="0" distR="0" wp14:anchorId="02C89437" wp14:editId="63EAB4A1">
                  <wp:extent cx="946150" cy="381635"/>
                  <wp:effectExtent l="19050" t="0" r="0" b="0"/>
                  <wp:docPr id="6" name="Picture 6" descr="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O"/>
                          <pic:cNvPicPr>
                            <a:picLocks noChangeAspect="1" noChangeArrowheads="1"/>
                          </pic:cNvPicPr>
                        </pic:nvPicPr>
                        <pic:blipFill>
                          <a:blip r:embed="rId13" cstate="print"/>
                          <a:srcRect/>
                          <a:stretch>
                            <a:fillRect/>
                          </a:stretch>
                        </pic:blipFill>
                        <pic:spPr bwMode="auto">
                          <a:xfrm>
                            <a:off x="0" y="0"/>
                            <a:ext cx="946150" cy="381635"/>
                          </a:xfrm>
                          <a:prstGeom prst="rect">
                            <a:avLst/>
                          </a:prstGeom>
                          <a:noFill/>
                          <a:ln w="9525">
                            <a:noFill/>
                            <a:miter lim="800000"/>
                            <a:headEnd/>
                            <a:tailEnd/>
                          </a:ln>
                        </pic:spPr>
                      </pic:pic>
                    </a:graphicData>
                  </a:graphic>
                </wp:inline>
              </w:drawing>
            </w:r>
          </w:p>
          <w:p w14:paraId="1F584513" w14:textId="77777777" w:rsidR="0043140D" w:rsidRPr="00ED37CF" w:rsidRDefault="0043140D" w:rsidP="00B60022">
            <w:pPr>
              <w:jc w:val="right"/>
              <w:rPr>
                <w:rFonts w:cs="Arial"/>
                <w:b/>
                <w:bCs/>
              </w:rPr>
            </w:pPr>
          </w:p>
        </w:tc>
        <w:tc>
          <w:tcPr>
            <w:tcW w:w="2994" w:type="pct"/>
            <w:tcBorders>
              <w:top w:val="nil"/>
              <w:left w:val="nil"/>
              <w:bottom w:val="single" w:sz="4" w:space="0" w:color="000000"/>
              <w:right w:val="single" w:sz="4" w:space="0" w:color="000000"/>
            </w:tcBorders>
            <w:shd w:val="clear" w:color="auto" w:fill="auto"/>
            <w:vAlign w:val="center"/>
          </w:tcPr>
          <w:p w14:paraId="185EA0AD" w14:textId="77777777" w:rsidR="0043140D" w:rsidRPr="00ED37CF" w:rsidRDefault="0043140D" w:rsidP="00B60022">
            <w:pPr>
              <w:rPr>
                <w:rFonts w:cs="Arial"/>
                <w:b/>
                <w:bCs/>
                <w:color w:val="000000"/>
                <w:sz w:val="24"/>
                <w:szCs w:val="24"/>
              </w:rPr>
            </w:pPr>
            <w:r w:rsidRPr="00ED37CF">
              <w:rPr>
                <w:rFonts w:cs="Arial"/>
                <w:b/>
                <w:bCs/>
                <w:color w:val="000000"/>
                <w:sz w:val="24"/>
                <w:szCs w:val="24"/>
              </w:rPr>
              <w:t>International Labour Organization (ILO)</w:t>
            </w:r>
          </w:p>
          <w:p w14:paraId="0146DE39" w14:textId="77777777" w:rsidR="0043140D" w:rsidRPr="00ED37CF" w:rsidRDefault="0043140D" w:rsidP="00B60022">
            <w:pPr>
              <w:rPr>
                <w:rFonts w:cs="Arial"/>
                <w:b/>
                <w:bCs/>
                <w:sz w:val="24"/>
                <w:szCs w:val="24"/>
              </w:rPr>
            </w:pPr>
          </w:p>
        </w:tc>
      </w:tr>
    </w:tbl>
    <w:p w14:paraId="0F0ADF6C" w14:textId="77777777" w:rsidR="0043140D" w:rsidRPr="00ED37CF" w:rsidRDefault="0043140D" w:rsidP="0043140D">
      <w:pPr>
        <w:rPr>
          <w:rFonts w:cs="Arial"/>
          <w:b/>
          <w:bCs/>
        </w:rPr>
      </w:pPr>
    </w:p>
    <w:p w14:paraId="2F29E1A1" w14:textId="77777777" w:rsidR="0043140D" w:rsidRPr="00ED37CF" w:rsidRDefault="0043140D">
      <w:pPr>
        <w:spacing w:after="200" w:line="276" w:lineRule="auto"/>
        <w:jc w:val="left"/>
        <w:rPr>
          <w:rFonts w:cs="Arial"/>
          <w:b/>
          <w:bCs/>
        </w:rPr>
      </w:pPr>
      <w:r w:rsidRPr="00ED37CF">
        <w:rPr>
          <w:rFonts w:cs="Arial"/>
          <w:b/>
          <w:bCs/>
        </w:rPr>
        <w:br w:type="page"/>
      </w:r>
    </w:p>
    <w:p w14:paraId="74C19FD6" w14:textId="77777777" w:rsidR="0043140D" w:rsidRPr="00ED37CF" w:rsidRDefault="0043140D" w:rsidP="0043140D">
      <w:pPr>
        <w:spacing w:after="0"/>
        <w:jc w:val="right"/>
        <w:rPr>
          <w:rFonts w:cs="Arial"/>
          <w:b/>
          <w:bCs/>
          <w:sz w:val="26"/>
        </w:rPr>
      </w:pPr>
      <w:r w:rsidRPr="00ED37CF">
        <w:rPr>
          <w:rFonts w:cs="Arial"/>
          <w:b/>
          <w:bCs/>
          <w:noProof/>
          <w:lang w:val="en-US" w:bidi="ar-SA"/>
        </w:rPr>
        <w:lastRenderedPageBreak/>
        <w:drawing>
          <wp:inline distT="0" distB="0" distL="0" distR="0" wp14:anchorId="3E207C9A" wp14:editId="7F58F0F0">
            <wp:extent cx="974863" cy="83488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11829" t="4525" r="17604" b="16284"/>
                    <a:stretch>
                      <a:fillRect/>
                    </a:stretch>
                  </pic:blipFill>
                  <pic:spPr bwMode="auto">
                    <a:xfrm>
                      <a:off x="0" y="0"/>
                      <a:ext cx="974863" cy="834887"/>
                    </a:xfrm>
                    <a:prstGeom prst="rect">
                      <a:avLst/>
                    </a:prstGeom>
                    <a:noFill/>
                    <a:ln w="9525">
                      <a:noFill/>
                      <a:miter lim="800000"/>
                      <a:headEnd/>
                      <a:tailEnd/>
                    </a:ln>
                  </pic:spPr>
                </pic:pic>
              </a:graphicData>
            </a:graphic>
          </wp:inline>
        </w:drawing>
      </w:r>
    </w:p>
    <w:p w14:paraId="431DBBBB" w14:textId="77777777" w:rsidR="0043140D" w:rsidRPr="00ED37CF" w:rsidRDefault="0043140D" w:rsidP="0043140D">
      <w:pPr>
        <w:spacing w:after="60"/>
        <w:jc w:val="center"/>
        <w:rPr>
          <w:rFonts w:cs="Arial"/>
          <w:b/>
          <w:bCs/>
          <w:sz w:val="24"/>
          <w:szCs w:val="24"/>
        </w:rPr>
      </w:pPr>
      <w:r w:rsidRPr="00ED37CF">
        <w:rPr>
          <w:rFonts w:cs="Arial"/>
          <w:b/>
          <w:bCs/>
          <w:sz w:val="24"/>
          <w:szCs w:val="24"/>
        </w:rPr>
        <w:t>United Nations Interagency Rehabilitation Programme</w:t>
      </w:r>
    </w:p>
    <w:p w14:paraId="66B7D537" w14:textId="77777777" w:rsidR="0043140D" w:rsidRPr="00ED37CF" w:rsidRDefault="0043140D" w:rsidP="0043140D">
      <w:pPr>
        <w:spacing w:after="60"/>
        <w:jc w:val="center"/>
        <w:rPr>
          <w:rFonts w:cs="Arial"/>
          <w:b/>
          <w:bCs/>
          <w:caps/>
          <w:sz w:val="24"/>
          <w:szCs w:val="24"/>
        </w:rPr>
      </w:pPr>
      <w:r w:rsidRPr="00ED37CF">
        <w:rPr>
          <w:rFonts w:cs="Arial"/>
          <w:b/>
          <w:bCs/>
          <w:caps/>
          <w:sz w:val="24"/>
          <w:szCs w:val="24"/>
        </w:rPr>
        <w:t>final programme NARRATIVE report</w:t>
      </w:r>
    </w:p>
    <w:p w14:paraId="357B887B" w14:textId="77777777" w:rsidR="0043140D" w:rsidRPr="00ED37CF" w:rsidRDefault="0043140D" w:rsidP="0043140D">
      <w:pPr>
        <w:widowControl w:val="0"/>
        <w:tabs>
          <w:tab w:val="left" w:pos="426"/>
        </w:tabs>
        <w:spacing w:after="60"/>
        <w:jc w:val="center"/>
        <w:rPr>
          <w:rFonts w:cs="Arial"/>
          <w:b/>
          <w:bCs/>
          <w:caps/>
          <w:sz w:val="24"/>
          <w:szCs w:val="24"/>
        </w:rPr>
      </w:pPr>
      <w:r w:rsidRPr="00ED37CF">
        <w:rPr>
          <w:rFonts w:cs="Arial"/>
          <w:b/>
          <w:bCs/>
          <w:caps/>
          <w:sz w:val="24"/>
          <w:szCs w:val="24"/>
        </w:rPr>
        <w:t xml:space="preserve">REPORTING PERIOD: from </w:t>
      </w:r>
      <w:r w:rsidRPr="00ED37CF">
        <w:rPr>
          <w:rFonts w:cs="Arial"/>
          <w:b/>
          <w:bCs/>
          <w:sz w:val="24"/>
          <w:szCs w:val="24"/>
        </w:rPr>
        <w:t>JUNE 2010</w:t>
      </w:r>
      <w:r w:rsidRPr="00ED37CF">
        <w:rPr>
          <w:rFonts w:cs="Arial"/>
          <w:b/>
          <w:bCs/>
          <w:caps/>
          <w:sz w:val="24"/>
          <w:szCs w:val="24"/>
        </w:rPr>
        <w:t xml:space="preserve"> to December 2014</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270"/>
        <w:gridCol w:w="5490"/>
      </w:tblGrid>
      <w:tr w:rsidR="0043140D" w:rsidRPr="00ED37CF" w14:paraId="144E4444" w14:textId="77777777" w:rsidTr="00B60022">
        <w:trPr>
          <w:trHeight w:val="206"/>
        </w:trPr>
        <w:tc>
          <w:tcPr>
            <w:tcW w:w="4050" w:type="dxa"/>
            <w:shd w:val="clear" w:color="auto" w:fill="EEECE1"/>
            <w:vAlign w:val="center"/>
          </w:tcPr>
          <w:p w14:paraId="5F2FA6EE"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2"/>
                <w:szCs w:val="22"/>
              </w:rPr>
            </w:pPr>
            <w:r w:rsidRPr="00ED37CF">
              <w:rPr>
                <w:rFonts w:ascii="Myriad Pro" w:hAnsi="Myriad Pro"/>
                <w:sz w:val="22"/>
                <w:szCs w:val="22"/>
              </w:rPr>
              <w:t>Programme Title &amp; Project Number</w:t>
            </w:r>
          </w:p>
        </w:tc>
        <w:tc>
          <w:tcPr>
            <w:tcW w:w="270" w:type="dxa"/>
            <w:vMerge w:val="restart"/>
            <w:vAlign w:val="center"/>
          </w:tcPr>
          <w:p w14:paraId="4223E6E8" w14:textId="77777777" w:rsidR="0043140D" w:rsidRPr="00ED37CF" w:rsidRDefault="0043140D" w:rsidP="00E261E4">
            <w:pPr>
              <w:widowControl w:val="0"/>
              <w:tabs>
                <w:tab w:val="left" w:pos="426"/>
              </w:tabs>
              <w:spacing w:after="40"/>
              <w:rPr>
                <w:rFonts w:cs="Arial"/>
              </w:rPr>
            </w:pPr>
          </w:p>
        </w:tc>
        <w:tc>
          <w:tcPr>
            <w:tcW w:w="5490" w:type="dxa"/>
            <w:shd w:val="clear" w:color="auto" w:fill="EEECE1"/>
            <w:vAlign w:val="center"/>
          </w:tcPr>
          <w:p w14:paraId="765E2214"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2"/>
                <w:szCs w:val="22"/>
              </w:rPr>
            </w:pPr>
            <w:r w:rsidRPr="00ED37CF">
              <w:rPr>
                <w:rFonts w:ascii="Myriad Pro" w:hAnsi="Myriad Pro"/>
                <w:sz w:val="22"/>
                <w:szCs w:val="22"/>
              </w:rPr>
              <w:t>Country, Locality(s), Priority Area(s) / Strategic Results</w:t>
            </w:r>
          </w:p>
        </w:tc>
      </w:tr>
      <w:tr w:rsidR="0043140D" w:rsidRPr="00ED37CF" w14:paraId="27C820BA" w14:textId="77777777" w:rsidTr="00B60022">
        <w:trPr>
          <w:trHeight w:val="300"/>
        </w:trPr>
        <w:tc>
          <w:tcPr>
            <w:tcW w:w="4050" w:type="dxa"/>
            <w:vMerge w:val="restart"/>
          </w:tcPr>
          <w:p w14:paraId="199DA6DE" w14:textId="77777777" w:rsidR="0043140D" w:rsidRPr="00ED37CF" w:rsidRDefault="0043140D" w:rsidP="00E261E4">
            <w:pPr>
              <w:pStyle w:val="BodyText"/>
              <w:spacing w:after="40" w:line="271" w:lineRule="auto"/>
              <w:rPr>
                <w:rFonts w:ascii="Myriad Pro" w:hAnsi="Myriad Pro" w:cs="Arial"/>
                <w:bCs/>
                <w:iCs/>
                <w:snapToGrid w:val="0"/>
                <w:lang w:bidi="ar-SA"/>
              </w:rPr>
            </w:pPr>
            <w:r w:rsidRPr="00ED37CF">
              <w:rPr>
                <w:rFonts w:ascii="Myriad Pro" w:hAnsi="Myriad Pro" w:cs="Arial"/>
                <w:b/>
                <w:bCs/>
                <w:iCs/>
                <w:snapToGrid w:val="0"/>
                <w:lang w:bidi="ar-SA"/>
              </w:rPr>
              <w:t>Programme Title</w:t>
            </w:r>
            <w:r w:rsidRPr="00ED37CF">
              <w:rPr>
                <w:rFonts w:ascii="Myriad Pro" w:hAnsi="Myriad Pro" w:cs="Arial"/>
                <w:bCs/>
                <w:iCs/>
                <w:snapToGrid w:val="0"/>
                <w:lang w:bidi="ar-SA"/>
              </w:rPr>
              <w:t>:</w:t>
            </w:r>
            <w:r w:rsidR="005E1EE9" w:rsidRPr="00ED37CF">
              <w:rPr>
                <w:rFonts w:ascii="Myriad Pro" w:hAnsi="Myriad Pro" w:cs="Arial"/>
                <w:bCs/>
                <w:iCs/>
                <w:snapToGrid w:val="0"/>
                <w:lang w:bidi="ar-SA"/>
              </w:rPr>
              <w:t xml:space="preserve"> </w:t>
            </w:r>
            <w:r w:rsidRPr="00ED37CF">
              <w:rPr>
                <w:rFonts w:ascii="Myriad Pro" w:hAnsi="Myriad Pro" w:cs="Arial"/>
                <w:bCs/>
                <w:iCs/>
                <w:snapToGrid w:val="0"/>
                <w:lang w:bidi="ar-SA"/>
              </w:rPr>
              <w:t>United Nations Interagency Rehabilitation Programme (UNIRP)</w:t>
            </w:r>
          </w:p>
          <w:p w14:paraId="50175509" w14:textId="77777777" w:rsidR="0043140D" w:rsidRPr="00ED37CF" w:rsidRDefault="0043140D" w:rsidP="00E261E4">
            <w:pPr>
              <w:pStyle w:val="BodyText"/>
              <w:numPr>
                <w:ilvl w:val="0"/>
                <w:numId w:val="1"/>
              </w:numPr>
              <w:spacing w:after="40" w:line="271" w:lineRule="auto"/>
              <w:ind w:left="360"/>
              <w:jc w:val="both"/>
              <w:rPr>
                <w:rFonts w:ascii="Myriad Pro" w:hAnsi="Myriad Pro" w:cs="Arial"/>
                <w:bCs/>
                <w:iCs/>
                <w:snapToGrid w:val="0"/>
                <w:lang w:bidi="ar-SA"/>
              </w:rPr>
            </w:pPr>
            <w:r w:rsidRPr="00ED37CF">
              <w:rPr>
                <w:rFonts w:ascii="Myriad Pro" w:hAnsi="Myriad Pro" w:cs="Arial"/>
                <w:bCs/>
                <w:iCs/>
                <w:snapToGrid w:val="0"/>
                <w:lang w:bidi="ar-SA"/>
              </w:rPr>
              <w:t>Support to the Rehabilitation of Verified Minors and Late Recruits (United Nations Interagency Rehabilitation Programme)</w:t>
            </w:r>
          </w:p>
          <w:p w14:paraId="2A261190" w14:textId="77777777" w:rsidR="0043140D" w:rsidRPr="00ED37CF" w:rsidRDefault="0043140D" w:rsidP="00E261E4">
            <w:pPr>
              <w:pStyle w:val="BodyText"/>
              <w:spacing w:after="40" w:line="271" w:lineRule="auto"/>
              <w:rPr>
                <w:rFonts w:ascii="Myriad Pro" w:hAnsi="Myriad Pro" w:cs="Arial"/>
                <w:bCs/>
                <w:iCs/>
                <w:snapToGrid w:val="0"/>
                <w:lang w:bidi="ar-SA"/>
              </w:rPr>
            </w:pPr>
            <w:r w:rsidRPr="00ED37CF">
              <w:rPr>
                <w:rFonts w:ascii="Myriad Pro" w:hAnsi="Myriad Pro" w:cs="Arial"/>
                <w:b/>
                <w:bCs/>
                <w:iCs/>
                <w:snapToGrid w:val="0"/>
                <w:lang w:bidi="ar-SA"/>
              </w:rPr>
              <w:t>Programme Number:</w:t>
            </w:r>
            <w:r w:rsidR="005E1EE9" w:rsidRPr="00ED37CF">
              <w:rPr>
                <w:rFonts w:ascii="Myriad Pro" w:hAnsi="Myriad Pro" w:cs="Arial"/>
                <w:bCs/>
                <w:iCs/>
                <w:snapToGrid w:val="0"/>
                <w:lang w:bidi="ar-SA"/>
              </w:rPr>
              <w:t xml:space="preserve"> </w:t>
            </w:r>
            <w:r w:rsidRPr="00ED37CF">
              <w:rPr>
                <w:rFonts w:ascii="Myriad Pro" w:hAnsi="Myriad Pro" w:cs="Arial"/>
                <w:bCs/>
                <w:iCs/>
                <w:snapToGrid w:val="0"/>
                <w:lang w:bidi="ar-SA"/>
              </w:rPr>
              <w:t>UNPFN/A7</w:t>
            </w:r>
          </w:p>
          <w:p w14:paraId="117C8C3E" w14:textId="77777777" w:rsidR="0043140D" w:rsidRPr="00ED37CF" w:rsidRDefault="0043140D" w:rsidP="00E261E4">
            <w:pPr>
              <w:pStyle w:val="BodyText"/>
              <w:spacing w:after="40" w:line="271" w:lineRule="auto"/>
              <w:rPr>
                <w:rFonts w:ascii="Myriad Pro" w:hAnsi="Myriad Pro" w:cs="Arial"/>
                <w:bCs/>
                <w:iCs/>
                <w:snapToGrid w:val="0"/>
                <w:lang w:bidi="ar-SA"/>
              </w:rPr>
            </w:pPr>
            <w:r w:rsidRPr="00ED37CF">
              <w:rPr>
                <w:rFonts w:ascii="Myriad Pro" w:hAnsi="Myriad Pro" w:cs="Arial"/>
                <w:b/>
                <w:bCs/>
                <w:iCs/>
                <w:snapToGrid w:val="0"/>
                <w:lang w:bidi="ar-SA"/>
              </w:rPr>
              <w:t>MPTF Office Project Reference Number:</w:t>
            </w:r>
            <w:r w:rsidRPr="00ED37CF">
              <w:rPr>
                <w:rFonts w:ascii="Myriad Pro" w:hAnsi="Myriad Pro" w:cs="Arial"/>
                <w:bCs/>
                <w:iCs/>
                <w:snapToGrid w:val="0"/>
                <w:lang w:bidi="ar-SA"/>
              </w:rPr>
              <w:t xml:space="preserve"> UNPFN/A-7</w:t>
            </w:r>
          </w:p>
          <w:p w14:paraId="721CF293" w14:textId="77777777" w:rsidR="0043140D" w:rsidRPr="00ED37CF" w:rsidRDefault="0043140D" w:rsidP="00E261E4">
            <w:pPr>
              <w:pStyle w:val="BodyText"/>
              <w:widowControl w:val="0"/>
              <w:tabs>
                <w:tab w:val="left" w:pos="214"/>
              </w:tabs>
              <w:spacing w:after="40" w:line="271" w:lineRule="auto"/>
              <w:rPr>
                <w:rFonts w:ascii="Myriad Pro" w:hAnsi="Myriad Pro" w:cs="Arial"/>
                <w:b/>
                <w:i/>
                <w:highlight w:val="yellow"/>
                <w:lang w:bidi="ar-SA"/>
              </w:rPr>
            </w:pPr>
            <w:r w:rsidRPr="00ED37CF">
              <w:rPr>
                <w:rFonts w:ascii="Myriad Pro" w:hAnsi="Myriad Pro" w:cs="Arial"/>
                <w:b/>
                <w:bCs/>
                <w:iCs/>
                <w:snapToGrid w:val="0"/>
                <w:lang w:bidi="ar-SA"/>
              </w:rPr>
              <w:t>MPTF Office Atlas Number:</w:t>
            </w:r>
            <w:r w:rsidRPr="00ED37CF">
              <w:rPr>
                <w:rFonts w:ascii="Myriad Pro" w:hAnsi="Myriad Pro" w:cs="Arial"/>
                <w:i/>
                <w:lang w:bidi="ar-SA"/>
              </w:rPr>
              <w:t xml:space="preserve"> </w:t>
            </w:r>
            <w:r w:rsidRPr="00ED37CF">
              <w:rPr>
                <w:rFonts w:ascii="Myriad Pro" w:hAnsi="Myriad Pro" w:cs="Arial"/>
                <w:lang w:bidi="ar-SA"/>
              </w:rPr>
              <w:t>00075366</w:t>
            </w:r>
          </w:p>
        </w:tc>
        <w:tc>
          <w:tcPr>
            <w:tcW w:w="270" w:type="dxa"/>
            <w:vMerge/>
          </w:tcPr>
          <w:p w14:paraId="5B92D940"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tcPr>
          <w:p w14:paraId="2BA5632A" w14:textId="77777777" w:rsidR="0043140D" w:rsidRPr="00ED37CF" w:rsidRDefault="0043140D" w:rsidP="00E261E4">
            <w:pPr>
              <w:pStyle w:val="BodyText"/>
              <w:widowControl w:val="0"/>
              <w:tabs>
                <w:tab w:val="left" w:pos="426"/>
              </w:tabs>
              <w:spacing w:after="40" w:line="271" w:lineRule="auto"/>
              <w:rPr>
                <w:rFonts w:ascii="Myriad Pro" w:hAnsi="Myriad Pro" w:cs="Arial"/>
                <w:b/>
                <w:bCs/>
                <w:iCs/>
                <w:snapToGrid w:val="0"/>
                <w:lang w:bidi="ar-SA"/>
              </w:rPr>
            </w:pPr>
            <w:r w:rsidRPr="00ED37CF">
              <w:rPr>
                <w:rFonts w:ascii="Myriad Pro" w:hAnsi="Myriad Pro" w:cs="Arial"/>
                <w:b/>
                <w:bCs/>
                <w:iCs/>
                <w:snapToGrid w:val="0"/>
                <w:lang w:bidi="ar-SA"/>
              </w:rPr>
              <w:t>Country/Region:</w:t>
            </w:r>
            <w:r w:rsidR="005E1EE9" w:rsidRPr="00ED37CF">
              <w:rPr>
                <w:rFonts w:ascii="Myriad Pro" w:hAnsi="Myriad Pro" w:cs="Arial"/>
                <w:b/>
                <w:bCs/>
                <w:iCs/>
                <w:snapToGrid w:val="0"/>
                <w:lang w:bidi="ar-SA"/>
              </w:rPr>
              <w:t xml:space="preserve"> </w:t>
            </w:r>
            <w:r w:rsidRPr="00ED37CF">
              <w:rPr>
                <w:rFonts w:ascii="Myriad Pro" w:hAnsi="Myriad Pro" w:cs="Arial"/>
                <w:bCs/>
                <w:iCs/>
                <w:snapToGrid w:val="0"/>
                <w:lang w:bidi="ar-SA"/>
              </w:rPr>
              <w:t>Nepal</w:t>
            </w:r>
          </w:p>
          <w:p w14:paraId="02D9FFDA" w14:textId="77777777" w:rsidR="0043140D" w:rsidRPr="00ED37CF" w:rsidRDefault="0043140D" w:rsidP="00E261E4">
            <w:pPr>
              <w:pStyle w:val="BodyText"/>
              <w:widowControl w:val="0"/>
              <w:tabs>
                <w:tab w:val="left" w:pos="426"/>
              </w:tabs>
              <w:spacing w:after="40" w:line="271" w:lineRule="auto"/>
              <w:rPr>
                <w:rFonts w:ascii="Myriad Pro" w:hAnsi="Myriad Pro" w:cs="Arial"/>
                <w:b/>
                <w:bCs/>
                <w:iCs/>
                <w:snapToGrid w:val="0"/>
                <w:lang w:bidi="ar-SA"/>
              </w:rPr>
            </w:pPr>
            <w:r w:rsidRPr="00ED37CF">
              <w:rPr>
                <w:rFonts w:ascii="Myriad Pro" w:hAnsi="Myriad Pro" w:cs="Arial"/>
                <w:b/>
                <w:bCs/>
                <w:iCs/>
                <w:snapToGrid w:val="0"/>
                <w:lang w:bidi="ar-SA"/>
              </w:rPr>
              <w:t>Thematic/Priority:</w:t>
            </w:r>
            <w:r w:rsidR="005E1EE9" w:rsidRPr="00ED37CF">
              <w:rPr>
                <w:rFonts w:ascii="Myriad Pro" w:hAnsi="Myriad Pro" w:cs="Arial"/>
                <w:b/>
                <w:bCs/>
                <w:iCs/>
                <w:snapToGrid w:val="0"/>
                <w:lang w:bidi="ar-SA"/>
              </w:rPr>
              <w:t xml:space="preserve"> </w:t>
            </w:r>
            <w:r w:rsidRPr="00ED37CF">
              <w:rPr>
                <w:rFonts w:ascii="Myriad Pro" w:hAnsi="Myriad Pro" w:cs="Arial"/>
                <w:bCs/>
                <w:iCs/>
                <w:snapToGrid w:val="0"/>
                <w:lang w:bidi="ar-SA"/>
              </w:rPr>
              <w:t>Cantonment/ Reintegration</w:t>
            </w:r>
          </w:p>
          <w:p w14:paraId="00390D84" w14:textId="77777777" w:rsidR="0043140D" w:rsidRPr="00ED37CF" w:rsidRDefault="0043140D" w:rsidP="00E261E4">
            <w:pPr>
              <w:pStyle w:val="BodyText"/>
              <w:widowControl w:val="0"/>
              <w:tabs>
                <w:tab w:val="left" w:pos="426"/>
              </w:tabs>
              <w:spacing w:after="40" w:line="271" w:lineRule="auto"/>
              <w:rPr>
                <w:rFonts w:ascii="Myriad Pro" w:hAnsi="Myriad Pro" w:cs="Arial"/>
                <w:b/>
                <w:lang w:bidi="ar-SA"/>
              </w:rPr>
            </w:pPr>
            <w:r w:rsidRPr="00ED37CF">
              <w:rPr>
                <w:rFonts w:ascii="Myriad Pro" w:hAnsi="Myriad Pro" w:cs="Arial"/>
                <w:b/>
                <w:lang w:bidi="ar-SA"/>
              </w:rPr>
              <w:t>Location:</w:t>
            </w:r>
            <w:r w:rsidR="005E1EE9" w:rsidRPr="00ED37CF">
              <w:rPr>
                <w:rFonts w:ascii="Myriad Pro" w:hAnsi="Myriad Pro" w:cs="Arial"/>
                <w:b/>
                <w:lang w:bidi="ar-SA"/>
              </w:rPr>
              <w:t xml:space="preserve"> </w:t>
            </w:r>
            <w:r w:rsidRPr="00ED37CF">
              <w:rPr>
                <w:rFonts w:ascii="Myriad Pro" w:hAnsi="Myriad Pro" w:cs="Arial"/>
                <w:lang w:bidi="ar-SA"/>
              </w:rPr>
              <w:t>Nationwide</w:t>
            </w:r>
          </w:p>
        </w:tc>
      </w:tr>
      <w:tr w:rsidR="0043140D" w:rsidRPr="00ED37CF" w14:paraId="2C305459" w14:textId="77777777" w:rsidTr="00B60022">
        <w:trPr>
          <w:trHeight w:val="426"/>
        </w:trPr>
        <w:tc>
          <w:tcPr>
            <w:tcW w:w="4050" w:type="dxa"/>
            <w:vMerge/>
          </w:tcPr>
          <w:p w14:paraId="439C4AA5" w14:textId="77777777" w:rsidR="0043140D" w:rsidRPr="00ED37CF" w:rsidRDefault="0043140D" w:rsidP="00E261E4">
            <w:pPr>
              <w:pStyle w:val="BodyText"/>
              <w:widowControl w:val="0"/>
              <w:numPr>
                <w:ilvl w:val="0"/>
                <w:numId w:val="1"/>
              </w:numPr>
              <w:tabs>
                <w:tab w:val="left" w:pos="426"/>
              </w:tabs>
              <w:spacing w:after="40" w:line="271" w:lineRule="auto"/>
              <w:ind w:left="0" w:firstLine="0"/>
              <w:jc w:val="both"/>
              <w:rPr>
                <w:rFonts w:ascii="Myriad Pro" w:hAnsi="Myriad Pro" w:cs="Arial"/>
                <w:bCs/>
                <w:iCs/>
                <w:snapToGrid w:val="0"/>
                <w:lang w:bidi="ar-SA"/>
              </w:rPr>
            </w:pPr>
          </w:p>
        </w:tc>
        <w:tc>
          <w:tcPr>
            <w:tcW w:w="270" w:type="dxa"/>
            <w:vMerge/>
          </w:tcPr>
          <w:p w14:paraId="5DE865AB"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tcPr>
          <w:p w14:paraId="37914722" w14:textId="77777777" w:rsidR="0043140D" w:rsidRPr="00ED37CF" w:rsidRDefault="0043140D" w:rsidP="00E261E4">
            <w:pPr>
              <w:pStyle w:val="BodyText"/>
              <w:widowControl w:val="0"/>
              <w:shd w:val="clear" w:color="auto" w:fill="EEECE1"/>
              <w:tabs>
                <w:tab w:val="left" w:pos="426"/>
              </w:tabs>
              <w:spacing w:after="40" w:line="271" w:lineRule="auto"/>
              <w:rPr>
                <w:rFonts w:ascii="Myriad Pro" w:hAnsi="Myriad Pro" w:cs="Arial"/>
                <w:b/>
                <w:bCs/>
                <w:iCs/>
                <w:snapToGrid w:val="0"/>
                <w:lang w:bidi="ar-SA"/>
              </w:rPr>
            </w:pPr>
            <w:r w:rsidRPr="00ED37CF">
              <w:rPr>
                <w:rFonts w:ascii="Myriad Pro" w:hAnsi="Myriad Pro" w:cs="Arial"/>
                <w:b/>
                <w:bCs/>
                <w:snapToGrid w:val="0"/>
                <w:kern w:val="32"/>
                <w:lang w:bidi="ar-SA"/>
              </w:rPr>
              <w:t>Project Description</w:t>
            </w:r>
            <w:r w:rsidRPr="00ED37CF">
              <w:rPr>
                <w:rFonts w:ascii="Myriad Pro" w:hAnsi="Myriad Pro" w:cs="Arial"/>
                <w:b/>
                <w:bCs/>
                <w:iCs/>
                <w:snapToGrid w:val="0"/>
                <w:lang w:bidi="ar-SA"/>
              </w:rPr>
              <w:t>:</w:t>
            </w:r>
          </w:p>
          <w:p w14:paraId="5B62C069" w14:textId="77777777" w:rsidR="0043140D" w:rsidRPr="00ED37CF" w:rsidRDefault="0043140D" w:rsidP="00E261E4">
            <w:pPr>
              <w:pStyle w:val="BodyText"/>
              <w:spacing w:after="40" w:line="271" w:lineRule="auto"/>
              <w:rPr>
                <w:rFonts w:ascii="Myriad Pro" w:hAnsi="Myriad Pro" w:cs="Arial"/>
                <w:b/>
                <w:bCs/>
                <w:iCs/>
                <w:snapToGrid w:val="0"/>
                <w:lang w:bidi="ar-SA"/>
              </w:rPr>
            </w:pPr>
            <w:r w:rsidRPr="00ED37CF">
              <w:rPr>
                <w:rFonts w:ascii="Myriad Pro" w:hAnsi="Myriad Pro" w:cs="Arial"/>
                <w:b/>
                <w:bCs/>
                <w:iCs/>
                <w:snapToGrid w:val="0"/>
                <w:lang w:bidi="ar-SA"/>
              </w:rPr>
              <w:t>Priority area/ strategic results:</w:t>
            </w:r>
          </w:p>
          <w:p w14:paraId="767C6CE9" w14:textId="77777777" w:rsidR="0043140D" w:rsidRPr="00ED37CF" w:rsidRDefault="0043140D" w:rsidP="00E261E4">
            <w:pPr>
              <w:pStyle w:val="BodyText"/>
              <w:spacing w:after="40" w:line="271" w:lineRule="auto"/>
              <w:rPr>
                <w:rFonts w:ascii="Myriad Pro" w:hAnsi="Myriad Pro" w:cs="Arial"/>
                <w:bCs/>
                <w:iCs/>
                <w:snapToGrid w:val="0"/>
                <w:lang w:bidi="ar-SA"/>
              </w:rPr>
            </w:pPr>
            <w:r w:rsidRPr="00ED37CF">
              <w:rPr>
                <w:rFonts w:ascii="Myriad Pro" w:hAnsi="Myriad Pro" w:cs="Arial"/>
                <w:bCs/>
                <w:iCs/>
                <w:snapToGrid w:val="0"/>
                <w:lang w:bidi="ar-SA"/>
              </w:rPr>
              <w:t>The Government of Nepal and Maoist Army have the capacity to meet the CPA and AMMAA commitments for the cantonment, discharge, integration and rehabilitation of the Maoist army</w:t>
            </w:r>
          </w:p>
          <w:p w14:paraId="1E6B0EA6" w14:textId="77777777" w:rsidR="0043140D" w:rsidRPr="00ED37CF" w:rsidRDefault="0043140D" w:rsidP="00E261E4">
            <w:pPr>
              <w:pStyle w:val="BodyText"/>
              <w:spacing w:after="40" w:line="271" w:lineRule="auto"/>
              <w:rPr>
                <w:rFonts w:ascii="Myriad Pro" w:hAnsi="Myriad Pro" w:cs="Arial"/>
                <w:b/>
                <w:bCs/>
                <w:iCs/>
                <w:snapToGrid w:val="0"/>
                <w:lang w:bidi="ar-SA"/>
              </w:rPr>
            </w:pPr>
            <w:r w:rsidRPr="00ED37CF">
              <w:rPr>
                <w:rFonts w:ascii="Myriad Pro" w:hAnsi="Myriad Pro" w:cs="Arial"/>
                <w:b/>
                <w:bCs/>
                <w:iCs/>
                <w:snapToGrid w:val="0"/>
                <w:lang w:bidi="ar-SA"/>
              </w:rPr>
              <w:t>Priority area/ strategic results:</w:t>
            </w:r>
          </w:p>
          <w:p w14:paraId="0C1DAE48" w14:textId="77777777" w:rsidR="0043140D" w:rsidRPr="00ED37CF" w:rsidRDefault="0043140D" w:rsidP="00EB77CF">
            <w:pPr>
              <w:pStyle w:val="NoSpacing"/>
              <w:numPr>
                <w:ilvl w:val="0"/>
                <w:numId w:val="1"/>
              </w:numPr>
              <w:spacing w:after="40" w:line="271" w:lineRule="auto"/>
              <w:rPr>
                <w:rFonts w:cs="Arial"/>
                <w:snapToGrid w:val="0"/>
                <w:sz w:val="20"/>
                <w:szCs w:val="20"/>
                <w:lang w:eastAsia="ja-JP"/>
              </w:rPr>
            </w:pPr>
            <w:r w:rsidRPr="00ED37CF">
              <w:rPr>
                <w:rFonts w:cs="Arial"/>
                <w:snapToGrid w:val="0"/>
                <w:sz w:val="20"/>
                <w:szCs w:val="20"/>
                <w:lang w:eastAsia="ja-JP"/>
              </w:rPr>
              <w:t>Key elements of the CPA and AMMAA were implemented through the socio-economic rehabilitation of VMLR</w:t>
            </w:r>
          </w:p>
          <w:p w14:paraId="69B3A791" w14:textId="77777777" w:rsidR="0043140D" w:rsidRPr="00ED37CF" w:rsidRDefault="0043140D" w:rsidP="00EB77CF">
            <w:pPr>
              <w:pStyle w:val="BodyText"/>
              <w:widowControl w:val="0"/>
              <w:numPr>
                <w:ilvl w:val="0"/>
                <w:numId w:val="1"/>
              </w:numPr>
              <w:tabs>
                <w:tab w:val="left" w:pos="426"/>
              </w:tabs>
              <w:spacing w:after="40" w:line="271" w:lineRule="auto"/>
              <w:rPr>
                <w:rFonts w:ascii="Myriad Pro" w:hAnsi="Myriad Pro" w:cs="Arial"/>
                <w:bCs/>
                <w:i/>
                <w:iCs/>
                <w:snapToGrid w:val="0"/>
                <w:lang w:bidi="ar-SA"/>
              </w:rPr>
            </w:pPr>
            <w:r w:rsidRPr="00ED37CF">
              <w:rPr>
                <w:rFonts w:ascii="Myriad Pro" w:hAnsi="Myriad Pro" w:cs="Arial"/>
                <w:bCs/>
                <w:iCs/>
                <w:snapToGrid w:val="0"/>
                <w:lang w:bidi="ar-SA"/>
              </w:rPr>
              <w:t>To rehabilitate former members of the Maoist army verified as minors or late recruits into civilian life with support for sustainable livelihoods.</w:t>
            </w:r>
          </w:p>
        </w:tc>
      </w:tr>
      <w:tr w:rsidR="0043140D" w:rsidRPr="00ED37CF" w14:paraId="6270260B" w14:textId="77777777" w:rsidTr="00B60022">
        <w:trPr>
          <w:trHeight w:val="206"/>
        </w:trPr>
        <w:tc>
          <w:tcPr>
            <w:tcW w:w="4050" w:type="dxa"/>
            <w:shd w:val="clear" w:color="auto" w:fill="EEECE1"/>
            <w:vAlign w:val="center"/>
          </w:tcPr>
          <w:p w14:paraId="552098AC"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r w:rsidRPr="00ED37CF">
              <w:rPr>
                <w:rFonts w:ascii="Myriad Pro" w:hAnsi="Myriad Pro"/>
                <w:sz w:val="20"/>
                <w:szCs w:val="20"/>
              </w:rPr>
              <w:t>Participating Organization(s)</w:t>
            </w:r>
          </w:p>
        </w:tc>
        <w:tc>
          <w:tcPr>
            <w:tcW w:w="270" w:type="dxa"/>
            <w:vMerge w:val="restart"/>
            <w:vAlign w:val="center"/>
          </w:tcPr>
          <w:p w14:paraId="5E8DDD1E" w14:textId="77777777" w:rsidR="0043140D" w:rsidRPr="00ED37CF" w:rsidRDefault="0043140D" w:rsidP="00E261E4">
            <w:pPr>
              <w:widowControl w:val="0"/>
              <w:tabs>
                <w:tab w:val="left" w:pos="426"/>
              </w:tabs>
              <w:spacing w:after="40"/>
              <w:rPr>
                <w:rFonts w:cs="Arial"/>
                <w:sz w:val="20"/>
                <w:szCs w:val="20"/>
              </w:rPr>
            </w:pPr>
          </w:p>
        </w:tc>
        <w:tc>
          <w:tcPr>
            <w:tcW w:w="5490" w:type="dxa"/>
            <w:shd w:val="clear" w:color="auto" w:fill="EEECE1"/>
            <w:vAlign w:val="center"/>
          </w:tcPr>
          <w:p w14:paraId="0368B18D"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r w:rsidRPr="00ED37CF">
              <w:rPr>
                <w:rFonts w:ascii="Myriad Pro" w:hAnsi="Myriad Pro"/>
                <w:sz w:val="20"/>
                <w:szCs w:val="20"/>
              </w:rPr>
              <w:t>Implementing Partners</w:t>
            </w:r>
          </w:p>
        </w:tc>
      </w:tr>
      <w:tr w:rsidR="0043140D" w:rsidRPr="00ED37CF" w14:paraId="19BFC44C" w14:textId="77777777" w:rsidTr="00B60022">
        <w:trPr>
          <w:trHeight w:val="1260"/>
        </w:trPr>
        <w:tc>
          <w:tcPr>
            <w:tcW w:w="4050" w:type="dxa"/>
          </w:tcPr>
          <w:p w14:paraId="03705A34" w14:textId="77777777" w:rsidR="0043140D" w:rsidRPr="00ED37CF" w:rsidRDefault="0043140D" w:rsidP="00EB77CF">
            <w:pPr>
              <w:pStyle w:val="BodyText"/>
              <w:widowControl w:val="0"/>
              <w:numPr>
                <w:ilvl w:val="0"/>
                <w:numId w:val="2"/>
              </w:numPr>
              <w:tabs>
                <w:tab w:val="left" w:pos="426"/>
              </w:tabs>
              <w:spacing w:after="40" w:line="271" w:lineRule="auto"/>
              <w:ind w:left="0" w:firstLine="0"/>
              <w:jc w:val="both"/>
              <w:rPr>
                <w:rFonts w:ascii="Myriad Pro" w:hAnsi="Myriad Pro" w:cs="Arial"/>
                <w:i/>
                <w:lang w:bidi="ar-SA"/>
              </w:rPr>
            </w:pPr>
            <w:r w:rsidRPr="00ED37CF">
              <w:rPr>
                <w:rFonts w:ascii="Myriad Pro" w:hAnsi="Myriad Pro" w:cs="Arial"/>
                <w:lang w:bidi="ar-SA"/>
              </w:rPr>
              <w:t>UNDP, UNICEF, UNFPA and ILO</w:t>
            </w:r>
          </w:p>
        </w:tc>
        <w:tc>
          <w:tcPr>
            <w:tcW w:w="270" w:type="dxa"/>
            <w:vMerge/>
          </w:tcPr>
          <w:p w14:paraId="08412714"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tcPr>
          <w:p w14:paraId="4684E7DB" w14:textId="77777777" w:rsidR="0043140D" w:rsidRPr="00ED37CF" w:rsidRDefault="0043140D" w:rsidP="007D3884">
            <w:pPr>
              <w:pStyle w:val="BodyText"/>
              <w:numPr>
                <w:ilvl w:val="0"/>
                <w:numId w:val="19"/>
              </w:numPr>
              <w:spacing w:after="40" w:line="271" w:lineRule="auto"/>
              <w:ind w:left="376"/>
              <w:jc w:val="both"/>
              <w:rPr>
                <w:rFonts w:ascii="Myriad Pro" w:hAnsi="Myriad Pro" w:cs="Arial"/>
                <w:bCs/>
                <w:iCs/>
                <w:snapToGrid w:val="0"/>
                <w:color w:val="000000"/>
                <w:lang w:bidi="ar-SA"/>
              </w:rPr>
            </w:pPr>
            <w:bookmarkStart w:id="4" w:name="_Toc249364478"/>
            <w:r w:rsidRPr="00ED37CF">
              <w:rPr>
                <w:rFonts w:ascii="Myriad Pro" w:hAnsi="Myriad Pro" w:cs="Arial"/>
                <w:bCs/>
                <w:iCs/>
                <w:snapToGrid w:val="0"/>
                <w:color w:val="000000"/>
                <w:lang w:bidi="ar-SA"/>
              </w:rPr>
              <w:t>National counterparts (government, private, NGOs &amp; others</w:t>
            </w:r>
            <w:bookmarkEnd w:id="4"/>
            <w:r w:rsidRPr="00ED37CF">
              <w:rPr>
                <w:rFonts w:ascii="Myriad Pro" w:hAnsi="Myriad Pro" w:cs="Arial"/>
                <w:bCs/>
                <w:iCs/>
                <w:snapToGrid w:val="0"/>
                <w:color w:val="000000"/>
                <w:lang w:bidi="ar-SA"/>
              </w:rPr>
              <w:t>) and other International Organizations</w:t>
            </w:r>
          </w:p>
          <w:p w14:paraId="73BFA23C" w14:textId="77777777" w:rsidR="0043140D" w:rsidRPr="00ED37CF" w:rsidRDefault="0043140D" w:rsidP="007D3884">
            <w:pPr>
              <w:pStyle w:val="BodyText"/>
              <w:widowControl w:val="0"/>
              <w:numPr>
                <w:ilvl w:val="0"/>
                <w:numId w:val="21"/>
              </w:numPr>
              <w:spacing w:after="40" w:line="271" w:lineRule="auto"/>
              <w:ind w:left="376"/>
              <w:jc w:val="both"/>
              <w:rPr>
                <w:rFonts w:ascii="Myriad Pro" w:hAnsi="Myriad Pro" w:cs="Arial"/>
                <w:bCs/>
                <w:iCs/>
                <w:snapToGrid w:val="0"/>
                <w:color w:val="000000"/>
                <w:lang w:bidi="ar-SA"/>
              </w:rPr>
            </w:pPr>
            <w:r w:rsidRPr="00ED37CF">
              <w:rPr>
                <w:rFonts w:ascii="Myriad Pro" w:hAnsi="Myriad Pro" w:cs="Arial"/>
                <w:lang w:bidi="ar-SA"/>
              </w:rPr>
              <w:t>Ministry of Peace and Reconstruction</w:t>
            </w:r>
          </w:p>
        </w:tc>
      </w:tr>
      <w:tr w:rsidR="0043140D" w:rsidRPr="00ED37CF" w14:paraId="06A42466" w14:textId="77777777" w:rsidTr="00B60022">
        <w:trPr>
          <w:trHeight w:val="440"/>
        </w:trPr>
        <w:tc>
          <w:tcPr>
            <w:tcW w:w="4050" w:type="dxa"/>
            <w:shd w:val="clear" w:color="auto" w:fill="EEECE1"/>
            <w:vAlign w:val="center"/>
          </w:tcPr>
          <w:p w14:paraId="6CDA4BAF"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r w:rsidRPr="00ED37CF">
              <w:rPr>
                <w:rFonts w:ascii="Myriad Pro" w:hAnsi="Myriad Pro"/>
                <w:sz w:val="20"/>
                <w:szCs w:val="20"/>
              </w:rPr>
              <w:t>Programme/Project Cost (US$)</w:t>
            </w:r>
          </w:p>
        </w:tc>
        <w:tc>
          <w:tcPr>
            <w:tcW w:w="270" w:type="dxa"/>
            <w:shd w:val="clear" w:color="auto" w:fill="auto"/>
            <w:vAlign w:val="center"/>
          </w:tcPr>
          <w:p w14:paraId="0D965BA2"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p>
        </w:tc>
        <w:tc>
          <w:tcPr>
            <w:tcW w:w="5490" w:type="dxa"/>
            <w:shd w:val="clear" w:color="auto" w:fill="EEECE1"/>
            <w:vAlign w:val="center"/>
          </w:tcPr>
          <w:p w14:paraId="5C460E6C"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r w:rsidRPr="00ED37CF">
              <w:rPr>
                <w:rFonts w:ascii="Myriad Pro" w:hAnsi="Myriad Pro"/>
                <w:sz w:val="20"/>
                <w:szCs w:val="20"/>
              </w:rPr>
              <w:t>Programme Duration</w:t>
            </w:r>
          </w:p>
        </w:tc>
      </w:tr>
      <w:tr w:rsidR="0043140D" w:rsidRPr="00ED37CF" w14:paraId="17A80227" w14:textId="77777777" w:rsidTr="00B60022">
        <w:trPr>
          <w:trHeight w:val="639"/>
        </w:trPr>
        <w:tc>
          <w:tcPr>
            <w:tcW w:w="4050" w:type="dxa"/>
            <w:shd w:val="clear" w:color="auto" w:fill="auto"/>
            <w:vAlign w:val="center"/>
          </w:tcPr>
          <w:p w14:paraId="62150464" w14:textId="77777777" w:rsidR="00EB77CF" w:rsidRDefault="0043140D" w:rsidP="00EB77CF">
            <w:pPr>
              <w:pStyle w:val="H2"/>
              <w:spacing w:after="40" w:line="271" w:lineRule="auto"/>
              <w:rPr>
                <w:rFonts w:ascii="Myriad Pro" w:hAnsi="Myriad Pro"/>
                <w:b w:val="0"/>
                <w:i/>
                <w:sz w:val="20"/>
                <w:szCs w:val="20"/>
              </w:rPr>
            </w:pPr>
            <w:commentRangeStart w:id="5"/>
            <w:r w:rsidRPr="00F76706">
              <w:rPr>
                <w:rFonts w:ascii="Myriad Pro" w:hAnsi="Myriad Pro"/>
                <w:b w:val="0"/>
                <w:sz w:val="20"/>
                <w:szCs w:val="20"/>
              </w:rPr>
              <w:t>MPTF/JP Contribution:</w:t>
            </w:r>
            <w:r w:rsidR="005E1EE9" w:rsidRPr="00ED37CF">
              <w:rPr>
                <w:rFonts w:ascii="Myriad Pro" w:hAnsi="Myriad Pro"/>
                <w:b w:val="0"/>
                <w:sz w:val="20"/>
                <w:szCs w:val="20"/>
              </w:rPr>
              <w:t xml:space="preserve"> </w:t>
            </w:r>
            <w:r w:rsidRPr="00ED37CF">
              <w:rPr>
                <w:rFonts w:ascii="Myriad Pro" w:hAnsi="Myriad Pro"/>
                <w:b w:val="0"/>
                <w:i/>
                <w:sz w:val="20"/>
                <w:szCs w:val="20"/>
              </w:rPr>
              <w:t xml:space="preserve">by Agency  </w:t>
            </w:r>
            <w:commentRangeEnd w:id="5"/>
            <w:r w:rsidR="00F76706">
              <w:rPr>
                <w:rStyle w:val="CommentReference"/>
                <w:rFonts w:cs="Mangal"/>
                <w:b w:val="0"/>
                <w:bCs w:val="0"/>
                <w:iCs w:val="0"/>
                <w:snapToGrid/>
                <w:lang w:bidi="en-US"/>
              </w:rPr>
              <w:commentReference w:id="5"/>
            </w:r>
          </w:p>
          <w:p w14:paraId="5B565807" w14:textId="57F8EA67" w:rsidR="0043140D" w:rsidRPr="00EB77CF" w:rsidRDefault="00AB29CC" w:rsidP="00EB77CF">
            <w:pPr>
              <w:pStyle w:val="H2"/>
              <w:spacing w:after="40" w:line="271" w:lineRule="auto"/>
              <w:rPr>
                <w:rFonts w:ascii="Myriad Pro" w:hAnsi="Myriad Pro"/>
                <w:b w:val="0"/>
                <w:sz w:val="20"/>
                <w:szCs w:val="20"/>
              </w:rPr>
            </w:pPr>
            <w:r>
              <w:rPr>
                <w:rFonts w:ascii="Myriad Pro" w:hAnsi="Myriad Pro"/>
                <w:sz w:val="20"/>
                <w:szCs w:val="20"/>
              </w:rPr>
              <w:t>UNPFN: $</w:t>
            </w:r>
            <w:r w:rsidR="006C14F6">
              <w:rPr>
                <w:rFonts w:ascii="Myriad Pro" w:hAnsi="Myriad Pro"/>
                <w:sz w:val="20"/>
                <w:szCs w:val="20"/>
              </w:rPr>
              <w:t>11,327,877</w:t>
            </w:r>
          </w:p>
          <w:p w14:paraId="1A7BED5F" w14:textId="1A9FE7CE" w:rsidR="00EB77CF" w:rsidRDefault="00EB77CF" w:rsidP="00EB77CF">
            <w:pPr>
              <w:pStyle w:val="H2"/>
              <w:numPr>
                <w:ilvl w:val="0"/>
                <w:numId w:val="20"/>
              </w:numPr>
              <w:spacing w:after="40" w:line="271" w:lineRule="auto"/>
              <w:ind w:left="162" w:hanging="180"/>
              <w:rPr>
                <w:rFonts w:ascii="Myriad Pro" w:hAnsi="Myriad Pro"/>
                <w:i/>
                <w:sz w:val="20"/>
                <w:szCs w:val="20"/>
              </w:rPr>
            </w:pPr>
            <w:r>
              <w:rPr>
                <w:rFonts w:ascii="Myriad Pro" w:hAnsi="Myriad Pro"/>
                <w:i/>
                <w:sz w:val="20"/>
                <w:szCs w:val="20"/>
              </w:rPr>
              <w:t>UNDP</w:t>
            </w:r>
            <w:r w:rsidR="006C14F6">
              <w:rPr>
                <w:rFonts w:ascii="Myriad Pro" w:hAnsi="Myriad Pro"/>
                <w:i/>
                <w:sz w:val="20"/>
                <w:szCs w:val="20"/>
              </w:rPr>
              <w:t>: 7,825,383</w:t>
            </w:r>
          </w:p>
          <w:p w14:paraId="1F4E0D69" w14:textId="3C1F2AFB" w:rsidR="00EB77CF" w:rsidRDefault="006C14F6" w:rsidP="00EB77CF">
            <w:pPr>
              <w:pStyle w:val="H2"/>
              <w:numPr>
                <w:ilvl w:val="0"/>
                <w:numId w:val="20"/>
              </w:numPr>
              <w:spacing w:after="40" w:line="271" w:lineRule="auto"/>
              <w:ind w:left="162" w:hanging="180"/>
              <w:rPr>
                <w:rFonts w:ascii="Myriad Pro" w:hAnsi="Myriad Pro"/>
                <w:i/>
                <w:sz w:val="20"/>
                <w:szCs w:val="20"/>
              </w:rPr>
            </w:pPr>
            <w:r>
              <w:rPr>
                <w:rFonts w:ascii="Myriad Pro" w:hAnsi="Myriad Pro"/>
                <w:i/>
                <w:sz w:val="20"/>
                <w:szCs w:val="20"/>
              </w:rPr>
              <w:t>UNICE: 2,881,331</w:t>
            </w:r>
          </w:p>
          <w:p w14:paraId="10653BF4" w14:textId="1517F4FA" w:rsidR="00EB77CF" w:rsidRDefault="006C14F6" w:rsidP="00EB77CF">
            <w:pPr>
              <w:pStyle w:val="H2"/>
              <w:numPr>
                <w:ilvl w:val="0"/>
                <w:numId w:val="20"/>
              </w:numPr>
              <w:spacing w:after="40" w:line="271" w:lineRule="auto"/>
              <w:ind w:left="162" w:hanging="180"/>
              <w:rPr>
                <w:rFonts w:ascii="Myriad Pro" w:hAnsi="Myriad Pro"/>
                <w:i/>
                <w:sz w:val="20"/>
                <w:szCs w:val="20"/>
              </w:rPr>
            </w:pPr>
            <w:r>
              <w:rPr>
                <w:rFonts w:ascii="Myriad Pro" w:hAnsi="Myriad Pro"/>
                <w:i/>
                <w:sz w:val="20"/>
                <w:szCs w:val="20"/>
              </w:rPr>
              <w:t>UNFP: 304,729</w:t>
            </w:r>
          </w:p>
          <w:p w14:paraId="16B9CC12" w14:textId="382CDA8B" w:rsidR="00EB77CF" w:rsidRPr="00ED37CF" w:rsidRDefault="00EB77CF" w:rsidP="00EB77CF">
            <w:pPr>
              <w:pStyle w:val="H2"/>
              <w:numPr>
                <w:ilvl w:val="0"/>
                <w:numId w:val="20"/>
              </w:numPr>
              <w:spacing w:after="40" w:line="271" w:lineRule="auto"/>
              <w:ind w:left="162" w:hanging="180"/>
              <w:rPr>
                <w:rFonts w:ascii="Myriad Pro" w:hAnsi="Myriad Pro"/>
                <w:i/>
                <w:sz w:val="20"/>
                <w:szCs w:val="20"/>
              </w:rPr>
            </w:pPr>
            <w:r>
              <w:rPr>
                <w:rFonts w:ascii="Myriad Pro" w:hAnsi="Myriad Pro"/>
                <w:i/>
                <w:sz w:val="20"/>
                <w:szCs w:val="20"/>
              </w:rPr>
              <w:t>ILO</w:t>
            </w:r>
            <w:r w:rsidR="006C14F6">
              <w:rPr>
                <w:rFonts w:ascii="Myriad Pro" w:hAnsi="Myriad Pro"/>
                <w:i/>
                <w:sz w:val="20"/>
                <w:szCs w:val="20"/>
              </w:rPr>
              <w:t>: 316,434</w:t>
            </w:r>
          </w:p>
        </w:tc>
        <w:tc>
          <w:tcPr>
            <w:tcW w:w="270" w:type="dxa"/>
            <w:shd w:val="clear" w:color="auto" w:fill="auto"/>
            <w:vAlign w:val="center"/>
          </w:tcPr>
          <w:p w14:paraId="70D68C81"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vMerge w:val="restart"/>
            <w:shd w:val="clear" w:color="auto" w:fill="auto"/>
          </w:tcPr>
          <w:p w14:paraId="71D91304" w14:textId="77777777" w:rsidR="0043140D" w:rsidRPr="00ED37CF" w:rsidRDefault="0043140D" w:rsidP="00E261E4">
            <w:pPr>
              <w:pStyle w:val="BodyText"/>
              <w:widowControl w:val="0"/>
              <w:tabs>
                <w:tab w:val="left" w:pos="426"/>
              </w:tabs>
              <w:spacing w:after="40" w:line="271" w:lineRule="auto"/>
              <w:rPr>
                <w:rFonts w:ascii="Myriad Pro" w:hAnsi="Myriad Pro" w:cs="Arial"/>
                <w:color w:val="000000"/>
                <w:lang w:bidi="ar-SA"/>
              </w:rPr>
            </w:pPr>
            <w:r w:rsidRPr="00ED37CF">
              <w:rPr>
                <w:rFonts w:ascii="Myriad Pro" w:hAnsi="Myriad Pro" w:cs="Arial"/>
                <w:b/>
                <w:color w:val="000000"/>
                <w:lang w:bidi="ar-SA"/>
              </w:rPr>
              <w:t>Overall Duration:</w:t>
            </w:r>
            <w:r w:rsidRPr="00ED37CF">
              <w:rPr>
                <w:rFonts w:ascii="Myriad Pro" w:hAnsi="Myriad Pro" w:cs="Arial"/>
                <w:color w:val="000000"/>
                <w:lang w:bidi="ar-SA"/>
              </w:rPr>
              <w:t xml:space="preserve"> 55 months</w:t>
            </w:r>
          </w:p>
          <w:p w14:paraId="2FBB7EDC" w14:textId="77777777" w:rsidR="0043140D" w:rsidRPr="00ED37CF" w:rsidRDefault="0043140D" w:rsidP="00E261E4">
            <w:pPr>
              <w:pStyle w:val="BodyText"/>
              <w:widowControl w:val="0"/>
              <w:tabs>
                <w:tab w:val="left" w:pos="426"/>
              </w:tabs>
              <w:spacing w:after="40" w:line="271" w:lineRule="auto"/>
              <w:rPr>
                <w:rFonts w:ascii="Myriad Pro" w:hAnsi="Myriad Pro" w:cs="Arial"/>
                <w:color w:val="000000"/>
                <w:lang w:bidi="ar-SA"/>
              </w:rPr>
            </w:pPr>
            <w:r w:rsidRPr="00ED37CF">
              <w:rPr>
                <w:rFonts w:ascii="Myriad Pro" w:hAnsi="Myriad Pro" w:cs="Arial"/>
                <w:b/>
                <w:color w:val="000000"/>
                <w:lang w:bidi="ar-SA"/>
              </w:rPr>
              <w:t>Start Date:</w:t>
            </w:r>
            <w:r w:rsidRPr="00ED37CF">
              <w:rPr>
                <w:rFonts w:ascii="Myriad Pro" w:hAnsi="Myriad Pro" w:cs="Arial"/>
                <w:color w:val="000000"/>
                <w:lang w:bidi="ar-SA"/>
              </w:rPr>
              <w:t xml:space="preserve"> 01.06.2010</w:t>
            </w:r>
          </w:p>
          <w:p w14:paraId="46FE81E2" w14:textId="77777777" w:rsidR="0043140D" w:rsidRPr="00ED37CF" w:rsidRDefault="0043140D" w:rsidP="00E261E4">
            <w:pPr>
              <w:pStyle w:val="BodyText"/>
              <w:widowControl w:val="0"/>
              <w:tabs>
                <w:tab w:val="left" w:pos="426"/>
              </w:tabs>
              <w:spacing w:after="40" w:line="271" w:lineRule="auto"/>
              <w:rPr>
                <w:rFonts w:ascii="Myriad Pro" w:hAnsi="Myriad Pro" w:cs="Arial"/>
                <w:color w:val="000000"/>
                <w:lang w:bidi="ar-SA"/>
              </w:rPr>
            </w:pPr>
            <w:r w:rsidRPr="00ED37CF">
              <w:rPr>
                <w:rFonts w:ascii="Myriad Pro" w:hAnsi="Myriad Pro" w:cs="Arial"/>
                <w:b/>
                <w:color w:val="000000"/>
                <w:lang w:bidi="ar-SA"/>
              </w:rPr>
              <w:t>Original End Date</w:t>
            </w:r>
            <w:r w:rsidRPr="00ED37CF">
              <w:rPr>
                <w:rFonts w:ascii="Myriad Pro" w:hAnsi="Myriad Pro" w:cs="Arial"/>
                <w:b/>
                <w:bCs/>
                <w:iCs/>
                <w:snapToGrid w:val="0"/>
                <w:color w:val="000000"/>
                <w:lang w:bidi="ar-SA"/>
              </w:rPr>
              <w:t>:</w:t>
            </w:r>
            <w:r w:rsidRPr="00ED37CF">
              <w:rPr>
                <w:rFonts w:ascii="Myriad Pro" w:hAnsi="Myriad Pro" w:cs="Arial"/>
                <w:bCs/>
                <w:iCs/>
                <w:snapToGrid w:val="0"/>
                <w:color w:val="000000"/>
                <w:lang w:bidi="ar-SA"/>
              </w:rPr>
              <w:t xml:space="preserve"> 31.12.2012</w:t>
            </w:r>
          </w:p>
          <w:p w14:paraId="2CC98B47" w14:textId="77777777" w:rsidR="0043140D" w:rsidRPr="00ED37CF" w:rsidRDefault="0043140D" w:rsidP="00E261E4">
            <w:pPr>
              <w:pStyle w:val="BodyText"/>
              <w:widowControl w:val="0"/>
              <w:tabs>
                <w:tab w:val="left" w:pos="426"/>
              </w:tabs>
              <w:spacing w:after="40" w:line="271" w:lineRule="auto"/>
              <w:rPr>
                <w:rFonts w:ascii="Myriad Pro" w:hAnsi="Myriad Pro" w:cs="Arial"/>
                <w:i/>
                <w:color w:val="000000"/>
                <w:lang w:bidi="ar-SA"/>
              </w:rPr>
            </w:pPr>
            <w:r w:rsidRPr="00ED37CF">
              <w:rPr>
                <w:rFonts w:ascii="Myriad Pro" w:hAnsi="Myriad Pro" w:cs="Arial"/>
                <w:b/>
                <w:color w:val="000000"/>
                <w:lang w:bidi="ar-SA"/>
              </w:rPr>
              <w:t>Actual End date:</w:t>
            </w:r>
            <w:r w:rsidRPr="00ED37CF">
              <w:rPr>
                <w:rFonts w:ascii="Myriad Pro" w:hAnsi="Myriad Pro" w:cs="Arial"/>
                <w:i/>
                <w:color w:val="000000"/>
                <w:lang w:bidi="ar-SA"/>
              </w:rPr>
              <w:t xml:space="preserve"> </w:t>
            </w:r>
            <w:r w:rsidRPr="00ED37CF">
              <w:rPr>
                <w:rFonts w:ascii="Myriad Pro" w:hAnsi="Myriad Pro" w:cs="Arial"/>
                <w:color w:val="000000"/>
                <w:lang w:bidi="ar-SA"/>
              </w:rPr>
              <w:t>31.12.2014</w:t>
            </w:r>
          </w:p>
          <w:p w14:paraId="4AF0E3E8" w14:textId="77777777" w:rsidR="0043140D" w:rsidRPr="00ED37CF" w:rsidRDefault="0043140D" w:rsidP="00E261E4">
            <w:pPr>
              <w:pStyle w:val="BodyText"/>
              <w:widowControl w:val="0"/>
              <w:tabs>
                <w:tab w:val="left" w:pos="426"/>
              </w:tabs>
              <w:spacing w:after="40" w:line="271" w:lineRule="auto"/>
              <w:rPr>
                <w:rFonts w:ascii="Myriad Pro" w:hAnsi="Myriad Pro" w:cs="Arial"/>
                <w:b/>
                <w:color w:val="000000"/>
                <w:lang w:bidi="ar-SA"/>
              </w:rPr>
            </w:pPr>
            <w:r w:rsidRPr="00ED37CF">
              <w:rPr>
                <w:rFonts w:ascii="Myriad Pro" w:hAnsi="Myriad Pro" w:cs="Arial"/>
                <w:b/>
                <w:color w:val="000000"/>
                <w:lang w:bidi="ar-SA"/>
              </w:rPr>
              <w:t>Have agency(ies) operationally closed the Programme in its (their) system?</w:t>
            </w:r>
            <w:r w:rsidR="005E1EE9" w:rsidRPr="00ED37CF">
              <w:rPr>
                <w:rFonts w:ascii="Myriad Pro" w:hAnsi="Myriad Pro" w:cs="Arial"/>
                <w:b/>
                <w:color w:val="000000"/>
                <w:lang w:bidi="ar-SA"/>
              </w:rPr>
              <w:t xml:space="preserve">    </w:t>
            </w:r>
            <w:r w:rsidR="00E261E4" w:rsidRPr="00ED37CF">
              <w:rPr>
                <w:rFonts w:ascii="Myriad Pro" w:hAnsi="Myriad Pro" w:cs="Arial"/>
                <w:b/>
                <w:snapToGrid w:val="0"/>
                <w:lang w:bidi="ar-SA"/>
              </w:rPr>
              <w:sym w:font="Wingdings 2" w:char="F038"/>
            </w:r>
            <w:r w:rsidRPr="00ED37CF">
              <w:rPr>
                <w:rFonts w:ascii="Myriad Pro" w:hAnsi="Myriad Pro" w:cs="Arial"/>
                <w:lang w:bidi="ar-SA"/>
              </w:rPr>
              <w:t>Yes</w:t>
            </w:r>
            <w:r w:rsidR="005E1EE9" w:rsidRPr="00ED37CF">
              <w:rPr>
                <w:rFonts w:ascii="Myriad Pro" w:hAnsi="Myriad Pro" w:cs="Arial"/>
                <w:lang w:bidi="ar-SA"/>
              </w:rPr>
              <w:t xml:space="preserve">   </w:t>
            </w:r>
            <w:r w:rsidRPr="00ED37CF">
              <w:rPr>
                <w:rFonts w:ascii="Myriad Pro" w:hAnsi="Myriad Pro" w:cs="Arial"/>
                <w:lang w:bidi="ar-SA"/>
              </w:rPr>
              <w:t xml:space="preserve"> </w:t>
            </w:r>
            <w:r w:rsidR="00E261E4" w:rsidRPr="00ED37CF">
              <w:rPr>
                <w:rFonts w:ascii="Myriad Pro" w:hAnsi="Myriad Pro" w:cs="Arial"/>
                <w:b/>
                <w:bCs/>
                <w:lang w:bidi="ar-SA"/>
              </w:rPr>
              <w:sym w:font="Wingdings 2" w:char="F099"/>
            </w:r>
            <w:r w:rsidR="00E261E4" w:rsidRPr="00ED37CF">
              <w:rPr>
                <w:rFonts w:ascii="Myriad Pro" w:hAnsi="Myriad Pro" w:cs="Arial"/>
                <w:lang w:bidi="ar-SA"/>
              </w:rPr>
              <w:t xml:space="preserve"> </w:t>
            </w:r>
            <w:r w:rsidRPr="00ED37CF">
              <w:rPr>
                <w:rFonts w:ascii="Myriad Pro" w:hAnsi="Myriad Pro" w:cs="Arial"/>
                <w:lang w:bidi="ar-SA"/>
              </w:rPr>
              <w:t>No</w:t>
            </w:r>
          </w:p>
          <w:p w14:paraId="16640F34"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commentRangeStart w:id="6"/>
            <w:commentRangeStart w:id="7"/>
            <w:r w:rsidRPr="00F76706">
              <w:rPr>
                <w:rFonts w:ascii="Myriad Pro" w:hAnsi="Myriad Pro" w:cs="Arial"/>
                <w:lang w:bidi="ar-SA"/>
              </w:rPr>
              <w:t>Expected Financial Closure date</w:t>
            </w:r>
            <w:commentRangeEnd w:id="6"/>
            <w:r w:rsidR="00F76706">
              <w:rPr>
                <w:rStyle w:val="CommentReference"/>
                <w:rFonts w:ascii="Calibri" w:hAnsi="Calibri"/>
                <w:lang w:bidi="en-US"/>
              </w:rPr>
              <w:commentReference w:id="6"/>
            </w:r>
            <w:r w:rsidRPr="00ED37CF">
              <w:rPr>
                <w:rFonts w:ascii="Myriad Pro" w:hAnsi="Myriad Pro" w:cs="Arial"/>
                <w:lang w:bidi="ar-SA"/>
              </w:rPr>
              <w:t>:</w:t>
            </w:r>
            <w:commentRangeEnd w:id="7"/>
            <w:r w:rsidR="006C14F6">
              <w:rPr>
                <w:rStyle w:val="CommentReference"/>
                <w:rFonts w:ascii="Calibri" w:hAnsi="Calibri"/>
                <w:lang w:bidi="en-US"/>
              </w:rPr>
              <w:commentReference w:id="7"/>
            </w:r>
          </w:p>
        </w:tc>
      </w:tr>
      <w:tr w:rsidR="0043140D" w:rsidRPr="00ED37CF" w14:paraId="6F541D2C" w14:textId="77777777" w:rsidTr="00B60022">
        <w:trPr>
          <w:trHeight w:val="350"/>
        </w:trPr>
        <w:tc>
          <w:tcPr>
            <w:tcW w:w="4050" w:type="dxa"/>
            <w:shd w:val="clear" w:color="auto" w:fill="auto"/>
            <w:vAlign w:val="center"/>
          </w:tcPr>
          <w:p w14:paraId="236757DA" w14:textId="77777777" w:rsidR="0043140D" w:rsidRPr="00ED37CF" w:rsidRDefault="0043140D" w:rsidP="00E261E4">
            <w:pPr>
              <w:pStyle w:val="H2"/>
              <w:spacing w:after="40" w:line="271" w:lineRule="auto"/>
              <w:rPr>
                <w:rFonts w:ascii="Myriad Pro" w:hAnsi="Myriad Pro"/>
                <w:b w:val="0"/>
                <w:sz w:val="20"/>
                <w:szCs w:val="20"/>
              </w:rPr>
            </w:pPr>
            <w:r w:rsidRPr="00ED37CF">
              <w:rPr>
                <w:rFonts w:ascii="Myriad Pro" w:hAnsi="Myriad Pro"/>
                <w:b w:val="0"/>
                <w:sz w:val="20"/>
                <w:szCs w:val="20"/>
              </w:rPr>
              <w:t>Other Contributions (donors)</w:t>
            </w:r>
          </w:p>
          <w:p w14:paraId="4EA21D30" w14:textId="77777777" w:rsidR="0043140D" w:rsidRPr="00ED37CF" w:rsidRDefault="0043140D" w:rsidP="00E261E4">
            <w:pPr>
              <w:pStyle w:val="H2"/>
              <w:spacing w:after="40" w:line="271" w:lineRule="auto"/>
              <w:rPr>
                <w:rFonts w:ascii="Myriad Pro" w:hAnsi="Myriad Pro"/>
                <w:sz w:val="20"/>
                <w:szCs w:val="20"/>
              </w:rPr>
            </w:pPr>
            <w:r w:rsidRPr="00ED37CF">
              <w:rPr>
                <w:rFonts w:ascii="Myriad Pro" w:hAnsi="Myriad Pro"/>
                <w:sz w:val="20"/>
                <w:szCs w:val="20"/>
              </w:rPr>
              <w:t>BCPR UNDP:</w:t>
            </w:r>
            <w:r w:rsidR="005E1EE9" w:rsidRPr="00ED37CF">
              <w:rPr>
                <w:rFonts w:ascii="Myriad Pro" w:hAnsi="Myriad Pro"/>
                <w:sz w:val="20"/>
                <w:szCs w:val="20"/>
              </w:rPr>
              <w:t xml:space="preserve"> </w:t>
            </w:r>
            <w:r w:rsidRPr="00ED37CF">
              <w:rPr>
                <w:rFonts w:ascii="Myriad Pro" w:hAnsi="Myriad Pro"/>
                <w:sz w:val="20"/>
                <w:szCs w:val="20"/>
              </w:rPr>
              <w:t>$693,000.00</w:t>
            </w:r>
          </w:p>
          <w:p w14:paraId="3C468FDB" w14:textId="239382A9" w:rsidR="0043140D" w:rsidRPr="00ED37CF" w:rsidRDefault="0043140D" w:rsidP="000710F1">
            <w:pPr>
              <w:pStyle w:val="BodyText"/>
              <w:widowControl w:val="0"/>
              <w:tabs>
                <w:tab w:val="left" w:pos="426"/>
              </w:tabs>
              <w:spacing w:after="40" w:line="271" w:lineRule="auto"/>
              <w:rPr>
                <w:rFonts w:ascii="Myriad Pro" w:hAnsi="Myriad Pro" w:cs="Arial"/>
                <w:color w:val="000000"/>
                <w:lang w:bidi="ar-SA"/>
              </w:rPr>
            </w:pPr>
            <w:r w:rsidRPr="00ED37CF">
              <w:rPr>
                <w:rFonts w:ascii="Myriad Pro" w:hAnsi="Myriad Pro" w:cs="Times New Roman"/>
                <w:lang w:bidi="ar-SA"/>
              </w:rPr>
              <w:t>TOTAL: $12,</w:t>
            </w:r>
            <w:r w:rsidR="00F47FDE" w:rsidRPr="00ED37CF">
              <w:rPr>
                <w:rFonts w:ascii="Myriad Pro" w:hAnsi="Myriad Pro" w:cs="Times New Roman"/>
                <w:lang w:bidi="ar-SA"/>
              </w:rPr>
              <w:t>0</w:t>
            </w:r>
            <w:r w:rsidR="000710F1">
              <w:rPr>
                <w:rFonts w:ascii="Myriad Pro" w:hAnsi="Myriad Pro" w:cs="Times New Roman"/>
                <w:lang w:bidi="ar-SA"/>
              </w:rPr>
              <w:t>53</w:t>
            </w:r>
            <w:r w:rsidR="00F47FDE" w:rsidRPr="00ED37CF">
              <w:rPr>
                <w:rFonts w:ascii="Myriad Pro" w:hAnsi="Myriad Pro" w:cs="Times New Roman"/>
                <w:lang w:bidi="ar-SA"/>
              </w:rPr>
              <w:t>,</w:t>
            </w:r>
            <w:r w:rsidR="000710F1">
              <w:rPr>
                <w:rFonts w:ascii="Myriad Pro" w:hAnsi="Myriad Pro" w:cs="Times New Roman"/>
                <w:lang w:bidi="ar-SA"/>
              </w:rPr>
              <w:t>989</w:t>
            </w:r>
            <w:r w:rsidRPr="00ED37CF">
              <w:rPr>
                <w:rFonts w:ascii="Myriad Pro" w:hAnsi="Myriad Pro" w:cs="Times New Roman"/>
                <w:lang w:bidi="ar-SA"/>
              </w:rPr>
              <w:t>.00</w:t>
            </w:r>
          </w:p>
        </w:tc>
        <w:tc>
          <w:tcPr>
            <w:tcW w:w="270" w:type="dxa"/>
            <w:shd w:val="clear" w:color="auto" w:fill="auto"/>
            <w:vAlign w:val="center"/>
          </w:tcPr>
          <w:p w14:paraId="7A09A118"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vMerge/>
            <w:shd w:val="clear" w:color="auto" w:fill="auto"/>
          </w:tcPr>
          <w:p w14:paraId="5E75FC12"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r>
      <w:tr w:rsidR="0043140D" w:rsidRPr="00ED37CF" w14:paraId="332DE870" w14:textId="77777777" w:rsidTr="00B60022">
        <w:trPr>
          <w:trHeight w:val="206"/>
        </w:trPr>
        <w:tc>
          <w:tcPr>
            <w:tcW w:w="4050" w:type="dxa"/>
            <w:shd w:val="clear" w:color="auto" w:fill="EEECE1"/>
            <w:vAlign w:val="center"/>
          </w:tcPr>
          <w:p w14:paraId="08F00AA3" w14:textId="77777777" w:rsidR="0043140D" w:rsidRPr="00ED37CF" w:rsidRDefault="0043140D" w:rsidP="00E261E4">
            <w:pPr>
              <w:pStyle w:val="H2"/>
              <w:spacing w:after="40" w:line="271" w:lineRule="auto"/>
              <w:rPr>
                <w:rFonts w:ascii="Myriad Pro" w:hAnsi="Myriad Pro"/>
                <w:sz w:val="20"/>
                <w:szCs w:val="20"/>
              </w:rPr>
            </w:pPr>
          </w:p>
        </w:tc>
        <w:tc>
          <w:tcPr>
            <w:tcW w:w="270" w:type="dxa"/>
            <w:vMerge w:val="restart"/>
          </w:tcPr>
          <w:p w14:paraId="7BD4C72F" w14:textId="77777777" w:rsidR="0043140D" w:rsidRPr="00ED37CF" w:rsidRDefault="0043140D" w:rsidP="00E261E4">
            <w:pPr>
              <w:widowControl w:val="0"/>
              <w:tabs>
                <w:tab w:val="left" w:pos="426"/>
              </w:tabs>
              <w:spacing w:after="40"/>
              <w:rPr>
                <w:rFonts w:cs="Arial"/>
                <w:sz w:val="20"/>
                <w:szCs w:val="20"/>
              </w:rPr>
            </w:pPr>
          </w:p>
        </w:tc>
        <w:tc>
          <w:tcPr>
            <w:tcW w:w="5490" w:type="dxa"/>
            <w:shd w:val="clear" w:color="auto" w:fill="EEECE1"/>
          </w:tcPr>
          <w:p w14:paraId="2CEA4A37" w14:textId="77777777" w:rsidR="0043140D" w:rsidRPr="00ED37CF" w:rsidRDefault="0043140D" w:rsidP="00E261E4">
            <w:pPr>
              <w:pStyle w:val="H1"/>
              <w:widowControl w:val="0"/>
              <w:tabs>
                <w:tab w:val="left" w:pos="426"/>
              </w:tabs>
              <w:spacing w:before="0" w:after="40" w:line="271" w:lineRule="auto"/>
              <w:jc w:val="both"/>
              <w:rPr>
                <w:rFonts w:ascii="Myriad Pro" w:hAnsi="Myriad Pro"/>
                <w:sz w:val="20"/>
                <w:szCs w:val="20"/>
              </w:rPr>
            </w:pPr>
            <w:r w:rsidRPr="00ED37CF">
              <w:rPr>
                <w:rFonts w:ascii="Myriad Pro" w:hAnsi="Myriad Pro"/>
                <w:bCs w:val="0"/>
                <w:sz w:val="20"/>
                <w:szCs w:val="20"/>
              </w:rPr>
              <w:t>Report Submitted By</w:t>
            </w:r>
          </w:p>
        </w:tc>
      </w:tr>
      <w:tr w:rsidR="0043140D" w:rsidRPr="00ED37CF" w14:paraId="4E39AFDC" w14:textId="77777777" w:rsidTr="00B60022">
        <w:trPr>
          <w:trHeight w:val="285"/>
        </w:trPr>
        <w:tc>
          <w:tcPr>
            <w:tcW w:w="4050" w:type="dxa"/>
          </w:tcPr>
          <w:p w14:paraId="033ADCF8"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r w:rsidRPr="00ED37CF">
              <w:rPr>
                <w:rFonts w:ascii="Myriad Pro" w:hAnsi="Myriad Pro" w:cs="Arial"/>
                <w:lang w:bidi="ar-SA"/>
              </w:rPr>
              <w:t>Evaluation Completed</w:t>
            </w:r>
            <w:r w:rsidRPr="00ED37CF">
              <w:rPr>
                <w:rFonts w:ascii="Myriad Pro" w:hAnsi="Myriad Pro" w:cs="Arial"/>
                <w:bCs/>
                <w:i/>
                <w:iCs/>
                <w:snapToGrid w:val="0"/>
                <w:lang w:bidi="ar-SA"/>
              </w:rPr>
              <w:t>:</w:t>
            </w:r>
            <w:r w:rsidR="005E1EE9" w:rsidRPr="00ED37CF">
              <w:rPr>
                <w:rFonts w:ascii="Myriad Pro" w:hAnsi="Myriad Pro" w:cs="Arial"/>
                <w:bCs/>
                <w:i/>
                <w:iCs/>
                <w:snapToGrid w:val="0"/>
                <w:lang w:bidi="ar-SA"/>
              </w:rPr>
              <w:t xml:space="preserve">     </w:t>
            </w:r>
            <w:r w:rsidRPr="00ED37CF">
              <w:rPr>
                <w:rFonts w:ascii="Myriad Pro" w:hAnsi="Myriad Pro" w:cs="Arial"/>
                <w:bCs/>
                <w:i/>
                <w:iCs/>
                <w:snapToGrid w:val="0"/>
                <w:lang w:bidi="ar-SA"/>
              </w:rPr>
              <w:t xml:space="preserve"> </w:t>
            </w:r>
            <w:r w:rsidR="00E261E4" w:rsidRPr="00ED37CF">
              <w:rPr>
                <w:rFonts w:ascii="Myriad Pro" w:hAnsi="Myriad Pro" w:cs="Arial"/>
                <w:b/>
                <w:snapToGrid w:val="0"/>
                <w:lang w:bidi="ar-SA"/>
              </w:rPr>
              <w:sym w:font="Wingdings 2" w:char="F038"/>
            </w:r>
            <w:r w:rsidRPr="00ED37CF">
              <w:rPr>
                <w:rFonts w:ascii="Myriad Pro" w:hAnsi="Myriad Pro" w:cs="Arial"/>
                <w:bCs/>
                <w:iCs/>
                <w:snapToGrid w:val="0"/>
                <w:lang w:bidi="ar-SA"/>
              </w:rPr>
              <w:t>Yes</w:t>
            </w:r>
            <w:r w:rsidR="005E1EE9" w:rsidRPr="00ED37CF">
              <w:rPr>
                <w:rFonts w:ascii="Myriad Pro" w:hAnsi="Myriad Pro" w:cs="Arial"/>
                <w:bCs/>
                <w:i/>
                <w:iCs/>
                <w:snapToGrid w:val="0"/>
                <w:lang w:bidi="ar-SA"/>
              </w:rPr>
              <w:t xml:space="preserve">  </w:t>
            </w:r>
            <w:r w:rsidRPr="00ED37CF">
              <w:rPr>
                <w:rFonts w:ascii="Myriad Pro" w:hAnsi="Myriad Pro" w:cs="Arial"/>
                <w:lang w:bidi="ar-SA"/>
              </w:rPr>
              <w:t xml:space="preserve"> </w:t>
            </w:r>
            <w:r w:rsidR="00E261E4" w:rsidRPr="00ED37CF">
              <w:rPr>
                <w:rFonts w:ascii="Myriad Pro" w:hAnsi="Myriad Pro" w:cs="Arial"/>
                <w:b/>
                <w:bCs/>
                <w:lang w:bidi="ar-SA"/>
              </w:rPr>
              <w:sym w:font="Wingdings 2" w:char="F099"/>
            </w:r>
            <w:r w:rsidR="00E261E4" w:rsidRPr="00ED37CF">
              <w:rPr>
                <w:rFonts w:ascii="Myriad Pro" w:hAnsi="Myriad Pro" w:cs="Arial"/>
                <w:lang w:bidi="ar-SA"/>
              </w:rPr>
              <w:t xml:space="preserve"> </w:t>
            </w:r>
            <w:r w:rsidRPr="00ED37CF">
              <w:rPr>
                <w:rFonts w:ascii="Myriad Pro" w:hAnsi="Myriad Pro" w:cs="Arial"/>
                <w:lang w:bidi="ar-SA"/>
              </w:rPr>
              <w:t>No</w:t>
            </w:r>
            <w:r w:rsidR="005E1EE9" w:rsidRPr="00ED37CF">
              <w:rPr>
                <w:rFonts w:ascii="Myriad Pro" w:hAnsi="Myriad Pro" w:cs="Arial"/>
                <w:lang w:bidi="ar-SA"/>
              </w:rPr>
              <w:t xml:space="preserve"> </w:t>
            </w:r>
            <w:r w:rsidRPr="00ED37CF">
              <w:rPr>
                <w:rFonts w:ascii="Myriad Pro" w:hAnsi="Myriad Pro" w:cs="Arial"/>
                <w:lang w:bidi="ar-SA"/>
              </w:rPr>
              <w:t xml:space="preserve"> </w:t>
            </w:r>
          </w:p>
          <w:p w14:paraId="043BC620" w14:textId="77777777" w:rsidR="0043140D" w:rsidRPr="00ED37CF" w:rsidRDefault="0043140D" w:rsidP="00E261E4">
            <w:pPr>
              <w:pStyle w:val="BodyText"/>
              <w:widowControl w:val="0"/>
              <w:tabs>
                <w:tab w:val="left" w:pos="426"/>
              </w:tabs>
              <w:spacing w:after="40" w:line="271" w:lineRule="auto"/>
              <w:rPr>
                <w:rFonts w:ascii="Myriad Pro" w:hAnsi="Myriad Pro" w:cs="Arial"/>
                <w:bCs/>
                <w:i/>
                <w:iCs/>
                <w:snapToGrid w:val="0"/>
                <w:lang w:bidi="ar-SA"/>
              </w:rPr>
            </w:pPr>
            <w:r w:rsidRPr="00ED37CF">
              <w:rPr>
                <w:rFonts w:ascii="Myriad Pro" w:hAnsi="Myriad Pro" w:cs="Arial"/>
                <w:lang w:bidi="ar-SA"/>
              </w:rPr>
              <w:t>Date:</w:t>
            </w:r>
            <w:r w:rsidR="005E1EE9" w:rsidRPr="00ED37CF">
              <w:rPr>
                <w:rFonts w:ascii="Myriad Pro" w:hAnsi="Myriad Pro" w:cs="Arial"/>
                <w:lang w:bidi="ar-SA"/>
              </w:rPr>
              <w:t xml:space="preserve"> </w:t>
            </w:r>
            <w:r w:rsidRPr="00ED37CF">
              <w:rPr>
                <w:rFonts w:ascii="Myriad Pro" w:hAnsi="Myriad Pro" w:cs="Arial"/>
                <w:lang w:bidi="ar-SA"/>
              </w:rPr>
              <w:t>21/03/2013</w:t>
            </w:r>
          </w:p>
          <w:p w14:paraId="042C7DAB"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r w:rsidRPr="00ED37CF">
              <w:rPr>
                <w:rFonts w:ascii="Myriad Pro" w:hAnsi="Myriad Pro" w:cs="Arial"/>
                <w:lang w:bidi="ar-SA"/>
              </w:rPr>
              <w:t xml:space="preserve">Evaluation Report </w:t>
            </w:r>
            <w:r w:rsidR="00E261E4" w:rsidRPr="00ED37CF">
              <w:rPr>
                <w:rFonts w:ascii="Myriad Pro" w:hAnsi="Myriad Pro" w:cs="Arial"/>
                <w:bCs/>
                <w:iCs/>
                <w:snapToGrid w:val="0"/>
                <w:lang w:bidi="ar-SA"/>
              </w:rPr>
              <w:t>– Attached:</w:t>
            </w:r>
            <w:r w:rsidR="005E1EE9" w:rsidRPr="00ED37CF">
              <w:rPr>
                <w:rFonts w:ascii="Myriad Pro" w:hAnsi="Myriad Pro" w:cs="Arial"/>
                <w:bCs/>
                <w:iCs/>
                <w:snapToGrid w:val="0"/>
                <w:lang w:bidi="ar-SA"/>
              </w:rPr>
              <w:t xml:space="preserve"> </w:t>
            </w:r>
            <w:r w:rsidR="00E261E4" w:rsidRPr="00ED37CF">
              <w:rPr>
                <w:rFonts w:ascii="Myriad Pro" w:hAnsi="Myriad Pro" w:cs="Arial"/>
                <w:b/>
                <w:snapToGrid w:val="0"/>
                <w:lang w:bidi="ar-SA"/>
              </w:rPr>
              <w:sym w:font="Wingdings 2" w:char="F038"/>
            </w:r>
            <w:r w:rsidRPr="00ED37CF">
              <w:rPr>
                <w:rFonts w:ascii="Myriad Pro" w:hAnsi="Myriad Pro" w:cs="Arial"/>
                <w:lang w:bidi="ar-SA"/>
              </w:rPr>
              <w:t>Yes</w:t>
            </w:r>
            <w:r w:rsidR="005E1EE9" w:rsidRPr="00ED37CF">
              <w:rPr>
                <w:rFonts w:ascii="Myriad Pro" w:hAnsi="Myriad Pro" w:cs="Arial"/>
                <w:lang w:bidi="ar-SA"/>
              </w:rPr>
              <w:t xml:space="preserve">  </w:t>
            </w:r>
            <w:r w:rsidR="00E261E4" w:rsidRPr="00ED37CF">
              <w:rPr>
                <w:rFonts w:ascii="Myriad Pro" w:hAnsi="Myriad Pro" w:cs="Arial"/>
                <w:b/>
                <w:bCs/>
                <w:lang w:bidi="ar-SA"/>
              </w:rPr>
              <w:sym w:font="Wingdings 2" w:char="F099"/>
            </w:r>
            <w:r w:rsidR="00E261E4" w:rsidRPr="00ED37CF">
              <w:rPr>
                <w:rFonts w:ascii="Myriad Pro" w:hAnsi="Myriad Pro" w:cs="Arial"/>
                <w:lang w:bidi="ar-SA"/>
              </w:rPr>
              <w:t xml:space="preserve"> </w:t>
            </w:r>
            <w:r w:rsidRPr="00ED37CF">
              <w:rPr>
                <w:rFonts w:ascii="Myriad Pro" w:hAnsi="Myriad Pro" w:cs="Arial"/>
                <w:lang w:bidi="ar-SA"/>
              </w:rPr>
              <w:t>No</w:t>
            </w:r>
            <w:r w:rsidR="005E1EE9" w:rsidRPr="00ED37CF">
              <w:rPr>
                <w:rFonts w:ascii="Myriad Pro" w:hAnsi="Myriad Pro" w:cs="Arial"/>
                <w:lang w:bidi="ar-SA"/>
              </w:rPr>
              <w:t xml:space="preserve"> </w:t>
            </w:r>
          </w:p>
        </w:tc>
        <w:tc>
          <w:tcPr>
            <w:tcW w:w="270" w:type="dxa"/>
            <w:vMerge/>
          </w:tcPr>
          <w:p w14:paraId="39DDAA88" w14:textId="77777777" w:rsidR="0043140D" w:rsidRPr="00ED37CF" w:rsidRDefault="0043140D" w:rsidP="00E261E4">
            <w:pPr>
              <w:pStyle w:val="BodyText"/>
              <w:widowControl w:val="0"/>
              <w:tabs>
                <w:tab w:val="left" w:pos="426"/>
              </w:tabs>
              <w:spacing w:after="40" w:line="271" w:lineRule="auto"/>
              <w:rPr>
                <w:rFonts w:ascii="Myriad Pro" w:hAnsi="Myriad Pro" w:cs="Arial"/>
                <w:lang w:bidi="ar-SA"/>
              </w:rPr>
            </w:pPr>
          </w:p>
        </w:tc>
        <w:tc>
          <w:tcPr>
            <w:tcW w:w="5490" w:type="dxa"/>
          </w:tcPr>
          <w:p w14:paraId="07E3EE71" w14:textId="77777777" w:rsidR="0043140D" w:rsidRPr="00ED37CF" w:rsidRDefault="0043140D" w:rsidP="007D3884">
            <w:pPr>
              <w:widowControl w:val="0"/>
              <w:numPr>
                <w:ilvl w:val="0"/>
                <w:numId w:val="32"/>
              </w:numPr>
              <w:tabs>
                <w:tab w:val="left" w:pos="426"/>
              </w:tabs>
              <w:spacing w:after="40"/>
              <w:ind w:left="342"/>
              <w:rPr>
                <w:rFonts w:cs="Arial"/>
                <w:sz w:val="20"/>
                <w:szCs w:val="20"/>
              </w:rPr>
            </w:pPr>
            <w:r w:rsidRPr="00ED37CF">
              <w:rPr>
                <w:rFonts w:cs="Arial"/>
                <w:sz w:val="20"/>
                <w:szCs w:val="20"/>
              </w:rPr>
              <w:t>Name:</w:t>
            </w:r>
            <w:r w:rsidR="005E1EE9" w:rsidRPr="00ED37CF">
              <w:rPr>
                <w:rFonts w:cs="Arial"/>
                <w:sz w:val="20"/>
                <w:szCs w:val="20"/>
              </w:rPr>
              <w:t xml:space="preserve"> </w:t>
            </w:r>
            <w:r w:rsidRPr="00ED37CF">
              <w:rPr>
                <w:rFonts w:cs="Arial"/>
                <w:sz w:val="20"/>
                <w:szCs w:val="20"/>
              </w:rPr>
              <w:t>Abdul Hameed Omar</w:t>
            </w:r>
          </w:p>
          <w:p w14:paraId="4E3F1920" w14:textId="77777777" w:rsidR="0043140D" w:rsidRPr="00ED37CF" w:rsidRDefault="0043140D" w:rsidP="007D3884">
            <w:pPr>
              <w:widowControl w:val="0"/>
              <w:numPr>
                <w:ilvl w:val="0"/>
                <w:numId w:val="32"/>
              </w:numPr>
              <w:tabs>
                <w:tab w:val="left" w:pos="426"/>
              </w:tabs>
              <w:spacing w:after="40"/>
              <w:ind w:left="342"/>
              <w:rPr>
                <w:rFonts w:cs="Arial"/>
                <w:sz w:val="20"/>
                <w:szCs w:val="20"/>
              </w:rPr>
            </w:pPr>
            <w:r w:rsidRPr="00ED37CF">
              <w:rPr>
                <w:rFonts w:cs="Arial"/>
                <w:sz w:val="20"/>
                <w:szCs w:val="20"/>
              </w:rPr>
              <w:t>Title:</w:t>
            </w:r>
            <w:r w:rsidR="005E1EE9" w:rsidRPr="00ED37CF">
              <w:rPr>
                <w:rFonts w:cs="Arial"/>
                <w:sz w:val="20"/>
                <w:szCs w:val="20"/>
              </w:rPr>
              <w:t xml:space="preserve"> </w:t>
            </w:r>
            <w:r w:rsidRPr="00ED37CF">
              <w:rPr>
                <w:rFonts w:cs="Arial"/>
                <w:sz w:val="20"/>
                <w:szCs w:val="20"/>
              </w:rPr>
              <w:t>Programme Manager</w:t>
            </w:r>
          </w:p>
          <w:p w14:paraId="65B3C3AE" w14:textId="77777777" w:rsidR="0043140D" w:rsidRPr="00ED37CF" w:rsidRDefault="0043140D" w:rsidP="007D3884">
            <w:pPr>
              <w:widowControl w:val="0"/>
              <w:numPr>
                <w:ilvl w:val="0"/>
                <w:numId w:val="32"/>
              </w:numPr>
              <w:tabs>
                <w:tab w:val="left" w:pos="426"/>
              </w:tabs>
              <w:spacing w:after="40"/>
              <w:ind w:left="342"/>
              <w:rPr>
                <w:rFonts w:cs="Arial"/>
                <w:sz w:val="20"/>
                <w:szCs w:val="20"/>
              </w:rPr>
            </w:pPr>
            <w:r w:rsidRPr="00ED37CF">
              <w:rPr>
                <w:rFonts w:cs="Arial"/>
                <w:sz w:val="20"/>
                <w:szCs w:val="20"/>
              </w:rPr>
              <w:t>Participating Organization (Lead):</w:t>
            </w:r>
            <w:r w:rsidR="005E1EE9" w:rsidRPr="00ED37CF">
              <w:rPr>
                <w:rFonts w:cs="Arial"/>
                <w:sz w:val="20"/>
                <w:szCs w:val="20"/>
              </w:rPr>
              <w:t xml:space="preserve"> </w:t>
            </w:r>
            <w:r w:rsidR="009F2489" w:rsidRPr="00ED37CF">
              <w:rPr>
                <w:rFonts w:cs="Arial"/>
                <w:sz w:val="20"/>
                <w:szCs w:val="20"/>
              </w:rPr>
              <w:t>UNDP</w:t>
            </w:r>
          </w:p>
          <w:p w14:paraId="3C66C8FF" w14:textId="47085249" w:rsidR="0043140D" w:rsidRPr="00ED37CF" w:rsidRDefault="0043140D" w:rsidP="007D3884">
            <w:pPr>
              <w:pStyle w:val="BodyText"/>
              <w:widowControl w:val="0"/>
              <w:numPr>
                <w:ilvl w:val="0"/>
                <w:numId w:val="32"/>
              </w:numPr>
              <w:tabs>
                <w:tab w:val="left" w:pos="426"/>
              </w:tabs>
              <w:spacing w:after="40" w:line="271" w:lineRule="auto"/>
              <w:ind w:left="342"/>
              <w:jc w:val="both"/>
              <w:rPr>
                <w:rFonts w:ascii="Myriad Pro" w:hAnsi="Myriad Pro" w:cs="Arial"/>
                <w:b/>
                <w:bCs/>
                <w:snapToGrid w:val="0"/>
                <w:kern w:val="32"/>
                <w:lang w:bidi="ar-SA"/>
              </w:rPr>
            </w:pPr>
            <w:r w:rsidRPr="00ED37CF">
              <w:rPr>
                <w:rFonts w:ascii="Myriad Pro" w:hAnsi="Myriad Pro" w:cs="Arial"/>
                <w:lang w:bidi="ar-SA"/>
              </w:rPr>
              <w:t>Email address:</w:t>
            </w:r>
            <w:r w:rsidR="005E1EE9" w:rsidRPr="00ED37CF">
              <w:rPr>
                <w:rFonts w:ascii="Myriad Pro" w:hAnsi="Myriad Pro" w:cs="Arial"/>
                <w:lang w:bidi="ar-SA"/>
              </w:rPr>
              <w:t xml:space="preserve"> </w:t>
            </w:r>
            <w:hyperlink r:id="rId17" w:history="1">
              <w:r w:rsidR="006E3EBA" w:rsidRPr="00DC463D">
                <w:rPr>
                  <w:rStyle w:val="Hyperlink"/>
                  <w:rFonts w:ascii="Myriad Pro" w:hAnsi="Myriad Pro" w:cs="Arial"/>
                  <w:lang w:bidi="ar-SA"/>
                </w:rPr>
                <w:t>hameed.omar@undp.org</w:t>
              </w:r>
            </w:hyperlink>
          </w:p>
        </w:tc>
      </w:tr>
    </w:tbl>
    <w:p w14:paraId="161C60DE" w14:textId="77777777" w:rsidR="00FD3DEE" w:rsidRPr="00ED37CF" w:rsidRDefault="00FD3DEE" w:rsidP="00E261E4">
      <w:pPr>
        <w:contextualSpacing/>
        <w:rPr>
          <w:b/>
          <w:bCs/>
          <w:sz w:val="24"/>
          <w:szCs w:val="24"/>
        </w:rPr>
      </w:pPr>
    </w:p>
    <w:p w14:paraId="59BCE53C" w14:textId="77777777" w:rsidR="00FD3DEE" w:rsidRPr="00ED37CF" w:rsidRDefault="00FD3DEE" w:rsidP="00E261E4">
      <w:pPr>
        <w:contextualSpacing/>
        <w:rPr>
          <w:b/>
          <w:bCs/>
          <w:sz w:val="24"/>
          <w:szCs w:val="24"/>
        </w:rPr>
      </w:pPr>
    </w:p>
    <w:p w14:paraId="3EB31EAA" w14:textId="77777777" w:rsidR="00FD3DEE" w:rsidRPr="00ED37CF" w:rsidRDefault="00FD3DEE" w:rsidP="00E261E4">
      <w:pPr>
        <w:contextualSpacing/>
        <w:rPr>
          <w:b/>
          <w:bCs/>
          <w:sz w:val="24"/>
          <w:szCs w:val="24"/>
        </w:rPr>
      </w:pPr>
    </w:p>
    <w:p w14:paraId="78AC40DD" w14:textId="77777777" w:rsidR="00FD3DEE" w:rsidRPr="00ED37CF" w:rsidRDefault="00FD3DEE" w:rsidP="00E261E4">
      <w:pPr>
        <w:contextualSpacing/>
        <w:rPr>
          <w:b/>
          <w:bCs/>
          <w:sz w:val="24"/>
          <w:szCs w:val="24"/>
        </w:rPr>
      </w:pPr>
    </w:p>
    <w:p w14:paraId="034147B7" w14:textId="77777777" w:rsidR="00FD3DEE" w:rsidRPr="00ED37CF" w:rsidRDefault="00FD3DEE" w:rsidP="00E261E4">
      <w:pPr>
        <w:contextualSpacing/>
        <w:rPr>
          <w:b/>
          <w:bCs/>
          <w:sz w:val="24"/>
          <w:szCs w:val="24"/>
        </w:rPr>
      </w:pPr>
    </w:p>
    <w:p w14:paraId="7A68DA78" w14:textId="6681C755" w:rsidR="0043140D" w:rsidRPr="00ED37CF" w:rsidRDefault="0043140D" w:rsidP="00E261E4">
      <w:pPr>
        <w:contextualSpacing/>
        <w:rPr>
          <w:b/>
          <w:bCs/>
          <w:sz w:val="24"/>
          <w:szCs w:val="24"/>
        </w:rPr>
      </w:pPr>
      <w:r w:rsidRPr="00ED37CF">
        <w:rPr>
          <w:b/>
          <w:bCs/>
          <w:sz w:val="24"/>
          <w:szCs w:val="24"/>
        </w:rPr>
        <w:t>ABBREVI</w:t>
      </w:r>
      <w:r w:rsidR="00CF2558">
        <w:rPr>
          <w:b/>
          <w:bCs/>
          <w:sz w:val="24"/>
          <w:szCs w:val="24"/>
        </w:rPr>
        <w:t>A</w:t>
      </w:r>
      <w:r w:rsidRPr="00ED37CF">
        <w:rPr>
          <w:b/>
          <w:bCs/>
          <w:sz w:val="24"/>
          <w:szCs w:val="24"/>
        </w:rPr>
        <w:t>TIONS</w:t>
      </w:r>
    </w:p>
    <w:p w14:paraId="23922722" w14:textId="77777777" w:rsidR="001C06B9" w:rsidRPr="00ED37CF" w:rsidRDefault="001C06B9" w:rsidP="00E261E4">
      <w:pPr>
        <w:contextualSpacing/>
        <w:rPr>
          <w:b/>
          <w:bCs/>
        </w:rPr>
      </w:pPr>
    </w:p>
    <w:tbl>
      <w:tblPr>
        <w:tblW w:w="5000" w:type="pct"/>
        <w:jc w:val="center"/>
        <w:tblLook w:val="04A0" w:firstRow="1" w:lastRow="0" w:firstColumn="1" w:lastColumn="0" w:noHBand="0" w:noVBand="1"/>
      </w:tblPr>
      <w:tblGrid>
        <w:gridCol w:w="1489"/>
        <w:gridCol w:w="8116"/>
      </w:tblGrid>
      <w:tr w:rsidR="0043140D" w:rsidRPr="00ED37CF" w14:paraId="122304DE" w14:textId="77777777" w:rsidTr="00E261E4">
        <w:trPr>
          <w:trHeight w:val="340"/>
          <w:jc w:val="center"/>
        </w:trPr>
        <w:tc>
          <w:tcPr>
            <w:tcW w:w="775" w:type="pct"/>
            <w:tcBorders>
              <w:top w:val="nil"/>
              <w:left w:val="nil"/>
              <w:bottom w:val="nil"/>
              <w:right w:val="nil"/>
            </w:tcBorders>
            <w:shd w:val="clear" w:color="auto" w:fill="auto"/>
            <w:noWrap/>
            <w:vAlign w:val="center"/>
          </w:tcPr>
          <w:p w14:paraId="38F3FF5F" w14:textId="77777777" w:rsidR="0043140D" w:rsidRPr="00ED37CF" w:rsidRDefault="0043140D" w:rsidP="00E261E4">
            <w:pPr>
              <w:contextualSpacing/>
              <w:rPr>
                <w:rFonts w:cs="Arial"/>
                <w:color w:val="000000"/>
                <w:sz w:val="20"/>
                <w:szCs w:val="20"/>
              </w:rPr>
            </w:pPr>
            <w:r w:rsidRPr="00ED37CF">
              <w:rPr>
                <w:rFonts w:cs="Arial"/>
                <w:color w:val="000000"/>
                <w:sz w:val="20"/>
                <w:szCs w:val="20"/>
              </w:rPr>
              <w:t>AMF</w:t>
            </w:r>
          </w:p>
        </w:tc>
        <w:tc>
          <w:tcPr>
            <w:tcW w:w="4225" w:type="pct"/>
            <w:tcBorders>
              <w:top w:val="nil"/>
              <w:left w:val="nil"/>
              <w:bottom w:val="nil"/>
              <w:right w:val="nil"/>
            </w:tcBorders>
            <w:shd w:val="clear" w:color="auto" w:fill="auto"/>
            <w:noWrap/>
            <w:vAlign w:val="center"/>
          </w:tcPr>
          <w:p w14:paraId="0398A5F3" w14:textId="77777777" w:rsidR="0043140D" w:rsidRPr="00ED37CF" w:rsidRDefault="0043140D" w:rsidP="00E261E4">
            <w:pPr>
              <w:contextualSpacing/>
              <w:rPr>
                <w:rFonts w:cs="Arial"/>
                <w:color w:val="000000"/>
                <w:sz w:val="20"/>
                <w:szCs w:val="20"/>
              </w:rPr>
            </w:pPr>
            <w:r w:rsidRPr="00ED37CF">
              <w:rPr>
                <w:rFonts w:cs="Arial"/>
                <w:color w:val="000000"/>
                <w:sz w:val="20"/>
                <w:szCs w:val="20"/>
              </w:rPr>
              <w:t>Afghan Military Forces</w:t>
            </w:r>
          </w:p>
        </w:tc>
      </w:tr>
      <w:tr w:rsidR="0043140D" w:rsidRPr="00ED37CF" w14:paraId="161CF29B"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47E64DB" w14:textId="77777777" w:rsidR="0043140D" w:rsidRPr="00ED37CF" w:rsidRDefault="0043140D" w:rsidP="00E261E4">
            <w:pPr>
              <w:contextualSpacing/>
              <w:rPr>
                <w:rFonts w:cs="Arial"/>
                <w:color w:val="000000"/>
                <w:sz w:val="20"/>
                <w:szCs w:val="20"/>
              </w:rPr>
            </w:pPr>
            <w:r w:rsidRPr="00ED37CF">
              <w:rPr>
                <w:rFonts w:cs="Arial"/>
                <w:color w:val="000000"/>
                <w:sz w:val="20"/>
                <w:szCs w:val="20"/>
              </w:rPr>
              <w:t>AMMAA</w:t>
            </w:r>
          </w:p>
        </w:tc>
        <w:tc>
          <w:tcPr>
            <w:tcW w:w="4225" w:type="pct"/>
            <w:tcBorders>
              <w:top w:val="nil"/>
              <w:left w:val="nil"/>
              <w:bottom w:val="nil"/>
              <w:right w:val="nil"/>
            </w:tcBorders>
            <w:shd w:val="clear" w:color="auto" w:fill="auto"/>
            <w:noWrap/>
            <w:vAlign w:val="center"/>
            <w:hideMark/>
          </w:tcPr>
          <w:p w14:paraId="5FF005D7" w14:textId="77777777" w:rsidR="0043140D" w:rsidRPr="00ED37CF" w:rsidRDefault="0043140D" w:rsidP="00E261E4">
            <w:pPr>
              <w:contextualSpacing/>
              <w:rPr>
                <w:rFonts w:cs="Arial"/>
                <w:color w:val="000000"/>
                <w:sz w:val="20"/>
                <w:szCs w:val="20"/>
              </w:rPr>
            </w:pPr>
            <w:r w:rsidRPr="00ED37CF">
              <w:rPr>
                <w:rFonts w:cs="Arial"/>
                <w:color w:val="000000"/>
                <w:sz w:val="20"/>
                <w:szCs w:val="20"/>
              </w:rPr>
              <w:t>Agreement on the Monitoring and Management of Arms and Armies</w:t>
            </w:r>
          </w:p>
        </w:tc>
      </w:tr>
      <w:tr w:rsidR="0043140D" w:rsidRPr="00ED37CF" w14:paraId="6CCE34DA" w14:textId="77777777" w:rsidTr="00E261E4">
        <w:trPr>
          <w:trHeight w:val="340"/>
          <w:jc w:val="center"/>
        </w:trPr>
        <w:tc>
          <w:tcPr>
            <w:tcW w:w="775" w:type="pct"/>
            <w:tcBorders>
              <w:top w:val="nil"/>
              <w:left w:val="nil"/>
              <w:bottom w:val="nil"/>
              <w:right w:val="nil"/>
            </w:tcBorders>
            <w:shd w:val="clear" w:color="auto" w:fill="auto"/>
            <w:noWrap/>
            <w:vAlign w:val="center"/>
          </w:tcPr>
          <w:p w14:paraId="6F93F48E" w14:textId="77777777" w:rsidR="0043140D" w:rsidRPr="00ED37CF" w:rsidRDefault="0043140D" w:rsidP="00E261E4">
            <w:pPr>
              <w:contextualSpacing/>
              <w:rPr>
                <w:rFonts w:cs="Arial"/>
                <w:color w:val="000000"/>
                <w:sz w:val="20"/>
                <w:szCs w:val="20"/>
              </w:rPr>
            </w:pPr>
            <w:r w:rsidRPr="00ED37CF">
              <w:rPr>
                <w:rFonts w:cs="Arial"/>
                <w:color w:val="000000"/>
                <w:sz w:val="20"/>
                <w:szCs w:val="20"/>
              </w:rPr>
              <w:t>ANBP</w:t>
            </w:r>
          </w:p>
        </w:tc>
        <w:tc>
          <w:tcPr>
            <w:tcW w:w="4225" w:type="pct"/>
            <w:tcBorders>
              <w:top w:val="nil"/>
              <w:left w:val="nil"/>
              <w:bottom w:val="nil"/>
              <w:right w:val="nil"/>
            </w:tcBorders>
            <w:shd w:val="clear" w:color="auto" w:fill="auto"/>
            <w:noWrap/>
            <w:vAlign w:val="center"/>
          </w:tcPr>
          <w:p w14:paraId="1A19DA08" w14:textId="77777777" w:rsidR="0043140D" w:rsidRPr="00ED37CF" w:rsidRDefault="0043140D" w:rsidP="00E261E4">
            <w:pPr>
              <w:contextualSpacing/>
              <w:rPr>
                <w:rFonts w:cs="Arial"/>
                <w:color w:val="000000"/>
                <w:sz w:val="20"/>
                <w:szCs w:val="20"/>
              </w:rPr>
            </w:pPr>
            <w:r w:rsidRPr="00ED37CF">
              <w:rPr>
                <w:rFonts w:cs="Arial"/>
                <w:color w:val="000000"/>
                <w:sz w:val="20"/>
                <w:szCs w:val="20"/>
              </w:rPr>
              <w:t xml:space="preserve">Afghan New Beginnings Programme </w:t>
            </w:r>
          </w:p>
        </w:tc>
      </w:tr>
      <w:tr w:rsidR="0043140D" w:rsidRPr="00ED37CF" w14:paraId="0F53124F" w14:textId="77777777" w:rsidTr="00E261E4">
        <w:trPr>
          <w:trHeight w:val="340"/>
          <w:jc w:val="center"/>
        </w:trPr>
        <w:tc>
          <w:tcPr>
            <w:tcW w:w="775" w:type="pct"/>
            <w:tcBorders>
              <w:top w:val="nil"/>
              <w:left w:val="nil"/>
              <w:bottom w:val="nil"/>
              <w:right w:val="nil"/>
            </w:tcBorders>
            <w:shd w:val="clear" w:color="auto" w:fill="auto"/>
            <w:noWrap/>
            <w:vAlign w:val="center"/>
          </w:tcPr>
          <w:p w14:paraId="3DCE8821" w14:textId="77777777" w:rsidR="0043140D" w:rsidRPr="00ED37CF" w:rsidRDefault="0043140D" w:rsidP="00E261E4">
            <w:pPr>
              <w:contextualSpacing/>
              <w:rPr>
                <w:rFonts w:cs="Arial"/>
                <w:color w:val="000000"/>
                <w:sz w:val="20"/>
                <w:szCs w:val="20"/>
              </w:rPr>
            </w:pPr>
            <w:r w:rsidRPr="00ED37CF">
              <w:rPr>
                <w:rFonts w:cs="Arial"/>
                <w:color w:val="000000"/>
                <w:sz w:val="20"/>
                <w:szCs w:val="20"/>
              </w:rPr>
              <w:t>BCPR</w:t>
            </w:r>
          </w:p>
        </w:tc>
        <w:tc>
          <w:tcPr>
            <w:tcW w:w="4225" w:type="pct"/>
            <w:tcBorders>
              <w:top w:val="nil"/>
              <w:left w:val="nil"/>
              <w:bottom w:val="nil"/>
              <w:right w:val="nil"/>
            </w:tcBorders>
            <w:shd w:val="clear" w:color="auto" w:fill="auto"/>
            <w:noWrap/>
            <w:vAlign w:val="center"/>
          </w:tcPr>
          <w:p w14:paraId="37493A6C" w14:textId="77777777" w:rsidR="0043140D" w:rsidRPr="00ED37CF" w:rsidRDefault="0043140D" w:rsidP="00E261E4">
            <w:pPr>
              <w:contextualSpacing/>
              <w:rPr>
                <w:rFonts w:cs="Arial"/>
                <w:color w:val="000000"/>
                <w:sz w:val="20"/>
                <w:szCs w:val="20"/>
              </w:rPr>
            </w:pPr>
            <w:r w:rsidRPr="00ED37CF">
              <w:rPr>
                <w:rFonts w:cs="Arial"/>
                <w:sz w:val="20"/>
                <w:szCs w:val="20"/>
              </w:rPr>
              <w:t>Bureau for Crisis Prevention and Recovery</w:t>
            </w:r>
          </w:p>
        </w:tc>
      </w:tr>
      <w:tr w:rsidR="0043140D" w:rsidRPr="00ED37CF" w14:paraId="42BBF340" w14:textId="77777777" w:rsidTr="00E261E4">
        <w:trPr>
          <w:trHeight w:val="340"/>
          <w:jc w:val="center"/>
        </w:trPr>
        <w:tc>
          <w:tcPr>
            <w:tcW w:w="775" w:type="pct"/>
            <w:tcBorders>
              <w:top w:val="nil"/>
              <w:left w:val="nil"/>
              <w:bottom w:val="nil"/>
              <w:right w:val="nil"/>
            </w:tcBorders>
            <w:shd w:val="clear" w:color="auto" w:fill="auto"/>
            <w:noWrap/>
            <w:vAlign w:val="center"/>
          </w:tcPr>
          <w:p w14:paraId="00F228B6" w14:textId="77777777" w:rsidR="0043140D" w:rsidRPr="00ED37CF" w:rsidRDefault="0043140D" w:rsidP="00E261E4">
            <w:pPr>
              <w:contextualSpacing/>
              <w:rPr>
                <w:rFonts w:cs="Arial"/>
                <w:color w:val="000000"/>
                <w:sz w:val="20"/>
                <w:szCs w:val="20"/>
              </w:rPr>
            </w:pPr>
            <w:r w:rsidRPr="00ED37CF">
              <w:rPr>
                <w:rFonts w:cs="Arial"/>
                <w:color w:val="000000"/>
                <w:sz w:val="20"/>
                <w:szCs w:val="20"/>
              </w:rPr>
              <w:t>BDS</w:t>
            </w:r>
          </w:p>
        </w:tc>
        <w:tc>
          <w:tcPr>
            <w:tcW w:w="4225" w:type="pct"/>
            <w:tcBorders>
              <w:top w:val="nil"/>
              <w:left w:val="nil"/>
              <w:bottom w:val="nil"/>
              <w:right w:val="nil"/>
            </w:tcBorders>
            <w:shd w:val="clear" w:color="auto" w:fill="auto"/>
            <w:noWrap/>
            <w:vAlign w:val="center"/>
          </w:tcPr>
          <w:p w14:paraId="65107095" w14:textId="77777777" w:rsidR="0043140D" w:rsidRPr="00ED37CF" w:rsidRDefault="0043140D" w:rsidP="00E261E4">
            <w:pPr>
              <w:contextualSpacing/>
              <w:rPr>
                <w:rFonts w:cs="Arial"/>
                <w:color w:val="000000"/>
                <w:sz w:val="20"/>
                <w:szCs w:val="20"/>
              </w:rPr>
            </w:pPr>
            <w:r w:rsidRPr="00ED37CF">
              <w:rPr>
                <w:rFonts w:cs="Arial"/>
                <w:color w:val="000000"/>
                <w:sz w:val="20"/>
                <w:szCs w:val="20"/>
              </w:rPr>
              <w:t>Business Development Services</w:t>
            </w:r>
          </w:p>
        </w:tc>
      </w:tr>
      <w:tr w:rsidR="0043140D" w:rsidRPr="00ED37CF" w14:paraId="0D68944E" w14:textId="77777777" w:rsidTr="00E261E4">
        <w:trPr>
          <w:trHeight w:val="340"/>
          <w:jc w:val="center"/>
        </w:trPr>
        <w:tc>
          <w:tcPr>
            <w:tcW w:w="775" w:type="pct"/>
            <w:tcBorders>
              <w:top w:val="nil"/>
              <w:left w:val="nil"/>
              <w:bottom w:val="nil"/>
              <w:right w:val="nil"/>
            </w:tcBorders>
            <w:shd w:val="clear" w:color="auto" w:fill="auto"/>
            <w:noWrap/>
            <w:vAlign w:val="center"/>
          </w:tcPr>
          <w:p w14:paraId="3F6FAB80" w14:textId="77777777" w:rsidR="0043140D" w:rsidRPr="00ED37CF" w:rsidRDefault="0043140D" w:rsidP="00E261E4">
            <w:pPr>
              <w:contextualSpacing/>
              <w:rPr>
                <w:rFonts w:cs="Arial"/>
                <w:color w:val="000000"/>
                <w:sz w:val="20"/>
                <w:szCs w:val="20"/>
              </w:rPr>
            </w:pPr>
            <w:r w:rsidRPr="00ED37CF">
              <w:rPr>
                <w:rFonts w:cs="Arial"/>
                <w:color w:val="000000"/>
                <w:sz w:val="20"/>
                <w:szCs w:val="20"/>
              </w:rPr>
              <w:t>BPS</w:t>
            </w:r>
          </w:p>
        </w:tc>
        <w:tc>
          <w:tcPr>
            <w:tcW w:w="4225" w:type="pct"/>
            <w:tcBorders>
              <w:top w:val="nil"/>
              <w:left w:val="nil"/>
              <w:bottom w:val="nil"/>
              <w:right w:val="nil"/>
            </w:tcBorders>
            <w:shd w:val="clear" w:color="auto" w:fill="auto"/>
            <w:noWrap/>
            <w:vAlign w:val="center"/>
          </w:tcPr>
          <w:p w14:paraId="3A1331C1" w14:textId="77777777" w:rsidR="0043140D" w:rsidRPr="00ED37CF" w:rsidRDefault="0043140D" w:rsidP="00E261E4">
            <w:pPr>
              <w:contextualSpacing/>
              <w:rPr>
                <w:rFonts w:cs="Arial"/>
                <w:color w:val="000000"/>
                <w:sz w:val="20"/>
                <w:szCs w:val="20"/>
              </w:rPr>
            </w:pPr>
            <w:r w:rsidRPr="00ED37CF">
              <w:rPr>
                <w:rFonts w:cs="Arial"/>
                <w:color w:val="000000"/>
                <w:sz w:val="20"/>
                <w:szCs w:val="20"/>
              </w:rPr>
              <w:t>Business Promotional Support</w:t>
            </w:r>
          </w:p>
        </w:tc>
      </w:tr>
      <w:tr w:rsidR="0043140D" w:rsidRPr="00ED37CF" w14:paraId="16805E05" w14:textId="77777777" w:rsidTr="00E261E4">
        <w:trPr>
          <w:trHeight w:val="340"/>
          <w:jc w:val="center"/>
        </w:trPr>
        <w:tc>
          <w:tcPr>
            <w:tcW w:w="775" w:type="pct"/>
            <w:tcBorders>
              <w:top w:val="nil"/>
              <w:left w:val="nil"/>
              <w:bottom w:val="nil"/>
              <w:right w:val="nil"/>
            </w:tcBorders>
            <w:shd w:val="clear" w:color="auto" w:fill="auto"/>
            <w:noWrap/>
            <w:vAlign w:val="center"/>
          </w:tcPr>
          <w:p w14:paraId="000E29FD" w14:textId="77777777" w:rsidR="0043140D" w:rsidRPr="00ED37CF" w:rsidRDefault="0043140D" w:rsidP="00E261E4">
            <w:pPr>
              <w:contextualSpacing/>
              <w:rPr>
                <w:rFonts w:cs="Arial"/>
                <w:color w:val="000000"/>
                <w:sz w:val="20"/>
                <w:szCs w:val="20"/>
              </w:rPr>
            </w:pPr>
            <w:r w:rsidRPr="00ED37CF">
              <w:rPr>
                <w:rFonts w:cs="Arial"/>
                <w:color w:val="000000"/>
                <w:sz w:val="20"/>
                <w:szCs w:val="20"/>
              </w:rPr>
              <w:t>CAAC</w:t>
            </w:r>
          </w:p>
        </w:tc>
        <w:tc>
          <w:tcPr>
            <w:tcW w:w="4225" w:type="pct"/>
            <w:tcBorders>
              <w:top w:val="nil"/>
              <w:left w:val="nil"/>
              <w:bottom w:val="nil"/>
              <w:right w:val="nil"/>
            </w:tcBorders>
            <w:shd w:val="clear" w:color="auto" w:fill="auto"/>
            <w:noWrap/>
            <w:vAlign w:val="center"/>
          </w:tcPr>
          <w:p w14:paraId="3A6D847C" w14:textId="77777777" w:rsidR="0043140D" w:rsidRPr="00ED37CF" w:rsidRDefault="0043140D" w:rsidP="00E261E4">
            <w:pPr>
              <w:contextualSpacing/>
              <w:rPr>
                <w:rFonts w:cs="Arial"/>
                <w:color w:val="000000"/>
                <w:sz w:val="20"/>
                <w:szCs w:val="20"/>
              </w:rPr>
            </w:pPr>
            <w:r w:rsidRPr="00ED37CF">
              <w:rPr>
                <w:rFonts w:cs="Arial"/>
                <w:color w:val="000000"/>
                <w:sz w:val="20"/>
                <w:szCs w:val="20"/>
              </w:rPr>
              <w:t>Children Affected by Armed Conflict</w:t>
            </w:r>
          </w:p>
        </w:tc>
      </w:tr>
      <w:tr w:rsidR="0043140D" w:rsidRPr="00ED37CF" w14:paraId="48B86CF4"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55A3A62E" w14:textId="77777777" w:rsidR="0043140D" w:rsidRPr="00ED37CF" w:rsidRDefault="0043140D" w:rsidP="00E261E4">
            <w:pPr>
              <w:contextualSpacing/>
              <w:rPr>
                <w:rFonts w:cs="Arial"/>
                <w:color w:val="000000"/>
                <w:sz w:val="20"/>
                <w:szCs w:val="20"/>
              </w:rPr>
            </w:pPr>
            <w:r w:rsidRPr="00ED37CF">
              <w:rPr>
                <w:rFonts w:cs="Arial"/>
                <w:color w:val="000000"/>
                <w:sz w:val="20"/>
                <w:szCs w:val="20"/>
              </w:rPr>
              <w:t>CAAFAG</w:t>
            </w:r>
          </w:p>
        </w:tc>
        <w:tc>
          <w:tcPr>
            <w:tcW w:w="4225" w:type="pct"/>
            <w:tcBorders>
              <w:top w:val="nil"/>
              <w:left w:val="nil"/>
              <w:bottom w:val="nil"/>
              <w:right w:val="nil"/>
            </w:tcBorders>
            <w:shd w:val="clear" w:color="auto" w:fill="auto"/>
            <w:noWrap/>
            <w:vAlign w:val="center"/>
            <w:hideMark/>
          </w:tcPr>
          <w:p w14:paraId="022B0DAE" w14:textId="77777777" w:rsidR="0043140D" w:rsidRPr="00ED37CF" w:rsidRDefault="0043140D" w:rsidP="00E261E4">
            <w:pPr>
              <w:contextualSpacing/>
              <w:rPr>
                <w:rFonts w:cs="Arial"/>
                <w:color w:val="000000"/>
                <w:sz w:val="20"/>
                <w:szCs w:val="20"/>
              </w:rPr>
            </w:pPr>
            <w:r w:rsidRPr="00ED37CF">
              <w:rPr>
                <w:rFonts w:cs="Arial"/>
                <w:color w:val="000000"/>
                <w:sz w:val="20"/>
                <w:szCs w:val="20"/>
              </w:rPr>
              <w:t>Children Associated with Armed Forces and Armed Groups</w:t>
            </w:r>
          </w:p>
        </w:tc>
      </w:tr>
      <w:tr w:rsidR="0043140D" w:rsidRPr="00ED37CF" w14:paraId="2E855FA5"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638B4F1" w14:textId="77777777" w:rsidR="0043140D" w:rsidRPr="00ED37CF" w:rsidRDefault="0043140D" w:rsidP="00E261E4">
            <w:pPr>
              <w:contextualSpacing/>
              <w:rPr>
                <w:rFonts w:cs="Arial"/>
                <w:color w:val="000000"/>
                <w:sz w:val="20"/>
                <w:szCs w:val="20"/>
              </w:rPr>
            </w:pPr>
            <w:r w:rsidRPr="00ED37CF">
              <w:rPr>
                <w:rFonts w:cs="Arial"/>
                <w:color w:val="000000"/>
                <w:sz w:val="20"/>
                <w:szCs w:val="20"/>
              </w:rPr>
              <w:t xml:space="preserve">CPA </w:t>
            </w:r>
          </w:p>
        </w:tc>
        <w:tc>
          <w:tcPr>
            <w:tcW w:w="4225" w:type="pct"/>
            <w:tcBorders>
              <w:top w:val="nil"/>
              <w:left w:val="nil"/>
              <w:bottom w:val="nil"/>
              <w:right w:val="nil"/>
            </w:tcBorders>
            <w:shd w:val="clear" w:color="auto" w:fill="auto"/>
            <w:noWrap/>
            <w:vAlign w:val="center"/>
            <w:hideMark/>
          </w:tcPr>
          <w:p w14:paraId="28826C66" w14:textId="77777777" w:rsidR="0043140D" w:rsidRPr="00ED37CF" w:rsidRDefault="0043140D" w:rsidP="00E261E4">
            <w:pPr>
              <w:contextualSpacing/>
              <w:rPr>
                <w:rFonts w:cs="Arial"/>
                <w:color w:val="000000"/>
                <w:sz w:val="20"/>
                <w:szCs w:val="20"/>
              </w:rPr>
            </w:pPr>
            <w:r w:rsidRPr="00ED37CF">
              <w:rPr>
                <w:rFonts w:cs="Arial"/>
                <w:color w:val="000000"/>
                <w:sz w:val="20"/>
                <w:szCs w:val="20"/>
              </w:rPr>
              <w:t>Comprehensive Peace Agreement</w:t>
            </w:r>
          </w:p>
        </w:tc>
      </w:tr>
      <w:tr w:rsidR="0043140D" w:rsidRPr="00ED37CF" w14:paraId="04A5201B" w14:textId="77777777" w:rsidTr="00E261E4">
        <w:trPr>
          <w:trHeight w:val="340"/>
          <w:jc w:val="center"/>
        </w:trPr>
        <w:tc>
          <w:tcPr>
            <w:tcW w:w="775" w:type="pct"/>
            <w:tcBorders>
              <w:top w:val="nil"/>
              <w:left w:val="nil"/>
              <w:bottom w:val="nil"/>
              <w:right w:val="nil"/>
            </w:tcBorders>
            <w:shd w:val="clear" w:color="auto" w:fill="auto"/>
            <w:noWrap/>
            <w:vAlign w:val="center"/>
          </w:tcPr>
          <w:p w14:paraId="4DB30792" w14:textId="77777777" w:rsidR="0043140D" w:rsidRPr="00ED37CF" w:rsidRDefault="0043140D" w:rsidP="00E261E4">
            <w:pPr>
              <w:contextualSpacing/>
              <w:rPr>
                <w:rFonts w:cs="Arial"/>
                <w:color w:val="000000"/>
                <w:sz w:val="20"/>
                <w:szCs w:val="20"/>
              </w:rPr>
            </w:pPr>
            <w:r w:rsidRPr="00ED37CF">
              <w:rPr>
                <w:rFonts w:cs="Arial"/>
                <w:color w:val="000000"/>
                <w:sz w:val="20"/>
                <w:szCs w:val="20"/>
              </w:rPr>
              <w:t>CPAP</w:t>
            </w:r>
          </w:p>
        </w:tc>
        <w:tc>
          <w:tcPr>
            <w:tcW w:w="4225" w:type="pct"/>
            <w:tcBorders>
              <w:top w:val="nil"/>
              <w:left w:val="nil"/>
              <w:bottom w:val="nil"/>
              <w:right w:val="nil"/>
            </w:tcBorders>
            <w:shd w:val="clear" w:color="auto" w:fill="auto"/>
            <w:noWrap/>
            <w:vAlign w:val="center"/>
          </w:tcPr>
          <w:p w14:paraId="68364294" w14:textId="77777777" w:rsidR="0043140D" w:rsidRPr="00ED37CF" w:rsidRDefault="0043140D" w:rsidP="00E261E4">
            <w:pPr>
              <w:contextualSpacing/>
              <w:rPr>
                <w:rFonts w:cs="Arial"/>
                <w:sz w:val="20"/>
                <w:szCs w:val="20"/>
              </w:rPr>
            </w:pPr>
            <w:r w:rsidRPr="00ED37CF">
              <w:rPr>
                <w:rFonts w:cs="Arial"/>
                <w:sz w:val="20"/>
                <w:szCs w:val="20"/>
              </w:rPr>
              <w:t>Country Programme Action Plan</w:t>
            </w:r>
          </w:p>
        </w:tc>
      </w:tr>
      <w:tr w:rsidR="0043140D" w:rsidRPr="00ED37CF" w14:paraId="2BBBDE28" w14:textId="77777777" w:rsidTr="00E261E4">
        <w:trPr>
          <w:trHeight w:val="340"/>
          <w:jc w:val="center"/>
        </w:trPr>
        <w:tc>
          <w:tcPr>
            <w:tcW w:w="775" w:type="pct"/>
            <w:tcBorders>
              <w:top w:val="nil"/>
              <w:left w:val="nil"/>
              <w:bottom w:val="nil"/>
              <w:right w:val="nil"/>
            </w:tcBorders>
            <w:shd w:val="clear" w:color="auto" w:fill="auto"/>
            <w:noWrap/>
            <w:vAlign w:val="center"/>
          </w:tcPr>
          <w:p w14:paraId="4DCD5458" w14:textId="77777777" w:rsidR="0043140D" w:rsidRPr="00ED37CF" w:rsidRDefault="0043140D" w:rsidP="00E261E4">
            <w:pPr>
              <w:contextualSpacing/>
              <w:rPr>
                <w:rFonts w:cs="Arial"/>
                <w:color w:val="000000"/>
                <w:sz w:val="20"/>
                <w:szCs w:val="20"/>
              </w:rPr>
            </w:pPr>
            <w:r w:rsidRPr="00ED37CF">
              <w:rPr>
                <w:rFonts w:cs="Arial"/>
                <w:color w:val="000000"/>
                <w:sz w:val="20"/>
                <w:szCs w:val="20"/>
              </w:rPr>
              <w:t>CRIMS</w:t>
            </w:r>
          </w:p>
        </w:tc>
        <w:tc>
          <w:tcPr>
            <w:tcW w:w="4225" w:type="pct"/>
            <w:tcBorders>
              <w:top w:val="nil"/>
              <w:left w:val="nil"/>
              <w:bottom w:val="nil"/>
              <w:right w:val="nil"/>
            </w:tcBorders>
            <w:shd w:val="clear" w:color="auto" w:fill="auto"/>
            <w:noWrap/>
            <w:vAlign w:val="center"/>
          </w:tcPr>
          <w:p w14:paraId="59299812" w14:textId="77777777" w:rsidR="0043140D" w:rsidRPr="00ED37CF" w:rsidRDefault="0043140D" w:rsidP="00E261E4">
            <w:pPr>
              <w:contextualSpacing/>
              <w:rPr>
                <w:rFonts w:cs="Arial"/>
                <w:sz w:val="20"/>
                <w:szCs w:val="20"/>
              </w:rPr>
            </w:pPr>
            <w:r w:rsidRPr="00ED37CF">
              <w:rPr>
                <w:rFonts w:cs="Arial"/>
                <w:sz w:val="20"/>
                <w:szCs w:val="20"/>
              </w:rPr>
              <w:t>Comprehensive Interagency</w:t>
            </w:r>
            <w:r w:rsidRPr="00ED37CF">
              <w:rPr>
                <w:rFonts w:cs="Arial"/>
                <w:bCs/>
                <w:sz w:val="20"/>
                <w:szCs w:val="20"/>
              </w:rPr>
              <w:t xml:space="preserve"> Rehabilitation Information Management System</w:t>
            </w:r>
          </w:p>
        </w:tc>
      </w:tr>
      <w:tr w:rsidR="0043140D" w:rsidRPr="00ED37CF" w14:paraId="38C29F3F" w14:textId="77777777" w:rsidTr="00E261E4">
        <w:trPr>
          <w:trHeight w:val="340"/>
          <w:jc w:val="center"/>
        </w:trPr>
        <w:tc>
          <w:tcPr>
            <w:tcW w:w="775" w:type="pct"/>
            <w:tcBorders>
              <w:top w:val="nil"/>
              <w:left w:val="nil"/>
              <w:bottom w:val="nil"/>
              <w:right w:val="nil"/>
            </w:tcBorders>
            <w:shd w:val="clear" w:color="auto" w:fill="auto"/>
            <w:noWrap/>
            <w:vAlign w:val="center"/>
          </w:tcPr>
          <w:p w14:paraId="6146626C" w14:textId="77777777" w:rsidR="0043140D" w:rsidRPr="00ED37CF" w:rsidRDefault="0043140D" w:rsidP="00E261E4">
            <w:pPr>
              <w:contextualSpacing/>
              <w:rPr>
                <w:rFonts w:cs="Arial"/>
                <w:color w:val="000000"/>
                <w:sz w:val="20"/>
                <w:szCs w:val="20"/>
              </w:rPr>
            </w:pPr>
            <w:r w:rsidRPr="00ED37CF">
              <w:rPr>
                <w:rFonts w:cs="Arial"/>
                <w:color w:val="000000"/>
                <w:sz w:val="20"/>
                <w:szCs w:val="20"/>
              </w:rPr>
              <w:t>CVICT</w:t>
            </w:r>
          </w:p>
        </w:tc>
        <w:tc>
          <w:tcPr>
            <w:tcW w:w="4225" w:type="pct"/>
            <w:tcBorders>
              <w:top w:val="nil"/>
              <w:left w:val="nil"/>
              <w:bottom w:val="nil"/>
              <w:right w:val="nil"/>
            </w:tcBorders>
            <w:shd w:val="clear" w:color="auto" w:fill="auto"/>
            <w:noWrap/>
            <w:vAlign w:val="center"/>
          </w:tcPr>
          <w:p w14:paraId="643AA46C" w14:textId="77777777" w:rsidR="0043140D" w:rsidRPr="00ED37CF" w:rsidRDefault="0043140D" w:rsidP="00E261E4">
            <w:pPr>
              <w:contextualSpacing/>
              <w:rPr>
                <w:rFonts w:cs="Arial"/>
                <w:sz w:val="20"/>
                <w:szCs w:val="20"/>
              </w:rPr>
            </w:pPr>
            <w:r w:rsidRPr="00ED37CF">
              <w:rPr>
                <w:rFonts w:cs="Arial"/>
                <w:sz w:val="20"/>
                <w:szCs w:val="20"/>
              </w:rPr>
              <w:t>Center for Victims of Torture</w:t>
            </w:r>
          </w:p>
        </w:tc>
      </w:tr>
      <w:tr w:rsidR="0043140D" w:rsidRPr="00ED37CF" w14:paraId="36FF3ADA" w14:textId="77777777" w:rsidTr="00E261E4">
        <w:trPr>
          <w:trHeight w:val="340"/>
          <w:jc w:val="center"/>
        </w:trPr>
        <w:tc>
          <w:tcPr>
            <w:tcW w:w="775" w:type="pct"/>
            <w:tcBorders>
              <w:top w:val="nil"/>
              <w:left w:val="nil"/>
              <w:bottom w:val="nil"/>
              <w:right w:val="nil"/>
            </w:tcBorders>
            <w:shd w:val="clear" w:color="auto" w:fill="auto"/>
            <w:noWrap/>
            <w:vAlign w:val="center"/>
          </w:tcPr>
          <w:p w14:paraId="1D640FD3" w14:textId="77777777" w:rsidR="0043140D" w:rsidRPr="00ED37CF" w:rsidRDefault="0043140D" w:rsidP="00E261E4">
            <w:pPr>
              <w:contextualSpacing/>
              <w:rPr>
                <w:rFonts w:cs="Arial"/>
                <w:color w:val="000000"/>
                <w:sz w:val="20"/>
                <w:szCs w:val="20"/>
              </w:rPr>
            </w:pPr>
            <w:r w:rsidRPr="00ED37CF">
              <w:rPr>
                <w:rFonts w:cs="Arial"/>
                <w:color w:val="000000"/>
                <w:sz w:val="20"/>
                <w:szCs w:val="20"/>
              </w:rPr>
              <w:t>DFID</w:t>
            </w:r>
          </w:p>
        </w:tc>
        <w:tc>
          <w:tcPr>
            <w:tcW w:w="4225" w:type="pct"/>
            <w:tcBorders>
              <w:top w:val="nil"/>
              <w:left w:val="nil"/>
              <w:bottom w:val="nil"/>
              <w:right w:val="nil"/>
            </w:tcBorders>
            <w:shd w:val="clear" w:color="auto" w:fill="auto"/>
            <w:noWrap/>
            <w:vAlign w:val="center"/>
          </w:tcPr>
          <w:p w14:paraId="22BFE6A0" w14:textId="77777777" w:rsidR="0043140D" w:rsidRPr="00ED37CF" w:rsidRDefault="0043140D" w:rsidP="00E261E4">
            <w:pPr>
              <w:contextualSpacing/>
              <w:rPr>
                <w:rFonts w:cs="Arial"/>
                <w:sz w:val="20"/>
                <w:szCs w:val="20"/>
              </w:rPr>
            </w:pPr>
            <w:r w:rsidRPr="00ED37CF">
              <w:rPr>
                <w:rFonts w:cs="Arial"/>
                <w:sz w:val="20"/>
                <w:szCs w:val="20"/>
              </w:rPr>
              <w:t>Department for International Development</w:t>
            </w:r>
          </w:p>
        </w:tc>
      </w:tr>
      <w:tr w:rsidR="0043140D" w:rsidRPr="00ED37CF" w14:paraId="06AC93A9" w14:textId="77777777" w:rsidTr="00E261E4">
        <w:trPr>
          <w:trHeight w:val="340"/>
          <w:jc w:val="center"/>
        </w:trPr>
        <w:tc>
          <w:tcPr>
            <w:tcW w:w="775" w:type="pct"/>
            <w:tcBorders>
              <w:top w:val="nil"/>
              <w:left w:val="nil"/>
              <w:bottom w:val="nil"/>
              <w:right w:val="nil"/>
            </w:tcBorders>
            <w:shd w:val="clear" w:color="auto" w:fill="auto"/>
            <w:noWrap/>
            <w:vAlign w:val="center"/>
          </w:tcPr>
          <w:p w14:paraId="788195E8" w14:textId="77777777" w:rsidR="0043140D" w:rsidRPr="00ED37CF" w:rsidRDefault="0043140D" w:rsidP="00E261E4">
            <w:pPr>
              <w:contextualSpacing/>
              <w:rPr>
                <w:rFonts w:cs="Arial"/>
                <w:color w:val="000000"/>
                <w:sz w:val="20"/>
                <w:szCs w:val="20"/>
              </w:rPr>
            </w:pPr>
            <w:r w:rsidRPr="00ED37CF">
              <w:rPr>
                <w:rFonts w:cs="Arial"/>
                <w:color w:val="000000"/>
                <w:sz w:val="20"/>
                <w:szCs w:val="20"/>
              </w:rPr>
              <w:t>DDR</w:t>
            </w:r>
          </w:p>
        </w:tc>
        <w:tc>
          <w:tcPr>
            <w:tcW w:w="4225" w:type="pct"/>
            <w:tcBorders>
              <w:top w:val="nil"/>
              <w:left w:val="nil"/>
              <w:bottom w:val="nil"/>
              <w:right w:val="nil"/>
            </w:tcBorders>
            <w:shd w:val="clear" w:color="auto" w:fill="auto"/>
            <w:noWrap/>
            <w:vAlign w:val="center"/>
          </w:tcPr>
          <w:p w14:paraId="1E60E7E2" w14:textId="77777777" w:rsidR="0043140D" w:rsidRPr="00ED37CF" w:rsidRDefault="0043140D" w:rsidP="00E261E4">
            <w:pPr>
              <w:contextualSpacing/>
              <w:rPr>
                <w:rFonts w:cs="Arial"/>
                <w:color w:val="000000"/>
                <w:sz w:val="20"/>
                <w:szCs w:val="20"/>
              </w:rPr>
            </w:pPr>
            <w:r w:rsidRPr="00ED37CF">
              <w:rPr>
                <w:rFonts w:cs="Arial"/>
                <w:sz w:val="20"/>
                <w:szCs w:val="20"/>
              </w:rPr>
              <w:t>Disarmament, Demobilization and Reintegration</w:t>
            </w:r>
          </w:p>
        </w:tc>
      </w:tr>
      <w:tr w:rsidR="0043140D" w:rsidRPr="00ED37CF" w14:paraId="4EABC8F1" w14:textId="77777777" w:rsidTr="00E261E4">
        <w:trPr>
          <w:trHeight w:val="340"/>
          <w:jc w:val="center"/>
        </w:trPr>
        <w:tc>
          <w:tcPr>
            <w:tcW w:w="775" w:type="pct"/>
            <w:tcBorders>
              <w:top w:val="nil"/>
              <w:left w:val="nil"/>
              <w:bottom w:val="nil"/>
              <w:right w:val="nil"/>
            </w:tcBorders>
            <w:shd w:val="clear" w:color="auto" w:fill="auto"/>
            <w:noWrap/>
            <w:vAlign w:val="center"/>
          </w:tcPr>
          <w:p w14:paraId="25A9639B" w14:textId="77777777" w:rsidR="0043140D" w:rsidRPr="00ED37CF" w:rsidRDefault="0043140D" w:rsidP="00E261E4">
            <w:pPr>
              <w:contextualSpacing/>
              <w:rPr>
                <w:rFonts w:cs="Arial"/>
                <w:color w:val="000000"/>
                <w:sz w:val="20"/>
                <w:szCs w:val="20"/>
              </w:rPr>
            </w:pPr>
            <w:r w:rsidRPr="00ED37CF">
              <w:rPr>
                <w:rFonts w:cs="Arial"/>
                <w:color w:val="000000"/>
                <w:sz w:val="20"/>
                <w:szCs w:val="20"/>
              </w:rPr>
              <w:t>DDR-IMS</w:t>
            </w:r>
          </w:p>
        </w:tc>
        <w:tc>
          <w:tcPr>
            <w:tcW w:w="4225" w:type="pct"/>
            <w:tcBorders>
              <w:top w:val="nil"/>
              <w:left w:val="nil"/>
              <w:bottom w:val="nil"/>
              <w:right w:val="nil"/>
            </w:tcBorders>
            <w:shd w:val="clear" w:color="auto" w:fill="auto"/>
            <w:noWrap/>
            <w:vAlign w:val="center"/>
          </w:tcPr>
          <w:p w14:paraId="6E5F0766" w14:textId="77777777" w:rsidR="0043140D" w:rsidRPr="00ED37CF" w:rsidRDefault="0043140D" w:rsidP="00E261E4">
            <w:pPr>
              <w:contextualSpacing/>
              <w:rPr>
                <w:rFonts w:cs="Arial"/>
                <w:color w:val="000000"/>
                <w:sz w:val="20"/>
                <w:szCs w:val="20"/>
              </w:rPr>
            </w:pPr>
            <w:r w:rsidRPr="00ED37CF">
              <w:rPr>
                <w:rFonts w:cs="Arial"/>
                <w:bCs/>
                <w:spacing w:val="-2"/>
                <w:sz w:val="20"/>
                <w:szCs w:val="20"/>
                <w:lang w:eastAsia="ja-JP"/>
              </w:rPr>
              <w:t>Disarmament Demobilization and Rehabilitation Information Management System</w:t>
            </w:r>
          </w:p>
        </w:tc>
      </w:tr>
      <w:tr w:rsidR="0043140D" w:rsidRPr="00ED37CF" w14:paraId="35BEA246" w14:textId="77777777" w:rsidTr="00E261E4">
        <w:trPr>
          <w:trHeight w:val="340"/>
          <w:jc w:val="center"/>
        </w:trPr>
        <w:tc>
          <w:tcPr>
            <w:tcW w:w="775" w:type="pct"/>
            <w:tcBorders>
              <w:top w:val="nil"/>
              <w:left w:val="nil"/>
              <w:bottom w:val="nil"/>
              <w:right w:val="nil"/>
            </w:tcBorders>
            <w:shd w:val="clear" w:color="auto" w:fill="auto"/>
            <w:noWrap/>
            <w:vAlign w:val="center"/>
          </w:tcPr>
          <w:p w14:paraId="2F48AD2E" w14:textId="77777777" w:rsidR="0043140D" w:rsidRPr="00ED37CF" w:rsidRDefault="0043140D" w:rsidP="00E261E4">
            <w:pPr>
              <w:contextualSpacing/>
              <w:rPr>
                <w:rFonts w:cs="Arial"/>
                <w:color w:val="000000"/>
                <w:sz w:val="20"/>
                <w:szCs w:val="20"/>
              </w:rPr>
            </w:pPr>
            <w:r w:rsidRPr="00ED37CF">
              <w:rPr>
                <w:rFonts w:cs="Arial"/>
                <w:color w:val="000000"/>
                <w:sz w:val="20"/>
                <w:szCs w:val="20"/>
              </w:rPr>
              <w:t>ELS</w:t>
            </w:r>
          </w:p>
        </w:tc>
        <w:tc>
          <w:tcPr>
            <w:tcW w:w="4225" w:type="pct"/>
            <w:tcBorders>
              <w:top w:val="nil"/>
              <w:left w:val="nil"/>
              <w:bottom w:val="nil"/>
              <w:right w:val="nil"/>
            </w:tcBorders>
            <w:shd w:val="clear" w:color="auto" w:fill="auto"/>
            <w:noWrap/>
            <w:vAlign w:val="center"/>
          </w:tcPr>
          <w:p w14:paraId="12287935" w14:textId="77777777" w:rsidR="0043140D" w:rsidRPr="00ED37CF" w:rsidRDefault="0043140D" w:rsidP="00E261E4">
            <w:pPr>
              <w:contextualSpacing/>
              <w:rPr>
                <w:rFonts w:cs="Arial"/>
                <w:color w:val="000000"/>
                <w:sz w:val="20"/>
                <w:szCs w:val="20"/>
              </w:rPr>
            </w:pPr>
            <w:r w:rsidRPr="00ED37CF">
              <w:rPr>
                <w:rFonts w:cs="Arial"/>
                <w:color w:val="000000"/>
                <w:sz w:val="20"/>
                <w:szCs w:val="20"/>
              </w:rPr>
              <w:t>Enhanced Livelihood Support</w:t>
            </w:r>
          </w:p>
        </w:tc>
      </w:tr>
      <w:tr w:rsidR="0043140D" w:rsidRPr="00ED37CF" w14:paraId="3C1D0B71"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D641DDC" w14:textId="77777777" w:rsidR="0043140D" w:rsidRPr="00ED37CF" w:rsidRDefault="0043140D" w:rsidP="00E261E4">
            <w:pPr>
              <w:contextualSpacing/>
              <w:rPr>
                <w:rFonts w:cs="Arial"/>
                <w:color w:val="000000"/>
                <w:sz w:val="20"/>
                <w:szCs w:val="20"/>
              </w:rPr>
            </w:pPr>
            <w:r w:rsidRPr="00ED37CF">
              <w:rPr>
                <w:rFonts w:cs="Arial"/>
                <w:color w:val="000000"/>
                <w:sz w:val="20"/>
                <w:szCs w:val="20"/>
              </w:rPr>
              <w:t>GoN</w:t>
            </w:r>
          </w:p>
        </w:tc>
        <w:tc>
          <w:tcPr>
            <w:tcW w:w="4225" w:type="pct"/>
            <w:tcBorders>
              <w:top w:val="nil"/>
              <w:left w:val="nil"/>
              <w:bottom w:val="nil"/>
              <w:right w:val="nil"/>
            </w:tcBorders>
            <w:shd w:val="clear" w:color="auto" w:fill="auto"/>
            <w:noWrap/>
            <w:vAlign w:val="center"/>
            <w:hideMark/>
          </w:tcPr>
          <w:p w14:paraId="34DA773C" w14:textId="77777777" w:rsidR="0043140D" w:rsidRPr="00ED37CF" w:rsidRDefault="0043140D" w:rsidP="00E261E4">
            <w:pPr>
              <w:contextualSpacing/>
              <w:rPr>
                <w:rFonts w:cs="Arial"/>
                <w:color w:val="000000"/>
                <w:sz w:val="20"/>
                <w:szCs w:val="20"/>
              </w:rPr>
            </w:pPr>
            <w:r w:rsidRPr="00ED37CF">
              <w:rPr>
                <w:rFonts w:cs="Arial"/>
                <w:color w:val="000000"/>
                <w:sz w:val="20"/>
                <w:szCs w:val="20"/>
              </w:rPr>
              <w:t>Government of Nepal</w:t>
            </w:r>
          </w:p>
        </w:tc>
      </w:tr>
      <w:tr w:rsidR="0043140D" w:rsidRPr="00ED37CF" w14:paraId="7D08DD51" w14:textId="77777777" w:rsidTr="00E261E4">
        <w:trPr>
          <w:trHeight w:val="340"/>
          <w:jc w:val="center"/>
        </w:trPr>
        <w:tc>
          <w:tcPr>
            <w:tcW w:w="775" w:type="pct"/>
            <w:tcBorders>
              <w:top w:val="nil"/>
              <w:left w:val="nil"/>
              <w:bottom w:val="nil"/>
              <w:right w:val="nil"/>
            </w:tcBorders>
            <w:shd w:val="clear" w:color="auto" w:fill="auto"/>
            <w:noWrap/>
            <w:vAlign w:val="center"/>
          </w:tcPr>
          <w:p w14:paraId="414CD54D" w14:textId="77777777" w:rsidR="0043140D" w:rsidRPr="00ED37CF" w:rsidRDefault="0043140D" w:rsidP="00E261E4">
            <w:pPr>
              <w:contextualSpacing/>
              <w:rPr>
                <w:rFonts w:cs="Arial"/>
                <w:color w:val="000000"/>
                <w:sz w:val="20"/>
                <w:szCs w:val="20"/>
              </w:rPr>
            </w:pPr>
            <w:r w:rsidRPr="00ED37CF">
              <w:rPr>
                <w:rFonts w:cs="Arial"/>
                <w:color w:val="000000"/>
                <w:sz w:val="20"/>
                <w:szCs w:val="20"/>
              </w:rPr>
              <w:t>IDDRS</w:t>
            </w:r>
          </w:p>
        </w:tc>
        <w:tc>
          <w:tcPr>
            <w:tcW w:w="4225" w:type="pct"/>
            <w:tcBorders>
              <w:top w:val="nil"/>
              <w:left w:val="nil"/>
              <w:bottom w:val="nil"/>
              <w:right w:val="nil"/>
            </w:tcBorders>
            <w:shd w:val="clear" w:color="auto" w:fill="auto"/>
            <w:noWrap/>
            <w:vAlign w:val="center"/>
          </w:tcPr>
          <w:p w14:paraId="3B9FD05A" w14:textId="77777777" w:rsidR="0043140D" w:rsidRPr="00ED37CF" w:rsidRDefault="0043140D" w:rsidP="00E261E4">
            <w:pPr>
              <w:contextualSpacing/>
              <w:rPr>
                <w:rFonts w:cs="Arial"/>
                <w:color w:val="000000"/>
                <w:sz w:val="20"/>
                <w:szCs w:val="20"/>
              </w:rPr>
            </w:pPr>
            <w:r w:rsidRPr="00ED37CF">
              <w:rPr>
                <w:rFonts w:cs="Arial"/>
                <w:sz w:val="20"/>
                <w:szCs w:val="20"/>
              </w:rPr>
              <w:t>Integrated Disarmament, Demobilization and Reintegration Standards</w:t>
            </w:r>
          </w:p>
        </w:tc>
      </w:tr>
      <w:tr w:rsidR="0043140D" w:rsidRPr="00ED37CF" w14:paraId="14B81B36" w14:textId="77777777" w:rsidTr="00E261E4">
        <w:trPr>
          <w:trHeight w:val="340"/>
          <w:jc w:val="center"/>
        </w:trPr>
        <w:tc>
          <w:tcPr>
            <w:tcW w:w="775" w:type="pct"/>
            <w:tcBorders>
              <w:top w:val="nil"/>
              <w:left w:val="nil"/>
              <w:bottom w:val="nil"/>
              <w:right w:val="nil"/>
            </w:tcBorders>
            <w:shd w:val="clear" w:color="auto" w:fill="auto"/>
            <w:noWrap/>
            <w:vAlign w:val="center"/>
          </w:tcPr>
          <w:p w14:paraId="581F5759" w14:textId="77777777" w:rsidR="0043140D" w:rsidRPr="00ED37CF" w:rsidRDefault="0043140D" w:rsidP="00E261E4">
            <w:pPr>
              <w:contextualSpacing/>
              <w:rPr>
                <w:rFonts w:cs="Arial"/>
                <w:color w:val="000000"/>
                <w:sz w:val="20"/>
                <w:szCs w:val="20"/>
              </w:rPr>
            </w:pPr>
            <w:r w:rsidRPr="00ED37CF">
              <w:rPr>
                <w:rFonts w:cs="Arial"/>
                <w:color w:val="000000"/>
                <w:sz w:val="20"/>
                <w:szCs w:val="20"/>
              </w:rPr>
              <w:t>IEDI</w:t>
            </w:r>
          </w:p>
        </w:tc>
        <w:tc>
          <w:tcPr>
            <w:tcW w:w="4225" w:type="pct"/>
            <w:tcBorders>
              <w:top w:val="nil"/>
              <w:left w:val="nil"/>
              <w:bottom w:val="nil"/>
              <w:right w:val="nil"/>
            </w:tcBorders>
            <w:shd w:val="clear" w:color="auto" w:fill="auto"/>
            <w:noWrap/>
            <w:vAlign w:val="center"/>
          </w:tcPr>
          <w:p w14:paraId="4566D2F7" w14:textId="77777777" w:rsidR="0043140D" w:rsidRPr="00ED37CF" w:rsidRDefault="0043140D" w:rsidP="00E261E4">
            <w:pPr>
              <w:contextualSpacing/>
              <w:rPr>
                <w:rFonts w:cs="Arial"/>
                <w:color w:val="000000"/>
                <w:sz w:val="20"/>
                <w:szCs w:val="20"/>
              </w:rPr>
            </w:pPr>
            <w:r w:rsidRPr="00ED37CF">
              <w:rPr>
                <w:rFonts w:cs="Arial"/>
                <w:color w:val="000000"/>
                <w:sz w:val="20"/>
                <w:szCs w:val="20"/>
              </w:rPr>
              <w:t>Industrial Enterprise Development Institute</w:t>
            </w:r>
          </w:p>
        </w:tc>
      </w:tr>
      <w:tr w:rsidR="0043140D" w:rsidRPr="00ED37CF" w14:paraId="71D65FFE"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75F8930C" w14:textId="77777777" w:rsidR="0043140D" w:rsidRPr="00ED37CF" w:rsidRDefault="0043140D" w:rsidP="00E261E4">
            <w:pPr>
              <w:contextualSpacing/>
              <w:rPr>
                <w:rFonts w:cs="Arial"/>
                <w:color w:val="000000"/>
                <w:sz w:val="20"/>
                <w:szCs w:val="20"/>
              </w:rPr>
            </w:pPr>
            <w:r w:rsidRPr="00ED37CF">
              <w:rPr>
                <w:rFonts w:cs="Arial"/>
                <w:color w:val="000000"/>
                <w:sz w:val="20"/>
                <w:szCs w:val="20"/>
              </w:rPr>
              <w:t>ILO</w:t>
            </w:r>
          </w:p>
        </w:tc>
        <w:tc>
          <w:tcPr>
            <w:tcW w:w="4225" w:type="pct"/>
            <w:tcBorders>
              <w:top w:val="nil"/>
              <w:left w:val="nil"/>
              <w:bottom w:val="nil"/>
              <w:right w:val="nil"/>
            </w:tcBorders>
            <w:shd w:val="clear" w:color="auto" w:fill="auto"/>
            <w:noWrap/>
            <w:vAlign w:val="center"/>
            <w:hideMark/>
          </w:tcPr>
          <w:p w14:paraId="5C2E288C" w14:textId="77777777" w:rsidR="0043140D" w:rsidRPr="00ED37CF" w:rsidRDefault="0043140D" w:rsidP="00E261E4">
            <w:pPr>
              <w:contextualSpacing/>
              <w:rPr>
                <w:rFonts w:cs="Arial"/>
                <w:color w:val="000000"/>
                <w:sz w:val="20"/>
                <w:szCs w:val="20"/>
              </w:rPr>
            </w:pPr>
            <w:r w:rsidRPr="00ED37CF">
              <w:rPr>
                <w:rFonts w:cs="Arial"/>
                <w:color w:val="000000"/>
                <w:sz w:val="20"/>
                <w:szCs w:val="20"/>
              </w:rPr>
              <w:t>International Labour Organization</w:t>
            </w:r>
          </w:p>
        </w:tc>
      </w:tr>
      <w:tr w:rsidR="0043140D" w:rsidRPr="00ED37CF" w14:paraId="64756BC2" w14:textId="77777777" w:rsidTr="00E261E4">
        <w:trPr>
          <w:trHeight w:val="340"/>
          <w:jc w:val="center"/>
        </w:trPr>
        <w:tc>
          <w:tcPr>
            <w:tcW w:w="775" w:type="pct"/>
            <w:tcBorders>
              <w:top w:val="nil"/>
              <w:left w:val="nil"/>
              <w:bottom w:val="nil"/>
              <w:right w:val="nil"/>
            </w:tcBorders>
            <w:shd w:val="clear" w:color="auto" w:fill="auto"/>
            <w:noWrap/>
            <w:vAlign w:val="center"/>
          </w:tcPr>
          <w:p w14:paraId="482D8B02" w14:textId="77777777" w:rsidR="0043140D" w:rsidRPr="00ED37CF" w:rsidRDefault="0043140D" w:rsidP="00E261E4">
            <w:pPr>
              <w:contextualSpacing/>
              <w:rPr>
                <w:rFonts w:cs="Arial"/>
                <w:color w:val="000000"/>
                <w:sz w:val="20"/>
                <w:szCs w:val="20"/>
              </w:rPr>
            </w:pPr>
            <w:r w:rsidRPr="00ED37CF">
              <w:rPr>
                <w:rFonts w:cs="Arial"/>
                <w:color w:val="000000"/>
                <w:sz w:val="20"/>
                <w:szCs w:val="20"/>
              </w:rPr>
              <w:t>IPs</w:t>
            </w:r>
          </w:p>
        </w:tc>
        <w:tc>
          <w:tcPr>
            <w:tcW w:w="4225" w:type="pct"/>
            <w:tcBorders>
              <w:top w:val="nil"/>
              <w:left w:val="nil"/>
              <w:bottom w:val="nil"/>
              <w:right w:val="nil"/>
            </w:tcBorders>
            <w:shd w:val="clear" w:color="auto" w:fill="auto"/>
            <w:noWrap/>
            <w:vAlign w:val="center"/>
          </w:tcPr>
          <w:p w14:paraId="163AAFC2" w14:textId="77777777" w:rsidR="0043140D" w:rsidRPr="00ED37CF" w:rsidRDefault="0043140D" w:rsidP="00E261E4">
            <w:pPr>
              <w:contextualSpacing/>
              <w:rPr>
                <w:rFonts w:cs="Arial"/>
                <w:color w:val="000000"/>
                <w:sz w:val="20"/>
                <w:szCs w:val="20"/>
              </w:rPr>
            </w:pPr>
            <w:r w:rsidRPr="00ED37CF">
              <w:rPr>
                <w:rFonts w:cs="Arial"/>
                <w:color w:val="000000"/>
                <w:sz w:val="20"/>
                <w:szCs w:val="20"/>
              </w:rPr>
              <w:t>Implementing Partners</w:t>
            </w:r>
          </w:p>
        </w:tc>
      </w:tr>
      <w:tr w:rsidR="0043140D" w:rsidRPr="00ED37CF" w14:paraId="76E53B42" w14:textId="77777777" w:rsidTr="00E261E4">
        <w:trPr>
          <w:trHeight w:val="340"/>
          <w:jc w:val="center"/>
        </w:trPr>
        <w:tc>
          <w:tcPr>
            <w:tcW w:w="775" w:type="pct"/>
            <w:tcBorders>
              <w:top w:val="nil"/>
              <w:left w:val="nil"/>
              <w:bottom w:val="nil"/>
              <w:right w:val="nil"/>
            </w:tcBorders>
            <w:shd w:val="clear" w:color="auto" w:fill="auto"/>
            <w:noWrap/>
            <w:vAlign w:val="center"/>
          </w:tcPr>
          <w:p w14:paraId="07B3D9DB" w14:textId="77777777" w:rsidR="0043140D" w:rsidRPr="00ED37CF" w:rsidRDefault="0043140D" w:rsidP="00E261E4">
            <w:pPr>
              <w:contextualSpacing/>
              <w:rPr>
                <w:rFonts w:cs="Arial"/>
                <w:color w:val="000000"/>
                <w:sz w:val="20"/>
                <w:szCs w:val="20"/>
                <w:highlight w:val="yellow"/>
              </w:rPr>
            </w:pPr>
            <w:r w:rsidRPr="00ED37CF">
              <w:rPr>
                <w:rFonts w:cs="Arial"/>
                <w:color w:val="000000"/>
                <w:sz w:val="20"/>
                <w:szCs w:val="20"/>
              </w:rPr>
              <w:t>ICWG</w:t>
            </w:r>
          </w:p>
        </w:tc>
        <w:tc>
          <w:tcPr>
            <w:tcW w:w="4225" w:type="pct"/>
            <w:tcBorders>
              <w:top w:val="nil"/>
              <w:left w:val="nil"/>
              <w:bottom w:val="nil"/>
              <w:right w:val="nil"/>
            </w:tcBorders>
            <w:shd w:val="clear" w:color="auto" w:fill="auto"/>
            <w:noWrap/>
            <w:vAlign w:val="center"/>
          </w:tcPr>
          <w:p w14:paraId="19B95B03" w14:textId="77777777" w:rsidR="0043140D" w:rsidRPr="00ED37CF" w:rsidRDefault="0043140D" w:rsidP="00E261E4">
            <w:pPr>
              <w:contextualSpacing/>
              <w:rPr>
                <w:rFonts w:cs="Arial"/>
                <w:color w:val="000000"/>
                <w:sz w:val="20"/>
                <w:szCs w:val="20"/>
              </w:rPr>
            </w:pPr>
            <w:r w:rsidRPr="00ED37CF">
              <w:rPr>
                <w:rFonts w:cs="Arial"/>
                <w:sz w:val="20"/>
                <w:szCs w:val="20"/>
              </w:rPr>
              <w:t>Inter-agency Communication Working Group</w:t>
            </w:r>
          </w:p>
        </w:tc>
      </w:tr>
      <w:tr w:rsidR="0043140D" w:rsidRPr="00ED37CF" w14:paraId="27B11E96" w14:textId="77777777" w:rsidTr="00E261E4">
        <w:trPr>
          <w:trHeight w:val="340"/>
          <w:jc w:val="center"/>
        </w:trPr>
        <w:tc>
          <w:tcPr>
            <w:tcW w:w="775" w:type="pct"/>
            <w:tcBorders>
              <w:top w:val="nil"/>
              <w:left w:val="nil"/>
              <w:bottom w:val="nil"/>
              <w:right w:val="nil"/>
            </w:tcBorders>
            <w:shd w:val="clear" w:color="auto" w:fill="auto"/>
            <w:noWrap/>
            <w:vAlign w:val="center"/>
          </w:tcPr>
          <w:p w14:paraId="531F4385" w14:textId="77777777" w:rsidR="0043140D" w:rsidRPr="00ED37CF" w:rsidRDefault="0043140D" w:rsidP="00E261E4">
            <w:pPr>
              <w:contextualSpacing/>
              <w:rPr>
                <w:rFonts w:cs="Arial"/>
                <w:color w:val="000000"/>
                <w:sz w:val="20"/>
                <w:szCs w:val="20"/>
              </w:rPr>
            </w:pPr>
            <w:r w:rsidRPr="00ED37CF">
              <w:rPr>
                <w:rFonts w:cs="Arial"/>
                <w:color w:val="000000"/>
                <w:sz w:val="20"/>
                <w:szCs w:val="20"/>
              </w:rPr>
              <w:t>JMCC</w:t>
            </w:r>
          </w:p>
        </w:tc>
        <w:tc>
          <w:tcPr>
            <w:tcW w:w="4225" w:type="pct"/>
            <w:tcBorders>
              <w:top w:val="nil"/>
              <w:left w:val="nil"/>
              <w:bottom w:val="nil"/>
              <w:right w:val="nil"/>
            </w:tcBorders>
            <w:shd w:val="clear" w:color="auto" w:fill="auto"/>
            <w:noWrap/>
            <w:vAlign w:val="center"/>
          </w:tcPr>
          <w:p w14:paraId="716E188F" w14:textId="77777777" w:rsidR="0043140D" w:rsidRPr="00ED37CF" w:rsidRDefault="0043140D" w:rsidP="00E261E4">
            <w:pPr>
              <w:contextualSpacing/>
              <w:rPr>
                <w:rFonts w:cs="Arial"/>
                <w:color w:val="000000"/>
                <w:sz w:val="20"/>
                <w:szCs w:val="20"/>
              </w:rPr>
            </w:pPr>
            <w:r w:rsidRPr="00ED37CF">
              <w:rPr>
                <w:rFonts w:cs="Arial"/>
                <w:color w:val="000000"/>
                <w:sz w:val="20"/>
                <w:szCs w:val="20"/>
              </w:rPr>
              <w:t>Joint Management Coordination Committee</w:t>
            </w:r>
          </w:p>
        </w:tc>
      </w:tr>
      <w:tr w:rsidR="0043140D" w:rsidRPr="00ED37CF" w14:paraId="5807A1AA" w14:textId="77777777" w:rsidTr="00E261E4">
        <w:trPr>
          <w:trHeight w:val="340"/>
          <w:jc w:val="center"/>
        </w:trPr>
        <w:tc>
          <w:tcPr>
            <w:tcW w:w="775" w:type="pct"/>
            <w:tcBorders>
              <w:top w:val="nil"/>
              <w:left w:val="nil"/>
              <w:bottom w:val="nil"/>
              <w:right w:val="nil"/>
            </w:tcBorders>
            <w:shd w:val="clear" w:color="auto" w:fill="auto"/>
            <w:noWrap/>
            <w:vAlign w:val="center"/>
          </w:tcPr>
          <w:p w14:paraId="50EF250D" w14:textId="77777777" w:rsidR="0043140D" w:rsidRPr="00ED37CF" w:rsidRDefault="0043140D" w:rsidP="00E261E4">
            <w:pPr>
              <w:contextualSpacing/>
              <w:rPr>
                <w:rFonts w:cs="Arial"/>
                <w:color w:val="000000"/>
                <w:sz w:val="20"/>
                <w:szCs w:val="20"/>
              </w:rPr>
            </w:pPr>
            <w:r w:rsidRPr="00ED37CF">
              <w:rPr>
                <w:rFonts w:cs="Arial"/>
                <w:color w:val="000000"/>
                <w:sz w:val="20"/>
                <w:szCs w:val="20"/>
              </w:rPr>
              <w:t>LTAs</w:t>
            </w:r>
          </w:p>
        </w:tc>
        <w:tc>
          <w:tcPr>
            <w:tcW w:w="4225" w:type="pct"/>
            <w:tcBorders>
              <w:top w:val="nil"/>
              <w:left w:val="nil"/>
              <w:bottom w:val="nil"/>
              <w:right w:val="nil"/>
            </w:tcBorders>
            <w:shd w:val="clear" w:color="auto" w:fill="auto"/>
            <w:noWrap/>
            <w:vAlign w:val="center"/>
          </w:tcPr>
          <w:p w14:paraId="016D4549" w14:textId="77777777" w:rsidR="0043140D" w:rsidRPr="00ED37CF" w:rsidRDefault="0043140D" w:rsidP="00E261E4">
            <w:pPr>
              <w:contextualSpacing/>
              <w:rPr>
                <w:rFonts w:cs="Arial"/>
                <w:color w:val="000000"/>
                <w:sz w:val="20"/>
                <w:szCs w:val="20"/>
              </w:rPr>
            </w:pPr>
            <w:r w:rsidRPr="00ED37CF">
              <w:rPr>
                <w:rFonts w:cs="Arial"/>
                <w:color w:val="000000"/>
                <w:sz w:val="20"/>
                <w:szCs w:val="20"/>
              </w:rPr>
              <w:t>Long-Term Agreements</w:t>
            </w:r>
          </w:p>
        </w:tc>
      </w:tr>
      <w:tr w:rsidR="0043140D" w:rsidRPr="00ED37CF" w14:paraId="64B6F47A"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37D1CDAD" w14:textId="77777777" w:rsidR="0043140D" w:rsidRPr="00ED37CF" w:rsidRDefault="0043140D" w:rsidP="00E261E4">
            <w:pPr>
              <w:contextualSpacing/>
              <w:rPr>
                <w:rFonts w:cs="Arial"/>
                <w:color w:val="000000"/>
                <w:sz w:val="20"/>
                <w:szCs w:val="20"/>
              </w:rPr>
            </w:pPr>
            <w:r w:rsidRPr="00ED37CF">
              <w:rPr>
                <w:rFonts w:cs="Arial"/>
                <w:color w:val="000000"/>
                <w:sz w:val="20"/>
                <w:szCs w:val="20"/>
              </w:rPr>
              <w:t>ME</w:t>
            </w:r>
          </w:p>
        </w:tc>
        <w:tc>
          <w:tcPr>
            <w:tcW w:w="4225" w:type="pct"/>
            <w:tcBorders>
              <w:top w:val="nil"/>
              <w:left w:val="nil"/>
              <w:bottom w:val="nil"/>
              <w:right w:val="nil"/>
            </w:tcBorders>
            <w:shd w:val="clear" w:color="auto" w:fill="auto"/>
            <w:noWrap/>
            <w:vAlign w:val="center"/>
            <w:hideMark/>
          </w:tcPr>
          <w:p w14:paraId="06CC3FC4" w14:textId="77777777" w:rsidR="0043140D" w:rsidRPr="00ED37CF" w:rsidRDefault="0043140D" w:rsidP="00E261E4">
            <w:pPr>
              <w:contextualSpacing/>
              <w:rPr>
                <w:rFonts w:cs="Arial"/>
                <w:color w:val="000000"/>
                <w:sz w:val="20"/>
                <w:szCs w:val="20"/>
              </w:rPr>
            </w:pPr>
            <w:r w:rsidRPr="00ED37CF">
              <w:rPr>
                <w:rFonts w:cs="Arial"/>
                <w:color w:val="000000"/>
                <w:sz w:val="20"/>
                <w:szCs w:val="20"/>
              </w:rPr>
              <w:t>Micro-Enterprise</w:t>
            </w:r>
          </w:p>
        </w:tc>
      </w:tr>
      <w:tr w:rsidR="0043140D" w:rsidRPr="00ED37CF" w14:paraId="2F54F4C1"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59CDE7F3" w14:textId="77777777" w:rsidR="0043140D" w:rsidRPr="00ED37CF" w:rsidRDefault="0043140D" w:rsidP="00E261E4">
            <w:pPr>
              <w:contextualSpacing/>
              <w:rPr>
                <w:rFonts w:cs="Arial"/>
                <w:color w:val="000000"/>
                <w:sz w:val="20"/>
                <w:szCs w:val="20"/>
              </w:rPr>
            </w:pPr>
            <w:r w:rsidRPr="00ED37CF">
              <w:rPr>
                <w:rFonts w:cs="Arial"/>
                <w:color w:val="000000"/>
                <w:sz w:val="20"/>
                <w:szCs w:val="20"/>
              </w:rPr>
              <w:t>MEDEP</w:t>
            </w:r>
          </w:p>
        </w:tc>
        <w:tc>
          <w:tcPr>
            <w:tcW w:w="4225" w:type="pct"/>
            <w:tcBorders>
              <w:top w:val="nil"/>
              <w:left w:val="nil"/>
              <w:bottom w:val="nil"/>
              <w:right w:val="nil"/>
            </w:tcBorders>
            <w:shd w:val="clear" w:color="auto" w:fill="auto"/>
            <w:noWrap/>
            <w:vAlign w:val="center"/>
            <w:hideMark/>
          </w:tcPr>
          <w:p w14:paraId="4B484A3D" w14:textId="77777777" w:rsidR="0043140D" w:rsidRPr="00ED37CF" w:rsidRDefault="0043140D" w:rsidP="00E261E4">
            <w:pPr>
              <w:contextualSpacing/>
              <w:rPr>
                <w:rFonts w:cs="Arial"/>
                <w:color w:val="000000"/>
                <w:sz w:val="20"/>
                <w:szCs w:val="20"/>
              </w:rPr>
            </w:pPr>
            <w:r w:rsidRPr="00ED37CF">
              <w:rPr>
                <w:rFonts w:cs="Arial"/>
                <w:color w:val="000000"/>
                <w:sz w:val="20"/>
                <w:szCs w:val="20"/>
              </w:rPr>
              <w:t>Micro-Enterprise Development Programme</w:t>
            </w:r>
          </w:p>
        </w:tc>
      </w:tr>
      <w:tr w:rsidR="0043140D" w:rsidRPr="00ED37CF" w14:paraId="436863C4"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93E6DD9" w14:textId="77777777" w:rsidR="0043140D" w:rsidRPr="00ED37CF" w:rsidRDefault="0043140D" w:rsidP="00E261E4">
            <w:pPr>
              <w:contextualSpacing/>
              <w:rPr>
                <w:rFonts w:cs="Arial"/>
                <w:color w:val="000000"/>
                <w:sz w:val="20"/>
                <w:szCs w:val="20"/>
              </w:rPr>
            </w:pPr>
            <w:r w:rsidRPr="00ED37CF">
              <w:rPr>
                <w:rFonts w:cs="Arial"/>
                <w:color w:val="000000"/>
                <w:sz w:val="20"/>
                <w:szCs w:val="20"/>
              </w:rPr>
              <w:t>MoPR</w:t>
            </w:r>
          </w:p>
        </w:tc>
        <w:tc>
          <w:tcPr>
            <w:tcW w:w="4225" w:type="pct"/>
            <w:tcBorders>
              <w:top w:val="nil"/>
              <w:left w:val="nil"/>
              <w:bottom w:val="nil"/>
              <w:right w:val="nil"/>
            </w:tcBorders>
            <w:shd w:val="clear" w:color="auto" w:fill="auto"/>
            <w:noWrap/>
            <w:vAlign w:val="center"/>
            <w:hideMark/>
          </w:tcPr>
          <w:p w14:paraId="1B090097" w14:textId="77777777" w:rsidR="0043140D" w:rsidRPr="00ED37CF" w:rsidRDefault="0043140D" w:rsidP="00E261E4">
            <w:pPr>
              <w:contextualSpacing/>
              <w:rPr>
                <w:rFonts w:cs="Arial"/>
                <w:color w:val="000000"/>
                <w:sz w:val="20"/>
                <w:szCs w:val="20"/>
              </w:rPr>
            </w:pPr>
            <w:r w:rsidRPr="00ED37CF">
              <w:rPr>
                <w:rFonts w:cs="Arial"/>
                <w:color w:val="000000"/>
                <w:sz w:val="20"/>
                <w:szCs w:val="20"/>
              </w:rPr>
              <w:t>Ministry of Peace and Reconstruction</w:t>
            </w:r>
          </w:p>
        </w:tc>
      </w:tr>
      <w:tr w:rsidR="0043140D" w:rsidRPr="00ED37CF" w14:paraId="4E90D308" w14:textId="77777777" w:rsidTr="00E261E4">
        <w:trPr>
          <w:trHeight w:val="340"/>
          <w:jc w:val="center"/>
        </w:trPr>
        <w:tc>
          <w:tcPr>
            <w:tcW w:w="775" w:type="pct"/>
            <w:tcBorders>
              <w:top w:val="nil"/>
              <w:left w:val="nil"/>
              <w:bottom w:val="nil"/>
              <w:right w:val="nil"/>
            </w:tcBorders>
            <w:shd w:val="clear" w:color="auto" w:fill="auto"/>
            <w:noWrap/>
            <w:vAlign w:val="center"/>
          </w:tcPr>
          <w:p w14:paraId="16C837EA" w14:textId="77777777" w:rsidR="0043140D" w:rsidRPr="00ED37CF" w:rsidRDefault="0043140D" w:rsidP="00E261E4">
            <w:pPr>
              <w:contextualSpacing/>
              <w:rPr>
                <w:rFonts w:cs="Arial"/>
                <w:color w:val="000000"/>
                <w:sz w:val="20"/>
                <w:szCs w:val="20"/>
              </w:rPr>
            </w:pPr>
            <w:r w:rsidRPr="00ED37CF">
              <w:rPr>
                <w:rFonts w:cs="Arial"/>
                <w:color w:val="000000"/>
                <w:sz w:val="20"/>
                <w:szCs w:val="20"/>
              </w:rPr>
              <w:t>MoU</w:t>
            </w:r>
          </w:p>
        </w:tc>
        <w:tc>
          <w:tcPr>
            <w:tcW w:w="4225" w:type="pct"/>
            <w:tcBorders>
              <w:top w:val="nil"/>
              <w:left w:val="nil"/>
              <w:bottom w:val="nil"/>
              <w:right w:val="nil"/>
            </w:tcBorders>
            <w:shd w:val="clear" w:color="auto" w:fill="auto"/>
            <w:noWrap/>
            <w:vAlign w:val="center"/>
          </w:tcPr>
          <w:p w14:paraId="1A15BA17" w14:textId="77777777" w:rsidR="0043140D" w:rsidRPr="00ED37CF" w:rsidRDefault="0043140D" w:rsidP="00E261E4">
            <w:pPr>
              <w:contextualSpacing/>
              <w:rPr>
                <w:rFonts w:cs="Arial"/>
                <w:color w:val="000000"/>
                <w:sz w:val="20"/>
                <w:szCs w:val="20"/>
              </w:rPr>
            </w:pPr>
            <w:r w:rsidRPr="00ED37CF">
              <w:rPr>
                <w:rFonts w:cs="Arial"/>
                <w:color w:val="000000"/>
                <w:sz w:val="20"/>
                <w:szCs w:val="20"/>
              </w:rPr>
              <w:t>Memorandum of Understanding</w:t>
            </w:r>
          </w:p>
        </w:tc>
      </w:tr>
      <w:tr w:rsidR="0043140D" w:rsidRPr="00ED37CF" w14:paraId="1C63F45E" w14:textId="77777777" w:rsidTr="00E261E4">
        <w:trPr>
          <w:trHeight w:val="340"/>
          <w:jc w:val="center"/>
        </w:trPr>
        <w:tc>
          <w:tcPr>
            <w:tcW w:w="775" w:type="pct"/>
            <w:tcBorders>
              <w:top w:val="nil"/>
              <w:left w:val="nil"/>
              <w:bottom w:val="nil"/>
              <w:right w:val="nil"/>
            </w:tcBorders>
            <w:shd w:val="clear" w:color="auto" w:fill="auto"/>
            <w:noWrap/>
            <w:vAlign w:val="center"/>
          </w:tcPr>
          <w:p w14:paraId="24FCA91C" w14:textId="77777777" w:rsidR="0043140D" w:rsidRPr="00ED37CF" w:rsidRDefault="0043140D" w:rsidP="00E261E4">
            <w:pPr>
              <w:contextualSpacing/>
              <w:rPr>
                <w:rFonts w:cs="Arial"/>
                <w:color w:val="000000"/>
                <w:sz w:val="20"/>
                <w:szCs w:val="20"/>
              </w:rPr>
            </w:pPr>
            <w:r w:rsidRPr="00ED37CF">
              <w:rPr>
                <w:rFonts w:cs="Arial"/>
                <w:color w:val="000000"/>
                <w:sz w:val="20"/>
                <w:szCs w:val="20"/>
              </w:rPr>
              <w:t>M&amp;E</w:t>
            </w:r>
          </w:p>
        </w:tc>
        <w:tc>
          <w:tcPr>
            <w:tcW w:w="4225" w:type="pct"/>
            <w:tcBorders>
              <w:top w:val="nil"/>
              <w:left w:val="nil"/>
              <w:bottom w:val="nil"/>
              <w:right w:val="nil"/>
            </w:tcBorders>
            <w:shd w:val="clear" w:color="auto" w:fill="auto"/>
            <w:noWrap/>
            <w:vAlign w:val="center"/>
          </w:tcPr>
          <w:p w14:paraId="0BF04A6D" w14:textId="77777777" w:rsidR="0043140D" w:rsidRPr="00ED37CF" w:rsidRDefault="0043140D" w:rsidP="00E261E4">
            <w:pPr>
              <w:contextualSpacing/>
              <w:rPr>
                <w:rFonts w:cs="Arial"/>
                <w:color w:val="000000"/>
                <w:sz w:val="20"/>
                <w:szCs w:val="20"/>
              </w:rPr>
            </w:pPr>
            <w:r w:rsidRPr="00ED37CF">
              <w:rPr>
                <w:rFonts w:cs="Arial"/>
                <w:color w:val="000000"/>
                <w:sz w:val="20"/>
                <w:szCs w:val="20"/>
              </w:rPr>
              <w:t xml:space="preserve">Monitoring and Evaluation </w:t>
            </w:r>
          </w:p>
        </w:tc>
      </w:tr>
      <w:tr w:rsidR="0043140D" w:rsidRPr="00ED37CF" w14:paraId="3167841E" w14:textId="77777777" w:rsidTr="00E261E4">
        <w:trPr>
          <w:trHeight w:val="340"/>
          <w:jc w:val="center"/>
        </w:trPr>
        <w:tc>
          <w:tcPr>
            <w:tcW w:w="775" w:type="pct"/>
            <w:tcBorders>
              <w:top w:val="nil"/>
              <w:left w:val="nil"/>
              <w:bottom w:val="nil"/>
              <w:right w:val="nil"/>
            </w:tcBorders>
            <w:shd w:val="clear" w:color="auto" w:fill="auto"/>
            <w:noWrap/>
            <w:vAlign w:val="center"/>
          </w:tcPr>
          <w:p w14:paraId="41A2798A" w14:textId="77777777" w:rsidR="0043140D" w:rsidRPr="00ED37CF" w:rsidRDefault="0043140D" w:rsidP="00E261E4">
            <w:pPr>
              <w:contextualSpacing/>
              <w:rPr>
                <w:rFonts w:cs="Arial"/>
                <w:color w:val="000000"/>
                <w:sz w:val="20"/>
                <w:szCs w:val="20"/>
              </w:rPr>
            </w:pPr>
            <w:r w:rsidRPr="00ED37CF">
              <w:rPr>
                <w:rFonts w:cs="Arial"/>
                <w:color w:val="000000"/>
                <w:sz w:val="20"/>
                <w:szCs w:val="20"/>
              </w:rPr>
              <w:t>NA</w:t>
            </w:r>
          </w:p>
        </w:tc>
        <w:tc>
          <w:tcPr>
            <w:tcW w:w="4225" w:type="pct"/>
            <w:tcBorders>
              <w:top w:val="nil"/>
              <w:left w:val="nil"/>
              <w:bottom w:val="nil"/>
              <w:right w:val="nil"/>
            </w:tcBorders>
            <w:shd w:val="clear" w:color="auto" w:fill="auto"/>
            <w:noWrap/>
            <w:vAlign w:val="center"/>
          </w:tcPr>
          <w:p w14:paraId="111D703D" w14:textId="77777777" w:rsidR="0043140D" w:rsidRPr="00ED37CF" w:rsidRDefault="0043140D" w:rsidP="00E261E4">
            <w:pPr>
              <w:contextualSpacing/>
              <w:rPr>
                <w:rFonts w:cs="Arial"/>
                <w:color w:val="000000"/>
                <w:sz w:val="20"/>
                <w:szCs w:val="20"/>
              </w:rPr>
            </w:pPr>
            <w:r w:rsidRPr="00ED37CF">
              <w:rPr>
                <w:rFonts w:cs="Arial"/>
                <w:color w:val="000000"/>
                <w:sz w:val="20"/>
                <w:szCs w:val="20"/>
              </w:rPr>
              <w:t>Nepal Army</w:t>
            </w:r>
          </w:p>
        </w:tc>
      </w:tr>
      <w:tr w:rsidR="0043140D" w:rsidRPr="00ED37CF" w14:paraId="03808068" w14:textId="77777777" w:rsidTr="00E261E4">
        <w:trPr>
          <w:trHeight w:val="340"/>
          <w:jc w:val="center"/>
        </w:trPr>
        <w:tc>
          <w:tcPr>
            <w:tcW w:w="775" w:type="pct"/>
            <w:tcBorders>
              <w:top w:val="nil"/>
              <w:left w:val="nil"/>
              <w:bottom w:val="nil"/>
              <w:right w:val="nil"/>
            </w:tcBorders>
            <w:shd w:val="clear" w:color="auto" w:fill="auto"/>
            <w:noWrap/>
            <w:vAlign w:val="center"/>
          </w:tcPr>
          <w:p w14:paraId="6B442FF6" w14:textId="77777777" w:rsidR="0043140D" w:rsidRPr="00ED37CF" w:rsidRDefault="0043140D" w:rsidP="00E261E4">
            <w:pPr>
              <w:contextualSpacing/>
              <w:rPr>
                <w:rFonts w:cs="Arial"/>
                <w:color w:val="000000"/>
                <w:sz w:val="20"/>
                <w:szCs w:val="20"/>
              </w:rPr>
            </w:pPr>
            <w:r w:rsidRPr="00ED37CF">
              <w:rPr>
                <w:rFonts w:cs="Arial"/>
                <w:color w:val="000000"/>
                <w:sz w:val="20"/>
                <w:szCs w:val="20"/>
              </w:rPr>
              <w:t>NGOs</w:t>
            </w:r>
          </w:p>
        </w:tc>
        <w:tc>
          <w:tcPr>
            <w:tcW w:w="4225" w:type="pct"/>
            <w:tcBorders>
              <w:top w:val="nil"/>
              <w:left w:val="nil"/>
              <w:bottom w:val="nil"/>
              <w:right w:val="nil"/>
            </w:tcBorders>
            <w:shd w:val="clear" w:color="auto" w:fill="auto"/>
            <w:noWrap/>
            <w:vAlign w:val="center"/>
          </w:tcPr>
          <w:p w14:paraId="31F0F1FF" w14:textId="77777777" w:rsidR="0043140D" w:rsidRPr="00ED37CF" w:rsidRDefault="0043140D" w:rsidP="00E261E4">
            <w:pPr>
              <w:contextualSpacing/>
              <w:rPr>
                <w:rFonts w:cs="Arial"/>
                <w:color w:val="000000"/>
                <w:sz w:val="20"/>
                <w:szCs w:val="20"/>
              </w:rPr>
            </w:pPr>
            <w:r w:rsidRPr="00ED37CF">
              <w:rPr>
                <w:rFonts w:cs="Arial"/>
                <w:color w:val="000000"/>
                <w:sz w:val="20"/>
                <w:szCs w:val="20"/>
              </w:rPr>
              <w:t>Non-Government Organizations</w:t>
            </w:r>
          </w:p>
        </w:tc>
      </w:tr>
      <w:tr w:rsidR="0043140D" w:rsidRPr="00ED37CF" w14:paraId="669C1062" w14:textId="77777777" w:rsidTr="00E261E4">
        <w:trPr>
          <w:trHeight w:val="340"/>
          <w:jc w:val="center"/>
        </w:trPr>
        <w:tc>
          <w:tcPr>
            <w:tcW w:w="775" w:type="pct"/>
            <w:tcBorders>
              <w:top w:val="nil"/>
              <w:left w:val="nil"/>
              <w:bottom w:val="nil"/>
              <w:right w:val="nil"/>
            </w:tcBorders>
            <w:shd w:val="clear" w:color="auto" w:fill="auto"/>
            <w:noWrap/>
            <w:vAlign w:val="center"/>
          </w:tcPr>
          <w:p w14:paraId="73CAD52B" w14:textId="77777777" w:rsidR="0043140D" w:rsidRPr="00ED37CF" w:rsidRDefault="0043140D" w:rsidP="00E261E4">
            <w:pPr>
              <w:contextualSpacing/>
              <w:rPr>
                <w:rFonts w:cs="Arial"/>
                <w:color w:val="000000"/>
                <w:sz w:val="20"/>
                <w:szCs w:val="20"/>
              </w:rPr>
            </w:pPr>
            <w:r w:rsidRPr="00ED37CF">
              <w:rPr>
                <w:rFonts w:cs="Arial"/>
                <w:color w:val="000000"/>
                <w:sz w:val="20"/>
                <w:szCs w:val="20"/>
              </w:rPr>
              <w:t>OPRSG</w:t>
            </w:r>
          </w:p>
        </w:tc>
        <w:tc>
          <w:tcPr>
            <w:tcW w:w="4225" w:type="pct"/>
            <w:tcBorders>
              <w:top w:val="nil"/>
              <w:left w:val="nil"/>
              <w:bottom w:val="nil"/>
              <w:right w:val="nil"/>
            </w:tcBorders>
            <w:shd w:val="clear" w:color="auto" w:fill="auto"/>
            <w:noWrap/>
            <w:vAlign w:val="center"/>
          </w:tcPr>
          <w:p w14:paraId="4760C616" w14:textId="77777777" w:rsidR="0043140D" w:rsidRPr="00ED37CF" w:rsidRDefault="0043140D" w:rsidP="00E261E4">
            <w:pPr>
              <w:contextualSpacing/>
              <w:rPr>
                <w:rFonts w:cs="Arial"/>
                <w:color w:val="000000"/>
                <w:sz w:val="20"/>
                <w:szCs w:val="20"/>
              </w:rPr>
            </w:pPr>
            <w:r w:rsidRPr="00ED37CF">
              <w:rPr>
                <w:rFonts w:cs="Arial"/>
                <w:color w:val="000000"/>
                <w:sz w:val="20"/>
                <w:szCs w:val="20"/>
              </w:rPr>
              <w:t>Office of Personal Representative of the Secretary-General</w:t>
            </w:r>
          </w:p>
        </w:tc>
      </w:tr>
      <w:tr w:rsidR="0043140D" w:rsidRPr="00ED37CF" w14:paraId="03909D70" w14:textId="77777777" w:rsidTr="00E261E4">
        <w:trPr>
          <w:trHeight w:val="340"/>
          <w:jc w:val="center"/>
        </w:trPr>
        <w:tc>
          <w:tcPr>
            <w:tcW w:w="775" w:type="pct"/>
            <w:tcBorders>
              <w:top w:val="nil"/>
              <w:left w:val="nil"/>
              <w:bottom w:val="nil"/>
              <w:right w:val="nil"/>
            </w:tcBorders>
            <w:shd w:val="clear" w:color="auto" w:fill="auto"/>
            <w:noWrap/>
            <w:vAlign w:val="center"/>
          </w:tcPr>
          <w:p w14:paraId="0C2D6A01" w14:textId="77777777" w:rsidR="0043140D" w:rsidRPr="00ED37CF" w:rsidRDefault="0043140D" w:rsidP="00E261E4">
            <w:pPr>
              <w:contextualSpacing/>
              <w:rPr>
                <w:rFonts w:cs="Arial"/>
                <w:color w:val="000000"/>
                <w:sz w:val="20"/>
                <w:szCs w:val="20"/>
              </w:rPr>
            </w:pPr>
            <w:r w:rsidRPr="00ED37CF">
              <w:rPr>
                <w:rFonts w:cs="Arial"/>
                <w:color w:val="000000"/>
                <w:sz w:val="20"/>
                <w:szCs w:val="20"/>
              </w:rPr>
              <w:t>PSPs</w:t>
            </w:r>
          </w:p>
        </w:tc>
        <w:tc>
          <w:tcPr>
            <w:tcW w:w="4225" w:type="pct"/>
            <w:tcBorders>
              <w:top w:val="nil"/>
              <w:left w:val="nil"/>
              <w:bottom w:val="nil"/>
              <w:right w:val="nil"/>
            </w:tcBorders>
            <w:shd w:val="clear" w:color="auto" w:fill="auto"/>
            <w:noWrap/>
            <w:vAlign w:val="center"/>
          </w:tcPr>
          <w:p w14:paraId="45485924" w14:textId="77777777" w:rsidR="0043140D" w:rsidRPr="00ED37CF" w:rsidRDefault="0043140D" w:rsidP="00E261E4">
            <w:pPr>
              <w:contextualSpacing/>
              <w:rPr>
                <w:rFonts w:cs="Arial"/>
                <w:color w:val="000000"/>
                <w:sz w:val="20"/>
                <w:szCs w:val="20"/>
              </w:rPr>
            </w:pPr>
            <w:r w:rsidRPr="00ED37CF">
              <w:rPr>
                <w:rFonts w:cs="Arial"/>
                <w:color w:val="000000"/>
                <w:sz w:val="20"/>
                <w:szCs w:val="20"/>
              </w:rPr>
              <w:t>Principal Service Providers</w:t>
            </w:r>
          </w:p>
        </w:tc>
      </w:tr>
      <w:tr w:rsidR="0043140D" w:rsidRPr="00ED37CF" w14:paraId="6D1C80F0" w14:textId="77777777" w:rsidTr="00E261E4">
        <w:trPr>
          <w:trHeight w:val="340"/>
          <w:jc w:val="center"/>
        </w:trPr>
        <w:tc>
          <w:tcPr>
            <w:tcW w:w="775" w:type="pct"/>
            <w:tcBorders>
              <w:top w:val="nil"/>
              <w:left w:val="nil"/>
              <w:bottom w:val="nil"/>
              <w:right w:val="nil"/>
            </w:tcBorders>
            <w:shd w:val="clear" w:color="auto" w:fill="auto"/>
            <w:noWrap/>
            <w:vAlign w:val="center"/>
          </w:tcPr>
          <w:p w14:paraId="5DF47F9E" w14:textId="77777777" w:rsidR="0043140D" w:rsidRPr="00ED37CF" w:rsidRDefault="0043140D" w:rsidP="00E261E4">
            <w:pPr>
              <w:contextualSpacing/>
              <w:rPr>
                <w:rFonts w:cs="Arial"/>
                <w:color w:val="000000"/>
                <w:sz w:val="20"/>
                <w:szCs w:val="20"/>
              </w:rPr>
            </w:pPr>
            <w:r w:rsidRPr="00ED37CF">
              <w:rPr>
                <w:rFonts w:cs="Arial"/>
                <w:color w:val="000000"/>
                <w:sz w:val="20"/>
                <w:szCs w:val="20"/>
              </w:rPr>
              <w:t>PLA</w:t>
            </w:r>
          </w:p>
        </w:tc>
        <w:tc>
          <w:tcPr>
            <w:tcW w:w="4225" w:type="pct"/>
            <w:tcBorders>
              <w:top w:val="nil"/>
              <w:left w:val="nil"/>
              <w:bottom w:val="nil"/>
              <w:right w:val="nil"/>
            </w:tcBorders>
            <w:shd w:val="clear" w:color="auto" w:fill="auto"/>
            <w:noWrap/>
            <w:vAlign w:val="center"/>
          </w:tcPr>
          <w:p w14:paraId="07D0B781" w14:textId="77777777" w:rsidR="0043140D" w:rsidRPr="00ED37CF" w:rsidRDefault="0043140D" w:rsidP="00E261E4">
            <w:pPr>
              <w:contextualSpacing/>
              <w:rPr>
                <w:rFonts w:cs="Arial"/>
                <w:color w:val="000000"/>
                <w:sz w:val="20"/>
                <w:szCs w:val="20"/>
              </w:rPr>
            </w:pPr>
            <w:r w:rsidRPr="00ED37CF">
              <w:rPr>
                <w:rFonts w:cs="Arial"/>
                <w:color w:val="000000"/>
                <w:sz w:val="20"/>
                <w:szCs w:val="20"/>
              </w:rPr>
              <w:t>Maoist People’s Liberation Army</w:t>
            </w:r>
          </w:p>
        </w:tc>
      </w:tr>
      <w:tr w:rsidR="0043140D" w:rsidRPr="00ED37CF" w14:paraId="29887DA1" w14:textId="77777777" w:rsidTr="00E261E4">
        <w:trPr>
          <w:trHeight w:val="340"/>
          <w:jc w:val="center"/>
        </w:trPr>
        <w:tc>
          <w:tcPr>
            <w:tcW w:w="775" w:type="pct"/>
            <w:tcBorders>
              <w:top w:val="nil"/>
              <w:left w:val="nil"/>
              <w:bottom w:val="nil"/>
              <w:right w:val="nil"/>
            </w:tcBorders>
            <w:shd w:val="clear" w:color="auto" w:fill="auto"/>
            <w:noWrap/>
            <w:vAlign w:val="center"/>
          </w:tcPr>
          <w:p w14:paraId="798B766A" w14:textId="77777777" w:rsidR="0043140D" w:rsidRPr="00ED37CF" w:rsidRDefault="0043140D" w:rsidP="00E261E4">
            <w:pPr>
              <w:contextualSpacing/>
              <w:rPr>
                <w:rFonts w:cs="Arial"/>
                <w:color w:val="000000"/>
                <w:sz w:val="20"/>
                <w:szCs w:val="20"/>
              </w:rPr>
            </w:pPr>
            <w:r w:rsidRPr="00ED37CF">
              <w:rPr>
                <w:rFonts w:cs="Arial"/>
                <w:color w:val="000000"/>
                <w:sz w:val="20"/>
                <w:szCs w:val="20"/>
              </w:rPr>
              <w:t>RfQ</w:t>
            </w:r>
          </w:p>
        </w:tc>
        <w:tc>
          <w:tcPr>
            <w:tcW w:w="4225" w:type="pct"/>
            <w:tcBorders>
              <w:top w:val="nil"/>
              <w:left w:val="nil"/>
              <w:bottom w:val="nil"/>
              <w:right w:val="nil"/>
            </w:tcBorders>
            <w:shd w:val="clear" w:color="auto" w:fill="auto"/>
            <w:noWrap/>
            <w:vAlign w:val="center"/>
          </w:tcPr>
          <w:p w14:paraId="764AAAD4" w14:textId="77777777" w:rsidR="0043140D" w:rsidRPr="00ED37CF" w:rsidRDefault="0043140D" w:rsidP="00E261E4">
            <w:pPr>
              <w:contextualSpacing/>
              <w:rPr>
                <w:rFonts w:cs="Arial"/>
                <w:color w:val="000000"/>
                <w:sz w:val="20"/>
                <w:szCs w:val="20"/>
              </w:rPr>
            </w:pPr>
            <w:r w:rsidRPr="00ED37CF">
              <w:rPr>
                <w:rFonts w:cs="Arial"/>
                <w:color w:val="000000"/>
                <w:sz w:val="20"/>
                <w:szCs w:val="20"/>
              </w:rPr>
              <w:t>Request for Quotations</w:t>
            </w:r>
          </w:p>
        </w:tc>
      </w:tr>
      <w:tr w:rsidR="0043140D" w:rsidRPr="00ED37CF" w14:paraId="2AC1EFC8" w14:textId="77777777" w:rsidTr="00E261E4">
        <w:trPr>
          <w:trHeight w:val="340"/>
          <w:jc w:val="center"/>
        </w:trPr>
        <w:tc>
          <w:tcPr>
            <w:tcW w:w="775" w:type="pct"/>
            <w:tcBorders>
              <w:top w:val="nil"/>
              <w:left w:val="nil"/>
              <w:bottom w:val="nil"/>
              <w:right w:val="nil"/>
            </w:tcBorders>
            <w:shd w:val="clear" w:color="auto" w:fill="auto"/>
            <w:noWrap/>
            <w:vAlign w:val="center"/>
          </w:tcPr>
          <w:p w14:paraId="744851A4" w14:textId="77777777" w:rsidR="0043140D" w:rsidRPr="00ED37CF" w:rsidRDefault="0043140D" w:rsidP="00E261E4">
            <w:pPr>
              <w:contextualSpacing/>
              <w:rPr>
                <w:rFonts w:cs="Arial"/>
                <w:color w:val="000000"/>
                <w:sz w:val="20"/>
                <w:szCs w:val="20"/>
              </w:rPr>
            </w:pPr>
            <w:r w:rsidRPr="00ED37CF">
              <w:rPr>
                <w:rFonts w:cs="Arial"/>
                <w:color w:val="000000"/>
                <w:sz w:val="20"/>
                <w:szCs w:val="20"/>
              </w:rPr>
              <w:t>RHCO</w:t>
            </w:r>
          </w:p>
        </w:tc>
        <w:tc>
          <w:tcPr>
            <w:tcW w:w="4225" w:type="pct"/>
            <w:tcBorders>
              <w:top w:val="nil"/>
              <w:left w:val="nil"/>
              <w:bottom w:val="nil"/>
              <w:right w:val="nil"/>
            </w:tcBorders>
            <w:shd w:val="clear" w:color="auto" w:fill="auto"/>
            <w:noWrap/>
            <w:vAlign w:val="center"/>
          </w:tcPr>
          <w:p w14:paraId="1570FDB6" w14:textId="77777777" w:rsidR="0043140D" w:rsidRPr="00ED37CF" w:rsidRDefault="0043140D" w:rsidP="00E261E4">
            <w:pPr>
              <w:contextualSpacing/>
              <w:rPr>
                <w:rFonts w:cs="Arial"/>
                <w:color w:val="000000"/>
                <w:sz w:val="20"/>
                <w:szCs w:val="20"/>
              </w:rPr>
            </w:pPr>
            <w:r w:rsidRPr="00ED37CF">
              <w:rPr>
                <w:rFonts w:cs="Arial"/>
                <w:bCs/>
                <w:sz w:val="20"/>
                <w:szCs w:val="20"/>
                <w:lang w:eastAsia="ja-JP"/>
              </w:rPr>
              <w:t>Resident and Humanitarian Coordinator’s Office</w:t>
            </w:r>
          </w:p>
        </w:tc>
      </w:tr>
      <w:tr w:rsidR="0043140D" w:rsidRPr="00ED37CF" w14:paraId="4CBC8C55"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D189C20" w14:textId="77777777" w:rsidR="0043140D" w:rsidRPr="00ED37CF" w:rsidRDefault="0043140D" w:rsidP="00E261E4">
            <w:pPr>
              <w:contextualSpacing/>
              <w:rPr>
                <w:rFonts w:cs="Arial"/>
                <w:color w:val="000000"/>
                <w:sz w:val="20"/>
                <w:szCs w:val="20"/>
              </w:rPr>
            </w:pPr>
            <w:r w:rsidRPr="00ED37CF">
              <w:rPr>
                <w:rFonts w:cs="Arial"/>
                <w:color w:val="000000"/>
                <w:sz w:val="20"/>
                <w:szCs w:val="20"/>
              </w:rPr>
              <w:t>ROs</w:t>
            </w:r>
          </w:p>
        </w:tc>
        <w:tc>
          <w:tcPr>
            <w:tcW w:w="4225" w:type="pct"/>
            <w:tcBorders>
              <w:top w:val="nil"/>
              <w:left w:val="nil"/>
              <w:bottom w:val="nil"/>
              <w:right w:val="nil"/>
            </w:tcBorders>
            <w:shd w:val="clear" w:color="auto" w:fill="auto"/>
            <w:noWrap/>
            <w:vAlign w:val="center"/>
            <w:hideMark/>
          </w:tcPr>
          <w:p w14:paraId="642A7AF9" w14:textId="77777777" w:rsidR="0043140D" w:rsidRPr="00ED37CF" w:rsidRDefault="0043140D" w:rsidP="00E261E4">
            <w:pPr>
              <w:contextualSpacing/>
              <w:rPr>
                <w:rFonts w:cs="Arial"/>
                <w:color w:val="000000"/>
                <w:sz w:val="20"/>
                <w:szCs w:val="20"/>
              </w:rPr>
            </w:pPr>
            <w:r w:rsidRPr="00ED37CF">
              <w:rPr>
                <w:rFonts w:cs="Arial"/>
                <w:color w:val="000000"/>
                <w:sz w:val="20"/>
                <w:szCs w:val="20"/>
              </w:rPr>
              <w:t>Regional Offices</w:t>
            </w:r>
          </w:p>
        </w:tc>
      </w:tr>
      <w:tr w:rsidR="0043140D" w:rsidRPr="00ED37CF" w14:paraId="5B66148D" w14:textId="77777777" w:rsidTr="00E261E4">
        <w:trPr>
          <w:trHeight w:val="340"/>
          <w:jc w:val="center"/>
        </w:trPr>
        <w:tc>
          <w:tcPr>
            <w:tcW w:w="775" w:type="pct"/>
            <w:tcBorders>
              <w:top w:val="nil"/>
              <w:left w:val="nil"/>
              <w:bottom w:val="nil"/>
              <w:right w:val="nil"/>
            </w:tcBorders>
            <w:shd w:val="clear" w:color="auto" w:fill="auto"/>
            <w:noWrap/>
            <w:vAlign w:val="center"/>
          </w:tcPr>
          <w:p w14:paraId="7860659A" w14:textId="77777777" w:rsidR="0043140D" w:rsidRPr="00ED37CF" w:rsidRDefault="0043140D" w:rsidP="00E261E4">
            <w:pPr>
              <w:contextualSpacing/>
              <w:rPr>
                <w:rFonts w:cs="Arial"/>
                <w:color w:val="000000"/>
                <w:sz w:val="20"/>
                <w:szCs w:val="20"/>
              </w:rPr>
            </w:pPr>
            <w:r w:rsidRPr="00ED37CF">
              <w:rPr>
                <w:rFonts w:cs="Arial"/>
                <w:color w:val="000000"/>
                <w:sz w:val="20"/>
                <w:szCs w:val="20"/>
              </w:rPr>
              <w:lastRenderedPageBreak/>
              <w:t>SGBV</w:t>
            </w:r>
          </w:p>
        </w:tc>
        <w:tc>
          <w:tcPr>
            <w:tcW w:w="4225" w:type="pct"/>
            <w:tcBorders>
              <w:top w:val="nil"/>
              <w:left w:val="nil"/>
              <w:bottom w:val="nil"/>
              <w:right w:val="nil"/>
            </w:tcBorders>
            <w:shd w:val="clear" w:color="auto" w:fill="auto"/>
            <w:noWrap/>
            <w:vAlign w:val="center"/>
          </w:tcPr>
          <w:p w14:paraId="2526C526" w14:textId="77777777" w:rsidR="0043140D" w:rsidRPr="00ED37CF" w:rsidRDefault="0043140D" w:rsidP="00E261E4">
            <w:pPr>
              <w:contextualSpacing/>
              <w:rPr>
                <w:rFonts w:cs="Arial"/>
                <w:color w:val="000000"/>
                <w:sz w:val="20"/>
                <w:szCs w:val="20"/>
              </w:rPr>
            </w:pPr>
            <w:r w:rsidRPr="00ED37CF">
              <w:rPr>
                <w:rFonts w:cs="Arial"/>
                <w:bCs/>
                <w:sz w:val="20"/>
                <w:szCs w:val="20"/>
                <w:lang w:eastAsia="ja-JP"/>
              </w:rPr>
              <w:t>Sexual and Gender Based Violence</w:t>
            </w:r>
          </w:p>
        </w:tc>
      </w:tr>
      <w:tr w:rsidR="0043140D" w:rsidRPr="00ED37CF" w14:paraId="5959DCFF" w14:textId="77777777" w:rsidTr="00E261E4">
        <w:trPr>
          <w:trHeight w:val="340"/>
          <w:jc w:val="center"/>
        </w:trPr>
        <w:tc>
          <w:tcPr>
            <w:tcW w:w="775" w:type="pct"/>
            <w:tcBorders>
              <w:top w:val="nil"/>
              <w:left w:val="nil"/>
              <w:bottom w:val="nil"/>
              <w:right w:val="nil"/>
            </w:tcBorders>
            <w:shd w:val="clear" w:color="auto" w:fill="auto"/>
            <w:noWrap/>
            <w:vAlign w:val="center"/>
          </w:tcPr>
          <w:p w14:paraId="762F4594" w14:textId="77777777" w:rsidR="0043140D" w:rsidRPr="00ED37CF" w:rsidRDefault="0043140D" w:rsidP="00E261E4">
            <w:pPr>
              <w:contextualSpacing/>
              <w:rPr>
                <w:rFonts w:cs="Arial"/>
                <w:color w:val="000000"/>
                <w:sz w:val="20"/>
                <w:szCs w:val="20"/>
              </w:rPr>
            </w:pPr>
            <w:r w:rsidRPr="00ED37CF">
              <w:rPr>
                <w:rFonts w:cs="Arial"/>
                <w:color w:val="000000"/>
                <w:sz w:val="20"/>
                <w:szCs w:val="20"/>
              </w:rPr>
              <w:t>SIYB</w:t>
            </w:r>
          </w:p>
        </w:tc>
        <w:tc>
          <w:tcPr>
            <w:tcW w:w="4225" w:type="pct"/>
            <w:tcBorders>
              <w:top w:val="nil"/>
              <w:left w:val="nil"/>
              <w:bottom w:val="nil"/>
              <w:right w:val="nil"/>
            </w:tcBorders>
            <w:shd w:val="clear" w:color="auto" w:fill="auto"/>
            <w:noWrap/>
            <w:vAlign w:val="center"/>
          </w:tcPr>
          <w:p w14:paraId="0E8D2F3D" w14:textId="77777777" w:rsidR="0043140D" w:rsidRPr="00ED37CF" w:rsidRDefault="0043140D" w:rsidP="00E261E4">
            <w:pPr>
              <w:contextualSpacing/>
              <w:rPr>
                <w:rFonts w:cs="Arial"/>
                <w:color w:val="000000"/>
                <w:sz w:val="20"/>
                <w:szCs w:val="20"/>
              </w:rPr>
            </w:pPr>
            <w:r w:rsidRPr="00ED37CF">
              <w:rPr>
                <w:rFonts w:cs="Arial"/>
                <w:color w:val="000000"/>
                <w:sz w:val="20"/>
                <w:szCs w:val="20"/>
              </w:rPr>
              <w:t>Start and Improve Your Business</w:t>
            </w:r>
          </w:p>
        </w:tc>
      </w:tr>
      <w:tr w:rsidR="0043140D" w:rsidRPr="00ED37CF" w14:paraId="045623E2" w14:textId="77777777" w:rsidTr="00E261E4">
        <w:trPr>
          <w:trHeight w:val="340"/>
          <w:jc w:val="center"/>
        </w:trPr>
        <w:tc>
          <w:tcPr>
            <w:tcW w:w="775" w:type="pct"/>
            <w:tcBorders>
              <w:top w:val="nil"/>
              <w:left w:val="nil"/>
              <w:bottom w:val="nil"/>
              <w:right w:val="nil"/>
            </w:tcBorders>
            <w:shd w:val="clear" w:color="auto" w:fill="auto"/>
            <w:noWrap/>
            <w:vAlign w:val="center"/>
          </w:tcPr>
          <w:p w14:paraId="6780186C" w14:textId="77777777" w:rsidR="0043140D" w:rsidRPr="00ED37CF" w:rsidRDefault="0043140D" w:rsidP="00E261E4">
            <w:pPr>
              <w:contextualSpacing/>
              <w:rPr>
                <w:rFonts w:cs="Arial"/>
                <w:color w:val="000000"/>
                <w:sz w:val="20"/>
                <w:szCs w:val="20"/>
              </w:rPr>
            </w:pPr>
            <w:r w:rsidRPr="00ED37CF">
              <w:rPr>
                <w:rFonts w:cs="Arial"/>
                <w:color w:val="000000"/>
                <w:sz w:val="20"/>
                <w:szCs w:val="20"/>
              </w:rPr>
              <w:t>TITI</w:t>
            </w:r>
          </w:p>
        </w:tc>
        <w:tc>
          <w:tcPr>
            <w:tcW w:w="4225" w:type="pct"/>
            <w:tcBorders>
              <w:top w:val="nil"/>
              <w:left w:val="nil"/>
              <w:bottom w:val="nil"/>
              <w:right w:val="nil"/>
            </w:tcBorders>
            <w:shd w:val="clear" w:color="auto" w:fill="auto"/>
            <w:noWrap/>
            <w:vAlign w:val="center"/>
          </w:tcPr>
          <w:p w14:paraId="3835D5C1" w14:textId="77777777" w:rsidR="0043140D" w:rsidRPr="00ED37CF" w:rsidRDefault="0043140D" w:rsidP="00E261E4">
            <w:pPr>
              <w:contextualSpacing/>
              <w:rPr>
                <w:rFonts w:cs="Arial"/>
                <w:color w:val="000000"/>
                <w:sz w:val="20"/>
                <w:szCs w:val="20"/>
              </w:rPr>
            </w:pPr>
            <w:r w:rsidRPr="00ED37CF">
              <w:rPr>
                <w:rFonts w:cs="Arial"/>
                <w:color w:val="000000"/>
                <w:sz w:val="20"/>
                <w:szCs w:val="20"/>
              </w:rPr>
              <w:t>Training Institute for Technical Instruction</w:t>
            </w:r>
          </w:p>
        </w:tc>
      </w:tr>
      <w:tr w:rsidR="0043140D" w:rsidRPr="00ED37CF" w14:paraId="3E2DC60E" w14:textId="77777777" w:rsidTr="00E261E4">
        <w:trPr>
          <w:trHeight w:val="340"/>
          <w:jc w:val="center"/>
        </w:trPr>
        <w:tc>
          <w:tcPr>
            <w:tcW w:w="775" w:type="pct"/>
            <w:tcBorders>
              <w:top w:val="nil"/>
              <w:left w:val="nil"/>
              <w:bottom w:val="nil"/>
              <w:right w:val="nil"/>
            </w:tcBorders>
            <w:shd w:val="clear" w:color="auto" w:fill="auto"/>
            <w:noWrap/>
            <w:vAlign w:val="center"/>
          </w:tcPr>
          <w:p w14:paraId="77AB559D" w14:textId="77777777" w:rsidR="0043140D" w:rsidRPr="00ED37CF" w:rsidRDefault="0043140D" w:rsidP="00E261E4">
            <w:pPr>
              <w:contextualSpacing/>
              <w:rPr>
                <w:rFonts w:cs="Arial"/>
                <w:color w:val="000000"/>
                <w:sz w:val="20"/>
                <w:szCs w:val="20"/>
              </w:rPr>
            </w:pPr>
            <w:r w:rsidRPr="00ED37CF">
              <w:rPr>
                <w:rFonts w:cs="Arial"/>
                <w:color w:val="000000"/>
                <w:sz w:val="20"/>
                <w:szCs w:val="20"/>
              </w:rPr>
              <w:t>ToR</w:t>
            </w:r>
          </w:p>
        </w:tc>
        <w:tc>
          <w:tcPr>
            <w:tcW w:w="4225" w:type="pct"/>
            <w:tcBorders>
              <w:top w:val="nil"/>
              <w:left w:val="nil"/>
              <w:bottom w:val="nil"/>
              <w:right w:val="nil"/>
            </w:tcBorders>
            <w:shd w:val="clear" w:color="auto" w:fill="auto"/>
            <w:noWrap/>
            <w:vAlign w:val="center"/>
          </w:tcPr>
          <w:p w14:paraId="030050F0" w14:textId="77777777" w:rsidR="0043140D" w:rsidRPr="00ED37CF" w:rsidRDefault="0043140D" w:rsidP="00E261E4">
            <w:pPr>
              <w:contextualSpacing/>
              <w:rPr>
                <w:rFonts w:cs="Arial"/>
                <w:color w:val="000000"/>
                <w:sz w:val="20"/>
                <w:szCs w:val="20"/>
              </w:rPr>
            </w:pPr>
            <w:r w:rsidRPr="00ED37CF">
              <w:rPr>
                <w:rFonts w:cs="Arial"/>
                <w:color w:val="000000"/>
                <w:sz w:val="20"/>
                <w:szCs w:val="20"/>
              </w:rPr>
              <w:t>Terms of Reference</w:t>
            </w:r>
          </w:p>
        </w:tc>
      </w:tr>
      <w:tr w:rsidR="0043140D" w:rsidRPr="00ED37CF" w14:paraId="11C6C80B" w14:textId="77777777" w:rsidTr="00E261E4">
        <w:trPr>
          <w:trHeight w:val="340"/>
          <w:jc w:val="center"/>
        </w:trPr>
        <w:tc>
          <w:tcPr>
            <w:tcW w:w="775" w:type="pct"/>
            <w:tcBorders>
              <w:top w:val="nil"/>
              <w:left w:val="nil"/>
              <w:bottom w:val="nil"/>
              <w:right w:val="nil"/>
            </w:tcBorders>
            <w:shd w:val="clear" w:color="auto" w:fill="auto"/>
            <w:noWrap/>
            <w:vAlign w:val="center"/>
          </w:tcPr>
          <w:p w14:paraId="7D13C9C5" w14:textId="77777777" w:rsidR="0043140D" w:rsidRPr="00ED37CF" w:rsidRDefault="0043140D" w:rsidP="00E261E4">
            <w:pPr>
              <w:contextualSpacing/>
              <w:rPr>
                <w:rFonts w:cs="Arial"/>
                <w:color w:val="000000"/>
                <w:sz w:val="20"/>
                <w:szCs w:val="20"/>
              </w:rPr>
            </w:pPr>
            <w:r w:rsidRPr="00ED37CF">
              <w:rPr>
                <w:rFonts w:cs="Arial"/>
                <w:color w:val="000000"/>
                <w:sz w:val="20"/>
                <w:szCs w:val="20"/>
              </w:rPr>
              <w:t>TPO</w:t>
            </w:r>
          </w:p>
        </w:tc>
        <w:tc>
          <w:tcPr>
            <w:tcW w:w="4225" w:type="pct"/>
            <w:tcBorders>
              <w:top w:val="nil"/>
              <w:left w:val="nil"/>
              <w:bottom w:val="nil"/>
              <w:right w:val="nil"/>
            </w:tcBorders>
            <w:shd w:val="clear" w:color="auto" w:fill="auto"/>
            <w:noWrap/>
            <w:vAlign w:val="center"/>
          </w:tcPr>
          <w:p w14:paraId="7B3094BB" w14:textId="77777777" w:rsidR="0043140D" w:rsidRPr="00ED37CF" w:rsidRDefault="0043140D" w:rsidP="00E261E4">
            <w:pPr>
              <w:contextualSpacing/>
              <w:rPr>
                <w:rFonts w:cs="Arial"/>
                <w:color w:val="000000"/>
                <w:sz w:val="20"/>
                <w:szCs w:val="20"/>
              </w:rPr>
            </w:pPr>
            <w:r w:rsidRPr="00ED37CF">
              <w:rPr>
                <w:rFonts w:cs="Arial"/>
                <w:color w:val="000000"/>
                <w:sz w:val="20"/>
                <w:szCs w:val="20"/>
              </w:rPr>
              <w:t>Transcultural Psychosocial Organization</w:t>
            </w:r>
          </w:p>
        </w:tc>
      </w:tr>
      <w:tr w:rsidR="0043140D" w:rsidRPr="00ED37CF" w14:paraId="4DC12A7F" w14:textId="77777777" w:rsidTr="00E261E4">
        <w:trPr>
          <w:trHeight w:val="340"/>
          <w:jc w:val="center"/>
        </w:trPr>
        <w:tc>
          <w:tcPr>
            <w:tcW w:w="775" w:type="pct"/>
            <w:tcBorders>
              <w:top w:val="nil"/>
              <w:left w:val="nil"/>
              <w:bottom w:val="nil"/>
              <w:right w:val="nil"/>
            </w:tcBorders>
            <w:shd w:val="clear" w:color="auto" w:fill="auto"/>
            <w:noWrap/>
            <w:vAlign w:val="center"/>
          </w:tcPr>
          <w:p w14:paraId="11F4F616" w14:textId="77777777" w:rsidR="0043140D" w:rsidRPr="00ED37CF" w:rsidRDefault="0043140D" w:rsidP="00E261E4">
            <w:pPr>
              <w:contextualSpacing/>
              <w:rPr>
                <w:rFonts w:cs="Arial"/>
                <w:color w:val="000000"/>
                <w:sz w:val="20"/>
                <w:szCs w:val="20"/>
              </w:rPr>
            </w:pPr>
            <w:r w:rsidRPr="00ED37CF">
              <w:rPr>
                <w:rFonts w:cs="Arial"/>
                <w:color w:val="000000"/>
                <w:sz w:val="20"/>
                <w:szCs w:val="20"/>
              </w:rPr>
              <w:t>UCEP</w:t>
            </w:r>
          </w:p>
        </w:tc>
        <w:tc>
          <w:tcPr>
            <w:tcW w:w="4225" w:type="pct"/>
            <w:tcBorders>
              <w:top w:val="nil"/>
              <w:left w:val="nil"/>
              <w:bottom w:val="nil"/>
              <w:right w:val="nil"/>
            </w:tcBorders>
            <w:shd w:val="clear" w:color="auto" w:fill="auto"/>
            <w:noWrap/>
            <w:vAlign w:val="center"/>
          </w:tcPr>
          <w:p w14:paraId="7D916448" w14:textId="77777777" w:rsidR="0043140D" w:rsidRPr="00ED37CF" w:rsidRDefault="0043140D" w:rsidP="00E261E4">
            <w:pPr>
              <w:contextualSpacing/>
              <w:rPr>
                <w:rFonts w:cs="Arial"/>
                <w:color w:val="000000"/>
                <w:sz w:val="20"/>
                <w:szCs w:val="20"/>
              </w:rPr>
            </w:pPr>
            <w:r w:rsidRPr="00ED37CF">
              <w:rPr>
                <w:rFonts w:cs="Arial"/>
                <w:color w:val="000000"/>
                <w:sz w:val="20"/>
                <w:szCs w:val="20"/>
              </w:rPr>
              <w:t>Underprivileged Children’s Education Programme</w:t>
            </w:r>
          </w:p>
        </w:tc>
      </w:tr>
      <w:tr w:rsidR="0043140D" w:rsidRPr="00ED37CF" w14:paraId="150FDE24"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06882C39" w14:textId="77777777" w:rsidR="0043140D" w:rsidRPr="00ED37CF" w:rsidRDefault="0043140D" w:rsidP="00E261E4">
            <w:pPr>
              <w:contextualSpacing/>
              <w:rPr>
                <w:rFonts w:cs="Arial"/>
                <w:color w:val="000000"/>
                <w:sz w:val="20"/>
                <w:szCs w:val="20"/>
              </w:rPr>
            </w:pPr>
            <w:r w:rsidRPr="00ED37CF">
              <w:rPr>
                <w:rFonts w:cs="Arial"/>
                <w:color w:val="000000"/>
                <w:sz w:val="20"/>
                <w:szCs w:val="20"/>
              </w:rPr>
              <w:t>UCPN-M</w:t>
            </w:r>
          </w:p>
        </w:tc>
        <w:tc>
          <w:tcPr>
            <w:tcW w:w="4225" w:type="pct"/>
            <w:tcBorders>
              <w:top w:val="nil"/>
              <w:left w:val="nil"/>
              <w:bottom w:val="nil"/>
              <w:right w:val="nil"/>
            </w:tcBorders>
            <w:shd w:val="clear" w:color="auto" w:fill="auto"/>
            <w:noWrap/>
            <w:vAlign w:val="center"/>
            <w:hideMark/>
          </w:tcPr>
          <w:p w14:paraId="31153144"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Communist Party of Nepal – Maoist</w:t>
            </w:r>
          </w:p>
        </w:tc>
      </w:tr>
      <w:tr w:rsidR="0043140D" w:rsidRPr="00ED37CF" w14:paraId="6DAD9B28" w14:textId="77777777" w:rsidTr="00E261E4">
        <w:trPr>
          <w:trHeight w:val="340"/>
          <w:jc w:val="center"/>
        </w:trPr>
        <w:tc>
          <w:tcPr>
            <w:tcW w:w="775" w:type="pct"/>
            <w:tcBorders>
              <w:top w:val="nil"/>
              <w:left w:val="nil"/>
              <w:bottom w:val="nil"/>
              <w:right w:val="nil"/>
            </w:tcBorders>
            <w:shd w:val="clear" w:color="auto" w:fill="auto"/>
            <w:noWrap/>
            <w:vAlign w:val="center"/>
          </w:tcPr>
          <w:p w14:paraId="1CC9B5CA" w14:textId="77777777" w:rsidR="0043140D" w:rsidRPr="00ED37CF" w:rsidRDefault="0043140D" w:rsidP="00E261E4">
            <w:pPr>
              <w:contextualSpacing/>
              <w:rPr>
                <w:rFonts w:cs="Arial"/>
                <w:color w:val="000000"/>
                <w:sz w:val="20"/>
                <w:szCs w:val="20"/>
              </w:rPr>
            </w:pPr>
            <w:r w:rsidRPr="00ED37CF">
              <w:rPr>
                <w:rFonts w:cs="Arial"/>
                <w:color w:val="000000"/>
                <w:sz w:val="20"/>
                <w:szCs w:val="20"/>
              </w:rPr>
              <w:t>UN</w:t>
            </w:r>
          </w:p>
        </w:tc>
        <w:tc>
          <w:tcPr>
            <w:tcW w:w="4225" w:type="pct"/>
            <w:tcBorders>
              <w:top w:val="nil"/>
              <w:left w:val="nil"/>
              <w:bottom w:val="nil"/>
              <w:right w:val="nil"/>
            </w:tcBorders>
            <w:shd w:val="clear" w:color="auto" w:fill="auto"/>
            <w:noWrap/>
            <w:vAlign w:val="center"/>
          </w:tcPr>
          <w:p w14:paraId="014FCE65"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w:t>
            </w:r>
          </w:p>
        </w:tc>
      </w:tr>
      <w:tr w:rsidR="0043140D" w:rsidRPr="00ED37CF" w14:paraId="29969E5E" w14:textId="77777777" w:rsidTr="00E261E4">
        <w:trPr>
          <w:trHeight w:val="340"/>
          <w:jc w:val="center"/>
        </w:trPr>
        <w:tc>
          <w:tcPr>
            <w:tcW w:w="775" w:type="pct"/>
            <w:tcBorders>
              <w:top w:val="nil"/>
              <w:left w:val="nil"/>
              <w:bottom w:val="nil"/>
              <w:right w:val="nil"/>
            </w:tcBorders>
            <w:shd w:val="clear" w:color="auto" w:fill="auto"/>
            <w:noWrap/>
            <w:vAlign w:val="center"/>
          </w:tcPr>
          <w:p w14:paraId="38263CA7" w14:textId="77777777" w:rsidR="0043140D" w:rsidRPr="00ED37CF" w:rsidRDefault="0043140D" w:rsidP="00E261E4">
            <w:pPr>
              <w:contextualSpacing/>
              <w:rPr>
                <w:rFonts w:cs="Arial"/>
                <w:color w:val="000000"/>
                <w:sz w:val="20"/>
                <w:szCs w:val="20"/>
              </w:rPr>
            </w:pPr>
            <w:r w:rsidRPr="00ED37CF">
              <w:rPr>
                <w:rFonts w:cs="Arial"/>
                <w:color w:val="000000"/>
                <w:sz w:val="20"/>
                <w:szCs w:val="20"/>
              </w:rPr>
              <w:t>UNCT</w:t>
            </w:r>
          </w:p>
        </w:tc>
        <w:tc>
          <w:tcPr>
            <w:tcW w:w="4225" w:type="pct"/>
            <w:tcBorders>
              <w:top w:val="nil"/>
              <w:left w:val="nil"/>
              <w:bottom w:val="nil"/>
              <w:right w:val="nil"/>
            </w:tcBorders>
            <w:shd w:val="clear" w:color="auto" w:fill="auto"/>
            <w:noWrap/>
            <w:vAlign w:val="center"/>
          </w:tcPr>
          <w:p w14:paraId="2DF1A012"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Country Team</w:t>
            </w:r>
          </w:p>
        </w:tc>
      </w:tr>
      <w:tr w:rsidR="0043140D" w:rsidRPr="00ED37CF" w14:paraId="13FECB95" w14:textId="77777777" w:rsidTr="00E261E4">
        <w:trPr>
          <w:trHeight w:val="340"/>
          <w:jc w:val="center"/>
        </w:trPr>
        <w:tc>
          <w:tcPr>
            <w:tcW w:w="775" w:type="pct"/>
            <w:tcBorders>
              <w:top w:val="nil"/>
              <w:left w:val="nil"/>
              <w:bottom w:val="nil"/>
              <w:right w:val="nil"/>
            </w:tcBorders>
            <w:shd w:val="clear" w:color="auto" w:fill="auto"/>
            <w:noWrap/>
            <w:vAlign w:val="center"/>
          </w:tcPr>
          <w:p w14:paraId="12464F19" w14:textId="77777777" w:rsidR="0043140D" w:rsidRPr="00ED37CF" w:rsidRDefault="0043140D" w:rsidP="00E261E4">
            <w:pPr>
              <w:contextualSpacing/>
              <w:rPr>
                <w:rFonts w:cs="Arial"/>
                <w:color w:val="000000"/>
                <w:sz w:val="20"/>
                <w:szCs w:val="20"/>
              </w:rPr>
            </w:pPr>
            <w:r w:rsidRPr="00ED37CF">
              <w:rPr>
                <w:rFonts w:cs="Arial"/>
                <w:color w:val="000000"/>
                <w:sz w:val="20"/>
                <w:szCs w:val="20"/>
              </w:rPr>
              <w:t>UNDAF</w:t>
            </w:r>
          </w:p>
        </w:tc>
        <w:tc>
          <w:tcPr>
            <w:tcW w:w="4225" w:type="pct"/>
            <w:tcBorders>
              <w:top w:val="nil"/>
              <w:left w:val="nil"/>
              <w:bottom w:val="nil"/>
              <w:right w:val="nil"/>
            </w:tcBorders>
            <w:shd w:val="clear" w:color="auto" w:fill="auto"/>
            <w:noWrap/>
            <w:vAlign w:val="center"/>
          </w:tcPr>
          <w:p w14:paraId="2E55287B"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Development Assistance Framework</w:t>
            </w:r>
          </w:p>
        </w:tc>
      </w:tr>
      <w:tr w:rsidR="0043140D" w:rsidRPr="00ED37CF" w14:paraId="19D550D6"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30D4BEE3" w14:textId="77777777" w:rsidR="0043140D" w:rsidRPr="00ED37CF" w:rsidRDefault="0043140D" w:rsidP="00E261E4">
            <w:pPr>
              <w:contextualSpacing/>
              <w:rPr>
                <w:rFonts w:cs="Arial"/>
                <w:color w:val="000000"/>
                <w:sz w:val="20"/>
                <w:szCs w:val="20"/>
              </w:rPr>
            </w:pPr>
            <w:r w:rsidRPr="00ED37CF">
              <w:rPr>
                <w:rFonts w:cs="Arial"/>
                <w:color w:val="000000"/>
                <w:sz w:val="20"/>
                <w:szCs w:val="20"/>
              </w:rPr>
              <w:t>UNDP</w:t>
            </w:r>
          </w:p>
        </w:tc>
        <w:tc>
          <w:tcPr>
            <w:tcW w:w="4225" w:type="pct"/>
            <w:tcBorders>
              <w:top w:val="nil"/>
              <w:left w:val="nil"/>
              <w:bottom w:val="nil"/>
              <w:right w:val="nil"/>
            </w:tcBorders>
            <w:shd w:val="clear" w:color="auto" w:fill="auto"/>
            <w:noWrap/>
            <w:vAlign w:val="center"/>
            <w:hideMark/>
          </w:tcPr>
          <w:p w14:paraId="6CABE74C"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Development Programme</w:t>
            </w:r>
          </w:p>
        </w:tc>
      </w:tr>
      <w:tr w:rsidR="0043140D" w:rsidRPr="00ED37CF" w14:paraId="67F38EEB"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278AEFE5" w14:textId="77777777" w:rsidR="0043140D" w:rsidRPr="00ED37CF" w:rsidRDefault="0043140D" w:rsidP="00E261E4">
            <w:pPr>
              <w:contextualSpacing/>
              <w:rPr>
                <w:rFonts w:cs="Arial"/>
                <w:color w:val="000000"/>
                <w:sz w:val="20"/>
                <w:szCs w:val="20"/>
              </w:rPr>
            </w:pPr>
            <w:r w:rsidRPr="00ED37CF">
              <w:rPr>
                <w:rFonts w:cs="Arial"/>
                <w:color w:val="000000"/>
                <w:sz w:val="20"/>
                <w:szCs w:val="20"/>
              </w:rPr>
              <w:t>UNFPA</w:t>
            </w:r>
          </w:p>
        </w:tc>
        <w:tc>
          <w:tcPr>
            <w:tcW w:w="4225" w:type="pct"/>
            <w:tcBorders>
              <w:top w:val="nil"/>
              <w:left w:val="nil"/>
              <w:bottom w:val="nil"/>
              <w:right w:val="nil"/>
            </w:tcBorders>
            <w:shd w:val="clear" w:color="auto" w:fill="auto"/>
            <w:noWrap/>
            <w:vAlign w:val="center"/>
            <w:hideMark/>
          </w:tcPr>
          <w:p w14:paraId="1821E8FA"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Population Fund</w:t>
            </w:r>
          </w:p>
        </w:tc>
      </w:tr>
      <w:tr w:rsidR="0043140D" w:rsidRPr="00ED37CF" w14:paraId="3FBD848B"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05BEADE2"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UNICEF</w:t>
            </w:r>
          </w:p>
        </w:tc>
        <w:tc>
          <w:tcPr>
            <w:tcW w:w="4225" w:type="pct"/>
            <w:tcBorders>
              <w:top w:val="nil"/>
              <w:left w:val="nil"/>
              <w:bottom w:val="nil"/>
              <w:right w:val="nil"/>
            </w:tcBorders>
            <w:shd w:val="clear" w:color="auto" w:fill="auto"/>
            <w:noWrap/>
            <w:vAlign w:val="center"/>
            <w:hideMark/>
          </w:tcPr>
          <w:p w14:paraId="7F2168C7"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Children’s Fund</w:t>
            </w:r>
          </w:p>
        </w:tc>
      </w:tr>
      <w:tr w:rsidR="0043140D" w:rsidRPr="00ED37CF" w14:paraId="16768074"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49291D9"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UNIRP</w:t>
            </w:r>
          </w:p>
        </w:tc>
        <w:tc>
          <w:tcPr>
            <w:tcW w:w="4225" w:type="pct"/>
            <w:tcBorders>
              <w:top w:val="nil"/>
              <w:left w:val="nil"/>
              <w:bottom w:val="nil"/>
              <w:right w:val="nil"/>
            </w:tcBorders>
            <w:shd w:val="clear" w:color="auto" w:fill="auto"/>
            <w:noWrap/>
            <w:vAlign w:val="center"/>
            <w:hideMark/>
          </w:tcPr>
          <w:p w14:paraId="65F22B5D" w14:textId="77777777" w:rsidR="0043140D" w:rsidRPr="00ED37CF" w:rsidRDefault="0043140D" w:rsidP="00E261E4">
            <w:pPr>
              <w:contextualSpacing/>
              <w:rPr>
                <w:rFonts w:cs="Arial"/>
                <w:color w:val="000000"/>
                <w:sz w:val="20"/>
                <w:szCs w:val="20"/>
              </w:rPr>
            </w:pPr>
            <w:r w:rsidRPr="00ED37CF">
              <w:rPr>
                <w:rFonts w:cs="Arial"/>
                <w:color w:val="000000"/>
                <w:sz w:val="20"/>
                <w:szCs w:val="20"/>
              </w:rPr>
              <w:t>United Nations Interagency Rehabilitation Programme</w:t>
            </w:r>
          </w:p>
        </w:tc>
      </w:tr>
      <w:tr w:rsidR="0043140D" w:rsidRPr="00ED37CF" w14:paraId="1CE5E735"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5B2AAAAB" w14:textId="77777777" w:rsidR="0043140D" w:rsidRPr="00ED37CF" w:rsidRDefault="0043140D" w:rsidP="00E261E4">
            <w:pPr>
              <w:contextualSpacing/>
              <w:rPr>
                <w:rFonts w:cs="Arial"/>
                <w:color w:val="000000"/>
                <w:sz w:val="20"/>
                <w:szCs w:val="20"/>
              </w:rPr>
            </w:pPr>
            <w:r w:rsidRPr="00ED37CF">
              <w:rPr>
                <w:rFonts w:cs="Arial"/>
                <w:color w:val="000000"/>
                <w:sz w:val="20"/>
                <w:szCs w:val="20"/>
              </w:rPr>
              <w:t>UNMIN</w:t>
            </w:r>
          </w:p>
        </w:tc>
        <w:tc>
          <w:tcPr>
            <w:tcW w:w="4225" w:type="pct"/>
            <w:tcBorders>
              <w:top w:val="nil"/>
              <w:left w:val="nil"/>
              <w:bottom w:val="nil"/>
              <w:right w:val="nil"/>
            </w:tcBorders>
            <w:shd w:val="clear" w:color="auto" w:fill="auto"/>
            <w:noWrap/>
            <w:vAlign w:val="center"/>
            <w:hideMark/>
          </w:tcPr>
          <w:p w14:paraId="0EE25BBC" w14:textId="77777777" w:rsidR="0043140D" w:rsidRPr="00ED37CF" w:rsidRDefault="0043140D" w:rsidP="00E261E4">
            <w:pPr>
              <w:contextualSpacing/>
              <w:rPr>
                <w:rFonts w:cs="Arial"/>
                <w:color w:val="000000"/>
                <w:sz w:val="20"/>
                <w:szCs w:val="20"/>
              </w:rPr>
            </w:pPr>
            <w:r w:rsidRPr="00ED37CF">
              <w:rPr>
                <w:rFonts w:cs="Arial"/>
                <w:color w:val="000000"/>
                <w:sz w:val="20"/>
                <w:szCs w:val="20"/>
              </w:rPr>
              <w:t xml:space="preserve">United Nations Mission in Nepal </w:t>
            </w:r>
          </w:p>
        </w:tc>
      </w:tr>
      <w:tr w:rsidR="0043140D" w:rsidRPr="00ED37CF" w14:paraId="514BF0FD" w14:textId="77777777" w:rsidTr="00E261E4">
        <w:trPr>
          <w:trHeight w:val="340"/>
          <w:jc w:val="center"/>
        </w:trPr>
        <w:tc>
          <w:tcPr>
            <w:tcW w:w="775" w:type="pct"/>
            <w:tcBorders>
              <w:top w:val="nil"/>
              <w:left w:val="nil"/>
              <w:bottom w:val="nil"/>
              <w:right w:val="nil"/>
            </w:tcBorders>
            <w:shd w:val="clear" w:color="auto" w:fill="auto"/>
            <w:noWrap/>
            <w:vAlign w:val="center"/>
          </w:tcPr>
          <w:p w14:paraId="3AE3A0AA" w14:textId="77777777" w:rsidR="0043140D" w:rsidRPr="00ED37CF" w:rsidRDefault="0043140D" w:rsidP="00E261E4">
            <w:pPr>
              <w:contextualSpacing/>
              <w:rPr>
                <w:rFonts w:cs="Arial"/>
                <w:color w:val="000000"/>
                <w:sz w:val="20"/>
                <w:szCs w:val="20"/>
              </w:rPr>
            </w:pPr>
            <w:r w:rsidRPr="00ED37CF">
              <w:rPr>
                <w:rFonts w:cs="Arial"/>
                <w:color w:val="000000"/>
                <w:sz w:val="20"/>
                <w:szCs w:val="20"/>
              </w:rPr>
              <w:t>UNPFN</w:t>
            </w:r>
          </w:p>
        </w:tc>
        <w:tc>
          <w:tcPr>
            <w:tcW w:w="4225" w:type="pct"/>
            <w:tcBorders>
              <w:top w:val="nil"/>
              <w:left w:val="nil"/>
              <w:bottom w:val="nil"/>
              <w:right w:val="nil"/>
            </w:tcBorders>
            <w:shd w:val="clear" w:color="auto" w:fill="auto"/>
            <w:noWrap/>
            <w:vAlign w:val="center"/>
          </w:tcPr>
          <w:p w14:paraId="49976D61" w14:textId="77777777" w:rsidR="0043140D" w:rsidRPr="00ED37CF" w:rsidRDefault="0043140D" w:rsidP="00EB77CF">
            <w:pPr>
              <w:contextualSpacing/>
              <w:rPr>
                <w:rFonts w:cs="Arial"/>
                <w:color w:val="000000"/>
                <w:sz w:val="20"/>
                <w:szCs w:val="20"/>
              </w:rPr>
            </w:pPr>
            <w:r w:rsidRPr="00ED37CF">
              <w:rPr>
                <w:rFonts w:cs="Arial"/>
                <w:color w:val="000000"/>
                <w:sz w:val="20"/>
                <w:szCs w:val="20"/>
              </w:rPr>
              <w:t xml:space="preserve">United Nations Peace Fund </w:t>
            </w:r>
            <w:r w:rsidR="00EB77CF">
              <w:rPr>
                <w:rFonts w:cs="Arial"/>
                <w:color w:val="000000"/>
                <w:sz w:val="20"/>
                <w:szCs w:val="20"/>
              </w:rPr>
              <w:t>for</w:t>
            </w:r>
            <w:r w:rsidRPr="00ED37CF">
              <w:rPr>
                <w:rFonts w:cs="Arial"/>
                <w:color w:val="000000"/>
                <w:sz w:val="20"/>
                <w:szCs w:val="20"/>
              </w:rPr>
              <w:t xml:space="preserve"> Nepal</w:t>
            </w:r>
          </w:p>
        </w:tc>
      </w:tr>
      <w:tr w:rsidR="0043140D" w:rsidRPr="00ED37CF" w14:paraId="15F669FC"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6968F013" w14:textId="77777777" w:rsidR="0043140D" w:rsidRPr="00ED37CF" w:rsidRDefault="0043140D" w:rsidP="00E261E4">
            <w:pPr>
              <w:contextualSpacing/>
              <w:rPr>
                <w:rFonts w:cs="Arial"/>
                <w:color w:val="000000"/>
                <w:sz w:val="20"/>
                <w:szCs w:val="20"/>
              </w:rPr>
            </w:pPr>
            <w:r w:rsidRPr="00ED37CF">
              <w:rPr>
                <w:rFonts w:cs="Arial"/>
                <w:color w:val="000000"/>
                <w:sz w:val="20"/>
                <w:szCs w:val="20"/>
              </w:rPr>
              <w:t>VMLR</w:t>
            </w:r>
          </w:p>
        </w:tc>
        <w:tc>
          <w:tcPr>
            <w:tcW w:w="4225" w:type="pct"/>
            <w:tcBorders>
              <w:top w:val="nil"/>
              <w:left w:val="nil"/>
              <w:bottom w:val="nil"/>
              <w:right w:val="nil"/>
            </w:tcBorders>
            <w:shd w:val="clear" w:color="auto" w:fill="auto"/>
            <w:noWrap/>
            <w:vAlign w:val="center"/>
            <w:hideMark/>
          </w:tcPr>
          <w:p w14:paraId="79CF04C1" w14:textId="77777777" w:rsidR="0043140D" w:rsidRPr="00ED37CF" w:rsidRDefault="0043140D" w:rsidP="00E261E4">
            <w:pPr>
              <w:contextualSpacing/>
              <w:rPr>
                <w:rFonts w:cs="Arial"/>
                <w:color w:val="000000"/>
                <w:sz w:val="20"/>
                <w:szCs w:val="20"/>
              </w:rPr>
            </w:pPr>
            <w:r w:rsidRPr="00ED37CF">
              <w:rPr>
                <w:rFonts w:cs="Arial"/>
                <w:color w:val="000000"/>
                <w:sz w:val="20"/>
                <w:szCs w:val="20"/>
              </w:rPr>
              <w:t>Verified Minors and Late Recruits</w:t>
            </w:r>
          </w:p>
        </w:tc>
      </w:tr>
      <w:tr w:rsidR="0043140D" w:rsidRPr="00ED37CF" w14:paraId="1773CF58" w14:textId="77777777" w:rsidTr="00E261E4">
        <w:trPr>
          <w:trHeight w:val="340"/>
          <w:jc w:val="center"/>
        </w:trPr>
        <w:tc>
          <w:tcPr>
            <w:tcW w:w="775" w:type="pct"/>
            <w:tcBorders>
              <w:top w:val="nil"/>
              <w:left w:val="nil"/>
              <w:bottom w:val="nil"/>
              <w:right w:val="nil"/>
            </w:tcBorders>
            <w:shd w:val="clear" w:color="auto" w:fill="auto"/>
            <w:noWrap/>
            <w:vAlign w:val="center"/>
            <w:hideMark/>
          </w:tcPr>
          <w:p w14:paraId="294CA46B" w14:textId="77777777" w:rsidR="0043140D" w:rsidRPr="00ED37CF" w:rsidRDefault="0043140D" w:rsidP="00E261E4">
            <w:pPr>
              <w:contextualSpacing/>
              <w:rPr>
                <w:rFonts w:cs="Arial"/>
                <w:color w:val="000000"/>
                <w:sz w:val="20"/>
                <w:szCs w:val="20"/>
              </w:rPr>
            </w:pPr>
            <w:r w:rsidRPr="00ED37CF">
              <w:rPr>
                <w:rFonts w:cs="Arial"/>
                <w:color w:val="000000"/>
                <w:sz w:val="20"/>
                <w:szCs w:val="20"/>
              </w:rPr>
              <w:t>VST</w:t>
            </w:r>
          </w:p>
        </w:tc>
        <w:tc>
          <w:tcPr>
            <w:tcW w:w="4225" w:type="pct"/>
            <w:tcBorders>
              <w:top w:val="nil"/>
              <w:left w:val="nil"/>
              <w:bottom w:val="nil"/>
              <w:right w:val="nil"/>
            </w:tcBorders>
            <w:shd w:val="clear" w:color="auto" w:fill="auto"/>
            <w:noWrap/>
            <w:vAlign w:val="center"/>
            <w:hideMark/>
          </w:tcPr>
          <w:p w14:paraId="7C4C555D" w14:textId="77777777" w:rsidR="0043140D" w:rsidRPr="00ED37CF" w:rsidRDefault="0043140D" w:rsidP="00E261E4">
            <w:pPr>
              <w:contextualSpacing/>
              <w:rPr>
                <w:rFonts w:cs="Arial"/>
                <w:color w:val="000000"/>
                <w:sz w:val="20"/>
                <w:szCs w:val="20"/>
              </w:rPr>
            </w:pPr>
            <w:r w:rsidRPr="00ED37CF">
              <w:rPr>
                <w:rFonts w:cs="Arial"/>
                <w:color w:val="000000"/>
                <w:sz w:val="20"/>
                <w:szCs w:val="20"/>
              </w:rPr>
              <w:t>Vocational Skills Training</w:t>
            </w:r>
          </w:p>
        </w:tc>
      </w:tr>
      <w:tr w:rsidR="0043140D" w:rsidRPr="00ED37CF" w14:paraId="08F47DFA" w14:textId="77777777" w:rsidTr="00E261E4">
        <w:trPr>
          <w:trHeight w:val="340"/>
          <w:jc w:val="center"/>
        </w:trPr>
        <w:tc>
          <w:tcPr>
            <w:tcW w:w="775" w:type="pct"/>
            <w:tcBorders>
              <w:top w:val="nil"/>
              <w:left w:val="nil"/>
              <w:bottom w:val="nil"/>
              <w:right w:val="nil"/>
            </w:tcBorders>
            <w:shd w:val="clear" w:color="auto" w:fill="auto"/>
            <w:noWrap/>
            <w:vAlign w:val="center"/>
          </w:tcPr>
          <w:p w14:paraId="50E60E80" w14:textId="77777777" w:rsidR="0043140D" w:rsidRPr="00ED37CF" w:rsidRDefault="0043140D" w:rsidP="00E261E4">
            <w:pPr>
              <w:contextualSpacing/>
              <w:rPr>
                <w:rFonts w:cs="Arial"/>
                <w:color w:val="000000"/>
                <w:sz w:val="20"/>
                <w:szCs w:val="20"/>
              </w:rPr>
            </w:pPr>
            <w:r w:rsidRPr="00ED37CF">
              <w:rPr>
                <w:rFonts w:cs="Arial"/>
                <w:color w:val="000000"/>
                <w:sz w:val="20"/>
                <w:szCs w:val="20"/>
              </w:rPr>
              <w:t>YSESEF</w:t>
            </w:r>
          </w:p>
        </w:tc>
        <w:tc>
          <w:tcPr>
            <w:tcW w:w="4225" w:type="pct"/>
            <w:tcBorders>
              <w:top w:val="nil"/>
              <w:left w:val="nil"/>
              <w:bottom w:val="nil"/>
              <w:right w:val="nil"/>
            </w:tcBorders>
            <w:shd w:val="clear" w:color="auto" w:fill="auto"/>
            <w:noWrap/>
            <w:vAlign w:val="center"/>
          </w:tcPr>
          <w:p w14:paraId="24C732CC" w14:textId="77777777" w:rsidR="0043140D" w:rsidRPr="00ED37CF" w:rsidRDefault="0043140D" w:rsidP="00E261E4">
            <w:pPr>
              <w:contextualSpacing/>
              <w:rPr>
                <w:rFonts w:cs="Arial"/>
                <w:color w:val="000000"/>
                <w:sz w:val="20"/>
                <w:szCs w:val="20"/>
              </w:rPr>
            </w:pPr>
            <w:r w:rsidRPr="00ED37CF">
              <w:rPr>
                <w:rFonts w:cs="Arial"/>
                <w:bCs/>
                <w:color w:val="000000"/>
                <w:sz w:val="20"/>
                <w:szCs w:val="20"/>
                <w:lang w:eastAsia="ja-JP"/>
              </w:rPr>
              <w:t>Youth and Small Enterprises Self-Employment Fund</w:t>
            </w:r>
          </w:p>
        </w:tc>
      </w:tr>
    </w:tbl>
    <w:p w14:paraId="26918656" w14:textId="77777777" w:rsidR="007E5B4D" w:rsidRPr="00ED37CF" w:rsidRDefault="007E5B4D">
      <w:pPr>
        <w:spacing w:after="200" w:line="276" w:lineRule="auto"/>
        <w:jc w:val="left"/>
        <w:sectPr w:rsidR="007E5B4D" w:rsidRPr="00ED37CF" w:rsidSect="00253422">
          <w:pgSz w:w="11909" w:h="16834" w:code="9"/>
          <w:pgMar w:top="1080" w:right="1080" w:bottom="1080" w:left="1440" w:header="720" w:footer="720" w:gutter="0"/>
          <w:cols w:space="720"/>
          <w:docGrid w:linePitch="360"/>
        </w:sectPr>
      </w:pPr>
    </w:p>
    <w:sdt>
      <w:sdtPr>
        <w:rPr>
          <w:rFonts w:eastAsiaTheme="minorEastAsia" w:cstheme="minorBidi"/>
          <w:b w:val="0"/>
          <w:bCs w:val="0"/>
          <w:sz w:val="22"/>
          <w:szCs w:val="22"/>
        </w:rPr>
        <w:id w:val="2651427"/>
        <w:docPartObj>
          <w:docPartGallery w:val="Table of Contents"/>
          <w:docPartUnique/>
        </w:docPartObj>
      </w:sdtPr>
      <w:sdtEndPr/>
      <w:sdtContent>
        <w:p w14:paraId="37DB52A8" w14:textId="77777777" w:rsidR="0043140D" w:rsidRPr="00ED37CF" w:rsidRDefault="0043140D" w:rsidP="00DA0167">
          <w:pPr>
            <w:pStyle w:val="TOCHeading"/>
            <w:tabs>
              <w:tab w:val="center" w:pos="9360"/>
              <w:tab w:val="right" w:pos="10620"/>
            </w:tabs>
            <w:jc w:val="center"/>
          </w:pPr>
          <w:r w:rsidRPr="00ED37CF">
            <w:t>Table of Contents</w:t>
          </w:r>
        </w:p>
        <w:p w14:paraId="73FEC075" w14:textId="77777777" w:rsidR="00DA0167" w:rsidRDefault="00556C65" w:rsidP="00DA0167">
          <w:pPr>
            <w:pStyle w:val="TOC1"/>
            <w:tabs>
              <w:tab w:val="center" w:pos="9360"/>
            </w:tabs>
            <w:rPr>
              <w:rFonts w:asciiTheme="minorHAnsi" w:eastAsiaTheme="minorEastAsia" w:hAnsiTheme="minorHAnsi" w:cstheme="minorBidi"/>
              <w:b w:val="0"/>
              <w:bCs w:val="0"/>
              <w:caps w:val="0"/>
              <w:noProof/>
              <w:sz w:val="22"/>
              <w:lang w:eastAsia="en-GB" w:bidi="ar-SA"/>
            </w:rPr>
          </w:pPr>
          <w:r w:rsidRPr="00ED37CF">
            <w:fldChar w:fldCharType="begin"/>
          </w:r>
          <w:r w:rsidR="0043140D" w:rsidRPr="00ED37CF">
            <w:instrText xml:space="preserve"> TOC \o "1-3" \h \z \u </w:instrText>
          </w:r>
          <w:r w:rsidRPr="00ED37CF">
            <w:fldChar w:fldCharType="separate"/>
          </w:r>
          <w:hyperlink w:anchor="_Toc393373722" w:history="1">
            <w:r w:rsidR="00DA0167" w:rsidRPr="00E01883">
              <w:rPr>
                <w:rStyle w:val="Hyperlink"/>
                <w:noProof/>
              </w:rPr>
              <w:t>EXECUTIVE SUMMARY</w:t>
            </w:r>
            <w:r w:rsidR="00DA0167">
              <w:rPr>
                <w:noProof/>
                <w:webHidden/>
              </w:rPr>
              <w:tab/>
            </w:r>
            <w:r w:rsidR="00DA0167">
              <w:rPr>
                <w:noProof/>
                <w:webHidden/>
              </w:rPr>
              <w:fldChar w:fldCharType="begin"/>
            </w:r>
            <w:r w:rsidR="00DA0167">
              <w:rPr>
                <w:noProof/>
                <w:webHidden/>
              </w:rPr>
              <w:instrText xml:space="preserve"> PAGEREF _Toc393373722 \h </w:instrText>
            </w:r>
            <w:r w:rsidR="00DA0167">
              <w:rPr>
                <w:noProof/>
                <w:webHidden/>
              </w:rPr>
            </w:r>
            <w:r w:rsidR="00DA0167">
              <w:rPr>
                <w:noProof/>
                <w:webHidden/>
              </w:rPr>
              <w:fldChar w:fldCharType="separate"/>
            </w:r>
            <w:r w:rsidR="001E41B5">
              <w:rPr>
                <w:noProof/>
                <w:webHidden/>
              </w:rPr>
              <w:t>1</w:t>
            </w:r>
            <w:r w:rsidR="00DA0167">
              <w:rPr>
                <w:noProof/>
                <w:webHidden/>
              </w:rPr>
              <w:fldChar w:fldCharType="end"/>
            </w:r>
          </w:hyperlink>
        </w:p>
        <w:p w14:paraId="0F2A4902" w14:textId="77777777" w:rsidR="00DA0167" w:rsidRDefault="00496768" w:rsidP="00DA0167">
          <w:pPr>
            <w:pStyle w:val="TOC1"/>
            <w:tabs>
              <w:tab w:val="center" w:pos="9360"/>
            </w:tabs>
            <w:rPr>
              <w:rFonts w:asciiTheme="minorHAnsi" w:eastAsiaTheme="minorEastAsia" w:hAnsiTheme="minorHAnsi" w:cstheme="minorBidi"/>
              <w:b w:val="0"/>
              <w:bCs w:val="0"/>
              <w:caps w:val="0"/>
              <w:noProof/>
              <w:sz w:val="22"/>
              <w:lang w:eastAsia="en-GB" w:bidi="ar-SA"/>
            </w:rPr>
          </w:pPr>
          <w:hyperlink w:anchor="_Toc393373723" w:history="1">
            <w:r w:rsidR="00DA0167" w:rsidRPr="00E01883">
              <w:rPr>
                <w:rStyle w:val="Hyperlink"/>
                <w:noProof/>
              </w:rPr>
              <w:t>PART I: NARRATIVE REPORT</w:t>
            </w:r>
            <w:r w:rsidR="00DA0167">
              <w:rPr>
                <w:noProof/>
                <w:webHidden/>
              </w:rPr>
              <w:tab/>
            </w:r>
            <w:r w:rsidR="00DA0167">
              <w:rPr>
                <w:noProof/>
                <w:webHidden/>
              </w:rPr>
              <w:fldChar w:fldCharType="begin"/>
            </w:r>
            <w:r w:rsidR="00DA0167">
              <w:rPr>
                <w:noProof/>
                <w:webHidden/>
              </w:rPr>
              <w:instrText xml:space="preserve"> PAGEREF _Toc393373723 \h </w:instrText>
            </w:r>
            <w:r w:rsidR="00DA0167">
              <w:rPr>
                <w:noProof/>
                <w:webHidden/>
              </w:rPr>
            </w:r>
            <w:r w:rsidR="00DA0167">
              <w:rPr>
                <w:noProof/>
                <w:webHidden/>
              </w:rPr>
              <w:fldChar w:fldCharType="separate"/>
            </w:r>
            <w:r w:rsidR="001E41B5">
              <w:rPr>
                <w:noProof/>
                <w:webHidden/>
              </w:rPr>
              <w:t>1</w:t>
            </w:r>
            <w:r w:rsidR="00DA0167">
              <w:rPr>
                <w:noProof/>
                <w:webHidden/>
              </w:rPr>
              <w:fldChar w:fldCharType="end"/>
            </w:r>
          </w:hyperlink>
        </w:p>
        <w:p w14:paraId="643F98FB" w14:textId="77777777"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24" w:history="1">
            <w:r w:rsidR="00DA0167" w:rsidRPr="00E01883">
              <w:rPr>
                <w:rStyle w:val="Hyperlink"/>
                <w:noProof/>
              </w:rPr>
              <w:t>1.</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Background and Context</w:t>
            </w:r>
            <w:r w:rsidR="00DA0167">
              <w:rPr>
                <w:noProof/>
                <w:webHidden/>
              </w:rPr>
              <w:tab/>
            </w:r>
            <w:r w:rsidR="00DA0167">
              <w:rPr>
                <w:noProof/>
                <w:webHidden/>
              </w:rPr>
              <w:fldChar w:fldCharType="begin"/>
            </w:r>
            <w:r w:rsidR="00DA0167">
              <w:rPr>
                <w:noProof/>
                <w:webHidden/>
              </w:rPr>
              <w:instrText xml:space="preserve"> PAGEREF _Toc393373724 \h </w:instrText>
            </w:r>
            <w:r w:rsidR="00DA0167">
              <w:rPr>
                <w:noProof/>
                <w:webHidden/>
              </w:rPr>
            </w:r>
            <w:r w:rsidR="00DA0167">
              <w:rPr>
                <w:noProof/>
                <w:webHidden/>
              </w:rPr>
              <w:fldChar w:fldCharType="separate"/>
            </w:r>
            <w:r w:rsidR="001E41B5">
              <w:rPr>
                <w:noProof/>
                <w:webHidden/>
              </w:rPr>
              <w:t>1</w:t>
            </w:r>
            <w:r w:rsidR="00DA0167">
              <w:rPr>
                <w:noProof/>
                <w:webHidden/>
              </w:rPr>
              <w:fldChar w:fldCharType="end"/>
            </w:r>
          </w:hyperlink>
        </w:p>
        <w:p w14:paraId="76DCCB6B" w14:textId="77777777"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25" w:history="1">
            <w:r w:rsidR="00DA0167" w:rsidRPr="00E01883">
              <w:rPr>
                <w:rStyle w:val="Hyperlink"/>
                <w:noProof/>
              </w:rPr>
              <w:t>2.</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Project Summary and Objectives</w:t>
            </w:r>
            <w:r w:rsidR="00DA0167">
              <w:rPr>
                <w:noProof/>
                <w:webHidden/>
              </w:rPr>
              <w:tab/>
            </w:r>
            <w:r w:rsidR="00DA0167">
              <w:rPr>
                <w:noProof/>
                <w:webHidden/>
              </w:rPr>
              <w:fldChar w:fldCharType="begin"/>
            </w:r>
            <w:r w:rsidR="00DA0167">
              <w:rPr>
                <w:noProof/>
                <w:webHidden/>
              </w:rPr>
              <w:instrText xml:space="preserve"> PAGEREF _Toc393373725 \h </w:instrText>
            </w:r>
            <w:r w:rsidR="00DA0167">
              <w:rPr>
                <w:noProof/>
                <w:webHidden/>
              </w:rPr>
            </w:r>
            <w:r w:rsidR="00DA0167">
              <w:rPr>
                <w:noProof/>
                <w:webHidden/>
              </w:rPr>
              <w:fldChar w:fldCharType="separate"/>
            </w:r>
            <w:r w:rsidR="001E41B5">
              <w:rPr>
                <w:noProof/>
                <w:webHidden/>
              </w:rPr>
              <w:t>2</w:t>
            </w:r>
            <w:r w:rsidR="00DA0167">
              <w:rPr>
                <w:noProof/>
                <w:webHidden/>
              </w:rPr>
              <w:fldChar w:fldCharType="end"/>
            </w:r>
          </w:hyperlink>
        </w:p>
        <w:p w14:paraId="0F74B9D7"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28" w:history="1">
            <w:r w:rsidR="00DA0167" w:rsidRPr="00E01883">
              <w:rPr>
                <w:rStyle w:val="Hyperlink"/>
                <w:noProof/>
              </w:rPr>
              <w:t>2.1</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Project Summary</w:t>
            </w:r>
            <w:r w:rsidR="00DA0167">
              <w:rPr>
                <w:noProof/>
                <w:webHidden/>
              </w:rPr>
              <w:tab/>
            </w:r>
            <w:r w:rsidR="00DA0167">
              <w:rPr>
                <w:noProof/>
                <w:webHidden/>
              </w:rPr>
              <w:fldChar w:fldCharType="begin"/>
            </w:r>
            <w:r w:rsidR="00DA0167">
              <w:rPr>
                <w:noProof/>
                <w:webHidden/>
              </w:rPr>
              <w:instrText xml:space="preserve"> PAGEREF _Toc393373728 \h </w:instrText>
            </w:r>
            <w:r w:rsidR="00DA0167">
              <w:rPr>
                <w:noProof/>
                <w:webHidden/>
              </w:rPr>
            </w:r>
            <w:r w:rsidR="00DA0167">
              <w:rPr>
                <w:noProof/>
                <w:webHidden/>
              </w:rPr>
              <w:fldChar w:fldCharType="separate"/>
            </w:r>
            <w:r w:rsidR="001E41B5">
              <w:rPr>
                <w:noProof/>
                <w:webHidden/>
              </w:rPr>
              <w:t>2</w:t>
            </w:r>
            <w:r w:rsidR="00DA0167">
              <w:rPr>
                <w:noProof/>
                <w:webHidden/>
              </w:rPr>
              <w:fldChar w:fldCharType="end"/>
            </w:r>
          </w:hyperlink>
        </w:p>
        <w:p w14:paraId="0C0A2B39"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29" w:history="1">
            <w:r w:rsidR="00DA0167" w:rsidRPr="00E01883">
              <w:rPr>
                <w:rStyle w:val="Hyperlink"/>
                <w:noProof/>
              </w:rPr>
              <w:t>2.2</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Outcomes</w:t>
            </w:r>
            <w:r w:rsidR="00DA0167">
              <w:rPr>
                <w:noProof/>
                <w:webHidden/>
              </w:rPr>
              <w:tab/>
            </w:r>
            <w:r w:rsidR="00DA0167">
              <w:rPr>
                <w:noProof/>
                <w:webHidden/>
              </w:rPr>
              <w:fldChar w:fldCharType="begin"/>
            </w:r>
            <w:r w:rsidR="00DA0167">
              <w:rPr>
                <w:noProof/>
                <w:webHidden/>
              </w:rPr>
              <w:instrText xml:space="preserve"> PAGEREF _Toc393373729 \h </w:instrText>
            </w:r>
            <w:r w:rsidR="00DA0167">
              <w:rPr>
                <w:noProof/>
                <w:webHidden/>
              </w:rPr>
            </w:r>
            <w:r w:rsidR="00DA0167">
              <w:rPr>
                <w:noProof/>
                <w:webHidden/>
              </w:rPr>
              <w:fldChar w:fldCharType="separate"/>
            </w:r>
            <w:r w:rsidR="001E41B5">
              <w:rPr>
                <w:noProof/>
                <w:webHidden/>
              </w:rPr>
              <w:t>3</w:t>
            </w:r>
            <w:r w:rsidR="00DA0167">
              <w:rPr>
                <w:noProof/>
                <w:webHidden/>
              </w:rPr>
              <w:fldChar w:fldCharType="end"/>
            </w:r>
          </w:hyperlink>
        </w:p>
        <w:p w14:paraId="7D28F36F" w14:textId="77777777"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30" w:history="1">
            <w:r w:rsidR="00DA0167" w:rsidRPr="00E01883">
              <w:rPr>
                <w:rStyle w:val="Hyperlink"/>
                <w:noProof/>
              </w:rPr>
              <w:t>3.</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Implementation and Monitoring Arrangements</w:t>
            </w:r>
            <w:r w:rsidR="00DA0167">
              <w:rPr>
                <w:noProof/>
                <w:webHidden/>
              </w:rPr>
              <w:tab/>
            </w:r>
            <w:r w:rsidR="00DA0167">
              <w:rPr>
                <w:noProof/>
                <w:webHidden/>
              </w:rPr>
              <w:fldChar w:fldCharType="begin"/>
            </w:r>
            <w:r w:rsidR="00DA0167">
              <w:rPr>
                <w:noProof/>
                <w:webHidden/>
              </w:rPr>
              <w:instrText xml:space="preserve"> PAGEREF _Toc393373730 \h </w:instrText>
            </w:r>
            <w:r w:rsidR="00DA0167">
              <w:rPr>
                <w:noProof/>
                <w:webHidden/>
              </w:rPr>
            </w:r>
            <w:r w:rsidR="00DA0167">
              <w:rPr>
                <w:noProof/>
                <w:webHidden/>
              </w:rPr>
              <w:fldChar w:fldCharType="separate"/>
            </w:r>
            <w:r w:rsidR="001E41B5">
              <w:rPr>
                <w:noProof/>
                <w:webHidden/>
              </w:rPr>
              <w:t>5</w:t>
            </w:r>
            <w:r w:rsidR="00DA0167">
              <w:rPr>
                <w:noProof/>
                <w:webHidden/>
              </w:rPr>
              <w:fldChar w:fldCharType="end"/>
            </w:r>
          </w:hyperlink>
        </w:p>
        <w:p w14:paraId="270FDF57"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32" w:history="1">
            <w:r w:rsidR="00DA0167" w:rsidRPr="00E01883">
              <w:rPr>
                <w:rStyle w:val="Hyperlink"/>
                <w:noProof/>
              </w:rPr>
              <w:t>3.1</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Implementation: Roles of UN Partner Agencies and Monitoring Arrangements</w:t>
            </w:r>
            <w:r w:rsidR="00DA0167">
              <w:rPr>
                <w:noProof/>
                <w:webHidden/>
              </w:rPr>
              <w:tab/>
            </w:r>
            <w:r w:rsidR="00DA0167">
              <w:rPr>
                <w:noProof/>
                <w:webHidden/>
              </w:rPr>
              <w:fldChar w:fldCharType="begin"/>
            </w:r>
            <w:r w:rsidR="00DA0167">
              <w:rPr>
                <w:noProof/>
                <w:webHidden/>
              </w:rPr>
              <w:instrText xml:space="preserve"> PAGEREF _Toc393373732 \h </w:instrText>
            </w:r>
            <w:r w:rsidR="00DA0167">
              <w:rPr>
                <w:noProof/>
                <w:webHidden/>
              </w:rPr>
            </w:r>
            <w:r w:rsidR="00DA0167">
              <w:rPr>
                <w:noProof/>
                <w:webHidden/>
              </w:rPr>
              <w:fldChar w:fldCharType="separate"/>
            </w:r>
            <w:r w:rsidR="001E41B5">
              <w:rPr>
                <w:noProof/>
                <w:webHidden/>
              </w:rPr>
              <w:t>5</w:t>
            </w:r>
            <w:r w:rsidR="00DA0167">
              <w:rPr>
                <w:noProof/>
                <w:webHidden/>
              </w:rPr>
              <w:fldChar w:fldCharType="end"/>
            </w:r>
          </w:hyperlink>
        </w:p>
        <w:p w14:paraId="26F7C361"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33" w:history="1">
            <w:r w:rsidR="00DA0167" w:rsidRPr="00E01883">
              <w:rPr>
                <w:rStyle w:val="Hyperlink"/>
                <w:noProof/>
              </w:rPr>
              <w:t>3.2</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Financial Resources</w:t>
            </w:r>
            <w:r w:rsidR="00DA0167">
              <w:rPr>
                <w:noProof/>
                <w:webHidden/>
              </w:rPr>
              <w:tab/>
            </w:r>
            <w:r w:rsidR="00DA0167">
              <w:rPr>
                <w:noProof/>
                <w:webHidden/>
              </w:rPr>
              <w:fldChar w:fldCharType="begin"/>
            </w:r>
            <w:r w:rsidR="00DA0167">
              <w:rPr>
                <w:noProof/>
                <w:webHidden/>
              </w:rPr>
              <w:instrText xml:space="preserve"> PAGEREF _Toc393373733 \h </w:instrText>
            </w:r>
            <w:r w:rsidR="00DA0167">
              <w:rPr>
                <w:noProof/>
                <w:webHidden/>
              </w:rPr>
            </w:r>
            <w:r w:rsidR="00DA0167">
              <w:rPr>
                <w:noProof/>
                <w:webHidden/>
              </w:rPr>
              <w:fldChar w:fldCharType="separate"/>
            </w:r>
            <w:r w:rsidR="001E41B5">
              <w:rPr>
                <w:noProof/>
                <w:webHidden/>
              </w:rPr>
              <w:t>6</w:t>
            </w:r>
            <w:r w:rsidR="00DA0167">
              <w:rPr>
                <w:noProof/>
                <w:webHidden/>
              </w:rPr>
              <w:fldChar w:fldCharType="end"/>
            </w:r>
          </w:hyperlink>
        </w:p>
        <w:p w14:paraId="0A0F319D"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34" w:history="1">
            <w:r w:rsidR="00DA0167" w:rsidRPr="00E01883">
              <w:rPr>
                <w:rStyle w:val="Hyperlink"/>
                <w:noProof/>
              </w:rPr>
              <w:t>3.3</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Human Resources</w:t>
            </w:r>
            <w:r w:rsidR="00DA0167">
              <w:rPr>
                <w:noProof/>
                <w:webHidden/>
              </w:rPr>
              <w:tab/>
            </w:r>
            <w:r w:rsidR="00DA0167">
              <w:rPr>
                <w:noProof/>
                <w:webHidden/>
              </w:rPr>
              <w:fldChar w:fldCharType="begin"/>
            </w:r>
            <w:r w:rsidR="00DA0167">
              <w:rPr>
                <w:noProof/>
                <w:webHidden/>
              </w:rPr>
              <w:instrText xml:space="preserve"> PAGEREF _Toc393373734 \h </w:instrText>
            </w:r>
            <w:r w:rsidR="00DA0167">
              <w:rPr>
                <w:noProof/>
                <w:webHidden/>
              </w:rPr>
            </w:r>
            <w:r w:rsidR="00DA0167">
              <w:rPr>
                <w:noProof/>
                <w:webHidden/>
              </w:rPr>
              <w:fldChar w:fldCharType="separate"/>
            </w:r>
            <w:r w:rsidR="001E41B5">
              <w:rPr>
                <w:noProof/>
                <w:webHidden/>
              </w:rPr>
              <w:t>6</w:t>
            </w:r>
            <w:r w:rsidR="00DA0167">
              <w:rPr>
                <w:noProof/>
                <w:webHidden/>
              </w:rPr>
              <w:fldChar w:fldCharType="end"/>
            </w:r>
          </w:hyperlink>
        </w:p>
        <w:p w14:paraId="03EF118E" w14:textId="77777777" w:rsidR="00DA0167" w:rsidRDefault="00496768" w:rsidP="00DA0167">
          <w:pPr>
            <w:pStyle w:val="TOC3"/>
            <w:tabs>
              <w:tab w:val="center" w:pos="9360"/>
            </w:tabs>
            <w:rPr>
              <w:rFonts w:asciiTheme="minorHAnsi" w:eastAsiaTheme="minorEastAsia" w:hAnsiTheme="minorHAnsi" w:cstheme="minorBidi"/>
              <w:noProof/>
              <w:sz w:val="22"/>
              <w:szCs w:val="22"/>
              <w:lang w:eastAsia="en-GB" w:bidi="ar-SA"/>
            </w:rPr>
          </w:pPr>
          <w:hyperlink w:anchor="_Toc393373735" w:history="1">
            <w:r w:rsidR="00DA0167" w:rsidRPr="00E01883">
              <w:rPr>
                <w:rStyle w:val="Hyperlink"/>
                <w:noProof/>
              </w:rPr>
              <w:t xml:space="preserve">3.4   </w:t>
            </w:r>
            <w:r w:rsidR="00EB77CF">
              <w:rPr>
                <w:rStyle w:val="Hyperlink"/>
                <w:noProof/>
              </w:rPr>
              <w:t xml:space="preserve">  </w:t>
            </w:r>
            <w:r w:rsidR="00DA0167" w:rsidRPr="00E01883">
              <w:rPr>
                <w:rStyle w:val="Hyperlink"/>
                <w:noProof/>
              </w:rPr>
              <w:t>Procurement Procedures</w:t>
            </w:r>
            <w:r w:rsidR="00DA0167">
              <w:rPr>
                <w:noProof/>
                <w:webHidden/>
              </w:rPr>
              <w:tab/>
            </w:r>
            <w:r w:rsidR="00DA0167">
              <w:rPr>
                <w:noProof/>
                <w:webHidden/>
              </w:rPr>
              <w:fldChar w:fldCharType="begin"/>
            </w:r>
            <w:r w:rsidR="00DA0167">
              <w:rPr>
                <w:noProof/>
                <w:webHidden/>
              </w:rPr>
              <w:instrText xml:space="preserve"> PAGEREF _Toc393373735 \h </w:instrText>
            </w:r>
            <w:r w:rsidR="00DA0167">
              <w:rPr>
                <w:noProof/>
                <w:webHidden/>
              </w:rPr>
            </w:r>
            <w:r w:rsidR="00DA0167">
              <w:rPr>
                <w:noProof/>
                <w:webHidden/>
              </w:rPr>
              <w:fldChar w:fldCharType="separate"/>
            </w:r>
            <w:r w:rsidR="001E41B5">
              <w:rPr>
                <w:noProof/>
                <w:webHidden/>
              </w:rPr>
              <w:t>9</w:t>
            </w:r>
            <w:r w:rsidR="00DA0167">
              <w:rPr>
                <w:noProof/>
                <w:webHidden/>
              </w:rPr>
              <w:fldChar w:fldCharType="end"/>
            </w:r>
          </w:hyperlink>
        </w:p>
        <w:p w14:paraId="05812CF0"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36" w:history="1">
            <w:r w:rsidR="00DA0167" w:rsidRPr="00E01883">
              <w:rPr>
                <w:rStyle w:val="Hyperlink"/>
                <w:noProof/>
              </w:rPr>
              <w:t>3.5</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Monitoring Arrangements</w:t>
            </w:r>
            <w:r w:rsidR="00DA0167">
              <w:rPr>
                <w:noProof/>
                <w:webHidden/>
              </w:rPr>
              <w:tab/>
            </w:r>
            <w:r w:rsidR="00DA0167">
              <w:rPr>
                <w:noProof/>
                <w:webHidden/>
              </w:rPr>
              <w:fldChar w:fldCharType="begin"/>
            </w:r>
            <w:r w:rsidR="00DA0167">
              <w:rPr>
                <w:noProof/>
                <w:webHidden/>
              </w:rPr>
              <w:instrText xml:space="preserve"> PAGEREF _Toc393373736 \h </w:instrText>
            </w:r>
            <w:r w:rsidR="00DA0167">
              <w:rPr>
                <w:noProof/>
                <w:webHidden/>
              </w:rPr>
            </w:r>
            <w:r w:rsidR="00DA0167">
              <w:rPr>
                <w:noProof/>
                <w:webHidden/>
              </w:rPr>
              <w:fldChar w:fldCharType="separate"/>
            </w:r>
            <w:r w:rsidR="001E41B5">
              <w:rPr>
                <w:noProof/>
                <w:webHidden/>
              </w:rPr>
              <w:t>9</w:t>
            </w:r>
            <w:r w:rsidR="00DA0167">
              <w:rPr>
                <w:noProof/>
                <w:webHidden/>
              </w:rPr>
              <w:fldChar w:fldCharType="end"/>
            </w:r>
          </w:hyperlink>
        </w:p>
        <w:p w14:paraId="47A59714" w14:textId="41EC7C1F"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37" w:history="1">
            <w:r w:rsidR="00DA0167" w:rsidRPr="00E01883">
              <w:rPr>
                <w:rStyle w:val="Hyperlink"/>
                <w:noProof/>
              </w:rPr>
              <w:t>3.6</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UNIRP Information Management System (IMS)</w:t>
            </w:r>
            <w:r w:rsidR="00DA0167">
              <w:rPr>
                <w:noProof/>
                <w:webHidden/>
              </w:rPr>
              <w:tab/>
            </w:r>
            <w:r w:rsidR="00DA0167">
              <w:rPr>
                <w:noProof/>
                <w:webHidden/>
              </w:rPr>
              <w:fldChar w:fldCharType="begin"/>
            </w:r>
            <w:r w:rsidR="00DA0167">
              <w:rPr>
                <w:noProof/>
                <w:webHidden/>
              </w:rPr>
              <w:instrText xml:space="preserve"> PAGEREF _Toc393373737 \h </w:instrText>
            </w:r>
            <w:r w:rsidR="00DA0167">
              <w:rPr>
                <w:noProof/>
                <w:webHidden/>
              </w:rPr>
            </w:r>
            <w:r w:rsidR="00DA0167">
              <w:rPr>
                <w:noProof/>
                <w:webHidden/>
              </w:rPr>
              <w:fldChar w:fldCharType="separate"/>
            </w:r>
            <w:r w:rsidR="001E41B5">
              <w:rPr>
                <w:noProof/>
                <w:webHidden/>
              </w:rPr>
              <w:t>10</w:t>
            </w:r>
            <w:r w:rsidR="00DA0167">
              <w:rPr>
                <w:noProof/>
                <w:webHidden/>
              </w:rPr>
              <w:fldChar w:fldCharType="end"/>
            </w:r>
          </w:hyperlink>
        </w:p>
        <w:p w14:paraId="36A1B455" w14:textId="77777777"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38" w:history="1">
            <w:r w:rsidR="00DA0167" w:rsidRPr="00E01883">
              <w:rPr>
                <w:rStyle w:val="Hyperlink"/>
                <w:noProof/>
              </w:rPr>
              <w:t>4.</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Evaluation and Studies</w:t>
            </w:r>
            <w:r w:rsidR="00DA0167">
              <w:rPr>
                <w:noProof/>
                <w:webHidden/>
              </w:rPr>
              <w:tab/>
            </w:r>
            <w:r w:rsidR="00DA0167">
              <w:rPr>
                <w:noProof/>
                <w:webHidden/>
              </w:rPr>
              <w:fldChar w:fldCharType="begin"/>
            </w:r>
            <w:r w:rsidR="00DA0167">
              <w:rPr>
                <w:noProof/>
                <w:webHidden/>
              </w:rPr>
              <w:instrText xml:space="preserve"> PAGEREF _Toc393373738 \h </w:instrText>
            </w:r>
            <w:r w:rsidR="00DA0167">
              <w:rPr>
                <w:noProof/>
                <w:webHidden/>
              </w:rPr>
            </w:r>
            <w:r w:rsidR="00DA0167">
              <w:rPr>
                <w:noProof/>
                <w:webHidden/>
              </w:rPr>
              <w:fldChar w:fldCharType="separate"/>
            </w:r>
            <w:r w:rsidR="001E41B5">
              <w:rPr>
                <w:noProof/>
                <w:webHidden/>
              </w:rPr>
              <w:t>11</w:t>
            </w:r>
            <w:r w:rsidR="00DA0167">
              <w:rPr>
                <w:noProof/>
                <w:webHidden/>
              </w:rPr>
              <w:fldChar w:fldCharType="end"/>
            </w:r>
          </w:hyperlink>
        </w:p>
        <w:p w14:paraId="748FE117" w14:textId="77777777"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39" w:history="1">
            <w:r w:rsidR="00DA0167" w:rsidRPr="00E01883">
              <w:rPr>
                <w:rStyle w:val="Hyperlink"/>
                <w:noProof/>
              </w:rPr>
              <w:t>5.</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Narrative of Key Programme Results</w:t>
            </w:r>
            <w:r w:rsidR="00DA0167">
              <w:rPr>
                <w:noProof/>
                <w:webHidden/>
              </w:rPr>
              <w:tab/>
            </w:r>
            <w:r w:rsidR="00DA0167">
              <w:rPr>
                <w:noProof/>
                <w:webHidden/>
              </w:rPr>
              <w:fldChar w:fldCharType="begin"/>
            </w:r>
            <w:r w:rsidR="00DA0167">
              <w:rPr>
                <w:noProof/>
                <w:webHidden/>
              </w:rPr>
              <w:instrText xml:space="preserve"> PAGEREF _Toc393373739 \h </w:instrText>
            </w:r>
            <w:r w:rsidR="00DA0167">
              <w:rPr>
                <w:noProof/>
                <w:webHidden/>
              </w:rPr>
            </w:r>
            <w:r w:rsidR="00DA0167">
              <w:rPr>
                <w:noProof/>
                <w:webHidden/>
              </w:rPr>
              <w:fldChar w:fldCharType="separate"/>
            </w:r>
            <w:r w:rsidR="001E41B5">
              <w:rPr>
                <w:noProof/>
                <w:webHidden/>
              </w:rPr>
              <w:t>14</w:t>
            </w:r>
            <w:r w:rsidR="00DA0167">
              <w:rPr>
                <w:noProof/>
                <w:webHidden/>
              </w:rPr>
              <w:fldChar w:fldCharType="end"/>
            </w:r>
          </w:hyperlink>
        </w:p>
        <w:p w14:paraId="4EBB22BF" w14:textId="7777777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40" w:history="1">
            <w:r w:rsidR="00DA0167" w:rsidRPr="00E01883">
              <w:rPr>
                <w:rStyle w:val="Hyperlink"/>
                <w:noProof/>
              </w:rPr>
              <w:t>5.1</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Report on Progress Against AWP Targets</w:t>
            </w:r>
            <w:r w:rsidR="00DA0167">
              <w:rPr>
                <w:noProof/>
                <w:webHidden/>
              </w:rPr>
              <w:tab/>
            </w:r>
            <w:r w:rsidR="00DA0167">
              <w:rPr>
                <w:noProof/>
                <w:webHidden/>
              </w:rPr>
              <w:fldChar w:fldCharType="begin"/>
            </w:r>
            <w:r w:rsidR="00DA0167">
              <w:rPr>
                <w:noProof/>
                <w:webHidden/>
              </w:rPr>
              <w:instrText xml:space="preserve"> PAGEREF _Toc393373740 \h </w:instrText>
            </w:r>
            <w:r w:rsidR="00DA0167">
              <w:rPr>
                <w:noProof/>
                <w:webHidden/>
              </w:rPr>
            </w:r>
            <w:r w:rsidR="00DA0167">
              <w:rPr>
                <w:noProof/>
                <w:webHidden/>
              </w:rPr>
              <w:fldChar w:fldCharType="separate"/>
            </w:r>
            <w:r w:rsidR="001E41B5">
              <w:rPr>
                <w:noProof/>
                <w:webHidden/>
              </w:rPr>
              <w:t>14</w:t>
            </w:r>
            <w:r w:rsidR="00DA0167">
              <w:rPr>
                <w:noProof/>
                <w:webHidden/>
              </w:rPr>
              <w:fldChar w:fldCharType="end"/>
            </w:r>
          </w:hyperlink>
        </w:p>
        <w:p w14:paraId="7C30C8BC" w14:textId="286279DE"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41" w:history="1">
            <w:r w:rsidR="00DA0167" w:rsidRPr="00E01883">
              <w:rPr>
                <w:rStyle w:val="Hyperlink"/>
                <w:noProof/>
              </w:rPr>
              <w:t>5.2</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Implementation Issues &amp; Major Challenges</w:t>
            </w:r>
            <w:r w:rsidR="00DA0167">
              <w:rPr>
                <w:noProof/>
                <w:webHidden/>
              </w:rPr>
              <w:tab/>
            </w:r>
            <w:r w:rsidR="00DA0167">
              <w:rPr>
                <w:noProof/>
                <w:webHidden/>
              </w:rPr>
              <w:fldChar w:fldCharType="begin"/>
            </w:r>
            <w:r w:rsidR="00DA0167">
              <w:rPr>
                <w:noProof/>
                <w:webHidden/>
              </w:rPr>
              <w:instrText xml:space="preserve"> PAGEREF _Toc393373741 \h </w:instrText>
            </w:r>
            <w:r w:rsidR="00DA0167">
              <w:rPr>
                <w:noProof/>
                <w:webHidden/>
              </w:rPr>
            </w:r>
            <w:r w:rsidR="00DA0167">
              <w:rPr>
                <w:noProof/>
                <w:webHidden/>
              </w:rPr>
              <w:fldChar w:fldCharType="separate"/>
            </w:r>
            <w:r w:rsidR="001E41B5">
              <w:rPr>
                <w:noProof/>
                <w:webHidden/>
              </w:rPr>
              <w:t>22</w:t>
            </w:r>
            <w:r w:rsidR="00DA0167">
              <w:rPr>
                <w:noProof/>
                <w:webHidden/>
              </w:rPr>
              <w:fldChar w:fldCharType="end"/>
            </w:r>
          </w:hyperlink>
        </w:p>
        <w:p w14:paraId="7691BBD8" w14:textId="64EA13DC"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42" w:history="1">
            <w:r w:rsidR="00DA0167" w:rsidRPr="00E01883">
              <w:rPr>
                <w:rStyle w:val="Hyperlink"/>
                <w:noProof/>
              </w:rPr>
              <w:t>5.3</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Lessons Learned and Best Practices</w:t>
            </w:r>
            <w:r w:rsidR="00DA0167">
              <w:rPr>
                <w:noProof/>
                <w:webHidden/>
              </w:rPr>
              <w:tab/>
            </w:r>
            <w:r w:rsidR="00DA0167">
              <w:rPr>
                <w:noProof/>
                <w:webHidden/>
              </w:rPr>
              <w:fldChar w:fldCharType="begin"/>
            </w:r>
            <w:r w:rsidR="00DA0167">
              <w:rPr>
                <w:noProof/>
                <w:webHidden/>
              </w:rPr>
              <w:instrText xml:space="preserve"> PAGEREF _Toc393373742 \h </w:instrText>
            </w:r>
            <w:r w:rsidR="00DA0167">
              <w:rPr>
                <w:noProof/>
                <w:webHidden/>
              </w:rPr>
            </w:r>
            <w:r w:rsidR="00DA0167">
              <w:rPr>
                <w:noProof/>
                <w:webHidden/>
              </w:rPr>
              <w:fldChar w:fldCharType="separate"/>
            </w:r>
            <w:r w:rsidR="001E41B5">
              <w:rPr>
                <w:noProof/>
                <w:webHidden/>
              </w:rPr>
              <w:t>23</w:t>
            </w:r>
            <w:r w:rsidR="00DA0167">
              <w:rPr>
                <w:noProof/>
                <w:webHidden/>
              </w:rPr>
              <w:fldChar w:fldCharType="end"/>
            </w:r>
          </w:hyperlink>
        </w:p>
        <w:p w14:paraId="4FE04EDF" w14:textId="0308D370"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43" w:history="1">
            <w:r w:rsidR="00DA0167" w:rsidRPr="00E01883">
              <w:rPr>
                <w:rStyle w:val="Hyperlink"/>
                <w:noProof/>
              </w:rPr>
              <w:t>6.</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Indicator Based Performance Assessment</w:t>
            </w:r>
            <w:r w:rsidR="00DA0167">
              <w:rPr>
                <w:noProof/>
                <w:webHidden/>
              </w:rPr>
              <w:tab/>
            </w:r>
            <w:r w:rsidR="00DA0167">
              <w:rPr>
                <w:noProof/>
                <w:webHidden/>
              </w:rPr>
              <w:fldChar w:fldCharType="begin"/>
            </w:r>
            <w:r w:rsidR="00DA0167">
              <w:rPr>
                <w:noProof/>
                <w:webHidden/>
              </w:rPr>
              <w:instrText xml:space="preserve"> PAGEREF _Toc393373743 \h </w:instrText>
            </w:r>
            <w:r w:rsidR="00DA0167">
              <w:rPr>
                <w:noProof/>
                <w:webHidden/>
              </w:rPr>
            </w:r>
            <w:r w:rsidR="00DA0167">
              <w:rPr>
                <w:noProof/>
                <w:webHidden/>
              </w:rPr>
              <w:fldChar w:fldCharType="separate"/>
            </w:r>
            <w:r w:rsidR="001E41B5">
              <w:rPr>
                <w:noProof/>
                <w:webHidden/>
              </w:rPr>
              <w:t>26</w:t>
            </w:r>
            <w:r w:rsidR="00DA0167">
              <w:rPr>
                <w:noProof/>
                <w:webHidden/>
              </w:rPr>
              <w:fldChar w:fldCharType="end"/>
            </w:r>
          </w:hyperlink>
        </w:p>
        <w:p w14:paraId="6B3E8F29" w14:textId="04A4347A"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44" w:history="1">
            <w:r w:rsidR="00DA0167" w:rsidRPr="00E01883">
              <w:rPr>
                <w:rStyle w:val="Hyperlink"/>
                <w:noProof/>
              </w:rPr>
              <w:t>7.</w:t>
            </w:r>
            <w:r w:rsidR="00DA0167">
              <w:rPr>
                <w:rFonts w:asciiTheme="minorHAnsi" w:eastAsiaTheme="minorEastAsia" w:hAnsiTheme="minorHAnsi" w:cstheme="minorBidi"/>
                <w:b w:val="0"/>
                <w:bCs w:val="0"/>
                <w:noProof/>
                <w:sz w:val="22"/>
                <w:szCs w:val="22"/>
                <w:lang w:eastAsia="en-GB" w:bidi="ar-SA"/>
              </w:rPr>
              <w:tab/>
            </w:r>
            <w:r w:rsidR="00DA0167" w:rsidRPr="00E01883">
              <w:rPr>
                <w:rStyle w:val="Hyperlink"/>
                <w:noProof/>
              </w:rPr>
              <w:t>Cross Cutting Issues</w:t>
            </w:r>
            <w:r w:rsidR="00DA0167">
              <w:rPr>
                <w:noProof/>
                <w:webHidden/>
              </w:rPr>
              <w:tab/>
            </w:r>
            <w:r w:rsidR="00DA0167">
              <w:rPr>
                <w:noProof/>
                <w:webHidden/>
              </w:rPr>
              <w:fldChar w:fldCharType="begin"/>
            </w:r>
            <w:r w:rsidR="00DA0167">
              <w:rPr>
                <w:noProof/>
                <w:webHidden/>
              </w:rPr>
              <w:instrText xml:space="preserve"> PAGEREF _Toc393373744 \h </w:instrText>
            </w:r>
            <w:r w:rsidR="00DA0167">
              <w:rPr>
                <w:noProof/>
                <w:webHidden/>
              </w:rPr>
            </w:r>
            <w:r w:rsidR="00DA0167">
              <w:rPr>
                <w:noProof/>
                <w:webHidden/>
              </w:rPr>
              <w:fldChar w:fldCharType="separate"/>
            </w:r>
            <w:r w:rsidR="001E41B5">
              <w:rPr>
                <w:noProof/>
                <w:webHidden/>
              </w:rPr>
              <w:t>26</w:t>
            </w:r>
            <w:r w:rsidR="00DA0167">
              <w:rPr>
                <w:noProof/>
                <w:webHidden/>
              </w:rPr>
              <w:fldChar w:fldCharType="end"/>
            </w:r>
          </w:hyperlink>
        </w:p>
        <w:p w14:paraId="5A07030A" w14:textId="2A7DD60F"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45" w:history="1">
            <w:r w:rsidR="00DA0167" w:rsidRPr="00E01883">
              <w:rPr>
                <w:rStyle w:val="Hyperlink"/>
                <w:noProof/>
              </w:rPr>
              <w:t>7.1</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Sustainability of the Project</w:t>
            </w:r>
            <w:r w:rsidR="00DA0167">
              <w:rPr>
                <w:noProof/>
                <w:webHidden/>
              </w:rPr>
              <w:tab/>
            </w:r>
            <w:r w:rsidR="00DA0167">
              <w:rPr>
                <w:noProof/>
                <w:webHidden/>
              </w:rPr>
              <w:fldChar w:fldCharType="begin"/>
            </w:r>
            <w:r w:rsidR="00DA0167">
              <w:rPr>
                <w:noProof/>
                <w:webHidden/>
              </w:rPr>
              <w:instrText xml:space="preserve"> PAGEREF _Toc393373745 \h </w:instrText>
            </w:r>
            <w:r w:rsidR="00DA0167">
              <w:rPr>
                <w:noProof/>
                <w:webHidden/>
              </w:rPr>
            </w:r>
            <w:r w:rsidR="00DA0167">
              <w:rPr>
                <w:noProof/>
                <w:webHidden/>
              </w:rPr>
              <w:fldChar w:fldCharType="separate"/>
            </w:r>
            <w:r w:rsidR="001E41B5">
              <w:rPr>
                <w:noProof/>
                <w:webHidden/>
              </w:rPr>
              <w:t>36</w:t>
            </w:r>
            <w:r w:rsidR="00DA0167">
              <w:rPr>
                <w:noProof/>
                <w:webHidden/>
              </w:rPr>
              <w:fldChar w:fldCharType="end"/>
            </w:r>
          </w:hyperlink>
        </w:p>
        <w:p w14:paraId="5A0C8D3E" w14:textId="3889CE97" w:rsidR="00DA0167" w:rsidRDefault="00496768" w:rsidP="00DA0167">
          <w:pPr>
            <w:pStyle w:val="TOC3"/>
            <w:tabs>
              <w:tab w:val="left" w:pos="960"/>
              <w:tab w:val="center" w:pos="9360"/>
            </w:tabs>
            <w:rPr>
              <w:rFonts w:asciiTheme="minorHAnsi" w:eastAsiaTheme="minorEastAsia" w:hAnsiTheme="minorHAnsi" w:cstheme="minorBidi"/>
              <w:noProof/>
              <w:sz w:val="22"/>
              <w:szCs w:val="22"/>
              <w:lang w:eastAsia="en-GB" w:bidi="ar-SA"/>
            </w:rPr>
          </w:pPr>
          <w:hyperlink w:anchor="_Toc393373746" w:history="1">
            <w:r w:rsidR="00DA0167" w:rsidRPr="00E01883">
              <w:rPr>
                <w:rStyle w:val="Hyperlink"/>
                <w:noProof/>
              </w:rPr>
              <w:t>7.2</w:t>
            </w:r>
            <w:r w:rsidR="00DA0167">
              <w:rPr>
                <w:rFonts w:asciiTheme="minorHAnsi" w:eastAsiaTheme="minorEastAsia" w:hAnsiTheme="minorHAnsi" w:cstheme="minorBidi"/>
                <w:noProof/>
                <w:sz w:val="22"/>
                <w:szCs w:val="22"/>
                <w:lang w:eastAsia="en-GB" w:bidi="ar-SA"/>
              </w:rPr>
              <w:tab/>
            </w:r>
            <w:r w:rsidR="00DA0167" w:rsidRPr="00E01883">
              <w:rPr>
                <w:rStyle w:val="Hyperlink"/>
                <w:noProof/>
              </w:rPr>
              <w:t>South-South Cooperation</w:t>
            </w:r>
            <w:r w:rsidR="00DA0167">
              <w:rPr>
                <w:noProof/>
                <w:webHidden/>
              </w:rPr>
              <w:tab/>
            </w:r>
            <w:r w:rsidR="00DA0167">
              <w:rPr>
                <w:noProof/>
                <w:webHidden/>
              </w:rPr>
              <w:fldChar w:fldCharType="begin"/>
            </w:r>
            <w:r w:rsidR="00DA0167">
              <w:rPr>
                <w:noProof/>
                <w:webHidden/>
              </w:rPr>
              <w:instrText xml:space="preserve"> PAGEREF _Toc393373746 \h </w:instrText>
            </w:r>
            <w:r w:rsidR="00DA0167">
              <w:rPr>
                <w:noProof/>
                <w:webHidden/>
              </w:rPr>
            </w:r>
            <w:r w:rsidR="00DA0167">
              <w:rPr>
                <w:noProof/>
                <w:webHidden/>
              </w:rPr>
              <w:fldChar w:fldCharType="separate"/>
            </w:r>
            <w:r w:rsidR="001E41B5">
              <w:rPr>
                <w:noProof/>
                <w:webHidden/>
              </w:rPr>
              <w:t>37</w:t>
            </w:r>
            <w:r w:rsidR="00DA0167">
              <w:rPr>
                <w:noProof/>
                <w:webHidden/>
              </w:rPr>
              <w:fldChar w:fldCharType="end"/>
            </w:r>
          </w:hyperlink>
        </w:p>
        <w:p w14:paraId="2E9371F8" w14:textId="19C73696" w:rsidR="00DA0167" w:rsidRDefault="00496768" w:rsidP="00DA0167">
          <w:pPr>
            <w:pStyle w:val="TOC1"/>
            <w:tabs>
              <w:tab w:val="center" w:pos="9360"/>
            </w:tabs>
            <w:rPr>
              <w:rFonts w:asciiTheme="minorHAnsi" w:eastAsiaTheme="minorEastAsia" w:hAnsiTheme="minorHAnsi" w:cstheme="minorBidi"/>
              <w:b w:val="0"/>
              <w:bCs w:val="0"/>
              <w:caps w:val="0"/>
              <w:noProof/>
              <w:sz w:val="22"/>
              <w:lang w:eastAsia="en-GB" w:bidi="ar-SA"/>
            </w:rPr>
          </w:pPr>
          <w:hyperlink w:anchor="_Toc393373747" w:history="1">
            <w:r w:rsidR="00DA0167" w:rsidRPr="00E01883">
              <w:rPr>
                <w:rStyle w:val="Hyperlink"/>
                <w:noProof/>
              </w:rPr>
              <w:t>PART II: FINANCIAL REPORT</w:t>
            </w:r>
            <w:r w:rsidR="00DA0167">
              <w:rPr>
                <w:noProof/>
                <w:webHidden/>
              </w:rPr>
              <w:tab/>
            </w:r>
            <w:r w:rsidR="00DA0167">
              <w:rPr>
                <w:noProof/>
                <w:webHidden/>
              </w:rPr>
              <w:fldChar w:fldCharType="begin"/>
            </w:r>
            <w:r w:rsidR="00DA0167">
              <w:rPr>
                <w:noProof/>
                <w:webHidden/>
              </w:rPr>
              <w:instrText xml:space="preserve"> PAGEREF _Toc393373747 \h </w:instrText>
            </w:r>
            <w:r w:rsidR="00DA0167">
              <w:rPr>
                <w:noProof/>
                <w:webHidden/>
              </w:rPr>
            </w:r>
            <w:r w:rsidR="00DA0167">
              <w:rPr>
                <w:noProof/>
                <w:webHidden/>
              </w:rPr>
              <w:fldChar w:fldCharType="separate"/>
            </w:r>
            <w:r w:rsidR="001E41B5">
              <w:rPr>
                <w:b w:val="0"/>
                <w:bCs w:val="0"/>
                <w:noProof/>
                <w:webHidden/>
                <w:lang w:val="en-US"/>
              </w:rPr>
              <w:t>Error! Bookmark not defined.</w:t>
            </w:r>
            <w:r w:rsidR="00DA0167">
              <w:rPr>
                <w:noProof/>
                <w:webHidden/>
              </w:rPr>
              <w:fldChar w:fldCharType="end"/>
            </w:r>
          </w:hyperlink>
        </w:p>
        <w:p w14:paraId="698806E4" w14:textId="0A85CB72"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48" w:history="1">
            <w:r w:rsidR="00DA0167" w:rsidRPr="00E01883">
              <w:rPr>
                <w:rStyle w:val="Hyperlink"/>
                <w:noProof/>
              </w:rPr>
              <w:t>Revised Project Budget</w:t>
            </w:r>
            <w:r w:rsidR="00DA0167">
              <w:rPr>
                <w:noProof/>
                <w:webHidden/>
              </w:rPr>
              <w:tab/>
            </w:r>
            <w:r w:rsidR="00DA0167">
              <w:rPr>
                <w:noProof/>
                <w:webHidden/>
              </w:rPr>
              <w:fldChar w:fldCharType="begin"/>
            </w:r>
            <w:r w:rsidR="00DA0167">
              <w:rPr>
                <w:noProof/>
                <w:webHidden/>
              </w:rPr>
              <w:instrText xml:space="preserve"> PAGEREF _Toc393373748 \h </w:instrText>
            </w:r>
            <w:r w:rsidR="00DA0167">
              <w:rPr>
                <w:noProof/>
                <w:webHidden/>
              </w:rPr>
            </w:r>
            <w:r w:rsidR="00DA0167">
              <w:rPr>
                <w:noProof/>
                <w:webHidden/>
              </w:rPr>
              <w:fldChar w:fldCharType="separate"/>
            </w:r>
            <w:r w:rsidR="001E41B5">
              <w:rPr>
                <w:b w:val="0"/>
                <w:bCs w:val="0"/>
                <w:noProof/>
                <w:webHidden/>
                <w:lang w:val="en-US"/>
              </w:rPr>
              <w:t>Error! Bookmark not defined.</w:t>
            </w:r>
            <w:r w:rsidR="00DA0167">
              <w:rPr>
                <w:noProof/>
                <w:webHidden/>
              </w:rPr>
              <w:fldChar w:fldCharType="end"/>
            </w:r>
          </w:hyperlink>
        </w:p>
        <w:p w14:paraId="227D43D4" w14:textId="49DA9BAC" w:rsidR="00DA0167" w:rsidRDefault="00496768" w:rsidP="00DA0167">
          <w:pPr>
            <w:pStyle w:val="TOC2"/>
            <w:tabs>
              <w:tab w:val="center" w:pos="9360"/>
            </w:tabs>
            <w:rPr>
              <w:rFonts w:asciiTheme="minorHAnsi" w:eastAsiaTheme="minorEastAsia" w:hAnsiTheme="minorHAnsi" w:cstheme="minorBidi"/>
              <w:b w:val="0"/>
              <w:bCs w:val="0"/>
              <w:noProof/>
              <w:sz w:val="22"/>
              <w:szCs w:val="22"/>
              <w:lang w:eastAsia="en-GB" w:bidi="ar-SA"/>
            </w:rPr>
          </w:pPr>
          <w:hyperlink w:anchor="_Toc393373749" w:history="1">
            <w:r w:rsidR="00DA0167" w:rsidRPr="00E01883">
              <w:rPr>
                <w:rStyle w:val="Hyperlink"/>
                <w:noProof/>
              </w:rPr>
              <w:t>UN Interagency Rehabilitation Programme – Detailed Budget Analysis</w:t>
            </w:r>
            <w:r w:rsidR="00DA0167">
              <w:rPr>
                <w:noProof/>
                <w:webHidden/>
              </w:rPr>
              <w:tab/>
            </w:r>
            <w:r w:rsidR="00DA0167">
              <w:rPr>
                <w:noProof/>
                <w:webHidden/>
              </w:rPr>
              <w:fldChar w:fldCharType="begin"/>
            </w:r>
            <w:r w:rsidR="00DA0167">
              <w:rPr>
                <w:noProof/>
                <w:webHidden/>
              </w:rPr>
              <w:instrText xml:space="preserve"> PAGEREF _Toc393373749 \h </w:instrText>
            </w:r>
            <w:r w:rsidR="00DA0167">
              <w:rPr>
                <w:noProof/>
                <w:webHidden/>
              </w:rPr>
            </w:r>
            <w:r w:rsidR="00DA0167">
              <w:rPr>
                <w:noProof/>
                <w:webHidden/>
              </w:rPr>
              <w:fldChar w:fldCharType="separate"/>
            </w:r>
            <w:r w:rsidR="001E41B5">
              <w:rPr>
                <w:b w:val="0"/>
                <w:bCs w:val="0"/>
                <w:noProof/>
                <w:webHidden/>
                <w:lang w:val="en-US"/>
              </w:rPr>
              <w:t>Error! Bookmark not defined.</w:t>
            </w:r>
            <w:r w:rsidR="00DA0167">
              <w:rPr>
                <w:noProof/>
                <w:webHidden/>
              </w:rPr>
              <w:fldChar w:fldCharType="end"/>
            </w:r>
          </w:hyperlink>
        </w:p>
        <w:p w14:paraId="3A9FDE2E" w14:textId="77777777" w:rsidR="0043140D" w:rsidRPr="00ED37CF" w:rsidRDefault="00556C65" w:rsidP="00DA0167">
          <w:pPr>
            <w:tabs>
              <w:tab w:val="center" w:pos="9360"/>
              <w:tab w:val="right" w:pos="10620"/>
            </w:tabs>
          </w:pPr>
          <w:r w:rsidRPr="00ED37CF">
            <w:fldChar w:fldCharType="end"/>
          </w:r>
        </w:p>
      </w:sdtContent>
    </w:sdt>
    <w:p w14:paraId="221B4D19" w14:textId="77777777" w:rsidR="0043140D" w:rsidRPr="00ED37CF" w:rsidRDefault="0043140D">
      <w:pPr>
        <w:spacing w:after="200" w:line="276" w:lineRule="auto"/>
        <w:jc w:val="left"/>
        <w:rPr>
          <w:rFonts w:eastAsiaTheme="majorEastAsia" w:cstheme="majorBidi"/>
          <w:b/>
          <w:bCs/>
          <w:sz w:val="24"/>
          <w:szCs w:val="28"/>
        </w:rPr>
        <w:sectPr w:rsidR="0043140D" w:rsidRPr="00ED37CF" w:rsidSect="0043140D">
          <w:pgSz w:w="11909" w:h="16834" w:code="9"/>
          <w:pgMar w:top="1080" w:right="1080" w:bottom="1080" w:left="1440" w:header="720" w:footer="720" w:gutter="0"/>
          <w:cols w:space="720"/>
          <w:docGrid w:linePitch="360"/>
        </w:sectPr>
      </w:pPr>
    </w:p>
    <w:p w14:paraId="0C698F61" w14:textId="77777777" w:rsidR="001C4919" w:rsidRPr="00ED37CF" w:rsidRDefault="001C4919" w:rsidP="001C4919">
      <w:pPr>
        <w:pStyle w:val="Heading1"/>
      </w:pPr>
      <w:bookmarkStart w:id="8" w:name="_Toc393373722"/>
      <w:r w:rsidRPr="00ED37CF">
        <w:lastRenderedPageBreak/>
        <w:t>EXECUTIVE SUMMARY</w:t>
      </w:r>
      <w:bookmarkEnd w:id="0"/>
      <w:bookmarkEnd w:id="1"/>
      <w:bookmarkEnd w:id="2"/>
      <w:bookmarkEnd w:id="8"/>
    </w:p>
    <w:p w14:paraId="48AE20CE" w14:textId="77777777" w:rsidR="001C4919" w:rsidRPr="00ED37CF" w:rsidRDefault="001C4919" w:rsidP="0090750C">
      <w:r w:rsidRPr="00ED37CF">
        <w:t>The 2014 Final Programme Narrative Report (FPNR) on the United Nations Interagency Rehabilitation Programme (UNIRP) in Nepal covers the period from June 1, 2010 to December 31, 2014.</w:t>
      </w:r>
      <w:r w:rsidR="005E1EE9" w:rsidRPr="00ED37CF">
        <w:t xml:space="preserve"> </w:t>
      </w:r>
      <w:r w:rsidRPr="00ED37CF">
        <w:t>This report is in line with the Memorandum of Understanding (MoU) signed by participating United Nations (UN) agencies. The UNIRP FPNR is a consolidation of information, data and financial statements submitted by the Regional Offices (RO) and partnering UN agencies.</w:t>
      </w:r>
      <w:r w:rsidR="005E1EE9" w:rsidRPr="00ED37CF">
        <w:t xml:space="preserve"> </w:t>
      </w:r>
      <w:r w:rsidRPr="00ED37CF">
        <w:t>It is neither an evaluation nor a performance assessment of the programme.</w:t>
      </w:r>
      <w:r w:rsidR="005E1EE9" w:rsidRPr="00ED37CF">
        <w:t xml:space="preserve"> </w:t>
      </w:r>
      <w:r w:rsidRPr="00ED37CF">
        <w:t xml:space="preserve">It is designed to provide the United Nations Peace Fund </w:t>
      </w:r>
      <w:r w:rsidR="00EB77CF">
        <w:t>for</w:t>
      </w:r>
      <w:r w:rsidRPr="00ED37CF">
        <w:t xml:space="preserve"> Nepal (UNPFN) and UNIRP Project Board with a comprehensive overview of progress, achievements and challenges associated with the programme.</w:t>
      </w:r>
    </w:p>
    <w:p w14:paraId="5B2D4AE3" w14:textId="77777777" w:rsidR="001C4919" w:rsidRPr="00ED37CF" w:rsidRDefault="001C4919" w:rsidP="0090750C">
      <w:r w:rsidRPr="00ED37CF">
        <w:t>The UNIRP was established in June, 2010 to support the socio-economic rehabilitation of 4,008 individuals, who were verified as minors and late recruits (VMLR) of the Maoist army in late 2007 and were discharged from the Maoist army in early 2010. To meet this objective UNIRP provided four sectoral rehabilitation option packages (ROPs) including, Vocational Skills Training (VST), Micro Enterprise Training (ME), health-related training and education.</w:t>
      </w:r>
    </w:p>
    <w:p w14:paraId="739ECE50" w14:textId="77777777" w:rsidR="001C4919" w:rsidRPr="00ED37CF" w:rsidRDefault="001C4919" w:rsidP="0090750C">
      <w:pPr>
        <w:rPr>
          <w:bCs/>
          <w:color w:val="000000"/>
          <w:lang w:eastAsia="ja-JP"/>
        </w:rPr>
      </w:pPr>
      <w:r w:rsidRPr="00ED37CF">
        <w:t>In order to facilitate maximum participation of the VMLR, the programme was designed to provide robust and targeted support due to very challenging socio-economic and unique cultural context in Nepal.</w:t>
      </w:r>
      <w:r w:rsidR="005E1EE9" w:rsidRPr="00ED37CF">
        <w:t xml:space="preserve"> </w:t>
      </w:r>
      <w:r w:rsidRPr="00ED37CF">
        <w:rPr>
          <w:bCs/>
          <w:color w:val="000000"/>
          <w:lang w:eastAsia="ja-JP"/>
        </w:rPr>
        <w:t xml:space="preserve"> </w:t>
      </w:r>
    </w:p>
    <w:p w14:paraId="2E5DC9D3" w14:textId="77777777" w:rsidR="001C4919" w:rsidRPr="00ED37CF" w:rsidRDefault="001C4919" w:rsidP="001C4919">
      <w:pPr>
        <w:pStyle w:val="Heading1"/>
      </w:pPr>
      <w:bookmarkStart w:id="9" w:name="_Toc389486835"/>
      <w:bookmarkStart w:id="10" w:name="_Toc393116665"/>
      <w:bookmarkStart w:id="11" w:name="_Toc393117831"/>
      <w:bookmarkStart w:id="12" w:name="_Toc393373723"/>
      <w:r w:rsidRPr="00ED37CF">
        <w:t>PART I: NARRATIVE REPORT</w:t>
      </w:r>
      <w:bookmarkEnd w:id="9"/>
      <w:bookmarkEnd w:id="10"/>
      <w:bookmarkEnd w:id="11"/>
      <w:bookmarkEnd w:id="12"/>
    </w:p>
    <w:p w14:paraId="5F1479BE" w14:textId="77777777" w:rsidR="001C4919" w:rsidRPr="00ED37CF" w:rsidRDefault="001C4919" w:rsidP="00AC7BA9">
      <w:pPr>
        <w:pStyle w:val="Heading2"/>
      </w:pPr>
      <w:bookmarkStart w:id="13" w:name="_Toc389486836"/>
      <w:bookmarkStart w:id="14" w:name="_Toc393116666"/>
      <w:bookmarkStart w:id="15" w:name="_Toc393117832"/>
      <w:bookmarkStart w:id="16" w:name="_Toc393373724"/>
      <w:r w:rsidRPr="00ED37CF">
        <w:t>Background and Context</w:t>
      </w:r>
      <w:bookmarkEnd w:id="13"/>
      <w:bookmarkEnd w:id="14"/>
      <w:bookmarkEnd w:id="15"/>
      <w:bookmarkEnd w:id="16"/>
    </w:p>
    <w:p w14:paraId="2F8F62EA" w14:textId="276DB671" w:rsidR="001C4919" w:rsidRPr="00ED37CF" w:rsidRDefault="001C4919" w:rsidP="001C4919">
      <w:r w:rsidRPr="00ED37CF">
        <w:t>Following 10 years of conflict, Nepal’s main political parties, the Seven Party Alliance (SPA) and the Communist Party of Nepal – Maoist (CPN-M), signed a Comprehensive Peace Accord (CPA) on 21 November, 2006. Subsequently, a document detailing the modalities for the monitoring of the arms and armed personnel of both sides, known as the Agreement on Monitoring of the Management of Arms and Armies (AMMAA) was signed by the parties, and witnessed by the United Nations Special Representative of the Secretary General.</w:t>
      </w:r>
    </w:p>
    <w:p w14:paraId="2AD26C46" w14:textId="1892B503" w:rsidR="001C4919" w:rsidRPr="00ED37CF" w:rsidRDefault="001C4919" w:rsidP="001C4919">
      <w:r w:rsidRPr="00ED37CF">
        <w:t xml:space="preserve">Within this context and under the overall guidance of the United Nations Mission in Nepal (UNMIN), the United Nations Country Team (UNCT) – specifically the United Nations Development Programme (UNDP) and the United Nations Children’s Fund (UNICEF) -- conducted the registration and verification of the Maoist combatants who were located within seven main cantonments and twenty-one satellite sites across the country. As a result of this verification process, the Maoist combatants were categorized in two main groups: a) those verified as regular members of the Maoist army (19,602 individuals); and b) those disqualified (4,008 individuals) on the grounds of being minors (defined in the AMMAA as those born after 25 May, 1988) or late recruits (those who joined the Maoist army after the ceasefire of 25 May, 2006). </w:t>
      </w:r>
      <w:r w:rsidR="00553C5F">
        <w:t xml:space="preserve">Out of 4008, 2234 VMLRs were eventually enrolled in the UNIRP. </w:t>
      </w:r>
      <w:r w:rsidRPr="00ED37CF">
        <w:t>Under the AMMAA, VMLR were not eligible for inclusion in the Maoist army and could not be kept in the cantonments and therefore, were recommended to be immediately discharged from the Maoist cantonments.</w:t>
      </w:r>
    </w:p>
    <w:p w14:paraId="659074EC" w14:textId="77777777" w:rsidR="001C4919" w:rsidRPr="00ED37CF" w:rsidRDefault="001C4919" w:rsidP="001C4919">
      <w:r w:rsidRPr="00ED37CF">
        <w:t xml:space="preserve">However, for two years the VMLR continued to live in the cantonments together with other verified members of the Maoist army personnel and the discharge and rehabilitation (DR) of the VMLR came to represent not only a critical element in implementing the AMMAA but also a fundamental step in the overall peace and reconciliation process in Nepal. On 16 December, 2009 following two years of negotiation, a UN Security Council mandated Action Plan for the Discharge of Disqualified Maoist Army Personnel and Related Tasks was signed by the UN, the Government of Nepal (GoN) and the Unified </w:t>
      </w:r>
      <w:r w:rsidRPr="00ED37CF">
        <w:lastRenderedPageBreak/>
        <w:t>Communist Party of Nepal – Maoist (UCPN-M). The Action Plan laid out the overall framework for the discharge process and made clear that rehabilitation packages would be available to all disqualified individuals. The discharge process laid out in the Action Plan was completed on 8 February, 2010, which resulted in the discharge of 60% of the 4,008 disqualified individuals over a 33-day period. The remaining 40% of the disqualified were officially discharged in a Declaration signed by the UCPN-M in March, 2010.</w:t>
      </w:r>
    </w:p>
    <w:p w14:paraId="71E2641D" w14:textId="77777777" w:rsidR="001C4919" w:rsidRPr="00ED37CF" w:rsidRDefault="001C4919" w:rsidP="00AC7BA9">
      <w:pPr>
        <w:pStyle w:val="Heading2"/>
      </w:pPr>
      <w:bookmarkStart w:id="17" w:name="_Toc389486837"/>
      <w:bookmarkStart w:id="18" w:name="_Toc393116667"/>
      <w:bookmarkStart w:id="19" w:name="_Toc393117833"/>
      <w:bookmarkStart w:id="20" w:name="_Toc393373725"/>
      <w:r w:rsidRPr="00ED37CF">
        <w:t>Project Summary and Objectives</w:t>
      </w:r>
      <w:bookmarkEnd w:id="17"/>
      <w:bookmarkEnd w:id="18"/>
      <w:bookmarkEnd w:id="19"/>
      <w:bookmarkEnd w:id="20"/>
    </w:p>
    <w:p w14:paraId="15279955" w14:textId="77777777" w:rsidR="00EB77CF" w:rsidRDefault="001C4919" w:rsidP="00EB77CF">
      <w:r w:rsidRPr="00ED37CF">
        <w:t>UNIRP’s main objective was to support the transition of the discharged VMLR from military to civilian life. In order to achieve this objective, through interagency efforts, training and education to access employment and livelihood opportunities were provided. Community members were encouraged to participate and support VMLR reintegration back into communities.</w:t>
      </w:r>
      <w:r w:rsidR="00EB77CF" w:rsidRPr="00EB77CF">
        <w:t xml:space="preserve"> </w:t>
      </w:r>
    </w:p>
    <w:p w14:paraId="2B3221D4" w14:textId="77777777" w:rsidR="001C4919" w:rsidRPr="00ED37CF" w:rsidRDefault="00EB77CF" w:rsidP="0090750C">
      <w:r w:rsidRPr="00ED37CF">
        <w:t xml:space="preserve">This programme drew from </w:t>
      </w:r>
      <w:r w:rsidRPr="00ED37CF">
        <w:rPr>
          <w:bCs/>
          <w:color w:val="000000"/>
          <w:lang w:eastAsia="ja-JP"/>
        </w:rPr>
        <w:t xml:space="preserve">best practises and lessons learned from rehabilitation and reintegration of ex-combatant programmes throughout the world which are documented in the UN’s Integrated Disarmament, Demobilisation and Reintegration Standards (IDDRS). </w:t>
      </w:r>
    </w:p>
    <w:p w14:paraId="3D489496" w14:textId="77777777" w:rsidR="0048236E" w:rsidRPr="00ED37CF" w:rsidRDefault="0048236E" w:rsidP="007D3884">
      <w:pPr>
        <w:pStyle w:val="ListParagraph"/>
        <w:keepNext/>
        <w:numPr>
          <w:ilvl w:val="0"/>
          <w:numId w:val="25"/>
        </w:numPr>
        <w:spacing w:before="120"/>
        <w:contextualSpacing w:val="0"/>
        <w:jc w:val="left"/>
        <w:outlineLvl w:val="2"/>
        <w:rPr>
          <w:rFonts w:eastAsiaTheme="majorEastAsia" w:cstheme="majorBidi"/>
          <w:b/>
          <w:bCs/>
          <w:vanish/>
        </w:rPr>
      </w:pPr>
      <w:bookmarkStart w:id="21" w:name="_Toc393200500"/>
      <w:bookmarkStart w:id="22" w:name="_Toc393205746"/>
      <w:bookmarkStart w:id="23" w:name="_Toc393205791"/>
      <w:bookmarkStart w:id="24" w:name="_Toc393205859"/>
      <w:bookmarkStart w:id="25" w:name="_Toc393205891"/>
      <w:bookmarkStart w:id="26" w:name="_Toc393205923"/>
      <w:bookmarkStart w:id="27" w:name="_Toc393206296"/>
      <w:bookmarkStart w:id="28" w:name="_Toc393206398"/>
      <w:bookmarkStart w:id="29" w:name="_Toc393208259"/>
      <w:bookmarkStart w:id="30" w:name="_Toc393208383"/>
      <w:bookmarkStart w:id="31" w:name="_Toc393208915"/>
      <w:bookmarkStart w:id="32" w:name="_Toc393210636"/>
      <w:bookmarkStart w:id="33" w:name="_Toc393373726"/>
      <w:bookmarkStart w:id="34" w:name="_Toc389486838"/>
      <w:bookmarkEnd w:id="21"/>
      <w:bookmarkEnd w:id="22"/>
      <w:bookmarkEnd w:id="23"/>
      <w:bookmarkEnd w:id="24"/>
      <w:bookmarkEnd w:id="25"/>
      <w:bookmarkEnd w:id="26"/>
      <w:bookmarkEnd w:id="27"/>
      <w:bookmarkEnd w:id="28"/>
      <w:bookmarkEnd w:id="29"/>
      <w:bookmarkEnd w:id="30"/>
      <w:bookmarkEnd w:id="31"/>
      <w:bookmarkEnd w:id="32"/>
      <w:bookmarkEnd w:id="33"/>
    </w:p>
    <w:p w14:paraId="24791EC7" w14:textId="77777777" w:rsidR="0048236E" w:rsidRPr="00ED37CF" w:rsidRDefault="0048236E" w:rsidP="007D3884">
      <w:pPr>
        <w:pStyle w:val="ListParagraph"/>
        <w:keepNext/>
        <w:numPr>
          <w:ilvl w:val="0"/>
          <w:numId w:val="25"/>
        </w:numPr>
        <w:spacing w:before="120"/>
        <w:contextualSpacing w:val="0"/>
        <w:jc w:val="left"/>
        <w:outlineLvl w:val="2"/>
        <w:rPr>
          <w:rFonts w:eastAsiaTheme="majorEastAsia" w:cstheme="majorBidi"/>
          <w:b/>
          <w:bCs/>
          <w:vanish/>
        </w:rPr>
      </w:pPr>
      <w:bookmarkStart w:id="35" w:name="_Toc393200501"/>
      <w:bookmarkStart w:id="36" w:name="_Toc393205747"/>
      <w:bookmarkStart w:id="37" w:name="_Toc393205792"/>
      <w:bookmarkStart w:id="38" w:name="_Toc393205860"/>
      <w:bookmarkStart w:id="39" w:name="_Toc393205892"/>
      <w:bookmarkStart w:id="40" w:name="_Toc393205924"/>
      <w:bookmarkStart w:id="41" w:name="_Toc393206297"/>
      <w:bookmarkStart w:id="42" w:name="_Toc393206399"/>
      <w:bookmarkStart w:id="43" w:name="_Toc393208260"/>
      <w:bookmarkStart w:id="44" w:name="_Toc393208384"/>
      <w:bookmarkStart w:id="45" w:name="_Toc393208916"/>
      <w:bookmarkStart w:id="46" w:name="_Toc393210637"/>
      <w:bookmarkStart w:id="47" w:name="_Toc393373727"/>
      <w:bookmarkEnd w:id="35"/>
      <w:bookmarkEnd w:id="36"/>
      <w:bookmarkEnd w:id="37"/>
      <w:bookmarkEnd w:id="38"/>
      <w:bookmarkEnd w:id="39"/>
      <w:bookmarkEnd w:id="40"/>
      <w:bookmarkEnd w:id="41"/>
      <w:bookmarkEnd w:id="42"/>
      <w:bookmarkEnd w:id="43"/>
      <w:bookmarkEnd w:id="44"/>
      <w:bookmarkEnd w:id="45"/>
      <w:bookmarkEnd w:id="46"/>
      <w:bookmarkEnd w:id="47"/>
    </w:p>
    <w:p w14:paraId="559E7B6D" w14:textId="1071D23A" w:rsidR="001C4919" w:rsidRPr="00ED37CF" w:rsidRDefault="0000321A" w:rsidP="0048236E">
      <w:pPr>
        <w:pStyle w:val="Heading3"/>
      </w:pPr>
      <w:bookmarkStart w:id="48" w:name="_Toc393373728"/>
      <w:r w:rsidRPr="00ED37CF">
        <w:t>2.1</w:t>
      </w:r>
      <w:r w:rsidRPr="00ED37CF">
        <w:tab/>
      </w:r>
      <w:r w:rsidR="001C4919" w:rsidRPr="00ED37CF">
        <w:t>Project Summary</w:t>
      </w:r>
      <w:bookmarkEnd w:id="34"/>
      <w:bookmarkEnd w:id="48"/>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332"/>
        <w:gridCol w:w="382"/>
        <w:gridCol w:w="817"/>
        <w:gridCol w:w="1616"/>
        <w:gridCol w:w="1432"/>
        <w:gridCol w:w="1753"/>
      </w:tblGrid>
      <w:tr w:rsidR="001C4919" w:rsidRPr="00ED37CF" w14:paraId="588D05D4" w14:textId="77777777" w:rsidTr="00253422">
        <w:trPr>
          <w:trHeight w:val="436"/>
          <w:jc w:val="center"/>
        </w:trPr>
        <w:tc>
          <w:tcPr>
            <w:tcW w:w="1101" w:type="pct"/>
            <w:shd w:val="clear" w:color="auto" w:fill="E6E6E6"/>
            <w:vAlign w:val="center"/>
          </w:tcPr>
          <w:p w14:paraId="3BF1FB36" w14:textId="77777777" w:rsidR="001C4919" w:rsidRPr="00ED37CF" w:rsidRDefault="001C4919" w:rsidP="0090750C">
            <w:pPr>
              <w:jc w:val="left"/>
            </w:pPr>
            <w:r w:rsidRPr="00ED37CF">
              <w:t>Participating</w:t>
            </w:r>
            <w:r w:rsidR="005E1EE9" w:rsidRPr="00ED37CF">
              <w:t xml:space="preserve"> </w:t>
            </w:r>
            <w:r w:rsidRPr="00ED37CF">
              <w:t>UN Organizations:</w:t>
            </w:r>
            <w:r w:rsidR="005E1EE9" w:rsidRPr="00ED37CF">
              <w:t xml:space="preserve"> </w:t>
            </w:r>
          </w:p>
        </w:tc>
        <w:tc>
          <w:tcPr>
            <w:tcW w:w="911" w:type="pct"/>
            <w:gridSpan w:val="2"/>
            <w:vAlign w:val="center"/>
          </w:tcPr>
          <w:p w14:paraId="4D3F0EB3" w14:textId="77777777" w:rsidR="001C4919" w:rsidRPr="00ED37CF" w:rsidRDefault="001C4919" w:rsidP="0090750C">
            <w:pPr>
              <w:spacing w:after="60"/>
              <w:contextualSpacing/>
            </w:pPr>
            <w:r w:rsidRPr="00ED37CF">
              <w:t xml:space="preserve">UNDP, UNICEF, UNFPA, ILO </w:t>
            </w:r>
          </w:p>
        </w:tc>
        <w:tc>
          <w:tcPr>
            <w:tcW w:w="1293" w:type="pct"/>
            <w:gridSpan w:val="2"/>
            <w:shd w:val="clear" w:color="auto" w:fill="E6E6E6"/>
            <w:vAlign w:val="bottom"/>
          </w:tcPr>
          <w:p w14:paraId="0723B8D4" w14:textId="77777777" w:rsidR="001C4919" w:rsidRPr="00ED37CF" w:rsidRDefault="001C4919" w:rsidP="0090750C">
            <w:pPr>
              <w:contextualSpacing/>
            </w:pPr>
            <w:r w:rsidRPr="00ED37CF">
              <w:t>UN Fund cluster and/or Nepal PBF Priority area:</w:t>
            </w:r>
            <w:r w:rsidRPr="00ED37CF" w:rsidDel="00D755E2">
              <w:t xml:space="preserve"> </w:t>
            </w:r>
          </w:p>
        </w:tc>
        <w:tc>
          <w:tcPr>
            <w:tcW w:w="1693" w:type="pct"/>
            <w:gridSpan w:val="2"/>
            <w:vAlign w:val="center"/>
          </w:tcPr>
          <w:p w14:paraId="007661A7" w14:textId="77777777" w:rsidR="001C4919" w:rsidRPr="00ED37CF" w:rsidRDefault="001C4919" w:rsidP="0090750C">
            <w:pPr>
              <w:contextualSpacing/>
            </w:pPr>
            <w:r w:rsidRPr="00ED37CF">
              <w:t>Cantonment/ Reintegration</w:t>
            </w:r>
          </w:p>
        </w:tc>
      </w:tr>
      <w:tr w:rsidR="001C4919" w:rsidRPr="00ED37CF" w14:paraId="29A72B48" w14:textId="77777777" w:rsidTr="00253422">
        <w:trPr>
          <w:trHeight w:val="375"/>
          <w:jc w:val="center"/>
        </w:trPr>
        <w:tc>
          <w:tcPr>
            <w:tcW w:w="1101" w:type="pct"/>
            <w:shd w:val="clear" w:color="auto" w:fill="E6E6E6"/>
            <w:vAlign w:val="center"/>
          </w:tcPr>
          <w:p w14:paraId="35257EC4" w14:textId="77777777" w:rsidR="001C4919" w:rsidRPr="00ED37CF" w:rsidRDefault="001C4919" w:rsidP="0090750C">
            <w:pPr>
              <w:jc w:val="left"/>
              <w:rPr>
                <w:bCs/>
              </w:rPr>
            </w:pPr>
            <w:r w:rsidRPr="00ED37CF">
              <w:t xml:space="preserve">Implementing partner(s): </w:t>
            </w:r>
          </w:p>
        </w:tc>
        <w:tc>
          <w:tcPr>
            <w:tcW w:w="3897" w:type="pct"/>
            <w:gridSpan w:val="6"/>
            <w:vAlign w:val="center"/>
          </w:tcPr>
          <w:p w14:paraId="7A7D07F5" w14:textId="77777777" w:rsidR="001C4919" w:rsidRPr="00ED37CF" w:rsidRDefault="001C4919" w:rsidP="0090750C">
            <w:pPr>
              <w:spacing w:after="60"/>
              <w:contextualSpacing/>
              <w:rPr>
                <w:bCs/>
              </w:rPr>
            </w:pPr>
            <w:r w:rsidRPr="00ED37CF">
              <w:rPr>
                <w:bCs/>
              </w:rPr>
              <w:t>Training Institutes, CAAFAG partners, public schools and private sector.</w:t>
            </w:r>
          </w:p>
        </w:tc>
      </w:tr>
      <w:tr w:rsidR="001C4919" w:rsidRPr="00ED37CF" w14:paraId="5CE87A7A" w14:textId="77777777" w:rsidTr="002A2D72">
        <w:trPr>
          <w:trHeight w:val="375"/>
          <w:jc w:val="center"/>
        </w:trPr>
        <w:tc>
          <w:tcPr>
            <w:tcW w:w="1101" w:type="pct"/>
            <w:shd w:val="clear" w:color="auto" w:fill="E6E6E6"/>
            <w:vAlign w:val="center"/>
          </w:tcPr>
          <w:p w14:paraId="0D342494" w14:textId="77777777" w:rsidR="001C4919" w:rsidRPr="00ED37CF" w:rsidRDefault="001C4919" w:rsidP="0090750C">
            <w:pPr>
              <w:jc w:val="left"/>
            </w:pPr>
            <w:r w:rsidRPr="00ED37CF">
              <w:t xml:space="preserve">Project number: </w:t>
            </w:r>
          </w:p>
        </w:tc>
        <w:tc>
          <w:tcPr>
            <w:tcW w:w="3897" w:type="pct"/>
            <w:gridSpan w:val="6"/>
            <w:shd w:val="clear" w:color="auto" w:fill="auto"/>
            <w:vAlign w:val="center"/>
          </w:tcPr>
          <w:p w14:paraId="246BF6D1" w14:textId="77777777" w:rsidR="001C4919" w:rsidRPr="00ED37CF" w:rsidRDefault="001C4919" w:rsidP="0090750C">
            <w:pPr>
              <w:spacing w:after="60"/>
              <w:contextualSpacing/>
            </w:pPr>
            <w:r w:rsidRPr="00ED37CF">
              <w:t>UNPFN/A-7</w:t>
            </w:r>
          </w:p>
        </w:tc>
      </w:tr>
      <w:tr w:rsidR="001C4919" w:rsidRPr="00ED37CF" w14:paraId="3BEF0470" w14:textId="77777777" w:rsidTr="002A2D72">
        <w:trPr>
          <w:trHeight w:val="375"/>
          <w:jc w:val="center"/>
        </w:trPr>
        <w:tc>
          <w:tcPr>
            <w:tcW w:w="1101" w:type="pct"/>
            <w:shd w:val="clear" w:color="auto" w:fill="E6E6E6"/>
            <w:vAlign w:val="center"/>
          </w:tcPr>
          <w:p w14:paraId="5DAF9042" w14:textId="77777777" w:rsidR="001C4919" w:rsidRPr="00ED37CF" w:rsidRDefault="001C4919" w:rsidP="0090750C">
            <w:pPr>
              <w:jc w:val="left"/>
            </w:pPr>
            <w:r w:rsidRPr="00ED37CF">
              <w:t>Project title:</w:t>
            </w:r>
          </w:p>
        </w:tc>
        <w:tc>
          <w:tcPr>
            <w:tcW w:w="3897" w:type="pct"/>
            <w:gridSpan w:val="6"/>
            <w:shd w:val="clear" w:color="auto" w:fill="auto"/>
            <w:vAlign w:val="center"/>
          </w:tcPr>
          <w:p w14:paraId="333E0A12" w14:textId="77777777" w:rsidR="001C4919" w:rsidRPr="00ED37CF" w:rsidRDefault="001C4919" w:rsidP="0090750C">
            <w:pPr>
              <w:spacing w:after="60"/>
              <w:contextualSpacing/>
            </w:pPr>
            <w:r w:rsidRPr="00ED37CF">
              <w:t>Support to the Rehabilitation of Verified Minors and Late Recruits (VMLR)</w:t>
            </w:r>
          </w:p>
          <w:p w14:paraId="6E152310" w14:textId="77777777" w:rsidR="001C4919" w:rsidRPr="00ED37CF" w:rsidRDefault="001C4919" w:rsidP="0090750C">
            <w:pPr>
              <w:spacing w:after="60"/>
              <w:contextualSpacing/>
            </w:pPr>
            <w:r w:rsidRPr="00ED37CF">
              <w:t>(UN Interagency Rehabilitation Programme – UNIRP)</w:t>
            </w:r>
          </w:p>
        </w:tc>
      </w:tr>
      <w:tr w:rsidR="001C4919" w:rsidRPr="00ED37CF" w14:paraId="1F4F9410" w14:textId="77777777" w:rsidTr="002A2D72">
        <w:trPr>
          <w:trHeight w:val="375"/>
          <w:jc w:val="center"/>
        </w:trPr>
        <w:tc>
          <w:tcPr>
            <w:tcW w:w="1101" w:type="pct"/>
            <w:shd w:val="clear" w:color="auto" w:fill="E6E6E6"/>
            <w:vAlign w:val="center"/>
          </w:tcPr>
          <w:p w14:paraId="5B8A1E9E" w14:textId="77777777" w:rsidR="001C4919" w:rsidRPr="00ED37CF" w:rsidRDefault="001C4919" w:rsidP="0090750C">
            <w:pPr>
              <w:jc w:val="left"/>
            </w:pPr>
            <w:r w:rsidRPr="00ED37CF">
              <w:t>Total approved project budget:</w:t>
            </w:r>
          </w:p>
        </w:tc>
        <w:tc>
          <w:tcPr>
            <w:tcW w:w="3897" w:type="pct"/>
            <w:gridSpan w:val="6"/>
            <w:shd w:val="clear" w:color="auto" w:fill="auto"/>
            <w:vAlign w:val="center"/>
          </w:tcPr>
          <w:p w14:paraId="5CC57CBF" w14:textId="4988B8D5" w:rsidR="001C4919" w:rsidRPr="00ED37CF" w:rsidRDefault="001C4919" w:rsidP="00373A01">
            <w:pPr>
              <w:spacing w:after="60"/>
              <w:contextualSpacing/>
            </w:pPr>
            <w:r w:rsidRPr="00ED37CF">
              <w:t>USD</w:t>
            </w:r>
            <w:r w:rsidR="005E1EE9" w:rsidRPr="00ED37CF">
              <w:t xml:space="preserve"> </w:t>
            </w:r>
            <w:r w:rsidR="002A2D72" w:rsidRPr="00ED37CF">
              <w:t>$</w:t>
            </w:r>
            <w:r w:rsidR="002A2D72" w:rsidRPr="00ED37CF">
              <w:rPr>
                <w:rFonts w:cs="Times New Roman"/>
                <w:lang w:bidi="ar-SA"/>
              </w:rPr>
              <w:t>12,0</w:t>
            </w:r>
            <w:r w:rsidR="00373A01">
              <w:rPr>
                <w:rFonts w:cs="Times New Roman"/>
                <w:lang w:bidi="ar-SA"/>
              </w:rPr>
              <w:t>53</w:t>
            </w:r>
            <w:r w:rsidR="002A2D72" w:rsidRPr="00ED37CF">
              <w:rPr>
                <w:rFonts w:cs="Times New Roman"/>
                <w:lang w:bidi="ar-SA"/>
              </w:rPr>
              <w:t>,</w:t>
            </w:r>
            <w:r w:rsidR="00373A01">
              <w:rPr>
                <w:rFonts w:cs="Times New Roman"/>
                <w:lang w:bidi="ar-SA"/>
              </w:rPr>
              <w:t>989</w:t>
            </w:r>
            <w:r w:rsidR="002A2D72" w:rsidRPr="00ED37CF">
              <w:rPr>
                <w:rFonts w:cs="Times New Roman"/>
                <w:lang w:bidi="ar-SA"/>
              </w:rPr>
              <w:t>.00</w:t>
            </w:r>
          </w:p>
        </w:tc>
      </w:tr>
      <w:tr w:rsidR="001C4919" w:rsidRPr="00ED37CF" w14:paraId="26A42DE2" w14:textId="77777777" w:rsidTr="00253422">
        <w:trPr>
          <w:trHeight w:val="375"/>
          <w:jc w:val="center"/>
        </w:trPr>
        <w:tc>
          <w:tcPr>
            <w:tcW w:w="1101" w:type="pct"/>
            <w:shd w:val="clear" w:color="auto" w:fill="E6E6E6"/>
            <w:vAlign w:val="center"/>
          </w:tcPr>
          <w:p w14:paraId="4AEFFA23" w14:textId="77777777" w:rsidR="001C4919" w:rsidRPr="00ED37CF" w:rsidRDefault="001C4919" w:rsidP="0090750C">
            <w:pPr>
              <w:jc w:val="left"/>
            </w:pPr>
            <w:r w:rsidRPr="00ED37CF">
              <w:t>Location:</w:t>
            </w:r>
          </w:p>
        </w:tc>
        <w:tc>
          <w:tcPr>
            <w:tcW w:w="3897" w:type="pct"/>
            <w:gridSpan w:val="6"/>
            <w:vAlign w:val="center"/>
          </w:tcPr>
          <w:p w14:paraId="735BDFC3" w14:textId="77777777" w:rsidR="001C4919" w:rsidRPr="00ED37CF" w:rsidRDefault="001C4919" w:rsidP="0090750C">
            <w:pPr>
              <w:spacing w:after="60"/>
              <w:contextualSpacing/>
            </w:pPr>
            <w:r w:rsidRPr="00ED37CF">
              <w:t>Nation-wide</w:t>
            </w:r>
          </w:p>
        </w:tc>
      </w:tr>
      <w:tr w:rsidR="001C4919" w:rsidRPr="00ED37CF" w14:paraId="54919D46" w14:textId="77777777" w:rsidTr="00253422">
        <w:trPr>
          <w:trHeight w:val="375"/>
          <w:jc w:val="center"/>
        </w:trPr>
        <w:tc>
          <w:tcPr>
            <w:tcW w:w="1101" w:type="pct"/>
            <w:shd w:val="clear" w:color="auto" w:fill="E6E6E6"/>
            <w:vAlign w:val="center"/>
          </w:tcPr>
          <w:p w14:paraId="0380FC44" w14:textId="77777777" w:rsidR="001C4919" w:rsidRPr="00ED37CF" w:rsidRDefault="001C4919" w:rsidP="0090750C">
            <w:pPr>
              <w:jc w:val="left"/>
            </w:pPr>
            <w:r w:rsidRPr="00ED37CF">
              <w:t>Executive Committee approval date:</w:t>
            </w:r>
          </w:p>
        </w:tc>
        <w:tc>
          <w:tcPr>
            <w:tcW w:w="3897" w:type="pct"/>
            <w:gridSpan w:val="6"/>
            <w:vAlign w:val="center"/>
          </w:tcPr>
          <w:p w14:paraId="065A62EC" w14:textId="77777777" w:rsidR="001C4919" w:rsidRPr="00ED37CF" w:rsidRDefault="001C4919" w:rsidP="0090750C">
            <w:pPr>
              <w:spacing w:after="60"/>
              <w:contextualSpacing/>
            </w:pPr>
            <w:r w:rsidRPr="00ED37CF">
              <w:t>1 June. 2010</w:t>
            </w:r>
          </w:p>
        </w:tc>
      </w:tr>
      <w:tr w:rsidR="00253422" w:rsidRPr="00ED37CF" w14:paraId="7F4266B5" w14:textId="77777777" w:rsidTr="00253422">
        <w:trPr>
          <w:jc w:val="center"/>
        </w:trPr>
        <w:tc>
          <w:tcPr>
            <w:tcW w:w="1101" w:type="pct"/>
            <w:shd w:val="clear" w:color="auto" w:fill="E6E6E6"/>
            <w:vAlign w:val="center"/>
          </w:tcPr>
          <w:p w14:paraId="714B6057" w14:textId="77777777" w:rsidR="001C4919" w:rsidRPr="00ED37CF" w:rsidRDefault="001C4919" w:rsidP="0090750C">
            <w:pPr>
              <w:jc w:val="left"/>
            </w:pPr>
            <w:r w:rsidRPr="00ED37CF">
              <w:t>Project duration:</w:t>
            </w:r>
          </w:p>
        </w:tc>
        <w:tc>
          <w:tcPr>
            <w:tcW w:w="708" w:type="pct"/>
            <w:vAlign w:val="center"/>
          </w:tcPr>
          <w:p w14:paraId="73BBE89B" w14:textId="77777777" w:rsidR="001C4919" w:rsidRPr="00ED37CF" w:rsidRDefault="001C4919" w:rsidP="0090750C">
            <w:pPr>
              <w:spacing w:after="60"/>
              <w:contextualSpacing/>
            </w:pPr>
            <w:r w:rsidRPr="00ED37CF">
              <w:t>55</w:t>
            </w:r>
            <w:r w:rsidR="005E1EE9" w:rsidRPr="00ED37CF">
              <w:t xml:space="preserve"> </w:t>
            </w:r>
            <w:r w:rsidRPr="00ED37CF">
              <w:t>months</w:t>
            </w:r>
          </w:p>
        </w:tc>
        <w:tc>
          <w:tcPr>
            <w:tcW w:w="637" w:type="pct"/>
            <w:gridSpan w:val="2"/>
            <w:shd w:val="clear" w:color="auto" w:fill="E6E6E6"/>
            <w:vAlign w:val="center"/>
          </w:tcPr>
          <w:p w14:paraId="0AD77E05" w14:textId="77777777" w:rsidR="001C4919" w:rsidRPr="00ED37CF" w:rsidRDefault="001C4919" w:rsidP="0090750C">
            <w:pPr>
              <w:spacing w:after="60"/>
              <w:contextualSpacing/>
            </w:pPr>
            <w:r w:rsidRPr="00ED37CF">
              <w:t>Starting date:</w:t>
            </w:r>
          </w:p>
        </w:tc>
        <w:tc>
          <w:tcPr>
            <w:tcW w:w="859" w:type="pct"/>
            <w:vAlign w:val="center"/>
          </w:tcPr>
          <w:p w14:paraId="080A351A" w14:textId="77777777" w:rsidR="001C4919" w:rsidRPr="00ED37CF" w:rsidRDefault="001C4919" w:rsidP="0090750C">
            <w:pPr>
              <w:contextualSpacing/>
              <w:rPr>
                <w:bCs/>
              </w:rPr>
            </w:pPr>
            <w:r w:rsidRPr="00ED37CF">
              <w:rPr>
                <w:bCs/>
              </w:rPr>
              <w:t>1 June 2010</w:t>
            </w:r>
          </w:p>
        </w:tc>
        <w:tc>
          <w:tcPr>
            <w:tcW w:w="761" w:type="pct"/>
            <w:shd w:val="clear" w:color="auto" w:fill="E6E6E6"/>
            <w:vAlign w:val="center"/>
          </w:tcPr>
          <w:p w14:paraId="0AA3CB2A" w14:textId="77777777" w:rsidR="001C4919" w:rsidRPr="00ED37CF" w:rsidRDefault="001C4919" w:rsidP="0090750C">
            <w:pPr>
              <w:contextualSpacing/>
            </w:pPr>
            <w:r w:rsidRPr="00ED37CF">
              <w:rPr>
                <w:shd w:val="clear" w:color="auto" w:fill="E6E6E6"/>
              </w:rPr>
              <w:t>Completion date:</w:t>
            </w:r>
          </w:p>
        </w:tc>
        <w:tc>
          <w:tcPr>
            <w:tcW w:w="933" w:type="pct"/>
            <w:vAlign w:val="center"/>
          </w:tcPr>
          <w:p w14:paraId="48B5BDE2" w14:textId="77777777" w:rsidR="001C4919" w:rsidRPr="00ED37CF" w:rsidRDefault="001C4919" w:rsidP="0090750C">
            <w:pPr>
              <w:contextualSpacing/>
              <w:rPr>
                <w:bCs/>
              </w:rPr>
            </w:pPr>
            <w:r w:rsidRPr="00ED37CF">
              <w:rPr>
                <w:bCs/>
              </w:rPr>
              <w:t xml:space="preserve">31 Dec 2014 </w:t>
            </w:r>
          </w:p>
        </w:tc>
      </w:tr>
      <w:tr w:rsidR="001C4919" w:rsidRPr="00ED37CF" w14:paraId="5ECF67CA" w14:textId="77777777" w:rsidTr="00253422">
        <w:trPr>
          <w:trHeight w:val="778"/>
          <w:jc w:val="center"/>
        </w:trPr>
        <w:tc>
          <w:tcPr>
            <w:tcW w:w="1101" w:type="pct"/>
            <w:shd w:val="clear" w:color="auto" w:fill="E6E6E6"/>
            <w:vAlign w:val="center"/>
          </w:tcPr>
          <w:p w14:paraId="316B2544" w14:textId="77777777" w:rsidR="001C4919" w:rsidRPr="00ED37CF" w:rsidRDefault="001C4919" w:rsidP="0090750C">
            <w:pPr>
              <w:jc w:val="left"/>
            </w:pPr>
            <w:r w:rsidRPr="00ED37CF">
              <w:t>Project description:</w:t>
            </w:r>
          </w:p>
        </w:tc>
        <w:tc>
          <w:tcPr>
            <w:tcW w:w="3897" w:type="pct"/>
            <w:gridSpan w:val="6"/>
            <w:vAlign w:val="center"/>
          </w:tcPr>
          <w:p w14:paraId="768170C0" w14:textId="77777777" w:rsidR="001C4919" w:rsidRPr="00ED37CF" w:rsidRDefault="001C4919" w:rsidP="0090750C">
            <w:pPr>
              <w:spacing w:after="60"/>
              <w:contextualSpacing/>
            </w:pPr>
            <w:r w:rsidRPr="00ED37CF">
              <w:t>To rehabilitate former members of the Maoist army VMLR into civilian life, with potential for sustainable livelihoods.</w:t>
            </w:r>
          </w:p>
        </w:tc>
      </w:tr>
      <w:tr w:rsidR="001C4919" w:rsidRPr="00ED37CF" w14:paraId="59B2C6D3" w14:textId="77777777" w:rsidTr="00253422">
        <w:trPr>
          <w:jc w:val="center"/>
        </w:trPr>
        <w:tc>
          <w:tcPr>
            <w:tcW w:w="1101" w:type="pct"/>
            <w:shd w:val="clear" w:color="auto" w:fill="E6E6E6"/>
            <w:vAlign w:val="center"/>
          </w:tcPr>
          <w:p w14:paraId="55CD9BE7" w14:textId="77777777" w:rsidR="001C4919" w:rsidRPr="00ED37CF" w:rsidRDefault="001C4919" w:rsidP="0090750C">
            <w:pPr>
              <w:jc w:val="left"/>
            </w:pPr>
            <w:r w:rsidRPr="00ED37CF">
              <w:rPr>
                <w:bCs/>
              </w:rPr>
              <w:t>Peace-building Impact:</w:t>
            </w:r>
          </w:p>
        </w:tc>
        <w:tc>
          <w:tcPr>
            <w:tcW w:w="3897" w:type="pct"/>
            <w:gridSpan w:val="6"/>
          </w:tcPr>
          <w:p w14:paraId="4BE2DFDC" w14:textId="77777777" w:rsidR="001C4919" w:rsidRPr="00ED37CF" w:rsidRDefault="001C4919" w:rsidP="0090750C">
            <w:pPr>
              <w:spacing w:after="60"/>
              <w:contextualSpacing/>
              <w:rPr>
                <w:bCs/>
              </w:rPr>
            </w:pPr>
            <w:r w:rsidRPr="00ED37CF">
              <w:t>Key elements of the CPA and AMMAA were implemented through the socio-economic rehabilitation of VMLR.</w:t>
            </w:r>
          </w:p>
        </w:tc>
      </w:tr>
      <w:tr w:rsidR="001C4919" w:rsidRPr="00ED37CF" w14:paraId="3B63A28F" w14:textId="77777777" w:rsidTr="00253422">
        <w:trPr>
          <w:jc w:val="center"/>
        </w:trPr>
        <w:tc>
          <w:tcPr>
            <w:tcW w:w="1103" w:type="pct"/>
            <w:shd w:val="clear" w:color="auto" w:fill="E6E6E6"/>
            <w:vAlign w:val="center"/>
          </w:tcPr>
          <w:p w14:paraId="3A826691" w14:textId="77777777" w:rsidR="001C4919" w:rsidRPr="00ED37CF" w:rsidRDefault="001C4919" w:rsidP="0090750C">
            <w:pPr>
              <w:jc w:val="left"/>
            </w:pPr>
            <w:r w:rsidRPr="00ED37CF">
              <w:t>Project Outcome(s):</w:t>
            </w:r>
          </w:p>
        </w:tc>
        <w:tc>
          <w:tcPr>
            <w:tcW w:w="3897" w:type="pct"/>
            <w:gridSpan w:val="6"/>
          </w:tcPr>
          <w:p w14:paraId="37A5A151" w14:textId="77777777" w:rsidR="001C4919" w:rsidRPr="00ED37CF" w:rsidRDefault="001C4919" w:rsidP="0090750C">
            <w:pPr>
              <w:spacing w:after="60"/>
              <w:contextualSpacing/>
            </w:pPr>
            <w:r w:rsidRPr="00ED37CF">
              <w:rPr>
                <w:rFonts w:eastAsia="Calibri"/>
              </w:rPr>
              <w:t>Outcome 1:</w:t>
            </w:r>
            <w:r w:rsidR="005E1EE9" w:rsidRPr="00ED37CF">
              <w:rPr>
                <w:rFonts w:eastAsia="Calibri"/>
              </w:rPr>
              <w:t xml:space="preserve"> </w:t>
            </w:r>
            <w:r w:rsidRPr="00ED37CF">
              <w:t>VMLR were supported in their socio-economic rehabilitation</w:t>
            </w:r>
            <w:r w:rsidR="005E1EE9" w:rsidRPr="00ED37CF">
              <w:t xml:space="preserve">  </w:t>
            </w:r>
          </w:p>
          <w:p w14:paraId="682A75B1" w14:textId="77777777" w:rsidR="001C4919" w:rsidRPr="00ED37CF" w:rsidRDefault="005E1EE9" w:rsidP="0090750C">
            <w:pPr>
              <w:spacing w:after="60"/>
              <w:contextualSpacing/>
            </w:pPr>
            <w:r w:rsidRPr="00ED37CF">
              <w:t xml:space="preserve">            </w:t>
            </w:r>
            <w:r w:rsidR="001C4919" w:rsidRPr="00ED37CF">
              <w:t xml:space="preserve"> through individual rehabilitation option packages.</w:t>
            </w:r>
          </w:p>
          <w:p w14:paraId="3FF1FC44" w14:textId="77777777" w:rsidR="001C4919" w:rsidRPr="00ED37CF" w:rsidRDefault="001C4919" w:rsidP="0090750C">
            <w:pPr>
              <w:spacing w:after="60"/>
              <w:contextualSpacing/>
              <w:rPr>
                <w:rFonts w:eastAsia="Calibri"/>
              </w:rPr>
            </w:pPr>
            <w:r w:rsidRPr="00ED37CF">
              <w:rPr>
                <w:rFonts w:eastAsia="Calibri"/>
              </w:rPr>
              <w:t xml:space="preserve">Outcome 2: Communities were engaged in supporting the rehabilitation of </w:t>
            </w:r>
          </w:p>
          <w:p w14:paraId="416784EF" w14:textId="77777777" w:rsidR="001C4919" w:rsidRPr="00ED37CF" w:rsidRDefault="005E1EE9" w:rsidP="0090750C">
            <w:pPr>
              <w:spacing w:after="60"/>
              <w:contextualSpacing/>
            </w:pPr>
            <w:r w:rsidRPr="00ED37CF">
              <w:rPr>
                <w:rFonts w:eastAsia="Calibri"/>
              </w:rPr>
              <w:t xml:space="preserve">            </w:t>
            </w:r>
            <w:r w:rsidR="001C4919" w:rsidRPr="00ED37CF">
              <w:rPr>
                <w:rFonts w:eastAsia="Calibri"/>
              </w:rPr>
              <w:t xml:space="preserve"> the VMLR. </w:t>
            </w:r>
          </w:p>
        </w:tc>
      </w:tr>
      <w:tr w:rsidR="001C4919" w:rsidRPr="00ED37CF" w14:paraId="4E9AC318" w14:textId="77777777" w:rsidTr="00253422">
        <w:trPr>
          <w:trHeight w:val="274"/>
          <w:jc w:val="center"/>
        </w:trPr>
        <w:tc>
          <w:tcPr>
            <w:tcW w:w="1103" w:type="pct"/>
            <w:shd w:val="clear" w:color="auto" w:fill="E6E6E6"/>
            <w:vAlign w:val="center"/>
          </w:tcPr>
          <w:p w14:paraId="78602AB4" w14:textId="77777777" w:rsidR="001C4919" w:rsidRPr="00ED37CF" w:rsidRDefault="001C4919" w:rsidP="0090750C">
            <w:pPr>
              <w:jc w:val="left"/>
            </w:pPr>
            <w:r w:rsidRPr="00ED37CF">
              <w:t>Outputs and key activities:</w:t>
            </w:r>
          </w:p>
        </w:tc>
        <w:tc>
          <w:tcPr>
            <w:tcW w:w="3897" w:type="pct"/>
            <w:gridSpan w:val="6"/>
          </w:tcPr>
          <w:p w14:paraId="1C5324AB" w14:textId="77777777" w:rsidR="001C4919" w:rsidRPr="00ED37CF" w:rsidRDefault="001C4919" w:rsidP="0090750C">
            <w:pPr>
              <w:spacing w:after="60"/>
              <w:contextualSpacing/>
              <w:rPr>
                <w:bCs/>
              </w:rPr>
            </w:pPr>
            <w:r w:rsidRPr="00ED37CF">
              <w:rPr>
                <w:bCs/>
              </w:rPr>
              <w:t>Key Outputs for Outcome 1 were:</w:t>
            </w:r>
          </w:p>
          <w:p w14:paraId="3CB26F8A" w14:textId="77777777" w:rsidR="001C4919" w:rsidRPr="00ED37CF" w:rsidRDefault="001C4919" w:rsidP="0090750C">
            <w:pPr>
              <w:spacing w:after="60"/>
              <w:contextualSpacing/>
            </w:pPr>
            <w:r w:rsidRPr="00ED37CF">
              <w:t xml:space="preserve">Individual rehabilitation option packages (ROPs) were prepared and made </w:t>
            </w:r>
            <w:r w:rsidRPr="00ED37CF">
              <w:lastRenderedPageBreak/>
              <w:t>available to participants.</w:t>
            </w:r>
          </w:p>
          <w:p w14:paraId="246DDC8C" w14:textId="77777777" w:rsidR="001C4919" w:rsidRPr="00ED37CF" w:rsidRDefault="001C4919" w:rsidP="0090750C">
            <w:pPr>
              <w:spacing w:after="60"/>
              <w:contextualSpacing/>
              <w:rPr>
                <w:rFonts w:eastAsia="Calibri"/>
                <w:color w:val="000000"/>
              </w:rPr>
            </w:pPr>
            <w:r w:rsidRPr="00ED37CF">
              <w:t>Access to employment and livelihood opportunities promoted</w:t>
            </w:r>
            <w:r w:rsidRPr="00ED37CF">
              <w:rPr>
                <w:rFonts w:eastAsia="Calibri"/>
                <w:color w:val="000000"/>
              </w:rPr>
              <w:t>.</w:t>
            </w:r>
          </w:p>
          <w:p w14:paraId="25B2B16A" w14:textId="77777777" w:rsidR="001C4919" w:rsidRPr="00ED37CF" w:rsidRDefault="001C4919" w:rsidP="0090750C">
            <w:pPr>
              <w:spacing w:after="60"/>
              <w:contextualSpacing/>
              <w:rPr>
                <w:rFonts w:eastAsia="Calibri"/>
                <w:color w:val="000000"/>
              </w:rPr>
            </w:pPr>
            <w:r w:rsidRPr="00ED37CF">
              <w:rPr>
                <w:rFonts w:eastAsia="Calibri"/>
                <w:color w:val="000000"/>
              </w:rPr>
              <w:t>Project participants received career and psychosocial counselling.</w:t>
            </w:r>
          </w:p>
          <w:p w14:paraId="534CFF15" w14:textId="77777777" w:rsidR="001C4919" w:rsidRPr="00ED37CF" w:rsidRDefault="001C4919" w:rsidP="0090750C">
            <w:pPr>
              <w:spacing w:after="60"/>
              <w:contextualSpacing/>
              <w:rPr>
                <w:rFonts w:eastAsia="Calibri"/>
                <w:color w:val="000000"/>
              </w:rPr>
            </w:pPr>
            <w:r w:rsidRPr="00ED37CF">
              <w:rPr>
                <w:rFonts w:eastAsia="Calibri"/>
                <w:color w:val="000000"/>
              </w:rPr>
              <w:t>Special gender considerations regarding VMLR were prioritized.</w:t>
            </w:r>
          </w:p>
          <w:p w14:paraId="4BE29EB9" w14:textId="77777777" w:rsidR="001C4919" w:rsidRPr="00ED37CF" w:rsidRDefault="001C4919" w:rsidP="0090750C">
            <w:pPr>
              <w:spacing w:after="60"/>
              <w:contextualSpacing/>
              <w:rPr>
                <w:rFonts w:eastAsia="Calibri"/>
                <w:color w:val="000000"/>
              </w:rPr>
            </w:pPr>
            <w:r w:rsidRPr="00ED37CF">
              <w:rPr>
                <w:rFonts w:eastAsia="Calibri"/>
                <w:color w:val="000000"/>
              </w:rPr>
              <w:t>Individual rehabilitation option packages were implemented.</w:t>
            </w:r>
          </w:p>
          <w:p w14:paraId="4FEFEDBB" w14:textId="77777777" w:rsidR="001C4919" w:rsidRPr="00ED37CF" w:rsidRDefault="001C4919" w:rsidP="0090750C">
            <w:pPr>
              <w:spacing w:after="60"/>
              <w:contextualSpacing/>
              <w:rPr>
                <w:rFonts w:eastAsia="Calibri"/>
              </w:rPr>
            </w:pPr>
            <w:r w:rsidRPr="00ED37CF">
              <w:rPr>
                <w:rFonts w:eastAsia="Calibri"/>
              </w:rPr>
              <w:t>Phase-out strategy and programme closure was completed.</w:t>
            </w:r>
          </w:p>
          <w:p w14:paraId="4280068F" w14:textId="77777777" w:rsidR="001C4919" w:rsidRPr="00ED37CF" w:rsidRDefault="001C4919" w:rsidP="0090750C">
            <w:pPr>
              <w:spacing w:after="60"/>
              <w:contextualSpacing/>
              <w:rPr>
                <w:bCs/>
              </w:rPr>
            </w:pPr>
            <w:r w:rsidRPr="00ED37CF">
              <w:rPr>
                <w:bCs/>
              </w:rPr>
              <w:t>Key Outputs for Outcome 2 were:</w:t>
            </w:r>
          </w:p>
          <w:p w14:paraId="44887DCE" w14:textId="77777777" w:rsidR="001C4919" w:rsidRPr="00ED37CF" w:rsidRDefault="001C4919" w:rsidP="0090750C">
            <w:pPr>
              <w:spacing w:after="60"/>
              <w:contextualSpacing/>
            </w:pPr>
            <w:r w:rsidRPr="00ED37CF">
              <w:t>Public sensitization and information campaign designed and implemented.</w:t>
            </w:r>
          </w:p>
          <w:p w14:paraId="434F2A38" w14:textId="77777777" w:rsidR="001C4919" w:rsidRPr="00ED37CF" w:rsidRDefault="001C4919" w:rsidP="0090750C">
            <w:pPr>
              <w:spacing w:after="60"/>
              <w:contextualSpacing/>
            </w:pPr>
            <w:r w:rsidRPr="00ED37CF">
              <w:t>Communities assisted in addressing socio-economic rehabilitation of VMLR through engagement in related capacity building projects.</w:t>
            </w:r>
          </w:p>
          <w:p w14:paraId="4F136CC7" w14:textId="77777777" w:rsidR="001C4919" w:rsidRPr="00ED37CF" w:rsidRDefault="001C4919" w:rsidP="0090750C">
            <w:pPr>
              <w:spacing w:after="60"/>
              <w:contextualSpacing/>
            </w:pPr>
            <w:r w:rsidRPr="00ED37CF">
              <w:t>Capacity strengthened for vocational training service providers to facilitate sustainable services to the broader community.</w:t>
            </w:r>
          </w:p>
          <w:p w14:paraId="3740DE3E" w14:textId="77777777" w:rsidR="001C4919" w:rsidRPr="00ED37CF" w:rsidRDefault="001C4919" w:rsidP="0090750C">
            <w:pPr>
              <w:spacing w:after="60"/>
              <w:contextualSpacing/>
            </w:pPr>
            <w:r w:rsidRPr="00ED37CF">
              <w:t>Specific gender considerations regarding the VMLR and the broader community were prioritized.</w:t>
            </w:r>
          </w:p>
        </w:tc>
      </w:tr>
      <w:tr w:rsidR="001C4919" w:rsidRPr="00ED37CF" w14:paraId="08BC3F2E" w14:textId="77777777" w:rsidTr="00253422">
        <w:trPr>
          <w:trHeight w:val="810"/>
          <w:jc w:val="center"/>
        </w:trPr>
        <w:tc>
          <w:tcPr>
            <w:tcW w:w="1103" w:type="pct"/>
            <w:shd w:val="clear" w:color="auto" w:fill="E6E6E6"/>
            <w:vAlign w:val="center"/>
          </w:tcPr>
          <w:p w14:paraId="223B5001" w14:textId="77777777" w:rsidR="001C4919" w:rsidRPr="00ED37CF" w:rsidRDefault="001C4919" w:rsidP="0090750C">
            <w:pPr>
              <w:jc w:val="left"/>
            </w:pPr>
            <w:r w:rsidRPr="00ED37CF">
              <w:lastRenderedPageBreak/>
              <w:t>Indicator and benchmarks:</w:t>
            </w:r>
          </w:p>
        </w:tc>
        <w:tc>
          <w:tcPr>
            <w:tcW w:w="3897" w:type="pct"/>
            <w:gridSpan w:val="6"/>
          </w:tcPr>
          <w:p w14:paraId="5878F97F" w14:textId="77777777" w:rsidR="001C4919" w:rsidRPr="00ED37CF" w:rsidRDefault="001C4919" w:rsidP="0090750C">
            <w:pPr>
              <w:spacing w:after="60"/>
              <w:contextualSpacing/>
              <w:rPr>
                <w:bCs/>
                <w:color w:val="000000"/>
              </w:rPr>
            </w:pPr>
            <w:r w:rsidRPr="00ED37CF">
              <w:rPr>
                <w:bCs/>
                <w:color w:val="000000"/>
              </w:rPr>
              <w:t>Of the 56% VMLR who had availed themselves to individual rehabilitation packages and graduated, 71% engaged in constructive livelihoods six months after the completion of the process.</w:t>
            </w:r>
          </w:p>
          <w:p w14:paraId="340873C0" w14:textId="77777777" w:rsidR="001C4919" w:rsidRPr="00ED37CF" w:rsidRDefault="001C4919" w:rsidP="0090750C">
            <w:pPr>
              <w:spacing w:after="60"/>
              <w:contextualSpacing/>
              <w:rPr>
                <w:bCs/>
                <w:color w:val="000000"/>
              </w:rPr>
            </w:pPr>
            <w:r w:rsidRPr="00ED37CF">
              <w:rPr>
                <w:bCs/>
                <w:color w:val="000000"/>
              </w:rPr>
              <w:t>Communities perception of the local impact of the rehabilitation process</w:t>
            </w:r>
          </w:p>
          <w:p w14:paraId="434D54D5" w14:textId="77777777" w:rsidR="001C4919" w:rsidRPr="00ED37CF" w:rsidRDefault="001C4919" w:rsidP="0090750C">
            <w:pPr>
              <w:spacing w:after="60"/>
              <w:contextualSpacing/>
              <w:rPr>
                <w:bCs/>
                <w:color w:val="000000"/>
              </w:rPr>
            </w:pPr>
            <w:r w:rsidRPr="00ED37CF">
              <w:rPr>
                <w:bCs/>
                <w:color w:val="000000"/>
              </w:rPr>
              <w:t>80% participants reported being rehabilitated and reintegrated in to their families and communities without stigmatization.</w:t>
            </w:r>
          </w:p>
        </w:tc>
      </w:tr>
    </w:tbl>
    <w:p w14:paraId="38D08C59" w14:textId="77777777" w:rsidR="001C4919" w:rsidRPr="00ED37CF" w:rsidRDefault="0000321A" w:rsidP="0048236E">
      <w:pPr>
        <w:pStyle w:val="Heading3"/>
      </w:pPr>
      <w:bookmarkStart w:id="49" w:name="_Toc389486839"/>
      <w:bookmarkStart w:id="50" w:name="_Toc393116668"/>
      <w:bookmarkStart w:id="51" w:name="_Toc393117834"/>
      <w:bookmarkStart w:id="52" w:name="_Toc393373729"/>
      <w:r w:rsidRPr="00ED37CF">
        <w:t>2.2</w:t>
      </w:r>
      <w:r w:rsidRPr="00ED37CF">
        <w:tab/>
      </w:r>
      <w:r w:rsidR="001C4919" w:rsidRPr="00ED37CF">
        <w:t>Outcomes</w:t>
      </w:r>
      <w:bookmarkEnd w:id="49"/>
      <w:bookmarkEnd w:id="50"/>
      <w:bookmarkEnd w:id="51"/>
      <w:bookmarkEnd w:id="52"/>
    </w:p>
    <w:p w14:paraId="33A4F47F" w14:textId="36FCC28D" w:rsidR="001C4919" w:rsidRPr="00ED37CF" w:rsidRDefault="001C4919" w:rsidP="0090750C">
      <w:r w:rsidRPr="00ED37CF">
        <w:t xml:space="preserve">The majority of the program activities were conducted in line with the previous United Nations Development Assistance Framework (UNDAF) objective, which was that “The Government of Nepal and Maoist Army have the capacity to meet the CPA and AMMAA commitments for the cantonment, discharge, integration and rehabilitation of the Maoist army.” Other programme components have been extended because they were aligned with the new UNDAF </w:t>
      </w:r>
      <w:r w:rsidR="00EB77CF">
        <w:t>outcome</w:t>
      </w:r>
      <w:r w:rsidRPr="00ED37CF">
        <w:t xml:space="preserve"> 9</w:t>
      </w:r>
      <w:r w:rsidR="00EB77CF">
        <w:t xml:space="preserve"> stating</w:t>
      </w:r>
      <w:r w:rsidRPr="00ED37CF">
        <w:t xml:space="preserve"> that ‘National actors and institutions have managed conflict risk and are progressively consolidating the peace’. The project also represented a key activity of 9.4 of UNDP Country Programme Action Plan (CPAP) for Nepal which stated that, ‘Targeted populations participate in social and economic empowerment initiatives and integration programmes to diminish future conflict risk’.</w:t>
      </w:r>
    </w:p>
    <w:p w14:paraId="5A446E86" w14:textId="77777777" w:rsidR="001C4919" w:rsidRPr="00ED37CF" w:rsidRDefault="001C4919" w:rsidP="0090750C">
      <w:pPr>
        <w:rPr>
          <w:rFonts w:cs="Arial"/>
          <w:sz w:val="23"/>
          <w:szCs w:val="23"/>
        </w:rPr>
      </w:pPr>
      <w:r w:rsidRPr="00ED37CF">
        <w:rPr>
          <w:rFonts w:cs="Arial"/>
          <w:sz w:val="23"/>
          <w:szCs w:val="23"/>
        </w:rPr>
        <w:t>UNIRP contributed to UNDAF Outcome 9 through its programme specific outcomes:</w:t>
      </w:r>
    </w:p>
    <w:p w14:paraId="0E50E1F9" w14:textId="77777777" w:rsidR="001C4919" w:rsidRPr="00ED37CF" w:rsidRDefault="001C4919" w:rsidP="007D3884">
      <w:pPr>
        <w:pStyle w:val="ListParagraph"/>
        <w:numPr>
          <w:ilvl w:val="0"/>
          <w:numId w:val="26"/>
        </w:numPr>
        <w:rPr>
          <w:rFonts w:cs="Arial"/>
          <w:sz w:val="23"/>
          <w:szCs w:val="23"/>
        </w:rPr>
      </w:pPr>
      <w:r w:rsidRPr="00ED37CF">
        <w:rPr>
          <w:rFonts w:cs="Arial"/>
          <w:sz w:val="23"/>
          <w:szCs w:val="23"/>
        </w:rPr>
        <w:t>VMLR were supported in their socio-economic rehabilitation through individual rehabilitation option packages.</w:t>
      </w:r>
    </w:p>
    <w:p w14:paraId="4FF9D862" w14:textId="77777777" w:rsidR="001C4919" w:rsidRPr="00ED37CF" w:rsidRDefault="001C4919" w:rsidP="007D3884">
      <w:pPr>
        <w:pStyle w:val="ListParagraph"/>
        <w:numPr>
          <w:ilvl w:val="0"/>
          <w:numId w:val="26"/>
        </w:numPr>
        <w:rPr>
          <w:rFonts w:cs="Arial"/>
          <w:sz w:val="23"/>
          <w:szCs w:val="23"/>
        </w:rPr>
      </w:pPr>
      <w:r w:rsidRPr="00ED37CF">
        <w:rPr>
          <w:rFonts w:cs="Arial"/>
          <w:sz w:val="23"/>
          <w:szCs w:val="23"/>
        </w:rPr>
        <w:t>Communities were engaged in supporting the rehabilitation of VMLR participants.</w:t>
      </w:r>
    </w:p>
    <w:p w14:paraId="3EEF1A04" w14:textId="77777777" w:rsidR="001C4919" w:rsidRPr="00ED37CF" w:rsidRDefault="001C4919" w:rsidP="0090750C">
      <w:pPr>
        <w:rPr>
          <w:rFonts w:cs="Arial"/>
          <w:sz w:val="23"/>
          <w:szCs w:val="23"/>
        </w:rPr>
      </w:pPr>
      <w:r w:rsidRPr="00ED37CF">
        <w:rPr>
          <w:rFonts w:cs="Arial"/>
          <w:sz w:val="23"/>
          <w:szCs w:val="23"/>
        </w:rPr>
        <w:t>UNIRP’s outcomes are detailed below:</w:t>
      </w:r>
    </w:p>
    <w:p w14:paraId="75C5F34D" w14:textId="77777777" w:rsidR="001C4919" w:rsidRPr="00ED37CF" w:rsidRDefault="001C4919" w:rsidP="002A2D72">
      <w:pPr>
        <w:rPr>
          <w:lang w:eastAsia="ja-JP"/>
        </w:rPr>
      </w:pPr>
      <w:r w:rsidRPr="00ED37CF">
        <w:rPr>
          <w:lang w:eastAsia="ja-JP"/>
        </w:rPr>
        <w:t xml:space="preserve">The first outcome focused on VMLR and involved the preparation of a series of training and education ROPs that were made available to the participants. A public information campaign advertised the availability of these packages and the procedures to be followed for registration. A toll-free telephone number was </w:t>
      </w:r>
      <w:r w:rsidR="002A2D72" w:rsidRPr="00ED37CF">
        <w:rPr>
          <w:lang w:eastAsia="ja-JP"/>
        </w:rPr>
        <w:t xml:space="preserve">established </w:t>
      </w:r>
      <w:r w:rsidRPr="00ED37CF">
        <w:rPr>
          <w:lang w:eastAsia="ja-JP"/>
        </w:rPr>
        <w:t xml:space="preserve">as the primary point of first contact for interested individuals and they were directed to one of five field offices located throughout the country. In each field office, career and psychosocial counselling was available and interested VMLR registered for the rehabilitation option of their choice. The process prioritized the special needs of girls and young women as well as youth in general. </w:t>
      </w:r>
      <w:r w:rsidRPr="00ED37CF">
        <w:t xml:space="preserve">UNIRP ensured participation of women through gender sensitive planning and </w:t>
      </w:r>
      <w:r w:rsidRPr="00ED37CF">
        <w:lastRenderedPageBreak/>
        <w:t xml:space="preserve">implementation, including gender friendly rehabilitation options and comprehensive gender specific support. </w:t>
      </w:r>
      <w:r w:rsidRPr="00ED37CF">
        <w:rPr>
          <w:lang w:eastAsia="ja-JP"/>
        </w:rPr>
        <w:t>These packages were offered through service providers that are governmental, semi-governmental and non-governmental in nature. Based on the guidance of a career counsellor, the participants selected a rehabilitation package available in the geographic area of their interest and pursued their training/education. During the training/education period, the VMLR received a monthly stipend and most received three meals a day</w:t>
      </w:r>
      <w:r w:rsidR="006D2E0D" w:rsidRPr="00ED37CF">
        <w:rPr>
          <w:lang w:eastAsia="ja-JP"/>
        </w:rPr>
        <w:t xml:space="preserve"> (later </w:t>
      </w:r>
      <w:r w:rsidR="003554AE" w:rsidRPr="00ED37CF">
        <w:rPr>
          <w:lang w:eastAsia="ja-JP"/>
        </w:rPr>
        <w:t xml:space="preserve">on </w:t>
      </w:r>
      <w:r w:rsidR="006D2E0D" w:rsidRPr="00ED37CF">
        <w:rPr>
          <w:lang w:eastAsia="ja-JP"/>
        </w:rPr>
        <w:t>converted to cash)</w:t>
      </w:r>
      <w:r w:rsidRPr="00ED37CF">
        <w:rPr>
          <w:lang w:eastAsia="ja-JP"/>
        </w:rPr>
        <w:t xml:space="preserve">. Provisions were made available for special needs cases including individuals that were facing very serious health problems. A critical aspect of the programme was to promote access to employment and livelihood options for participants by establishing strategic alliances with relevant private sector, donor, governmental and NGO counterparts who provided guidance or access to employment in relevant fields including in areas of public works. </w:t>
      </w:r>
    </w:p>
    <w:p w14:paraId="4613C7BC" w14:textId="19C0693A" w:rsidR="001C4919" w:rsidRPr="00ED37CF" w:rsidRDefault="001C4919" w:rsidP="0090750C">
      <w:pPr>
        <w:rPr>
          <w:bCs/>
          <w:color w:val="000000"/>
          <w:lang w:eastAsia="ja-JP"/>
        </w:rPr>
      </w:pPr>
      <w:r w:rsidRPr="00ED37CF">
        <w:t xml:space="preserve">As a result of rigorous face-to-face monitoring and follow up </w:t>
      </w:r>
      <w:r w:rsidR="0036077B">
        <w:t xml:space="preserve">done in December 2013 </w:t>
      </w:r>
      <w:r w:rsidRPr="00ED37CF">
        <w:t xml:space="preserve">by field </w:t>
      </w:r>
      <w:r w:rsidR="0036077B" w:rsidRPr="00ED37CF">
        <w:t>staff</w:t>
      </w:r>
      <w:r w:rsidR="0036077B">
        <w:t>,</w:t>
      </w:r>
      <w:r w:rsidRPr="00ED37CF">
        <w:t xml:space="preserve"> UNIRP found that 71% of participants are employed or have started their own business. Of the total 4008 VMLR, 30% were girls and women. Girls and women represented </w:t>
      </w:r>
      <w:r w:rsidRPr="00ED37CF">
        <w:rPr>
          <w:lang w:eastAsia="ja-JP"/>
        </w:rPr>
        <w:t xml:space="preserve">38% </w:t>
      </w:r>
      <w:r w:rsidR="003554AE" w:rsidRPr="00ED37CF">
        <w:rPr>
          <w:lang w:eastAsia="ja-JP"/>
        </w:rPr>
        <w:t xml:space="preserve">of </w:t>
      </w:r>
      <w:r w:rsidRPr="00ED37CF">
        <w:rPr>
          <w:lang w:eastAsia="ja-JP"/>
        </w:rPr>
        <w:t>programme participants. Of the 71% of graduates employed, 37% were girls and women who had established their own businesses or had secured gainful employment. These are very successful rates considering the employment challenges in Nepal.</w:t>
      </w:r>
    </w:p>
    <w:p w14:paraId="7FE24D63" w14:textId="77777777" w:rsidR="001C4919" w:rsidRPr="00ED37CF" w:rsidRDefault="001C4919" w:rsidP="0090750C">
      <w:pPr>
        <w:rPr>
          <w:rFonts w:cs="Arial"/>
          <w:bCs/>
          <w:color w:val="000000"/>
          <w:sz w:val="23"/>
          <w:szCs w:val="23"/>
          <w:lang w:eastAsia="ja-JP"/>
        </w:rPr>
      </w:pPr>
      <w:r w:rsidRPr="00ED37CF">
        <w:rPr>
          <w:rFonts w:cs="Arial"/>
          <w:bCs/>
          <w:color w:val="000000"/>
          <w:sz w:val="23"/>
          <w:szCs w:val="23"/>
          <w:lang w:eastAsia="ja-JP"/>
        </w:rPr>
        <w:t xml:space="preserve">The second outcome targeted the broader community and the general population of Nepal to promote wider engagement and support for the rehabilitation of the VMLR. A public information and sensitization campaign was designed and implemented which promoted understanding, acceptance and reconciliation as the VMLR transitioned back into civilian life within the broader community. To diminish tensions towards these participants, and to promote some degree of reconciliation at the local level, a Do No Harm approach informed the activities to assist communities in promoting the socio-economic rehabilitation of the VMLR. This included working with youth clubs and other social networks in the form of peacebuilding activities at the community level. </w:t>
      </w:r>
    </w:p>
    <w:p w14:paraId="27BFC3DB" w14:textId="77777777" w:rsidR="001C4919" w:rsidRPr="00ED37CF" w:rsidRDefault="001C4919" w:rsidP="0090750C">
      <w:pPr>
        <w:rPr>
          <w:rFonts w:cs="Arial"/>
          <w:bCs/>
          <w:color w:val="000000"/>
          <w:sz w:val="23"/>
          <w:szCs w:val="23"/>
          <w:lang w:eastAsia="ja-JP"/>
        </w:rPr>
      </w:pPr>
      <w:r w:rsidRPr="00ED37CF">
        <w:rPr>
          <w:rFonts w:cs="Arial"/>
          <w:bCs/>
          <w:color w:val="000000"/>
          <w:sz w:val="23"/>
          <w:szCs w:val="23"/>
          <w:lang w:eastAsia="ja-JP"/>
        </w:rPr>
        <w:t xml:space="preserve">Capacity building of vocational skills training service providers was prioritized and local schools were strengthened in certain communities, as a means of providing support useful to the broader community. </w:t>
      </w:r>
      <w:r w:rsidRPr="00ED37CF">
        <w:rPr>
          <w:rFonts w:cs="Arial"/>
          <w:sz w:val="23"/>
          <w:szCs w:val="23"/>
        </w:rPr>
        <w:t xml:space="preserve">The programme enrolled a vulnerable child into school for every two children who opted for education. The local school committee was involved in identifying the vulnerable child from the community. </w:t>
      </w:r>
    </w:p>
    <w:p w14:paraId="02C969D3" w14:textId="77777777" w:rsidR="001C4919" w:rsidRPr="00ED37CF" w:rsidRDefault="001C4919" w:rsidP="0090750C">
      <w:pPr>
        <w:rPr>
          <w:rFonts w:cs="Arial"/>
          <w:sz w:val="23"/>
          <w:szCs w:val="23"/>
          <w:lang w:eastAsia="ja-JP"/>
        </w:rPr>
      </w:pPr>
      <w:r w:rsidRPr="00ED37CF">
        <w:rPr>
          <w:rFonts w:cs="Arial"/>
          <w:bCs/>
          <w:color w:val="000000"/>
          <w:sz w:val="23"/>
          <w:szCs w:val="23"/>
          <w:lang w:eastAsia="ja-JP"/>
        </w:rPr>
        <w:t>In addition, the programme also collaborated with potential employers and explored over 1,000 employment opportunities. The private sector offered business mentoring to graduates and welcomed them to join related sectoral business associations</w:t>
      </w:r>
      <w:r w:rsidRPr="00ED37CF">
        <w:rPr>
          <w:rFonts w:cs="Arial"/>
          <w:sz w:val="23"/>
          <w:szCs w:val="23"/>
          <w:lang w:eastAsia="ja-JP"/>
        </w:rPr>
        <w:t xml:space="preserve">. </w:t>
      </w:r>
    </w:p>
    <w:p w14:paraId="03ED7F26" w14:textId="77777777" w:rsidR="001C06B9" w:rsidRPr="00ED37CF" w:rsidRDefault="001C06B9" w:rsidP="0090750C">
      <w:pPr>
        <w:rPr>
          <w:rFonts w:cs="Arial"/>
          <w:b/>
          <w:sz w:val="23"/>
          <w:szCs w:val="23"/>
          <w:lang w:eastAsia="ja-JP"/>
        </w:rPr>
      </w:pPr>
      <w:r w:rsidRPr="00ED37CF">
        <w:rPr>
          <w:rFonts w:cs="Arial"/>
          <w:b/>
          <w:sz w:val="23"/>
          <w:szCs w:val="23"/>
          <w:lang w:eastAsia="ja-JP"/>
        </w:rPr>
        <w:t>Figure 1</w:t>
      </w:r>
      <w:r w:rsidR="001D434C" w:rsidRPr="00ED37CF">
        <w:rPr>
          <w:rFonts w:cs="Arial"/>
          <w:b/>
          <w:sz w:val="23"/>
          <w:szCs w:val="23"/>
          <w:lang w:eastAsia="ja-JP"/>
        </w:rPr>
        <w:t>: Employment Rate &amp; Face-to-Face Monitoring Trend</w:t>
      </w:r>
    </w:p>
    <w:p w14:paraId="493390D3" w14:textId="77777777" w:rsidR="001C06B9" w:rsidRPr="00ED37CF" w:rsidRDefault="001D434C" w:rsidP="0090750C">
      <w:pPr>
        <w:rPr>
          <w:rFonts w:cs="Arial"/>
          <w:sz w:val="23"/>
          <w:szCs w:val="23"/>
          <w:lang w:eastAsia="ja-JP"/>
        </w:rPr>
      </w:pPr>
      <w:r w:rsidRPr="00ED37CF">
        <w:rPr>
          <w:rFonts w:cs="Arial"/>
          <w:noProof/>
          <w:sz w:val="23"/>
          <w:szCs w:val="23"/>
          <w:lang w:val="en-US" w:bidi="ar-SA"/>
        </w:rPr>
        <w:lastRenderedPageBreak/>
        <w:drawing>
          <wp:anchor distT="0" distB="0" distL="114300" distR="114300" simplePos="0" relativeHeight="251662336" behindDoc="0" locked="0" layoutInCell="1" allowOverlap="1" wp14:anchorId="122034F4" wp14:editId="789C4197">
            <wp:simplePos x="0" y="0"/>
            <wp:positionH relativeFrom="column">
              <wp:posOffset>6350</wp:posOffset>
            </wp:positionH>
            <wp:positionV relativeFrom="paragraph">
              <wp:posOffset>110490</wp:posOffset>
            </wp:positionV>
            <wp:extent cx="5964555" cy="1993900"/>
            <wp:effectExtent l="19050" t="0" r="17145" b="6350"/>
            <wp:wrapSquare wrapText="bothSides"/>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A47CC14" w14:textId="77777777" w:rsidR="00CC3058" w:rsidRDefault="00CC3058" w:rsidP="0090750C">
      <w:pPr>
        <w:rPr>
          <w:rFonts w:cs="Arial"/>
          <w:b/>
          <w:sz w:val="23"/>
          <w:szCs w:val="23"/>
          <w:lang w:eastAsia="ja-JP"/>
        </w:rPr>
      </w:pPr>
    </w:p>
    <w:p w14:paraId="0F6CF93B" w14:textId="77777777" w:rsidR="00CC3058" w:rsidRDefault="00CC3058" w:rsidP="0090750C">
      <w:pPr>
        <w:rPr>
          <w:rFonts w:cs="Arial"/>
          <w:b/>
          <w:sz w:val="23"/>
          <w:szCs w:val="23"/>
          <w:lang w:eastAsia="ja-JP"/>
        </w:rPr>
      </w:pPr>
    </w:p>
    <w:p w14:paraId="62A1F75E" w14:textId="77777777" w:rsidR="00CC3058" w:rsidRDefault="00CC3058" w:rsidP="0090750C">
      <w:pPr>
        <w:rPr>
          <w:rFonts w:cs="Arial"/>
          <w:b/>
          <w:sz w:val="23"/>
          <w:szCs w:val="23"/>
          <w:lang w:eastAsia="ja-JP"/>
        </w:rPr>
      </w:pPr>
    </w:p>
    <w:p w14:paraId="7A9BAE0E" w14:textId="77777777" w:rsidR="00CC3058" w:rsidRDefault="00CC3058" w:rsidP="0090750C">
      <w:pPr>
        <w:rPr>
          <w:rFonts w:cs="Arial"/>
          <w:b/>
          <w:sz w:val="23"/>
          <w:szCs w:val="23"/>
          <w:lang w:eastAsia="ja-JP"/>
        </w:rPr>
      </w:pPr>
    </w:p>
    <w:p w14:paraId="41715848" w14:textId="77777777" w:rsidR="00CC3058" w:rsidRDefault="00CC3058" w:rsidP="0090750C">
      <w:pPr>
        <w:rPr>
          <w:rFonts w:cs="Arial"/>
          <w:b/>
          <w:sz w:val="23"/>
          <w:szCs w:val="23"/>
          <w:lang w:eastAsia="ja-JP"/>
        </w:rPr>
      </w:pPr>
    </w:p>
    <w:p w14:paraId="34548C1D" w14:textId="77777777" w:rsidR="001C06B9" w:rsidRPr="00ED37CF" w:rsidRDefault="001D434C" w:rsidP="0090750C">
      <w:pPr>
        <w:rPr>
          <w:rFonts w:cs="Arial"/>
          <w:b/>
          <w:sz w:val="23"/>
          <w:szCs w:val="23"/>
          <w:lang w:eastAsia="ja-JP"/>
        </w:rPr>
      </w:pPr>
      <w:r w:rsidRPr="00ED37CF">
        <w:rPr>
          <w:rFonts w:cs="Arial"/>
          <w:b/>
          <w:sz w:val="23"/>
          <w:szCs w:val="23"/>
          <w:lang w:eastAsia="ja-JP"/>
        </w:rPr>
        <w:t>Figure 2: Trend of Business Sustainability</w:t>
      </w:r>
    </w:p>
    <w:p w14:paraId="2A8FF2BA" w14:textId="77777777" w:rsidR="001C06B9" w:rsidRPr="00ED37CF" w:rsidRDefault="001D434C" w:rsidP="0090750C">
      <w:pPr>
        <w:rPr>
          <w:rFonts w:cs="Arial"/>
          <w:sz w:val="23"/>
          <w:szCs w:val="23"/>
          <w:lang w:eastAsia="ja-JP"/>
        </w:rPr>
      </w:pPr>
      <w:r w:rsidRPr="00ED37CF">
        <w:rPr>
          <w:rFonts w:cs="Arial"/>
          <w:noProof/>
          <w:sz w:val="23"/>
          <w:szCs w:val="23"/>
          <w:lang w:val="en-US" w:bidi="ar-SA"/>
        </w:rPr>
        <w:drawing>
          <wp:anchor distT="0" distB="0" distL="114300" distR="114300" simplePos="0" relativeHeight="251666432" behindDoc="0" locked="0" layoutInCell="1" allowOverlap="1" wp14:anchorId="1D8D2C9A" wp14:editId="4BF4D567">
            <wp:simplePos x="0" y="0"/>
            <wp:positionH relativeFrom="column">
              <wp:posOffset>6350</wp:posOffset>
            </wp:positionH>
            <wp:positionV relativeFrom="paragraph">
              <wp:posOffset>77470</wp:posOffset>
            </wp:positionV>
            <wp:extent cx="5964555" cy="2159000"/>
            <wp:effectExtent l="19050" t="0" r="17145" b="0"/>
            <wp:wrapSquare wrapText="bothSides"/>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6F5F9A44" w14:textId="77777777" w:rsidR="001C4919" w:rsidRPr="00ED37CF" w:rsidRDefault="001C4919" w:rsidP="00253422">
      <w:pPr>
        <w:pStyle w:val="Heading2"/>
        <w:spacing w:before="240"/>
      </w:pPr>
      <w:bookmarkStart w:id="53" w:name="_Toc393116669"/>
      <w:bookmarkStart w:id="54" w:name="_Toc393117835"/>
      <w:bookmarkStart w:id="55" w:name="_Toc393373730"/>
      <w:bookmarkStart w:id="56" w:name="_Toc389486841"/>
      <w:r w:rsidRPr="00ED37CF">
        <w:t>Implementation and Monitoring Arrangements</w:t>
      </w:r>
      <w:bookmarkEnd w:id="53"/>
      <w:bookmarkEnd w:id="54"/>
      <w:bookmarkEnd w:id="55"/>
    </w:p>
    <w:p w14:paraId="41AE1498" w14:textId="77777777" w:rsidR="0048236E" w:rsidRPr="00ED37CF" w:rsidRDefault="0048236E" w:rsidP="007D3884">
      <w:pPr>
        <w:pStyle w:val="ListParagraph"/>
        <w:keepNext/>
        <w:numPr>
          <w:ilvl w:val="0"/>
          <w:numId w:val="25"/>
        </w:numPr>
        <w:spacing w:before="120"/>
        <w:contextualSpacing w:val="0"/>
        <w:jc w:val="left"/>
        <w:outlineLvl w:val="2"/>
        <w:rPr>
          <w:rFonts w:eastAsiaTheme="majorEastAsia" w:cstheme="majorBidi"/>
          <w:b/>
          <w:bCs/>
          <w:vanish/>
        </w:rPr>
      </w:pPr>
      <w:bookmarkStart w:id="57" w:name="_Toc393200505"/>
      <w:bookmarkStart w:id="58" w:name="_Toc393205751"/>
      <w:bookmarkStart w:id="59" w:name="_Toc393205796"/>
      <w:bookmarkStart w:id="60" w:name="_Toc393205864"/>
      <w:bookmarkStart w:id="61" w:name="_Toc393205896"/>
      <w:bookmarkStart w:id="62" w:name="_Toc393205928"/>
      <w:bookmarkStart w:id="63" w:name="_Toc393206301"/>
      <w:bookmarkStart w:id="64" w:name="_Toc393206403"/>
      <w:bookmarkStart w:id="65" w:name="_Toc393208264"/>
      <w:bookmarkStart w:id="66" w:name="_Toc393208388"/>
      <w:bookmarkStart w:id="67" w:name="_Toc393208920"/>
      <w:bookmarkStart w:id="68" w:name="_Toc393210641"/>
      <w:bookmarkStart w:id="69" w:name="_Toc393373731"/>
      <w:bookmarkStart w:id="70" w:name="_Toc393116670"/>
      <w:bookmarkStart w:id="71" w:name="_Toc393117836"/>
      <w:bookmarkEnd w:id="57"/>
      <w:bookmarkEnd w:id="58"/>
      <w:bookmarkEnd w:id="59"/>
      <w:bookmarkEnd w:id="60"/>
      <w:bookmarkEnd w:id="61"/>
      <w:bookmarkEnd w:id="62"/>
      <w:bookmarkEnd w:id="63"/>
      <w:bookmarkEnd w:id="64"/>
      <w:bookmarkEnd w:id="65"/>
      <w:bookmarkEnd w:id="66"/>
      <w:bookmarkEnd w:id="67"/>
      <w:bookmarkEnd w:id="68"/>
      <w:bookmarkEnd w:id="69"/>
    </w:p>
    <w:p w14:paraId="4E58E8A7" w14:textId="77777777" w:rsidR="001C4919" w:rsidRPr="00ED37CF" w:rsidRDefault="0000321A" w:rsidP="0048236E">
      <w:pPr>
        <w:pStyle w:val="Heading3"/>
      </w:pPr>
      <w:bookmarkStart w:id="72" w:name="_Toc393373732"/>
      <w:r w:rsidRPr="00ED37CF">
        <w:t>3.1</w:t>
      </w:r>
      <w:r w:rsidRPr="00ED37CF">
        <w:tab/>
      </w:r>
      <w:r w:rsidR="001C4919" w:rsidRPr="00ED37CF">
        <w:t>Implementation: Roles of UN Partner Agencies and Monitoring Arrangements</w:t>
      </w:r>
      <w:bookmarkEnd w:id="56"/>
      <w:bookmarkEnd w:id="70"/>
      <w:bookmarkEnd w:id="71"/>
      <w:bookmarkEnd w:id="72"/>
    </w:p>
    <w:p w14:paraId="43E23BEA" w14:textId="77777777" w:rsidR="001C4919" w:rsidRPr="00ED37CF" w:rsidRDefault="001C4919" w:rsidP="0090750C">
      <w:r w:rsidRPr="00ED37CF">
        <w:t xml:space="preserve">This was an interagency UN project involving UNDP, UNICEF, UNFPA and ILO. UNDP was the lead coordinating agency. To promote genuine synergies while ensuring managerial clarity, an interagency Memorandum of Understanding (MOU) was developed and signed by all relevant heads of agencies regarding each agency’s respective responsibility in project implementation, and to clarify matters such as lines of reporting and decision-making. The MOU established a Project Steering Committee and Technical Committee, which included relevant agencies and also included implementing partners and MoPR. The MOU also contained an attached detailed work-plan clarifying detailed responsibilities and accountability for the relevant participating agencies through project delivery. In the spirit of the MOU, </w:t>
      </w:r>
      <w:r w:rsidRPr="00ED37CF">
        <w:lastRenderedPageBreak/>
        <w:t xml:space="preserve">a regional coordination mechanism between UNIRP, UNICEF, </w:t>
      </w:r>
      <w:r w:rsidR="00CC3058">
        <w:t xml:space="preserve">the </w:t>
      </w:r>
      <w:r w:rsidRPr="00ED37CF">
        <w:t>UN Monitoring team and other UN agencies was established.</w:t>
      </w:r>
    </w:p>
    <w:p w14:paraId="59215367" w14:textId="77777777" w:rsidR="001C4919" w:rsidRPr="00ED37CF" w:rsidRDefault="001C4919" w:rsidP="0090750C">
      <w:r w:rsidRPr="00ED37CF">
        <w:t>The UNCT Committee Architecture for Discharge and Rehabilitation was initially used although project management arrangements replaced most of the existing mechanisms. The Joint Secretary from MoPR sat on the project executive board providing guidance and oversight. Meetings with the UCPN-M were also held at the highest level on an as needed basis.</w:t>
      </w:r>
    </w:p>
    <w:p w14:paraId="6E8976A0" w14:textId="77777777" w:rsidR="001C4919" w:rsidRPr="00ED37CF" w:rsidRDefault="001C4919" w:rsidP="0090750C">
      <w:r w:rsidRPr="00ED37CF">
        <w:t xml:space="preserve">The project was implemented under the DEX/DIM modality. UNDP had a Programme Officer and Programme Associate dedicated to the project housed within </w:t>
      </w:r>
      <w:r w:rsidR="00CC3058">
        <w:t>UNDP’s</w:t>
      </w:r>
      <w:r w:rsidRPr="00ED37CF">
        <w:t xml:space="preserve"> Peace-building and Recovery Unit to ensure coordination with relevant finance and legal offices, and to ensure fiscal and contractual compliance with UN rules and procedures. The project also had a full-time administration and finance officer housed within the project.</w:t>
      </w:r>
    </w:p>
    <w:p w14:paraId="2A98BAA8" w14:textId="77777777" w:rsidR="001C4919" w:rsidRPr="00ED37CF" w:rsidRDefault="001C4919" w:rsidP="0090750C">
      <w:r w:rsidRPr="00ED37CF">
        <w:t>The monitoring and evaluation mechanism for this project is described below. UNDP coordinated quarterly reporting and annual narrative reporting to the UNPFN and its Administrative Agent.</w:t>
      </w:r>
      <w:r w:rsidR="005E1EE9" w:rsidRPr="00ED37CF">
        <w:t xml:space="preserve"> </w:t>
      </w:r>
      <w:r w:rsidRPr="00ED37CF">
        <w:t>Participating Agencies were responsible for individual annual financial reporting.</w:t>
      </w:r>
    </w:p>
    <w:p w14:paraId="403D937A" w14:textId="77777777" w:rsidR="001C4919" w:rsidRPr="00ED37CF" w:rsidRDefault="001C4919" w:rsidP="0090750C">
      <w:r w:rsidRPr="00ED37CF">
        <w:t xml:space="preserve">The programme anticipated an evolving environment and provided for flexibility regarding staffing levels and support relative to the numbers of beneficiaries to be serviced and the levels of services to be provided. An independent Special Review took place in March 2011 in order to ensure realistic and efficient programming through the second year. The Special Review was led by the Senior Advisor of DDR </w:t>
      </w:r>
      <w:r w:rsidR="00A50330" w:rsidRPr="00ED37CF">
        <w:t>from UNDP Headquarters in New York</w:t>
      </w:r>
      <w:r w:rsidRPr="00ED37CF">
        <w:t>, accompanied by a technical rehabilitation expert from UNICEF, UNFPA and ILO’s respective headquarters. The independent Special Review, noted the level of participation and the levels of critical services to be provided in UNIRP programme document</w:t>
      </w:r>
      <w:r w:rsidR="00CC3058">
        <w:t>.</w:t>
      </w:r>
    </w:p>
    <w:p w14:paraId="154F7DFF" w14:textId="77777777" w:rsidR="001C4919" w:rsidRPr="00ED37CF" w:rsidRDefault="001C4919" w:rsidP="0090750C">
      <w:pPr>
        <w:rPr>
          <w:rFonts w:cs="Arial"/>
        </w:rPr>
      </w:pPr>
      <w:r w:rsidRPr="00ED37CF">
        <w:rPr>
          <w:rFonts w:cs="Arial"/>
        </w:rPr>
        <w:t>UNDP was responsible for the day-to-day operations and implementation of relevant activities.</w:t>
      </w:r>
      <w:r w:rsidR="005E1EE9" w:rsidRPr="00ED37CF">
        <w:rPr>
          <w:rFonts w:cs="Arial"/>
        </w:rPr>
        <w:t xml:space="preserve"> </w:t>
      </w:r>
      <w:r w:rsidRPr="00ED37CF">
        <w:rPr>
          <w:rFonts w:cs="Arial"/>
        </w:rPr>
        <w:t>It was also responsible for the establishment and management of the toll-free phone system and five ROs, which were created to bring the programme into closer proximity to the VMLR.</w:t>
      </w:r>
      <w:r w:rsidR="005E1EE9" w:rsidRPr="00ED37CF">
        <w:rPr>
          <w:rFonts w:cs="Arial"/>
        </w:rPr>
        <w:t xml:space="preserve"> </w:t>
      </w:r>
      <w:r w:rsidRPr="00ED37CF">
        <w:rPr>
          <w:rFonts w:cs="Arial"/>
        </w:rPr>
        <w:t>Each of the offices had space for partner agency staff on an as needed basis.</w:t>
      </w:r>
      <w:r w:rsidR="005E1EE9" w:rsidRPr="00ED37CF">
        <w:rPr>
          <w:rFonts w:cs="Arial"/>
        </w:rPr>
        <w:t xml:space="preserve"> </w:t>
      </w:r>
      <w:r w:rsidRPr="00ED37CF">
        <w:rPr>
          <w:rFonts w:cs="Arial"/>
        </w:rPr>
        <w:t xml:space="preserve">UNDP was also responsible for the planning, development, and delivery of VST and ME </w:t>
      </w:r>
      <w:r w:rsidR="00CC3058">
        <w:rPr>
          <w:rFonts w:cs="Arial"/>
        </w:rPr>
        <w:t xml:space="preserve">packages </w:t>
      </w:r>
      <w:r w:rsidRPr="00ED37CF">
        <w:rPr>
          <w:rFonts w:cs="Arial"/>
        </w:rPr>
        <w:t>through appropriate Implementing Partners (IPs). UNDP delivered gender specific and clinical support to programme participants. It was also responsible for coordinating the data collection, storage, security, reporting, and activities of the Monitoring and Evaluation (M&amp;E) process</w:t>
      </w:r>
      <w:r w:rsidR="00CC3058">
        <w:rPr>
          <w:rFonts w:cs="Arial"/>
        </w:rPr>
        <w:t>es</w:t>
      </w:r>
      <w:r w:rsidRPr="00ED37CF">
        <w:rPr>
          <w:rFonts w:cs="Arial"/>
        </w:rPr>
        <w:t>.</w:t>
      </w:r>
      <w:r w:rsidR="005E1EE9" w:rsidRPr="00ED37CF">
        <w:rPr>
          <w:rFonts w:cs="Arial"/>
        </w:rPr>
        <w:t xml:space="preserve"> </w:t>
      </w:r>
      <w:r w:rsidRPr="00ED37CF">
        <w:rPr>
          <w:rFonts w:cs="Arial"/>
        </w:rPr>
        <w:t>Early in the programme, UNDP provided on-going support to UNMIN’s Arms Monitoring Office with data sharing and administration of contracts for 29 support staff in the cantonments, and managing the bar-coding and re-bar-coding of weapons and ammunitions that were stored at the Maoist cantonments.</w:t>
      </w:r>
    </w:p>
    <w:p w14:paraId="25A16ED6" w14:textId="77777777" w:rsidR="001C4919" w:rsidRPr="00ED37CF" w:rsidRDefault="001C4919" w:rsidP="0090750C">
      <w:pPr>
        <w:rPr>
          <w:rFonts w:cs="Arial"/>
        </w:rPr>
      </w:pPr>
      <w:r w:rsidRPr="00ED37CF">
        <w:rPr>
          <w:rFonts w:cs="Arial"/>
        </w:rPr>
        <w:t>UNICEF was responsible for designing and managing the formal and non-formal education support programme for VMLR</w:t>
      </w:r>
      <w:r w:rsidR="00CC3058">
        <w:rPr>
          <w:rFonts w:cs="Arial"/>
        </w:rPr>
        <w:t>;</w:t>
      </w:r>
      <w:r w:rsidRPr="00ED37CF">
        <w:rPr>
          <w:rFonts w:cs="Arial"/>
        </w:rPr>
        <w:t xml:space="preserve"> design and implementation of psychosocial support services</w:t>
      </w:r>
      <w:r w:rsidR="00CC3058">
        <w:rPr>
          <w:rFonts w:cs="Arial"/>
        </w:rPr>
        <w:t>;</w:t>
      </w:r>
      <w:r w:rsidRPr="00ED37CF">
        <w:rPr>
          <w:rFonts w:cs="Arial"/>
        </w:rPr>
        <w:t xml:space="preserve"> and engaging the community to support </w:t>
      </w:r>
      <w:r w:rsidR="00CC3058">
        <w:rPr>
          <w:rFonts w:cs="Arial"/>
        </w:rPr>
        <w:t>VMLR’s</w:t>
      </w:r>
      <w:r w:rsidRPr="00ED37CF">
        <w:rPr>
          <w:rFonts w:cs="Arial"/>
        </w:rPr>
        <w:t xml:space="preserve"> social-reintegration.</w:t>
      </w:r>
      <w:r w:rsidR="005E1EE9" w:rsidRPr="00ED37CF">
        <w:rPr>
          <w:rFonts w:cs="Arial"/>
        </w:rPr>
        <w:t xml:space="preserve"> </w:t>
      </w:r>
      <w:r w:rsidRPr="00ED37CF">
        <w:rPr>
          <w:rFonts w:cs="Arial"/>
        </w:rPr>
        <w:t>UNICEF was also responsible for coordinating the Interagency Communication Working Group (ICWG) to ensure the dissemination of correct and adequate information about UNIRP to the VMLR and the general public.</w:t>
      </w:r>
      <w:r w:rsidR="005E1EE9" w:rsidRPr="00ED37CF">
        <w:rPr>
          <w:rFonts w:cs="Arial"/>
        </w:rPr>
        <w:t xml:space="preserve"> </w:t>
      </w:r>
      <w:r w:rsidRPr="00ED37CF">
        <w:rPr>
          <w:rFonts w:cs="Arial"/>
        </w:rPr>
        <w:t xml:space="preserve">As well, UNICEF facilitated the social reintegration of VMLR through community-based peacebuilding and reconciliation activities by virtue of their capacity to reach communities through the IPs associated with the </w:t>
      </w:r>
      <w:r w:rsidRPr="00ED37CF">
        <w:rPr>
          <w:rFonts w:cs="Arial"/>
          <w:color w:val="000000"/>
        </w:rPr>
        <w:t>Children Associated with Armed Forces and Armed Groups (CAAFAG)</w:t>
      </w:r>
      <w:r w:rsidRPr="00ED37CF">
        <w:rPr>
          <w:rFonts w:cs="Arial"/>
        </w:rPr>
        <w:t>.</w:t>
      </w:r>
      <w:r w:rsidR="005E1EE9" w:rsidRPr="00ED37CF">
        <w:rPr>
          <w:rFonts w:cs="Arial"/>
        </w:rPr>
        <w:t xml:space="preserve"> </w:t>
      </w:r>
      <w:r w:rsidRPr="00ED37CF">
        <w:rPr>
          <w:rFonts w:cs="Arial"/>
        </w:rPr>
        <w:t>To implement these activities, UNICEF worked in close collaboration with the CAAFAG Working Group, which was comprised of international Non-Government Organizations (NGOs), such as Save the Children, Search for Common Ground, the Transcultural Psychosocial Organization (TPO), as well as other national NGOs.</w:t>
      </w:r>
      <w:r w:rsidR="005E1EE9" w:rsidRPr="00ED37CF">
        <w:rPr>
          <w:rFonts w:cs="Arial"/>
        </w:rPr>
        <w:t xml:space="preserve"> </w:t>
      </w:r>
      <w:r w:rsidRPr="00ED37CF">
        <w:rPr>
          <w:rFonts w:cs="Arial"/>
        </w:rPr>
        <w:t xml:space="preserve">Since 2006, human </w:t>
      </w:r>
      <w:r w:rsidRPr="00ED37CF">
        <w:rPr>
          <w:rFonts w:cs="Arial"/>
        </w:rPr>
        <w:lastRenderedPageBreak/>
        <w:t>resources from CAAFAG programmes were mobilized in 58 districts to assist with tracing, referrals and provisions of psychosocial and social-reintegration support.</w:t>
      </w:r>
      <w:r w:rsidR="005E1EE9" w:rsidRPr="00ED37CF">
        <w:rPr>
          <w:rFonts w:cs="Arial"/>
        </w:rPr>
        <w:t xml:space="preserve"> </w:t>
      </w:r>
    </w:p>
    <w:p w14:paraId="3D25E15B" w14:textId="77777777" w:rsidR="00CC3058" w:rsidRDefault="001C4919" w:rsidP="0090750C">
      <w:pPr>
        <w:rPr>
          <w:rFonts w:cs="Arial"/>
        </w:rPr>
      </w:pPr>
      <w:r w:rsidRPr="00ED37CF">
        <w:rPr>
          <w:rFonts w:cs="Arial"/>
        </w:rPr>
        <w:t>UNFPA was responsible for the planning and delivery of health-related training and education packages.</w:t>
      </w:r>
      <w:r w:rsidR="005E1EE9" w:rsidRPr="00ED37CF">
        <w:rPr>
          <w:rFonts w:cs="Arial"/>
        </w:rPr>
        <w:t xml:space="preserve"> </w:t>
      </w:r>
      <w:r w:rsidRPr="00ED37CF">
        <w:rPr>
          <w:rFonts w:cs="Arial"/>
        </w:rPr>
        <w:t>It was also responsible for coordinating the design and policy advice of initiatives related to gender specific support for participants of the programme.</w:t>
      </w:r>
      <w:r w:rsidR="005E1EE9" w:rsidRPr="00ED37CF">
        <w:rPr>
          <w:rFonts w:cs="Arial"/>
        </w:rPr>
        <w:t xml:space="preserve"> </w:t>
      </w:r>
    </w:p>
    <w:p w14:paraId="71434330" w14:textId="77777777" w:rsidR="001C4919" w:rsidRPr="00ED37CF" w:rsidRDefault="001C4919" w:rsidP="0090750C">
      <w:pPr>
        <w:rPr>
          <w:rFonts w:cs="Arial"/>
        </w:rPr>
      </w:pPr>
      <w:r w:rsidRPr="00ED37CF">
        <w:rPr>
          <w:rFonts w:cs="Arial"/>
        </w:rPr>
        <w:t>Overall, ILO was responsible for building the capacity of the IPs in delivering high quality VST and working with partners to improve their assessment of the labour market.</w:t>
      </w:r>
    </w:p>
    <w:p w14:paraId="3C756E31" w14:textId="77777777" w:rsidR="001C4919" w:rsidRPr="00ED37CF" w:rsidRDefault="001C4919" w:rsidP="0090750C">
      <w:pPr>
        <w:rPr>
          <w:rFonts w:cs="Arial"/>
        </w:rPr>
      </w:pPr>
      <w:r w:rsidRPr="00ED37CF">
        <w:rPr>
          <w:rFonts w:cs="Arial"/>
        </w:rPr>
        <w:t>The UNIRP Project Board was headed by the United Nations Development Programme Country Director in Nepal.</w:t>
      </w:r>
      <w:r w:rsidR="005E1EE9" w:rsidRPr="00ED37CF">
        <w:rPr>
          <w:rFonts w:cs="Arial"/>
        </w:rPr>
        <w:t xml:space="preserve"> </w:t>
      </w:r>
      <w:r w:rsidRPr="00ED37CF">
        <w:rPr>
          <w:rFonts w:cs="Arial"/>
        </w:rPr>
        <w:t>Meetings took place every quarter, with a final meeting that took place on 1 July, 2014.</w:t>
      </w:r>
    </w:p>
    <w:p w14:paraId="00111B0E" w14:textId="77777777" w:rsidR="001C4919" w:rsidRPr="00ED37CF" w:rsidRDefault="0000321A" w:rsidP="0048236E">
      <w:pPr>
        <w:pStyle w:val="Heading3"/>
      </w:pPr>
      <w:bookmarkStart w:id="73" w:name="_Toc389486843"/>
      <w:bookmarkStart w:id="74" w:name="_Toc393373733"/>
      <w:r w:rsidRPr="00ED37CF">
        <w:t>3.2</w:t>
      </w:r>
      <w:r w:rsidRPr="00ED37CF">
        <w:tab/>
      </w:r>
      <w:r w:rsidR="001C4919" w:rsidRPr="00ED37CF">
        <w:t>Financial Resources</w:t>
      </w:r>
      <w:bookmarkEnd w:id="73"/>
      <w:bookmarkEnd w:id="74"/>
    </w:p>
    <w:p w14:paraId="2B47A5FA" w14:textId="77777777" w:rsidR="001C4919" w:rsidRPr="00ED37CF" w:rsidRDefault="001C4919" w:rsidP="0090750C">
      <w:pPr>
        <w:rPr>
          <w:b/>
        </w:rPr>
      </w:pPr>
      <w:r w:rsidRPr="00ED37CF">
        <w:t>The programme received its funding from the United Nations Peace Fund to Nepal (UNPFN) with the Government of Norway and the Department for International Development (DFID) as the main donors and additional funding contributions provided by the UNDP/Bureau for Crisis Prevention and Recovery (BCPR).</w:t>
      </w:r>
    </w:p>
    <w:p w14:paraId="76B74302" w14:textId="5457622B" w:rsidR="001C4919" w:rsidRPr="00ED37CF" w:rsidRDefault="002821E3" w:rsidP="00D0590A">
      <w:pPr>
        <w:spacing w:after="60"/>
        <w:ind w:left="720"/>
        <w:rPr>
          <w:b/>
        </w:rPr>
      </w:pPr>
      <w:r w:rsidRPr="00ED37CF">
        <w:t>UNPFN</w:t>
      </w:r>
      <w:r w:rsidR="00D0590A" w:rsidRPr="00ED37CF">
        <w:tab/>
      </w:r>
      <w:r w:rsidR="00D0590A" w:rsidRPr="00ED37CF">
        <w:tab/>
        <w:t>US$11,</w:t>
      </w:r>
      <w:r w:rsidR="008910AE">
        <w:t>327,877</w:t>
      </w:r>
      <w:r w:rsidR="001C4919" w:rsidRPr="00ED37CF">
        <w:t xml:space="preserve"> </w:t>
      </w:r>
    </w:p>
    <w:p w14:paraId="6F928D5F" w14:textId="77777777" w:rsidR="001C4919" w:rsidRPr="00ED37CF" w:rsidRDefault="001C4919" w:rsidP="00D0590A">
      <w:pPr>
        <w:spacing w:after="60"/>
        <w:ind w:left="720"/>
        <w:rPr>
          <w:u w:val="single"/>
        </w:rPr>
      </w:pPr>
      <w:r w:rsidRPr="00ED37CF">
        <w:rPr>
          <w:u w:val="single"/>
        </w:rPr>
        <w:t xml:space="preserve">BCPR </w:t>
      </w:r>
      <w:r w:rsidRPr="00ED37CF">
        <w:rPr>
          <w:u w:val="single"/>
        </w:rPr>
        <w:tab/>
      </w:r>
      <w:r w:rsidRPr="00ED37CF">
        <w:rPr>
          <w:u w:val="single"/>
        </w:rPr>
        <w:tab/>
        <w:t xml:space="preserve">US$ </w:t>
      </w:r>
      <w:r w:rsidR="00D0590A" w:rsidRPr="00ED37CF">
        <w:rPr>
          <w:u w:val="single"/>
        </w:rPr>
        <w:t>693,000</w:t>
      </w:r>
      <w:r w:rsidR="00CC3058">
        <w:rPr>
          <w:u w:val="single"/>
        </w:rPr>
        <w:t>___</w:t>
      </w:r>
    </w:p>
    <w:p w14:paraId="64467A35" w14:textId="18A884BD" w:rsidR="001C4919" w:rsidRPr="00ED37CF" w:rsidRDefault="00D0590A" w:rsidP="001104A7">
      <w:pPr>
        <w:spacing w:after="60"/>
        <w:ind w:left="720"/>
      </w:pPr>
      <w:r w:rsidRPr="00ED37CF">
        <w:t>TOTAL</w:t>
      </w:r>
      <w:r w:rsidRPr="00ED37CF">
        <w:tab/>
      </w:r>
      <w:r w:rsidRPr="00ED37CF">
        <w:tab/>
        <w:t>US$</w:t>
      </w:r>
      <w:r w:rsidR="001104A7" w:rsidRPr="00ED37CF">
        <w:t xml:space="preserve"> 12,0</w:t>
      </w:r>
      <w:r w:rsidR="008910AE">
        <w:t>20</w:t>
      </w:r>
      <w:r w:rsidR="001104A7" w:rsidRPr="00ED37CF">
        <w:t>,</w:t>
      </w:r>
      <w:r w:rsidR="008910AE">
        <w:t>877</w:t>
      </w:r>
    </w:p>
    <w:p w14:paraId="7ECB3777" w14:textId="77777777" w:rsidR="001C4919" w:rsidRPr="00ED37CF" w:rsidRDefault="0000321A" w:rsidP="0048236E">
      <w:pPr>
        <w:pStyle w:val="Heading3"/>
      </w:pPr>
      <w:bookmarkStart w:id="75" w:name="_Toc389486844"/>
      <w:bookmarkStart w:id="76" w:name="_Toc393116671"/>
      <w:bookmarkStart w:id="77" w:name="_Toc393117837"/>
      <w:bookmarkStart w:id="78" w:name="_Toc393373734"/>
      <w:r w:rsidRPr="00ED37CF">
        <w:t>3.3</w:t>
      </w:r>
      <w:r w:rsidRPr="00ED37CF">
        <w:tab/>
      </w:r>
      <w:r w:rsidR="001C4919" w:rsidRPr="00ED37CF">
        <w:t>Human Resources</w:t>
      </w:r>
      <w:bookmarkEnd w:id="75"/>
      <w:bookmarkEnd w:id="76"/>
      <w:bookmarkEnd w:id="77"/>
      <w:bookmarkEnd w:id="78"/>
    </w:p>
    <w:p w14:paraId="551BC5DE" w14:textId="77777777" w:rsidR="001C4919" w:rsidRPr="00ED37CF" w:rsidRDefault="001C4919" w:rsidP="0090750C">
      <w:r w:rsidRPr="00ED37CF">
        <w:t>Since 2010, UNIRP has</w:t>
      </w:r>
      <w:r w:rsidR="00CC3058">
        <w:t xml:space="preserve"> at various times</w:t>
      </w:r>
      <w:r w:rsidRPr="00ED37CF">
        <w:t xml:space="preserve"> employed </w:t>
      </w:r>
      <w:r w:rsidR="00CC3058">
        <w:t xml:space="preserve">a total of </w:t>
      </w:r>
      <w:r w:rsidRPr="00ED37CF">
        <w:t>76 staff (national, international staff and consultants).</w:t>
      </w:r>
      <w:r w:rsidR="005E1EE9" w:rsidRPr="00ED37CF">
        <w:t xml:space="preserve"> </w:t>
      </w:r>
      <w:r w:rsidRPr="00ED37CF">
        <w:t>They were positioned in five offices in strategic development regions across Nepal, including Kathmandu, Biratnagar, Nepalgunj, Bharatpur and Dhangadhi.</w:t>
      </w:r>
    </w:p>
    <w:p w14:paraId="2582B662" w14:textId="77777777" w:rsidR="001C4919" w:rsidRPr="00ED37CF" w:rsidRDefault="001C4919" w:rsidP="0090750C">
      <w:r w:rsidRPr="00ED37CF">
        <w:t>The team was comprised of the following positions:</w:t>
      </w:r>
    </w:p>
    <w:p w14:paraId="229B9430" w14:textId="77777777" w:rsidR="00253422" w:rsidRPr="00ED37CF" w:rsidRDefault="001C4919" w:rsidP="001C4919">
      <w:pPr>
        <w:widowControl w:val="0"/>
        <w:tabs>
          <w:tab w:val="left" w:pos="426"/>
        </w:tabs>
        <w:ind w:left="426" w:hanging="426"/>
        <w:rPr>
          <w:rFonts w:cs="Arial"/>
          <w:b/>
          <w:bCs/>
          <w:sz w:val="23"/>
          <w:szCs w:val="23"/>
        </w:rPr>
      </w:pPr>
      <w:r w:rsidRPr="00ED37CF">
        <w:rPr>
          <w:rFonts w:cs="Arial"/>
          <w:b/>
          <w:bCs/>
          <w:sz w:val="23"/>
          <w:szCs w:val="23"/>
          <w:u w:val="single"/>
        </w:rPr>
        <w:t>UNDP National</w:t>
      </w:r>
      <w:r w:rsidRPr="00ED37CF">
        <w:rPr>
          <w:rFonts w:cs="Arial"/>
          <w:b/>
          <w:bCs/>
          <w:sz w:val="23"/>
          <w:szCs w:val="23"/>
        </w:rPr>
        <w:t xml:space="preserve">: </w:t>
      </w:r>
    </w:p>
    <w:p w14:paraId="4590ACF6" w14:textId="77777777" w:rsidR="001C4919" w:rsidRPr="00ED37CF" w:rsidRDefault="001C4919" w:rsidP="0090750C">
      <w:r w:rsidRPr="00ED37CF">
        <w:t>Rehabilitation Coordinator (1), Programme Associate (7), Counsellor on Toll-Free</w:t>
      </w:r>
      <w:r w:rsidR="00CC3058">
        <w:t xml:space="preserve"> Number</w:t>
      </w:r>
      <w:r w:rsidRPr="00ED37CF">
        <w:t xml:space="preserve"> (3), Communication and Reporting Officer (1), Socio-economic Mapping Liaison Officer (1), Database and IT Officer (1), Database and IT Associate (1), Senior Career Counsellor and Monitoring Officer (5), Career Counsellor and Monitoring Assistant (10), Admin/Finance Officer (1), Admin Finance Associate (1), Micro-enterprise Programme Associate (3)</w:t>
      </w:r>
    </w:p>
    <w:p w14:paraId="5A4823B2" w14:textId="77777777" w:rsidR="00253422" w:rsidRPr="00ED37CF" w:rsidRDefault="001C4919" w:rsidP="0090750C">
      <w:pPr>
        <w:rPr>
          <w:b/>
          <w:bCs/>
        </w:rPr>
      </w:pPr>
      <w:r w:rsidRPr="00ED37CF">
        <w:rPr>
          <w:b/>
          <w:bCs/>
          <w:u w:val="single"/>
        </w:rPr>
        <w:t>UNICEF</w:t>
      </w:r>
      <w:r w:rsidRPr="00ED37CF">
        <w:rPr>
          <w:b/>
          <w:bCs/>
        </w:rPr>
        <w:t>:</w:t>
      </w:r>
    </w:p>
    <w:p w14:paraId="1C8E44B3" w14:textId="77777777" w:rsidR="001C4919" w:rsidRPr="00ED37CF" w:rsidRDefault="001C4919" w:rsidP="0090750C">
      <w:r w:rsidRPr="00ED37CF">
        <w:t>Social Rehabilitation Support Officer (1), Psychosocial Counsellor (10), Education Case</w:t>
      </w:r>
      <w:r w:rsidR="005E1EE9" w:rsidRPr="00ED37CF">
        <w:t xml:space="preserve"> </w:t>
      </w:r>
      <w:r w:rsidRPr="00ED37CF">
        <w:t>Manager (2), and M&amp;E Field Officer (4), Programme advisor (1)</w:t>
      </w:r>
    </w:p>
    <w:p w14:paraId="18EE431F" w14:textId="77777777" w:rsidR="0090750C" w:rsidRPr="00ED37CF" w:rsidRDefault="001C4919" w:rsidP="0090750C">
      <w:pPr>
        <w:rPr>
          <w:b/>
          <w:bCs/>
        </w:rPr>
      </w:pPr>
      <w:r w:rsidRPr="00ED37CF">
        <w:rPr>
          <w:b/>
          <w:bCs/>
          <w:u w:val="single"/>
        </w:rPr>
        <w:t>UNFPA</w:t>
      </w:r>
      <w:r w:rsidR="0090750C" w:rsidRPr="00ED37CF">
        <w:rPr>
          <w:b/>
          <w:bCs/>
        </w:rPr>
        <w:t xml:space="preserve">: </w:t>
      </w:r>
    </w:p>
    <w:p w14:paraId="0791C9AB" w14:textId="77777777" w:rsidR="001C4919" w:rsidRPr="00ED37CF" w:rsidRDefault="001C4919" w:rsidP="0090750C">
      <w:r w:rsidRPr="00ED37CF">
        <w:t>Project Coordinator (1) and Gender Advisor (1)</w:t>
      </w:r>
    </w:p>
    <w:p w14:paraId="7EF24A95" w14:textId="77777777" w:rsidR="0090750C" w:rsidRPr="00ED37CF" w:rsidRDefault="001C4919" w:rsidP="0090750C">
      <w:pPr>
        <w:rPr>
          <w:b/>
          <w:bCs/>
        </w:rPr>
      </w:pPr>
      <w:r w:rsidRPr="00ED37CF">
        <w:rPr>
          <w:b/>
          <w:bCs/>
          <w:u w:val="single"/>
        </w:rPr>
        <w:t>ILO</w:t>
      </w:r>
      <w:r w:rsidRPr="00ED37CF">
        <w:rPr>
          <w:b/>
          <w:bCs/>
        </w:rPr>
        <w:t>:</w:t>
      </w:r>
    </w:p>
    <w:p w14:paraId="30242F70" w14:textId="77777777" w:rsidR="001C4919" w:rsidRPr="00ED37CF" w:rsidRDefault="001C4919" w:rsidP="0090750C">
      <w:r w:rsidRPr="00ED37CF">
        <w:t>Programme Officer (1</w:t>
      </w:r>
      <w:r w:rsidR="00513CA8" w:rsidRPr="00ED37CF">
        <w:t>)</w:t>
      </w:r>
    </w:p>
    <w:p w14:paraId="773CB885" w14:textId="77777777" w:rsidR="0090750C" w:rsidRPr="00ED37CF" w:rsidRDefault="001C4919" w:rsidP="0090750C">
      <w:pPr>
        <w:rPr>
          <w:b/>
          <w:bCs/>
        </w:rPr>
      </w:pPr>
      <w:r w:rsidRPr="00ED37CF">
        <w:rPr>
          <w:b/>
          <w:bCs/>
          <w:u w:val="single"/>
        </w:rPr>
        <w:t>UNDP International</w:t>
      </w:r>
      <w:r w:rsidRPr="00ED37CF">
        <w:rPr>
          <w:b/>
          <w:bCs/>
        </w:rPr>
        <w:t xml:space="preserve">: </w:t>
      </w:r>
    </w:p>
    <w:p w14:paraId="6F7FC88A" w14:textId="77777777" w:rsidR="001C4919" w:rsidRPr="00ED37CF" w:rsidRDefault="001C4919" w:rsidP="00513CA8">
      <w:r w:rsidRPr="00ED37CF">
        <w:lastRenderedPageBreak/>
        <w:t>Programme Manager (1), Senior Rehabilitation Advisor (1), Information Management,</w:t>
      </w:r>
      <w:r w:rsidR="00513CA8" w:rsidRPr="00ED37CF">
        <w:t xml:space="preserve"> </w:t>
      </w:r>
      <w:r w:rsidRPr="00ED37CF">
        <w:t>Reporting and M&amp;E Coordinator (1), Regional Office Coordinator (1), and Regional Office Manager IUNVs (4)</w:t>
      </w:r>
    </w:p>
    <w:p w14:paraId="143D4AA6" w14:textId="77777777" w:rsidR="001C4919" w:rsidRPr="00ED37CF" w:rsidRDefault="001C4919" w:rsidP="0090750C">
      <w:r w:rsidRPr="00ED37CF">
        <w:t>See the organogram below for details:</w:t>
      </w:r>
    </w:p>
    <w:p w14:paraId="0E65872B" w14:textId="77777777" w:rsidR="0090750C" w:rsidRPr="00ED37CF" w:rsidRDefault="0090750C" w:rsidP="0090750C">
      <w:pPr>
        <w:sectPr w:rsidR="0090750C" w:rsidRPr="00ED37CF" w:rsidSect="0043140D">
          <w:footerReference w:type="default" r:id="rId20"/>
          <w:pgSz w:w="11909" w:h="16834" w:code="9"/>
          <w:pgMar w:top="1080" w:right="1080" w:bottom="1080" w:left="1440" w:header="720" w:footer="720" w:gutter="0"/>
          <w:pgNumType w:start="1"/>
          <w:cols w:space="720"/>
          <w:docGrid w:linePitch="360"/>
        </w:sectPr>
      </w:pPr>
    </w:p>
    <w:p w14:paraId="67FF2D53" w14:textId="77777777" w:rsidR="0090750C" w:rsidRPr="00ED37CF" w:rsidRDefault="0048236E" w:rsidP="0090750C">
      <w:pPr>
        <w:pStyle w:val="BodyText"/>
        <w:widowControl w:val="0"/>
        <w:spacing w:after="120"/>
        <w:jc w:val="center"/>
      </w:pPr>
      <w:r w:rsidRPr="00ED37CF">
        <w:rPr>
          <w:rFonts w:ascii="Myriad Pro" w:hAnsi="Myriad Pro" w:cs="Arial"/>
          <w:b/>
          <w:noProof/>
          <w:sz w:val="23"/>
          <w:szCs w:val="23"/>
          <w:lang w:val="en-US" w:bidi="ar-SA"/>
        </w:rPr>
        <w:lastRenderedPageBreak/>
        <w:drawing>
          <wp:inline distT="0" distB="0" distL="0" distR="0" wp14:anchorId="0AABB8DF" wp14:editId="78DFFE6D">
            <wp:extent cx="9298504" cy="4905955"/>
            <wp:effectExtent l="19050" t="0" r="0" b="0"/>
            <wp:docPr id="2" name="Picture 2" descr="31032011_Inter-Agency Rehabilitation Programme Organogram_Comple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32011_Inter-Agency Rehabilitation Programme Organogram_Complete Staff"/>
                    <pic:cNvPicPr>
                      <a:picLocks noChangeAspect="1" noChangeArrowheads="1"/>
                    </pic:cNvPicPr>
                  </pic:nvPicPr>
                  <pic:blipFill>
                    <a:blip r:embed="rId21" cstate="print"/>
                    <a:srcRect l="3261" t="7410" r="2524" b="3030"/>
                    <a:stretch>
                      <a:fillRect/>
                    </a:stretch>
                  </pic:blipFill>
                  <pic:spPr bwMode="auto">
                    <a:xfrm>
                      <a:off x="0" y="0"/>
                      <a:ext cx="9304961" cy="4909362"/>
                    </a:xfrm>
                    <a:prstGeom prst="rect">
                      <a:avLst/>
                    </a:prstGeom>
                    <a:noFill/>
                    <a:ln w="9525">
                      <a:noFill/>
                      <a:miter lim="800000"/>
                      <a:headEnd/>
                      <a:tailEnd/>
                    </a:ln>
                  </pic:spPr>
                </pic:pic>
              </a:graphicData>
            </a:graphic>
          </wp:inline>
        </w:drawing>
      </w:r>
    </w:p>
    <w:p w14:paraId="437AA58A" w14:textId="77777777" w:rsidR="0090750C" w:rsidRPr="00ED37CF" w:rsidRDefault="001D434C" w:rsidP="0090750C">
      <w:pPr>
        <w:jc w:val="center"/>
        <w:rPr>
          <w:lang w:bidi="ne-NP"/>
        </w:rPr>
      </w:pPr>
      <w:r w:rsidRPr="00ED37CF">
        <w:rPr>
          <w:rFonts w:cs="Arial"/>
          <w:b/>
          <w:sz w:val="23"/>
          <w:szCs w:val="23"/>
        </w:rPr>
        <w:t>Figure3</w:t>
      </w:r>
      <w:r w:rsidR="00C54457" w:rsidRPr="00ED37CF">
        <w:rPr>
          <w:rFonts w:cs="Arial"/>
          <w:b/>
          <w:sz w:val="23"/>
          <w:szCs w:val="23"/>
        </w:rPr>
        <w:t>.</w:t>
      </w:r>
      <w:r w:rsidR="005E1EE9" w:rsidRPr="00ED37CF">
        <w:rPr>
          <w:rFonts w:cs="Arial"/>
          <w:b/>
          <w:sz w:val="23"/>
          <w:szCs w:val="23"/>
        </w:rPr>
        <w:t xml:space="preserve"> </w:t>
      </w:r>
      <w:r w:rsidR="00C54457" w:rsidRPr="00ED37CF">
        <w:rPr>
          <w:rFonts w:cs="Arial"/>
          <w:b/>
          <w:sz w:val="23"/>
          <w:szCs w:val="23"/>
        </w:rPr>
        <w:t>UNIRP Organo</w:t>
      </w:r>
      <w:r w:rsidR="0090750C" w:rsidRPr="00ED37CF">
        <w:rPr>
          <w:rFonts w:cs="Arial"/>
          <w:b/>
          <w:sz w:val="23"/>
          <w:szCs w:val="23"/>
        </w:rPr>
        <w:t>gram</w:t>
      </w:r>
    </w:p>
    <w:p w14:paraId="532D778C" w14:textId="77777777" w:rsidR="0090750C" w:rsidRPr="00ED37CF" w:rsidRDefault="0090750C" w:rsidP="0090750C">
      <w:pPr>
        <w:rPr>
          <w:lang w:bidi="ne-NP"/>
        </w:rPr>
      </w:pPr>
    </w:p>
    <w:p w14:paraId="12501C97" w14:textId="77777777" w:rsidR="0090750C" w:rsidRPr="00ED37CF" w:rsidRDefault="0090750C" w:rsidP="0090750C">
      <w:pPr>
        <w:rPr>
          <w:lang w:bidi="ne-NP"/>
        </w:rPr>
        <w:sectPr w:rsidR="0090750C" w:rsidRPr="00ED37CF" w:rsidSect="0090750C">
          <w:pgSz w:w="16834" w:h="11909" w:orient="landscape" w:code="9"/>
          <w:pgMar w:top="1440" w:right="1080" w:bottom="1080" w:left="1080" w:header="720" w:footer="720" w:gutter="0"/>
          <w:cols w:space="720"/>
          <w:docGrid w:linePitch="360"/>
        </w:sectPr>
      </w:pPr>
    </w:p>
    <w:p w14:paraId="26658175" w14:textId="3CF0F366" w:rsidR="001C4919" w:rsidRPr="00ED37CF" w:rsidRDefault="00535D6B" w:rsidP="00C54457">
      <w:pPr>
        <w:pStyle w:val="Heading3"/>
      </w:pPr>
      <w:bookmarkStart w:id="79" w:name="_Toc393373735"/>
      <w:r>
        <w:lastRenderedPageBreak/>
        <w:t xml:space="preserve">3.4 </w:t>
      </w:r>
      <w:r w:rsidR="001C4919" w:rsidRPr="00ED37CF">
        <w:t>Procurement Procedures</w:t>
      </w:r>
      <w:bookmarkEnd w:id="79"/>
    </w:p>
    <w:p w14:paraId="1F242C9D" w14:textId="77777777" w:rsidR="001C4919" w:rsidRPr="00ED37CF" w:rsidRDefault="001C4919" w:rsidP="00C54457">
      <w:r w:rsidRPr="00ED37CF">
        <w:t>Project procurement was the responsibility of UNIRP’s Administration and Finance Unit and supported by the respective programme units for local technical a</w:t>
      </w:r>
      <w:r w:rsidR="00CC3058">
        <w:t>ssistance and service provision</w:t>
      </w:r>
      <w:r w:rsidRPr="00ED37CF">
        <w:t>. UNIRP followed the procurement rules as prescribed by the UNDP standard procedures.</w:t>
      </w:r>
      <w:r w:rsidR="005E1EE9" w:rsidRPr="00ED37CF">
        <w:t xml:space="preserve"> </w:t>
      </w:r>
      <w:r w:rsidRPr="00ED37CF">
        <w:t>In line with this, proposals and Requests for Quotations (RfQ), including standard Terms of Reference (ToR), were announced at a national and local level, as per the requirement. The technical and financial proposals were overseen and approved by a procurement committee/selection committee, based on a competitive process with the evaluation and selection involving the top three competitors.</w:t>
      </w:r>
      <w:r w:rsidR="005E1EE9" w:rsidRPr="00ED37CF">
        <w:t xml:space="preserve"> </w:t>
      </w:r>
    </w:p>
    <w:p w14:paraId="49D044F9" w14:textId="77777777" w:rsidR="001C4919" w:rsidRPr="00ED37CF" w:rsidRDefault="001C4919" w:rsidP="00C54457">
      <w:r w:rsidRPr="00ED37CF">
        <w:t>Four Principle Service Providers (PSP), who sub-contracted with local service providers received Long-Term Agreements (LTAs). The Training Institute for Technical Instruction (TITI) delivered services for the VST programme in the eastern and mid-western development regions for UNDP as well as Health-related training for UNFPA.</w:t>
      </w:r>
      <w:r w:rsidR="005E1EE9" w:rsidRPr="00ED37CF">
        <w:t xml:space="preserve"> </w:t>
      </w:r>
      <w:r w:rsidRPr="00ED37CF">
        <w:t>As part of UNDP, the Underprivileged Children’s Education Programme (UCEP) delivered services for the VST programme in the central development region.</w:t>
      </w:r>
      <w:r w:rsidR="005E1EE9" w:rsidRPr="00ED37CF">
        <w:t xml:space="preserve"> </w:t>
      </w:r>
      <w:r w:rsidRPr="00ED37CF">
        <w:t>Similarly, Alliance Nepal delivered services for the VST programme in the western and far-western development regions.</w:t>
      </w:r>
      <w:r w:rsidR="005E1EE9" w:rsidRPr="00ED37CF">
        <w:t xml:space="preserve"> </w:t>
      </w:r>
      <w:r w:rsidRPr="00ED37CF">
        <w:t>On behalf of UNIRP, UNICEF expanded the cooperation with the IP</w:t>
      </w:r>
      <w:r w:rsidR="00CC3058">
        <w:t>s</w:t>
      </w:r>
      <w:r w:rsidRPr="00ED37CF">
        <w:t xml:space="preserve"> of CAAFAG to 58 districts, provided orientation to partners on the programme and developed a set of guidelines that ensured the delivery of standardized support to VMLR in all targeted districts of Nepal.</w:t>
      </w:r>
    </w:p>
    <w:p w14:paraId="55F2D84D" w14:textId="77777777" w:rsidR="001C4919" w:rsidRPr="00ED37CF" w:rsidRDefault="001C4919" w:rsidP="00C54457">
      <w:r w:rsidRPr="00ED37CF">
        <w:t>Altogether, UNIRP signed a significant number of contracts at both the central and local levels in order to maximize quality and timely service delivery of the programmes.</w:t>
      </w:r>
      <w:r w:rsidR="005E1EE9" w:rsidRPr="00ED37CF">
        <w:t xml:space="preserve"> </w:t>
      </w:r>
      <w:r w:rsidRPr="00ED37CF">
        <w:t xml:space="preserve">More than 180 small and medium contracts were activated for </w:t>
      </w:r>
      <w:r w:rsidR="00CC3058">
        <w:t>the</w:t>
      </w:r>
      <w:r w:rsidRPr="00ED37CF">
        <w:t xml:space="preserve"> five development regions of Nepal.</w:t>
      </w:r>
      <w:r w:rsidR="005E1EE9" w:rsidRPr="00ED37CF">
        <w:t xml:space="preserve"> </w:t>
      </w:r>
      <w:r w:rsidRPr="00ED37CF">
        <w:t>This was an innovative approach for UNIRP and an area of great achievement that resulted in improved efficiency and value for money through working directly with on-the-ground Service Providers (SP)</w:t>
      </w:r>
      <w:r w:rsidR="00CC3058">
        <w:t xml:space="preserve">. This </w:t>
      </w:r>
      <w:r w:rsidRPr="00ED37CF">
        <w:t>significantly reduced the amount of cash transfers as well as the time for the contracting process.</w:t>
      </w:r>
      <w:r w:rsidR="005E1EE9" w:rsidRPr="00ED37CF">
        <w:t xml:space="preserve"> </w:t>
      </w:r>
      <w:r w:rsidRPr="00ED37CF">
        <w:t>In addition, UNFPA initiated new direct cont</w:t>
      </w:r>
      <w:r w:rsidR="00855F72">
        <w:t>r</w:t>
      </w:r>
      <w:r w:rsidRPr="00ED37CF">
        <w:t>acts with SP</w:t>
      </w:r>
      <w:r w:rsidR="00CC3058">
        <w:t>s</w:t>
      </w:r>
      <w:r w:rsidRPr="00ED37CF">
        <w:t xml:space="preserve"> to facilitate services for the second group of VMLR who had passed the entrance examination for health-related training and education.</w:t>
      </w:r>
    </w:p>
    <w:p w14:paraId="6060E5A0" w14:textId="77777777" w:rsidR="001C4919" w:rsidRPr="00ED37CF" w:rsidRDefault="0000321A" w:rsidP="00C54457">
      <w:pPr>
        <w:pStyle w:val="Heading3"/>
      </w:pPr>
      <w:bookmarkStart w:id="80" w:name="_Toc389486846"/>
      <w:bookmarkStart w:id="81" w:name="_Toc393116672"/>
      <w:bookmarkStart w:id="82" w:name="_Toc393117838"/>
      <w:bookmarkStart w:id="83" w:name="_Toc393373736"/>
      <w:r w:rsidRPr="00ED37CF">
        <w:t>3.5</w:t>
      </w:r>
      <w:r w:rsidRPr="00ED37CF">
        <w:tab/>
      </w:r>
      <w:r w:rsidR="001C4919" w:rsidRPr="00ED37CF">
        <w:t>Monitoring Arrangements</w:t>
      </w:r>
      <w:bookmarkEnd w:id="80"/>
      <w:bookmarkEnd w:id="81"/>
      <w:bookmarkEnd w:id="82"/>
      <w:bookmarkEnd w:id="83"/>
    </w:p>
    <w:p w14:paraId="00561B4C" w14:textId="77777777" w:rsidR="001C4919" w:rsidRPr="00ED37CF" w:rsidRDefault="001C4919" w:rsidP="00C54457">
      <w:r w:rsidRPr="00ED37CF">
        <w:t>One of UNIRP’s main responsibilities was monitoring project activities and outputs, and implementing an innovative and dynamic M&amp;E process that ensured timely adaption to the operational realities and diverse needs of the VMLR.</w:t>
      </w:r>
      <w:r w:rsidR="005E1EE9" w:rsidRPr="00ED37CF">
        <w:t xml:space="preserve"> </w:t>
      </w:r>
      <w:r w:rsidRPr="00ED37CF">
        <w:t>Throughout this process, UNIRP regional offices conducted regular individual monitoring and follow-up, during training and after graduation, to assess the needs of the participants in a timely manner. Some of these activities involved the monitoring of IPs and their implementation of training curriculum, as well as the distribution of materials and toolkits, e.g., in-house and on-the-job training by staff at the regional and head office.</w:t>
      </w:r>
      <w:r w:rsidR="005E1EE9" w:rsidRPr="00ED37CF">
        <w:t xml:space="preserve"> </w:t>
      </w:r>
      <w:r w:rsidRPr="00ED37CF">
        <w:t>Monitoring of VMLR participants in the VST, ME and health-related training and education programmes was conducted by the respective ROs.</w:t>
      </w:r>
      <w:r w:rsidR="005E1EE9" w:rsidRPr="00ED37CF">
        <w:t xml:space="preserve"> </w:t>
      </w:r>
      <w:r w:rsidRPr="00ED37CF">
        <w:t>The M&amp;E process was also supported by a unified reporting and data collection system specific to each agency’s needs for collecting, collating and analysing both qualitative and quantitative data and information.</w:t>
      </w:r>
      <w:r w:rsidR="005E1EE9" w:rsidRPr="00ED37CF">
        <w:t xml:space="preserve"> </w:t>
      </w:r>
      <w:r w:rsidRPr="00ED37CF">
        <w:t>This enabled the programme to identify issues for appropriate and timely programme adjustments.</w:t>
      </w:r>
    </w:p>
    <w:p w14:paraId="0261E2DE" w14:textId="682369B4" w:rsidR="001C4919" w:rsidRPr="00ED37CF" w:rsidRDefault="001C4919" w:rsidP="00C54457">
      <w:r w:rsidRPr="00ED37CF">
        <w:t>In addition, programme monitoring was implemented through an integrated approach by UNDP and UNPFN</w:t>
      </w:r>
      <w:r w:rsidR="00CF2558">
        <w:t xml:space="preserve"> joint field missions (with donors and Nepal Peace Trust Fund)</w:t>
      </w:r>
      <w:r w:rsidRPr="00ED37CF">
        <w:t xml:space="preserve">, that provided constant follow-up with VMLR, needs assessment, career counselling, family counselling, business mentoring, Enhanced Livelihood Support (ELS), Business Promotional Support (BPS), and micro-credit linkage support. At the same time, UNICEF worked with district implementing partners and the support from regional and central staff to ensure the social reintegration and smooth participation of VMLR in community-based </w:t>
      </w:r>
      <w:r w:rsidRPr="00ED37CF">
        <w:lastRenderedPageBreak/>
        <w:t>schools.</w:t>
      </w:r>
      <w:r w:rsidR="005E1EE9" w:rsidRPr="00ED37CF">
        <w:t xml:space="preserve"> </w:t>
      </w:r>
      <w:r w:rsidRPr="00ED37CF">
        <w:t>UNIRP also capitalized on the strengths of CAAFAG network and their presence in more than 60 districts for tracing and follow-up activities with VMLR scattered across Nepal.</w:t>
      </w:r>
    </w:p>
    <w:p w14:paraId="0049113B" w14:textId="3BD7EBB6" w:rsidR="001C4919" w:rsidRPr="00ED37CF" w:rsidRDefault="001C4919" w:rsidP="00C54457">
      <w:r w:rsidRPr="00ED37CF">
        <w:t xml:space="preserve">UNIRP also supported independent reviews of its process by stakeholders and international NGOs, as well as considered the </w:t>
      </w:r>
      <w:r w:rsidR="00AC4758">
        <w:t xml:space="preserve">results of </w:t>
      </w:r>
      <w:r w:rsidRPr="00ED37CF">
        <w:t>assessments, commentaries and recommendations on improving its design and delivery.</w:t>
      </w:r>
      <w:r w:rsidR="005E1EE9" w:rsidRPr="00ED37CF">
        <w:t xml:space="preserve"> </w:t>
      </w:r>
      <w:r w:rsidRPr="00ED37CF">
        <w:t>In February-March 2011, the Bureau for Crisis Prevention and Recovery (BCPR)</w:t>
      </w:r>
      <w:r w:rsidR="00AC4758">
        <w:t xml:space="preserve"> put together a team</w:t>
      </w:r>
      <w:r w:rsidRPr="00ED37CF">
        <w:t xml:space="preserve"> comprised of experts from the headquarters of the four participating agencies</w:t>
      </w:r>
      <w:r w:rsidR="00AC4758">
        <w:t xml:space="preserve"> that</w:t>
      </w:r>
      <w:r w:rsidRPr="00ED37CF">
        <w:t xml:space="preserve"> conducted a special review of UNIRP and provided recommendations that UNIRP integrated into the programme. </w:t>
      </w:r>
    </w:p>
    <w:p w14:paraId="4CB92FE8" w14:textId="7C42C999" w:rsidR="00AC4758" w:rsidRDefault="001C4919" w:rsidP="00C54457">
      <w:r w:rsidRPr="00ED37CF">
        <w:t>UNIRP also facilitated several visits from high level officials, including UNDP Administrator Helen Clark, Crown Prince Haakon of Norway, as wells as senior officials from GoN, including the offices of the Secretary, Joint Secretaries and Under Secretaries of MoPR</w:t>
      </w:r>
      <w:r w:rsidR="00AC4758">
        <w:t xml:space="preserve"> to view its activities on the ground</w:t>
      </w:r>
      <w:r w:rsidRPr="00ED37CF">
        <w:t>.</w:t>
      </w:r>
      <w:r w:rsidR="005E1EE9" w:rsidRPr="00ED37CF">
        <w:t xml:space="preserve"> </w:t>
      </w:r>
      <w:r w:rsidRPr="00ED37CF">
        <w:t xml:space="preserve">Visiting officials were impressed by the remarkable achievements made </w:t>
      </w:r>
      <w:r w:rsidR="00AC4758">
        <w:t xml:space="preserve">in the reintegration of </w:t>
      </w:r>
      <w:r w:rsidRPr="00ED37CF">
        <w:t>VMLR.</w:t>
      </w:r>
      <w:r w:rsidR="005E1EE9" w:rsidRPr="00ED37CF">
        <w:t xml:space="preserve"> </w:t>
      </w:r>
      <w:r w:rsidRPr="00ED37CF">
        <w:t xml:space="preserve">In addition, UNDP’s senior management and donors </w:t>
      </w:r>
      <w:r w:rsidR="00AC4758">
        <w:t xml:space="preserve">of </w:t>
      </w:r>
      <w:r w:rsidRPr="00ED37CF">
        <w:t xml:space="preserve">the </w:t>
      </w:r>
      <w:r w:rsidR="00AC4758">
        <w:t xml:space="preserve">UNPFN </w:t>
      </w:r>
      <w:r w:rsidRPr="00ED37CF">
        <w:t xml:space="preserve">and the Nepal Peace Trust Fund (NPTF) visited UNIRP’s central and remaining three regional offices (Kathmandu, Biratnagar and Nepalgunj). </w:t>
      </w:r>
    </w:p>
    <w:p w14:paraId="7E4FE580" w14:textId="40DCD1CF" w:rsidR="001C4919" w:rsidRPr="00ED37CF" w:rsidRDefault="001C4919" w:rsidP="00C54457">
      <w:r w:rsidRPr="00ED37CF">
        <w:t xml:space="preserve">Overall, UNIRP was responsible for monitoring its activities and outputs at the field level. </w:t>
      </w:r>
      <w:r w:rsidR="00AC4758">
        <w:t xml:space="preserve"> </w:t>
      </w:r>
      <w:r w:rsidRPr="00ED37CF">
        <w:t xml:space="preserve">The data collected was entered into the online Disarmament Demobilization and Rehabilitation Information Management System (DDR-IMS) for analysis and to generate reports. During 2013, the programme shifted focus from in-kind/training support to post-training monitoring. Effective face-to-face monitoring of the participants was central to the programme’s successful implementation. </w:t>
      </w:r>
      <w:r w:rsidR="00AC4758" w:rsidRPr="00ED37CF">
        <w:t>Due to limited human resources, graduates who were visited more than once and had attained successful self/employment were then monitored by telephone.</w:t>
      </w:r>
      <w:r w:rsidR="00AC4758">
        <w:t xml:space="preserve"> </w:t>
      </w:r>
      <w:r w:rsidRPr="00ED37CF">
        <w:t>UNIRP conducted 25 monitoring missions in 48 districts to track the socio-economic transformation that took place.</w:t>
      </w:r>
    </w:p>
    <w:p w14:paraId="5A244CA2" w14:textId="13FEB785" w:rsidR="001C4919" w:rsidRPr="00ED37CF" w:rsidRDefault="001C4919" w:rsidP="00C54457">
      <w:r w:rsidRPr="00ED37CF">
        <w:t>For the education component of the programme, monitoring was conducted by UNICEF with the support of UNIRP staff.</w:t>
      </w:r>
      <w:r w:rsidR="005E1EE9" w:rsidRPr="00ED37CF">
        <w:t xml:space="preserve"> </w:t>
      </w:r>
      <w:r w:rsidRPr="00ED37CF">
        <w:t>During the reporting period, UNICEF held regular review meetings with IPs at regional and district levels in order to review progress and challenges.</w:t>
      </w:r>
    </w:p>
    <w:p w14:paraId="3D9CBF17" w14:textId="77777777" w:rsidR="001C4919" w:rsidRPr="00ED37CF" w:rsidRDefault="001D434C" w:rsidP="00C54457">
      <w:pPr>
        <w:rPr>
          <w:b/>
          <w:bCs/>
        </w:rPr>
      </w:pPr>
      <w:r w:rsidRPr="00ED37CF">
        <w:rPr>
          <w:b/>
          <w:bCs/>
        </w:rPr>
        <w:t xml:space="preserve">Figure 4: </w:t>
      </w:r>
      <w:r w:rsidR="001C4919" w:rsidRPr="00ED37CF">
        <w:rPr>
          <w:b/>
          <w:bCs/>
        </w:rPr>
        <w:t>Post-monitoring Status</w:t>
      </w:r>
    </w:p>
    <w:tbl>
      <w:tblPr>
        <w:tblW w:w="5000" w:type="pct"/>
        <w:jc w:val="center"/>
        <w:tblBorders>
          <w:top w:val="single" w:sz="12" w:space="0" w:color="948A54"/>
          <w:left w:val="single" w:sz="12" w:space="0" w:color="948A54"/>
          <w:bottom w:val="single" w:sz="12" w:space="0" w:color="948A54"/>
          <w:right w:val="single" w:sz="12" w:space="0" w:color="948A54"/>
          <w:insideH w:val="single" w:sz="6" w:space="0" w:color="948A54"/>
          <w:insideV w:val="single" w:sz="6" w:space="0" w:color="948A54"/>
        </w:tblBorders>
        <w:tblCellMar>
          <w:left w:w="57" w:type="dxa"/>
          <w:right w:w="57" w:type="dxa"/>
        </w:tblCellMar>
        <w:tblLook w:val="04A0" w:firstRow="1" w:lastRow="0" w:firstColumn="1" w:lastColumn="0" w:noHBand="0" w:noVBand="1"/>
      </w:tblPr>
      <w:tblGrid>
        <w:gridCol w:w="1981"/>
        <w:gridCol w:w="1880"/>
        <w:gridCol w:w="1880"/>
        <w:gridCol w:w="1880"/>
        <w:gridCol w:w="1882"/>
      </w:tblGrid>
      <w:tr w:rsidR="001C4919" w:rsidRPr="00ED37CF" w14:paraId="7FFE4A78" w14:textId="77777777" w:rsidTr="0000321A">
        <w:trPr>
          <w:trHeight w:val="20"/>
          <w:jc w:val="center"/>
        </w:trPr>
        <w:tc>
          <w:tcPr>
            <w:tcW w:w="1043" w:type="pct"/>
            <w:tcBorders>
              <w:top w:val="single" w:sz="12" w:space="0" w:color="948A54"/>
              <w:bottom w:val="single" w:sz="12" w:space="0" w:color="948A54"/>
              <w:right w:val="single" w:sz="12" w:space="0" w:color="948A54"/>
            </w:tcBorders>
            <w:shd w:val="clear" w:color="auto" w:fill="C4BC96"/>
            <w:vAlign w:val="center"/>
          </w:tcPr>
          <w:p w14:paraId="415B9FD6" w14:textId="77777777" w:rsidR="001C4919" w:rsidRPr="00ED37CF" w:rsidRDefault="001C4919" w:rsidP="00C54457">
            <w:pPr>
              <w:spacing w:after="0" w:line="240" w:lineRule="auto"/>
              <w:jc w:val="center"/>
              <w:rPr>
                <w:b/>
                <w:bCs/>
                <w:sz w:val="20"/>
                <w:szCs w:val="20"/>
              </w:rPr>
            </w:pPr>
            <w:r w:rsidRPr="00ED37CF">
              <w:rPr>
                <w:b/>
                <w:bCs/>
                <w:sz w:val="20"/>
                <w:szCs w:val="20"/>
              </w:rPr>
              <w:t>Rehabilitation Package</w:t>
            </w:r>
          </w:p>
        </w:tc>
        <w:tc>
          <w:tcPr>
            <w:tcW w:w="989" w:type="pct"/>
            <w:tcBorders>
              <w:top w:val="single" w:sz="12" w:space="0" w:color="948A54"/>
              <w:left w:val="single" w:sz="12" w:space="0" w:color="948A54"/>
              <w:bottom w:val="single" w:sz="12" w:space="0" w:color="948A54"/>
              <w:right w:val="single" w:sz="6" w:space="0" w:color="948A54"/>
            </w:tcBorders>
            <w:shd w:val="clear" w:color="auto" w:fill="C4BC96"/>
            <w:vAlign w:val="center"/>
          </w:tcPr>
          <w:p w14:paraId="730F9D58" w14:textId="77777777" w:rsidR="001C4919" w:rsidRPr="00ED37CF" w:rsidRDefault="001C4919" w:rsidP="00C54457">
            <w:pPr>
              <w:spacing w:after="0" w:line="240" w:lineRule="auto"/>
              <w:jc w:val="center"/>
              <w:rPr>
                <w:b/>
                <w:bCs/>
                <w:sz w:val="20"/>
                <w:szCs w:val="20"/>
              </w:rPr>
            </w:pPr>
            <w:r w:rsidRPr="00ED37CF">
              <w:rPr>
                <w:b/>
                <w:bCs/>
                <w:sz w:val="20"/>
                <w:szCs w:val="20"/>
              </w:rPr>
              <w:t>Number of individuals monitored after graduation from training</w:t>
            </w:r>
          </w:p>
        </w:tc>
        <w:tc>
          <w:tcPr>
            <w:tcW w:w="989" w:type="pct"/>
            <w:tcBorders>
              <w:top w:val="single" w:sz="12" w:space="0" w:color="948A54"/>
              <w:left w:val="single" w:sz="6" w:space="0" w:color="948A54"/>
              <w:bottom w:val="single" w:sz="12" w:space="0" w:color="948A54"/>
            </w:tcBorders>
            <w:shd w:val="clear" w:color="auto" w:fill="C4BC96"/>
            <w:vAlign w:val="center"/>
          </w:tcPr>
          <w:p w14:paraId="3914398C" w14:textId="77777777" w:rsidR="001C4919" w:rsidRPr="00ED37CF" w:rsidRDefault="001C4919" w:rsidP="00C54457">
            <w:pPr>
              <w:spacing w:after="0" w:line="240" w:lineRule="auto"/>
              <w:jc w:val="center"/>
              <w:rPr>
                <w:b/>
                <w:bCs/>
                <w:sz w:val="20"/>
                <w:szCs w:val="20"/>
              </w:rPr>
            </w:pPr>
            <w:r w:rsidRPr="00ED37CF">
              <w:rPr>
                <w:b/>
                <w:bCs/>
                <w:sz w:val="20"/>
                <w:szCs w:val="20"/>
              </w:rPr>
              <w:t>Number of individuals monitored face to face</w:t>
            </w:r>
          </w:p>
        </w:tc>
        <w:tc>
          <w:tcPr>
            <w:tcW w:w="989" w:type="pct"/>
            <w:tcBorders>
              <w:top w:val="single" w:sz="12" w:space="0" w:color="948A54"/>
              <w:bottom w:val="single" w:sz="12" w:space="0" w:color="948A54"/>
            </w:tcBorders>
            <w:shd w:val="clear" w:color="auto" w:fill="C4BC96"/>
            <w:vAlign w:val="center"/>
          </w:tcPr>
          <w:p w14:paraId="57F07E02" w14:textId="77777777" w:rsidR="001C4919" w:rsidRPr="00ED37CF" w:rsidRDefault="001C4919" w:rsidP="00C54457">
            <w:pPr>
              <w:spacing w:after="0" w:line="240" w:lineRule="auto"/>
              <w:jc w:val="center"/>
              <w:rPr>
                <w:b/>
                <w:bCs/>
                <w:sz w:val="20"/>
                <w:szCs w:val="20"/>
              </w:rPr>
            </w:pPr>
            <w:r w:rsidRPr="00ED37CF">
              <w:rPr>
                <w:b/>
                <w:bCs/>
                <w:sz w:val="20"/>
                <w:szCs w:val="20"/>
              </w:rPr>
              <w:t>Number of individuals monitored only on telephone</w:t>
            </w:r>
          </w:p>
        </w:tc>
        <w:tc>
          <w:tcPr>
            <w:tcW w:w="990" w:type="pct"/>
            <w:tcBorders>
              <w:top w:val="single" w:sz="12" w:space="0" w:color="948A54"/>
              <w:bottom w:val="single" w:sz="12" w:space="0" w:color="948A54"/>
            </w:tcBorders>
            <w:shd w:val="clear" w:color="auto" w:fill="C4BC96"/>
            <w:vAlign w:val="center"/>
          </w:tcPr>
          <w:p w14:paraId="401EFDE0" w14:textId="77777777" w:rsidR="001C4919" w:rsidRPr="00ED37CF" w:rsidRDefault="001C4919" w:rsidP="00C54457">
            <w:pPr>
              <w:spacing w:after="0" w:line="240" w:lineRule="auto"/>
              <w:jc w:val="center"/>
              <w:rPr>
                <w:b/>
                <w:bCs/>
                <w:sz w:val="20"/>
                <w:szCs w:val="20"/>
              </w:rPr>
            </w:pPr>
            <w:r w:rsidRPr="00ED37CF">
              <w:rPr>
                <w:b/>
                <w:bCs/>
                <w:sz w:val="20"/>
                <w:szCs w:val="20"/>
              </w:rPr>
              <w:t>Number of individuals monitored only via SP/IP</w:t>
            </w:r>
          </w:p>
        </w:tc>
      </w:tr>
      <w:tr w:rsidR="001C4919" w:rsidRPr="00ED37CF" w14:paraId="65D729C0" w14:textId="77777777" w:rsidTr="0000321A">
        <w:trPr>
          <w:trHeight w:val="20"/>
          <w:jc w:val="center"/>
        </w:trPr>
        <w:tc>
          <w:tcPr>
            <w:tcW w:w="1043" w:type="pct"/>
            <w:tcBorders>
              <w:top w:val="single" w:sz="12" w:space="0" w:color="948A54"/>
              <w:right w:val="single" w:sz="12" w:space="0" w:color="948A54"/>
            </w:tcBorders>
            <w:vAlign w:val="center"/>
          </w:tcPr>
          <w:p w14:paraId="597BE477" w14:textId="77777777" w:rsidR="001C4919" w:rsidRPr="00ED37CF" w:rsidRDefault="001C4919" w:rsidP="00C54457">
            <w:pPr>
              <w:spacing w:after="0" w:line="240" w:lineRule="auto"/>
              <w:jc w:val="left"/>
              <w:rPr>
                <w:b/>
                <w:bCs/>
                <w:sz w:val="18"/>
                <w:szCs w:val="18"/>
              </w:rPr>
            </w:pPr>
            <w:r w:rsidRPr="00ED37CF">
              <w:rPr>
                <w:b/>
                <w:bCs/>
                <w:sz w:val="18"/>
                <w:szCs w:val="18"/>
              </w:rPr>
              <w:t>Number Pursuing Vocational Skills Training</w:t>
            </w:r>
          </w:p>
        </w:tc>
        <w:tc>
          <w:tcPr>
            <w:tcW w:w="989" w:type="pct"/>
            <w:tcBorders>
              <w:top w:val="single" w:sz="12" w:space="0" w:color="948A54"/>
              <w:left w:val="single" w:sz="12" w:space="0" w:color="948A54"/>
              <w:bottom w:val="single" w:sz="6" w:space="0" w:color="948A54"/>
              <w:right w:val="single" w:sz="6" w:space="0" w:color="948A54"/>
            </w:tcBorders>
            <w:vAlign w:val="center"/>
          </w:tcPr>
          <w:p w14:paraId="00F88146" w14:textId="77777777" w:rsidR="001C4919" w:rsidRPr="00ED37CF" w:rsidRDefault="001C4919" w:rsidP="0000321A">
            <w:pPr>
              <w:spacing w:after="0" w:line="240" w:lineRule="auto"/>
              <w:jc w:val="right"/>
              <w:rPr>
                <w:sz w:val="18"/>
                <w:szCs w:val="18"/>
              </w:rPr>
            </w:pPr>
            <w:r w:rsidRPr="00ED37CF">
              <w:rPr>
                <w:sz w:val="18"/>
                <w:szCs w:val="18"/>
              </w:rPr>
              <w:t>376 (2% F, 98% M)</w:t>
            </w:r>
          </w:p>
        </w:tc>
        <w:tc>
          <w:tcPr>
            <w:tcW w:w="989" w:type="pct"/>
            <w:tcBorders>
              <w:top w:val="single" w:sz="12" w:space="0" w:color="948A54"/>
              <w:left w:val="single" w:sz="6" w:space="0" w:color="948A54"/>
              <w:bottom w:val="single" w:sz="6" w:space="0" w:color="948A54"/>
            </w:tcBorders>
            <w:vAlign w:val="center"/>
          </w:tcPr>
          <w:p w14:paraId="58841E50" w14:textId="77777777" w:rsidR="001C4919" w:rsidRPr="00ED37CF" w:rsidRDefault="001C4919" w:rsidP="0000321A">
            <w:pPr>
              <w:spacing w:after="0" w:line="240" w:lineRule="auto"/>
              <w:jc w:val="right"/>
              <w:rPr>
                <w:sz w:val="18"/>
                <w:szCs w:val="18"/>
              </w:rPr>
            </w:pPr>
            <w:r w:rsidRPr="00ED37CF">
              <w:rPr>
                <w:sz w:val="18"/>
                <w:szCs w:val="18"/>
              </w:rPr>
              <w:t>320 (2% F, 98% M)</w:t>
            </w:r>
          </w:p>
        </w:tc>
        <w:tc>
          <w:tcPr>
            <w:tcW w:w="989" w:type="pct"/>
            <w:tcBorders>
              <w:top w:val="single" w:sz="12" w:space="0" w:color="948A54"/>
              <w:bottom w:val="single" w:sz="6" w:space="0" w:color="948A54"/>
            </w:tcBorders>
            <w:vAlign w:val="center"/>
          </w:tcPr>
          <w:p w14:paraId="5F8BD2A1" w14:textId="77777777" w:rsidR="001C4919" w:rsidRPr="00ED37CF" w:rsidRDefault="001C4919" w:rsidP="0000321A">
            <w:pPr>
              <w:spacing w:after="0" w:line="240" w:lineRule="auto"/>
              <w:jc w:val="right"/>
              <w:rPr>
                <w:sz w:val="18"/>
                <w:szCs w:val="18"/>
              </w:rPr>
            </w:pPr>
            <w:r w:rsidRPr="00ED37CF">
              <w:rPr>
                <w:sz w:val="18"/>
                <w:szCs w:val="18"/>
              </w:rPr>
              <w:t>43 (0% F, 100% M)</w:t>
            </w:r>
          </w:p>
        </w:tc>
        <w:tc>
          <w:tcPr>
            <w:tcW w:w="990" w:type="pct"/>
            <w:tcBorders>
              <w:top w:val="single" w:sz="12" w:space="0" w:color="948A54"/>
              <w:bottom w:val="single" w:sz="6" w:space="0" w:color="948A54"/>
            </w:tcBorders>
            <w:vAlign w:val="center"/>
          </w:tcPr>
          <w:p w14:paraId="121C618D" w14:textId="77777777" w:rsidR="001C4919" w:rsidRPr="00ED37CF" w:rsidRDefault="001C4919" w:rsidP="0000321A">
            <w:pPr>
              <w:spacing w:after="0" w:line="240" w:lineRule="auto"/>
              <w:jc w:val="right"/>
              <w:rPr>
                <w:sz w:val="18"/>
                <w:szCs w:val="18"/>
              </w:rPr>
            </w:pPr>
            <w:r w:rsidRPr="00ED37CF">
              <w:rPr>
                <w:sz w:val="18"/>
                <w:szCs w:val="18"/>
              </w:rPr>
              <w:t>13 (0% F, 100% M)</w:t>
            </w:r>
          </w:p>
        </w:tc>
      </w:tr>
      <w:tr w:rsidR="001C4919" w:rsidRPr="00ED37CF" w14:paraId="07392463" w14:textId="77777777" w:rsidTr="0000321A">
        <w:trPr>
          <w:trHeight w:val="20"/>
          <w:jc w:val="center"/>
        </w:trPr>
        <w:tc>
          <w:tcPr>
            <w:tcW w:w="1043" w:type="pct"/>
            <w:tcBorders>
              <w:right w:val="single" w:sz="12" w:space="0" w:color="948A54"/>
            </w:tcBorders>
            <w:vAlign w:val="center"/>
          </w:tcPr>
          <w:p w14:paraId="0A698830" w14:textId="77777777" w:rsidR="001C4919" w:rsidRPr="00ED37CF" w:rsidRDefault="001C4919" w:rsidP="00C54457">
            <w:pPr>
              <w:spacing w:after="0" w:line="240" w:lineRule="auto"/>
              <w:jc w:val="left"/>
              <w:rPr>
                <w:b/>
                <w:bCs/>
                <w:sz w:val="18"/>
                <w:szCs w:val="18"/>
              </w:rPr>
            </w:pPr>
            <w:r w:rsidRPr="00ED37CF">
              <w:rPr>
                <w:b/>
                <w:bCs/>
                <w:sz w:val="18"/>
                <w:szCs w:val="18"/>
              </w:rPr>
              <w:t>Number Pursuing Microenterprises</w:t>
            </w:r>
          </w:p>
        </w:tc>
        <w:tc>
          <w:tcPr>
            <w:tcW w:w="989" w:type="pct"/>
            <w:tcBorders>
              <w:top w:val="single" w:sz="6" w:space="0" w:color="948A54"/>
              <w:left w:val="single" w:sz="12" w:space="0" w:color="948A54"/>
              <w:bottom w:val="single" w:sz="6" w:space="0" w:color="948A54"/>
              <w:right w:val="single" w:sz="6" w:space="0" w:color="948A54"/>
            </w:tcBorders>
            <w:vAlign w:val="center"/>
          </w:tcPr>
          <w:p w14:paraId="0D9A6053" w14:textId="77777777" w:rsidR="001C4919" w:rsidRPr="00ED37CF" w:rsidRDefault="001C4919" w:rsidP="0000321A">
            <w:pPr>
              <w:spacing w:after="0" w:line="240" w:lineRule="auto"/>
              <w:jc w:val="right"/>
              <w:rPr>
                <w:sz w:val="18"/>
                <w:szCs w:val="18"/>
              </w:rPr>
            </w:pPr>
            <w:r w:rsidRPr="00ED37CF">
              <w:rPr>
                <w:sz w:val="18"/>
                <w:szCs w:val="18"/>
              </w:rPr>
              <w:t>1242 (50% F, 50% M)</w:t>
            </w:r>
          </w:p>
        </w:tc>
        <w:tc>
          <w:tcPr>
            <w:tcW w:w="989" w:type="pct"/>
            <w:tcBorders>
              <w:top w:val="single" w:sz="6" w:space="0" w:color="948A54"/>
              <w:left w:val="single" w:sz="6" w:space="0" w:color="948A54"/>
              <w:bottom w:val="single" w:sz="6" w:space="0" w:color="948A54"/>
            </w:tcBorders>
            <w:vAlign w:val="center"/>
          </w:tcPr>
          <w:p w14:paraId="766DFD2E" w14:textId="77777777" w:rsidR="001C4919" w:rsidRPr="00ED37CF" w:rsidRDefault="001C4919" w:rsidP="0000321A">
            <w:pPr>
              <w:spacing w:after="0" w:line="240" w:lineRule="auto"/>
              <w:jc w:val="right"/>
              <w:rPr>
                <w:sz w:val="18"/>
                <w:szCs w:val="18"/>
              </w:rPr>
            </w:pPr>
            <w:r w:rsidRPr="00ED37CF">
              <w:rPr>
                <w:sz w:val="18"/>
                <w:szCs w:val="18"/>
              </w:rPr>
              <w:t>1168 (50% F, 50% M)</w:t>
            </w:r>
          </w:p>
        </w:tc>
        <w:tc>
          <w:tcPr>
            <w:tcW w:w="989" w:type="pct"/>
            <w:tcBorders>
              <w:top w:val="single" w:sz="6" w:space="0" w:color="948A54"/>
              <w:bottom w:val="single" w:sz="6" w:space="0" w:color="948A54"/>
            </w:tcBorders>
            <w:vAlign w:val="center"/>
          </w:tcPr>
          <w:p w14:paraId="7496D447" w14:textId="77777777" w:rsidR="001C4919" w:rsidRPr="00ED37CF" w:rsidRDefault="001C4919" w:rsidP="0000321A">
            <w:pPr>
              <w:spacing w:after="0" w:line="240" w:lineRule="auto"/>
              <w:jc w:val="right"/>
              <w:rPr>
                <w:sz w:val="18"/>
                <w:szCs w:val="18"/>
              </w:rPr>
            </w:pPr>
            <w:r w:rsidRPr="00ED37CF">
              <w:rPr>
                <w:sz w:val="18"/>
                <w:szCs w:val="18"/>
              </w:rPr>
              <w:t>72 (43% F, 57% M)</w:t>
            </w:r>
          </w:p>
        </w:tc>
        <w:tc>
          <w:tcPr>
            <w:tcW w:w="990" w:type="pct"/>
            <w:tcBorders>
              <w:top w:val="single" w:sz="6" w:space="0" w:color="948A54"/>
              <w:bottom w:val="single" w:sz="6" w:space="0" w:color="948A54"/>
            </w:tcBorders>
            <w:vAlign w:val="center"/>
          </w:tcPr>
          <w:p w14:paraId="595AB0B0" w14:textId="77777777" w:rsidR="001C4919" w:rsidRPr="00ED37CF" w:rsidRDefault="001C4919" w:rsidP="0000321A">
            <w:pPr>
              <w:spacing w:after="0" w:line="240" w:lineRule="auto"/>
              <w:jc w:val="right"/>
              <w:rPr>
                <w:sz w:val="18"/>
                <w:szCs w:val="18"/>
              </w:rPr>
            </w:pPr>
            <w:r w:rsidRPr="00ED37CF">
              <w:rPr>
                <w:sz w:val="18"/>
                <w:szCs w:val="18"/>
              </w:rPr>
              <w:t>2 (0% F, 100% M)</w:t>
            </w:r>
          </w:p>
        </w:tc>
      </w:tr>
      <w:tr w:rsidR="001C4919" w:rsidRPr="00ED37CF" w14:paraId="7CE9A180" w14:textId="77777777" w:rsidTr="0000321A">
        <w:trPr>
          <w:trHeight w:val="340"/>
          <w:jc w:val="center"/>
        </w:trPr>
        <w:tc>
          <w:tcPr>
            <w:tcW w:w="1043" w:type="pct"/>
            <w:tcBorders>
              <w:bottom w:val="single" w:sz="6" w:space="0" w:color="948A54"/>
              <w:right w:val="single" w:sz="12" w:space="0" w:color="948A54"/>
            </w:tcBorders>
            <w:vAlign w:val="center"/>
          </w:tcPr>
          <w:p w14:paraId="36359247" w14:textId="77777777" w:rsidR="001C4919" w:rsidRPr="00ED37CF" w:rsidRDefault="001C4919" w:rsidP="00C54457">
            <w:pPr>
              <w:spacing w:after="0" w:line="240" w:lineRule="auto"/>
              <w:jc w:val="left"/>
              <w:rPr>
                <w:b/>
                <w:bCs/>
                <w:sz w:val="18"/>
                <w:szCs w:val="18"/>
              </w:rPr>
            </w:pPr>
            <w:r w:rsidRPr="00ED37CF">
              <w:rPr>
                <w:b/>
                <w:bCs/>
                <w:sz w:val="18"/>
                <w:szCs w:val="18"/>
              </w:rPr>
              <w:t>Number Pursuing Education</w:t>
            </w:r>
          </w:p>
        </w:tc>
        <w:tc>
          <w:tcPr>
            <w:tcW w:w="989" w:type="pct"/>
            <w:tcBorders>
              <w:top w:val="single" w:sz="6" w:space="0" w:color="948A54"/>
              <w:left w:val="single" w:sz="12" w:space="0" w:color="948A54"/>
              <w:bottom w:val="single" w:sz="6" w:space="0" w:color="948A54"/>
              <w:right w:val="single" w:sz="6" w:space="0" w:color="948A54"/>
            </w:tcBorders>
            <w:vAlign w:val="center"/>
          </w:tcPr>
          <w:p w14:paraId="40397CFE" w14:textId="77777777" w:rsidR="001C4919" w:rsidRPr="00ED37CF" w:rsidRDefault="001C4919" w:rsidP="0000321A">
            <w:pPr>
              <w:spacing w:after="0" w:line="240" w:lineRule="auto"/>
              <w:jc w:val="right"/>
              <w:rPr>
                <w:sz w:val="18"/>
                <w:szCs w:val="18"/>
              </w:rPr>
            </w:pPr>
            <w:r w:rsidRPr="00ED37CF">
              <w:rPr>
                <w:sz w:val="18"/>
                <w:szCs w:val="18"/>
              </w:rPr>
              <w:t>-</w:t>
            </w:r>
          </w:p>
        </w:tc>
        <w:tc>
          <w:tcPr>
            <w:tcW w:w="989" w:type="pct"/>
            <w:tcBorders>
              <w:top w:val="single" w:sz="6" w:space="0" w:color="948A54"/>
              <w:left w:val="single" w:sz="6" w:space="0" w:color="948A54"/>
              <w:bottom w:val="single" w:sz="6" w:space="0" w:color="948A54"/>
            </w:tcBorders>
            <w:vAlign w:val="center"/>
          </w:tcPr>
          <w:p w14:paraId="787CF5E2" w14:textId="77777777" w:rsidR="001C4919" w:rsidRPr="00ED37CF" w:rsidRDefault="001C4919" w:rsidP="0000321A">
            <w:pPr>
              <w:spacing w:after="0" w:line="240" w:lineRule="auto"/>
              <w:jc w:val="right"/>
              <w:rPr>
                <w:sz w:val="18"/>
                <w:szCs w:val="18"/>
              </w:rPr>
            </w:pPr>
            <w:r w:rsidRPr="00ED37CF">
              <w:rPr>
                <w:sz w:val="18"/>
                <w:szCs w:val="18"/>
              </w:rPr>
              <w:t>-</w:t>
            </w:r>
          </w:p>
        </w:tc>
        <w:tc>
          <w:tcPr>
            <w:tcW w:w="989" w:type="pct"/>
            <w:tcBorders>
              <w:top w:val="single" w:sz="6" w:space="0" w:color="948A54"/>
              <w:bottom w:val="single" w:sz="6" w:space="0" w:color="948A54"/>
            </w:tcBorders>
            <w:vAlign w:val="center"/>
          </w:tcPr>
          <w:p w14:paraId="6CF1E898" w14:textId="77777777" w:rsidR="001C4919" w:rsidRPr="00ED37CF" w:rsidRDefault="001C4919" w:rsidP="0000321A">
            <w:pPr>
              <w:spacing w:after="0" w:line="240" w:lineRule="auto"/>
              <w:jc w:val="right"/>
              <w:rPr>
                <w:sz w:val="18"/>
                <w:szCs w:val="18"/>
              </w:rPr>
            </w:pPr>
            <w:r w:rsidRPr="00ED37CF">
              <w:rPr>
                <w:sz w:val="18"/>
                <w:szCs w:val="18"/>
              </w:rPr>
              <w:t>-</w:t>
            </w:r>
          </w:p>
        </w:tc>
        <w:tc>
          <w:tcPr>
            <w:tcW w:w="990" w:type="pct"/>
            <w:tcBorders>
              <w:top w:val="single" w:sz="6" w:space="0" w:color="948A54"/>
              <w:bottom w:val="single" w:sz="6" w:space="0" w:color="948A54"/>
            </w:tcBorders>
            <w:vAlign w:val="center"/>
          </w:tcPr>
          <w:p w14:paraId="1774F50D" w14:textId="77777777" w:rsidR="001C4919" w:rsidRPr="00ED37CF" w:rsidRDefault="001C4919" w:rsidP="0000321A">
            <w:pPr>
              <w:spacing w:after="0" w:line="240" w:lineRule="auto"/>
              <w:jc w:val="right"/>
              <w:rPr>
                <w:sz w:val="18"/>
                <w:szCs w:val="18"/>
              </w:rPr>
            </w:pPr>
            <w:r w:rsidRPr="00ED37CF">
              <w:rPr>
                <w:sz w:val="18"/>
                <w:szCs w:val="18"/>
              </w:rPr>
              <w:t>-</w:t>
            </w:r>
          </w:p>
        </w:tc>
      </w:tr>
      <w:tr w:rsidR="001C4919" w:rsidRPr="00ED37CF" w14:paraId="17A24302" w14:textId="77777777" w:rsidTr="0000321A">
        <w:trPr>
          <w:trHeight w:val="20"/>
          <w:jc w:val="center"/>
        </w:trPr>
        <w:tc>
          <w:tcPr>
            <w:tcW w:w="1043" w:type="pct"/>
            <w:tcBorders>
              <w:top w:val="single" w:sz="6" w:space="0" w:color="948A54"/>
              <w:bottom w:val="single" w:sz="12" w:space="0" w:color="948A54"/>
              <w:right w:val="single" w:sz="12" w:space="0" w:color="948A54"/>
            </w:tcBorders>
            <w:vAlign w:val="center"/>
          </w:tcPr>
          <w:p w14:paraId="29E5AB08" w14:textId="77777777" w:rsidR="001C4919" w:rsidRPr="00ED37CF" w:rsidRDefault="001C4919" w:rsidP="00C54457">
            <w:pPr>
              <w:spacing w:after="0" w:line="240" w:lineRule="auto"/>
              <w:jc w:val="left"/>
              <w:rPr>
                <w:b/>
                <w:bCs/>
                <w:sz w:val="18"/>
                <w:szCs w:val="18"/>
              </w:rPr>
            </w:pPr>
            <w:r w:rsidRPr="00ED37CF">
              <w:rPr>
                <w:b/>
                <w:bCs/>
                <w:sz w:val="18"/>
                <w:szCs w:val="18"/>
              </w:rPr>
              <w:t>Number Pursuing Health Training</w:t>
            </w:r>
          </w:p>
        </w:tc>
        <w:tc>
          <w:tcPr>
            <w:tcW w:w="989" w:type="pct"/>
            <w:tcBorders>
              <w:top w:val="single" w:sz="6" w:space="0" w:color="948A54"/>
              <w:left w:val="single" w:sz="12" w:space="0" w:color="948A54"/>
              <w:bottom w:val="single" w:sz="12" w:space="0" w:color="948A54"/>
              <w:right w:val="single" w:sz="6" w:space="0" w:color="948A54"/>
            </w:tcBorders>
            <w:vAlign w:val="center"/>
          </w:tcPr>
          <w:p w14:paraId="6ADF0B60" w14:textId="77777777" w:rsidR="001C4919" w:rsidRPr="00ED37CF" w:rsidRDefault="001C4919" w:rsidP="0000321A">
            <w:pPr>
              <w:spacing w:after="0" w:line="240" w:lineRule="auto"/>
              <w:jc w:val="right"/>
              <w:rPr>
                <w:sz w:val="18"/>
                <w:szCs w:val="18"/>
              </w:rPr>
            </w:pPr>
            <w:r w:rsidRPr="00ED37CF">
              <w:rPr>
                <w:sz w:val="18"/>
                <w:szCs w:val="18"/>
              </w:rPr>
              <w:t>38 (29% F, 71% M)</w:t>
            </w:r>
          </w:p>
        </w:tc>
        <w:tc>
          <w:tcPr>
            <w:tcW w:w="989" w:type="pct"/>
            <w:tcBorders>
              <w:top w:val="single" w:sz="6" w:space="0" w:color="948A54"/>
              <w:left w:val="single" w:sz="6" w:space="0" w:color="948A54"/>
              <w:bottom w:val="single" w:sz="12" w:space="0" w:color="948A54"/>
            </w:tcBorders>
            <w:vAlign w:val="center"/>
          </w:tcPr>
          <w:p w14:paraId="09C447EE" w14:textId="77777777" w:rsidR="001C4919" w:rsidRPr="00ED37CF" w:rsidRDefault="001C4919" w:rsidP="0000321A">
            <w:pPr>
              <w:spacing w:after="0" w:line="240" w:lineRule="auto"/>
              <w:jc w:val="right"/>
              <w:rPr>
                <w:sz w:val="18"/>
                <w:szCs w:val="18"/>
              </w:rPr>
            </w:pPr>
            <w:r w:rsidRPr="00ED37CF">
              <w:rPr>
                <w:sz w:val="18"/>
                <w:szCs w:val="18"/>
              </w:rPr>
              <w:t>32 (25% F, 75% M)</w:t>
            </w:r>
          </w:p>
        </w:tc>
        <w:tc>
          <w:tcPr>
            <w:tcW w:w="989" w:type="pct"/>
            <w:tcBorders>
              <w:top w:val="single" w:sz="6" w:space="0" w:color="948A54"/>
              <w:bottom w:val="single" w:sz="12" w:space="0" w:color="948A54"/>
            </w:tcBorders>
            <w:vAlign w:val="center"/>
          </w:tcPr>
          <w:p w14:paraId="4A083839" w14:textId="77777777" w:rsidR="001C4919" w:rsidRPr="00ED37CF" w:rsidRDefault="001C4919" w:rsidP="0000321A">
            <w:pPr>
              <w:spacing w:after="0" w:line="240" w:lineRule="auto"/>
              <w:jc w:val="right"/>
              <w:rPr>
                <w:sz w:val="18"/>
                <w:szCs w:val="18"/>
              </w:rPr>
            </w:pPr>
            <w:r w:rsidRPr="00ED37CF">
              <w:rPr>
                <w:sz w:val="18"/>
                <w:szCs w:val="18"/>
              </w:rPr>
              <w:t>5 (40% F, 60% M)</w:t>
            </w:r>
          </w:p>
        </w:tc>
        <w:tc>
          <w:tcPr>
            <w:tcW w:w="990" w:type="pct"/>
            <w:tcBorders>
              <w:top w:val="single" w:sz="6" w:space="0" w:color="948A54"/>
              <w:bottom w:val="single" w:sz="12" w:space="0" w:color="948A54"/>
            </w:tcBorders>
            <w:vAlign w:val="center"/>
          </w:tcPr>
          <w:p w14:paraId="3861B67A" w14:textId="77777777" w:rsidR="001C4919" w:rsidRPr="00ED37CF" w:rsidRDefault="001C4919" w:rsidP="0000321A">
            <w:pPr>
              <w:spacing w:after="0" w:line="240" w:lineRule="auto"/>
              <w:jc w:val="right"/>
              <w:rPr>
                <w:sz w:val="18"/>
                <w:szCs w:val="18"/>
              </w:rPr>
            </w:pPr>
            <w:r w:rsidRPr="00ED37CF">
              <w:rPr>
                <w:sz w:val="18"/>
                <w:szCs w:val="18"/>
              </w:rPr>
              <w:t>1 (100% F, 0% M)</w:t>
            </w:r>
          </w:p>
        </w:tc>
      </w:tr>
      <w:tr w:rsidR="001C4919" w:rsidRPr="00ED37CF" w14:paraId="152E221F" w14:textId="77777777" w:rsidTr="0000321A">
        <w:trPr>
          <w:trHeight w:val="340"/>
          <w:jc w:val="center"/>
        </w:trPr>
        <w:tc>
          <w:tcPr>
            <w:tcW w:w="1043" w:type="pct"/>
            <w:tcBorders>
              <w:top w:val="single" w:sz="12" w:space="0" w:color="948A54"/>
              <w:bottom w:val="single" w:sz="12" w:space="0" w:color="948A54"/>
              <w:right w:val="single" w:sz="12" w:space="0" w:color="948A54"/>
            </w:tcBorders>
            <w:shd w:val="clear" w:color="auto" w:fill="C4BC96"/>
            <w:vAlign w:val="center"/>
          </w:tcPr>
          <w:p w14:paraId="46F171A7" w14:textId="77777777" w:rsidR="001C4919" w:rsidRPr="00ED37CF" w:rsidRDefault="001C4919" w:rsidP="00C54457">
            <w:pPr>
              <w:spacing w:after="0" w:line="240" w:lineRule="auto"/>
              <w:jc w:val="left"/>
              <w:rPr>
                <w:b/>
                <w:bCs/>
                <w:sz w:val="18"/>
                <w:szCs w:val="18"/>
              </w:rPr>
            </w:pPr>
            <w:r w:rsidRPr="00ED37CF">
              <w:rPr>
                <w:b/>
                <w:bCs/>
                <w:sz w:val="18"/>
                <w:szCs w:val="18"/>
              </w:rPr>
              <w:t>Total</w:t>
            </w:r>
          </w:p>
        </w:tc>
        <w:tc>
          <w:tcPr>
            <w:tcW w:w="989" w:type="pct"/>
            <w:tcBorders>
              <w:top w:val="single" w:sz="12" w:space="0" w:color="948A54"/>
              <w:left w:val="single" w:sz="12" w:space="0" w:color="948A54"/>
              <w:bottom w:val="single" w:sz="12" w:space="0" w:color="948A54"/>
              <w:right w:val="single" w:sz="6" w:space="0" w:color="948A54"/>
            </w:tcBorders>
            <w:shd w:val="clear" w:color="auto" w:fill="C4BC96"/>
            <w:vAlign w:val="center"/>
          </w:tcPr>
          <w:p w14:paraId="37A1E9E9" w14:textId="77777777" w:rsidR="001C4919" w:rsidRPr="00ED37CF" w:rsidRDefault="001C4919" w:rsidP="0000321A">
            <w:pPr>
              <w:spacing w:after="0" w:line="240" w:lineRule="auto"/>
              <w:jc w:val="right"/>
              <w:rPr>
                <w:b/>
                <w:bCs/>
                <w:sz w:val="18"/>
                <w:szCs w:val="18"/>
              </w:rPr>
            </w:pPr>
            <w:r w:rsidRPr="00ED37CF">
              <w:rPr>
                <w:b/>
                <w:bCs/>
                <w:sz w:val="18"/>
                <w:szCs w:val="18"/>
              </w:rPr>
              <w:t>1656 (38% F, 62% M)</w:t>
            </w:r>
          </w:p>
        </w:tc>
        <w:tc>
          <w:tcPr>
            <w:tcW w:w="989" w:type="pct"/>
            <w:tcBorders>
              <w:top w:val="single" w:sz="12" w:space="0" w:color="948A54"/>
              <w:left w:val="single" w:sz="6" w:space="0" w:color="948A54"/>
              <w:bottom w:val="single" w:sz="12" w:space="0" w:color="948A54"/>
            </w:tcBorders>
            <w:shd w:val="clear" w:color="auto" w:fill="C4BC96"/>
            <w:vAlign w:val="center"/>
          </w:tcPr>
          <w:p w14:paraId="59976C1B" w14:textId="77777777" w:rsidR="001C4919" w:rsidRPr="00ED37CF" w:rsidRDefault="001C4919" w:rsidP="0000321A">
            <w:pPr>
              <w:spacing w:after="0" w:line="240" w:lineRule="auto"/>
              <w:jc w:val="right"/>
              <w:rPr>
                <w:b/>
                <w:bCs/>
                <w:sz w:val="18"/>
                <w:szCs w:val="18"/>
              </w:rPr>
            </w:pPr>
            <w:r w:rsidRPr="00ED37CF">
              <w:rPr>
                <w:b/>
                <w:bCs/>
                <w:sz w:val="18"/>
                <w:szCs w:val="18"/>
              </w:rPr>
              <w:t>1520 (39% F, 61% M)</w:t>
            </w:r>
          </w:p>
        </w:tc>
        <w:tc>
          <w:tcPr>
            <w:tcW w:w="989" w:type="pct"/>
            <w:tcBorders>
              <w:top w:val="single" w:sz="12" w:space="0" w:color="948A54"/>
              <w:bottom w:val="single" w:sz="12" w:space="0" w:color="948A54"/>
            </w:tcBorders>
            <w:shd w:val="clear" w:color="auto" w:fill="C4BC96"/>
            <w:vAlign w:val="center"/>
          </w:tcPr>
          <w:p w14:paraId="211B2732" w14:textId="77777777" w:rsidR="001C4919" w:rsidRPr="00ED37CF" w:rsidRDefault="001C4919" w:rsidP="0000321A">
            <w:pPr>
              <w:spacing w:after="0" w:line="240" w:lineRule="auto"/>
              <w:jc w:val="right"/>
              <w:rPr>
                <w:b/>
                <w:bCs/>
                <w:sz w:val="18"/>
                <w:szCs w:val="18"/>
              </w:rPr>
            </w:pPr>
            <w:r w:rsidRPr="00ED37CF">
              <w:rPr>
                <w:b/>
                <w:bCs/>
                <w:sz w:val="18"/>
                <w:szCs w:val="18"/>
              </w:rPr>
              <w:t>120 (27% F, 73% M)</w:t>
            </w:r>
          </w:p>
        </w:tc>
        <w:tc>
          <w:tcPr>
            <w:tcW w:w="990" w:type="pct"/>
            <w:tcBorders>
              <w:top w:val="single" w:sz="12" w:space="0" w:color="948A54"/>
              <w:bottom w:val="single" w:sz="12" w:space="0" w:color="948A54"/>
            </w:tcBorders>
            <w:shd w:val="clear" w:color="auto" w:fill="C4BC96"/>
            <w:vAlign w:val="center"/>
          </w:tcPr>
          <w:p w14:paraId="29BB6568" w14:textId="77777777" w:rsidR="001C4919" w:rsidRPr="00ED37CF" w:rsidRDefault="001C4919" w:rsidP="0000321A">
            <w:pPr>
              <w:spacing w:after="0" w:line="240" w:lineRule="auto"/>
              <w:jc w:val="right"/>
              <w:rPr>
                <w:b/>
                <w:bCs/>
                <w:sz w:val="18"/>
                <w:szCs w:val="18"/>
              </w:rPr>
            </w:pPr>
            <w:r w:rsidRPr="00ED37CF">
              <w:rPr>
                <w:b/>
                <w:bCs/>
                <w:sz w:val="18"/>
                <w:szCs w:val="18"/>
              </w:rPr>
              <w:t>16 (6% F, 94% M)</w:t>
            </w:r>
          </w:p>
        </w:tc>
      </w:tr>
      <w:tr w:rsidR="001C4919" w:rsidRPr="00ED37CF" w14:paraId="76836DE8" w14:textId="77777777" w:rsidTr="0000321A">
        <w:trPr>
          <w:trHeight w:val="340"/>
          <w:jc w:val="center"/>
        </w:trPr>
        <w:tc>
          <w:tcPr>
            <w:tcW w:w="1043" w:type="pct"/>
            <w:tcBorders>
              <w:top w:val="single" w:sz="12" w:space="0" w:color="948A54"/>
              <w:bottom w:val="single" w:sz="12" w:space="0" w:color="948A54"/>
              <w:right w:val="single" w:sz="12" w:space="0" w:color="948A54"/>
            </w:tcBorders>
            <w:shd w:val="clear" w:color="auto" w:fill="C4BC96"/>
            <w:vAlign w:val="center"/>
          </w:tcPr>
          <w:p w14:paraId="25DFC2D9" w14:textId="77777777" w:rsidR="0000321A" w:rsidRPr="00ED37CF" w:rsidRDefault="001C4919" w:rsidP="0000321A">
            <w:pPr>
              <w:spacing w:after="0" w:line="240" w:lineRule="auto"/>
              <w:jc w:val="left"/>
              <w:rPr>
                <w:b/>
                <w:bCs/>
                <w:sz w:val="18"/>
                <w:szCs w:val="18"/>
              </w:rPr>
            </w:pPr>
            <w:r w:rsidRPr="00ED37CF">
              <w:rPr>
                <w:b/>
                <w:bCs/>
                <w:sz w:val="18"/>
                <w:szCs w:val="18"/>
              </w:rPr>
              <w:t>Post Monitoring Rate</w:t>
            </w:r>
          </w:p>
          <w:p w14:paraId="1442D288" w14:textId="77777777" w:rsidR="001C4919" w:rsidRPr="00ED37CF" w:rsidRDefault="001C4919" w:rsidP="0000321A">
            <w:pPr>
              <w:spacing w:after="0" w:line="240" w:lineRule="auto"/>
              <w:jc w:val="left"/>
              <w:rPr>
                <w:b/>
                <w:bCs/>
                <w:sz w:val="18"/>
                <w:szCs w:val="18"/>
              </w:rPr>
            </w:pPr>
            <w:r w:rsidRPr="00ED37CF">
              <w:rPr>
                <w:b/>
                <w:bCs/>
                <w:sz w:val="18"/>
                <w:szCs w:val="18"/>
              </w:rPr>
              <w:t>( % out of graduates)</w:t>
            </w:r>
          </w:p>
        </w:tc>
        <w:tc>
          <w:tcPr>
            <w:tcW w:w="989" w:type="pct"/>
            <w:tcBorders>
              <w:top w:val="single" w:sz="12" w:space="0" w:color="948A54"/>
              <w:left w:val="single" w:sz="12" w:space="0" w:color="948A54"/>
              <w:bottom w:val="single" w:sz="12" w:space="0" w:color="948A54"/>
              <w:right w:val="single" w:sz="6" w:space="0" w:color="948A54"/>
            </w:tcBorders>
            <w:shd w:val="clear" w:color="auto" w:fill="C4BC96"/>
            <w:vAlign w:val="center"/>
          </w:tcPr>
          <w:p w14:paraId="62935AC2" w14:textId="77777777" w:rsidR="001C4919" w:rsidRPr="00ED37CF" w:rsidRDefault="001C4919" w:rsidP="0000321A">
            <w:pPr>
              <w:spacing w:after="0" w:line="240" w:lineRule="auto"/>
              <w:jc w:val="right"/>
              <w:rPr>
                <w:b/>
                <w:bCs/>
                <w:sz w:val="18"/>
                <w:szCs w:val="18"/>
              </w:rPr>
            </w:pPr>
            <w:r w:rsidRPr="00ED37CF">
              <w:rPr>
                <w:b/>
                <w:bCs/>
                <w:sz w:val="18"/>
                <w:szCs w:val="18"/>
              </w:rPr>
              <w:t>94% of 1759</w:t>
            </w:r>
          </w:p>
        </w:tc>
        <w:tc>
          <w:tcPr>
            <w:tcW w:w="989" w:type="pct"/>
            <w:tcBorders>
              <w:top w:val="single" w:sz="12" w:space="0" w:color="948A54"/>
              <w:left w:val="single" w:sz="6" w:space="0" w:color="948A54"/>
              <w:bottom w:val="single" w:sz="12" w:space="0" w:color="948A54"/>
            </w:tcBorders>
            <w:shd w:val="clear" w:color="auto" w:fill="C4BC96"/>
            <w:vAlign w:val="center"/>
          </w:tcPr>
          <w:p w14:paraId="4A0DBCE3" w14:textId="77777777" w:rsidR="001C4919" w:rsidRPr="00ED37CF" w:rsidRDefault="001C4919" w:rsidP="0000321A">
            <w:pPr>
              <w:spacing w:after="0" w:line="240" w:lineRule="auto"/>
              <w:jc w:val="right"/>
              <w:rPr>
                <w:b/>
                <w:bCs/>
                <w:sz w:val="18"/>
                <w:szCs w:val="18"/>
              </w:rPr>
            </w:pPr>
            <w:r w:rsidRPr="00ED37CF">
              <w:rPr>
                <w:b/>
                <w:bCs/>
                <w:sz w:val="18"/>
                <w:szCs w:val="18"/>
              </w:rPr>
              <w:t>86% of 1759</w:t>
            </w:r>
          </w:p>
        </w:tc>
        <w:tc>
          <w:tcPr>
            <w:tcW w:w="989" w:type="pct"/>
            <w:tcBorders>
              <w:top w:val="single" w:sz="12" w:space="0" w:color="948A54"/>
              <w:bottom w:val="single" w:sz="12" w:space="0" w:color="948A54"/>
            </w:tcBorders>
            <w:shd w:val="clear" w:color="auto" w:fill="C4BC96"/>
            <w:vAlign w:val="center"/>
          </w:tcPr>
          <w:p w14:paraId="0C142656" w14:textId="77777777" w:rsidR="001C4919" w:rsidRPr="00ED37CF" w:rsidRDefault="001C4919" w:rsidP="0000321A">
            <w:pPr>
              <w:spacing w:after="0" w:line="240" w:lineRule="auto"/>
              <w:jc w:val="right"/>
              <w:rPr>
                <w:b/>
                <w:bCs/>
                <w:sz w:val="18"/>
                <w:szCs w:val="18"/>
              </w:rPr>
            </w:pPr>
            <w:r w:rsidRPr="00ED37CF">
              <w:rPr>
                <w:b/>
                <w:bCs/>
                <w:sz w:val="18"/>
                <w:szCs w:val="18"/>
              </w:rPr>
              <w:t>7% of 1759</w:t>
            </w:r>
          </w:p>
        </w:tc>
        <w:tc>
          <w:tcPr>
            <w:tcW w:w="990" w:type="pct"/>
            <w:tcBorders>
              <w:top w:val="single" w:sz="12" w:space="0" w:color="948A54"/>
              <w:bottom w:val="single" w:sz="12" w:space="0" w:color="948A54"/>
            </w:tcBorders>
            <w:shd w:val="clear" w:color="auto" w:fill="C4BC96"/>
            <w:vAlign w:val="center"/>
          </w:tcPr>
          <w:p w14:paraId="7C0F6ADC" w14:textId="77777777" w:rsidR="001C4919" w:rsidRPr="00ED37CF" w:rsidRDefault="001C4919" w:rsidP="0000321A">
            <w:pPr>
              <w:spacing w:after="0" w:line="240" w:lineRule="auto"/>
              <w:jc w:val="right"/>
              <w:rPr>
                <w:b/>
                <w:bCs/>
                <w:sz w:val="18"/>
                <w:szCs w:val="18"/>
              </w:rPr>
            </w:pPr>
            <w:r w:rsidRPr="00ED37CF">
              <w:rPr>
                <w:b/>
                <w:bCs/>
                <w:sz w:val="18"/>
                <w:szCs w:val="18"/>
              </w:rPr>
              <w:t>1% of 1759</w:t>
            </w:r>
          </w:p>
        </w:tc>
      </w:tr>
      <w:tr w:rsidR="001C4919" w:rsidRPr="00ED37CF" w14:paraId="097E2738" w14:textId="77777777" w:rsidTr="0000321A">
        <w:trPr>
          <w:trHeight w:val="340"/>
          <w:jc w:val="center"/>
        </w:trPr>
        <w:tc>
          <w:tcPr>
            <w:tcW w:w="1043" w:type="pct"/>
            <w:tcBorders>
              <w:top w:val="single" w:sz="12" w:space="0" w:color="948A54"/>
              <w:bottom w:val="single" w:sz="12" w:space="0" w:color="948A54"/>
              <w:right w:val="single" w:sz="12" w:space="0" w:color="948A54"/>
            </w:tcBorders>
            <w:shd w:val="clear" w:color="auto" w:fill="C4BC96"/>
            <w:vAlign w:val="center"/>
          </w:tcPr>
          <w:p w14:paraId="2B1C6461" w14:textId="77777777" w:rsidR="001C4919" w:rsidRPr="00ED37CF" w:rsidRDefault="001C4919" w:rsidP="00C54457">
            <w:pPr>
              <w:spacing w:after="0" w:line="240" w:lineRule="auto"/>
              <w:jc w:val="left"/>
              <w:rPr>
                <w:b/>
                <w:bCs/>
                <w:sz w:val="18"/>
                <w:szCs w:val="18"/>
              </w:rPr>
            </w:pPr>
            <w:r w:rsidRPr="00ED37CF">
              <w:rPr>
                <w:b/>
                <w:bCs/>
                <w:sz w:val="18"/>
                <w:szCs w:val="18"/>
              </w:rPr>
              <w:t>Out of total monitored</w:t>
            </w:r>
          </w:p>
        </w:tc>
        <w:tc>
          <w:tcPr>
            <w:tcW w:w="989" w:type="pct"/>
            <w:tcBorders>
              <w:top w:val="single" w:sz="12" w:space="0" w:color="948A54"/>
              <w:left w:val="single" w:sz="12" w:space="0" w:color="948A54"/>
              <w:bottom w:val="single" w:sz="12" w:space="0" w:color="948A54"/>
              <w:right w:val="single" w:sz="6" w:space="0" w:color="948A54"/>
            </w:tcBorders>
            <w:shd w:val="clear" w:color="auto" w:fill="C4BC96"/>
            <w:vAlign w:val="center"/>
          </w:tcPr>
          <w:p w14:paraId="7B43A3E4" w14:textId="77777777" w:rsidR="001C4919" w:rsidRPr="00ED37CF" w:rsidRDefault="001C4919" w:rsidP="0000321A">
            <w:pPr>
              <w:spacing w:after="0" w:line="240" w:lineRule="auto"/>
              <w:jc w:val="right"/>
              <w:rPr>
                <w:b/>
                <w:bCs/>
                <w:sz w:val="18"/>
                <w:szCs w:val="18"/>
              </w:rPr>
            </w:pPr>
          </w:p>
        </w:tc>
        <w:tc>
          <w:tcPr>
            <w:tcW w:w="989" w:type="pct"/>
            <w:tcBorders>
              <w:top w:val="single" w:sz="12" w:space="0" w:color="948A54"/>
              <w:left w:val="single" w:sz="6" w:space="0" w:color="948A54"/>
              <w:bottom w:val="single" w:sz="12" w:space="0" w:color="948A54"/>
            </w:tcBorders>
            <w:shd w:val="clear" w:color="auto" w:fill="C4BC96"/>
            <w:vAlign w:val="center"/>
          </w:tcPr>
          <w:p w14:paraId="6CF36D0B" w14:textId="77777777" w:rsidR="001C4919" w:rsidRPr="00ED37CF" w:rsidRDefault="001C4919" w:rsidP="0000321A">
            <w:pPr>
              <w:spacing w:after="0" w:line="240" w:lineRule="auto"/>
              <w:jc w:val="right"/>
              <w:rPr>
                <w:b/>
                <w:bCs/>
                <w:sz w:val="18"/>
                <w:szCs w:val="18"/>
              </w:rPr>
            </w:pPr>
            <w:r w:rsidRPr="00ED37CF">
              <w:rPr>
                <w:b/>
                <w:bCs/>
                <w:sz w:val="18"/>
                <w:szCs w:val="18"/>
              </w:rPr>
              <w:t>92% of 1656</w:t>
            </w:r>
          </w:p>
        </w:tc>
        <w:tc>
          <w:tcPr>
            <w:tcW w:w="989" w:type="pct"/>
            <w:tcBorders>
              <w:top w:val="single" w:sz="12" w:space="0" w:color="948A54"/>
              <w:bottom w:val="single" w:sz="12" w:space="0" w:color="948A54"/>
            </w:tcBorders>
            <w:shd w:val="clear" w:color="auto" w:fill="C4BC96"/>
            <w:vAlign w:val="center"/>
          </w:tcPr>
          <w:p w14:paraId="51AB2BB7" w14:textId="77777777" w:rsidR="001C4919" w:rsidRPr="00ED37CF" w:rsidRDefault="001C4919" w:rsidP="0000321A">
            <w:pPr>
              <w:spacing w:after="0" w:line="240" w:lineRule="auto"/>
              <w:jc w:val="right"/>
              <w:rPr>
                <w:b/>
                <w:bCs/>
                <w:sz w:val="18"/>
                <w:szCs w:val="18"/>
              </w:rPr>
            </w:pPr>
            <w:r w:rsidRPr="00ED37CF">
              <w:rPr>
                <w:b/>
                <w:bCs/>
                <w:sz w:val="18"/>
                <w:szCs w:val="18"/>
              </w:rPr>
              <w:t>7% of 1656</w:t>
            </w:r>
          </w:p>
        </w:tc>
        <w:tc>
          <w:tcPr>
            <w:tcW w:w="990" w:type="pct"/>
            <w:tcBorders>
              <w:top w:val="single" w:sz="12" w:space="0" w:color="948A54"/>
              <w:bottom w:val="single" w:sz="12" w:space="0" w:color="948A54"/>
            </w:tcBorders>
            <w:shd w:val="clear" w:color="auto" w:fill="C4BC96"/>
            <w:vAlign w:val="center"/>
          </w:tcPr>
          <w:p w14:paraId="2EB8FAE6" w14:textId="77777777" w:rsidR="001C4919" w:rsidRPr="00ED37CF" w:rsidRDefault="001C4919" w:rsidP="0000321A">
            <w:pPr>
              <w:spacing w:after="0" w:line="240" w:lineRule="auto"/>
              <w:jc w:val="right"/>
              <w:rPr>
                <w:b/>
                <w:bCs/>
                <w:sz w:val="18"/>
                <w:szCs w:val="18"/>
              </w:rPr>
            </w:pPr>
            <w:r w:rsidRPr="00ED37CF">
              <w:rPr>
                <w:b/>
                <w:bCs/>
                <w:sz w:val="18"/>
                <w:szCs w:val="18"/>
              </w:rPr>
              <w:t>1% of 1656</w:t>
            </w:r>
          </w:p>
        </w:tc>
      </w:tr>
    </w:tbl>
    <w:p w14:paraId="47B344C4" w14:textId="77777777" w:rsidR="001C4919" w:rsidRPr="00ED37CF" w:rsidRDefault="001C4919" w:rsidP="001C4919">
      <w:pPr>
        <w:widowControl w:val="0"/>
        <w:tabs>
          <w:tab w:val="left" w:pos="426"/>
        </w:tabs>
        <w:rPr>
          <w:rFonts w:cs="Arial"/>
          <w:sz w:val="23"/>
          <w:szCs w:val="23"/>
        </w:rPr>
      </w:pPr>
    </w:p>
    <w:p w14:paraId="43620099" w14:textId="77777777" w:rsidR="001C4919" w:rsidRPr="00ED37CF" w:rsidRDefault="0000321A" w:rsidP="0000321A">
      <w:pPr>
        <w:pStyle w:val="Heading3"/>
      </w:pPr>
      <w:bookmarkStart w:id="84" w:name="_Toc389486847"/>
      <w:bookmarkStart w:id="85" w:name="_Toc393116673"/>
      <w:bookmarkStart w:id="86" w:name="_Toc393117839"/>
      <w:bookmarkStart w:id="87" w:name="_Toc393373737"/>
      <w:r w:rsidRPr="00ED37CF">
        <w:lastRenderedPageBreak/>
        <w:t>3.6</w:t>
      </w:r>
      <w:r w:rsidRPr="00ED37CF">
        <w:tab/>
      </w:r>
      <w:r w:rsidR="001C4919" w:rsidRPr="00ED37CF">
        <w:t>UNIRP Information Management System (IMS)</w:t>
      </w:r>
      <w:bookmarkEnd w:id="84"/>
      <w:bookmarkEnd w:id="85"/>
      <w:bookmarkEnd w:id="86"/>
      <w:bookmarkEnd w:id="87"/>
    </w:p>
    <w:p w14:paraId="21BDCEEB" w14:textId="77777777" w:rsidR="001C4919" w:rsidRPr="00ED37CF" w:rsidRDefault="001C4919" w:rsidP="0000321A">
      <w:r w:rsidRPr="00ED37CF">
        <w:t>As the UNIRP gained momentum in early 2010, it became evident for UNIRP that the DREAM database was insufficient to comprehensively support the multiple components of the rehabilitation programme such as; data collection, client classification, unified reporting, dynamic M&amp;E, client tracking etc. in a timely and efficient manner. Thus, in the beginning of third quarter of 2010, UNIRP initiated an in-house design and development of an online and real time Information Management System to address the dynamic requirements of the programme.</w:t>
      </w:r>
    </w:p>
    <w:p w14:paraId="09B7BEFA" w14:textId="0AF45D36" w:rsidR="001C4919" w:rsidRPr="00ED37CF" w:rsidRDefault="001C4919" w:rsidP="0000321A">
      <w:r w:rsidRPr="00ED37CF">
        <w:t xml:space="preserve">In the first quarter of 2011, DDR-IMS was officially launched which was designed as a dependent application as it picks personnel information of ex-combatants from DREAM. It was named Rehabilitation Information System (RIS) i.e. </w:t>
      </w:r>
      <w:r w:rsidRPr="00ED37CF">
        <w:rPr>
          <w:i/>
          <w:iCs/>
        </w:rPr>
        <w:t>UNIRP IMS version 1.0</w:t>
      </w:r>
      <w:r w:rsidRPr="00ED37CF">
        <w:t xml:space="preserve">. With integration of the M&amp;E module, Resource Library and improvements in the reporting module, </w:t>
      </w:r>
      <w:r w:rsidR="00AC4758">
        <w:t>i</w:t>
      </w:r>
      <w:r w:rsidRPr="00ED37CF">
        <w:t xml:space="preserve">t was renamed as Comprehensive Rehabilitation Information Management System (CRIMS) i.e. </w:t>
      </w:r>
      <w:r w:rsidRPr="00ED37CF">
        <w:rPr>
          <w:i/>
          <w:iCs/>
        </w:rPr>
        <w:t>UNIRP IMS version 2.0.</w:t>
      </w:r>
      <w:r w:rsidRPr="00ED37CF">
        <w:t xml:space="preserve"> Finally, with the integration of Registration and Verification modules and the deployment of registration &amp; verification data with removing dependencies from DREAM, </w:t>
      </w:r>
      <w:r w:rsidR="00AC4758">
        <w:t>the system</w:t>
      </w:r>
      <w:r w:rsidRPr="00ED37CF">
        <w:t xml:space="preserve"> is </w:t>
      </w:r>
      <w:r w:rsidR="00AC4758">
        <w:t xml:space="preserve">called </w:t>
      </w:r>
      <w:r w:rsidRPr="00ED37CF">
        <w:t xml:space="preserve">DDR-IMS i.e. </w:t>
      </w:r>
      <w:r w:rsidRPr="00ED37CF">
        <w:rPr>
          <w:i/>
          <w:iCs/>
        </w:rPr>
        <w:t>UNIRP IMS version 3.0.</w:t>
      </w:r>
      <w:r w:rsidR="005E1EE9" w:rsidRPr="00ED37CF">
        <w:t xml:space="preserve"> </w:t>
      </w:r>
    </w:p>
    <w:p w14:paraId="692639BC" w14:textId="741741C0" w:rsidR="001C4919" w:rsidRPr="00ED37CF" w:rsidRDefault="001C4919" w:rsidP="0000321A">
      <w:r w:rsidRPr="00ED37CF">
        <w:t>Hence, DDR-IMS is an improved version of the commonly used DREAM database system</w:t>
      </w:r>
      <w:r w:rsidR="00AC4758">
        <w:t xml:space="preserve"> and</w:t>
      </w:r>
      <w:r w:rsidRPr="00ED37CF">
        <w:t xml:space="preserve"> tailored to the specific needs of the Nepal rehabilitation programme. It makes information management more intuitive and responsive to emerging needs in DDR interventions. It's an online system which is accessible with strong data security policy and measures through internet and intranet structures. It allowed ROs and interagency partners to remotely access the system that helped </w:t>
      </w:r>
      <w:r w:rsidR="00AC4758">
        <w:t xml:space="preserve">data </w:t>
      </w:r>
      <w:r w:rsidRPr="00ED37CF">
        <w:t>collect</w:t>
      </w:r>
      <w:r w:rsidR="00AC4758">
        <w:t>ion</w:t>
      </w:r>
      <w:r w:rsidRPr="00ED37CF">
        <w:t xml:space="preserve"> and timely generation of report</w:t>
      </w:r>
      <w:r w:rsidR="00AC4758">
        <w:t>s</w:t>
      </w:r>
      <w:r w:rsidRPr="00ED37CF">
        <w:t xml:space="preserve"> for analysis. The DDR-IMS contains personal information of the Maoist army and their arms and ammunition collected during the UN led registration and verification process in 2007. It also includes information on the various stages and components of the rehabilitation support to the 4008 VMLR</w:t>
      </w:r>
      <w:r w:rsidR="00914EBA">
        <w:t>s</w:t>
      </w:r>
      <w:r w:rsidRPr="00ED37CF">
        <w:t>.</w:t>
      </w:r>
    </w:p>
    <w:p w14:paraId="7A81D4FC" w14:textId="77777777" w:rsidR="001C4919" w:rsidRPr="00ED37CF" w:rsidRDefault="001C4919" w:rsidP="00AC7BA9">
      <w:pPr>
        <w:pStyle w:val="Heading2"/>
      </w:pPr>
      <w:bookmarkStart w:id="88" w:name="_Toc389486848"/>
      <w:bookmarkStart w:id="89" w:name="_Toc393116674"/>
      <w:bookmarkStart w:id="90" w:name="_Toc393117840"/>
      <w:bookmarkStart w:id="91" w:name="_Toc393373738"/>
      <w:r w:rsidRPr="00ED37CF">
        <w:t>Evaluation and Studies</w:t>
      </w:r>
      <w:bookmarkEnd w:id="88"/>
      <w:bookmarkEnd w:id="89"/>
      <w:bookmarkEnd w:id="90"/>
      <w:bookmarkEnd w:id="91"/>
    </w:p>
    <w:p w14:paraId="61D4B2C4" w14:textId="465BCD7C" w:rsidR="001C4919" w:rsidRPr="00ED37CF" w:rsidRDefault="001C4919" w:rsidP="0000321A">
      <w:pPr>
        <w:rPr>
          <w:b/>
        </w:rPr>
      </w:pPr>
      <w:r w:rsidRPr="00ED37CF">
        <w:t xml:space="preserve">An Independent Evaluation of UNIRP, commissioned by UNDP, was carried </w:t>
      </w:r>
      <w:r w:rsidR="00914EBA">
        <w:t xml:space="preserve">out </w:t>
      </w:r>
      <w:r w:rsidRPr="00ED37CF">
        <w:t>by Transitions International in late 2012 and the report was released on March 21, 2013.</w:t>
      </w:r>
      <w:r w:rsidR="005E1EE9" w:rsidRPr="00ED37CF">
        <w:t xml:space="preserve"> </w:t>
      </w:r>
      <w:r w:rsidRPr="00ED37CF">
        <w:t>It review</w:t>
      </w:r>
      <w:r w:rsidR="00914EBA">
        <w:t>ed</w:t>
      </w:r>
      <w:r w:rsidRPr="00ED37CF">
        <w:t xml:space="preserve"> UNIRP vis-à-vis the programme objectives and </w:t>
      </w:r>
      <w:r w:rsidR="00914EBA">
        <w:t xml:space="preserve">provided </w:t>
      </w:r>
      <w:r w:rsidRPr="00ED37CF">
        <w:t>an assessment of its relevance, effectiveness, efficiency and sustainability.</w:t>
      </w:r>
      <w:r w:rsidR="005E1EE9" w:rsidRPr="00ED37CF">
        <w:t xml:space="preserve"> </w:t>
      </w:r>
      <w:r w:rsidRPr="00ED37CF">
        <w:t>A summary of the assessment is given below:</w:t>
      </w:r>
    </w:p>
    <w:p w14:paraId="37DB06B5" w14:textId="77777777" w:rsidR="001C4919" w:rsidRPr="00ED37CF" w:rsidRDefault="00EA0DA2" w:rsidP="001C4919">
      <w:pPr>
        <w:widowControl w:val="0"/>
        <w:tabs>
          <w:tab w:val="left" w:pos="426"/>
        </w:tabs>
        <w:rPr>
          <w:rFonts w:cs="Arial"/>
          <w:b/>
          <w:sz w:val="23"/>
          <w:szCs w:val="23"/>
        </w:rPr>
      </w:pPr>
      <w:r w:rsidRPr="00ED37CF">
        <w:rPr>
          <w:rFonts w:cs="Arial"/>
          <w:b/>
          <w:sz w:val="23"/>
          <w:szCs w:val="23"/>
        </w:rPr>
        <w:t>Figure 5</w:t>
      </w:r>
      <w:r w:rsidR="001C4919" w:rsidRPr="00ED37CF">
        <w:rPr>
          <w:rFonts w:cs="Arial"/>
          <w:b/>
          <w:sz w:val="23"/>
          <w:szCs w:val="23"/>
        </w:rPr>
        <w:t>: Independent Evaluation of the UNIRP – Key Findings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F26380" w:rsidRPr="00ED37CF" w14:paraId="7171D377" w14:textId="77777777" w:rsidTr="00F26380">
        <w:trPr>
          <w:trHeight w:val="341"/>
        </w:trPr>
        <w:tc>
          <w:tcPr>
            <w:tcW w:w="9450" w:type="dxa"/>
            <w:shd w:val="clear" w:color="auto" w:fill="DDD9C3" w:themeFill="background2" w:themeFillShade="E6"/>
            <w:vAlign w:val="center"/>
          </w:tcPr>
          <w:p w14:paraId="689D311B" w14:textId="77777777" w:rsidR="00F26380" w:rsidRPr="00ED37CF" w:rsidRDefault="00F26380" w:rsidP="00F26380">
            <w:pPr>
              <w:spacing w:after="0" w:line="240" w:lineRule="auto"/>
              <w:contextualSpacing/>
              <w:jc w:val="center"/>
              <w:rPr>
                <w:b/>
                <w:bCs/>
              </w:rPr>
            </w:pPr>
            <w:r w:rsidRPr="00ED37CF">
              <w:rPr>
                <w:b/>
                <w:bCs/>
              </w:rPr>
              <w:t>Summary of Key Findings of Final Evaluation</w:t>
            </w:r>
          </w:p>
        </w:tc>
      </w:tr>
      <w:tr w:rsidR="001C4919" w:rsidRPr="00ED37CF" w14:paraId="1F2B4CDE" w14:textId="77777777" w:rsidTr="00931E28">
        <w:trPr>
          <w:trHeight w:val="1652"/>
        </w:trPr>
        <w:tc>
          <w:tcPr>
            <w:tcW w:w="9450" w:type="dxa"/>
            <w:shd w:val="clear" w:color="auto" w:fill="auto"/>
          </w:tcPr>
          <w:p w14:paraId="36CA6355" w14:textId="77777777" w:rsidR="001C4919" w:rsidRPr="00ED37CF" w:rsidRDefault="001C4919" w:rsidP="00F26380">
            <w:r w:rsidRPr="00ED37CF">
              <w:t>The programme has used several good practices which could be replicated across other DDR-related programmes:</w:t>
            </w:r>
          </w:p>
          <w:p w14:paraId="0D518B53" w14:textId="77777777" w:rsidR="001C4919" w:rsidRPr="00ED37CF" w:rsidRDefault="001C4919" w:rsidP="007D3884">
            <w:pPr>
              <w:pStyle w:val="ListParagraph"/>
              <w:numPr>
                <w:ilvl w:val="0"/>
                <w:numId w:val="27"/>
              </w:numPr>
            </w:pPr>
            <w:r w:rsidRPr="00ED37CF">
              <w:t>Linking of the vocational skills training to the national certification system</w:t>
            </w:r>
          </w:p>
          <w:p w14:paraId="0C5AA1A8" w14:textId="77777777" w:rsidR="001C4919" w:rsidRPr="00ED37CF" w:rsidRDefault="001C4919" w:rsidP="007D3884">
            <w:pPr>
              <w:pStyle w:val="ListParagraph"/>
              <w:numPr>
                <w:ilvl w:val="0"/>
                <w:numId w:val="27"/>
              </w:numPr>
            </w:pPr>
            <w:r w:rsidRPr="00ED37CF">
              <w:t>Extensive gender support</w:t>
            </w:r>
          </w:p>
          <w:p w14:paraId="0BF86DD8" w14:textId="77777777" w:rsidR="001C4919" w:rsidRPr="00ED37CF" w:rsidRDefault="001C4919" w:rsidP="007D3884">
            <w:pPr>
              <w:pStyle w:val="ListParagraph"/>
              <w:numPr>
                <w:ilvl w:val="0"/>
                <w:numId w:val="27"/>
              </w:numPr>
            </w:pPr>
            <w:r w:rsidRPr="00ED37CF">
              <w:t>Health service training, which catered to rural Nepal’s needs</w:t>
            </w:r>
          </w:p>
          <w:p w14:paraId="549AB9B4" w14:textId="77777777" w:rsidR="001C4919" w:rsidRPr="00ED37CF" w:rsidRDefault="001C4919" w:rsidP="007D3884">
            <w:pPr>
              <w:pStyle w:val="ListParagraph"/>
              <w:numPr>
                <w:ilvl w:val="0"/>
                <w:numId w:val="27"/>
              </w:numPr>
            </w:pPr>
            <w:r w:rsidRPr="00ED37CF">
              <w:t>Effective psychosocial support provided to the participants</w:t>
            </w:r>
          </w:p>
          <w:p w14:paraId="4ED31E1C" w14:textId="77777777" w:rsidR="001C4919" w:rsidRPr="00ED37CF" w:rsidRDefault="001C4919" w:rsidP="007D3884">
            <w:pPr>
              <w:pStyle w:val="ListParagraph"/>
              <w:numPr>
                <w:ilvl w:val="0"/>
                <w:numId w:val="27"/>
              </w:numPr>
            </w:pPr>
            <w:r w:rsidRPr="00ED37CF">
              <w:t>Building on the existing (CAAFAG) network</w:t>
            </w:r>
          </w:p>
          <w:p w14:paraId="1436EB58" w14:textId="77777777" w:rsidR="001C4919" w:rsidRPr="00ED37CF" w:rsidRDefault="001C4919" w:rsidP="007D3884">
            <w:pPr>
              <w:pStyle w:val="ListParagraph"/>
              <w:numPr>
                <w:ilvl w:val="0"/>
                <w:numId w:val="27"/>
              </w:numPr>
            </w:pPr>
            <w:r w:rsidRPr="00ED37CF">
              <w:t>Interagency collaboration and joint implementation</w:t>
            </w:r>
          </w:p>
          <w:p w14:paraId="19EF5A46" w14:textId="77777777" w:rsidR="001C4919" w:rsidRPr="00ED37CF" w:rsidRDefault="001C4919" w:rsidP="00F26380">
            <w:r w:rsidRPr="00ED37CF">
              <w:t xml:space="preserve">The UN approach to ‘deliver as one’ through joint planning and programming has been successful in the UNIRP and could be a good model for other countries, with further improvements at local </w:t>
            </w:r>
            <w:r w:rsidRPr="00ED37CF">
              <w:lastRenderedPageBreak/>
              <w:t>implementation levels.</w:t>
            </w:r>
          </w:p>
          <w:p w14:paraId="0E66F7F7" w14:textId="77777777" w:rsidR="001C4919" w:rsidRPr="00ED37CF" w:rsidRDefault="001C4919" w:rsidP="00F26380">
            <w:r w:rsidRPr="00ED37CF">
              <w:t>The programme also had a number of weaknesses, as outlined in this report.</w:t>
            </w:r>
            <w:r w:rsidR="005E1EE9" w:rsidRPr="00ED37CF">
              <w:t xml:space="preserve"> </w:t>
            </w:r>
            <w:r w:rsidRPr="00ED37CF">
              <w:t>Among them the following are highlighted:</w:t>
            </w:r>
          </w:p>
          <w:p w14:paraId="1F436B9D" w14:textId="77777777" w:rsidR="001C4919" w:rsidRPr="00ED37CF" w:rsidRDefault="001C4919" w:rsidP="00F26380">
            <w:r w:rsidRPr="00ED37CF">
              <w:rPr>
                <w:b/>
                <w:bCs/>
              </w:rPr>
              <w:t>The programme design lacked a focus on sustainability</w:t>
            </w:r>
            <w:r w:rsidRPr="00ED37CF">
              <w:t>.</w:t>
            </w:r>
            <w:r w:rsidR="005E1EE9" w:rsidRPr="00ED37CF">
              <w:t xml:space="preserve"> </w:t>
            </w:r>
            <w:r w:rsidRPr="00ED37CF">
              <w:t>Since rehabilitation is not a short-term support activity, the programme should have been planned for a longer duration with a gradual handover to the government so that long-term support, beyond the lifespan of the programme, could have been ensured.</w:t>
            </w:r>
            <w:r w:rsidR="005E1EE9" w:rsidRPr="00ED37CF">
              <w:t xml:space="preserve"> </w:t>
            </w:r>
          </w:p>
          <w:p w14:paraId="7884384E" w14:textId="77777777" w:rsidR="001C4919" w:rsidRPr="00ED37CF" w:rsidRDefault="001C4919" w:rsidP="00F26380">
            <w:r w:rsidRPr="00ED37CF">
              <w:rPr>
                <w:b/>
                <w:bCs/>
              </w:rPr>
              <w:t>Rehabilitation and reintegration cannot be achieved through the delivery of a package.</w:t>
            </w:r>
            <w:r w:rsidR="005E1EE9" w:rsidRPr="00ED37CF">
              <w:t xml:space="preserve"> </w:t>
            </w:r>
            <w:r w:rsidRPr="00ED37CF">
              <w:t>The concept of “packages” and “entitlements” is misleading and reintegration and rehabilitation programmes should rather use the language of “assistance”.</w:t>
            </w:r>
            <w:r w:rsidR="005E1EE9" w:rsidRPr="00ED37CF">
              <w:t xml:space="preserve"> </w:t>
            </w:r>
            <w:r w:rsidRPr="00ED37CF">
              <w:t>This is not only a matter of semantics but would have implied a change in the approach, for example, in the way implementing partners (IPs) were contracted: not as vendors to deliver a package but as agents to create change through tailor-made assistance.</w:t>
            </w:r>
          </w:p>
          <w:p w14:paraId="0370F31D" w14:textId="77777777" w:rsidR="001C4919" w:rsidRPr="00ED37CF" w:rsidRDefault="001C4919" w:rsidP="00F26380">
            <w:r w:rsidRPr="00ED37CF">
              <w:rPr>
                <w:b/>
                <w:bCs/>
              </w:rPr>
              <w:t>Economic reintegration could have been more successful.</w:t>
            </w:r>
            <w:r w:rsidR="005E1EE9" w:rsidRPr="00ED37CF">
              <w:t xml:space="preserve"> </w:t>
            </w:r>
            <w:r w:rsidRPr="00ED37CF">
              <w:t>If professional follow-up services would have been mobilized in terms of job placement and Business Development Services (BDS), the economic reintegration component of UNIRP would have been stronger and more sustainable.</w:t>
            </w:r>
          </w:p>
        </w:tc>
      </w:tr>
    </w:tbl>
    <w:p w14:paraId="5B30B65D" w14:textId="1F2CFDF2" w:rsidR="001C4919" w:rsidRPr="00ED37CF" w:rsidRDefault="001C4919" w:rsidP="00C47AD3">
      <w:pPr>
        <w:spacing w:before="240"/>
      </w:pPr>
      <w:r w:rsidRPr="00ED37CF">
        <w:lastRenderedPageBreak/>
        <w:t xml:space="preserve">Between 2010 and 2013, UNIRP was </w:t>
      </w:r>
      <w:r w:rsidR="00914EBA">
        <w:t>addressed in</w:t>
      </w:r>
      <w:r w:rsidR="006F591A" w:rsidRPr="00ED37CF">
        <w:t xml:space="preserve"> the following field study/survey/</w:t>
      </w:r>
      <w:r w:rsidRPr="00ED37CF">
        <w:t>reports.</w:t>
      </w:r>
    </w:p>
    <w:p w14:paraId="76D10631" w14:textId="77777777" w:rsidR="001C4919" w:rsidRPr="00ED37CF" w:rsidRDefault="00EA0DA2" w:rsidP="00C47AD3">
      <w:pPr>
        <w:rPr>
          <w:b/>
          <w:bCs/>
        </w:rPr>
      </w:pPr>
      <w:r w:rsidRPr="00ED37CF">
        <w:rPr>
          <w:b/>
          <w:bCs/>
        </w:rPr>
        <w:t>Figure 6</w:t>
      </w:r>
      <w:r w:rsidR="001C4919" w:rsidRPr="00ED37CF">
        <w:rPr>
          <w:b/>
          <w:bCs/>
        </w:rPr>
        <w:t>: Studies / Surveys / Reports on UNIRP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4166"/>
        <w:gridCol w:w="2227"/>
      </w:tblGrid>
      <w:tr w:rsidR="001C4919" w:rsidRPr="00ED37CF" w14:paraId="5EF6DAA7" w14:textId="77777777" w:rsidTr="00C47AD3">
        <w:trPr>
          <w:trHeight w:val="400"/>
        </w:trPr>
        <w:tc>
          <w:tcPr>
            <w:tcW w:w="0" w:type="auto"/>
            <w:shd w:val="clear" w:color="auto" w:fill="DDD9C3" w:themeFill="background2" w:themeFillShade="E6"/>
            <w:vAlign w:val="center"/>
          </w:tcPr>
          <w:p w14:paraId="4BE78208" w14:textId="77777777" w:rsidR="001C4919" w:rsidRPr="00ED37CF" w:rsidRDefault="001C4919" w:rsidP="00C47AD3">
            <w:pPr>
              <w:jc w:val="center"/>
              <w:rPr>
                <w:b/>
                <w:bCs/>
              </w:rPr>
            </w:pPr>
            <w:r w:rsidRPr="00ED37CF">
              <w:rPr>
                <w:b/>
                <w:bCs/>
              </w:rPr>
              <w:t>Name of Study / Survey / Report</w:t>
            </w:r>
          </w:p>
        </w:tc>
        <w:tc>
          <w:tcPr>
            <w:tcW w:w="4166" w:type="dxa"/>
            <w:shd w:val="clear" w:color="auto" w:fill="DDD9C3" w:themeFill="background2" w:themeFillShade="E6"/>
            <w:vAlign w:val="center"/>
          </w:tcPr>
          <w:p w14:paraId="0B744D0B" w14:textId="77777777" w:rsidR="001C4919" w:rsidRPr="00ED37CF" w:rsidRDefault="001C4919" w:rsidP="00C47AD3">
            <w:pPr>
              <w:jc w:val="center"/>
              <w:rPr>
                <w:b/>
                <w:bCs/>
              </w:rPr>
            </w:pPr>
            <w:r w:rsidRPr="00ED37CF">
              <w:rPr>
                <w:b/>
                <w:bCs/>
              </w:rPr>
              <w:t>Objective</w:t>
            </w:r>
          </w:p>
        </w:tc>
        <w:tc>
          <w:tcPr>
            <w:tcW w:w="2227" w:type="dxa"/>
            <w:shd w:val="clear" w:color="auto" w:fill="DDD9C3" w:themeFill="background2" w:themeFillShade="E6"/>
            <w:vAlign w:val="center"/>
          </w:tcPr>
          <w:p w14:paraId="07BC5433" w14:textId="77777777" w:rsidR="001C4919" w:rsidRPr="00ED37CF" w:rsidRDefault="001C4919" w:rsidP="00C47AD3">
            <w:pPr>
              <w:jc w:val="center"/>
              <w:rPr>
                <w:b/>
                <w:bCs/>
              </w:rPr>
            </w:pPr>
            <w:r w:rsidRPr="00ED37CF">
              <w:rPr>
                <w:b/>
                <w:bCs/>
              </w:rPr>
              <w:t>Remarks</w:t>
            </w:r>
          </w:p>
        </w:tc>
      </w:tr>
      <w:tr w:rsidR="001C4919" w:rsidRPr="00ED37CF" w14:paraId="1BB32DE0" w14:textId="77777777" w:rsidTr="00253422">
        <w:tc>
          <w:tcPr>
            <w:tcW w:w="0" w:type="auto"/>
            <w:shd w:val="clear" w:color="auto" w:fill="auto"/>
          </w:tcPr>
          <w:p w14:paraId="3F2F265D" w14:textId="77777777" w:rsidR="001C4919" w:rsidRPr="00ED37CF" w:rsidRDefault="001C4919" w:rsidP="00C47AD3">
            <w:r w:rsidRPr="00ED37CF">
              <w:t xml:space="preserve">Recommendations to Promote Psychosocial Well-Being of Children Associated with Armed Forces and Armed Groups (CAAFAG) in Nepal, May 14, 2007 </w:t>
            </w:r>
          </w:p>
        </w:tc>
        <w:tc>
          <w:tcPr>
            <w:tcW w:w="4166" w:type="dxa"/>
            <w:shd w:val="clear" w:color="auto" w:fill="auto"/>
          </w:tcPr>
          <w:p w14:paraId="0EDF94A1" w14:textId="77777777" w:rsidR="001C4919" w:rsidRPr="00ED37CF" w:rsidRDefault="001C4919" w:rsidP="00B735B3">
            <w:r w:rsidRPr="00ED37CF">
              <w:t>A research and recommendations report prepared by Transcultural Psychosocial Organization (TPO) – Nepal for UNICEF &amp; the CAAFAG Working Group</w:t>
            </w:r>
          </w:p>
        </w:tc>
        <w:tc>
          <w:tcPr>
            <w:tcW w:w="2227" w:type="dxa"/>
            <w:shd w:val="clear" w:color="auto" w:fill="auto"/>
          </w:tcPr>
          <w:p w14:paraId="3255ABF9" w14:textId="77777777" w:rsidR="001C4919" w:rsidRPr="00ED37CF" w:rsidRDefault="001C4919" w:rsidP="00C47AD3">
            <w:r w:rsidRPr="00ED37CF">
              <w:t>Report presented to UNIRP</w:t>
            </w:r>
          </w:p>
        </w:tc>
      </w:tr>
      <w:tr w:rsidR="001C4919" w:rsidRPr="00ED37CF" w14:paraId="55BCD0D7" w14:textId="77777777" w:rsidTr="00253422">
        <w:tc>
          <w:tcPr>
            <w:tcW w:w="0" w:type="auto"/>
            <w:shd w:val="clear" w:color="auto" w:fill="auto"/>
          </w:tcPr>
          <w:p w14:paraId="43F3A99D" w14:textId="77777777" w:rsidR="001C4919" w:rsidRPr="00ED37CF" w:rsidRDefault="001C4919" w:rsidP="00C47AD3">
            <w:r w:rsidRPr="00ED37CF">
              <w:t>Disarmament Demobilization and Reintegration (DDR) and Security Sector Reform (SSR) in Nepal:</w:t>
            </w:r>
            <w:r w:rsidR="005E1EE9" w:rsidRPr="00ED37CF">
              <w:t xml:space="preserve"> </w:t>
            </w:r>
            <w:r w:rsidRPr="00ED37CF">
              <w:t>A Preliminary Sociological Observation, March 7, 2010</w:t>
            </w:r>
          </w:p>
        </w:tc>
        <w:tc>
          <w:tcPr>
            <w:tcW w:w="4166" w:type="dxa"/>
            <w:shd w:val="clear" w:color="auto" w:fill="auto"/>
          </w:tcPr>
          <w:p w14:paraId="75BED18F" w14:textId="77777777" w:rsidR="001C4919" w:rsidRPr="00ED37CF" w:rsidRDefault="001C4919" w:rsidP="00C47AD3">
            <w:r w:rsidRPr="00ED37CF">
              <w:t xml:space="preserve">A paper, written by Bishnu Pathak and Devendra Uprety of the Say Peace First Conflict Study Centre on DDR and SSR in Nepal. </w:t>
            </w:r>
          </w:p>
        </w:tc>
        <w:tc>
          <w:tcPr>
            <w:tcW w:w="2227" w:type="dxa"/>
            <w:shd w:val="clear" w:color="auto" w:fill="auto"/>
          </w:tcPr>
          <w:p w14:paraId="347A5FE0" w14:textId="77777777" w:rsidR="001C4919" w:rsidRPr="00ED37CF" w:rsidRDefault="001C4919" w:rsidP="00C47AD3">
            <w:r w:rsidRPr="00ED37CF">
              <w:t>Paper shared with UNIRP</w:t>
            </w:r>
          </w:p>
        </w:tc>
      </w:tr>
      <w:tr w:rsidR="001C4919" w:rsidRPr="00ED37CF" w14:paraId="078121F5" w14:textId="77777777" w:rsidTr="00253422">
        <w:trPr>
          <w:trHeight w:val="1223"/>
        </w:trPr>
        <w:tc>
          <w:tcPr>
            <w:tcW w:w="0" w:type="auto"/>
            <w:shd w:val="clear" w:color="auto" w:fill="auto"/>
          </w:tcPr>
          <w:p w14:paraId="47A4B859" w14:textId="77777777" w:rsidR="001C4919" w:rsidRPr="00ED37CF" w:rsidRDefault="001C4919" w:rsidP="00C47AD3">
            <w:r w:rsidRPr="00ED37CF">
              <w:t>Carter Centre Observations on Discharged PLA Combatants, July 23, 2010</w:t>
            </w:r>
          </w:p>
        </w:tc>
        <w:tc>
          <w:tcPr>
            <w:tcW w:w="4166" w:type="dxa"/>
            <w:shd w:val="clear" w:color="auto" w:fill="auto"/>
          </w:tcPr>
          <w:p w14:paraId="15410BEC" w14:textId="77777777" w:rsidR="001C4919" w:rsidRPr="00ED37CF" w:rsidRDefault="001C4919" w:rsidP="00C47AD3">
            <w:r w:rsidRPr="00ED37CF">
              <w:t>A report, prepared by the Carter Centre, on on-going issues related to the discharged PLA combatants with lessons learned and areas for future consideration during the larger rehabilitation process.</w:t>
            </w:r>
          </w:p>
        </w:tc>
        <w:tc>
          <w:tcPr>
            <w:tcW w:w="2227" w:type="dxa"/>
            <w:shd w:val="clear" w:color="auto" w:fill="auto"/>
          </w:tcPr>
          <w:p w14:paraId="7B730B30" w14:textId="77777777" w:rsidR="001C4919" w:rsidRPr="00ED37CF" w:rsidRDefault="001C4919" w:rsidP="00C47AD3">
            <w:r w:rsidRPr="00ED37CF">
              <w:t>Report shared with UNIRP</w:t>
            </w:r>
          </w:p>
        </w:tc>
      </w:tr>
      <w:tr w:rsidR="001C4919" w:rsidRPr="00ED37CF" w14:paraId="72067A41" w14:textId="77777777" w:rsidTr="00253422">
        <w:tc>
          <w:tcPr>
            <w:tcW w:w="0" w:type="auto"/>
            <w:shd w:val="clear" w:color="auto" w:fill="auto"/>
          </w:tcPr>
          <w:p w14:paraId="00006EAD" w14:textId="77777777" w:rsidR="001C4919" w:rsidRPr="00ED37CF" w:rsidRDefault="001C4919" w:rsidP="00C47AD3">
            <w:r w:rsidRPr="00ED37CF">
              <w:t>Rehabilitation of Discharged Combatants of the Maoist Army:</w:t>
            </w:r>
            <w:r w:rsidR="005E1EE9" w:rsidRPr="00ED37CF">
              <w:t xml:space="preserve"> </w:t>
            </w:r>
            <w:r w:rsidRPr="00ED37CF">
              <w:t xml:space="preserve">Lessons Learned and </w:t>
            </w:r>
            <w:r w:rsidRPr="00ED37CF">
              <w:lastRenderedPageBreak/>
              <w:t>Recommendations for Improving the Rehabilitation Process, September 2010</w:t>
            </w:r>
          </w:p>
        </w:tc>
        <w:tc>
          <w:tcPr>
            <w:tcW w:w="4166" w:type="dxa"/>
            <w:shd w:val="clear" w:color="auto" w:fill="auto"/>
          </w:tcPr>
          <w:p w14:paraId="2BA29EF1" w14:textId="77777777" w:rsidR="001C4919" w:rsidRPr="00ED37CF" w:rsidRDefault="001C4919" w:rsidP="00C47AD3">
            <w:r w:rsidRPr="00ED37CF">
              <w:lastRenderedPageBreak/>
              <w:t xml:space="preserve">A briefing paper, prepared by Saferworld, on recommendations for strengthening the rehabilitation process for discharged </w:t>
            </w:r>
            <w:r w:rsidRPr="00ED37CF">
              <w:lastRenderedPageBreak/>
              <w:t>Maoist Army combatants in Nepal.</w:t>
            </w:r>
          </w:p>
        </w:tc>
        <w:tc>
          <w:tcPr>
            <w:tcW w:w="2227" w:type="dxa"/>
            <w:shd w:val="clear" w:color="auto" w:fill="auto"/>
          </w:tcPr>
          <w:p w14:paraId="18B850F5" w14:textId="77777777" w:rsidR="001C4919" w:rsidRPr="00ED37CF" w:rsidRDefault="001C4919" w:rsidP="00C47AD3">
            <w:r w:rsidRPr="00ED37CF">
              <w:lastRenderedPageBreak/>
              <w:t>Report presented to UNIRP</w:t>
            </w:r>
          </w:p>
        </w:tc>
      </w:tr>
      <w:tr w:rsidR="001C4919" w:rsidRPr="00ED37CF" w14:paraId="422C8DC5" w14:textId="77777777" w:rsidTr="00253422">
        <w:tc>
          <w:tcPr>
            <w:tcW w:w="0" w:type="auto"/>
            <w:shd w:val="clear" w:color="auto" w:fill="auto"/>
          </w:tcPr>
          <w:p w14:paraId="7D8CF2BD" w14:textId="77777777" w:rsidR="001C4919" w:rsidRPr="00ED37CF" w:rsidRDefault="001C4919" w:rsidP="00C47AD3">
            <w:r w:rsidRPr="00ED37CF">
              <w:lastRenderedPageBreak/>
              <w:t>A Longitudinal Psycho-social Assessment among Verified Minors and Late Recruits during the Reintegration Process, October 2012</w:t>
            </w:r>
          </w:p>
        </w:tc>
        <w:tc>
          <w:tcPr>
            <w:tcW w:w="4166" w:type="dxa"/>
            <w:shd w:val="clear" w:color="auto" w:fill="auto"/>
          </w:tcPr>
          <w:p w14:paraId="234948DA" w14:textId="77777777" w:rsidR="001C4919" w:rsidRPr="00ED37CF" w:rsidRDefault="001C4919" w:rsidP="00C47AD3">
            <w:r w:rsidRPr="00ED37CF">
              <w:t xml:space="preserve">An assessment conducted by Transcultural Psychosocial Organization (TPO) on behalf of UNICEF to obtain views on the protective and risk factors associated with psychosocial well-being and to monitor the psychosocial well-being of VMLR over time. </w:t>
            </w:r>
          </w:p>
        </w:tc>
        <w:tc>
          <w:tcPr>
            <w:tcW w:w="2227" w:type="dxa"/>
            <w:shd w:val="clear" w:color="auto" w:fill="auto"/>
          </w:tcPr>
          <w:p w14:paraId="4D7CA757" w14:textId="77777777" w:rsidR="001C4919" w:rsidRPr="00ED37CF" w:rsidRDefault="001C4919" w:rsidP="00C47AD3">
            <w:r w:rsidRPr="00ED37CF">
              <w:t>Report presented to UNIRP</w:t>
            </w:r>
          </w:p>
        </w:tc>
      </w:tr>
      <w:tr w:rsidR="001C4919" w:rsidRPr="00ED37CF" w14:paraId="111B3264" w14:textId="77777777" w:rsidTr="00253422">
        <w:tc>
          <w:tcPr>
            <w:tcW w:w="0" w:type="auto"/>
            <w:shd w:val="clear" w:color="auto" w:fill="auto"/>
          </w:tcPr>
          <w:p w14:paraId="42479E40" w14:textId="77777777" w:rsidR="001C4919" w:rsidRPr="00ED37CF" w:rsidRDefault="001C4919" w:rsidP="00C47AD3">
            <w:r w:rsidRPr="00ED37CF">
              <w:t>Evaluation of UNDP Reintegration Programs – Nepal Country Report, November 2012</w:t>
            </w:r>
          </w:p>
        </w:tc>
        <w:tc>
          <w:tcPr>
            <w:tcW w:w="4166" w:type="dxa"/>
            <w:shd w:val="clear" w:color="auto" w:fill="auto"/>
          </w:tcPr>
          <w:p w14:paraId="508ED55D" w14:textId="77777777" w:rsidR="001C4919" w:rsidRPr="00ED37CF" w:rsidRDefault="001C4919" w:rsidP="00C47AD3">
            <w:r w:rsidRPr="00ED37CF">
              <w:t>An evaluation prepared by Yvan Conoir and Paul Bonard to review overall lessons learned, challenges and best practices from the reintegration phases of disarmament, demobilisation and reintegration efforts.</w:t>
            </w:r>
          </w:p>
        </w:tc>
        <w:tc>
          <w:tcPr>
            <w:tcW w:w="2227" w:type="dxa"/>
            <w:shd w:val="clear" w:color="auto" w:fill="auto"/>
          </w:tcPr>
          <w:p w14:paraId="129C4201" w14:textId="77777777" w:rsidR="001C4919" w:rsidRPr="00ED37CF" w:rsidRDefault="001C4919" w:rsidP="00C47AD3">
            <w:r w:rsidRPr="00ED37CF">
              <w:t>Report presented to UNDP</w:t>
            </w:r>
          </w:p>
          <w:p w14:paraId="0F9CE573" w14:textId="77777777" w:rsidR="001C4919" w:rsidRPr="00ED37CF" w:rsidRDefault="001C4919" w:rsidP="00C47AD3"/>
        </w:tc>
      </w:tr>
      <w:tr w:rsidR="001C4919" w:rsidRPr="00ED37CF" w14:paraId="061F6211" w14:textId="77777777" w:rsidTr="00253422">
        <w:tc>
          <w:tcPr>
            <w:tcW w:w="0" w:type="auto"/>
            <w:shd w:val="clear" w:color="auto" w:fill="auto"/>
          </w:tcPr>
          <w:p w14:paraId="5B68CFFD" w14:textId="77777777" w:rsidR="001C4919" w:rsidRPr="00ED37CF" w:rsidRDefault="001C4919" w:rsidP="00C47AD3">
            <w:r w:rsidRPr="00ED37CF">
              <w:t>Independent Evaluation of the UN Interagency Rehabilitation Programme (UNIRP) in Nepal, Final Report, March 21, 2013</w:t>
            </w:r>
          </w:p>
        </w:tc>
        <w:tc>
          <w:tcPr>
            <w:tcW w:w="4166" w:type="dxa"/>
            <w:shd w:val="clear" w:color="auto" w:fill="auto"/>
          </w:tcPr>
          <w:p w14:paraId="5EFFF673" w14:textId="77777777" w:rsidR="001C4919" w:rsidRPr="00ED37CF" w:rsidRDefault="001C4919" w:rsidP="00C47AD3">
            <w:r w:rsidRPr="00ED37CF">
              <w:t>An independent evaluation commissioned by the UNDP and prepared by Transition International to review the results of the UNIRP vis-à-vis the programme objectives, and assess its relevance, effectiveness, efficiency and sustainability.</w:t>
            </w:r>
          </w:p>
        </w:tc>
        <w:tc>
          <w:tcPr>
            <w:tcW w:w="2227" w:type="dxa"/>
            <w:shd w:val="clear" w:color="auto" w:fill="auto"/>
          </w:tcPr>
          <w:p w14:paraId="1C9E75F1" w14:textId="77777777" w:rsidR="001C4919" w:rsidRPr="00ED37CF" w:rsidRDefault="001C4919" w:rsidP="00C47AD3">
            <w:r w:rsidRPr="00ED37CF">
              <w:t>Report presented to UNIRP</w:t>
            </w:r>
          </w:p>
        </w:tc>
      </w:tr>
      <w:tr w:rsidR="001C4919" w:rsidRPr="00ED37CF" w14:paraId="30BE0040" w14:textId="77777777" w:rsidTr="00253422">
        <w:tc>
          <w:tcPr>
            <w:tcW w:w="0" w:type="auto"/>
            <w:shd w:val="clear" w:color="auto" w:fill="auto"/>
          </w:tcPr>
          <w:p w14:paraId="7D01CC89" w14:textId="77777777" w:rsidR="001C4919" w:rsidRPr="00ED37CF" w:rsidRDefault="001C4919" w:rsidP="00C47AD3">
            <w:r w:rsidRPr="00ED37CF">
              <w:t>UNIRP Post-Rehabilitation and Participant Satisfaction Survey, Final Report, September 2013</w:t>
            </w:r>
          </w:p>
        </w:tc>
        <w:tc>
          <w:tcPr>
            <w:tcW w:w="4166" w:type="dxa"/>
            <w:shd w:val="clear" w:color="auto" w:fill="auto"/>
          </w:tcPr>
          <w:p w14:paraId="4910A3F9" w14:textId="77777777" w:rsidR="001C4919" w:rsidRPr="00ED37CF" w:rsidRDefault="001C4919" w:rsidP="00C47AD3">
            <w:r w:rsidRPr="00ED37CF">
              <w:t>A post-rehabilitation and participation satisfaction survey prepared by UNIRP to learn about the impact of the UNIRP intervention and to assess the transformation that took place in the lives of the VMLR.</w:t>
            </w:r>
          </w:p>
        </w:tc>
        <w:tc>
          <w:tcPr>
            <w:tcW w:w="2227" w:type="dxa"/>
            <w:shd w:val="clear" w:color="auto" w:fill="auto"/>
          </w:tcPr>
          <w:p w14:paraId="1E6F5935" w14:textId="77777777" w:rsidR="001C4919" w:rsidRPr="00ED37CF" w:rsidRDefault="001C4919" w:rsidP="00C47AD3">
            <w:r w:rsidRPr="00ED37CF">
              <w:t xml:space="preserve">Report shared with UN stakeholders </w:t>
            </w:r>
          </w:p>
        </w:tc>
      </w:tr>
      <w:tr w:rsidR="001C4919" w:rsidRPr="00ED37CF" w14:paraId="38709E78" w14:textId="77777777" w:rsidTr="00253422">
        <w:tc>
          <w:tcPr>
            <w:tcW w:w="0" w:type="auto"/>
            <w:shd w:val="clear" w:color="auto" w:fill="auto"/>
          </w:tcPr>
          <w:p w14:paraId="041C615C" w14:textId="77777777" w:rsidR="001C4919" w:rsidRPr="00ED37CF" w:rsidRDefault="001C4919" w:rsidP="00C47AD3">
            <w:r w:rsidRPr="00ED37CF">
              <w:t>‘Towards One UN’ in Nepal: An Integrated Approach to Reintegration of Ex-Combatants, September 2013</w:t>
            </w:r>
          </w:p>
        </w:tc>
        <w:tc>
          <w:tcPr>
            <w:tcW w:w="4166" w:type="dxa"/>
            <w:shd w:val="clear" w:color="auto" w:fill="auto"/>
          </w:tcPr>
          <w:p w14:paraId="4FCFAC2F" w14:textId="77777777" w:rsidR="001C4919" w:rsidRPr="00ED37CF" w:rsidRDefault="001C4919" w:rsidP="00C47AD3">
            <w:r w:rsidRPr="00ED37CF">
              <w:t>A knowledge document prepared by UNIRP that includes policy analysis, best practices, lessons learned, data analysis, technical knowledge and project information on the integrated UN approach.</w:t>
            </w:r>
          </w:p>
        </w:tc>
        <w:tc>
          <w:tcPr>
            <w:tcW w:w="2227" w:type="dxa"/>
            <w:shd w:val="clear" w:color="auto" w:fill="auto"/>
          </w:tcPr>
          <w:p w14:paraId="6D0D75E4" w14:textId="77777777" w:rsidR="001C4919" w:rsidRPr="00ED37CF" w:rsidRDefault="001C4919" w:rsidP="00C47AD3">
            <w:r w:rsidRPr="00ED37CF">
              <w:t>Report shared with stakeholders and practitioners around the globe</w:t>
            </w:r>
          </w:p>
        </w:tc>
      </w:tr>
      <w:tr w:rsidR="001C4919" w:rsidRPr="00ED37CF" w14:paraId="256853D9" w14:textId="77777777" w:rsidTr="00253422">
        <w:tc>
          <w:tcPr>
            <w:tcW w:w="0" w:type="auto"/>
            <w:shd w:val="clear" w:color="auto" w:fill="auto"/>
          </w:tcPr>
          <w:p w14:paraId="537C3823" w14:textId="77777777" w:rsidR="001C4919" w:rsidRPr="00ED37CF" w:rsidRDefault="001C4919" w:rsidP="00C47AD3">
            <w:r w:rsidRPr="00ED37CF">
              <w:t>Mainstreaming Conflict Sensitivity in the Rehabilitation Programme, September 2013</w:t>
            </w:r>
          </w:p>
        </w:tc>
        <w:tc>
          <w:tcPr>
            <w:tcW w:w="4166" w:type="dxa"/>
            <w:shd w:val="clear" w:color="auto" w:fill="auto"/>
          </w:tcPr>
          <w:p w14:paraId="5F8268AF" w14:textId="77777777" w:rsidR="001C4919" w:rsidRPr="00ED37CF" w:rsidRDefault="001C4919" w:rsidP="00C47AD3">
            <w:r w:rsidRPr="00ED37CF">
              <w:t>A knowledge document prepared by UNIRP that includes policy analysis, best practices, lessons learned, data analysis, technical knowledge and project information on mainstreaming conflict sensitivity in the rehabilitation programme.</w:t>
            </w:r>
          </w:p>
        </w:tc>
        <w:tc>
          <w:tcPr>
            <w:tcW w:w="2227" w:type="dxa"/>
            <w:shd w:val="clear" w:color="auto" w:fill="auto"/>
          </w:tcPr>
          <w:p w14:paraId="28F6F6D7" w14:textId="77777777" w:rsidR="001C4919" w:rsidRPr="00ED37CF" w:rsidRDefault="001C4919" w:rsidP="00C47AD3">
            <w:r w:rsidRPr="00ED37CF">
              <w:t>Report shared with stakeholders and practitioners around the globe</w:t>
            </w:r>
          </w:p>
        </w:tc>
      </w:tr>
      <w:tr w:rsidR="001C4919" w:rsidRPr="00ED37CF" w14:paraId="214695E6" w14:textId="77777777" w:rsidTr="00253422">
        <w:tc>
          <w:tcPr>
            <w:tcW w:w="0" w:type="auto"/>
            <w:shd w:val="clear" w:color="auto" w:fill="auto"/>
          </w:tcPr>
          <w:p w14:paraId="2E657916" w14:textId="77777777" w:rsidR="001C4919" w:rsidRPr="00ED37CF" w:rsidRDefault="001C4919" w:rsidP="00C47AD3">
            <w:r w:rsidRPr="00ED37CF">
              <w:t>UNIRP Notes on Psychosocial Issues, September 2013</w:t>
            </w:r>
          </w:p>
        </w:tc>
        <w:tc>
          <w:tcPr>
            <w:tcW w:w="4166" w:type="dxa"/>
            <w:shd w:val="clear" w:color="auto" w:fill="auto"/>
          </w:tcPr>
          <w:p w14:paraId="05E2FEE3" w14:textId="77777777" w:rsidR="001C4919" w:rsidRPr="00ED37CF" w:rsidRDefault="001C4919" w:rsidP="00C47AD3">
            <w:r w:rsidRPr="00ED37CF">
              <w:t xml:space="preserve">A knowledge document prepared by UNIRP that includes policy analysis, best practices, lessons learned, data analysis, technical knowledge and project </w:t>
            </w:r>
            <w:r w:rsidRPr="00ED37CF">
              <w:lastRenderedPageBreak/>
              <w:t>information on psychosocial issues related to UNIRP.</w:t>
            </w:r>
          </w:p>
        </w:tc>
        <w:tc>
          <w:tcPr>
            <w:tcW w:w="2227" w:type="dxa"/>
            <w:shd w:val="clear" w:color="auto" w:fill="auto"/>
          </w:tcPr>
          <w:p w14:paraId="7058FF49" w14:textId="77777777" w:rsidR="001C4919" w:rsidRPr="00ED37CF" w:rsidRDefault="001C4919" w:rsidP="00C47AD3">
            <w:r w:rsidRPr="00ED37CF">
              <w:lastRenderedPageBreak/>
              <w:t xml:space="preserve">Report shared with stakeholders and practitioners around </w:t>
            </w:r>
            <w:r w:rsidRPr="00ED37CF">
              <w:lastRenderedPageBreak/>
              <w:t>the globe</w:t>
            </w:r>
          </w:p>
        </w:tc>
      </w:tr>
      <w:tr w:rsidR="001C4919" w:rsidRPr="00ED37CF" w14:paraId="1C3ABD70" w14:textId="77777777" w:rsidTr="00253422">
        <w:tc>
          <w:tcPr>
            <w:tcW w:w="0" w:type="auto"/>
            <w:shd w:val="clear" w:color="auto" w:fill="auto"/>
          </w:tcPr>
          <w:p w14:paraId="2BF14E21" w14:textId="77777777" w:rsidR="001C4919" w:rsidRPr="00ED37CF" w:rsidRDefault="001C4919" w:rsidP="00C47AD3">
            <w:r w:rsidRPr="00ED37CF">
              <w:lastRenderedPageBreak/>
              <w:t>UNIRP Notes on Gender Issues, September 2013</w:t>
            </w:r>
          </w:p>
        </w:tc>
        <w:tc>
          <w:tcPr>
            <w:tcW w:w="4166" w:type="dxa"/>
            <w:shd w:val="clear" w:color="auto" w:fill="auto"/>
          </w:tcPr>
          <w:p w14:paraId="634F1CF5" w14:textId="77777777" w:rsidR="001C4919" w:rsidRPr="00ED37CF" w:rsidRDefault="001C4919" w:rsidP="00C47AD3">
            <w:r w:rsidRPr="00ED37CF">
              <w:t>A knowledge document prepared by UNIRP that includes policy analysis, best practices, lessons learned, data analysis, technical knowledge and project information on psychosocial issues related to UNIRP.</w:t>
            </w:r>
          </w:p>
        </w:tc>
        <w:tc>
          <w:tcPr>
            <w:tcW w:w="2227" w:type="dxa"/>
            <w:shd w:val="clear" w:color="auto" w:fill="auto"/>
          </w:tcPr>
          <w:p w14:paraId="6D16BC17" w14:textId="77777777" w:rsidR="001C4919" w:rsidRPr="00ED37CF" w:rsidRDefault="001C4919" w:rsidP="00C47AD3">
            <w:r w:rsidRPr="00ED37CF">
              <w:t>Report shared with stakeholders and practitioners around the globe</w:t>
            </w:r>
          </w:p>
        </w:tc>
      </w:tr>
    </w:tbl>
    <w:p w14:paraId="08597959" w14:textId="77777777" w:rsidR="00914EBA" w:rsidRDefault="00914EBA" w:rsidP="00914EBA">
      <w:pPr>
        <w:pStyle w:val="Heading2"/>
        <w:numPr>
          <w:ilvl w:val="0"/>
          <w:numId w:val="0"/>
        </w:numPr>
        <w:ind w:left="360"/>
      </w:pPr>
      <w:bookmarkStart w:id="92" w:name="_Toc389486849"/>
      <w:bookmarkStart w:id="93" w:name="_Toc393116675"/>
      <w:bookmarkStart w:id="94" w:name="_Toc393117841"/>
      <w:bookmarkStart w:id="95" w:name="_Toc393373739"/>
    </w:p>
    <w:p w14:paraId="6B90F19E" w14:textId="77777777" w:rsidR="00914EBA" w:rsidRDefault="00914EBA" w:rsidP="00914EBA">
      <w:pPr>
        <w:pStyle w:val="Heading2"/>
        <w:numPr>
          <w:ilvl w:val="0"/>
          <w:numId w:val="0"/>
        </w:numPr>
        <w:ind w:left="360"/>
      </w:pPr>
    </w:p>
    <w:p w14:paraId="329233A2" w14:textId="77777777" w:rsidR="00914EBA" w:rsidRDefault="00914EBA" w:rsidP="00914EBA">
      <w:pPr>
        <w:pStyle w:val="Heading2"/>
        <w:numPr>
          <w:ilvl w:val="0"/>
          <w:numId w:val="0"/>
        </w:numPr>
        <w:ind w:left="360"/>
      </w:pPr>
    </w:p>
    <w:p w14:paraId="2DD3A3CC" w14:textId="77777777" w:rsidR="00914EBA" w:rsidRDefault="00914EBA" w:rsidP="00914EBA">
      <w:pPr>
        <w:pStyle w:val="Heading2"/>
        <w:numPr>
          <w:ilvl w:val="0"/>
          <w:numId w:val="0"/>
        </w:numPr>
        <w:ind w:left="360"/>
      </w:pPr>
    </w:p>
    <w:p w14:paraId="14822790" w14:textId="77777777" w:rsidR="001C4919" w:rsidRPr="00ED37CF" w:rsidRDefault="001C4919" w:rsidP="00AC7BA9">
      <w:pPr>
        <w:pStyle w:val="Heading2"/>
      </w:pPr>
      <w:r w:rsidRPr="00ED37CF">
        <w:t>Narrative of Key Programme Results</w:t>
      </w:r>
      <w:bookmarkEnd w:id="92"/>
      <w:bookmarkEnd w:id="93"/>
      <w:bookmarkEnd w:id="94"/>
      <w:bookmarkEnd w:id="95"/>
    </w:p>
    <w:p w14:paraId="603489CA" w14:textId="6C4403FA" w:rsidR="001C4919" w:rsidRPr="00ED37CF" w:rsidRDefault="00C47AD3" w:rsidP="00C47AD3">
      <w:pPr>
        <w:pStyle w:val="Heading3"/>
        <w:rPr>
          <w:b w:val="0"/>
        </w:rPr>
      </w:pPr>
      <w:bookmarkStart w:id="96" w:name="_Toc389486851"/>
      <w:bookmarkStart w:id="97" w:name="_Toc393373740"/>
      <w:r w:rsidRPr="00ED37CF">
        <w:t>5.1</w:t>
      </w:r>
      <w:r w:rsidRPr="00ED37CF">
        <w:tab/>
      </w:r>
      <w:r w:rsidR="001C4919" w:rsidRPr="00ED37CF">
        <w:t xml:space="preserve">Report on Progress </w:t>
      </w:r>
      <w:r w:rsidR="00914EBA">
        <w:t>a</w:t>
      </w:r>
      <w:r w:rsidR="001C4919" w:rsidRPr="00ED37CF">
        <w:t>gainst AWP Targets</w:t>
      </w:r>
      <w:bookmarkEnd w:id="96"/>
      <w:bookmarkEnd w:id="97"/>
    </w:p>
    <w:p w14:paraId="5A96F95A" w14:textId="77777777" w:rsidR="001C4919" w:rsidRPr="00ED37CF" w:rsidRDefault="001C4919" w:rsidP="00C47AD3">
      <w:pPr>
        <w:pStyle w:val="Heading4"/>
        <w:rPr>
          <w:lang w:eastAsia="ja-JP"/>
        </w:rPr>
      </w:pPr>
      <w:r w:rsidRPr="00ED37CF">
        <w:rPr>
          <w:lang w:eastAsia="ja-JP"/>
        </w:rPr>
        <w:t>Outcome 1:</w:t>
      </w:r>
      <w:r w:rsidR="005E1EE9" w:rsidRPr="00ED37CF">
        <w:rPr>
          <w:lang w:eastAsia="ja-JP"/>
        </w:rPr>
        <w:t xml:space="preserve"> </w:t>
      </w:r>
      <w:r w:rsidRPr="00ED37CF">
        <w:rPr>
          <w:lang w:eastAsia="ja-JP"/>
        </w:rPr>
        <w:t>VMLR were supported in their socio-economic rehabilitation.</w:t>
      </w:r>
    </w:p>
    <w:p w14:paraId="6CE8CBE8" w14:textId="77777777" w:rsidR="001C4919" w:rsidRPr="00ED37CF" w:rsidRDefault="001C4919" w:rsidP="001C4919">
      <w:pPr>
        <w:widowControl w:val="0"/>
        <w:tabs>
          <w:tab w:val="left" w:pos="426"/>
        </w:tabs>
        <w:rPr>
          <w:rFonts w:cs="Arial"/>
          <w:b/>
          <w:lang w:eastAsia="ja-JP"/>
        </w:rPr>
      </w:pPr>
      <w:r w:rsidRPr="00ED37CF">
        <w:rPr>
          <w:rFonts w:cs="Arial"/>
          <w:b/>
          <w:lang w:eastAsia="ja-JP"/>
        </w:rPr>
        <w:t>Output 1.1 Individual Rehabilitation Option Packages were prepared and made available to participants.</w:t>
      </w:r>
      <w:r w:rsidR="005E1EE9" w:rsidRPr="00ED37CF">
        <w:rPr>
          <w:rFonts w:cs="Arial"/>
          <w:b/>
          <w:lang w:eastAsia="ja-JP"/>
        </w:rPr>
        <w:t xml:space="preserve">   </w:t>
      </w:r>
    </w:p>
    <w:p w14:paraId="39E377CC" w14:textId="5C5D7202" w:rsidR="001C4919" w:rsidRPr="00ED37CF" w:rsidRDefault="001C4919" w:rsidP="00C47AD3">
      <w:r w:rsidRPr="00ED37CF">
        <w:t xml:space="preserve">A set of four ROPs that included options for training or education were prepared and offered to VMLR on a voluntary basis. The packages were designed on the basis of likely job opportunities and also included inputs from VMLR during visits to the cantonments. The packages included options related to: VST, ME, health-related training and education. The packages were designed jointly with the GoN under the steering committee chaired by the Honourable Minister for Peace and Reconstruction, bearing in mind existing government practices and other packages relating to the </w:t>
      </w:r>
      <w:r w:rsidR="00914EBA">
        <w:t>conflict</w:t>
      </w:r>
      <w:r w:rsidRPr="00ED37CF">
        <w:t>-affected. The total value of each individual package is around NPR 100,000</w:t>
      </w:r>
      <w:r w:rsidR="009A239B">
        <w:t xml:space="preserve"> (as per the cap on support established by the government)</w:t>
      </w:r>
      <w:r w:rsidRPr="00ED37CF">
        <w:t xml:space="preserve"> with the exception of health related training and education.</w:t>
      </w:r>
    </w:p>
    <w:p w14:paraId="667791F7" w14:textId="1C16EF4E" w:rsidR="001C4919" w:rsidRPr="00ED37CF" w:rsidRDefault="001C4919" w:rsidP="00C47AD3">
      <w:pPr>
        <w:rPr>
          <w:lang w:eastAsia="ja-JP"/>
        </w:rPr>
      </w:pPr>
      <w:r w:rsidRPr="00ED37CF">
        <w:rPr>
          <w:lang w:eastAsia="ja-JP"/>
        </w:rPr>
        <w:t xml:space="preserve">Following a tracing initiative conducted by UNICEF through its CAAFAG network in 2011, it was revealed that the actual number of VMLR residents in Nepal was 3,040, less than the 4,008 that </w:t>
      </w:r>
      <w:r w:rsidR="00914EBA">
        <w:rPr>
          <w:lang w:eastAsia="ja-JP"/>
        </w:rPr>
        <w:t>were recorded during the verification process</w:t>
      </w:r>
      <w:r w:rsidRPr="00ED37CF">
        <w:rPr>
          <w:lang w:eastAsia="ja-JP"/>
        </w:rPr>
        <w:t xml:space="preserve"> earlier in 2010.</w:t>
      </w:r>
      <w:r w:rsidR="005E1EE9" w:rsidRPr="00ED37CF">
        <w:rPr>
          <w:lang w:eastAsia="ja-JP"/>
        </w:rPr>
        <w:t xml:space="preserve"> </w:t>
      </w:r>
      <w:r w:rsidRPr="00ED37CF">
        <w:rPr>
          <w:lang w:eastAsia="ja-JP"/>
        </w:rPr>
        <w:t>In light of these numbers, 90% (2,743 out of 3,040) of the VMLR who were in Nepal contacted UNIRP.</w:t>
      </w:r>
      <w:r w:rsidR="005E1EE9" w:rsidRPr="00ED37CF">
        <w:rPr>
          <w:lang w:eastAsia="ja-JP"/>
        </w:rPr>
        <w:t xml:space="preserve"> </w:t>
      </w:r>
      <w:r w:rsidRPr="00ED37CF">
        <w:rPr>
          <w:lang w:eastAsia="ja-JP"/>
        </w:rPr>
        <w:t>Among them, 81% (2,477 out of 3,040) received career counselling and were referred to specific training or education programmes.</w:t>
      </w:r>
    </w:p>
    <w:p w14:paraId="1427AE2A" w14:textId="0A707EEF" w:rsidR="001C4919" w:rsidRPr="00ED37CF" w:rsidRDefault="001C4919" w:rsidP="00C47AD3">
      <w:pPr>
        <w:rPr>
          <w:lang w:eastAsia="ja-JP"/>
        </w:rPr>
      </w:pPr>
      <w:r w:rsidRPr="00ED37CF">
        <w:rPr>
          <w:lang w:eastAsia="ja-JP"/>
        </w:rPr>
        <w:t xml:space="preserve">Counting </w:t>
      </w:r>
      <w:r w:rsidR="00541EA3">
        <w:rPr>
          <w:lang w:eastAsia="ja-JP"/>
        </w:rPr>
        <w:t xml:space="preserve">151 </w:t>
      </w:r>
      <w:r w:rsidRPr="00ED37CF">
        <w:rPr>
          <w:lang w:eastAsia="ja-JP"/>
        </w:rPr>
        <w:t>latecomers</w:t>
      </w:r>
      <w:r w:rsidR="0036077B">
        <w:rPr>
          <w:lang w:eastAsia="ja-JP"/>
        </w:rPr>
        <w:t xml:space="preserve"> who were enrolled in July 2012, </w:t>
      </w:r>
      <w:r w:rsidRPr="00ED37CF">
        <w:rPr>
          <w:lang w:eastAsia="ja-JP"/>
        </w:rPr>
        <w:t>73% (2,234 of 3,040) of the VMLR eventually enrolled in one of the four ROPs.</w:t>
      </w:r>
      <w:r w:rsidR="005E1EE9" w:rsidRPr="00ED37CF">
        <w:rPr>
          <w:lang w:eastAsia="ja-JP"/>
        </w:rPr>
        <w:t xml:space="preserve"> </w:t>
      </w:r>
      <w:r w:rsidRPr="00ED37CF">
        <w:rPr>
          <w:lang w:eastAsia="ja-JP"/>
        </w:rPr>
        <w:t>The counselling method used by UNIRP proved to be effective in retaining VMLR</w:t>
      </w:r>
      <w:r w:rsidR="00914EBA">
        <w:rPr>
          <w:lang w:eastAsia="ja-JP"/>
        </w:rPr>
        <w:t>;</w:t>
      </w:r>
      <w:r w:rsidRPr="00ED37CF">
        <w:rPr>
          <w:lang w:eastAsia="ja-JP"/>
        </w:rPr>
        <w:t xml:space="preserve"> however, </w:t>
      </w:r>
      <w:r w:rsidR="00914EBA">
        <w:rPr>
          <w:lang w:eastAsia="ja-JP"/>
        </w:rPr>
        <w:t xml:space="preserve">the </w:t>
      </w:r>
      <w:r w:rsidRPr="00ED37CF">
        <w:rPr>
          <w:lang w:eastAsia="ja-JP"/>
        </w:rPr>
        <w:t xml:space="preserve">experience </w:t>
      </w:r>
      <w:r w:rsidR="00914EBA">
        <w:rPr>
          <w:lang w:eastAsia="ja-JP"/>
        </w:rPr>
        <w:t>was challenging</w:t>
      </w:r>
      <w:r w:rsidRPr="00ED37CF">
        <w:t>.</w:t>
      </w:r>
      <w:r w:rsidR="005E1EE9" w:rsidRPr="00ED37CF">
        <w:t xml:space="preserve"> </w:t>
      </w:r>
      <w:r w:rsidRPr="00ED37CF">
        <w:t>As reported in the Evaluation of UNDP Reintegration Programmes, UNIRP counsellors within the regional teams initially had to work with young people who were unmotivated, frustrated and at times violent because they had been demobilized.</w:t>
      </w:r>
      <w:r w:rsidR="005E1EE9" w:rsidRPr="00ED37CF">
        <w:t xml:space="preserve"> </w:t>
      </w:r>
      <w:r w:rsidRPr="00ED37CF">
        <w:t>Counsellors sometimes faced threats, intimidation, and verbal abuse. Despite the challenges, the implementation of the option</w:t>
      </w:r>
      <w:r w:rsidR="00914EBA">
        <w:t>al</w:t>
      </w:r>
      <w:r w:rsidRPr="00ED37CF">
        <w:t xml:space="preserve"> packages was considered a</w:t>
      </w:r>
      <w:r w:rsidRPr="00ED37CF">
        <w:rPr>
          <w:lang w:eastAsia="ja-JP"/>
        </w:rPr>
        <w:t xml:space="preserve"> success.</w:t>
      </w:r>
      <w:r w:rsidR="005E1EE9" w:rsidRPr="00ED37CF">
        <w:rPr>
          <w:lang w:eastAsia="ja-JP"/>
        </w:rPr>
        <w:t xml:space="preserve"> </w:t>
      </w:r>
      <w:r w:rsidRPr="00ED37CF">
        <w:rPr>
          <w:lang w:eastAsia="ja-JP"/>
        </w:rPr>
        <w:t>In the 2011 Interagency Programming Mission Report reported that, “the UNIRP managed to set up in a very short time a well-articulated system of referral, counselling, and delivery of vocational skills training...” because the “programme was adequately staffed ... and its architecture and operational modalities were well established.”</w:t>
      </w:r>
    </w:p>
    <w:p w14:paraId="33C29D93" w14:textId="1ED42D51" w:rsidR="00ED37CF" w:rsidRPr="00914EBA" w:rsidRDefault="001C4919" w:rsidP="00914EBA">
      <w:pPr>
        <w:rPr>
          <w:lang w:eastAsia="ja-JP"/>
        </w:rPr>
      </w:pPr>
      <w:r w:rsidRPr="00ED37CF">
        <w:rPr>
          <w:lang w:eastAsia="ja-JP"/>
        </w:rPr>
        <w:lastRenderedPageBreak/>
        <w:t xml:space="preserve">The followings </w:t>
      </w:r>
      <w:r w:rsidR="00914EBA">
        <w:rPr>
          <w:lang w:eastAsia="ja-JP"/>
        </w:rPr>
        <w:t>reflect</w:t>
      </w:r>
      <w:r w:rsidRPr="00ED37CF">
        <w:rPr>
          <w:lang w:eastAsia="ja-JP"/>
        </w:rPr>
        <w:t xml:space="preserve"> key statistical </w:t>
      </w:r>
      <w:r w:rsidR="00914EBA">
        <w:rPr>
          <w:lang w:eastAsia="ja-JP"/>
        </w:rPr>
        <w:t>results as of end of July 2013:</w:t>
      </w:r>
    </w:p>
    <w:p w14:paraId="4C23D0C4" w14:textId="77777777" w:rsidR="001C4919" w:rsidRPr="00ED37CF" w:rsidRDefault="00EA0DA2" w:rsidP="00C47AD3">
      <w:pPr>
        <w:rPr>
          <w:b/>
          <w:bCs/>
          <w:lang w:eastAsia="ja-JP"/>
        </w:rPr>
      </w:pPr>
      <w:r w:rsidRPr="00ED37CF">
        <w:rPr>
          <w:b/>
          <w:bCs/>
          <w:lang w:eastAsia="ja-JP"/>
        </w:rPr>
        <w:t>Figure 7</w:t>
      </w:r>
      <w:r w:rsidR="001C4919" w:rsidRPr="00ED37CF">
        <w:rPr>
          <w:b/>
          <w:bCs/>
          <w:lang w:eastAsia="ja-JP"/>
        </w:rPr>
        <w:t>: Summary of Key Statistics</w:t>
      </w:r>
    </w:p>
    <w:tbl>
      <w:tblPr>
        <w:tblW w:w="4882" w:type="pct"/>
        <w:tblInd w:w="99" w:type="dxa"/>
        <w:tblCellMar>
          <w:left w:w="99" w:type="dxa"/>
          <w:right w:w="99" w:type="dxa"/>
        </w:tblCellMar>
        <w:tblLook w:val="04A0" w:firstRow="1" w:lastRow="0" w:firstColumn="1" w:lastColumn="0" w:noHBand="0" w:noVBand="1"/>
      </w:tblPr>
      <w:tblGrid>
        <w:gridCol w:w="3420"/>
        <w:gridCol w:w="1288"/>
        <w:gridCol w:w="923"/>
        <w:gridCol w:w="1208"/>
        <w:gridCol w:w="910"/>
        <w:gridCol w:w="1612"/>
      </w:tblGrid>
      <w:tr w:rsidR="001C4919" w:rsidRPr="00ED37CF" w14:paraId="6C50F3A7" w14:textId="77777777" w:rsidTr="00CC5A64">
        <w:tc>
          <w:tcPr>
            <w:tcW w:w="1827" w:type="pct"/>
            <w:vMerge w:val="restart"/>
            <w:tcBorders>
              <w:top w:val="single" w:sz="12" w:space="0" w:color="auto"/>
              <w:left w:val="single" w:sz="12" w:space="0" w:color="auto"/>
              <w:bottom w:val="single" w:sz="8" w:space="0" w:color="953735"/>
              <w:right w:val="single" w:sz="12" w:space="0" w:color="auto"/>
            </w:tcBorders>
            <w:shd w:val="clear" w:color="auto" w:fill="C6D9F1" w:themeFill="text2" w:themeFillTint="33"/>
            <w:vAlign w:val="center"/>
            <w:hideMark/>
          </w:tcPr>
          <w:p w14:paraId="150CCA2B" w14:textId="77777777" w:rsidR="001C4919" w:rsidRPr="00ED37CF" w:rsidRDefault="001C4919" w:rsidP="00CC5A64">
            <w:pPr>
              <w:contextualSpacing/>
              <w:jc w:val="center"/>
              <w:rPr>
                <w:b/>
                <w:bCs/>
                <w:sz w:val="18"/>
                <w:szCs w:val="18"/>
              </w:rPr>
            </w:pPr>
            <w:r w:rsidRPr="00ED37CF">
              <w:rPr>
                <w:b/>
                <w:bCs/>
                <w:sz w:val="18"/>
                <w:szCs w:val="18"/>
              </w:rPr>
              <w:t>Steps in Rehabilitation Process</w:t>
            </w:r>
          </w:p>
        </w:tc>
        <w:tc>
          <w:tcPr>
            <w:tcW w:w="1181" w:type="pct"/>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hideMark/>
          </w:tcPr>
          <w:p w14:paraId="26B49ABB" w14:textId="77777777" w:rsidR="001C4919" w:rsidRPr="00ED37CF" w:rsidRDefault="001C4919" w:rsidP="00CC5A64">
            <w:pPr>
              <w:contextualSpacing/>
              <w:jc w:val="center"/>
              <w:rPr>
                <w:b/>
                <w:bCs/>
                <w:sz w:val="18"/>
                <w:szCs w:val="18"/>
              </w:rPr>
            </w:pPr>
            <w:r w:rsidRPr="00ED37CF">
              <w:rPr>
                <w:b/>
                <w:bCs/>
                <w:sz w:val="18"/>
                <w:szCs w:val="18"/>
              </w:rPr>
              <w:t>Of the total 4,008 VMLR</w:t>
            </w:r>
          </w:p>
        </w:tc>
        <w:tc>
          <w:tcPr>
            <w:tcW w:w="1131" w:type="pct"/>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hideMark/>
          </w:tcPr>
          <w:p w14:paraId="79A0B9DE" w14:textId="77777777" w:rsidR="001C4919" w:rsidRPr="00ED37CF" w:rsidRDefault="001C4919" w:rsidP="00CC5A64">
            <w:pPr>
              <w:contextualSpacing/>
              <w:jc w:val="center"/>
              <w:rPr>
                <w:b/>
                <w:bCs/>
                <w:sz w:val="18"/>
                <w:szCs w:val="18"/>
              </w:rPr>
            </w:pPr>
            <w:r w:rsidRPr="00ED37CF">
              <w:rPr>
                <w:b/>
                <w:bCs/>
                <w:sz w:val="18"/>
                <w:szCs w:val="18"/>
              </w:rPr>
              <w:t>Of the 2,394 VMLR discharged through cantonment ceremonies</w:t>
            </w:r>
          </w:p>
        </w:tc>
        <w:tc>
          <w:tcPr>
            <w:tcW w:w="861" w:type="pct"/>
            <w:vMerge w:val="restart"/>
            <w:tcBorders>
              <w:top w:val="single" w:sz="12" w:space="0" w:color="auto"/>
              <w:left w:val="single" w:sz="12" w:space="0" w:color="auto"/>
              <w:bottom w:val="single" w:sz="8" w:space="0" w:color="953735"/>
              <w:right w:val="single" w:sz="12" w:space="0" w:color="auto"/>
            </w:tcBorders>
            <w:shd w:val="clear" w:color="auto" w:fill="C6D9F1" w:themeFill="text2" w:themeFillTint="33"/>
            <w:vAlign w:val="center"/>
            <w:hideMark/>
          </w:tcPr>
          <w:p w14:paraId="260773DC" w14:textId="77777777" w:rsidR="001C4919" w:rsidRPr="00ED37CF" w:rsidRDefault="001C4919" w:rsidP="00CC5A64">
            <w:pPr>
              <w:contextualSpacing/>
              <w:jc w:val="center"/>
              <w:rPr>
                <w:b/>
                <w:bCs/>
                <w:sz w:val="18"/>
                <w:szCs w:val="18"/>
                <w:u w:val="single"/>
              </w:rPr>
            </w:pPr>
            <w:r w:rsidRPr="00ED37CF">
              <w:rPr>
                <w:b/>
                <w:bCs/>
                <w:sz w:val="18"/>
                <w:szCs w:val="18"/>
                <w:u w:val="single"/>
              </w:rPr>
              <w:t>UNIRP Target Population:</w:t>
            </w:r>
          </w:p>
          <w:p w14:paraId="06F47C4B" w14:textId="37917509" w:rsidR="001C4919" w:rsidRPr="00ED37CF" w:rsidRDefault="001C4919" w:rsidP="00CC5A64">
            <w:pPr>
              <w:contextualSpacing/>
              <w:jc w:val="center"/>
              <w:rPr>
                <w:b/>
                <w:bCs/>
                <w:sz w:val="18"/>
                <w:szCs w:val="18"/>
              </w:rPr>
            </w:pPr>
            <w:r w:rsidRPr="00ED37CF">
              <w:rPr>
                <w:b/>
                <w:bCs/>
                <w:sz w:val="18"/>
                <w:szCs w:val="18"/>
              </w:rPr>
              <w:t>Of the 3,040 V</w:t>
            </w:r>
            <w:r w:rsidR="00914EBA">
              <w:rPr>
                <w:b/>
                <w:bCs/>
                <w:sz w:val="18"/>
                <w:szCs w:val="18"/>
              </w:rPr>
              <w:t>MLR who we</w:t>
            </w:r>
            <w:r w:rsidRPr="00ED37CF">
              <w:rPr>
                <w:b/>
                <w:bCs/>
                <w:sz w:val="18"/>
                <w:szCs w:val="18"/>
              </w:rPr>
              <w:t>re not working abroad</w:t>
            </w:r>
          </w:p>
        </w:tc>
      </w:tr>
      <w:tr w:rsidR="001C4919" w:rsidRPr="00ED37CF" w14:paraId="0CB05E2A" w14:textId="77777777" w:rsidTr="00CC5A64">
        <w:trPr>
          <w:trHeight w:val="239"/>
        </w:trPr>
        <w:tc>
          <w:tcPr>
            <w:tcW w:w="1827" w:type="pct"/>
            <w:vMerge/>
            <w:tcBorders>
              <w:top w:val="single" w:sz="12" w:space="0" w:color="953735"/>
              <w:left w:val="single" w:sz="12" w:space="0" w:color="auto"/>
              <w:bottom w:val="single" w:sz="12" w:space="0" w:color="auto"/>
              <w:right w:val="single" w:sz="12" w:space="0" w:color="auto"/>
            </w:tcBorders>
            <w:shd w:val="clear" w:color="auto" w:fill="auto"/>
            <w:vAlign w:val="center"/>
            <w:hideMark/>
          </w:tcPr>
          <w:p w14:paraId="78A04686" w14:textId="77777777" w:rsidR="001C4919" w:rsidRPr="00ED37CF" w:rsidRDefault="001C4919" w:rsidP="00C47AD3">
            <w:pPr>
              <w:contextualSpacing/>
              <w:rPr>
                <w:sz w:val="18"/>
                <w:szCs w:val="18"/>
              </w:rPr>
            </w:pPr>
          </w:p>
        </w:tc>
        <w:tc>
          <w:tcPr>
            <w:tcW w:w="688" w:type="pct"/>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hideMark/>
          </w:tcPr>
          <w:p w14:paraId="37BE826F" w14:textId="77777777" w:rsidR="001C4919" w:rsidRPr="00ED37CF" w:rsidRDefault="00C47AD3" w:rsidP="00CC5A64">
            <w:pPr>
              <w:contextualSpacing/>
              <w:jc w:val="center"/>
              <w:rPr>
                <w:b/>
                <w:bCs/>
                <w:sz w:val="18"/>
                <w:szCs w:val="18"/>
              </w:rPr>
            </w:pPr>
            <w:r w:rsidRPr="00ED37CF">
              <w:rPr>
                <w:rFonts w:eastAsia="MS Mincho"/>
                <w:b/>
                <w:bCs/>
                <w:sz w:val="18"/>
                <w:szCs w:val="18"/>
              </w:rPr>
              <w:t>Total</w:t>
            </w:r>
          </w:p>
        </w:tc>
        <w:tc>
          <w:tcPr>
            <w:tcW w:w="493" w:type="pct"/>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hideMark/>
          </w:tcPr>
          <w:p w14:paraId="229EAAA0" w14:textId="77777777" w:rsidR="001C4919" w:rsidRPr="00ED37CF" w:rsidRDefault="001C4919" w:rsidP="00CC5A64">
            <w:pPr>
              <w:contextualSpacing/>
              <w:jc w:val="center"/>
              <w:rPr>
                <w:b/>
                <w:bCs/>
                <w:sz w:val="18"/>
                <w:szCs w:val="18"/>
                <w:lang w:eastAsia="ja-JP"/>
              </w:rPr>
            </w:pPr>
            <w:r w:rsidRPr="00ED37CF">
              <w:rPr>
                <w:b/>
                <w:bCs/>
                <w:sz w:val="18"/>
                <w:szCs w:val="18"/>
                <w:lang w:eastAsia="ja-JP"/>
              </w:rPr>
              <w:t xml:space="preserve">% of </w:t>
            </w:r>
            <w:r w:rsidRPr="00ED37CF">
              <w:rPr>
                <w:b/>
                <w:bCs/>
                <w:sz w:val="18"/>
                <w:szCs w:val="18"/>
              </w:rPr>
              <w:t>Female</w:t>
            </w:r>
          </w:p>
        </w:tc>
        <w:tc>
          <w:tcPr>
            <w:tcW w:w="645" w:type="pct"/>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hideMark/>
          </w:tcPr>
          <w:p w14:paraId="3C048ED9" w14:textId="77777777" w:rsidR="001C4919" w:rsidRPr="00ED37CF" w:rsidRDefault="00C47AD3" w:rsidP="00CC5A64">
            <w:pPr>
              <w:contextualSpacing/>
              <w:jc w:val="center"/>
              <w:rPr>
                <w:b/>
                <w:bCs/>
                <w:sz w:val="18"/>
                <w:szCs w:val="18"/>
              </w:rPr>
            </w:pPr>
            <w:r w:rsidRPr="00ED37CF">
              <w:rPr>
                <w:rFonts w:eastAsia="MS Mincho"/>
                <w:b/>
                <w:bCs/>
                <w:sz w:val="18"/>
                <w:szCs w:val="18"/>
              </w:rPr>
              <w:t>Total</w:t>
            </w:r>
          </w:p>
        </w:tc>
        <w:tc>
          <w:tcPr>
            <w:tcW w:w="486" w:type="pct"/>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hideMark/>
          </w:tcPr>
          <w:p w14:paraId="15E8E2B1" w14:textId="77777777" w:rsidR="001C4919" w:rsidRPr="00ED37CF" w:rsidRDefault="001C4919" w:rsidP="00CC5A64">
            <w:pPr>
              <w:contextualSpacing/>
              <w:jc w:val="center"/>
              <w:rPr>
                <w:b/>
                <w:bCs/>
                <w:sz w:val="18"/>
                <w:szCs w:val="18"/>
              </w:rPr>
            </w:pPr>
            <w:r w:rsidRPr="00ED37CF">
              <w:rPr>
                <w:b/>
                <w:bCs/>
                <w:sz w:val="18"/>
                <w:szCs w:val="18"/>
                <w:lang w:eastAsia="ja-JP"/>
              </w:rPr>
              <w:t xml:space="preserve">% of </w:t>
            </w:r>
            <w:r w:rsidRPr="00ED37CF">
              <w:rPr>
                <w:b/>
                <w:bCs/>
                <w:sz w:val="18"/>
                <w:szCs w:val="18"/>
              </w:rPr>
              <w:t>Female</w:t>
            </w:r>
          </w:p>
        </w:tc>
        <w:tc>
          <w:tcPr>
            <w:tcW w:w="861" w:type="pct"/>
            <w:vMerge/>
            <w:tcBorders>
              <w:top w:val="single" w:sz="12" w:space="0" w:color="953735"/>
              <w:left w:val="single" w:sz="12" w:space="0" w:color="auto"/>
              <w:bottom w:val="single" w:sz="12" w:space="0" w:color="auto"/>
              <w:right w:val="single" w:sz="12" w:space="0" w:color="auto"/>
            </w:tcBorders>
            <w:shd w:val="clear" w:color="auto" w:fill="auto"/>
            <w:vAlign w:val="center"/>
            <w:hideMark/>
          </w:tcPr>
          <w:p w14:paraId="224D5B32" w14:textId="77777777" w:rsidR="001C4919" w:rsidRPr="00ED37CF" w:rsidRDefault="001C4919" w:rsidP="00C47AD3">
            <w:pPr>
              <w:contextualSpacing/>
              <w:rPr>
                <w:sz w:val="18"/>
                <w:szCs w:val="18"/>
              </w:rPr>
            </w:pPr>
          </w:p>
        </w:tc>
      </w:tr>
      <w:tr w:rsidR="001C4919" w:rsidRPr="00ED37CF" w14:paraId="64783A8F" w14:textId="77777777" w:rsidTr="00CC5A64">
        <w:trPr>
          <w:trHeight w:val="273"/>
        </w:trPr>
        <w:tc>
          <w:tcPr>
            <w:tcW w:w="1827" w:type="pct"/>
            <w:tcBorders>
              <w:top w:val="single" w:sz="12" w:space="0" w:color="auto"/>
              <w:left w:val="single" w:sz="12" w:space="0" w:color="auto"/>
              <w:bottom w:val="single" w:sz="6" w:space="0" w:color="auto"/>
              <w:right w:val="single" w:sz="12" w:space="0" w:color="auto"/>
            </w:tcBorders>
            <w:shd w:val="clear" w:color="auto" w:fill="auto"/>
            <w:vAlign w:val="center"/>
            <w:hideMark/>
          </w:tcPr>
          <w:p w14:paraId="6519324B" w14:textId="77777777" w:rsidR="001C4919" w:rsidRPr="00ED37CF" w:rsidRDefault="001C4919" w:rsidP="00CC5A64">
            <w:pPr>
              <w:contextualSpacing/>
              <w:jc w:val="left"/>
              <w:rPr>
                <w:b/>
                <w:bCs/>
                <w:sz w:val="18"/>
                <w:szCs w:val="18"/>
              </w:rPr>
            </w:pPr>
            <w:r w:rsidRPr="00ED37CF">
              <w:rPr>
                <w:b/>
                <w:bCs/>
                <w:sz w:val="18"/>
                <w:szCs w:val="18"/>
              </w:rPr>
              <w:t>VMLR who contacted UNIRP through the toll-free phone number and Regional Offices</w:t>
            </w:r>
          </w:p>
        </w:tc>
        <w:tc>
          <w:tcPr>
            <w:tcW w:w="688" w:type="pct"/>
            <w:tcBorders>
              <w:top w:val="single" w:sz="12" w:space="0" w:color="auto"/>
              <w:left w:val="single" w:sz="12" w:space="0" w:color="auto"/>
              <w:bottom w:val="single" w:sz="6" w:space="0" w:color="auto"/>
              <w:right w:val="single" w:sz="6" w:space="0" w:color="auto"/>
            </w:tcBorders>
            <w:shd w:val="clear" w:color="auto" w:fill="auto"/>
            <w:vAlign w:val="center"/>
            <w:hideMark/>
          </w:tcPr>
          <w:p w14:paraId="12AB5A90" w14:textId="77777777" w:rsidR="001C4919" w:rsidRPr="00ED37CF" w:rsidRDefault="001C4919" w:rsidP="00CC5A64">
            <w:pPr>
              <w:contextualSpacing/>
              <w:jc w:val="right"/>
              <w:rPr>
                <w:sz w:val="18"/>
                <w:szCs w:val="18"/>
              </w:rPr>
            </w:pPr>
            <w:r w:rsidRPr="00ED37CF">
              <w:rPr>
                <w:sz w:val="18"/>
                <w:szCs w:val="18"/>
              </w:rPr>
              <w:t xml:space="preserve">2,743 (68%) </w:t>
            </w:r>
          </w:p>
        </w:tc>
        <w:tc>
          <w:tcPr>
            <w:tcW w:w="493" w:type="pct"/>
            <w:tcBorders>
              <w:top w:val="single" w:sz="12" w:space="0" w:color="auto"/>
              <w:left w:val="single" w:sz="6" w:space="0" w:color="auto"/>
              <w:bottom w:val="single" w:sz="6" w:space="0" w:color="auto"/>
              <w:right w:val="single" w:sz="12" w:space="0" w:color="auto"/>
            </w:tcBorders>
            <w:shd w:val="clear" w:color="auto" w:fill="auto"/>
            <w:vAlign w:val="center"/>
            <w:hideMark/>
          </w:tcPr>
          <w:p w14:paraId="52BE0EB1" w14:textId="77777777" w:rsidR="001C4919" w:rsidRPr="00ED37CF" w:rsidRDefault="001C4919" w:rsidP="00CC5A64">
            <w:pPr>
              <w:contextualSpacing/>
              <w:jc w:val="right"/>
              <w:rPr>
                <w:sz w:val="18"/>
                <w:szCs w:val="18"/>
              </w:rPr>
            </w:pPr>
            <w:r w:rsidRPr="00ED37CF">
              <w:rPr>
                <w:sz w:val="18"/>
                <w:szCs w:val="18"/>
              </w:rPr>
              <w:t>34%</w:t>
            </w:r>
          </w:p>
        </w:tc>
        <w:tc>
          <w:tcPr>
            <w:tcW w:w="645" w:type="pct"/>
            <w:tcBorders>
              <w:top w:val="single" w:sz="12" w:space="0" w:color="auto"/>
              <w:left w:val="single" w:sz="12" w:space="0" w:color="auto"/>
              <w:bottom w:val="single" w:sz="6" w:space="0" w:color="auto"/>
              <w:right w:val="single" w:sz="6" w:space="0" w:color="auto"/>
            </w:tcBorders>
            <w:shd w:val="clear" w:color="auto" w:fill="auto"/>
            <w:vAlign w:val="center"/>
            <w:hideMark/>
          </w:tcPr>
          <w:p w14:paraId="604687F9" w14:textId="77777777" w:rsidR="001C4919" w:rsidRPr="00ED37CF" w:rsidRDefault="001C4919" w:rsidP="00CC5A64">
            <w:pPr>
              <w:contextualSpacing/>
              <w:jc w:val="right"/>
              <w:rPr>
                <w:sz w:val="18"/>
                <w:szCs w:val="18"/>
              </w:rPr>
            </w:pPr>
            <w:r w:rsidRPr="00ED37CF">
              <w:rPr>
                <w:sz w:val="18"/>
                <w:szCs w:val="18"/>
              </w:rPr>
              <w:t>2,131 (89%)</w:t>
            </w:r>
          </w:p>
        </w:tc>
        <w:tc>
          <w:tcPr>
            <w:tcW w:w="486" w:type="pct"/>
            <w:tcBorders>
              <w:top w:val="single" w:sz="12" w:space="0" w:color="auto"/>
              <w:left w:val="single" w:sz="6" w:space="0" w:color="auto"/>
              <w:bottom w:val="single" w:sz="6" w:space="0" w:color="auto"/>
              <w:right w:val="single" w:sz="12" w:space="0" w:color="auto"/>
            </w:tcBorders>
            <w:shd w:val="clear" w:color="auto" w:fill="auto"/>
            <w:vAlign w:val="center"/>
            <w:hideMark/>
          </w:tcPr>
          <w:p w14:paraId="0CDB35F9" w14:textId="77777777" w:rsidR="001C4919" w:rsidRPr="00ED37CF" w:rsidRDefault="001C4919" w:rsidP="00CC5A64">
            <w:pPr>
              <w:contextualSpacing/>
              <w:jc w:val="right"/>
              <w:rPr>
                <w:sz w:val="18"/>
                <w:szCs w:val="18"/>
              </w:rPr>
            </w:pPr>
            <w:r w:rsidRPr="00ED37CF">
              <w:rPr>
                <w:sz w:val="18"/>
                <w:szCs w:val="18"/>
              </w:rPr>
              <w:t>34%</w:t>
            </w:r>
          </w:p>
        </w:tc>
        <w:tc>
          <w:tcPr>
            <w:tcW w:w="861" w:type="pct"/>
            <w:tcBorders>
              <w:top w:val="single" w:sz="12" w:space="0" w:color="auto"/>
              <w:left w:val="single" w:sz="12" w:space="0" w:color="auto"/>
              <w:bottom w:val="single" w:sz="6" w:space="0" w:color="auto"/>
              <w:right w:val="single" w:sz="12" w:space="0" w:color="auto"/>
            </w:tcBorders>
            <w:shd w:val="clear" w:color="auto" w:fill="auto"/>
            <w:vAlign w:val="center"/>
            <w:hideMark/>
          </w:tcPr>
          <w:p w14:paraId="50B2551E" w14:textId="77777777" w:rsidR="001C4919" w:rsidRPr="00ED37CF" w:rsidRDefault="001C4919" w:rsidP="00CC5A64">
            <w:pPr>
              <w:contextualSpacing/>
              <w:jc w:val="right"/>
              <w:rPr>
                <w:sz w:val="18"/>
                <w:szCs w:val="18"/>
              </w:rPr>
            </w:pPr>
            <w:r w:rsidRPr="00ED37CF">
              <w:rPr>
                <w:sz w:val="18"/>
                <w:szCs w:val="18"/>
              </w:rPr>
              <w:t>2,743 (90%)</w:t>
            </w:r>
          </w:p>
        </w:tc>
      </w:tr>
      <w:tr w:rsidR="001C4919" w:rsidRPr="00ED37CF" w14:paraId="1216FB46" w14:textId="77777777" w:rsidTr="00CC5A64">
        <w:trPr>
          <w:trHeight w:val="257"/>
        </w:trPr>
        <w:tc>
          <w:tcPr>
            <w:tcW w:w="1827" w:type="pct"/>
            <w:tcBorders>
              <w:top w:val="single" w:sz="6" w:space="0" w:color="auto"/>
              <w:left w:val="single" w:sz="12" w:space="0" w:color="auto"/>
              <w:bottom w:val="single" w:sz="6" w:space="0" w:color="auto"/>
              <w:right w:val="single" w:sz="12" w:space="0" w:color="auto"/>
            </w:tcBorders>
            <w:shd w:val="clear" w:color="auto" w:fill="auto"/>
            <w:vAlign w:val="center"/>
            <w:hideMark/>
          </w:tcPr>
          <w:p w14:paraId="736B77E8" w14:textId="77777777" w:rsidR="001C4919" w:rsidRPr="00ED37CF" w:rsidRDefault="001C4919" w:rsidP="00CC5A64">
            <w:pPr>
              <w:contextualSpacing/>
              <w:jc w:val="left"/>
              <w:rPr>
                <w:b/>
                <w:bCs/>
                <w:sz w:val="18"/>
                <w:szCs w:val="18"/>
              </w:rPr>
            </w:pPr>
            <w:r w:rsidRPr="00ED37CF">
              <w:rPr>
                <w:b/>
                <w:bCs/>
                <w:sz w:val="18"/>
                <w:szCs w:val="18"/>
              </w:rPr>
              <w:t>VMLR referred for Training / Education</w:t>
            </w:r>
          </w:p>
        </w:tc>
        <w:tc>
          <w:tcPr>
            <w:tcW w:w="688"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7CE3F810" w14:textId="77777777" w:rsidR="001C4919" w:rsidRPr="00ED37CF" w:rsidRDefault="001C4919" w:rsidP="00CC5A64">
            <w:pPr>
              <w:contextualSpacing/>
              <w:jc w:val="right"/>
              <w:rPr>
                <w:sz w:val="18"/>
                <w:szCs w:val="18"/>
              </w:rPr>
            </w:pPr>
            <w:r w:rsidRPr="00ED37CF">
              <w:rPr>
                <w:sz w:val="18"/>
                <w:szCs w:val="18"/>
              </w:rPr>
              <w:t>2,477 (62%)</w:t>
            </w:r>
          </w:p>
        </w:tc>
        <w:tc>
          <w:tcPr>
            <w:tcW w:w="493" w:type="pct"/>
            <w:tcBorders>
              <w:top w:val="single" w:sz="6" w:space="0" w:color="auto"/>
              <w:left w:val="single" w:sz="6" w:space="0" w:color="auto"/>
              <w:bottom w:val="single" w:sz="6" w:space="0" w:color="auto"/>
              <w:right w:val="single" w:sz="12" w:space="0" w:color="auto"/>
            </w:tcBorders>
            <w:shd w:val="clear" w:color="auto" w:fill="auto"/>
            <w:vAlign w:val="center"/>
            <w:hideMark/>
          </w:tcPr>
          <w:p w14:paraId="50B07685" w14:textId="77777777" w:rsidR="001C4919" w:rsidRPr="00ED37CF" w:rsidRDefault="001C4919" w:rsidP="00CC5A64">
            <w:pPr>
              <w:contextualSpacing/>
              <w:jc w:val="right"/>
              <w:rPr>
                <w:sz w:val="18"/>
                <w:szCs w:val="18"/>
              </w:rPr>
            </w:pPr>
            <w:r w:rsidRPr="00ED37CF">
              <w:rPr>
                <w:sz w:val="18"/>
                <w:szCs w:val="18"/>
              </w:rPr>
              <w:t>36%</w:t>
            </w:r>
          </w:p>
        </w:tc>
        <w:tc>
          <w:tcPr>
            <w:tcW w:w="645" w:type="pct"/>
            <w:tcBorders>
              <w:top w:val="single" w:sz="6" w:space="0" w:color="auto"/>
              <w:left w:val="single" w:sz="12" w:space="0" w:color="auto"/>
              <w:bottom w:val="single" w:sz="6" w:space="0" w:color="auto"/>
              <w:right w:val="single" w:sz="6" w:space="0" w:color="auto"/>
            </w:tcBorders>
            <w:shd w:val="clear" w:color="auto" w:fill="auto"/>
            <w:vAlign w:val="center"/>
            <w:hideMark/>
          </w:tcPr>
          <w:p w14:paraId="1CBFBE23" w14:textId="77777777" w:rsidR="001C4919" w:rsidRPr="00ED37CF" w:rsidRDefault="001C4919" w:rsidP="00CC5A64">
            <w:pPr>
              <w:contextualSpacing/>
              <w:jc w:val="right"/>
              <w:rPr>
                <w:sz w:val="18"/>
                <w:szCs w:val="18"/>
              </w:rPr>
            </w:pPr>
            <w:r w:rsidRPr="00ED37CF">
              <w:rPr>
                <w:sz w:val="18"/>
                <w:szCs w:val="18"/>
              </w:rPr>
              <w:t>1,954 (82%)</w:t>
            </w:r>
          </w:p>
        </w:tc>
        <w:tc>
          <w:tcPr>
            <w:tcW w:w="486" w:type="pct"/>
            <w:tcBorders>
              <w:top w:val="single" w:sz="6" w:space="0" w:color="auto"/>
              <w:left w:val="single" w:sz="6" w:space="0" w:color="auto"/>
              <w:bottom w:val="single" w:sz="6" w:space="0" w:color="auto"/>
              <w:right w:val="single" w:sz="12" w:space="0" w:color="auto"/>
            </w:tcBorders>
            <w:shd w:val="clear" w:color="auto" w:fill="auto"/>
            <w:vAlign w:val="center"/>
            <w:hideMark/>
          </w:tcPr>
          <w:p w14:paraId="02EDF4D3" w14:textId="77777777" w:rsidR="001C4919" w:rsidRPr="00ED37CF" w:rsidRDefault="001C4919" w:rsidP="00CC5A64">
            <w:pPr>
              <w:contextualSpacing/>
              <w:jc w:val="right"/>
              <w:rPr>
                <w:sz w:val="18"/>
                <w:szCs w:val="18"/>
              </w:rPr>
            </w:pPr>
            <w:r w:rsidRPr="00ED37CF">
              <w:rPr>
                <w:sz w:val="18"/>
                <w:szCs w:val="18"/>
              </w:rPr>
              <w:t>36%</w:t>
            </w:r>
          </w:p>
        </w:tc>
        <w:tc>
          <w:tcPr>
            <w:tcW w:w="861" w:type="pct"/>
            <w:tcBorders>
              <w:top w:val="single" w:sz="6" w:space="0" w:color="auto"/>
              <w:left w:val="single" w:sz="12" w:space="0" w:color="auto"/>
              <w:bottom w:val="single" w:sz="6" w:space="0" w:color="auto"/>
              <w:right w:val="single" w:sz="12" w:space="0" w:color="auto"/>
            </w:tcBorders>
            <w:shd w:val="clear" w:color="auto" w:fill="auto"/>
            <w:vAlign w:val="center"/>
            <w:hideMark/>
          </w:tcPr>
          <w:p w14:paraId="7DD5E74A" w14:textId="77777777" w:rsidR="001C4919" w:rsidRPr="00ED37CF" w:rsidRDefault="001C4919" w:rsidP="00CC5A64">
            <w:pPr>
              <w:contextualSpacing/>
              <w:jc w:val="right"/>
              <w:rPr>
                <w:sz w:val="18"/>
                <w:szCs w:val="18"/>
              </w:rPr>
            </w:pPr>
            <w:r w:rsidRPr="00ED37CF">
              <w:rPr>
                <w:sz w:val="18"/>
                <w:szCs w:val="18"/>
              </w:rPr>
              <w:t>2,477 (81%)</w:t>
            </w:r>
          </w:p>
        </w:tc>
      </w:tr>
      <w:tr w:rsidR="001C4919" w:rsidRPr="00ED37CF" w14:paraId="66DCDAC7" w14:textId="77777777" w:rsidTr="00CC5A64">
        <w:trPr>
          <w:trHeight w:val="288"/>
        </w:trPr>
        <w:tc>
          <w:tcPr>
            <w:tcW w:w="1827" w:type="pct"/>
            <w:tcBorders>
              <w:top w:val="single" w:sz="6" w:space="0" w:color="auto"/>
              <w:left w:val="single" w:sz="12" w:space="0" w:color="auto"/>
              <w:bottom w:val="single" w:sz="12" w:space="0" w:color="auto"/>
              <w:right w:val="single" w:sz="12" w:space="0" w:color="auto"/>
            </w:tcBorders>
            <w:shd w:val="clear" w:color="auto" w:fill="auto"/>
            <w:vAlign w:val="center"/>
            <w:hideMark/>
          </w:tcPr>
          <w:p w14:paraId="16B25A83" w14:textId="77777777" w:rsidR="001C4919" w:rsidRPr="00ED37CF" w:rsidRDefault="001C4919" w:rsidP="00CC5A64">
            <w:pPr>
              <w:contextualSpacing/>
              <w:jc w:val="left"/>
              <w:rPr>
                <w:b/>
                <w:bCs/>
                <w:sz w:val="18"/>
                <w:szCs w:val="18"/>
              </w:rPr>
            </w:pPr>
            <w:r w:rsidRPr="00ED37CF">
              <w:rPr>
                <w:b/>
                <w:bCs/>
                <w:sz w:val="18"/>
                <w:szCs w:val="18"/>
              </w:rPr>
              <w:t>VMLR enrolled for Training / Education</w:t>
            </w:r>
          </w:p>
        </w:tc>
        <w:tc>
          <w:tcPr>
            <w:tcW w:w="688"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53472244" w14:textId="77777777" w:rsidR="001C4919" w:rsidRPr="00ED37CF" w:rsidRDefault="001C4919" w:rsidP="00CC5A64">
            <w:pPr>
              <w:contextualSpacing/>
              <w:jc w:val="right"/>
              <w:rPr>
                <w:sz w:val="18"/>
                <w:szCs w:val="18"/>
              </w:rPr>
            </w:pPr>
            <w:r w:rsidRPr="00ED37CF">
              <w:rPr>
                <w:sz w:val="18"/>
                <w:szCs w:val="18"/>
              </w:rPr>
              <w:t>2,234 (56%)</w:t>
            </w:r>
          </w:p>
        </w:tc>
        <w:tc>
          <w:tcPr>
            <w:tcW w:w="493" w:type="pct"/>
            <w:tcBorders>
              <w:top w:val="single" w:sz="6" w:space="0" w:color="auto"/>
              <w:left w:val="single" w:sz="6" w:space="0" w:color="auto"/>
              <w:bottom w:val="single" w:sz="12" w:space="0" w:color="auto"/>
              <w:right w:val="single" w:sz="12" w:space="0" w:color="auto"/>
            </w:tcBorders>
            <w:shd w:val="clear" w:color="auto" w:fill="auto"/>
            <w:vAlign w:val="center"/>
            <w:hideMark/>
          </w:tcPr>
          <w:p w14:paraId="6AFA59E6" w14:textId="77777777" w:rsidR="001C4919" w:rsidRPr="00ED37CF" w:rsidRDefault="001C4919" w:rsidP="00CC5A64">
            <w:pPr>
              <w:contextualSpacing/>
              <w:jc w:val="right"/>
              <w:rPr>
                <w:sz w:val="18"/>
                <w:szCs w:val="18"/>
              </w:rPr>
            </w:pPr>
            <w:r w:rsidRPr="00ED37CF">
              <w:rPr>
                <w:sz w:val="18"/>
                <w:szCs w:val="18"/>
              </w:rPr>
              <w:t>38%</w:t>
            </w:r>
          </w:p>
        </w:tc>
        <w:tc>
          <w:tcPr>
            <w:tcW w:w="645"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2157CC89" w14:textId="77777777" w:rsidR="001C4919" w:rsidRPr="00ED37CF" w:rsidRDefault="001C4919" w:rsidP="00CC5A64">
            <w:pPr>
              <w:contextualSpacing/>
              <w:jc w:val="right"/>
              <w:rPr>
                <w:sz w:val="18"/>
                <w:szCs w:val="18"/>
              </w:rPr>
            </w:pPr>
            <w:r w:rsidRPr="00ED37CF">
              <w:rPr>
                <w:sz w:val="18"/>
                <w:szCs w:val="18"/>
              </w:rPr>
              <w:t>1,761 (74%)</w:t>
            </w:r>
          </w:p>
        </w:tc>
        <w:tc>
          <w:tcPr>
            <w:tcW w:w="486" w:type="pct"/>
            <w:tcBorders>
              <w:top w:val="single" w:sz="6" w:space="0" w:color="auto"/>
              <w:left w:val="single" w:sz="6" w:space="0" w:color="auto"/>
              <w:bottom w:val="single" w:sz="12" w:space="0" w:color="auto"/>
              <w:right w:val="single" w:sz="12" w:space="0" w:color="auto"/>
            </w:tcBorders>
            <w:shd w:val="clear" w:color="auto" w:fill="auto"/>
            <w:vAlign w:val="center"/>
            <w:hideMark/>
          </w:tcPr>
          <w:p w14:paraId="404E6089" w14:textId="77777777" w:rsidR="001C4919" w:rsidRPr="00ED37CF" w:rsidRDefault="001C4919" w:rsidP="00CC5A64">
            <w:pPr>
              <w:contextualSpacing/>
              <w:jc w:val="right"/>
              <w:rPr>
                <w:sz w:val="18"/>
                <w:szCs w:val="18"/>
              </w:rPr>
            </w:pPr>
            <w:r w:rsidRPr="00ED37CF">
              <w:rPr>
                <w:sz w:val="18"/>
                <w:szCs w:val="18"/>
              </w:rPr>
              <w:t>37%</w:t>
            </w:r>
          </w:p>
        </w:tc>
        <w:tc>
          <w:tcPr>
            <w:tcW w:w="861" w:type="pct"/>
            <w:tcBorders>
              <w:top w:val="single" w:sz="6" w:space="0" w:color="auto"/>
              <w:left w:val="single" w:sz="12" w:space="0" w:color="auto"/>
              <w:bottom w:val="single" w:sz="12" w:space="0" w:color="auto"/>
              <w:right w:val="single" w:sz="12" w:space="0" w:color="auto"/>
            </w:tcBorders>
            <w:shd w:val="clear" w:color="auto" w:fill="auto"/>
            <w:vAlign w:val="center"/>
            <w:hideMark/>
          </w:tcPr>
          <w:p w14:paraId="19DA4D86" w14:textId="77777777" w:rsidR="001C4919" w:rsidRPr="00ED37CF" w:rsidRDefault="001C4919" w:rsidP="00CC5A64">
            <w:pPr>
              <w:contextualSpacing/>
              <w:jc w:val="right"/>
              <w:rPr>
                <w:sz w:val="18"/>
                <w:szCs w:val="18"/>
              </w:rPr>
            </w:pPr>
            <w:r w:rsidRPr="00ED37CF">
              <w:rPr>
                <w:sz w:val="18"/>
                <w:szCs w:val="18"/>
              </w:rPr>
              <w:t>2,234 (73%)</w:t>
            </w:r>
          </w:p>
        </w:tc>
      </w:tr>
    </w:tbl>
    <w:p w14:paraId="41C200F9" w14:textId="77777777" w:rsidR="001C4919" w:rsidRPr="00ED37CF" w:rsidRDefault="001C4919" w:rsidP="00C47AD3">
      <w:pPr>
        <w:spacing w:before="240"/>
        <w:rPr>
          <w:b/>
          <w:lang w:eastAsia="ja-JP"/>
        </w:rPr>
      </w:pPr>
      <w:r w:rsidRPr="00ED37CF">
        <w:rPr>
          <w:b/>
          <w:lang w:eastAsia="ja-JP"/>
        </w:rPr>
        <w:t>Output 1.2</w:t>
      </w:r>
      <w:r w:rsidR="005E1EE9" w:rsidRPr="00ED37CF">
        <w:rPr>
          <w:b/>
          <w:lang w:eastAsia="ja-JP"/>
        </w:rPr>
        <w:t xml:space="preserve"> </w:t>
      </w:r>
      <w:r w:rsidRPr="00ED37CF">
        <w:rPr>
          <w:b/>
          <w:lang w:eastAsia="ja-JP"/>
        </w:rPr>
        <w:t>Access to employment and livelihood opportunities promoted.</w:t>
      </w:r>
    </w:p>
    <w:p w14:paraId="4AAC33E3" w14:textId="77777777" w:rsidR="001C4919" w:rsidRPr="00ED37CF" w:rsidRDefault="001C4919" w:rsidP="00C47AD3">
      <w:pPr>
        <w:rPr>
          <w:lang w:eastAsia="ja-JP"/>
        </w:rPr>
      </w:pPr>
      <w:r w:rsidRPr="00ED37CF">
        <w:rPr>
          <w:lang w:eastAsia="ja-JP"/>
        </w:rPr>
        <w:t>Early in the programme, a socio-economic team developed a support strategy in consultation with key members of the private sector, staff at the ROs, and graduates of the programme.</w:t>
      </w:r>
      <w:r w:rsidR="005E1EE9" w:rsidRPr="00ED37CF">
        <w:rPr>
          <w:lang w:eastAsia="ja-JP"/>
        </w:rPr>
        <w:t xml:space="preserve"> </w:t>
      </w:r>
      <w:r w:rsidRPr="00ED37CF">
        <w:rPr>
          <w:lang w:eastAsia="ja-JP"/>
        </w:rPr>
        <w:t>As a result of the consultations, five major components of the programme were identified as areas for improvement, including employment linkages, access to micro-credit, mentoring, monitoring</w:t>
      </w:r>
      <w:r w:rsidR="005E1EE9" w:rsidRPr="00ED37CF">
        <w:rPr>
          <w:lang w:eastAsia="ja-JP"/>
        </w:rPr>
        <w:t xml:space="preserve"> </w:t>
      </w:r>
      <w:r w:rsidRPr="00ED37CF">
        <w:rPr>
          <w:lang w:eastAsia="ja-JP"/>
        </w:rPr>
        <w:t>and follow up, and referral for enhanced training and education.</w:t>
      </w:r>
      <w:r w:rsidR="005E1EE9" w:rsidRPr="00ED37CF">
        <w:rPr>
          <w:lang w:eastAsia="ja-JP"/>
        </w:rPr>
        <w:t xml:space="preserve"> </w:t>
      </w:r>
      <w:r w:rsidRPr="00ED37CF">
        <w:rPr>
          <w:lang w:eastAsia="ja-JP"/>
        </w:rPr>
        <w:t>The team produced a set of guidelines, which defined the implementation stages of each strategic component, and held a series of orientation workshops at the regional offices for its implementation.</w:t>
      </w:r>
      <w:r w:rsidR="005E1EE9" w:rsidRPr="00ED37CF">
        <w:rPr>
          <w:lang w:eastAsia="ja-JP"/>
        </w:rPr>
        <w:t xml:space="preserve"> </w:t>
      </w:r>
      <w:r w:rsidRPr="00ED37CF">
        <w:rPr>
          <w:lang w:eastAsia="ja-JP"/>
        </w:rPr>
        <w:t>An employment and micro-credit needs assessment matrix was also developed, which matched needs of the graduates with employment possibilities. It also illustrated micro-credit market realities that helped to guide VMLR with linkages to possible job opportunities.</w:t>
      </w:r>
    </w:p>
    <w:p w14:paraId="4B4F66BA" w14:textId="77777777" w:rsidR="001C4919" w:rsidRPr="00ED37CF" w:rsidRDefault="001C4919" w:rsidP="00C47AD3">
      <w:pPr>
        <w:rPr>
          <w:lang w:eastAsia="ja-JP"/>
        </w:rPr>
      </w:pPr>
      <w:r w:rsidRPr="00ED37CF">
        <w:rPr>
          <w:u w:val="single"/>
          <w:lang w:eastAsia="ja-JP"/>
        </w:rPr>
        <w:t>Agreements with stakeholders:</w:t>
      </w:r>
      <w:r w:rsidRPr="00ED37CF">
        <w:rPr>
          <w:lang w:eastAsia="ja-JP"/>
        </w:rPr>
        <w:t xml:space="preserve"> To enhance the capacity of the newly established entrepreneurs, the programme </w:t>
      </w:r>
      <w:r w:rsidRPr="00ED37CF">
        <w:t>made efforts to identify potential institutions that offered loans, particularly those that did not require collateral.</w:t>
      </w:r>
      <w:r w:rsidR="005E1EE9" w:rsidRPr="00ED37CF">
        <w:t xml:space="preserve"> </w:t>
      </w:r>
      <w:r w:rsidRPr="00ED37CF">
        <w:t>In addition, UNIRP and the Youth and Small Entrepreneur Self Employment Fund (YSESEF) under the Ministry of Finance signed a MoU that enabled UNIRP graduates to access affordable loans to sustain and expand their businesses.</w:t>
      </w:r>
      <w:r w:rsidR="005E1EE9" w:rsidRPr="00ED37CF">
        <w:t xml:space="preserve"> </w:t>
      </w:r>
      <w:r w:rsidRPr="00ED37CF">
        <w:t>The agreement allowed UNIRP to facilitate linkages with micro- finance institutions and local-level cooperatives in order to enable participants to access loans for the purposes of promoting their businesses.</w:t>
      </w:r>
      <w:r w:rsidR="005E1EE9" w:rsidRPr="00ED37CF">
        <w:t xml:space="preserve"> </w:t>
      </w:r>
      <w:r w:rsidRPr="00ED37CF">
        <w:t>A special YSESEF fund was also set up to provide participants with access to micro-credit soft loans in amounts up to NRs. 200,000 without collateral.</w:t>
      </w:r>
      <w:r w:rsidR="005E1EE9" w:rsidRPr="00ED37CF">
        <w:t xml:space="preserve"> </w:t>
      </w:r>
      <w:r w:rsidRPr="00ED37CF">
        <w:t>In early 2013, UNIRP held a series of information-sharing sessions with UNIRP graduates and micro-finance institutions (MFIs), as the</w:t>
      </w:r>
      <w:r w:rsidRPr="00ED37CF">
        <w:rPr>
          <w:lang w:eastAsia="ja-JP"/>
        </w:rPr>
        <w:t xml:space="preserve"> service providers of YSESEF, on the loan processing mechanisms.</w:t>
      </w:r>
    </w:p>
    <w:p w14:paraId="4024D08D" w14:textId="77777777" w:rsidR="001C4919" w:rsidRPr="00ED37CF" w:rsidRDefault="001C4919" w:rsidP="00D77949">
      <w:r w:rsidRPr="00ED37CF">
        <w:rPr>
          <w:u w:val="single"/>
        </w:rPr>
        <w:t>Micro-credit Linkages:</w:t>
      </w:r>
      <w:r w:rsidRPr="00ED37CF">
        <w:t xml:space="preserve"> Altogether, UNIRP held 14 joint orientation workshops on processing loans through YSESEF intermediaries.</w:t>
      </w:r>
      <w:r w:rsidR="005E1EE9" w:rsidRPr="00ED37CF">
        <w:t xml:space="preserve"> </w:t>
      </w:r>
      <w:r w:rsidRPr="00ED37CF">
        <w:t>Overall, 53 districts were covered.</w:t>
      </w:r>
      <w:r w:rsidR="005E1EE9" w:rsidRPr="00ED37CF">
        <w:t xml:space="preserve"> </w:t>
      </w:r>
      <w:r w:rsidRPr="00ED37CF">
        <w:t>In total, 738 UNIRP graduates and 920 of YSESEF’s financial intermediaries and district coordinators participated in the sessions.</w:t>
      </w:r>
      <w:r w:rsidR="005E1EE9" w:rsidRPr="00ED37CF">
        <w:t xml:space="preserve"> </w:t>
      </w:r>
      <w:r w:rsidRPr="00ED37CF">
        <w:t>UNIRP also worked to enhance VMLR accessibility to loans through business mentoring and linkages with community-based saving and credit groups, cooperatives and local MFIs.</w:t>
      </w:r>
      <w:r w:rsidR="005E1EE9" w:rsidRPr="00ED37CF">
        <w:t xml:space="preserve"> </w:t>
      </w:r>
      <w:r w:rsidRPr="00ED37CF">
        <w:t>By the end of June 2013, over 195 graduates had either received micro-credit from local banks or financial institutions, or they had become members of local saving and credit groups as a way to expand and sustain their businesses.</w:t>
      </w:r>
      <w:r w:rsidR="005E1EE9" w:rsidRPr="00ED37CF">
        <w:t xml:space="preserve"> </w:t>
      </w:r>
      <w:r w:rsidRPr="00ED37CF">
        <w:t>By the programme’s closure, 49 participants had received loans through the YSESEF mechanism while 350 applications were still being reviewed.</w:t>
      </w:r>
    </w:p>
    <w:p w14:paraId="5F618909" w14:textId="77777777" w:rsidR="001C4919" w:rsidRPr="00ED37CF" w:rsidRDefault="001C4919" w:rsidP="00D77949">
      <w:r w:rsidRPr="00ED37CF">
        <w:rPr>
          <w:u w:val="single"/>
        </w:rPr>
        <w:lastRenderedPageBreak/>
        <w:t>Mapping local job opportunities:</w:t>
      </w:r>
      <w:r w:rsidRPr="00ED37CF">
        <w:t xml:space="preserve"> For those who did not succeed in establishing their own business, UNIRP helped to provide them with job placements by mapping and contacting institutions and organizations in an effort to create linkages with potential employers at both a national and local level.</w:t>
      </w:r>
      <w:r w:rsidR="005E1EE9" w:rsidRPr="00ED37CF">
        <w:t xml:space="preserve"> </w:t>
      </w:r>
      <w:r w:rsidRPr="00ED37CF">
        <w:t>Programme induction meetings were held with Nepalese national and local level private sector employers as well as local government bodies.</w:t>
      </w:r>
      <w:r w:rsidR="005E1EE9" w:rsidRPr="00ED37CF">
        <w:t xml:space="preserve"> </w:t>
      </w:r>
      <w:r w:rsidRPr="00ED37CF">
        <w:t>Nine workshops on strengthening the socio-economic dimension of the VMLR in major industrial corridors took place in Biratnagar, Birgunj, Bharatpur, Kathmandu, Pokhara, Butwal, Dang, Nepalgunj and Dhangadhi.</w:t>
      </w:r>
    </w:p>
    <w:p w14:paraId="3BD319FA" w14:textId="77777777" w:rsidR="001C4919" w:rsidRPr="00ED37CF" w:rsidRDefault="001C4919" w:rsidP="00D77949">
      <w:r w:rsidRPr="00ED37CF">
        <w:rPr>
          <w:u w:val="single"/>
        </w:rPr>
        <w:t>Stakeholders consulted:</w:t>
      </w:r>
      <w:r w:rsidRPr="00ED37CF">
        <w:t xml:space="preserve"> As part of the socio-economic strategy, UNIRP prioritized its efforts on follow-up messages, which included mentoring and developing effective linkages with potential local and national level initiatives and organizations. Stakeholders included the Federation of Nepalese Cottage &amp; Small Industries and its 32 district chapters, as well as 55 districts with the Chambers of Commerce and Industry, and a number of contractor associations at a regional and district level.</w:t>
      </w:r>
      <w:r w:rsidR="005E1EE9" w:rsidRPr="00ED37CF">
        <w:t xml:space="preserve"> </w:t>
      </w:r>
      <w:r w:rsidRPr="00ED37CF">
        <w:t>For the enhanced training component, UNIRP developed linkages with GoN’s MoPR, Care International, EVENT, the Emergency Peace Support Program, as well as the Helvetas Nepal.</w:t>
      </w:r>
    </w:p>
    <w:p w14:paraId="2C986164" w14:textId="5ECCDFA1" w:rsidR="001C4919" w:rsidRDefault="001C4919" w:rsidP="00D77949">
      <w:r w:rsidRPr="00ED37CF">
        <w:t>As part of its continuous efforts and collaboration with potential employers, UNIRP explored over 1,000 employment opportunities.</w:t>
      </w:r>
      <w:r w:rsidR="005E1EE9" w:rsidRPr="00ED37CF">
        <w:t xml:space="preserve"> </w:t>
      </w:r>
      <w:r w:rsidRPr="00ED37CF">
        <w:t>In addition, the private sector offered business mentoring to graduates and welcomed them to join related sectoral business associations.</w:t>
      </w:r>
      <w:r w:rsidR="005E1EE9" w:rsidRPr="00ED37CF">
        <w:t xml:space="preserve"> </w:t>
      </w:r>
      <w:r w:rsidR="00541EA3">
        <w:t>These efforts were fundamental in creating employment opportunities for VMLRs. The stigma associated with their past involvements otherwise would have created difficulty while seeking employment opportunities through their own effo</w:t>
      </w:r>
      <w:r w:rsidR="007A527B">
        <w:t>r</w:t>
      </w:r>
      <w:r w:rsidR="00541EA3">
        <w:t xml:space="preserve">ts.  </w:t>
      </w:r>
      <w:r w:rsidRPr="00ED37CF">
        <w:t>In total, 79% of the 2,234 VMLR who had enrolled in UNIRP completed their training or education</w:t>
      </w:r>
      <w:r w:rsidR="00541EA3">
        <w:t xml:space="preserve"> </w:t>
      </w:r>
      <w:r w:rsidR="003A2629">
        <w:t xml:space="preserve">(education support </w:t>
      </w:r>
      <w:r w:rsidR="001C4881">
        <w:rPr>
          <w:rFonts w:asciiTheme="minorHAnsi" w:hAnsiTheme="minorHAnsi" w:cstheme="minorHAnsi"/>
          <w:sz w:val="24"/>
          <w:szCs w:val="24"/>
        </w:rPr>
        <w:t>until Dec 2014</w:t>
      </w:r>
      <w:r w:rsidR="003A2629">
        <w:rPr>
          <w:rFonts w:asciiTheme="minorHAnsi" w:hAnsiTheme="minorHAnsi" w:cstheme="minorHAnsi"/>
          <w:sz w:val="24"/>
          <w:szCs w:val="24"/>
        </w:rPr>
        <w:t>)</w:t>
      </w:r>
      <w:r w:rsidR="001C4881">
        <w:rPr>
          <w:rFonts w:asciiTheme="minorHAnsi" w:hAnsiTheme="minorHAnsi" w:cstheme="minorHAnsi"/>
          <w:sz w:val="24"/>
          <w:szCs w:val="24"/>
        </w:rPr>
        <w:t>.</w:t>
      </w:r>
      <w:r w:rsidR="005E1EE9" w:rsidRPr="00ED37CF">
        <w:t xml:space="preserve"> </w:t>
      </w:r>
      <w:r w:rsidRPr="00ED37CF">
        <w:t>As of the end of July 2013, nearly 75% of the graduates had secured employment or established their own businesses.</w:t>
      </w:r>
      <w:r w:rsidR="00541EA3">
        <w:t xml:space="preserve"> </w:t>
      </w:r>
    </w:p>
    <w:p w14:paraId="3BA688AC" w14:textId="77777777" w:rsidR="006D42F7" w:rsidRDefault="006D42F7" w:rsidP="001C4919">
      <w:pPr>
        <w:pStyle w:val="Default"/>
        <w:widowControl w:val="0"/>
        <w:spacing w:after="120"/>
        <w:jc w:val="both"/>
        <w:rPr>
          <w:rFonts w:ascii="Myriad Pro" w:hAnsi="Myriad Pro" w:cs="Arial"/>
          <w:b/>
          <w:color w:val="auto"/>
          <w:sz w:val="22"/>
          <w:szCs w:val="22"/>
          <w:lang w:eastAsia="en-US"/>
        </w:rPr>
      </w:pPr>
    </w:p>
    <w:p w14:paraId="6CDCFD6F" w14:textId="77777777" w:rsidR="001C4919" w:rsidRPr="00ED37CF" w:rsidRDefault="001C4919" w:rsidP="001C4919">
      <w:pPr>
        <w:pStyle w:val="Default"/>
        <w:widowControl w:val="0"/>
        <w:spacing w:after="120"/>
        <w:jc w:val="both"/>
        <w:rPr>
          <w:rFonts w:ascii="Myriad Pro" w:hAnsi="Myriad Pro" w:cs="Arial"/>
          <w:b/>
          <w:color w:val="auto"/>
          <w:sz w:val="22"/>
          <w:szCs w:val="22"/>
          <w:lang w:eastAsia="en-US"/>
        </w:rPr>
      </w:pPr>
      <w:r w:rsidRPr="00ED37CF">
        <w:rPr>
          <w:rFonts w:ascii="Myriad Pro" w:hAnsi="Myriad Pro" w:cs="Arial"/>
          <w:b/>
          <w:color w:val="auto"/>
          <w:sz w:val="22"/>
          <w:szCs w:val="22"/>
          <w:lang w:eastAsia="en-US"/>
        </w:rPr>
        <w:t>Output 1.3 Project participants received career and psychosocial counselling.</w:t>
      </w:r>
    </w:p>
    <w:p w14:paraId="74F38FCB" w14:textId="77777777" w:rsidR="001C4919" w:rsidRPr="00ED37CF" w:rsidRDefault="001C4919" w:rsidP="00D77949">
      <w:pPr>
        <w:rPr>
          <w:lang w:eastAsia="ja-JP"/>
        </w:rPr>
      </w:pPr>
      <w:r w:rsidRPr="00ED37CF">
        <w:rPr>
          <w:u w:val="single"/>
          <w:lang w:eastAsia="ja-JP"/>
        </w:rPr>
        <w:t>Career counselling:</w:t>
      </w:r>
      <w:r w:rsidRPr="00ED37CF">
        <w:rPr>
          <w:lang w:eastAsia="ja-JP"/>
        </w:rPr>
        <w:t xml:space="preserve"> Given that many of the VMLR had spent their prior years in the army, they lacked the skills, education, family support and clear guidance that would lead them to sustainable livelihoods.</w:t>
      </w:r>
      <w:r w:rsidR="005E1EE9" w:rsidRPr="00ED37CF">
        <w:rPr>
          <w:lang w:eastAsia="ja-JP"/>
        </w:rPr>
        <w:t xml:space="preserve"> </w:t>
      </w:r>
      <w:r w:rsidRPr="00ED37CF">
        <w:rPr>
          <w:lang w:eastAsia="ja-JP"/>
        </w:rPr>
        <w:t>To support their socio-economic rehabilitation, UNIRP provided career counselling in the initial stages to 2,477 VMLR.</w:t>
      </w:r>
      <w:r w:rsidR="005E1EE9" w:rsidRPr="00ED37CF">
        <w:rPr>
          <w:lang w:eastAsia="ja-JP"/>
        </w:rPr>
        <w:t xml:space="preserve"> </w:t>
      </w:r>
      <w:r w:rsidRPr="00ED37CF">
        <w:rPr>
          <w:lang w:eastAsia="ja-JP"/>
        </w:rPr>
        <w:t>During the post-training phase, UNIRP maintained post-training career counselling with the graduates through continuous and on-going field visits and telephone calls.</w:t>
      </w:r>
      <w:r w:rsidR="005E1EE9" w:rsidRPr="00ED37CF">
        <w:rPr>
          <w:lang w:eastAsia="ja-JP"/>
        </w:rPr>
        <w:t xml:space="preserve"> </w:t>
      </w:r>
      <w:r w:rsidRPr="00ED37CF">
        <w:rPr>
          <w:lang w:eastAsia="ja-JP"/>
        </w:rPr>
        <w:t>The sessions included in-depth needs assessment to identify barriers preventing them from achieving their goals.</w:t>
      </w:r>
      <w:r w:rsidR="005E1EE9" w:rsidRPr="00ED37CF">
        <w:rPr>
          <w:lang w:eastAsia="ja-JP"/>
        </w:rPr>
        <w:t xml:space="preserve"> </w:t>
      </w:r>
      <w:r w:rsidRPr="00ED37CF">
        <w:rPr>
          <w:lang w:eastAsia="ja-JP"/>
        </w:rPr>
        <w:t>In total, 507 participants received guidance in developing a career path to help them reach their goals.</w:t>
      </w:r>
    </w:p>
    <w:p w14:paraId="3EE06458" w14:textId="6CE9BDAF" w:rsidR="001C4919" w:rsidRPr="00ED37CF" w:rsidRDefault="001C4919" w:rsidP="00D77949">
      <w:pPr>
        <w:rPr>
          <w:lang w:eastAsia="ja-JP"/>
        </w:rPr>
      </w:pPr>
      <w:r w:rsidRPr="00ED37CF">
        <w:rPr>
          <w:u w:val="single"/>
          <w:lang w:eastAsia="ja-JP"/>
        </w:rPr>
        <w:t>Business mentoring:</w:t>
      </w:r>
      <w:r w:rsidRPr="00ED37CF">
        <w:rPr>
          <w:lang w:eastAsia="ja-JP"/>
        </w:rPr>
        <w:t xml:space="preserve"> Another component of the career counselling programme was business mentoring.</w:t>
      </w:r>
      <w:r w:rsidR="005E1EE9" w:rsidRPr="00ED37CF">
        <w:rPr>
          <w:lang w:eastAsia="ja-JP"/>
        </w:rPr>
        <w:t xml:space="preserve"> </w:t>
      </w:r>
      <w:r w:rsidRPr="00ED37CF">
        <w:rPr>
          <w:lang w:eastAsia="ja-JP"/>
        </w:rPr>
        <w:t>Specific support was provided to VMLR on how to develop new skills, link with local markets, mobilize resources, establish customer relationships, access low interest loans, improve financial literacy and promote their businesses.</w:t>
      </w:r>
      <w:r w:rsidR="005E1EE9" w:rsidRPr="00ED37CF">
        <w:rPr>
          <w:lang w:eastAsia="ja-JP"/>
        </w:rPr>
        <w:t xml:space="preserve"> </w:t>
      </w:r>
      <w:r w:rsidRPr="00ED37CF">
        <w:rPr>
          <w:lang w:eastAsia="ja-JP"/>
        </w:rPr>
        <w:t>UNIRP also provided the programme participants with an opportunity to observe how other participants in similar businesses had successfully managed their problems.</w:t>
      </w:r>
      <w:r w:rsidR="005E1EE9" w:rsidRPr="00ED37CF">
        <w:rPr>
          <w:lang w:eastAsia="ja-JP"/>
        </w:rPr>
        <w:t xml:space="preserve"> </w:t>
      </w:r>
      <w:r w:rsidRPr="00ED37CF">
        <w:rPr>
          <w:lang w:eastAsia="ja-JP"/>
        </w:rPr>
        <w:t>As part of this support programme, representatives from the District Chamber of Commerce &amp; Industry provided mentoring services to UNIRP graduates and linked them with required future support.</w:t>
      </w:r>
      <w:r w:rsidR="005E1EE9" w:rsidRPr="00ED37CF">
        <w:rPr>
          <w:lang w:eastAsia="ja-JP"/>
        </w:rPr>
        <w:t xml:space="preserve"> </w:t>
      </w:r>
      <w:r w:rsidRPr="00ED37CF">
        <w:rPr>
          <w:lang w:eastAsia="ja-JP"/>
        </w:rPr>
        <w:t xml:space="preserve">Altogether, </w:t>
      </w:r>
      <w:r w:rsidR="0074442F" w:rsidRPr="00ED37CF">
        <w:rPr>
          <w:lang w:eastAsia="ja-JP"/>
        </w:rPr>
        <w:t>1072</w:t>
      </w:r>
      <w:r w:rsidRPr="00ED37CF">
        <w:rPr>
          <w:lang w:eastAsia="ja-JP"/>
        </w:rPr>
        <w:t xml:space="preserve"> graduates received business mentoring </w:t>
      </w:r>
      <w:r w:rsidR="0018751B">
        <w:rPr>
          <w:lang w:eastAsia="ja-JP"/>
        </w:rPr>
        <w:t>as part of</w:t>
      </w:r>
      <w:r w:rsidRPr="00ED37CF">
        <w:rPr>
          <w:lang w:eastAsia="ja-JP"/>
        </w:rPr>
        <w:t xml:space="preserve"> their socio-economic rehabilitation.</w:t>
      </w:r>
    </w:p>
    <w:p w14:paraId="1A91577D" w14:textId="1A6AE231" w:rsidR="009A0FE9" w:rsidRDefault="001C4919" w:rsidP="009A0FE9">
      <w:pPr>
        <w:rPr>
          <w:lang w:eastAsia="ja-JP"/>
        </w:rPr>
      </w:pPr>
      <w:r w:rsidRPr="00ED37CF">
        <w:rPr>
          <w:u w:val="single"/>
          <w:lang w:eastAsia="ja-JP"/>
        </w:rPr>
        <w:t>Psychosocial counselling</w:t>
      </w:r>
      <w:r w:rsidRPr="00ED37CF">
        <w:rPr>
          <w:lang w:eastAsia="ja-JP"/>
        </w:rPr>
        <w:t>: For many of the VMLR, the war had a damaging effect on their psychosocial well-being.</w:t>
      </w:r>
      <w:r w:rsidR="005E1EE9" w:rsidRPr="00ED37CF">
        <w:rPr>
          <w:lang w:eastAsia="ja-JP"/>
        </w:rPr>
        <w:t xml:space="preserve"> </w:t>
      </w:r>
      <w:r w:rsidRPr="00ED37CF">
        <w:rPr>
          <w:lang w:eastAsia="ja-JP"/>
        </w:rPr>
        <w:t>Following their release from the cantonments, a significant number of the VMLR displayed signs of post-traumatic stress disorder and other psychosocial problems.</w:t>
      </w:r>
      <w:r w:rsidR="005E1EE9" w:rsidRPr="00ED37CF">
        <w:rPr>
          <w:lang w:eastAsia="ja-JP"/>
        </w:rPr>
        <w:t xml:space="preserve"> </w:t>
      </w:r>
      <w:r w:rsidRPr="00ED37CF">
        <w:rPr>
          <w:lang w:eastAsia="ja-JP"/>
        </w:rPr>
        <w:t xml:space="preserve">Adding to their feelings of fear and anxiety, many of the VLMR exhibited various forms of anti-social behaviour and aggression, which </w:t>
      </w:r>
      <w:r w:rsidRPr="00ED37CF">
        <w:rPr>
          <w:lang w:eastAsia="ja-JP"/>
        </w:rPr>
        <w:lastRenderedPageBreak/>
        <w:t>also created additional challenges for UNIRP staff in their rehabilitation process.</w:t>
      </w:r>
      <w:r w:rsidR="005E1EE9" w:rsidRPr="00ED37CF">
        <w:rPr>
          <w:lang w:eastAsia="ja-JP"/>
        </w:rPr>
        <w:t xml:space="preserve"> </w:t>
      </w:r>
      <w:r w:rsidRPr="00ED37CF">
        <w:rPr>
          <w:lang w:eastAsia="ja-JP"/>
        </w:rPr>
        <w:t xml:space="preserve">Coordinated by UNICEF, CAAFAG and CAAC </w:t>
      </w:r>
      <w:r w:rsidR="0018751B">
        <w:rPr>
          <w:lang w:eastAsia="ja-JP"/>
        </w:rPr>
        <w:t xml:space="preserve">working group members </w:t>
      </w:r>
      <w:r w:rsidRPr="00ED37CF">
        <w:rPr>
          <w:lang w:eastAsia="ja-JP"/>
        </w:rPr>
        <w:t>provided psychosocial support to the VMLR in several districts of Nepal.</w:t>
      </w:r>
      <w:r w:rsidR="005E1EE9" w:rsidRPr="00ED37CF">
        <w:rPr>
          <w:lang w:eastAsia="ja-JP"/>
        </w:rPr>
        <w:t xml:space="preserve"> </w:t>
      </w:r>
      <w:r w:rsidRPr="00ED37CF">
        <w:rPr>
          <w:lang w:eastAsia="ja-JP"/>
        </w:rPr>
        <w:t>One of the major components of the psychosocial programme was building the capacity of local partners on psychosocial issues in order to ensure the sustainability of support services, as well as providing context specific services to the CAAFAG/CAAC and the larger community.</w:t>
      </w:r>
      <w:r w:rsidR="005E1EE9" w:rsidRPr="00ED37CF">
        <w:rPr>
          <w:lang w:eastAsia="ja-JP"/>
        </w:rPr>
        <w:t xml:space="preserve"> </w:t>
      </w:r>
      <w:r w:rsidRPr="00ED37CF">
        <w:rPr>
          <w:lang w:eastAsia="ja-JP"/>
        </w:rPr>
        <w:t>Fifty five community social workers in child protection received training on basic psychosocial support services.</w:t>
      </w:r>
      <w:r w:rsidR="005E1EE9" w:rsidRPr="00ED37CF">
        <w:rPr>
          <w:lang w:eastAsia="ja-JP"/>
        </w:rPr>
        <w:t xml:space="preserve"> </w:t>
      </w:r>
      <w:r w:rsidRPr="00ED37CF">
        <w:rPr>
          <w:lang w:eastAsia="ja-JP"/>
        </w:rPr>
        <w:t>In total, 45% (1,373 of 3,040) of the VMLR received psychosocial services and 480 cases were followed-up.</w:t>
      </w:r>
      <w:r w:rsidR="005E1EE9" w:rsidRPr="00ED37CF">
        <w:rPr>
          <w:lang w:eastAsia="ja-JP"/>
        </w:rPr>
        <w:t xml:space="preserve"> </w:t>
      </w:r>
      <w:r w:rsidRPr="00ED37CF">
        <w:rPr>
          <w:lang w:eastAsia="ja-JP"/>
        </w:rPr>
        <w:t xml:space="preserve">The results of a longitudinal study conducted by TPO revealed that </w:t>
      </w:r>
      <w:r w:rsidR="009A0FE9">
        <w:rPr>
          <w:lang w:eastAsia="ja-JP"/>
        </w:rPr>
        <w:t xml:space="preserve">35% of the overall respondents contacted </w:t>
      </w:r>
      <w:r w:rsidR="003A2629">
        <w:rPr>
          <w:lang w:eastAsia="ja-JP"/>
        </w:rPr>
        <w:t xml:space="preserve">had </w:t>
      </w:r>
      <w:r w:rsidR="009A0FE9" w:rsidRPr="007A527B">
        <w:rPr>
          <w:lang w:eastAsia="ja-JP"/>
        </w:rPr>
        <w:t>attended psycho-social counselling sessions. More females (42% of total female</w:t>
      </w:r>
      <w:r w:rsidR="003A2629" w:rsidRPr="007A527B">
        <w:rPr>
          <w:lang w:eastAsia="ja-JP"/>
        </w:rPr>
        <w:t xml:space="preserve"> contacted</w:t>
      </w:r>
      <w:r w:rsidR="009A0FE9" w:rsidRPr="007A527B">
        <w:rPr>
          <w:lang w:eastAsia="ja-JP"/>
        </w:rPr>
        <w:t xml:space="preserve">) </w:t>
      </w:r>
      <w:r w:rsidR="003A2629" w:rsidRPr="007A527B">
        <w:rPr>
          <w:lang w:eastAsia="ja-JP"/>
        </w:rPr>
        <w:t xml:space="preserve">had </w:t>
      </w:r>
      <w:r w:rsidR="009A0FE9" w:rsidRPr="007A527B">
        <w:rPr>
          <w:lang w:eastAsia="ja-JP"/>
        </w:rPr>
        <w:t>consulted counsellors than males (31%).</w:t>
      </w:r>
    </w:p>
    <w:p w14:paraId="743628AA" w14:textId="47634051" w:rsidR="001C4919" w:rsidRPr="00ED37CF" w:rsidRDefault="001C4919" w:rsidP="00D77949">
      <w:pPr>
        <w:rPr>
          <w:lang w:eastAsia="ja-JP"/>
        </w:rPr>
      </w:pPr>
      <w:r w:rsidRPr="00ED37CF">
        <w:rPr>
          <w:lang w:eastAsia="ja-JP"/>
        </w:rPr>
        <w:t>Cases with special needs were referred to CAAFAG partners, TPO and CVICT for specific support. Participants with war injuries were referred for specialized health and psychosocial treatment. By the end of the reporting period, 28 VMLR had received specialized mental health and psychosocial support.</w:t>
      </w:r>
    </w:p>
    <w:p w14:paraId="5CC2E6D6" w14:textId="6B510E10" w:rsidR="001C4919" w:rsidRPr="00ED37CF" w:rsidRDefault="001C4919" w:rsidP="001C4919">
      <w:pPr>
        <w:widowControl w:val="0"/>
        <w:tabs>
          <w:tab w:val="left" w:pos="426"/>
        </w:tabs>
        <w:rPr>
          <w:rFonts w:cs="Arial"/>
          <w:b/>
        </w:rPr>
      </w:pPr>
      <w:r w:rsidRPr="00ED37CF">
        <w:rPr>
          <w:rFonts w:cs="Arial"/>
          <w:b/>
        </w:rPr>
        <w:t>Output 1.4 Specific gender considerations regarding VMLR</w:t>
      </w:r>
      <w:r w:rsidR="00C53DE7">
        <w:rPr>
          <w:rFonts w:cs="Arial"/>
          <w:b/>
        </w:rPr>
        <w:t xml:space="preserve"> were</w:t>
      </w:r>
      <w:r w:rsidRPr="00ED37CF">
        <w:rPr>
          <w:rFonts w:cs="Arial"/>
          <w:b/>
        </w:rPr>
        <w:t xml:space="preserve"> prioritised</w:t>
      </w:r>
      <w:r w:rsidR="00C53DE7">
        <w:rPr>
          <w:rFonts w:cs="Arial"/>
          <w:b/>
        </w:rPr>
        <w:t>.</w:t>
      </w:r>
    </w:p>
    <w:p w14:paraId="4C98CA82" w14:textId="1D0334E6" w:rsidR="00C53DE7" w:rsidRPr="007A527B" w:rsidRDefault="001C4919" w:rsidP="00F76706">
      <w:pPr>
        <w:rPr>
          <w:lang w:eastAsia="ja-JP"/>
        </w:rPr>
      </w:pPr>
      <w:r w:rsidRPr="007A527B">
        <w:rPr>
          <w:lang w:eastAsia="ja-JP"/>
        </w:rPr>
        <w:t>Since 30% of the VMLR were women</w:t>
      </w:r>
      <w:r w:rsidR="0018751B" w:rsidRPr="007A527B">
        <w:rPr>
          <w:lang w:eastAsia="ja-JP"/>
        </w:rPr>
        <w:t xml:space="preserve"> and girls</w:t>
      </w:r>
      <w:r w:rsidRPr="007A527B">
        <w:rPr>
          <w:lang w:eastAsia="ja-JP"/>
        </w:rPr>
        <w:t>, the UN placed a priority on gender issues from the beginning of the discharge process from the Maoist cantonment.</w:t>
      </w:r>
      <w:r w:rsidR="005E1EE9" w:rsidRPr="007A527B">
        <w:rPr>
          <w:lang w:eastAsia="ja-JP"/>
        </w:rPr>
        <w:t xml:space="preserve"> </w:t>
      </w:r>
      <w:r w:rsidR="003A2629" w:rsidRPr="007A527B">
        <w:rPr>
          <w:lang w:eastAsia="ja-JP"/>
        </w:rPr>
        <w:t>Social workers (N</w:t>
      </w:r>
      <w:r w:rsidR="007A527B" w:rsidRPr="007A527B">
        <w:rPr>
          <w:lang w:eastAsia="ja-JP"/>
        </w:rPr>
        <w:t>GO</w:t>
      </w:r>
      <w:r w:rsidR="003A2629" w:rsidRPr="007A527B">
        <w:rPr>
          <w:lang w:eastAsia="ja-JP"/>
        </w:rPr>
        <w:t xml:space="preserve"> partners) were specially trained to assess gender needs and provide individual care, counselling and follow-up support to individual and their families. </w:t>
      </w:r>
      <w:r w:rsidRPr="007A527B">
        <w:rPr>
          <w:lang w:eastAsia="ja-JP"/>
        </w:rPr>
        <w:t>At that point, UNIRP undertook a comprehensive gender responsive approach in order to ensure the participation and successful rehabilitation of the female ex-combatants as well as to introduce extra measures to support children and families with specific needs. A comprehensive Gender Specific Support matrix was implemented to target particularly vulnerable women</w:t>
      </w:r>
      <w:r w:rsidR="00CF069B" w:rsidRPr="007A527B">
        <w:rPr>
          <w:lang w:eastAsia="ja-JP"/>
        </w:rPr>
        <w:t xml:space="preserve"> and men</w:t>
      </w:r>
      <w:r w:rsidRPr="007A527B">
        <w:rPr>
          <w:lang w:eastAsia="ja-JP"/>
        </w:rPr>
        <w:t>, i.e. pregnant and lactating mothers, and women caring for young children under five years old</w:t>
      </w:r>
      <w:r w:rsidR="00CF069B" w:rsidRPr="007A527B">
        <w:rPr>
          <w:lang w:eastAsia="ja-JP"/>
        </w:rPr>
        <w:t xml:space="preserve"> and single parent</w:t>
      </w:r>
      <w:r w:rsidR="007A527B" w:rsidRPr="007A527B">
        <w:rPr>
          <w:lang w:eastAsia="ja-JP"/>
        </w:rPr>
        <w:t>s</w:t>
      </w:r>
      <w:r w:rsidRPr="007A527B">
        <w:rPr>
          <w:lang w:eastAsia="ja-JP"/>
        </w:rPr>
        <w:t>.</w:t>
      </w:r>
      <w:r w:rsidR="005E1EE9" w:rsidRPr="007A527B">
        <w:rPr>
          <w:lang w:eastAsia="ja-JP"/>
        </w:rPr>
        <w:t xml:space="preserve"> </w:t>
      </w:r>
      <w:r w:rsidRPr="007A527B">
        <w:rPr>
          <w:lang w:eastAsia="ja-JP"/>
        </w:rPr>
        <w:t>It also focussed on better protection and well-being of their children while at the same time encouraging more participation of both men and women VMLR.</w:t>
      </w:r>
      <w:r w:rsidR="005E1EE9" w:rsidRPr="007A527B">
        <w:rPr>
          <w:lang w:eastAsia="ja-JP"/>
        </w:rPr>
        <w:t xml:space="preserve"> </w:t>
      </w:r>
      <w:r w:rsidRPr="007A527B">
        <w:rPr>
          <w:lang w:eastAsia="ja-JP"/>
        </w:rPr>
        <w:t>Forms of gender support that UNIRP provided</w:t>
      </w:r>
      <w:r w:rsidR="0018751B" w:rsidRPr="007A527B">
        <w:rPr>
          <w:lang w:eastAsia="ja-JP"/>
        </w:rPr>
        <w:t xml:space="preserve"> women and men</w:t>
      </w:r>
      <w:r w:rsidRPr="007A527B">
        <w:rPr>
          <w:lang w:eastAsia="ja-JP"/>
        </w:rPr>
        <w:t xml:space="preserve"> included: child care grants, reproductive or health support, nutritional support such as baby food, and maternity allowances for pregnant women.</w:t>
      </w:r>
      <w:r w:rsidR="005E1EE9" w:rsidRPr="007A527B">
        <w:rPr>
          <w:lang w:eastAsia="ja-JP"/>
        </w:rPr>
        <w:t xml:space="preserve"> </w:t>
      </w:r>
      <w:r w:rsidRPr="007A527B">
        <w:rPr>
          <w:lang w:eastAsia="ja-JP"/>
        </w:rPr>
        <w:t>Four key partners of UNIRP were the Women’s Federation in Nepal, the Women Rehabilitation Centre, Department of Women Development and the Ministry of Women, Children and Social Welfare.</w:t>
      </w:r>
      <w:r w:rsidR="005E1EE9" w:rsidRPr="007A527B">
        <w:rPr>
          <w:lang w:eastAsia="ja-JP"/>
        </w:rPr>
        <w:t xml:space="preserve"> </w:t>
      </w:r>
      <w:r w:rsidR="00127905" w:rsidRPr="00ED37CF">
        <w:rPr>
          <w:lang w:eastAsia="ja-JP"/>
        </w:rPr>
        <w:t>UNIRP provided 2,221 gender specific support</w:t>
      </w:r>
      <w:r w:rsidR="00C53DE7">
        <w:rPr>
          <w:lang w:eastAsia="ja-JP"/>
        </w:rPr>
        <w:t xml:space="preserve"> service</w:t>
      </w:r>
      <w:r w:rsidR="008977D1" w:rsidRPr="00ED37CF">
        <w:rPr>
          <w:lang w:eastAsia="ja-JP"/>
        </w:rPr>
        <w:t>s</w:t>
      </w:r>
      <w:r w:rsidR="00127905" w:rsidRPr="00ED37CF">
        <w:rPr>
          <w:lang w:eastAsia="ja-JP"/>
        </w:rPr>
        <w:t xml:space="preserve"> to 1024 VMLR and their immediate families. The support was in the form of nutritional support to 554 pregnant and lactating mothers and spouses of male participants</w:t>
      </w:r>
      <w:r w:rsidR="00C53DE7">
        <w:rPr>
          <w:lang w:eastAsia="ja-JP"/>
        </w:rPr>
        <w:t>;</w:t>
      </w:r>
      <w:r w:rsidR="00127905" w:rsidRPr="00ED37CF">
        <w:rPr>
          <w:lang w:eastAsia="ja-JP"/>
        </w:rPr>
        <w:t xml:space="preserve"> reproductive health support for 22 mothers</w:t>
      </w:r>
      <w:r w:rsidR="00C53DE7">
        <w:rPr>
          <w:lang w:eastAsia="ja-JP"/>
        </w:rPr>
        <w:t>;</w:t>
      </w:r>
      <w:r w:rsidR="00127905" w:rsidRPr="00ED37CF">
        <w:rPr>
          <w:lang w:eastAsia="ja-JP"/>
        </w:rPr>
        <w:t xml:space="preserve"> basic health support to 186 children</w:t>
      </w:r>
      <w:r w:rsidR="00C53DE7">
        <w:rPr>
          <w:lang w:eastAsia="ja-JP"/>
        </w:rPr>
        <w:t>;</w:t>
      </w:r>
      <w:r w:rsidR="00127905" w:rsidRPr="00ED37CF">
        <w:rPr>
          <w:lang w:eastAsia="ja-JP"/>
        </w:rPr>
        <w:t xml:space="preserve"> childcare support</w:t>
      </w:r>
      <w:r w:rsidR="00C53DE7">
        <w:rPr>
          <w:lang w:eastAsia="ja-JP"/>
        </w:rPr>
        <w:t xml:space="preserve"> for </w:t>
      </w:r>
      <w:r w:rsidR="00C53DE7" w:rsidRPr="00ED37CF">
        <w:rPr>
          <w:lang w:eastAsia="ja-JP"/>
        </w:rPr>
        <w:t>388 participants</w:t>
      </w:r>
      <w:r w:rsidR="00127905" w:rsidRPr="00ED37CF">
        <w:rPr>
          <w:lang w:eastAsia="ja-JP"/>
        </w:rPr>
        <w:t>, while childcare grants were given to parents of 966 children with baby food supplies</w:t>
      </w:r>
      <w:r w:rsidR="00C53DE7">
        <w:rPr>
          <w:lang w:eastAsia="ja-JP"/>
        </w:rPr>
        <w:t>;</w:t>
      </w:r>
      <w:r w:rsidR="00127905" w:rsidRPr="00ED37CF">
        <w:rPr>
          <w:lang w:eastAsia="ja-JP"/>
        </w:rPr>
        <w:t xml:space="preserve"> 73 maternity / paternity allowances</w:t>
      </w:r>
      <w:r w:rsidR="00C53DE7">
        <w:rPr>
          <w:lang w:eastAsia="ja-JP"/>
        </w:rPr>
        <w:t>;</w:t>
      </w:r>
      <w:r w:rsidR="00127905" w:rsidRPr="00ED37CF">
        <w:rPr>
          <w:lang w:eastAsia="ja-JP"/>
        </w:rPr>
        <w:t xml:space="preserve"> and 32 other gender specific support.</w:t>
      </w:r>
      <w:r w:rsidRPr="007A527B">
        <w:rPr>
          <w:lang w:eastAsia="ja-JP"/>
        </w:rPr>
        <w:t xml:space="preserve"> </w:t>
      </w:r>
      <w:r w:rsidR="00CF069B">
        <w:rPr>
          <w:lang w:eastAsia="ja-JP"/>
        </w:rPr>
        <w:t>UNIRP found that gender support was a vital part of reintegration because t</w:t>
      </w:r>
      <w:r w:rsidR="00CE4D65" w:rsidRPr="00F76706">
        <w:rPr>
          <w:lang w:eastAsia="ja-JP"/>
        </w:rPr>
        <w:t>he participation of women and girls increased</w:t>
      </w:r>
      <w:r w:rsidR="00CE4D65" w:rsidRPr="007A527B">
        <w:rPr>
          <w:lang w:eastAsia="ja-JP"/>
        </w:rPr>
        <w:t xml:space="preserve"> </w:t>
      </w:r>
      <w:r w:rsidR="00CE4D65" w:rsidRPr="00F76706">
        <w:rPr>
          <w:lang w:eastAsia="ja-JP"/>
        </w:rPr>
        <w:t xml:space="preserve">remarkably with the introduction of gender-specific </w:t>
      </w:r>
      <w:r w:rsidR="007A527B" w:rsidRPr="007A527B">
        <w:rPr>
          <w:lang w:eastAsia="ja-JP"/>
        </w:rPr>
        <w:t>s</w:t>
      </w:r>
      <w:r w:rsidR="00CE4D65" w:rsidRPr="00F76706">
        <w:rPr>
          <w:lang w:eastAsia="ja-JP"/>
        </w:rPr>
        <w:t>upport. After the closing of the enrolments, 38% of those enrolled in the programme were</w:t>
      </w:r>
      <w:r w:rsidR="00CF069B" w:rsidRPr="007A527B">
        <w:rPr>
          <w:lang w:eastAsia="ja-JP"/>
        </w:rPr>
        <w:t xml:space="preserve"> </w:t>
      </w:r>
      <w:r w:rsidR="00CE4D65" w:rsidRPr="00F76706">
        <w:rPr>
          <w:lang w:eastAsia="ja-JP"/>
        </w:rPr>
        <w:t xml:space="preserve">female, while their share of the total group of VMLRs is 30%. </w:t>
      </w:r>
      <w:r w:rsidR="00CF069B" w:rsidRPr="007A527B">
        <w:rPr>
          <w:lang w:eastAsia="ja-JP"/>
        </w:rPr>
        <w:t xml:space="preserve">UNIRP’s continuous monitoring showed that </w:t>
      </w:r>
      <w:r w:rsidR="00CF069B">
        <w:rPr>
          <w:lang w:eastAsia="ja-JP"/>
        </w:rPr>
        <w:t xml:space="preserve">without specific support, many women, girls and single parents in particular were unable to participate in trainings. </w:t>
      </w:r>
    </w:p>
    <w:p w14:paraId="4155E489" w14:textId="77777777" w:rsidR="00CF069B" w:rsidRPr="00CE4D65" w:rsidRDefault="00CF069B" w:rsidP="00F76706">
      <w:pPr>
        <w:autoSpaceDE w:val="0"/>
        <w:autoSpaceDN w:val="0"/>
        <w:adjustRightInd w:val="0"/>
        <w:spacing w:after="0" w:line="240" w:lineRule="auto"/>
        <w:jc w:val="left"/>
        <w:rPr>
          <w:rFonts w:cs="Arial"/>
          <w:color w:val="000000"/>
          <w:spacing w:val="2"/>
        </w:rPr>
      </w:pPr>
    </w:p>
    <w:p w14:paraId="3C1E7AEE" w14:textId="0159D125" w:rsidR="001C4919" w:rsidRPr="00ED37CF" w:rsidRDefault="001C4919" w:rsidP="001C4919">
      <w:pPr>
        <w:widowControl w:val="0"/>
        <w:tabs>
          <w:tab w:val="left" w:pos="426"/>
        </w:tabs>
        <w:rPr>
          <w:rFonts w:cs="Arial"/>
          <w:color w:val="000000"/>
          <w:spacing w:val="2"/>
        </w:rPr>
      </w:pPr>
      <w:r w:rsidRPr="00ED37CF">
        <w:rPr>
          <w:rFonts w:cs="Arial"/>
          <w:lang w:eastAsia="ja-JP"/>
        </w:rPr>
        <w:t xml:space="preserve">The rates of those who had completed training/education were proportionally higher for women in ME, health-related training or education. The ratios in support of female VMLR were positive indicators of the success of the gender specific support policy. In addition, a total of </w:t>
      </w:r>
      <w:r w:rsidRPr="00ED37CF">
        <w:rPr>
          <w:rFonts w:cs="Arial"/>
          <w:color w:val="000000"/>
          <w:spacing w:val="2"/>
        </w:rPr>
        <w:t>26 national level networks and women’s organizations helped to implement United Nations Security Council Resolutions 1325 and 1820.</w:t>
      </w:r>
      <w:r w:rsidR="007A527B">
        <w:rPr>
          <w:rFonts w:cs="Arial"/>
          <w:color w:val="000000"/>
          <w:spacing w:val="2"/>
        </w:rPr>
        <w:t xml:space="preserve"> I</w:t>
      </w:r>
      <w:r w:rsidR="007A527B">
        <w:t xml:space="preserve">n coordination with MOPR, an assessment to identify what are the gaps in 1325/1820 and how to </w:t>
      </w:r>
      <w:r w:rsidR="007A527B">
        <w:lastRenderedPageBreak/>
        <w:t>contribute to overcome these gaps was implemented through these networks.</w:t>
      </w:r>
    </w:p>
    <w:p w14:paraId="785ED878" w14:textId="77777777" w:rsidR="001C4919" w:rsidRPr="00ED37CF" w:rsidRDefault="001C4919" w:rsidP="001C4919">
      <w:pPr>
        <w:widowControl w:val="0"/>
        <w:tabs>
          <w:tab w:val="left" w:pos="426"/>
        </w:tabs>
        <w:rPr>
          <w:rFonts w:cs="Arial"/>
          <w:b/>
          <w:lang w:eastAsia="ja-JP"/>
        </w:rPr>
      </w:pPr>
      <w:r w:rsidRPr="00ED37CF">
        <w:rPr>
          <w:rFonts w:cs="Arial"/>
          <w:b/>
          <w:lang w:eastAsia="ja-JP"/>
        </w:rPr>
        <w:t>Output 1.5 Individual rehabilitation option packages were implemented.</w:t>
      </w:r>
    </w:p>
    <w:p w14:paraId="69A375E4" w14:textId="452252DB" w:rsidR="001C4919" w:rsidRPr="00ED37CF" w:rsidRDefault="001C4919" w:rsidP="001C4919">
      <w:pPr>
        <w:widowControl w:val="0"/>
        <w:tabs>
          <w:tab w:val="left" w:pos="426"/>
        </w:tabs>
        <w:rPr>
          <w:rFonts w:cs="Arial"/>
          <w:lang w:eastAsia="ja-JP"/>
        </w:rPr>
      </w:pPr>
      <w:r w:rsidRPr="00ED37CF">
        <w:rPr>
          <w:rFonts w:cs="Arial"/>
          <w:lang w:eastAsia="ja-JP"/>
        </w:rPr>
        <w:t>Through a process of dynamic adjustment, the programme components were continuously strengthened and levels of excellence were achieved.</w:t>
      </w:r>
      <w:r w:rsidR="005E1EE9" w:rsidRPr="00ED37CF">
        <w:rPr>
          <w:rFonts w:cs="Arial"/>
          <w:lang w:eastAsia="ja-JP"/>
        </w:rPr>
        <w:t xml:space="preserve"> </w:t>
      </w:r>
      <w:r w:rsidRPr="00ED37CF">
        <w:rPr>
          <w:rFonts w:cs="Arial"/>
          <w:lang w:eastAsia="ja-JP"/>
        </w:rPr>
        <w:t>UNIRP worked closely with SPs and IPs to ensure compliance with the agreed ToR and government approved curriculum addressing national standards.</w:t>
      </w:r>
      <w:r w:rsidR="005E1EE9" w:rsidRPr="00ED37CF">
        <w:rPr>
          <w:rFonts w:cs="Arial"/>
          <w:lang w:eastAsia="ja-JP"/>
        </w:rPr>
        <w:t xml:space="preserve"> </w:t>
      </w:r>
      <w:r w:rsidRPr="00ED37CF">
        <w:rPr>
          <w:rFonts w:cs="Arial"/>
          <w:lang w:eastAsia="ja-JP"/>
        </w:rPr>
        <w:t>In view of the market demands and participants interest, UNIRP enhanced VST, ME, health-related training, and formal education options.</w:t>
      </w:r>
      <w:r w:rsidR="005E1EE9" w:rsidRPr="00ED37CF">
        <w:rPr>
          <w:rFonts w:cs="Arial"/>
          <w:lang w:eastAsia="ja-JP"/>
        </w:rPr>
        <w:t xml:space="preserve"> </w:t>
      </w:r>
      <w:r w:rsidRPr="00ED37CF">
        <w:rPr>
          <w:rFonts w:cs="Arial"/>
          <w:lang w:eastAsia="ja-JP"/>
        </w:rPr>
        <w:t>UNICEF reintroduced the Open Education option for VMLR in consultation with the GoN’s Ministry of Education.</w:t>
      </w:r>
      <w:r w:rsidR="005E1EE9" w:rsidRPr="00ED37CF">
        <w:rPr>
          <w:rFonts w:cs="Arial"/>
          <w:lang w:eastAsia="ja-JP"/>
        </w:rPr>
        <w:t xml:space="preserve"> </w:t>
      </w:r>
      <w:r w:rsidRPr="00ED37CF">
        <w:rPr>
          <w:rFonts w:cs="Arial"/>
          <w:lang w:eastAsia="ja-JP"/>
        </w:rPr>
        <w:t>Through its innovative lens of dynamic M&amp;E, UNIRP implemented a flexible approach for the enhancement and revision of the training options in response to the changing market demands and needs of the participants.</w:t>
      </w:r>
      <w:r w:rsidR="005E1EE9" w:rsidRPr="00ED37CF">
        <w:rPr>
          <w:rFonts w:cs="Arial"/>
          <w:lang w:eastAsia="ja-JP"/>
        </w:rPr>
        <w:t xml:space="preserve"> </w:t>
      </w:r>
      <w:r w:rsidRPr="00ED37CF">
        <w:rPr>
          <w:rFonts w:cs="Arial"/>
          <w:lang w:eastAsia="ja-JP"/>
        </w:rPr>
        <w:t>The programme not only expanded the number of marketable trades and options, it also improved the quality, duration of training, and mode of delivery.</w:t>
      </w:r>
      <w:r w:rsidR="00C53DE7">
        <w:rPr>
          <w:rFonts w:cs="Arial"/>
          <w:lang w:eastAsia="ja-JP"/>
        </w:rPr>
        <w:t xml:space="preserve"> Another essential improvement was in enhancing access to trainings for vulnerable participants, and ensuring that services such as counselling were gender sensitive and empowering. </w:t>
      </w:r>
    </w:p>
    <w:p w14:paraId="649288DA" w14:textId="4B33C9D1" w:rsidR="001C4919" w:rsidRPr="00ED37CF" w:rsidRDefault="00ED37CF" w:rsidP="00C53DE7">
      <w:pPr>
        <w:spacing w:after="200" w:line="276" w:lineRule="auto"/>
        <w:jc w:val="left"/>
        <w:rPr>
          <w:rFonts w:eastAsia="Calibri"/>
        </w:rPr>
      </w:pPr>
      <w:r>
        <w:rPr>
          <w:rFonts w:eastAsia="Calibri"/>
          <w:b/>
        </w:rPr>
        <w:br w:type="page"/>
      </w:r>
      <w:r w:rsidR="001C4919" w:rsidRPr="00ED37CF">
        <w:rPr>
          <w:rFonts w:eastAsia="Calibri"/>
          <w:b/>
        </w:rPr>
        <w:lastRenderedPageBreak/>
        <w:t>Vocational Skills Training:</w:t>
      </w:r>
      <w:r w:rsidR="001C4919" w:rsidRPr="00ED37CF">
        <w:rPr>
          <w:rFonts w:eastAsia="Calibri"/>
          <w:i/>
        </w:rPr>
        <w:t xml:space="preserve"> </w:t>
      </w:r>
      <w:r w:rsidR="001C4919" w:rsidRPr="00ED37CF">
        <w:rPr>
          <w:rFonts w:eastAsia="Calibri"/>
        </w:rPr>
        <w:t xml:space="preserve">Training in a range of vocational skills was available to help individuals seek self and wage employment opportunities. This covered a wide range of vocational work including: </w:t>
      </w:r>
      <w:r w:rsidR="001C4919" w:rsidRPr="00ED37CF">
        <w:rPr>
          <w:rFonts w:eastAsia="Calibri"/>
          <w:color w:val="000000"/>
        </w:rPr>
        <w:t>welder, electrician, plumber</w:t>
      </w:r>
      <w:r w:rsidR="001C4919" w:rsidRPr="00ED37CF">
        <w:rPr>
          <w:color w:val="000000"/>
          <w:lang w:bidi="sa-IN"/>
        </w:rPr>
        <w:t>,</w:t>
      </w:r>
      <w:r w:rsidR="001C4919" w:rsidRPr="00ED37CF">
        <w:rPr>
          <w:rFonts w:eastAsia="Calibri"/>
          <w:color w:val="000000"/>
        </w:rPr>
        <w:t xml:space="preserve"> motorcycle service mechanic</w:t>
      </w:r>
      <w:r w:rsidR="001C4919" w:rsidRPr="00ED37CF">
        <w:rPr>
          <w:color w:val="000000"/>
          <w:lang w:bidi="sa-IN"/>
        </w:rPr>
        <w:t>, auto mechanic,</w:t>
      </w:r>
      <w:r w:rsidR="001C4919" w:rsidRPr="00ED37CF">
        <w:rPr>
          <w:rFonts w:eastAsia="Calibri"/>
          <w:color w:val="000000"/>
        </w:rPr>
        <w:t xml:space="preserve"> bar bender</w:t>
      </w:r>
      <w:r w:rsidR="001C4919" w:rsidRPr="00ED37CF">
        <w:rPr>
          <w:color w:val="000000"/>
          <w:lang w:bidi="sa-IN"/>
        </w:rPr>
        <w:t>,</w:t>
      </w:r>
      <w:r w:rsidR="001C4919" w:rsidRPr="00ED37CF">
        <w:rPr>
          <w:rFonts w:eastAsia="Calibri"/>
          <w:color w:val="000000"/>
        </w:rPr>
        <w:t xml:space="preserve"> scaffolder</w:t>
      </w:r>
      <w:r w:rsidR="001C4919" w:rsidRPr="00ED37CF">
        <w:rPr>
          <w:color w:val="000000"/>
          <w:lang w:bidi="sa-IN"/>
        </w:rPr>
        <w:t>,</w:t>
      </w:r>
      <w:r w:rsidR="001C4919" w:rsidRPr="00ED37CF">
        <w:rPr>
          <w:rFonts w:eastAsia="Calibri"/>
          <w:color w:val="000000"/>
        </w:rPr>
        <w:t xml:space="preserve"> Indian</w:t>
      </w:r>
      <w:r w:rsidR="001C4919" w:rsidRPr="00ED37CF">
        <w:rPr>
          <w:color w:val="000000"/>
          <w:lang w:bidi="sa-IN"/>
        </w:rPr>
        <w:t>, continental</w:t>
      </w:r>
      <w:r w:rsidR="001C4919" w:rsidRPr="00ED37CF">
        <w:rPr>
          <w:rFonts w:eastAsia="Calibri"/>
          <w:color w:val="000000"/>
        </w:rPr>
        <w:t xml:space="preserve"> and Chinese cook</w:t>
      </w:r>
      <w:r w:rsidR="001C4919" w:rsidRPr="00ED37CF">
        <w:rPr>
          <w:color w:val="000000"/>
          <w:lang w:bidi="sa-IN"/>
        </w:rPr>
        <w:t>,</w:t>
      </w:r>
      <w:r w:rsidR="001C4919" w:rsidRPr="00ED37CF">
        <w:rPr>
          <w:rFonts w:eastAsia="Calibri"/>
          <w:color w:val="000000"/>
        </w:rPr>
        <w:t xml:space="preserve"> hotel food and beverage services</w:t>
      </w:r>
      <w:r w:rsidR="001C4919" w:rsidRPr="00ED37CF">
        <w:rPr>
          <w:color w:val="000000"/>
          <w:lang w:bidi="sa-IN"/>
        </w:rPr>
        <w:t>, radio</w:t>
      </w:r>
      <w:r w:rsidR="001C4919" w:rsidRPr="00ED37CF">
        <w:rPr>
          <w:rFonts w:eastAsia="Calibri"/>
          <w:color w:val="000000"/>
        </w:rPr>
        <w:t xml:space="preserve"> and </w:t>
      </w:r>
      <w:r w:rsidR="001C4919" w:rsidRPr="00ED37CF">
        <w:rPr>
          <w:color w:val="000000"/>
          <w:lang w:bidi="sa-IN"/>
        </w:rPr>
        <w:t>television repairer, computer hardware technician and telecommunication technician</w:t>
      </w:r>
      <w:r w:rsidR="001C4919" w:rsidRPr="00ED37CF">
        <w:t>.</w:t>
      </w:r>
      <w:r w:rsidR="001C4919" w:rsidRPr="00ED37CF">
        <w:rPr>
          <w:rFonts w:eastAsia="Calibri"/>
        </w:rPr>
        <w:t xml:space="preserve"> The skills training programme</w:t>
      </w:r>
      <w:r w:rsidR="00433942">
        <w:rPr>
          <w:rFonts w:eastAsia="Calibri"/>
        </w:rPr>
        <w:t>s</w:t>
      </w:r>
      <w:r w:rsidR="001C4919" w:rsidRPr="00ED37CF">
        <w:rPr>
          <w:rFonts w:eastAsia="Calibri"/>
        </w:rPr>
        <w:t xml:space="preserve"> </w:t>
      </w:r>
      <w:r w:rsidR="001C4919" w:rsidRPr="00ED37CF">
        <w:t xml:space="preserve">were </w:t>
      </w:r>
      <w:r w:rsidR="001C4919" w:rsidRPr="00ED37CF">
        <w:rPr>
          <w:rFonts w:eastAsia="Calibri"/>
        </w:rPr>
        <w:t xml:space="preserve">available with on-the-job training and </w:t>
      </w:r>
      <w:r w:rsidR="001C4919" w:rsidRPr="00ED37CF">
        <w:t>minimum</w:t>
      </w:r>
      <w:r w:rsidR="001C4919" w:rsidRPr="00ED37CF">
        <w:rPr>
          <w:rFonts w:eastAsia="Calibri"/>
        </w:rPr>
        <w:t xml:space="preserve"> toolkits </w:t>
      </w:r>
      <w:r w:rsidR="001C4919" w:rsidRPr="00ED37CF">
        <w:t>were</w:t>
      </w:r>
      <w:r w:rsidR="001C4919" w:rsidRPr="00ED37CF">
        <w:rPr>
          <w:rFonts w:eastAsia="Calibri"/>
        </w:rPr>
        <w:t xml:space="preserve"> available. Bridging courses </w:t>
      </w:r>
      <w:r w:rsidR="001C4919" w:rsidRPr="00ED37CF">
        <w:t>were offered to</w:t>
      </w:r>
      <w:r w:rsidR="001C4919" w:rsidRPr="00ED37CF">
        <w:rPr>
          <w:rFonts w:eastAsia="Calibri"/>
        </w:rPr>
        <w:t xml:space="preserve"> individuals who required preliminary support to take up certain options. Post-training support included advice on how to access micro-financial resources, information about work opportunities and support in finding employment. Training periods ranged from three to </w:t>
      </w:r>
      <w:r w:rsidR="001C4919" w:rsidRPr="00ED37CF">
        <w:t>eleven</w:t>
      </w:r>
      <w:r w:rsidR="001C4919" w:rsidRPr="00ED37CF">
        <w:rPr>
          <w:rFonts w:eastAsia="Calibri"/>
        </w:rPr>
        <w:t xml:space="preserve"> months depending on the selected option.</w:t>
      </w:r>
      <w:r w:rsidR="005E1EE9" w:rsidRPr="00ED37CF">
        <w:rPr>
          <w:rFonts w:eastAsia="Calibri"/>
        </w:rPr>
        <w:t xml:space="preserve"> </w:t>
      </w:r>
      <w:r w:rsidR="001C4919" w:rsidRPr="00ED37CF">
        <w:rPr>
          <w:rFonts w:eastAsia="Calibri"/>
        </w:rPr>
        <w:t xml:space="preserve">Depending on the option, training was available through government, semi-government or private sector service providers. </w:t>
      </w:r>
    </w:p>
    <w:p w14:paraId="64990E27" w14:textId="1FB3E208" w:rsidR="001C4919" w:rsidRPr="00ED37CF" w:rsidRDefault="001C4919" w:rsidP="00D77949">
      <w:r w:rsidRPr="00ED37CF">
        <w:rPr>
          <w:rFonts w:eastAsia="Calibri"/>
          <w:b/>
        </w:rPr>
        <w:t xml:space="preserve">Micro-Enterprise Training: </w:t>
      </w:r>
      <w:r w:rsidRPr="00ED37CF">
        <w:t>Options</w:t>
      </w:r>
      <w:r w:rsidRPr="00ED37CF">
        <w:rPr>
          <w:rFonts w:eastAsia="Calibri"/>
        </w:rPr>
        <w:t xml:space="preserve"> in this area included technical as well as business </w:t>
      </w:r>
      <w:r w:rsidRPr="00ED37CF">
        <w:t>induction</w:t>
      </w:r>
      <w:r w:rsidRPr="00ED37CF">
        <w:rPr>
          <w:color w:val="FF0000"/>
        </w:rPr>
        <w:t xml:space="preserve"> </w:t>
      </w:r>
      <w:r w:rsidRPr="00ED37CF">
        <w:rPr>
          <w:rFonts w:eastAsia="Calibri"/>
        </w:rPr>
        <w:t xml:space="preserve">training. Specific options included: </w:t>
      </w:r>
      <w:r w:rsidRPr="00ED37CF">
        <w:t xml:space="preserve">tailoring, mobile repairing, </w:t>
      </w:r>
      <w:r w:rsidRPr="00ED37CF">
        <w:rPr>
          <w:lang w:bidi="sa-IN"/>
        </w:rPr>
        <w:t>digital photography,</w:t>
      </w:r>
      <w:r w:rsidRPr="00ED37CF">
        <w:rPr>
          <w:rFonts w:eastAsia="Calibri"/>
        </w:rPr>
        <w:t xml:space="preserve"> hair cutting</w:t>
      </w:r>
      <w:r w:rsidRPr="00ED37CF">
        <w:rPr>
          <w:lang w:bidi="sa-IN"/>
        </w:rPr>
        <w:t xml:space="preserve"> and beautician training, hotel</w:t>
      </w:r>
      <w:r w:rsidRPr="00ED37CF">
        <w:rPr>
          <w:rFonts w:eastAsia="Calibri"/>
        </w:rPr>
        <w:t xml:space="preserve"> and </w:t>
      </w:r>
      <w:r w:rsidRPr="00ED37CF">
        <w:rPr>
          <w:lang w:bidi="sa-IN"/>
        </w:rPr>
        <w:t>cook business, shop-keeping,</w:t>
      </w:r>
      <w:r w:rsidRPr="00ED37CF">
        <w:rPr>
          <w:rFonts w:eastAsia="Calibri"/>
        </w:rPr>
        <w:t xml:space="preserve"> painting and commercial art, house wiring, </w:t>
      </w:r>
      <w:r w:rsidRPr="00ED37CF">
        <w:rPr>
          <w:lang w:bidi="sa-IN"/>
        </w:rPr>
        <w:t xml:space="preserve">furniture making, grill fabrication, pig, goat and poultry farming, TV/radio repairing, </w:t>
      </w:r>
      <w:r w:rsidRPr="00ED37CF">
        <w:rPr>
          <w:rFonts w:eastAsia="Calibri"/>
        </w:rPr>
        <w:t>cycle and rickshaw repairing</w:t>
      </w:r>
      <w:r w:rsidRPr="00ED37CF">
        <w:rPr>
          <w:lang w:bidi="sa-IN"/>
        </w:rPr>
        <w:t>, hosiery</w:t>
      </w:r>
      <w:r w:rsidRPr="00ED37CF">
        <w:rPr>
          <w:rFonts w:eastAsia="Calibri"/>
        </w:rPr>
        <w:t xml:space="preserve"> and masala (spice) making. In some cases, skills training involved apprenticeships. Literacy and numeracy bridging support was offered to individuals who require</w:t>
      </w:r>
      <w:r w:rsidR="00433942">
        <w:rPr>
          <w:rFonts w:eastAsia="Calibri"/>
        </w:rPr>
        <w:t>d</w:t>
      </w:r>
      <w:r w:rsidRPr="00ED37CF">
        <w:rPr>
          <w:rFonts w:eastAsia="Calibri"/>
        </w:rPr>
        <w:t xml:space="preserve"> basic education to qualify for certain options. </w:t>
      </w:r>
      <w:r w:rsidRPr="00ED37CF">
        <w:t>Intensive</w:t>
      </w:r>
      <w:r w:rsidRPr="00ED37CF">
        <w:rPr>
          <w:rFonts w:eastAsia="Calibri"/>
        </w:rPr>
        <w:t xml:space="preserve"> post-training support to help individuals start </w:t>
      </w:r>
      <w:r w:rsidRPr="00ED37CF">
        <w:t xml:space="preserve">and promote </w:t>
      </w:r>
      <w:r w:rsidRPr="00ED37CF">
        <w:rPr>
          <w:rFonts w:eastAsia="Calibri"/>
        </w:rPr>
        <w:t xml:space="preserve">their own businesses included the provision of </w:t>
      </w:r>
      <w:r w:rsidRPr="00ED37CF">
        <w:t>business</w:t>
      </w:r>
      <w:r w:rsidRPr="00ED37CF">
        <w:rPr>
          <w:rFonts w:eastAsia="Calibri"/>
        </w:rPr>
        <w:t xml:space="preserve"> start-up tools</w:t>
      </w:r>
      <w:r w:rsidRPr="00ED37CF">
        <w:t>/equipment</w:t>
      </w:r>
      <w:r w:rsidRPr="00ED37CF">
        <w:rPr>
          <w:rFonts w:eastAsia="Calibri"/>
        </w:rPr>
        <w:t xml:space="preserve"> and </w:t>
      </w:r>
      <w:r w:rsidRPr="00ED37CF">
        <w:t>materials</w:t>
      </w:r>
      <w:r w:rsidRPr="00ED37CF">
        <w:rPr>
          <w:rFonts w:eastAsia="Calibri"/>
        </w:rPr>
        <w:t xml:space="preserve"> or other start-up resources such as support in setting up workshops or the provision of relevant raw materials </w:t>
      </w:r>
      <w:r w:rsidR="00433942">
        <w:rPr>
          <w:rFonts w:eastAsia="Calibri"/>
        </w:rPr>
        <w:t>(</w:t>
      </w:r>
      <w:r w:rsidRPr="00ED37CF">
        <w:rPr>
          <w:rFonts w:eastAsia="Calibri"/>
        </w:rPr>
        <w:t>provided such assistance did not bring the total value of the rehabilitation option package beyond 100,000 rupees</w:t>
      </w:r>
      <w:r w:rsidR="00433942">
        <w:rPr>
          <w:rFonts w:eastAsia="Calibri"/>
        </w:rPr>
        <w:t>)</w:t>
      </w:r>
      <w:r w:rsidRPr="00ED37CF">
        <w:rPr>
          <w:rFonts w:eastAsia="Calibri"/>
        </w:rPr>
        <w:t xml:space="preserve">. </w:t>
      </w:r>
      <w:r w:rsidRPr="00ED37CF">
        <w:t>Further, needs based Refresher Skills Training/ business promotional support was provided.</w:t>
      </w:r>
    </w:p>
    <w:p w14:paraId="5EC0CAC7" w14:textId="130C34FE" w:rsidR="001C4919" w:rsidRPr="00ED37CF" w:rsidRDefault="001C4919" w:rsidP="00D77949">
      <w:pPr>
        <w:rPr>
          <w:rFonts w:eastAsia="Calibri"/>
        </w:rPr>
      </w:pPr>
      <w:r w:rsidRPr="00ED37CF">
        <w:rPr>
          <w:rFonts w:eastAsia="Calibri"/>
          <w:b/>
        </w:rPr>
        <w:t xml:space="preserve">Education </w:t>
      </w:r>
      <w:r w:rsidRPr="00ED37CF">
        <w:rPr>
          <w:b/>
          <w:bCs/>
        </w:rPr>
        <w:t>Options</w:t>
      </w:r>
      <w:r w:rsidRPr="00ED37CF">
        <w:rPr>
          <w:rFonts w:eastAsia="Calibri"/>
          <w:b/>
          <w:i/>
        </w:rPr>
        <w:t>:</w:t>
      </w:r>
      <w:r w:rsidRPr="00ED37CF">
        <w:rPr>
          <w:rFonts w:eastAsia="Calibri"/>
          <w:i/>
        </w:rPr>
        <w:t xml:space="preserve"> </w:t>
      </w:r>
      <w:r w:rsidRPr="00ED37CF">
        <w:rPr>
          <w:rFonts w:eastAsia="Calibri"/>
        </w:rPr>
        <w:t xml:space="preserve">Education </w:t>
      </w:r>
      <w:r w:rsidRPr="00ED37CF">
        <w:t>options</w:t>
      </w:r>
      <w:r w:rsidRPr="00ED37CF">
        <w:rPr>
          <w:rFonts w:eastAsia="Calibri"/>
        </w:rPr>
        <w:t xml:space="preserve"> supported individuals in pursuing both non-formal and formal education. Non-formal education included </w:t>
      </w:r>
      <w:r w:rsidRPr="00ED37CF">
        <w:t>open school options which</w:t>
      </w:r>
      <w:r w:rsidRPr="00ED37CF">
        <w:rPr>
          <w:rFonts w:eastAsia="Calibri"/>
        </w:rPr>
        <w:t xml:space="preserve"> allowed individuals who were unable to attend regular schooling, to take Grade VIII and X exams through </w:t>
      </w:r>
      <w:r w:rsidRPr="00ED37CF">
        <w:t>selected</w:t>
      </w:r>
      <w:r w:rsidRPr="00ED37CF">
        <w:rPr>
          <w:rFonts w:eastAsia="Calibri"/>
        </w:rPr>
        <w:t xml:space="preserve"> centres located throughout the country without attending a regular school. Formal education opportunities of differing durations were also available for lower secondary, secondary</w:t>
      </w:r>
      <w:r w:rsidRPr="00ED37CF">
        <w:t xml:space="preserve"> and</w:t>
      </w:r>
      <w:r w:rsidRPr="00ED37CF">
        <w:rPr>
          <w:rFonts w:eastAsia="Calibri"/>
        </w:rPr>
        <w:t xml:space="preserve"> higher secondary. Education was provided through existing government schools located across the country and participants had to have achieved the recognised entry-level requirements for the level of course chosen (e.g., to </w:t>
      </w:r>
      <w:r w:rsidR="00CC6B11" w:rsidRPr="00ED37CF">
        <w:rPr>
          <w:rFonts w:eastAsia="Calibri"/>
        </w:rPr>
        <w:t>enrol</w:t>
      </w:r>
      <w:r w:rsidRPr="00ED37CF">
        <w:rPr>
          <w:rFonts w:eastAsia="Calibri"/>
        </w:rPr>
        <w:t xml:space="preserve"> in Grade VIII, a student must have a certificate of passing Grade VII). The duration of the education support was varied depending on the level involved. Hostel arrangements were facilitated for girls who had to </w:t>
      </w:r>
      <w:r w:rsidRPr="00ED37CF">
        <w:t>pursue</w:t>
      </w:r>
      <w:r w:rsidRPr="00ED37CF">
        <w:rPr>
          <w:rFonts w:eastAsia="Calibri"/>
        </w:rPr>
        <w:t xml:space="preserve"> education away from home. The support for education participants in school continue</w:t>
      </w:r>
      <w:r w:rsidR="00433942">
        <w:rPr>
          <w:rFonts w:eastAsia="Calibri"/>
        </w:rPr>
        <w:t>d</w:t>
      </w:r>
      <w:r w:rsidRPr="00ED37CF">
        <w:rPr>
          <w:rFonts w:eastAsia="Calibri"/>
        </w:rPr>
        <w:t xml:space="preserve"> until </w:t>
      </w:r>
      <w:r w:rsidR="005E1EE9" w:rsidRPr="00ED37CF">
        <w:rPr>
          <w:rFonts w:eastAsia="Calibri"/>
        </w:rPr>
        <w:t>December</w:t>
      </w:r>
      <w:r w:rsidRPr="00ED37CF">
        <w:rPr>
          <w:rFonts w:eastAsia="Calibri"/>
        </w:rPr>
        <w:t xml:space="preserve"> 201</w:t>
      </w:r>
      <w:r w:rsidR="005E1EE9" w:rsidRPr="00ED37CF">
        <w:rPr>
          <w:rFonts w:eastAsia="Calibri"/>
        </w:rPr>
        <w:t>4</w:t>
      </w:r>
      <w:r w:rsidRPr="00ED37CF">
        <w:rPr>
          <w:rFonts w:eastAsia="Calibri"/>
        </w:rPr>
        <w:t xml:space="preserve"> by UNICEF.</w:t>
      </w:r>
      <w:r w:rsidR="005E1EE9" w:rsidRPr="00ED37CF">
        <w:rPr>
          <w:rFonts w:eastAsia="Calibri"/>
        </w:rPr>
        <w:t xml:space="preserve">  </w:t>
      </w:r>
    </w:p>
    <w:p w14:paraId="2530219E" w14:textId="6D85A0F1" w:rsidR="001C4919" w:rsidRDefault="001C4919" w:rsidP="00D77949">
      <w:pPr>
        <w:rPr>
          <w:rFonts w:eastAsia="Calibri"/>
        </w:rPr>
      </w:pPr>
      <w:r w:rsidRPr="00ED37CF">
        <w:rPr>
          <w:rFonts w:eastAsia="Calibri"/>
        </w:rPr>
        <w:t>Training periods ranged from two weeks to eight months depending on the course being pursued. Some of these packages require</w:t>
      </w:r>
      <w:r w:rsidR="00433942">
        <w:rPr>
          <w:rFonts w:eastAsia="Calibri"/>
        </w:rPr>
        <w:t>d</w:t>
      </w:r>
      <w:r w:rsidRPr="00ED37CF">
        <w:rPr>
          <w:rFonts w:eastAsia="Calibri"/>
        </w:rPr>
        <w:t xml:space="preserve"> formal educational requirements to enter while others required up to Grade VIII.</w:t>
      </w:r>
    </w:p>
    <w:p w14:paraId="6B9AEE4D" w14:textId="53A44A9C" w:rsidR="00EF77E2" w:rsidRPr="007A527B" w:rsidRDefault="00EF77E2" w:rsidP="007A527B">
      <w:pPr>
        <w:rPr>
          <w:rFonts w:eastAsia="Calibri"/>
        </w:rPr>
      </w:pPr>
      <w:r w:rsidRPr="007A527B">
        <w:rPr>
          <w:rFonts w:eastAsia="Calibri"/>
        </w:rPr>
        <w:t>Based on demands made by VMLR</w:t>
      </w:r>
      <w:r w:rsidR="00623C0B" w:rsidRPr="007A527B">
        <w:rPr>
          <w:rFonts w:eastAsia="Calibri"/>
        </w:rPr>
        <w:t>s</w:t>
      </w:r>
      <w:r w:rsidRPr="007A527B">
        <w:rPr>
          <w:rFonts w:eastAsia="Calibri"/>
        </w:rPr>
        <w:t xml:space="preserve"> </w:t>
      </w:r>
      <w:r w:rsidR="00623C0B" w:rsidRPr="007A527B">
        <w:rPr>
          <w:rFonts w:eastAsia="Calibri"/>
        </w:rPr>
        <w:t>(</w:t>
      </w:r>
      <w:r w:rsidRPr="007A527B">
        <w:rPr>
          <w:rFonts w:eastAsia="Calibri"/>
        </w:rPr>
        <w:t>education graduates</w:t>
      </w:r>
      <w:r w:rsidR="00623C0B" w:rsidRPr="007A527B">
        <w:rPr>
          <w:rFonts w:eastAsia="Calibri"/>
        </w:rPr>
        <w:t>)</w:t>
      </w:r>
      <w:r w:rsidRPr="007A527B">
        <w:rPr>
          <w:rFonts w:eastAsia="Calibri"/>
        </w:rPr>
        <w:t xml:space="preserve"> and Project Board decision of 1</w:t>
      </w:r>
      <w:r w:rsidR="007A527B">
        <w:rPr>
          <w:rFonts w:eastAsia="Calibri"/>
        </w:rPr>
        <w:t xml:space="preserve"> </w:t>
      </w:r>
      <w:r w:rsidRPr="007A527B">
        <w:rPr>
          <w:rFonts w:eastAsia="Calibri"/>
        </w:rPr>
        <w:t xml:space="preserve">July 2014, </w:t>
      </w:r>
      <w:r w:rsidR="00623C0B" w:rsidRPr="007A527B">
        <w:rPr>
          <w:rFonts w:eastAsia="Calibri"/>
        </w:rPr>
        <w:t xml:space="preserve">a total of 257 </w:t>
      </w:r>
      <w:r w:rsidRPr="007A527B">
        <w:rPr>
          <w:rFonts w:eastAsia="Calibri"/>
        </w:rPr>
        <w:t xml:space="preserve"> (</w:t>
      </w:r>
      <w:r w:rsidR="00623C0B" w:rsidRPr="007A527B">
        <w:rPr>
          <w:rFonts w:eastAsia="Calibri"/>
        </w:rPr>
        <w:t>49</w:t>
      </w:r>
      <w:r w:rsidRPr="007A527B">
        <w:rPr>
          <w:rFonts w:eastAsia="Calibri"/>
        </w:rPr>
        <w:t xml:space="preserve"> % F) education graduates </w:t>
      </w:r>
      <w:r w:rsidR="00623C0B" w:rsidRPr="007A527B">
        <w:rPr>
          <w:rFonts w:eastAsia="Calibri"/>
        </w:rPr>
        <w:t xml:space="preserve">(VMLRs) </w:t>
      </w:r>
      <w:r w:rsidRPr="007A527B">
        <w:rPr>
          <w:rFonts w:eastAsia="Calibri"/>
        </w:rPr>
        <w:t xml:space="preserve">were provided (one-time) in-kind support (such as books, stationaries, admission fees additional income generating </w:t>
      </w:r>
      <w:r w:rsidR="00CB537F" w:rsidRPr="007A527B">
        <w:rPr>
          <w:rFonts w:eastAsia="Calibri"/>
        </w:rPr>
        <w:t>support</w:t>
      </w:r>
      <w:r w:rsidRPr="007A527B">
        <w:rPr>
          <w:rFonts w:eastAsia="Calibri"/>
        </w:rPr>
        <w:t xml:space="preserve"> to sustain education), utilising the remaining balance from the individual funding of Rs 100,000. Determination of type of support </w:t>
      </w:r>
      <w:r w:rsidR="00623C0B" w:rsidRPr="007A527B">
        <w:rPr>
          <w:rFonts w:eastAsia="Calibri"/>
        </w:rPr>
        <w:t xml:space="preserve">to VMLRs </w:t>
      </w:r>
      <w:r w:rsidRPr="007A527B">
        <w:rPr>
          <w:rFonts w:eastAsia="Calibri"/>
        </w:rPr>
        <w:t>was based on individual (VMLR’s) need assessment.</w:t>
      </w:r>
    </w:p>
    <w:p w14:paraId="58486015" w14:textId="77777777" w:rsidR="00EF77E2" w:rsidRDefault="00EF77E2" w:rsidP="00D77949">
      <w:pPr>
        <w:rPr>
          <w:rFonts w:eastAsia="Calibri"/>
        </w:rPr>
      </w:pPr>
    </w:p>
    <w:p w14:paraId="18F7B9F0" w14:textId="77777777" w:rsidR="00EF77E2" w:rsidRDefault="00EF77E2" w:rsidP="00D77949">
      <w:pPr>
        <w:rPr>
          <w:rFonts w:eastAsia="Calibri"/>
        </w:rPr>
      </w:pPr>
    </w:p>
    <w:p w14:paraId="72A4E2BC" w14:textId="77777777" w:rsidR="00EF77E2" w:rsidRDefault="00EF77E2" w:rsidP="00D77949">
      <w:pPr>
        <w:rPr>
          <w:rFonts w:eastAsia="Calibri"/>
        </w:rPr>
      </w:pPr>
    </w:p>
    <w:p w14:paraId="3A9B2921" w14:textId="77777777" w:rsidR="00EF77E2" w:rsidRPr="00ED37CF" w:rsidRDefault="00EF77E2" w:rsidP="00D77949">
      <w:pPr>
        <w:rPr>
          <w:rFonts w:eastAsia="Calibri"/>
        </w:rPr>
      </w:pPr>
    </w:p>
    <w:p w14:paraId="42865E66" w14:textId="5EBCA9EB" w:rsidR="001C4919" w:rsidRPr="00ED37CF" w:rsidRDefault="001C4919" w:rsidP="00D77949">
      <w:pPr>
        <w:rPr>
          <w:rFonts w:eastAsia="Calibri"/>
        </w:rPr>
      </w:pPr>
      <w:r w:rsidRPr="00ED37CF">
        <w:rPr>
          <w:rFonts w:eastAsia="Calibri"/>
          <w:b/>
        </w:rPr>
        <w:t>Health Services Training</w:t>
      </w:r>
      <w:r w:rsidRPr="00ED37CF">
        <w:rPr>
          <w:b/>
          <w:bCs/>
        </w:rPr>
        <w:t xml:space="preserve"> and Educatio</w:t>
      </w:r>
      <w:r w:rsidR="00662311" w:rsidRPr="00ED37CF">
        <w:rPr>
          <w:b/>
          <w:bCs/>
        </w:rPr>
        <w:t xml:space="preserve">n: </w:t>
      </w:r>
      <w:r w:rsidRPr="00ED37CF">
        <w:rPr>
          <w:rFonts w:eastAsia="Calibri"/>
        </w:rPr>
        <w:t xml:space="preserve">Health sector vocational </w:t>
      </w:r>
      <w:r w:rsidR="00433942">
        <w:rPr>
          <w:rFonts w:eastAsia="Calibri"/>
        </w:rPr>
        <w:t xml:space="preserve">training </w:t>
      </w:r>
      <w:r w:rsidRPr="00ED37CF">
        <w:rPr>
          <w:rFonts w:eastAsia="Calibri"/>
        </w:rPr>
        <w:t xml:space="preserve">options were also made available. Opportunities in this area included: </w:t>
      </w:r>
      <w:r w:rsidRPr="00ED37CF">
        <w:t>Auxiliary</w:t>
      </w:r>
      <w:r w:rsidRPr="00ED37CF">
        <w:rPr>
          <w:rFonts w:eastAsia="Calibri"/>
        </w:rPr>
        <w:t xml:space="preserve"> Nurse Midwife (ANM), Community Medical Assistant (CMA</w:t>
      </w:r>
      <w:r w:rsidRPr="00ED37CF">
        <w:t>) and</w:t>
      </w:r>
      <w:r w:rsidRPr="00ED37CF">
        <w:rPr>
          <w:rFonts w:eastAsia="Calibri"/>
        </w:rPr>
        <w:t xml:space="preserve"> Laboratory Assistant (LA</w:t>
      </w:r>
      <w:r w:rsidRPr="00ED37CF">
        <w:t>). Entrance preparation</w:t>
      </w:r>
      <w:r w:rsidRPr="00ED37CF">
        <w:rPr>
          <w:rFonts w:eastAsia="Calibri"/>
        </w:rPr>
        <w:t xml:space="preserve"> classes </w:t>
      </w:r>
      <w:r w:rsidRPr="00ED37CF">
        <w:t>were</w:t>
      </w:r>
      <w:r w:rsidRPr="00ED37CF">
        <w:rPr>
          <w:rFonts w:eastAsia="Calibri"/>
        </w:rPr>
        <w:t xml:space="preserve"> provided to prepare for relevant national entrance exams organized by the Council for Technical Education and Vocational Training. Post-training support </w:t>
      </w:r>
      <w:r w:rsidRPr="00ED37CF">
        <w:t>included on the job training, registration of the graduates into the Professional Health Council, assistance</w:t>
      </w:r>
      <w:r w:rsidRPr="00ED37CF">
        <w:rPr>
          <w:rFonts w:eastAsia="Calibri"/>
        </w:rPr>
        <w:t xml:space="preserve"> in linking to specific employment opportunities and basic tool kits. The training periods </w:t>
      </w:r>
      <w:r w:rsidRPr="00ED37CF">
        <w:t>ranged from between fifteen</w:t>
      </w:r>
      <w:r w:rsidRPr="00ED37CF">
        <w:rPr>
          <w:rFonts w:eastAsia="Calibri"/>
        </w:rPr>
        <w:t xml:space="preserve"> to eighteen months. The trainings were available through a semi-governmental organization</w:t>
      </w:r>
      <w:r w:rsidRPr="00ED37CF">
        <w:t xml:space="preserve"> and private technical training providers</w:t>
      </w:r>
      <w:r w:rsidRPr="00ED37CF">
        <w:rPr>
          <w:rFonts w:eastAsia="Calibri"/>
        </w:rPr>
        <w:t xml:space="preserve"> with specialized services in this field. The entry requirements for these health-related opportunities </w:t>
      </w:r>
      <w:r w:rsidR="00433942">
        <w:t>were</w:t>
      </w:r>
      <w:r w:rsidRPr="00ED37CF">
        <w:t xml:space="preserve"> completion of</w:t>
      </w:r>
      <w:r w:rsidRPr="00ED37CF">
        <w:rPr>
          <w:rFonts w:eastAsia="Calibri"/>
        </w:rPr>
        <w:t xml:space="preserve"> School Leaving Certificate.</w:t>
      </w:r>
    </w:p>
    <w:p w14:paraId="37E04B24" w14:textId="77777777" w:rsidR="001C4919" w:rsidRPr="00ED37CF" w:rsidRDefault="001C4919" w:rsidP="00D77949">
      <w:r w:rsidRPr="00ED37CF">
        <w:t xml:space="preserve">The successful rehabilitation of the VMLR, through the facilitation of realistic employment and livelihood opportunities was seen as an important step towards bringing a sustainable degree of peace to the country. </w:t>
      </w:r>
    </w:p>
    <w:p w14:paraId="32AF86FC" w14:textId="77777777" w:rsidR="001C4919" w:rsidRPr="00ED37CF" w:rsidRDefault="00EA0DA2" w:rsidP="00D77949">
      <w:pPr>
        <w:rPr>
          <w:b/>
          <w:bCs/>
          <w:lang w:eastAsia="ja-JP"/>
        </w:rPr>
      </w:pPr>
      <w:r w:rsidRPr="00ED37CF">
        <w:rPr>
          <w:b/>
          <w:bCs/>
          <w:lang w:eastAsia="ja-JP"/>
        </w:rPr>
        <w:t>Figure 8</w:t>
      </w:r>
      <w:r w:rsidR="001C4919" w:rsidRPr="00ED37CF">
        <w:rPr>
          <w:b/>
          <w:bCs/>
          <w:lang w:eastAsia="ja-JP"/>
        </w:rPr>
        <w:t>: Summary of Key Statistics</w:t>
      </w:r>
    </w:p>
    <w:tbl>
      <w:tblPr>
        <w:tblStyle w:val="TableGrid"/>
        <w:tblW w:w="9738" w:type="dxa"/>
        <w:tblLook w:val="04A0" w:firstRow="1" w:lastRow="0" w:firstColumn="1" w:lastColumn="0" w:noHBand="0" w:noVBand="1"/>
      </w:tblPr>
      <w:tblGrid>
        <w:gridCol w:w="1595"/>
        <w:gridCol w:w="1588"/>
        <w:gridCol w:w="1592"/>
        <w:gridCol w:w="1589"/>
        <w:gridCol w:w="1783"/>
        <w:gridCol w:w="1591"/>
      </w:tblGrid>
      <w:tr w:rsidR="00D77949" w:rsidRPr="00ED37CF" w14:paraId="3D1CA240" w14:textId="77777777" w:rsidTr="00D77949">
        <w:tc>
          <w:tcPr>
            <w:tcW w:w="1595" w:type="dxa"/>
            <w:shd w:val="clear" w:color="auto" w:fill="C6D9F1" w:themeFill="text2" w:themeFillTint="33"/>
            <w:vAlign w:val="center"/>
          </w:tcPr>
          <w:p w14:paraId="12DA4266" w14:textId="77777777" w:rsidR="00D77949" w:rsidRPr="00ED37CF" w:rsidRDefault="00D77949" w:rsidP="00B351F8">
            <w:pPr>
              <w:spacing w:after="0"/>
              <w:contextualSpacing/>
              <w:jc w:val="center"/>
              <w:rPr>
                <w:b/>
                <w:bCs/>
                <w:sz w:val="18"/>
                <w:szCs w:val="18"/>
              </w:rPr>
            </w:pPr>
            <w:r w:rsidRPr="00ED37CF">
              <w:rPr>
                <w:b/>
                <w:bCs/>
                <w:sz w:val="18"/>
                <w:szCs w:val="18"/>
              </w:rPr>
              <w:t>Rehabilitation Option</w:t>
            </w:r>
          </w:p>
        </w:tc>
        <w:tc>
          <w:tcPr>
            <w:tcW w:w="1588" w:type="dxa"/>
            <w:shd w:val="clear" w:color="auto" w:fill="C6D9F1" w:themeFill="text2" w:themeFillTint="33"/>
            <w:vAlign w:val="center"/>
          </w:tcPr>
          <w:p w14:paraId="5A31F628" w14:textId="77777777" w:rsidR="00D77949" w:rsidRPr="00ED37CF" w:rsidRDefault="00D77949" w:rsidP="00B351F8">
            <w:pPr>
              <w:spacing w:after="0"/>
              <w:contextualSpacing/>
              <w:jc w:val="center"/>
              <w:rPr>
                <w:b/>
                <w:bCs/>
                <w:sz w:val="18"/>
                <w:szCs w:val="18"/>
              </w:rPr>
            </w:pPr>
            <w:r w:rsidRPr="00ED37CF">
              <w:rPr>
                <w:b/>
                <w:bCs/>
                <w:sz w:val="18"/>
                <w:szCs w:val="18"/>
              </w:rPr>
              <w:t>Total number enrolled by sector</w:t>
            </w:r>
          </w:p>
        </w:tc>
        <w:tc>
          <w:tcPr>
            <w:tcW w:w="1592" w:type="dxa"/>
            <w:shd w:val="clear" w:color="auto" w:fill="C6D9F1" w:themeFill="text2" w:themeFillTint="33"/>
            <w:vAlign w:val="center"/>
          </w:tcPr>
          <w:p w14:paraId="49BD31B9" w14:textId="77777777" w:rsidR="00D77949" w:rsidRPr="00ED37CF" w:rsidRDefault="00D77949" w:rsidP="00B351F8">
            <w:pPr>
              <w:spacing w:after="0"/>
              <w:contextualSpacing/>
              <w:jc w:val="center"/>
              <w:rPr>
                <w:b/>
                <w:bCs/>
                <w:sz w:val="18"/>
                <w:szCs w:val="18"/>
              </w:rPr>
            </w:pPr>
            <w:r w:rsidRPr="00ED37CF">
              <w:rPr>
                <w:b/>
                <w:bCs/>
                <w:sz w:val="18"/>
                <w:szCs w:val="18"/>
              </w:rPr>
              <w:t>Those currently in training /education</w:t>
            </w:r>
          </w:p>
        </w:tc>
        <w:tc>
          <w:tcPr>
            <w:tcW w:w="1589" w:type="dxa"/>
            <w:shd w:val="clear" w:color="auto" w:fill="C6D9F1" w:themeFill="text2" w:themeFillTint="33"/>
            <w:vAlign w:val="center"/>
          </w:tcPr>
          <w:p w14:paraId="7A297433" w14:textId="77777777" w:rsidR="00D77949" w:rsidRPr="00ED37CF" w:rsidRDefault="00D77949" w:rsidP="00B351F8">
            <w:pPr>
              <w:spacing w:after="0"/>
              <w:contextualSpacing/>
              <w:jc w:val="center"/>
              <w:rPr>
                <w:b/>
                <w:bCs/>
                <w:sz w:val="18"/>
                <w:szCs w:val="18"/>
              </w:rPr>
            </w:pPr>
            <w:r w:rsidRPr="00ED37CF">
              <w:rPr>
                <w:b/>
                <w:bCs/>
                <w:sz w:val="18"/>
                <w:szCs w:val="18"/>
              </w:rPr>
              <w:t>Those who have dropped out</w:t>
            </w:r>
          </w:p>
        </w:tc>
        <w:tc>
          <w:tcPr>
            <w:tcW w:w="1783" w:type="dxa"/>
            <w:shd w:val="clear" w:color="auto" w:fill="C6D9F1" w:themeFill="text2" w:themeFillTint="33"/>
            <w:vAlign w:val="center"/>
          </w:tcPr>
          <w:p w14:paraId="235BBB3F" w14:textId="77777777" w:rsidR="00D77949" w:rsidRPr="00ED37CF" w:rsidRDefault="00D77949" w:rsidP="00B351F8">
            <w:pPr>
              <w:spacing w:after="0"/>
              <w:contextualSpacing/>
              <w:jc w:val="center"/>
              <w:rPr>
                <w:b/>
                <w:bCs/>
                <w:sz w:val="18"/>
                <w:szCs w:val="18"/>
              </w:rPr>
            </w:pPr>
            <w:r w:rsidRPr="00ED37CF">
              <w:rPr>
                <w:b/>
                <w:bCs/>
                <w:sz w:val="18"/>
                <w:szCs w:val="18"/>
              </w:rPr>
              <w:t>Those who have completed training/education</w:t>
            </w:r>
          </w:p>
        </w:tc>
        <w:tc>
          <w:tcPr>
            <w:tcW w:w="1591" w:type="dxa"/>
            <w:shd w:val="clear" w:color="auto" w:fill="C6D9F1" w:themeFill="text2" w:themeFillTint="33"/>
            <w:vAlign w:val="center"/>
          </w:tcPr>
          <w:p w14:paraId="112B16F6" w14:textId="77777777" w:rsidR="00D77949" w:rsidRPr="00ED37CF" w:rsidRDefault="00D77949" w:rsidP="00B351F8">
            <w:pPr>
              <w:spacing w:after="0"/>
              <w:contextualSpacing/>
              <w:jc w:val="center"/>
              <w:rPr>
                <w:b/>
                <w:bCs/>
                <w:sz w:val="18"/>
                <w:szCs w:val="18"/>
              </w:rPr>
            </w:pPr>
            <w:r w:rsidRPr="00ED37CF">
              <w:rPr>
                <w:b/>
                <w:bCs/>
                <w:sz w:val="18"/>
                <w:szCs w:val="18"/>
              </w:rPr>
              <w:t>Those Employed / Started own business</w:t>
            </w:r>
          </w:p>
        </w:tc>
      </w:tr>
      <w:tr w:rsidR="00D77949" w:rsidRPr="00ED37CF" w14:paraId="51098B48" w14:textId="77777777" w:rsidTr="00D77949">
        <w:tc>
          <w:tcPr>
            <w:tcW w:w="1595" w:type="dxa"/>
            <w:vAlign w:val="center"/>
          </w:tcPr>
          <w:p w14:paraId="0E8944A6" w14:textId="77777777" w:rsidR="00D77949" w:rsidRPr="00ED37CF" w:rsidRDefault="00D77949" w:rsidP="00B351F8">
            <w:pPr>
              <w:spacing w:after="0"/>
              <w:contextualSpacing/>
              <w:rPr>
                <w:b/>
                <w:bCs/>
                <w:sz w:val="18"/>
                <w:szCs w:val="18"/>
              </w:rPr>
            </w:pPr>
            <w:r w:rsidRPr="00ED37CF">
              <w:rPr>
                <w:b/>
                <w:bCs/>
                <w:sz w:val="18"/>
                <w:szCs w:val="18"/>
              </w:rPr>
              <w:t>Vocational Skills Training</w:t>
            </w:r>
          </w:p>
        </w:tc>
        <w:tc>
          <w:tcPr>
            <w:tcW w:w="1588" w:type="dxa"/>
            <w:vAlign w:val="center"/>
          </w:tcPr>
          <w:p w14:paraId="431B4E26" w14:textId="77777777" w:rsidR="00D77949" w:rsidRPr="00ED37CF" w:rsidRDefault="00D77949" w:rsidP="00B351F8">
            <w:pPr>
              <w:spacing w:after="0"/>
              <w:contextualSpacing/>
              <w:jc w:val="right"/>
              <w:rPr>
                <w:sz w:val="18"/>
                <w:szCs w:val="18"/>
              </w:rPr>
            </w:pPr>
            <w:r w:rsidRPr="00ED37CF">
              <w:rPr>
                <w:sz w:val="18"/>
                <w:szCs w:val="18"/>
              </w:rPr>
              <w:t>442</w:t>
            </w:r>
          </w:p>
          <w:p w14:paraId="0991EA57" w14:textId="77777777" w:rsidR="00D77949" w:rsidRPr="00ED37CF" w:rsidRDefault="00D77949" w:rsidP="00B351F8">
            <w:pPr>
              <w:spacing w:after="0"/>
              <w:contextualSpacing/>
              <w:jc w:val="right"/>
              <w:rPr>
                <w:sz w:val="18"/>
                <w:szCs w:val="18"/>
              </w:rPr>
            </w:pPr>
            <w:r w:rsidRPr="00ED37CF">
              <w:rPr>
                <w:sz w:val="18"/>
                <w:szCs w:val="18"/>
              </w:rPr>
              <w:t>(1% F, 99% M)</w:t>
            </w:r>
          </w:p>
        </w:tc>
        <w:tc>
          <w:tcPr>
            <w:tcW w:w="1592" w:type="dxa"/>
            <w:vAlign w:val="center"/>
          </w:tcPr>
          <w:p w14:paraId="3DD7B99D" w14:textId="77777777" w:rsidR="00D77949" w:rsidRPr="00ED37CF" w:rsidRDefault="00D77949" w:rsidP="00B351F8">
            <w:pPr>
              <w:spacing w:after="0"/>
              <w:contextualSpacing/>
              <w:jc w:val="right"/>
              <w:rPr>
                <w:sz w:val="18"/>
                <w:szCs w:val="18"/>
              </w:rPr>
            </w:pPr>
            <w:r w:rsidRPr="00ED37CF">
              <w:rPr>
                <w:sz w:val="18"/>
                <w:szCs w:val="18"/>
              </w:rPr>
              <w:t xml:space="preserve">0 </w:t>
            </w:r>
          </w:p>
          <w:p w14:paraId="17F883BF" w14:textId="77777777" w:rsidR="00D77949" w:rsidRPr="00ED37CF" w:rsidRDefault="00D77949" w:rsidP="00B351F8">
            <w:pPr>
              <w:spacing w:after="0"/>
              <w:contextualSpacing/>
              <w:jc w:val="right"/>
              <w:rPr>
                <w:sz w:val="18"/>
                <w:szCs w:val="18"/>
              </w:rPr>
            </w:pPr>
            <w:r w:rsidRPr="00ED37CF">
              <w:rPr>
                <w:sz w:val="18"/>
                <w:szCs w:val="18"/>
              </w:rPr>
              <w:t>(0% F, 0% M)</w:t>
            </w:r>
          </w:p>
        </w:tc>
        <w:tc>
          <w:tcPr>
            <w:tcW w:w="1589" w:type="dxa"/>
            <w:vAlign w:val="center"/>
          </w:tcPr>
          <w:p w14:paraId="33E2E358" w14:textId="77777777" w:rsidR="00D77949" w:rsidRPr="00ED37CF" w:rsidRDefault="00D77949" w:rsidP="00B351F8">
            <w:pPr>
              <w:spacing w:after="0"/>
              <w:contextualSpacing/>
              <w:jc w:val="right"/>
              <w:rPr>
                <w:sz w:val="18"/>
                <w:szCs w:val="18"/>
              </w:rPr>
            </w:pPr>
            <w:r w:rsidRPr="00ED37CF">
              <w:rPr>
                <w:sz w:val="18"/>
                <w:szCs w:val="18"/>
              </w:rPr>
              <w:t>29</w:t>
            </w:r>
          </w:p>
          <w:p w14:paraId="22388036" w14:textId="77777777" w:rsidR="00D77949" w:rsidRPr="00ED37CF" w:rsidRDefault="00D77949" w:rsidP="00B351F8">
            <w:pPr>
              <w:spacing w:after="0"/>
              <w:contextualSpacing/>
              <w:jc w:val="right"/>
              <w:rPr>
                <w:sz w:val="18"/>
                <w:szCs w:val="18"/>
              </w:rPr>
            </w:pPr>
            <w:r w:rsidRPr="00ED37CF">
              <w:rPr>
                <w:sz w:val="18"/>
                <w:szCs w:val="18"/>
              </w:rPr>
              <w:t xml:space="preserve"> (0% F, 100% M)</w:t>
            </w:r>
          </w:p>
        </w:tc>
        <w:tc>
          <w:tcPr>
            <w:tcW w:w="1783" w:type="dxa"/>
            <w:vAlign w:val="center"/>
          </w:tcPr>
          <w:p w14:paraId="6C9B57E7" w14:textId="77777777" w:rsidR="00D77949" w:rsidRPr="00ED37CF" w:rsidRDefault="00D77949" w:rsidP="00B351F8">
            <w:pPr>
              <w:spacing w:after="0"/>
              <w:contextualSpacing/>
              <w:jc w:val="right"/>
              <w:rPr>
                <w:sz w:val="18"/>
                <w:szCs w:val="18"/>
              </w:rPr>
            </w:pPr>
            <w:r w:rsidRPr="00ED37CF">
              <w:rPr>
                <w:sz w:val="18"/>
                <w:szCs w:val="18"/>
              </w:rPr>
              <w:t>413</w:t>
            </w:r>
            <w:r w:rsidR="005E1EE9" w:rsidRPr="00ED37CF">
              <w:rPr>
                <w:sz w:val="18"/>
                <w:szCs w:val="18"/>
              </w:rPr>
              <w:t xml:space="preserve"> </w:t>
            </w:r>
          </w:p>
          <w:p w14:paraId="1E883347" w14:textId="77777777" w:rsidR="00D77949" w:rsidRPr="00ED37CF" w:rsidRDefault="00D77949" w:rsidP="00B351F8">
            <w:pPr>
              <w:spacing w:after="0"/>
              <w:contextualSpacing/>
              <w:jc w:val="right"/>
              <w:rPr>
                <w:sz w:val="18"/>
                <w:szCs w:val="18"/>
              </w:rPr>
            </w:pPr>
            <w:r w:rsidRPr="00ED37CF">
              <w:rPr>
                <w:sz w:val="18"/>
                <w:szCs w:val="18"/>
              </w:rPr>
              <w:t>(1% F, 99% M)</w:t>
            </w:r>
          </w:p>
        </w:tc>
        <w:tc>
          <w:tcPr>
            <w:tcW w:w="1591" w:type="dxa"/>
            <w:vAlign w:val="center"/>
          </w:tcPr>
          <w:p w14:paraId="6A23F618" w14:textId="77777777" w:rsidR="00D77949" w:rsidRPr="00ED37CF" w:rsidRDefault="00D77949" w:rsidP="00B351F8">
            <w:pPr>
              <w:spacing w:after="0"/>
              <w:contextualSpacing/>
              <w:jc w:val="right"/>
              <w:rPr>
                <w:sz w:val="18"/>
                <w:szCs w:val="18"/>
              </w:rPr>
            </w:pPr>
            <w:r w:rsidRPr="00ED37CF">
              <w:rPr>
                <w:sz w:val="18"/>
                <w:szCs w:val="18"/>
              </w:rPr>
              <w:t>275</w:t>
            </w:r>
          </w:p>
          <w:p w14:paraId="00A4E59E" w14:textId="77777777" w:rsidR="00D77949" w:rsidRPr="00ED37CF" w:rsidRDefault="00D77949" w:rsidP="00B351F8">
            <w:pPr>
              <w:spacing w:after="0"/>
              <w:contextualSpacing/>
              <w:jc w:val="right"/>
              <w:rPr>
                <w:sz w:val="18"/>
                <w:szCs w:val="18"/>
              </w:rPr>
            </w:pPr>
            <w:r w:rsidRPr="00ED37CF">
              <w:rPr>
                <w:sz w:val="18"/>
                <w:szCs w:val="18"/>
              </w:rPr>
              <w:t>(2% F, 98% M)</w:t>
            </w:r>
          </w:p>
        </w:tc>
      </w:tr>
      <w:tr w:rsidR="00D77949" w:rsidRPr="00ED37CF" w14:paraId="2EDC8CDE" w14:textId="77777777" w:rsidTr="00D77949">
        <w:tc>
          <w:tcPr>
            <w:tcW w:w="1595" w:type="dxa"/>
            <w:vAlign w:val="center"/>
          </w:tcPr>
          <w:p w14:paraId="76311B6D" w14:textId="77777777" w:rsidR="00D77949" w:rsidRPr="00ED37CF" w:rsidRDefault="00D77949" w:rsidP="00B351F8">
            <w:pPr>
              <w:spacing w:after="0"/>
              <w:contextualSpacing/>
              <w:rPr>
                <w:b/>
                <w:bCs/>
                <w:sz w:val="18"/>
                <w:szCs w:val="18"/>
                <w:highlight w:val="magenta"/>
              </w:rPr>
            </w:pPr>
            <w:r w:rsidRPr="00ED37CF">
              <w:rPr>
                <w:b/>
                <w:bCs/>
                <w:sz w:val="18"/>
                <w:szCs w:val="18"/>
              </w:rPr>
              <w:t>Micro-enterprises</w:t>
            </w:r>
          </w:p>
        </w:tc>
        <w:tc>
          <w:tcPr>
            <w:tcW w:w="1588" w:type="dxa"/>
            <w:vAlign w:val="center"/>
          </w:tcPr>
          <w:p w14:paraId="54F61AD5" w14:textId="77777777" w:rsidR="00D77949" w:rsidRPr="00ED37CF" w:rsidRDefault="00D77949" w:rsidP="00B351F8">
            <w:pPr>
              <w:spacing w:after="0"/>
              <w:contextualSpacing/>
              <w:jc w:val="right"/>
              <w:rPr>
                <w:sz w:val="18"/>
                <w:szCs w:val="18"/>
              </w:rPr>
            </w:pPr>
            <w:r w:rsidRPr="00ED37CF">
              <w:rPr>
                <w:sz w:val="18"/>
                <w:szCs w:val="18"/>
              </w:rPr>
              <w:t>1,325</w:t>
            </w:r>
          </w:p>
          <w:p w14:paraId="00704F80" w14:textId="77777777" w:rsidR="00D77949" w:rsidRPr="00ED37CF" w:rsidRDefault="00D77949" w:rsidP="00B351F8">
            <w:pPr>
              <w:spacing w:after="0"/>
              <w:contextualSpacing/>
              <w:jc w:val="right"/>
              <w:rPr>
                <w:sz w:val="18"/>
                <w:szCs w:val="18"/>
              </w:rPr>
            </w:pPr>
            <w:r w:rsidRPr="00ED37CF">
              <w:rPr>
                <w:sz w:val="18"/>
                <w:szCs w:val="18"/>
              </w:rPr>
              <w:t>(48% F, 52% M)</w:t>
            </w:r>
          </w:p>
        </w:tc>
        <w:tc>
          <w:tcPr>
            <w:tcW w:w="1592" w:type="dxa"/>
            <w:vAlign w:val="center"/>
          </w:tcPr>
          <w:p w14:paraId="6FA6871D" w14:textId="77777777" w:rsidR="00D77949" w:rsidRPr="00ED37CF" w:rsidRDefault="00D77949" w:rsidP="00B351F8">
            <w:pPr>
              <w:spacing w:after="0"/>
              <w:contextualSpacing/>
              <w:jc w:val="right"/>
              <w:rPr>
                <w:sz w:val="18"/>
                <w:szCs w:val="18"/>
              </w:rPr>
            </w:pPr>
            <w:r w:rsidRPr="00ED37CF">
              <w:rPr>
                <w:sz w:val="18"/>
                <w:szCs w:val="18"/>
              </w:rPr>
              <w:t>0</w:t>
            </w:r>
          </w:p>
          <w:p w14:paraId="629A446B" w14:textId="77777777" w:rsidR="00D77949" w:rsidRPr="00ED37CF" w:rsidRDefault="00D77949" w:rsidP="00B351F8">
            <w:pPr>
              <w:spacing w:after="0"/>
              <w:contextualSpacing/>
              <w:jc w:val="right"/>
              <w:rPr>
                <w:sz w:val="18"/>
                <w:szCs w:val="18"/>
              </w:rPr>
            </w:pPr>
            <w:r w:rsidRPr="00ED37CF">
              <w:rPr>
                <w:sz w:val="18"/>
                <w:szCs w:val="18"/>
              </w:rPr>
              <w:t xml:space="preserve"> (8% F, 92% M)</w:t>
            </w:r>
          </w:p>
        </w:tc>
        <w:tc>
          <w:tcPr>
            <w:tcW w:w="1589" w:type="dxa"/>
            <w:vAlign w:val="center"/>
          </w:tcPr>
          <w:p w14:paraId="533F9D01" w14:textId="77777777" w:rsidR="00D77949" w:rsidRPr="00ED37CF" w:rsidRDefault="00D77949" w:rsidP="00B351F8">
            <w:pPr>
              <w:spacing w:after="0"/>
              <w:contextualSpacing/>
              <w:jc w:val="right"/>
              <w:rPr>
                <w:sz w:val="18"/>
                <w:szCs w:val="18"/>
              </w:rPr>
            </w:pPr>
            <w:r w:rsidRPr="00ED37CF">
              <w:rPr>
                <w:sz w:val="18"/>
                <w:szCs w:val="18"/>
              </w:rPr>
              <w:t>36</w:t>
            </w:r>
          </w:p>
          <w:p w14:paraId="4A770AED" w14:textId="77777777" w:rsidR="00D77949" w:rsidRPr="00ED37CF" w:rsidRDefault="00D77949" w:rsidP="00B351F8">
            <w:pPr>
              <w:spacing w:after="0"/>
              <w:contextualSpacing/>
              <w:jc w:val="right"/>
              <w:rPr>
                <w:sz w:val="18"/>
                <w:szCs w:val="18"/>
              </w:rPr>
            </w:pPr>
            <w:r w:rsidRPr="00ED37CF">
              <w:rPr>
                <w:sz w:val="18"/>
                <w:szCs w:val="18"/>
              </w:rPr>
              <w:t xml:space="preserve"> (8% F, 92% M)</w:t>
            </w:r>
          </w:p>
        </w:tc>
        <w:tc>
          <w:tcPr>
            <w:tcW w:w="1783" w:type="dxa"/>
            <w:vAlign w:val="center"/>
          </w:tcPr>
          <w:p w14:paraId="53EAFE96" w14:textId="77777777" w:rsidR="00D77949" w:rsidRPr="00ED37CF" w:rsidRDefault="00D77949" w:rsidP="00B351F8">
            <w:pPr>
              <w:spacing w:after="0"/>
              <w:contextualSpacing/>
              <w:jc w:val="right"/>
              <w:rPr>
                <w:sz w:val="18"/>
                <w:szCs w:val="18"/>
              </w:rPr>
            </w:pPr>
            <w:r w:rsidRPr="00ED37CF">
              <w:rPr>
                <w:sz w:val="18"/>
                <w:szCs w:val="18"/>
              </w:rPr>
              <w:t xml:space="preserve">1,289 </w:t>
            </w:r>
          </w:p>
          <w:p w14:paraId="7935AE2F" w14:textId="77777777" w:rsidR="00D77949" w:rsidRPr="00ED37CF" w:rsidRDefault="00D77949" w:rsidP="00B351F8">
            <w:pPr>
              <w:spacing w:after="0"/>
              <w:contextualSpacing/>
              <w:jc w:val="right"/>
              <w:rPr>
                <w:sz w:val="18"/>
                <w:szCs w:val="18"/>
              </w:rPr>
            </w:pPr>
            <w:r w:rsidRPr="00ED37CF">
              <w:rPr>
                <w:sz w:val="18"/>
                <w:szCs w:val="18"/>
              </w:rPr>
              <w:t>(49% F, 51% M)</w:t>
            </w:r>
          </w:p>
        </w:tc>
        <w:tc>
          <w:tcPr>
            <w:tcW w:w="1591" w:type="dxa"/>
            <w:vAlign w:val="center"/>
          </w:tcPr>
          <w:p w14:paraId="1B683E48" w14:textId="77777777" w:rsidR="00D77949" w:rsidRPr="00ED37CF" w:rsidRDefault="00D77949" w:rsidP="00B351F8">
            <w:pPr>
              <w:spacing w:after="0"/>
              <w:contextualSpacing/>
              <w:jc w:val="right"/>
              <w:rPr>
                <w:sz w:val="18"/>
                <w:szCs w:val="18"/>
              </w:rPr>
            </w:pPr>
            <w:r w:rsidRPr="00ED37CF">
              <w:rPr>
                <w:sz w:val="18"/>
                <w:szCs w:val="18"/>
              </w:rPr>
              <w:t>963</w:t>
            </w:r>
          </w:p>
          <w:p w14:paraId="092A17B7" w14:textId="77777777" w:rsidR="00D77949" w:rsidRPr="00ED37CF" w:rsidRDefault="00D77949" w:rsidP="00B351F8">
            <w:pPr>
              <w:spacing w:after="0"/>
              <w:contextualSpacing/>
              <w:jc w:val="right"/>
              <w:rPr>
                <w:sz w:val="18"/>
                <w:szCs w:val="18"/>
              </w:rPr>
            </w:pPr>
            <w:r w:rsidRPr="00ED37CF">
              <w:rPr>
                <w:sz w:val="18"/>
                <w:szCs w:val="18"/>
              </w:rPr>
              <w:t>(48% F, 52% M)</w:t>
            </w:r>
          </w:p>
        </w:tc>
      </w:tr>
      <w:tr w:rsidR="00D77949" w:rsidRPr="00ED37CF" w14:paraId="29FE2297" w14:textId="77777777" w:rsidTr="00D77949">
        <w:tc>
          <w:tcPr>
            <w:tcW w:w="1595" w:type="dxa"/>
            <w:vAlign w:val="center"/>
          </w:tcPr>
          <w:p w14:paraId="5E14DBC4" w14:textId="77777777" w:rsidR="00D77949" w:rsidRPr="00ED37CF" w:rsidRDefault="00D77949" w:rsidP="00B351F8">
            <w:pPr>
              <w:spacing w:after="0"/>
              <w:contextualSpacing/>
              <w:rPr>
                <w:b/>
                <w:bCs/>
                <w:sz w:val="18"/>
                <w:szCs w:val="18"/>
              </w:rPr>
            </w:pPr>
            <w:r w:rsidRPr="00ED37CF">
              <w:rPr>
                <w:b/>
                <w:bCs/>
                <w:sz w:val="18"/>
                <w:szCs w:val="18"/>
              </w:rPr>
              <w:t>Education</w:t>
            </w:r>
          </w:p>
        </w:tc>
        <w:tc>
          <w:tcPr>
            <w:tcW w:w="1588" w:type="dxa"/>
            <w:vAlign w:val="center"/>
          </w:tcPr>
          <w:p w14:paraId="613FD41B" w14:textId="77777777" w:rsidR="00D77949" w:rsidRPr="00ED37CF" w:rsidRDefault="00D77949" w:rsidP="00B351F8">
            <w:pPr>
              <w:spacing w:after="0"/>
              <w:contextualSpacing/>
              <w:jc w:val="right"/>
              <w:rPr>
                <w:sz w:val="18"/>
                <w:szCs w:val="18"/>
              </w:rPr>
            </w:pPr>
            <w:r w:rsidRPr="00ED37CF">
              <w:rPr>
                <w:sz w:val="18"/>
                <w:szCs w:val="18"/>
              </w:rPr>
              <w:t xml:space="preserve">406 </w:t>
            </w:r>
          </w:p>
          <w:p w14:paraId="68B8EAD8" w14:textId="77777777" w:rsidR="00D77949" w:rsidRPr="00ED37CF" w:rsidRDefault="00D77949" w:rsidP="00B351F8">
            <w:pPr>
              <w:spacing w:after="0"/>
              <w:contextualSpacing/>
              <w:jc w:val="right"/>
              <w:rPr>
                <w:sz w:val="18"/>
                <w:szCs w:val="18"/>
              </w:rPr>
            </w:pPr>
            <w:r w:rsidRPr="00ED37CF">
              <w:rPr>
                <w:sz w:val="18"/>
                <w:szCs w:val="18"/>
              </w:rPr>
              <w:t>(44% F, 56% M)</w:t>
            </w:r>
          </w:p>
        </w:tc>
        <w:tc>
          <w:tcPr>
            <w:tcW w:w="1592" w:type="dxa"/>
            <w:vAlign w:val="center"/>
          </w:tcPr>
          <w:p w14:paraId="191654E9" w14:textId="77777777" w:rsidR="00D77949" w:rsidRPr="00ED37CF" w:rsidRDefault="00D77949" w:rsidP="00B351F8">
            <w:pPr>
              <w:spacing w:after="0"/>
              <w:contextualSpacing/>
              <w:jc w:val="right"/>
              <w:rPr>
                <w:sz w:val="18"/>
                <w:szCs w:val="18"/>
              </w:rPr>
            </w:pPr>
            <w:r w:rsidRPr="00ED37CF">
              <w:rPr>
                <w:sz w:val="18"/>
                <w:szCs w:val="18"/>
              </w:rPr>
              <w:t>226</w:t>
            </w:r>
          </w:p>
          <w:p w14:paraId="08C42C77" w14:textId="77777777" w:rsidR="00D77949" w:rsidRPr="00ED37CF" w:rsidRDefault="00D77949" w:rsidP="00B351F8">
            <w:pPr>
              <w:spacing w:after="0"/>
              <w:contextualSpacing/>
              <w:jc w:val="right"/>
              <w:rPr>
                <w:sz w:val="18"/>
                <w:szCs w:val="18"/>
              </w:rPr>
            </w:pPr>
            <w:r w:rsidRPr="00ED37CF">
              <w:rPr>
                <w:sz w:val="18"/>
                <w:szCs w:val="18"/>
              </w:rPr>
              <w:t xml:space="preserve"> (49% F, 51% M)</w:t>
            </w:r>
          </w:p>
        </w:tc>
        <w:tc>
          <w:tcPr>
            <w:tcW w:w="1589" w:type="dxa"/>
            <w:vAlign w:val="center"/>
          </w:tcPr>
          <w:p w14:paraId="68EA7F16" w14:textId="77777777" w:rsidR="00D77949" w:rsidRPr="00ED37CF" w:rsidRDefault="00D77949" w:rsidP="00B351F8">
            <w:pPr>
              <w:spacing w:after="0"/>
              <w:contextualSpacing/>
              <w:jc w:val="right"/>
              <w:rPr>
                <w:sz w:val="18"/>
                <w:szCs w:val="18"/>
              </w:rPr>
            </w:pPr>
            <w:r w:rsidRPr="00ED37CF">
              <w:rPr>
                <w:sz w:val="18"/>
                <w:szCs w:val="18"/>
              </w:rPr>
              <w:t>137</w:t>
            </w:r>
            <w:r w:rsidRPr="00ED37CF">
              <w:rPr>
                <w:sz w:val="18"/>
                <w:szCs w:val="18"/>
              </w:rPr>
              <w:footnoteReference w:id="1"/>
            </w:r>
          </w:p>
          <w:p w14:paraId="071A4F21" w14:textId="77777777" w:rsidR="00D77949" w:rsidRPr="00ED37CF" w:rsidRDefault="00D77949" w:rsidP="00B351F8">
            <w:pPr>
              <w:spacing w:after="0"/>
              <w:contextualSpacing/>
              <w:jc w:val="right"/>
              <w:rPr>
                <w:sz w:val="18"/>
                <w:szCs w:val="18"/>
              </w:rPr>
            </w:pPr>
            <w:r w:rsidRPr="00ED37CF">
              <w:rPr>
                <w:sz w:val="18"/>
                <w:szCs w:val="18"/>
              </w:rPr>
              <w:t xml:space="preserve"> (14% F, 86% M)</w:t>
            </w:r>
          </w:p>
        </w:tc>
        <w:tc>
          <w:tcPr>
            <w:tcW w:w="1783" w:type="dxa"/>
            <w:vAlign w:val="center"/>
          </w:tcPr>
          <w:p w14:paraId="175A5A31" w14:textId="77777777" w:rsidR="00D77949" w:rsidRPr="00ED37CF" w:rsidRDefault="00D77949" w:rsidP="00B351F8">
            <w:pPr>
              <w:spacing w:after="0"/>
              <w:contextualSpacing/>
              <w:jc w:val="right"/>
              <w:rPr>
                <w:sz w:val="18"/>
                <w:szCs w:val="18"/>
              </w:rPr>
            </w:pPr>
            <w:r w:rsidRPr="00ED37CF">
              <w:rPr>
                <w:sz w:val="18"/>
                <w:szCs w:val="18"/>
              </w:rPr>
              <w:t xml:space="preserve">43 </w:t>
            </w:r>
          </w:p>
          <w:p w14:paraId="0042BBEF" w14:textId="77777777" w:rsidR="00D77949" w:rsidRPr="00ED37CF" w:rsidRDefault="00D77949" w:rsidP="00B351F8">
            <w:pPr>
              <w:spacing w:after="0"/>
              <w:contextualSpacing/>
              <w:jc w:val="right"/>
              <w:rPr>
                <w:sz w:val="18"/>
                <w:szCs w:val="18"/>
              </w:rPr>
            </w:pPr>
            <w:r w:rsidRPr="00ED37CF">
              <w:rPr>
                <w:sz w:val="18"/>
                <w:szCs w:val="18"/>
              </w:rPr>
              <w:t>(49% F, 51% M)</w:t>
            </w:r>
          </w:p>
        </w:tc>
        <w:tc>
          <w:tcPr>
            <w:tcW w:w="1591" w:type="dxa"/>
            <w:vAlign w:val="center"/>
          </w:tcPr>
          <w:p w14:paraId="1B3060CC" w14:textId="77777777" w:rsidR="00D77949" w:rsidRPr="00ED37CF" w:rsidRDefault="00D77949" w:rsidP="00B351F8">
            <w:pPr>
              <w:spacing w:after="0"/>
              <w:contextualSpacing/>
              <w:jc w:val="right"/>
              <w:rPr>
                <w:sz w:val="18"/>
                <w:szCs w:val="18"/>
              </w:rPr>
            </w:pPr>
            <w:r w:rsidRPr="00ED37CF">
              <w:rPr>
                <w:sz w:val="18"/>
                <w:szCs w:val="18"/>
              </w:rPr>
              <w:t>-</w:t>
            </w:r>
          </w:p>
        </w:tc>
      </w:tr>
      <w:tr w:rsidR="00D77949" w:rsidRPr="00ED37CF" w14:paraId="133144EB" w14:textId="77777777" w:rsidTr="00D77949">
        <w:tc>
          <w:tcPr>
            <w:tcW w:w="1595" w:type="dxa"/>
            <w:tcBorders>
              <w:bottom w:val="single" w:sz="4" w:space="0" w:color="000000"/>
            </w:tcBorders>
            <w:vAlign w:val="center"/>
          </w:tcPr>
          <w:p w14:paraId="1581D0BA" w14:textId="77777777" w:rsidR="00D77949" w:rsidRPr="00ED37CF" w:rsidRDefault="00D77949" w:rsidP="00B351F8">
            <w:pPr>
              <w:spacing w:after="0"/>
              <w:contextualSpacing/>
              <w:rPr>
                <w:b/>
                <w:bCs/>
                <w:sz w:val="18"/>
                <w:szCs w:val="18"/>
              </w:rPr>
            </w:pPr>
            <w:r w:rsidRPr="00ED37CF">
              <w:rPr>
                <w:b/>
                <w:bCs/>
                <w:sz w:val="18"/>
                <w:szCs w:val="18"/>
              </w:rPr>
              <w:t>Health Training</w:t>
            </w:r>
          </w:p>
        </w:tc>
        <w:tc>
          <w:tcPr>
            <w:tcW w:w="1588" w:type="dxa"/>
            <w:tcBorders>
              <w:bottom w:val="single" w:sz="4" w:space="0" w:color="000000"/>
            </w:tcBorders>
            <w:vAlign w:val="center"/>
          </w:tcPr>
          <w:p w14:paraId="30312931" w14:textId="77777777" w:rsidR="00D77949" w:rsidRPr="00ED37CF" w:rsidRDefault="00D77949" w:rsidP="00B351F8">
            <w:pPr>
              <w:spacing w:after="0"/>
              <w:contextualSpacing/>
              <w:jc w:val="right"/>
              <w:rPr>
                <w:sz w:val="18"/>
                <w:szCs w:val="18"/>
              </w:rPr>
            </w:pPr>
            <w:r w:rsidRPr="00ED37CF">
              <w:rPr>
                <w:sz w:val="18"/>
                <w:szCs w:val="18"/>
              </w:rPr>
              <w:t xml:space="preserve">61 </w:t>
            </w:r>
          </w:p>
          <w:p w14:paraId="69060A6D" w14:textId="77777777" w:rsidR="00D77949" w:rsidRPr="00ED37CF" w:rsidRDefault="00D77949" w:rsidP="00B351F8">
            <w:pPr>
              <w:spacing w:after="0"/>
              <w:contextualSpacing/>
              <w:jc w:val="right"/>
              <w:rPr>
                <w:sz w:val="18"/>
                <w:szCs w:val="18"/>
              </w:rPr>
            </w:pPr>
            <w:r w:rsidRPr="00ED37CF">
              <w:rPr>
                <w:sz w:val="18"/>
                <w:szCs w:val="18"/>
              </w:rPr>
              <w:t>(30% F, 70% M)</w:t>
            </w:r>
          </w:p>
        </w:tc>
        <w:tc>
          <w:tcPr>
            <w:tcW w:w="1592" w:type="dxa"/>
            <w:tcBorders>
              <w:bottom w:val="single" w:sz="4" w:space="0" w:color="000000"/>
            </w:tcBorders>
            <w:vAlign w:val="center"/>
          </w:tcPr>
          <w:p w14:paraId="27CAD855" w14:textId="77777777" w:rsidR="00D77949" w:rsidRPr="00ED37CF" w:rsidRDefault="00D77949" w:rsidP="00B351F8">
            <w:pPr>
              <w:spacing w:after="0"/>
              <w:contextualSpacing/>
              <w:jc w:val="right"/>
              <w:rPr>
                <w:sz w:val="18"/>
                <w:szCs w:val="18"/>
              </w:rPr>
            </w:pPr>
            <w:r w:rsidRPr="00ED37CF">
              <w:rPr>
                <w:sz w:val="18"/>
                <w:szCs w:val="18"/>
              </w:rPr>
              <w:t>1</w:t>
            </w:r>
          </w:p>
          <w:p w14:paraId="2BD9FB77" w14:textId="77777777" w:rsidR="00D77949" w:rsidRPr="00ED37CF" w:rsidRDefault="00D77949" w:rsidP="00B351F8">
            <w:pPr>
              <w:spacing w:after="0"/>
              <w:contextualSpacing/>
              <w:jc w:val="right"/>
              <w:rPr>
                <w:sz w:val="18"/>
                <w:szCs w:val="18"/>
              </w:rPr>
            </w:pPr>
            <w:r w:rsidRPr="00ED37CF">
              <w:rPr>
                <w:sz w:val="18"/>
                <w:szCs w:val="18"/>
              </w:rPr>
              <w:t xml:space="preserve"> (100% F, 0% M)</w:t>
            </w:r>
          </w:p>
        </w:tc>
        <w:tc>
          <w:tcPr>
            <w:tcW w:w="1589" w:type="dxa"/>
            <w:tcBorders>
              <w:bottom w:val="single" w:sz="4" w:space="0" w:color="000000"/>
            </w:tcBorders>
            <w:vAlign w:val="center"/>
          </w:tcPr>
          <w:p w14:paraId="6490BBC0" w14:textId="77777777" w:rsidR="00D77949" w:rsidRPr="00ED37CF" w:rsidRDefault="00D77949" w:rsidP="00B351F8">
            <w:pPr>
              <w:spacing w:after="0"/>
              <w:contextualSpacing/>
              <w:jc w:val="right"/>
              <w:rPr>
                <w:sz w:val="18"/>
                <w:szCs w:val="18"/>
              </w:rPr>
            </w:pPr>
            <w:r w:rsidRPr="00ED37CF">
              <w:rPr>
                <w:sz w:val="18"/>
                <w:szCs w:val="18"/>
              </w:rPr>
              <w:t xml:space="preserve">3 </w:t>
            </w:r>
          </w:p>
          <w:p w14:paraId="1F7FA572" w14:textId="77777777" w:rsidR="00D77949" w:rsidRPr="00ED37CF" w:rsidRDefault="00D77949" w:rsidP="00B351F8">
            <w:pPr>
              <w:spacing w:after="0"/>
              <w:contextualSpacing/>
              <w:jc w:val="right"/>
              <w:rPr>
                <w:sz w:val="18"/>
                <w:szCs w:val="18"/>
              </w:rPr>
            </w:pPr>
            <w:r w:rsidRPr="00ED37CF">
              <w:rPr>
                <w:sz w:val="18"/>
                <w:szCs w:val="18"/>
              </w:rPr>
              <w:t>(0% F, 100% M)</w:t>
            </w:r>
          </w:p>
        </w:tc>
        <w:tc>
          <w:tcPr>
            <w:tcW w:w="1783" w:type="dxa"/>
            <w:vAlign w:val="center"/>
          </w:tcPr>
          <w:p w14:paraId="7EFAC114" w14:textId="77777777" w:rsidR="00D77949" w:rsidRPr="00ED37CF" w:rsidRDefault="00D77949" w:rsidP="00B351F8">
            <w:pPr>
              <w:spacing w:after="0"/>
              <w:contextualSpacing/>
              <w:jc w:val="right"/>
              <w:rPr>
                <w:sz w:val="18"/>
                <w:szCs w:val="18"/>
              </w:rPr>
            </w:pPr>
            <w:r w:rsidRPr="00ED37CF">
              <w:rPr>
                <w:sz w:val="18"/>
                <w:szCs w:val="18"/>
              </w:rPr>
              <w:t xml:space="preserve">57 </w:t>
            </w:r>
          </w:p>
          <w:p w14:paraId="74CE2515" w14:textId="77777777" w:rsidR="00D77949" w:rsidRPr="00ED37CF" w:rsidRDefault="00D77949" w:rsidP="00B351F8">
            <w:pPr>
              <w:spacing w:after="0"/>
              <w:contextualSpacing/>
              <w:jc w:val="right"/>
              <w:rPr>
                <w:sz w:val="18"/>
                <w:szCs w:val="18"/>
              </w:rPr>
            </w:pPr>
            <w:r w:rsidRPr="00ED37CF">
              <w:rPr>
                <w:sz w:val="18"/>
                <w:szCs w:val="18"/>
              </w:rPr>
              <w:t>(30% F, 70% M)</w:t>
            </w:r>
          </w:p>
        </w:tc>
        <w:tc>
          <w:tcPr>
            <w:tcW w:w="1591" w:type="dxa"/>
            <w:vAlign w:val="center"/>
          </w:tcPr>
          <w:p w14:paraId="23718A8C" w14:textId="77777777" w:rsidR="00D77949" w:rsidRPr="00ED37CF" w:rsidRDefault="00D77949" w:rsidP="00B351F8">
            <w:pPr>
              <w:spacing w:after="0"/>
              <w:contextualSpacing/>
              <w:jc w:val="right"/>
              <w:rPr>
                <w:sz w:val="18"/>
                <w:szCs w:val="18"/>
              </w:rPr>
            </w:pPr>
            <w:r w:rsidRPr="00ED37CF">
              <w:rPr>
                <w:sz w:val="18"/>
                <w:szCs w:val="18"/>
              </w:rPr>
              <w:t xml:space="preserve">19 </w:t>
            </w:r>
          </w:p>
          <w:p w14:paraId="55DCD056" w14:textId="77777777" w:rsidR="00D77949" w:rsidRPr="00ED37CF" w:rsidRDefault="00D77949" w:rsidP="00B351F8">
            <w:pPr>
              <w:spacing w:after="0"/>
              <w:contextualSpacing/>
              <w:jc w:val="right"/>
              <w:rPr>
                <w:sz w:val="18"/>
                <w:szCs w:val="18"/>
              </w:rPr>
            </w:pPr>
            <w:r w:rsidRPr="00ED37CF">
              <w:rPr>
                <w:sz w:val="18"/>
                <w:szCs w:val="18"/>
              </w:rPr>
              <w:t>(21% F, 79% M)</w:t>
            </w:r>
          </w:p>
        </w:tc>
      </w:tr>
      <w:tr w:rsidR="00D77949" w:rsidRPr="00ED37CF" w14:paraId="16417FC0" w14:textId="77777777" w:rsidTr="00B351F8">
        <w:tc>
          <w:tcPr>
            <w:tcW w:w="1595" w:type="dxa"/>
            <w:tcBorders>
              <w:bottom w:val="single" w:sz="4" w:space="0" w:color="auto"/>
            </w:tcBorders>
            <w:shd w:val="clear" w:color="auto" w:fill="C6D9F1" w:themeFill="text2" w:themeFillTint="33"/>
            <w:vAlign w:val="center"/>
          </w:tcPr>
          <w:p w14:paraId="642D9E65" w14:textId="77777777" w:rsidR="00D77949" w:rsidRPr="00ED37CF" w:rsidRDefault="00D77949" w:rsidP="00B351F8">
            <w:pPr>
              <w:spacing w:after="0"/>
              <w:contextualSpacing/>
              <w:rPr>
                <w:b/>
                <w:bCs/>
                <w:sz w:val="18"/>
                <w:szCs w:val="18"/>
              </w:rPr>
            </w:pPr>
            <w:r w:rsidRPr="00ED37CF">
              <w:rPr>
                <w:b/>
                <w:bCs/>
                <w:sz w:val="18"/>
                <w:szCs w:val="18"/>
              </w:rPr>
              <w:t>Total</w:t>
            </w:r>
          </w:p>
        </w:tc>
        <w:tc>
          <w:tcPr>
            <w:tcW w:w="1588" w:type="dxa"/>
            <w:tcBorders>
              <w:bottom w:val="single" w:sz="4" w:space="0" w:color="auto"/>
            </w:tcBorders>
            <w:shd w:val="clear" w:color="auto" w:fill="C6D9F1" w:themeFill="text2" w:themeFillTint="33"/>
            <w:vAlign w:val="center"/>
          </w:tcPr>
          <w:p w14:paraId="45227D48" w14:textId="77777777" w:rsidR="00D77949" w:rsidRPr="00ED37CF" w:rsidRDefault="00D77949" w:rsidP="00B351F8">
            <w:pPr>
              <w:spacing w:after="0"/>
              <w:contextualSpacing/>
              <w:jc w:val="right"/>
              <w:rPr>
                <w:b/>
                <w:bCs/>
                <w:sz w:val="18"/>
                <w:szCs w:val="18"/>
              </w:rPr>
            </w:pPr>
            <w:r w:rsidRPr="00ED37CF">
              <w:rPr>
                <w:b/>
                <w:bCs/>
                <w:sz w:val="18"/>
                <w:szCs w:val="18"/>
              </w:rPr>
              <w:t xml:space="preserve">2,234 </w:t>
            </w:r>
          </w:p>
          <w:p w14:paraId="572CFEE8" w14:textId="77777777" w:rsidR="00D77949" w:rsidRPr="00ED37CF" w:rsidRDefault="00D77949" w:rsidP="00B351F8">
            <w:pPr>
              <w:spacing w:after="0"/>
              <w:contextualSpacing/>
              <w:jc w:val="right"/>
              <w:rPr>
                <w:b/>
                <w:bCs/>
                <w:sz w:val="18"/>
                <w:szCs w:val="18"/>
              </w:rPr>
            </w:pPr>
            <w:r w:rsidRPr="00ED37CF">
              <w:rPr>
                <w:b/>
                <w:bCs/>
                <w:sz w:val="18"/>
                <w:szCs w:val="18"/>
              </w:rPr>
              <w:t>(38% F, 62% M)</w:t>
            </w:r>
          </w:p>
        </w:tc>
        <w:tc>
          <w:tcPr>
            <w:tcW w:w="1592" w:type="dxa"/>
            <w:tcBorders>
              <w:bottom w:val="single" w:sz="4" w:space="0" w:color="auto"/>
            </w:tcBorders>
            <w:shd w:val="clear" w:color="auto" w:fill="C6D9F1" w:themeFill="text2" w:themeFillTint="33"/>
            <w:vAlign w:val="center"/>
          </w:tcPr>
          <w:p w14:paraId="743BFC9E" w14:textId="77777777" w:rsidR="00D77949" w:rsidRPr="00ED37CF" w:rsidRDefault="00D77949" w:rsidP="00B351F8">
            <w:pPr>
              <w:spacing w:after="0"/>
              <w:contextualSpacing/>
              <w:jc w:val="right"/>
              <w:rPr>
                <w:b/>
                <w:bCs/>
                <w:sz w:val="18"/>
                <w:szCs w:val="18"/>
              </w:rPr>
            </w:pPr>
            <w:r w:rsidRPr="00ED37CF">
              <w:rPr>
                <w:b/>
                <w:bCs/>
                <w:sz w:val="18"/>
                <w:szCs w:val="18"/>
              </w:rPr>
              <w:t xml:space="preserve">227 </w:t>
            </w:r>
          </w:p>
          <w:p w14:paraId="3C5740A5" w14:textId="77777777" w:rsidR="00D77949" w:rsidRPr="00ED37CF" w:rsidRDefault="00D77949" w:rsidP="00B351F8">
            <w:pPr>
              <w:spacing w:after="0"/>
              <w:contextualSpacing/>
              <w:jc w:val="right"/>
              <w:rPr>
                <w:b/>
                <w:bCs/>
                <w:sz w:val="18"/>
                <w:szCs w:val="18"/>
              </w:rPr>
            </w:pPr>
            <w:r w:rsidRPr="00ED37CF">
              <w:rPr>
                <w:b/>
                <w:bCs/>
                <w:sz w:val="18"/>
                <w:szCs w:val="18"/>
              </w:rPr>
              <w:t>(49% F, 51% M)</w:t>
            </w:r>
          </w:p>
        </w:tc>
        <w:tc>
          <w:tcPr>
            <w:tcW w:w="1589" w:type="dxa"/>
            <w:tcBorders>
              <w:bottom w:val="single" w:sz="4" w:space="0" w:color="auto"/>
            </w:tcBorders>
            <w:shd w:val="clear" w:color="auto" w:fill="C6D9F1" w:themeFill="text2" w:themeFillTint="33"/>
            <w:vAlign w:val="center"/>
          </w:tcPr>
          <w:p w14:paraId="7A57CE88" w14:textId="77777777" w:rsidR="00D77949" w:rsidRPr="00ED37CF" w:rsidRDefault="00D77949" w:rsidP="00B351F8">
            <w:pPr>
              <w:spacing w:after="0"/>
              <w:contextualSpacing/>
              <w:jc w:val="right"/>
              <w:rPr>
                <w:b/>
                <w:bCs/>
                <w:sz w:val="18"/>
                <w:szCs w:val="18"/>
              </w:rPr>
            </w:pPr>
            <w:r w:rsidRPr="00ED37CF">
              <w:rPr>
                <w:b/>
                <w:bCs/>
                <w:sz w:val="18"/>
                <w:szCs w:val="18"/>
              </w:rPr>
              <w:t>205</w:t>
            </w:r>
          </w:p>
          <w:p w14:paraId="159B3A62" w14:textId="77777777" w:rsidR="00D77949" w:rsidRPr="00ED37CF" w:rsidRDefault="00D77949" w:rsidP="00B351F8">
            <w:pPr>
              <w:spacing w:after="0"/>
              <w:contextualSpacing/>
              <w:jc w:val="right"/>
              <w:rPr>
                <w:b/>
                <w:bCs/>
                <w:sz w:val="18"/>
                <w:szCs w:val="18"/>
              </w:rPr>
            </w:pPr>
            <w:r w:rsidRPr="00ED37CF">
              <w:rPr>
                <w:b/>
                <w:bCs/>
                <w:sz w:val="18"/>
                <w:szCs w:val="18"/>
              </w:rPr>
              <w:t>(11% F, 89% M)</w:t>
            </w:r>
          </w:p>
        </w:tc>
        <w:tc>
          <w:tcPr>
            <w:tcW w:w="1783" w:type="dxa"/>
            <w:tcBorders>
              <w:bottom w:val="single" w:sz="4" w:space="0" w:color="000000"/>
            </w:tcBorders>
            <w:shd w:val="clear" w:color="auto" w:fill="C6D9F1" w:themeFill="text2" w:themeFillTint="33"/>
            <w:vAlign w:val="center"/>
          </w:tcPr>
          <w:p w14:paraId="7F1B888E" w14:textId="77777777" w:rsidR="00D77949" w:rsidRPr="00ED37CF" w:rsidRDefault="00D77949" w:rsidP="00B351F8">
            <w:pPr>
              <w:spacing w:after="0"/>
              <w:contextualSpacing/>
              <w:jc w:val="right"/>
              <w:rPr>
                <w:b/>
                <w:bCs/>
                <w:sz w:val="18"/>
                <w:szCs w:val="18"/>
              </w:rPr>
            </w:pPr>
            <w:r w:rsidRPr="00ED37CF">
              <w:rPr>
                <w:b/>
                <w:bCs/>
                <w:sz w:val="18"/>
                <w:szCs w:val="18"/>
              </w:rPr>
              <w:t>1,802</w:t>
            </w:r>
          </w:p>
          <w:p w14:paraId="5E52B050" w14:textId="77777777" w:rsidR="00D77949" w:rsidRPr="00ED37CF" w:rsidRDefault="00D77949" w:rsidP="00B351F8">
            <w:pPr>
              <w:spacing w:after="0"/>
              <w:contextualSpacing/>
              <w:jc w:val="right"/>
              <w:rPr>
                <w:b/>
                <w:bCs/>
                <w:sz w:val="18"/>
                <w:szCs w:val="18"/>
              </w:rPr>
            </w:pPr>
            <w:r w:rsidRPr="00ED37CF">
              <w:rPr>
                <w:b/>
                <w:bCs/>
                <w:sz w:val="18"/>
                <w:szCs w:val="18"/>
              </w:rPr>
              <w:t>(38% F, 62% M)</w:t>
            </w:r>
          </w:p>
        </w:tc>
        <w:tc>
          <w:tcPr>
            <w:tcW w:w="1591" w:type="dxa"/>
            <w:tcBorders>
              <w:bottom w:val="single" w:sz="4" w:space="0" w:color="000000"/>
            </w:tcBorders>
            <w:shd w:val="clear" w:color="auto" w:fill="C6D9F1" w:themeFill="text2" w:themeFillTint="33"/>
            <w:vAlign w:val="center"/>
          </w:tcPr>
          <w:p w14:paraId="2542C94D" w14:textId="77777777" w:rsidR="00D77949" w:rsidRPr="00ED37CF" w:rsidRDefault="00D77949" w:rsidP="00B351F8">
            <w:pPr>
              <w:spacing w:after="0"/>
              <w:contextualSpacing/>
              <w:jc w:val="right"/>
              <w:rPr>
                <w:b/>
                <w:bCs/>
                <w:sz w:val="18"/>
                <w:szCs w:val="18"/>
              </w:rPr>
            </w:pPr>
            <w:r w:rsidRPr="00ED37CF">
              <w:rPr>
                <w:b/>
                <w:bCs/>
                <w:sz w:val="18"/>
                <w:szCs w:val="18"/>
              </w:rPr>
              <w:t xml:space="preserve">1,257 </w:t>
            </w:r>
          </w:p>
          <w:p w14:paraId="0E315974" w14:textId="77777777" w:rsidR="00D77949" w:rsidRPr="00ED37CF" w:rsidRDefault="00D77949" w:rsidP="00B351F8">
            <w:pPr>
              <w:spacing w:after="0"/>
              <w:contextualSpacing/>
              <w:jc w:val="right"/>
              <w:rPr>
                <w:b/>
                <w:bCs/>
                <w:sz w:val="18"/>
                <w:szCs w:val="18"/>
              </w:rPr>
            </w:pPr>
            <w:r w:rsidRPr="00ED37CF">
              <w:rPr>
                <w:b/>
                <w:bCs/>
                <w:sz w:val="18"/>
                <w:szCs w:val="18"/>
              </w:rPr>
              <w:t>(37% F, 63% M)</w:t>
            </w:r>
          </w:p>
        </w:tc>
      </w:tr>
      <w:tr w:rsidR="00D77949" w:rsidRPr="00ED37CF" w14:paraId="286744C8" w14:textId="77777777" w:rsidTr="00B351F8">
        <w:tc>
          <w:tcPr>
            <w:tcW w:w="1595" w:type="dxa"/>
            <w:tcBorders>
              <w:top w:val="single" w:sz="4" w:space="0" w:color="auto"/>
              <w:left w:val="nil"/>
              <w:bottom w:val="nil"/>
              <w:right w:val="nil"/>
            </w:tcBorders>
            <w:vAlign w:val="center"/>
          </w:tcPr>
          <w:p w14:paraId="69CE9C99" w14:textId="77777777" w:rsidR="00D77949" w:rsidRPr="00ED37CF" w:rsidRDefault="00D77949" w:rsidP="00B351F8">
            <w:pPr>
              <w:spacing w:after="0"/>
              <w:contextualSpacing/>
              <w:rPr>
                <w:sz w:val="18"/>
                <w:szCs w:val="18"/>
              </w:rPr>
            </w:pPr>
          </w:p>
        </w:tc>
        <w:tc>
          <w:tcPr>
            <w:tcW w:w="1588" w:type="dxa"/>
            <w:tcBorders>
              <w:top w:val="single" w:sz="4" w:space="0" w:color="auto"/>
              <w:left w:val="nil"/>
              <w:bottom w:val="nil"/>
              <w:right w:val="nil"/>
            </w:tcBorders>
          </w:tcPr>
          <w:p w14:paraId="365A8E19" w14:textId="77777777" w:rsidR="00D77949" w:rsidRPr="00ED37CF" w:rsidRDefault="00D77949" w:rsidP="00B351F8">
            <w:pPr>
              <w:spacing w:after="0"/>
              <w:contextualSpacing/>
              <w:jc w:val="right"/>
              <w:rPr>
                <w:sz w:val="18"/>
                <w:szCs w:val="18"/>
              </w:rPr>
            </w:pPr>
          </w:p>
        </w:tc>
        <w:tc>
          <w:tcPr>
            <w:tcW w:w="1592" w:type="dxa"/>
            <w:tcBorders>
              <w:top w:val="single" w:sz="4" w:space="0" w:color="auto"/>
              <w:left w:val="nil"/>
              <w:bottom w:val="nil"/>
              <w:right w:val="nil"/>
            </w:tcBorders>
          </w:tcPr>
          <w:p w14:paraId="4B0A19DE" w14:textId="77777777" w:rsidR="00D77949" w:rsidRPr="00ED37CF" w:rsidRDefault="00D77949" w:rsidP="00B351F8">
            <w:pPr>
              <w:spacing w:after="0"/>
              <w:contextualSpacing/>
              <w:jc w:val="right"/>
              <w:rPr>
                <w:sz w:val="18"/>
                <w:szCs w:val="18"/>
              </w:rPr>
            </w:pPr>
          </w:p>
        </w:tc>
        <w:tc>
          <w:tcPr>
            <w:tcW w:w="1589" w:type="dxa"/>
            <w:tcBorders>
              <w:top w:val="single" w:sz="4" w:space="0" w:color="auto"/>
              <w:left w:val="nil"/>
              <w:bottom w:val="nil"/>
              <w:right w:val="single" w:sz="8" w:space="0" w:color="auto"/>
            </w:tcBorders>
            <w:vAlign w:val="center"/>
          </w:tcPr>
          <w:p w14:paraId="5D8F29BF" w14:textId="77777777" w:rsidR="00D77949" w:rsidRPr="00ED37CF" w:rsidRDefault="00D77949" w:rsidP="00B351F8">
            <w:pPr>
              <w:spacing w:after="0"/>
              <w:contextualSpacing/>
              <w:jc w:val="right"/>
              <w:rPr>
                <w:sz w:val="18"/>
                <w:szCs w:val="18"/>
              </w:rPr>
            </w:pPr>
          </w:p>
        </w:tc>
        <w:tc>
          <w:tcPr>
            <w:tcW w:w="1783" w:type="dxa"/>
            <w:tcBorders>
              <w:left w:val="single" w:sz="8" w:space="0" w:color="auto"/>
            </w:tcBorders>
            <w:vAlign w:val="center"/>
          </w:tcPr>
          <w:p w14:paraId="584164E5" w14:textId="77777777" w:rsidR="00D77949" w:rsidRPr="00ED37CF" w:rsidRDefault="00D77949" w:rsidP="00B351F8">
            <w:pPr>
              <w:spacing w:after="0"/>
              <w:contextualSpacing/>
              <w:jc w:val="right"/>
              <w:rPr>
                <w:b/>
                <w:bCs/>
                <w:sz w:val="18"/>
                <w:szCs w:val="18"/>
              </w:rPr>
            </w:pPr>
            <w:r w:rsidRPr="00ED37CF">
              <w:rPr>
                <w:b/>
                <w:bCs/>
                <w:sz w:val="18"/>
                <w:szCs w:val="18"/>
              </w:rPr>
              <w:t xml:space="preserve"> Employment Rate (%)</w:t>
            </w:r>
          </w:p>
        </w:tc>
        <w:tc>
          <w:tcPr>
            <w:tcW w:w="1591" w:type="dxa"/>
            <w:vAlign w:val="center"/>
          </w:tcPr>
          <w:p w14:paraId="5FC87D3B" w14:textId="77777777" w:rsidR="00D77949" w:rsidRPr="00ED37CF" w:rsidRDefault="00D77949" w:rsidP="00B351F8">
            <w:pPr>
              <w:spacing w:after="0"/>
              <w:contextualSpacing/>
              <w:jc w:val="right"/>
              <w:rPr>
                <w:b/>
                <w:bCs/>
                <w:sz w:val="18"/>
                <w:szCs w:val="18"/>
              </w:rPr>
            </w:pPr>
            <w:r w:rsidRPr="00ED37CF">
              <w:rPr>
                <w:b/>
                <w:bCs/>
                <w:sz w:val="18"/>
                <w:szCs w:val="18"/>
              </w:rPr>
              <w:t xml:space="preserve">71% </w:t>
            </w:r>
          </w:p>
          <w:p w14:paraId="29792AAF" w14:textId="77777777" w:rsidR="00D77949" w:rsidRPr="00ED37CF" w:rsidRDefault="00D77949" w:rsidP="00B351F8">
            <w:pPr>
              <w:spacing w:after="0"/>
              <w:contextualSpacing/>
              <w:jc w:val="right"/>
              <w:rPr>
                <w:b/>
                <w:bCs/>
                <w:sz w:val="18"/>
                <w:szCs w:val="18"/>
              </w:rPr>
            </w:pPr>
            <w:r w:rsidRPr="00ED37CF">
              <w:rPr>
                <w:b/>
                <w:bCs/>
                <w:sz w:val="18"/>
                <w:szCs w:val="18"/>
              </w:rPr>
              <w:t>(of the total 1,759)</w:t>
            </w:r>
            <w:r w:rsidRPr="00433942">
              <w:rPr>
                <w:b/>
                <w:bCs/>
                <w:sz w:val="18"/>
                <w:szCs w:val="18"/>
                <w:vertAlign w:val="superscript"/>
              </w:rPr>
              <w:footnoteReference w:id="2"/>
            </w:r>
          </w:p>
        </w:tc>
      </w:tr>
    </w:tbl>
    <w:p w14:paraId="1CC671E4" w14:textId="77777777" w:rsidR="001C4919" w:rsidRPr="00ED37CF" w:rsidRDefault="001C4919" w:rsidP="00D77949">
      <w:pPr>
        <w:spacing w:before="240"/>
        <w:rPr>
          <w:b/>
          <w:bCs/>
          <w:lang w:eastAsia="ja-JP"/>
        </w:rPr>
      </w:pPr>
      <w:r w:rsidRPr="00ED37CF">
        <w:rPr>
          <w:rFonts w:eastAsia="Calibri"/>
          <w:b/>
          <w:bCs/>
        </w:rPr>
        <w:t xml:space="preserve">Output </w:t>
      </w:r>
      <w:r w:rsidRPr="00ED37CF">
        <w:rPr>
          <w:b/>
          <w:bCs/>
          <w:lang w:eastAsia="ja-JP"/>
        </w:rPr>
        <w:t>1.6</w:t>
      </w:r>
      <w:r w:rsidRPr="00ED37CF">
        <w:rPr>
          <w:rFonts w:eastAsia="Calibri"/>
          <w:b/>
          <w:bCs/>
        </w:rPr>
        <w:t xml:space="preserve"> Phase-out strategy and p</w:t>
      </w:r>
      <w:r w:rsidRPr="00ED37CF">
        <w:rPr>
          <w:b/>
          <w:bCs/>
          <w:lang w:eastAsia="ja-JP"/>
        </w:rPr>
        <w:t>rogramme closure</w:t>
      </w:r>
      <w:r w:rsidRPr="00ED37CF">
        <w:rPr>
          <w:rFonts w:eastAsia="Calibri"/>
          <w:b/>
          <w:bCs/>
        </w:rPr>
        <w:t xml:space="preserve">. </w:t>
      </w:r>
    </w:p>
    <w:p w14:paraId="040C0B61" w14:textId="223939BB" w:rsidR="001C4919" w:rsidRPr="00ED37CF" w:rsidRDefault="001C4919" w:rsidP="00D77949">
      <w:pPr>
        <w:rPr>
          <w:lang w:eastAsia="ja-JP"/>
        </w:rPr>
      </w:pPr>
      <w:r w:rsidRPr="00ED37CF">
        <w:rPr>
          <w:lang w:eastAsia="ja-JP"/>
        </w:rPr>
        <w:t xml:space="preserve">Phase-out strategy and Programme Closure: UNIRP implemented a gradual and </w:t>
      </w:r>
      <w:r w:rsidR="00ED37CF" w:rsidRPr="00ED37CF">
        <w:rPr>
          <w:lang w:eastAsia="ja-JP"/>
        </w:rPr>
        <w:t>well-coordinated</w:t>
      </w:r>
      <w:r w:rsidRPr="00ED37CF">
        <w:rPr>
          <w:lang w:eastAsia="ja-JP"/>
        </w:rPr>
        <w:t xml:space="preserve"> phase out strategy in consultation with Ministry of Peace and Reconstruction, UN partner agencies and key stakeholders. As part of the UNIRP Phase-out Strategy for the </w:t>
      </w:r>
      <w:r w:rsidR="00433942">
        <w:rPr>
          <w:lang w:eastAsia="ja-JP"/>
        </w:rPr>
        <w:t>VMLR</w:t>
      </w:r>
      <w:r w:rsidRPr="00ED37CF">
        <w:rPr>
          <w:lang w:eastAsia="ja-JP"/>
        </w:rPr>
        <w:t xml:space="preserve"> component, capacity building of relevant government staff and officials took place in 2013 in consultation with MoPR. Capacity building sessions occurred with the GoN to further the final caseload handover. This included certified </w:t>
      </w:r>
      <w:r w:rsidRPr="00ED37CF">
        <w:rPr>
          <w:lang w:eastAsia="ja-JP"/>
        </w:rPr>
        <w:lastRenderedPageBreak/>
        <w:t xml:space="preserve">training for MoPR technical staff on managing the DDR-IMS database and information management system. </w:t>
      </w:r>
    </w:p>
    <w:p w14:paraId="5D1D29A8" w14:textId="77777777" w:rsidR="001C4919" w:rsidRPr="00ED37CF" w:rsidRDefault="001C4919" w:rsidP="00C21FD4">
      <w:pPr>
        <w:rPr>
          <w:spacing w:val="-2"/>
          <w:lang w:eastAsia="ja-JP"/>
        </w:rPr>
      </w:pPr>
      <w:r w:rsidRPr="00ED37CF">
        <w:rPr>
          <w:spacing w:val="-2"/>
          <w:lang w:eastAsia="ja-JP"/>
        </w:rPr>
        <w:t xml:space="preserve">The </w:t>
      </w:r>
      <w:r w:rsidRPr="00ED37CF">
        <w:rPr>
          <w:bCs/>
          <w:lang w:eastAsia="ja-JP"/>
        </w:rPr>
        <w:t>operational</w:t>
      </w:r>
      <w:r w:rsidRPr="00ED37CF">
        <w:rPr>
          <w:spacing w:val="-2"/>
          <w:lang w:eastAsia="ja-JP"/>
        </w:rPr>
        <w:t xml:space="preserve"> closure of the VMLR component of UNIRP concluded in 2013. The closing of the regional offices took place the third </w:t>
      </w:r>
      <w:r w:rsidRPr="00ED37CF">
        <w:rPr>
          <w:lang w:eastAsia="ja-JP"/>
        </w:rPr>
        <w:t>week</w:t>
      </w:r>
      <w:r w:rsidRPr="00ED37CF">
        <w:rPr>
          <w:spacing w:val="-2"/>
          <w:lang w:eastAsia="ja-JP"/>
        </w:rPr>
        <w:t xml:space="preserve"> of July 2013. As part of the operational and financial closure of UNIRP, surplus assets, such as furniture, generators from closed/merged regional offices were auctioned or handed over to other UNDP projects. </w:t>
      </w:r>
      <w:r w:rsidR="00C21FD4" w:rsidRPr="00ED37CF">
        <w:rPr>
          <w:spacing w:val="-2"/>
          <w:lang w:eastAsia="ja-JP"/>
        </w:rPr>
        <w:t xml:space="preserve">A small team was </w:t>
      </w:r>
      <w:r w:rsidRPr="00ED37CF">
        <w:rPr>
          <w:spacing w:val="-2"/>
          <w:lang w:eastAsia="ja-JP"/>
        </w:rPr>
        <w:t xml:space="preserve">retained to </w:t>
      </w:r>
      <w:r w:rsidR="00C21FD4" w:rsidRPr="00ED37CF">
        <w:rPr>
          <w:spacing w:val="-2"/>
          <w:lang w:eastAsia="ja-JP"/>
        </w:rPr>
        <w:t xml:space="preserve">conclude the remaining work and to help the Government of Nepal </w:t>
      </w:r>
      <w:r w:rsidRPr="00ED37CF">
        <w:rPr>
          <w:spacing w:val="-2"/>
          <w:lang w:eastAsia="ja-JP"/>
        </w:rPr>
        <w:t xml:space="preserve">prepare for and carry out a study on the Socio-economic Impact of the Return of Voluntary Retirees to Communities. </w:t>
      </w:r>
    </w:p>
    <w:p w14:paraId="42D3EC52" w14:textId="77777777" w:rsidR="001C4919" w:rsidRPr="00ED37CF" w:rsidRDefault="001C4919" w:rsidP="00D77949">
      <w:pPr>
        <w:pStyle w:val="Heading4"/>
      </w:pPr>
      <w:r w:rsidRPr="00ED37CF">
        <w:t>Outcome 2:</w:t>
      </w:r>
      <w:r w:rsidR="005E1EE9" w:rsidRPr="00ED37CF">
        <w:t xml:space="preserve"> </w:t>
      </w:r>
      <w:r w:rsidRPr="00ED37CF">
        <w:t>Communities were engaged in supporting the rehabilitation of VMLR participants.</w:t>
      </w:r>
    </w:p>
    <w:p w14:paraId="571DDAE8" w14:textId="77777777" w:rsidR="001C4919" w:rsidRPr="00ED37CF" w:rsidRDefault="001C4919" w:rsidP="00ED37CF">
      <w:pPr>
        <w:rPr>
          <w:lang w:eastAsia="ja-JP"/>
        </w:rPr>
      </w:pPr>
      <w:r w:rsidRPr="00ED37CF">
        <w:rPr>
          <w:lang w:eastAsia="ja-JP"/>
        </w:rPr>
        <w:t>In the early stages of the programme, the Interagency Communications Working Group (ICWG) developed and implemented a communications strategy that informed VMLR about the ROPs, and prepared communities and the general public to play a part in facilitating the reintegration of the programme graduates.</w:t>
      </w:r>
      <w:r w:rsidR="005E1EE9" w:rsidRPr="00ED37CF">
        <w:rPr>
          <w:lang w:eastAsia="ja-JP"/>
        </w:rPr>
        <w:t xml:space="preserve"> </w:t>
      </w:r>
      <w:r w:rsidRPr="00ED37CF">
        <w:rPr>
          <w:lang w:eastAsia="ja-JP"/>
        </w:rPr>
        <w:t>The primary audience for this strategy were the VMLR and the communities.</w:t>
      </w:r>
    </w:p>
    <w:p w14:paraId="2F63DD4F" w14:textId="5AC9241D" w:rsidR="001C4919" w:rsidRPr="00ED37CF" w:rsidRDefault="001C4919" w:rsidP="00D77949">
      <w:pPr>
        <w:rPr>
          <w:lang w:eastAsia="ja-JP"/>
        </w:rPr>
      </w:pPr>
      <w:r w:rsidRPr="00ED37CF">
        <w:rPr>
          <w:u w:val="single"/>
          <w:lang w:eastAsia="ja-JP"/>
        </w:rPr>
        <w:t>Former Maoist army personnel:</w:t>
      </w:r>
      <w:r w:rsidRPr="00ED37CF">
        <w:rPr>
          <w:lang w:eastAsia="ja-JP"/>
        </w:rPr>
        <w:t xml:space="preserve"> Those discharged in Jan-Feb 2010 had been briefed about ROPs but many</w:t>
      </w:r>
      <w:r w:rsidR="00433942">
        <w:rPr>
          <w:lang w:eastAsia="ja-JP"/>
        </w:rPr>
        <w:t>, while they</w:t>
      </w:r>
      <w:r w:rsidRPr="00ED37CF">
        <w:rPr>
          <w:lang w:eastAsia="ja-JP"/>
        </w:rPr>
        <w:t xml:space="preserve"> were under other influences in the cantonments, </w:t>
      </w:r>
      <w:r w:rsidR="00433942">
        <w:rPr>
          <w:lang w:eastAsia="ja-JP"/>
        </w:rPr>
        <w:t xml:space="preserve">did </w:t>
      </w:r>
      <w:r w:rsidRPr="00ED37CF">
        <w:rPr>
          <w:lang w:eastAsia="ja-JP"/>
        </w:rPr>
        <w:t>not to enrol in the programme.</w:t>
      </w:r>
      <w:r w:rsidR="005E1EE9" w:rsidRPr="00ED37CF">
        <w:rPr>
          <w:lang w:eastAsia="ja-JP"/>
        </w:rPr>
        <w:t xml:space="preserve"> </w:t>
      </w:r>
      <w:r w:rsidRPr="00ED37CF">
        <w:rPr>
          <w:lang w:eastAsia="ja-JP"/>
        </w:rPr>
        <w:t xml:space="preserve">The UN had informed a significant number of VMLR </w:t>
      </w:r>
      <w:r w:rsidR="00433942">
        <w:rPr>
          <w:lang w:eastAsia="ja-JP"/>
        </w:rPr>
        <w:t xml:space="preserve">about the programme </w:t>
      </w:r>
      <w:r w:rsidRPr="00ED37CF">
        <w:rPr>
          <w:lang w:eastAsia="ja-JP"/>
        </w:rPr>
        <w:t>upon their discharge; however, many others were still unaware of the programme, including those who were not present in the cantonments during the discharge, as well as those who had been unwillingly discharged in March.</w:t>
      </w:r>
      <w:r w:rsidR="005E1EE9" w:rsidRPr="00ED37CF">
        <w:rPr>
          <w:lang w:eastAsia="ja-JP"/>
        </w:rPr>
        <w:t xml:space="preserve"> </w:t>
      </w:r>
      <w:r w:rsidRPr="00ED37CF">
        <w:rPr>
          <w:lang w:eastAsia="ja-JP"/>
        </w:rPr>
        <w:t>Therefore, communication was necessary to inform them of the packages, how to access them, and to convince the VMLR that the packages would be useful for their future.</w:t>
      </w:r>
      <w:r w:rsidR="005E1EE9" w:rsidRPr="00ED37CF">
        <w:rPr>
          <w:lang w:eastAsia="ja-JP"/>
        </w:rPr>
        <w:t xml:space="preserve"> </w:t>
      </w:r>
      <w:r w:rsidRPr="00ED37CF">
        <w:rPr>
          <w:lang w:eastAsia="ja-JP"/>
        </w:rPr>
        <w:t xml:space="preserve">Since a high percentage of the VMLR were women and girls, communications was targeted at them. The existing </w:t>
      </w:r>
      <w:r w:rsidR="00433942">
        <w:rPr>
          <w:lang w:eastAsia="ja-JP"/>
        </w:rPr>
        <w:t>CAFAAG/</w:t>
      </w:r>
      <w:r w:rsidR="00433942" w:rsidRPr="00ED37CF">
        <w:rPr>
          <w:lang w:eastAsia="ja-JP"/>
        </w:rPr>
        <w:t>CAA</w:t>
      </w:r>
      <w:r w:rsidR="00433942">
        <w:rPr>
          <w:lang w:eastAsia="ja-JP"/>
        </w:rPr>
        <w:t>C</w:t>
      </w:r>
      <w:r w:rsidR="00433942" w:rsidRPr="00ED37CF">
        <w:rPr>
          <w:lang w:eastAsia="ja-JP"/>
        </w:rPr>
        <w:t xml:space="preserve"> </w:t>
      </w:r>
      <w:r w:rsidRPr="00ED37CF">
        <w:rPr>
          <w:lang w:eastAsia="ja-JP"/>
        </w:rPr>
        <w:t>network</w:t>
      </w:r>
      <w:r w:rsidR="00433942">
        <w:rPr>
          <w:lang w:eastAsia="ja-JP"/>
        </w:rPr>
        <w:t>s</w:t>
      </w:r>
      <w:r w:rsidRPr="00ED37CF">
        <w:rPr>
          <w:lang w:eastAsia="ja-JP"/>
        </w:rPr>
        <w:t xml:space="preserve"> </w:t>
      </w:r>
      <w:r w:rsidR="00433942">
        <w:rPr>
          <w:lang w:eastAsia="ja-JP"/>
        </w:rPr>
        <w:t xml:space="preserve">were </w:t>
      </w:r>
      <w:r w:rsidRPr="00ED37CF">
        <w:rPr>
          <w:lang w:eastAsia="ja-JP"/>
        </w:rPr>
        <w:t xml:space="preserve">strategically used to increase their participation. </w:t>
      </w:r>
    </w:p>
    <w:p w14:paraId="252DF02D" w14:textId="77777777" w:rsidR="001C4919" w:rsidRPr="00ED37CF" w:rsidRDefault="001C4919" w:rsidP="00D77949">
      <w:pPr>
        <w:rPr>
          <w:lang w:eastAsia="ja-JP"/>
        </w:rPr>
      </w:pPr>
      <w:r w:rsidRPr="00ED37CF">
        <w:rPr>
          <w:u w:val="single"/>
          <w:lang w:eastAsia="ja-JP"/>
        </w:rPr>
        <w:t>Families, communities and the general public:</w:t>
      </w:r>
      <w:r w:rsidRPr="00ED37CF">
        <w:rPr>
          <w:lang w:eastAsia="ja-JP"/>
        </w:rPr>
        <w:t xml:space="preserve"> As part of the communications strategy, it was important that the public learned about how the ‘rehabilitated’ discharged VMLR were devoted to helping build a ‘new Nepal’ and that their energy and skills could make a substantial contribution to the larger society.</w:t>
      </w:r>
      <w:r w:rsidR="005E1EE9" w:rsidRPr="00ED37CF">
        <w:rPr>
          <w:lang w:eastAsia="ja-JP"/>
        </w:rPr>
        <w:t xml:space="preserve"> </w:t>
      </w:r>
      <w:r w:rsidRPr="00ED37CF">
        <w:rPr>
          <w:lang w:eastAsia="ja-JP"/>
        </w:rPr>
        <w:t>It was important that the general public understood that the VMLR needed to be given an opportunity to discuss their return to communities.</w:t>
      </w:r>
    </w:p>
    <w:p w14:paraId="6E63A4F8" w14:textId="77777777" w:rsidR="001C4919" w:rsidRPr="00ED37CF" w:rsidRDefault="001C4919" w:rsidP="00D77949">
      <w:pPr>
        <w:rPr>
          <w:lang w:eastAsia="ja-JP"/>
        </w:rPr>
      </w:pPr>
      <w:r w:rsidRPr="00ED37CF">
        <w:rPr>
          <w:lang w:eastAsia="ja-JP"/>
        </w:rPr>
        <w:t xml:space="preserve">The Post Rehabilitation &amp; Participant Satisfaction Survey published in September 2013, revealed that the vast majority of participants felt they had made a positive transition into their communities. The data provided by the survey respondents confirmed that 80% of the respondents reported that UNIRP helped them become more respected in their communities, while 80% reported that the programme brought about a positive change within their family. </w:t>
      </w:r>
      <w:r w:rsidRPr="00ED37CF">
        <w:t xml:space="preserve">The survey also confirmed that as an increased number of VMLR engaged constructively in their communities through employment, running businesses or providing health related services, the public perception towards the VMLR had significantly improved. Lastly, 97% of participants reported that they were “happy” in their communities. </w:t>
      </w:r>
    </w:p>
    <w:p w14:paraId="7FBCA7E4" w14:textId="77777777" w:rsidR="001C4919" w:rsidRPr="00ED37CF" w:rsidRDefault="001C4919" w:rsidP="000754AB">
      <w:pPr>
        <w:rPr>
          <w:b/>
          <w:bCs/>
        </w:rPr>
      </w:pPr>
      <w:r w:rsidRPr="00ED37CF">
        <w:rPr>
          <w:b/>
          <w:bCs/>
        </w:rPr>
        <w:t>Output 2.1 Public sensitization and information campaign designed and implemented.</w:t>
      </w:r>
    </w:p>
    <w:p w14:paraId="0381C1F4" w14:textId="77777777" w:rsidR="001C4919" w:rsidRPr="00ED37CF" w:rsidRDefault="001C4919" w:rsidP="000754AB">
      <w:pPr>
        <w:rPr>
          <w:lang w:eastAsia="ja-JP"/>
        </w:rPr>
      </w:pPr>
      <w:r w:rsidRPr="00ED37CF">
        <w:rPr>
          <w:u w:val="single"/>
          <w:lang w:eastAsia="ja-JP"/>
        </w:rPr>
        <w:t>Media scanning and analysis by UNDP</w:t>
      </w:r>
      <w:r w:rsidRPr="00ED37CF">
        <w:rPr>
          <w:lang w:eastAsia="ja-JP"/>
        </w:rPr>
        <w:t>: There were 150 positive media spots including national and international print and audio-visual media that featured positive changes in VMLR lives after returning to civilian life.</w:t>
      </w:r>
      <w:r w:rsidR="005E1EE9" w:rsidRPr="00ED37CF">
        <w:rPr>
          <w:lang w:eastAsia="ja-JP"/>
        </w:rPr>
        <w:t xml:space="preserve"> </w:t>
      </w:r>
      <w:r w:rsidRPr="00ED37CF">
        <w:rPr>
          <w:lang w:eastAsia="ja-JP"/>
        </w:rPr>
        <w:t>Various media organizations were invited on field visits for interviews with VMLR about their life stories and experiences in rehabilitation.</w:t>
      </w:r>
      <w:r w:rsidR="005E1EE9" w:rsidRPr="00ED37CF">
        <w:rPr>
          <w:lang w:eastAsia="ja-JP"/>
        </w:rPr>
        <w:t xml:space="preserve"> </w:t>
      </w:r>
      <w:r w:rsidRPr="00ED37CF">
        <w:rPr>
          <w:lang w:eastAsia="ja-JP"/>
        </w:rPr>
        <w:t xml:space="preserve">In addition, five media organizations, including </w:t>
      </w:r>
      <w:r w:rsidRPr="00ED37CF">
        <w:rPr>
          <w:i/>
          <w:lang w:eastAsia="ja-JP"/>
        </w:rPr>
        <w:t>Rising Nepal, Republica, Himalayan Times, Annapurna Post</w:t>
      </w:r>
      <w:r w:rsidRPr="00ED37CF">
        <w:rPr>
          <w:lang w:eastAsia="ja-JP"/>
        </w:rPr>
        <w:t xml:space="preserve">, and </w:t>
      </w:r>
      <w:r w:rsidRPr="00ED37CF">
        <w:rPr>
          <w:i/>
          <w:lang w:eastAsia="ja-JP"/>
        </w:rPr>
        <w:t>ABC TV Nepal</w:t>
      </w:r>
      <w:r w:rsidRPr="00ED37CF">
        <w:rPr>
          <w:lang w:eastAsia="ja-JP"/>
        </w:rPr>
        <w:t>, covered positive changes of the VMLR upon their return to civilian life.</w:t>
      </w:r>
      <w:r w:rsidR="005E1EE9" w:rsidRPr="00ED37CF">
        <w:rPr>
          <w:lang w:eastAsia="ja-JP"/>
        </w:rPr>
        <w:t xml:space="preserve"> </w:t>
      </w:r>
      <w:r w:rsidRPr="00ED37CF">
        <w:rPr>
          <w:lang w:eastAsia="ja-JP"/>
        </w:rPr>
        <w:t xml:space="preserve">Stories were also featured in 50 other journals and media spots. </w:t>
      </w:r>
    </w:p>
    <w:p w14:paraId="2C780C44" w14:textId="070C622B" w:rsidR="0038156A" w:rsidRDefault="001C4919" w:rsidP="000754AB">
      <w:pPr>
        <w:rPr>
          <w:lang w:eastAsia="ja-JP"/>
        </w:rPr>
      </w:pPr>
      <w:r w:rsidRPr="00ED37CF">
        <w:rPr>
          <w:lang w:eastAsia="ja-JP"/>
        </w:rPr>
        <w:lastRenderedPageBreak/>
        <w:t xml:space="preserve">As part of the information campaign, communication activities included an updated information kit (in both English and Nepali) with the most recent publications and photos that were uploaded to the </w:t>
      </w:r>
      <w:r w:rsidR="0038156A">
        <w:rPr>
          <w:lang w:eastAsia="ja-JP"/>
        </w:rPr>
        <w:t>UNIRP website (</w:t>
      </w:r>
      <w:hyperlink r:id="rId22" w:history="1">
        <w:r w:rsidR="0038156A" w:rsidRPr="003A567C">
          <w:rPr>
            <w:rStyle w:val="Hyperlink"/>
            <w:lang w:eastAsia="ja-JP"/>
          </w:rPr>
          <w:t>www.unirp.org.np</w:t>
        </w:r>
      </w:hyperlink>
      <w:r w:rsidR="0038156A">
        <w:rPr>
          <w:lang w:eastAsia="ja-JP"/>
        </w:rPr>
        <w:t xml:space="preserve">), </w:t>
      </w:r>
      <w:r w:rsidRPr="00ED37CF">
        <w:rPr>
          <w:lang w:eastAsia="ja-JP"/>
        </w:rPr>
        <w:t>websites of participating agencies</w:t>
      </w:r>
      <w:r w:rsidR="0038156A">
        <w:rPr>
          <w:lang w:eastAsia="ja-JP"/>
        </w:rPr>
        <w:t>,</w:t>
      </w:r>
      <w:r w:rsidR="007A527B">
        <w:rPr>
          <w:lang w:eastAsia="ja-JP"/>
        </w:rPr>
        <w:t xml:space="preserve"> </w:t>
      </w:r>
      <w:r w:rsidRPr="00ED37CF">
        <w:rPr>
          <w:lang w:eastAsia="ja-JP"/>
        </w:rPr>
        <w:t>and the UN Nepal Information Platform.</w:t>
      </w:r>
      <w:r w:rsidR="005E1EE9" w:rsidRPr="00ED37CF">
        <w:rPr>
          <w:lang w:eastAsia="ja-JP"/>
        </w:rPr>
        <w:t xml:space="preserve"> </w:t>
      </w:r>
      <w:r w:rsidR="0038156A">
        <w:rPr>
          <w:lang w:eastAsia="ja-JP"/>
        </w:rPr>
        <w:t xml:space="preserve">The content of the UNIRP website was later on migrated to UNDP’s official website (np.undp.org/unirp). Both the UNIRP and UNDP websites are active at the moment. </w:t>
      </w:r>
    </w:p>
    <w:p w14:paraId="23FA6550" w14:textId="011EB822" w:rsidR="001C4919" w:rsidRPr="00ED37CF" w:rsidRDefault="001C4919" w:rsidP="000754AB">
      <w:pPr>
        <w:rPr>
          <w:lang w:eastAsia="ja-JP"/>
        </w:rPr>
      </w:pPr>
      <w:r w:rsidRPr="00ED37CF">
        <w:rPr>
          <w:lang w:eastAsia="ja-JP"/>
        </w:rPr>
        <w:t>Each participant who arrived for their counselling session received an information kit that included pamphlets on the programme and support services.</w:t>
      </w:r>
      <w:r w:rsidR="005E1EE9" w:rsidRPr="00ED37CF">
        <w:rPr>
          <w:lang w:eastAsia="ja-JP"/>
        </w:rPr>
        <w:t xml:space="preserve"> </w:t>
      </w:r>
      <w:r w:rsidRPr="00ED37CF">
        <w:rPr>
          <w:lang w:eastAsia="ja-JP"/>
        </w:rPr>
        <w:t>Public Service Announcements were also printed in the local newspapers and broadcasted on the radio during critical points, especially when it was important to raise awareness of the availability of rehabilitation packages and the need to welcome discharged VMLR back into the communities and societies.</w:t>
      </w:r>
      <w:r w:rsidR="005E1EE9" w:rsidRPr="00ED37CF">
        <w:rPr>
          <w:lang w:eastAsia="ja-JP"/>
        </w:rPr>
        <w:t xml:space="preserve"> </w:t>
      </w:r>
      <w:r w:rsidRPr="00ED37CF">
        <w:rPr>
          <w:lang w:eastAsia="ja-JP"/>
        </w:rPr>
        <w:t>The UN Radio</w:t>
      </w:r>
      <w:r w:rsidR="00433942">
        <w:rPr>
          <w:lang w:eastAsia="ja-JP"/>
        </w:rPr>
        <w:t xml:space="preserve"> in Nepal</w:t>
      </w:r>
      <w:r w:rsidRPr="00ED37CF">
        <w:rPr>
          <w:lang w:eastAsia="ja-JP"/>
        </w:rPr>
        <w:t xml:space="preserve"> also produced and broadcasted a radio drama about the need for community support.</w:t>
      </w:r>
      <w:r w:rsidR="005E1EE9" w:rsidRPr="00ED37CF">
        <w:rPr>
          <w:lang w:eastAsia="ja-JP"/>
        </w:rPr>
        <w:t xml:space="preserve"> </w:t>
      </w:r>
      <w:r w:rsidRPr="00ED37CF">
        <w:rPr>
          <w:lang w:eastAsia="ja-JP"/>
        </w:rPr>
        <w:t>Through ICWG, UNIRP worked with the news media by holding news conferences, coordinating media visits, and providing interviews.</w:t>
      </w:r>
      <w:r w:rsidR="005E1EE9" w:rsidRPr="00ED37CF">
        <w:rPr>
          <w:lang w:eastAsia="ja-JP"/>
        </w:rPr>
        <w:t xml:space="preserve"> </w:t>
      </w:r>
      <w:r w:rsidRPr="00ED37CF">
        <w:rPr>
          <w:lang w:eastAsia="ja-JP"/>
        </w:rPr>
        <w:t>In addition, an online resource library was prepared and launched in the CRIMS.</w:t>
      </w:r>
      <w:r w:rsidR="005E1EE9" w:rsidRPr="00ED37CF">
        <w:rPr>
          <w:lang w:eastAsia="ja-JP"/>
        </w:rPr>
        <w:t xml:space="preserve"> </w:t>
      </w:r>
      <w:r w:rsidRPr="00ED37CF">
        <w:rPr>
          <w:lang w:eastAsia="ja-JP"/>
        </w:rPr>
        <w:t>A special video documentary on gender specific support was produced, as well as VMLR success stories and newsletters</w:t>
      </w:r>
      <w:r w:rsidR="007A527B">
        <w:rPr>
          <w:lang w:eastAsia="ja-JP"/>
        </w:rPr>
        <w:t xml:space="preserve"> (all available on the UNDP and UNIRP websites)</w:t>
      </w:r>
      <w:r w:rsidRPr="00ED37CF">
        <w:rPr>
          <w:lang w:eastAsia="ja-JP"/>
        </w:rPr>
        <w:t xml:space="preserve">. </w:t>
      </w:r>
    </w:p>
    <w:p w14:paraId="580D8654" w14:textId="77777777" w:rsidR="001C4919" w:rsidRPr="00ED37CF" w:rsidRDefault="001C4919" w:rsidP="000754AB">
      <w:pPr>
        <w:rPr>
          <w:b/>
          <w:bCs/>
          <w:lang w:eastAsia="ja-JP"/>
        </w:rPr>
      </w:pPr>
      <w:r w:rsidRPr="00ED37CF">
        <w:rPr>
          <w:b/>
          <w:bCs/>
          <w:lang w:eastAsia="ja-JP"/>
        </w:rPr>
        <w:t>Output 2.2 Communities assisted in addressing socio-economic rehabilitation of VMLR through engagement in related capacity building projects.</w:t>
      </w:r>
    </w:p>
    <w:p w14:paraId="19E71D4F" w14:textId="77777777" w:rsidR="001C4919" w:rsidRDefault="001C4919" w:rsidP="000754AB">
      <w:pPr>
        <w:rPr>
          <w:lang w:eastAsia="ja-JP"/>
        </w:rPr>
      </w:pPr>
      <w:r w:rsidRPr="00ED37CF">
        <w:rPr>
          <w:lang w:eastAsia="ja-JP"/>
        </w:rPr>
        <w:t>This component of the programme promoted peacebuilding activities that included various events delivered through UNICEF’s CAAFAG networks, NGOs and community-based organizations.</w:t>
      </w:r>
      <w:r w:rsidR="005E1EE9" w:rsidRPr="00ED37CF">
        <w:rPr>
          <w:lang w:eastAsia="ja-JP"/>
        </w:rPr>
        <w:t xml:space="preserve"> </w:t>
      </w:r>
      <w:r w:rsidRPr="00ED37CF">
        <w:rPr>
          <w:lang w:eastAsia="ja-JP"/>
        </w:rPr>
        <w:t>Some of the events included: street theatre performances, talent shows, d</w:t>
      </w:r>
      <w:r w:rsidR="00F97E8D" w:rsidRPr="00ED37CF">
        <w:rPr>
          <w:lang w:eastAsia="ja-JP"/>
        </w:rPr>
        <w:t>ance, essay, poem, song-writing</w:t>
      </w:r>
      <w:r w:rsidRPr="00ED37CF">
        <w:rPr>
          <w:lang w:eastAsia="ja-JP"/>
        </w:rPr>
        <w:t xml:space="preserve"> and public speaking competitions.</w:t>
      </w:r>
      <w:r w:rsidR="005E1EE9" w:rsidRPr="00ED37CF">
        <w:rPr>
          <w:lang w:eastAsia="ja-JP"/>
        </w:rPr>
        <w:t xml:space="preserve"> </w:t>
      </w:r>
    </w:p>
    <w:p w14:paraId="6731178E" w14:textId="57369BF9" w:rsidR="00623C0B" w:rsidRDefault="00623C0B" w:rsidP="000754AB">
      <w:pPr>
        <w:rPr>
          <w:lang w:eastAsia="ja-JP"/>
        </w:rPr>
      </w:pPr>
      <w:r>
        <w:rPr>
          <w:lang w:eastAsia="ja-JP"/>
        </w:rPr>
        <w:t>The community based peacebuilding and reconciliation activity</w:t>
      </w:r>
      <w:r w:rsidR="00CB537F">
        <w:rPr>
          <w:lang w:eastAsia="ja-JP"/>
        </w:rPr>
        <w:t>,</w:t>
      </w:r>
      <w:r>
        <w:rPr>
          <w:lang w:eastAsia="ja-JP"/>
        </w:rPr>
        <w:t xml:space="preserve"> engaging young people of the community and VMLRs</w:t>
      </w:r>
      <w:r w:rsidR="00CB537F">
        <w:rPr>
          <w:lang w:eastAsia="ja-JP"/>
        </w:rPr>
        <w:t>,</w:t>
      </w:r>
      <w:r>
        <w:rPr>
          <w:lang w:eastAsia="ja-JP"/>
        </w:rPr>
        <w:t xml:space="preserve"> was aimed at fostering community harmony</w:t>
      </w:r>
      <w:r w:rsidR="008D5398">
        <w:rPr>
          <w:lang w:eastAsia="ja-JP"/>
        </w:rPr>
        <w:t xml:space="preserve">, </w:t>
      </w:r>
      <w:r>
        <w:rPr>
          <w:lang w:eastAsia="ja-JP"/>
        </w:rPr>
        <w:t>reconciliation</w:t>
      </w:r>
      <w:r w:rsidR="008D5398">
        <w:rPr>
          <w:lang w:eastAsia="ja-JP"/>
        </w:rPr>
        <w:t xml:space="preserve"> and social reintegration of VMLRs</w:t>
      </w:r>
      <w:r>
        <w:rPr>
          <w:lang w:eastAsia="ja-JP"/>
        </w:rPr>
        <w:t>. It facilitated VMLRs</w:t>
      </w:r>
      <w:r w:rsidR="00CB537F">
        <w:rPr>
          <w:lang w:eastAsia="ja-JP"/>
        </w:rPr>
        <w:t>’</w:t>
      </w:r>
      <w:r>
        <w:rPr>
          <w:lang w:eastAsia="ja-JP"/>
        </w:rPr>
        <w:t xml:space="preserve"> engagement in community based activities with other young people (children/youth clubs), which </w:t>
      </w:r>
      <w:r w:rsidR="008D5398">
        <w:rPr>
          <w:lang w:eastAsia="ja-JP"/>
        </w:rPr>
        <w:t xml:space="preserve">was helpful in </w:t>
      </w:r>
      <w:r>
        <w:rPr>
          <w:lang w:eastAsia="ja-JP"/>
        </w:rPr>
        <w:t>installing</w:t>
      </w:r>
      <w:r w:rsidR="00F76706">
        <w:rPr>
          <w:lang w:eastAsia="ja-JP"/>
        </w:rPr>
        <w:t xml:space="preserve"> a</w:t>
      </w:r>
      <w:r>
        <w:rPr>
          <w:lang w:eastAsia="ja-JP"/>
        </w:rPr>
        <w:t xml:space="preserve"> sense of belonging </w:t>
      </w:r>
      <w:r w:rsidR="00CB537F">
        <w:rPr>
          <w:lang w:eastAsia="ja-JP"/>
        </w:rPr>
        <w:t>among</w:t>
      </w:r>
      <w:r>
        <w:rPr>
          <w:lang w:eastAsia="ja-JP"/>
        </w:rPr>
        <w:t xml:space="preserve"> the VMLRs</w:t>
      </w:r>
      <w:r w:rsidR="008D5398">
        <w:rPr>
          <w:lang w:eastAsia="ja-JP"/>
        </w:rPr>
        <w:t>. In many instances, VMLRs were seen to be taking over the leadership role of child/youth clubs, which possibly can be attributed to the leadership skills they may have acquired during their association with the Maoist</w:t>
      </w:r>
      <w:r w:rsidR="00F76706">
        <w:rPr>
          <w:lang w:eastAsia="ja-JP"/>
        </w:rPr>
        <w:t>s</w:t>
      </w:r>
      <w:r w:rsidR="008D5398">
        <w:rPr>
          <w:lang w:eastAsia="ja-JP"/>
        </w:rPr>
        <w:t xml:space="preserve">. </w:t>
      </w:r>
    </w:p>
    <w:p w14:paraId="525C1C8A" w14:textId="77777777" w:rsidR="001C4919" w:rsidRPr="00ED37CF" w:rsidRDefault="001C4919" w:rsidP="001C4919">
      <w:pPr>
        <w:widowControl w:val="0"/>
        <w:tabs>
          <w:tab w:val="left" w:pos="426"/>
        </w:tabs>
        <w:rPr>
          <w:rFonts w:cs="Arial"/>
          <w:b/>
          <w:lang w:eastAsia="ja-JP"/>
        </w:rPr>
      </w:pPr>
      <w:r w:rsidRPr="00ED37CF">
        <w:rPr>
          <w:rFonts w:cs="Arial"/>
          <w:b/>
          <w:lang w:eastAsia="ja-JP"/>
        </w:rPr>
        <w:t>Output 2.3 Capacity strengthened for vocational training service providers to facilitate sustainable services to the broader community.</w:t>
      </w:r>
    </w:p>
    <w:p w14:paraId="32BFC6DB" w14:textId="77777777" w:rsidR="001C4919" w:rsidRPr="00ED37CF" w:rsidRDefault="001C4919" w:rsidP="000754AB">
      <w:pPr>
        <w:rPr>
          <w:lang w:eastAsia="ja-JP"/>
        </w:rPr>
      </w:pPr>
      <w:r w:rsidRPr="00ED37CF">
        <w:rPr>
          <w:lang w:eastAsia="ja-JP"/>
        </w:rPr>
        <w:t>To support capacity development, one of the major components of the programme was strengthening the capacities of service providers and IPs, which was led by the ILO in the areas of VST, ME and health-related training.</w:t>
      </w:r>
      <w:r w:rsidR="005E1EE9" w:rsidRPr="00ED37CF">
        <w:rPr>
          <w:lang w:eastAsia="ja-JP"/>
        </w:rPr>
        <w:t xml:space="preserve"> </w:t>
      </w:r>
      <w:r w:rsidRPr="00ED37CF">
        <w:rPr>
          <w:lang w:eastAsia="ja-JP"/>
        </w:rPr>
        <w:t>A series of meetings and workshops were held with PSPs and ROs, which aimed to identify capacity needs and to develop future plans for skills and institutional capacity building.</w:t>
      </w:r>
      <w:r w:rsidR="005E1EE9" w:rsidRPr="00ED37CF">
        <w:rPr>
          <w:lang w:eastAsia="ja-JP"/>
        </w:rPr>
        <w:t xml:space="preserve"> </w:t>
      </w:r>
      <w:r w:rsidRPr="00ED37CF">
        <w:rPr>
          <w:lang w:eastAsia="ja-JP"/>
        </w:rPr>
        <w:t>TITI and Industrial Enterprise Development Institute (IEDI) developed and conducted the training, while in-house experts from ILO contributed to several training modules.</w:t>
      </w:r>
      <w:r w:rsidR="005E1EE9" w:rsidRPr="00ED37CF">
        <w:rPr>
          <w:lang w:eastAsia="ja-JP"/>
        </w:rPr>
        <w:t xml:space="preserve"> </w:t>
      </w:r>
      <w:r w:rsidRPr="00ED37CF">
        <w:rPr>
          <w:lang w:eastAsia="ja-JP"/>
        </w:rPr>
        <w:t>Between 2010 and May 2012, ILO offered trainings to 422 participants, representing a total of 353 different resource workers from 156 service providers.</w:t>
      </w:r>
      <w:r w:rsidR="005E1EE9" w:rsidRPr="00ED37CF">
        <w:rPr>
          <w:lang w:eastAsia="ja-JP"/>
        </w:rPr>
        <w:t xml:space="preserve"> </w:t>
      </w:r>
      <w:r w:rsidRPr="00ED37CF">
        <w:rPr>
          <w:lang w:eastAsia="ja-JP"/>
        </w:rPr>
        <w:t>The workshops focussed on six different areas:</w:t>
      </w:r>
      <w:r w:rsidR="005E1EE9" w:rsidRPr="00ED37CF">
        <w:rPr>
          <w:lang w:eastAsia="ja-JP"/>
        </w:rPr>
        <w:t xml:space="preserve"> </w:t>
      </w:r>
      <w:r w:rsidRPr="00ED37CF">
        <w:rPr>
          <w:lang w:eastAsia="ja-JP"/>
        </w:rPr>
        <w:t>capacity building for vocational training, labour market information and analysis, training institute management, computer application in training and education, and Training of Trainers (ToT) on effective enterprise development for service providers.</w:t>
      </w:r>
      <w:r w:rsidR="005E1EE9" w:rsidRPr="00ED37CF">
        <w:rPr>
          <w:lang w:eastAsia="ja-JP"/>
        </w:rPr>
        <w:t xml:space="preserve"> </w:t>
      </w:r>
      <w:r w:rsidRPr="00ED37CF">
        <w:rPr>
          <w:lang w:eastAsia="ja-JP"/>
        </w:rPr>
        <w:t>Altogether, 20 workshops were held with many of the participants attending more than one workshop.</w:t>
      </w:r>
    </w:p>
    <w:p w14:paraId="023C888B" w14:textId="77777777" w:rsidR="001C4919" w:rsidRPr="00ED37CF" w:rsidRDefault="001C4919" w:rsidP="000754AB">
      <w:pPr>
        <w:rPr>
          <w:b/>
          <w:bCs/>
        </w:rPr>
      </w:pPr>
      <w:r w:rsidRPr="00ED37CF">
        <w:rPr>
          <w:b/>
          <w:bCs/>
          <w:lang w:eastAsia="ja-JP"/>
        </w:rPr>
        <w:lastRenderedPageBreak/>
        <w:t xml:space="preserve">Output 2.4 </w:t>
      </w:r>
      <w:r w:rsidRPr="00ED37CF">
        <w:rPr>
          <w:b/>
          <w:bCs/>
        </w:rPr>
        <w:t>Specific gender considerations regarding the VMLR and the broader community were prioritized.</w:t>
      </w:r>
    </w:p>
    <w:p w14:paraId="674EECD3" w14:textId="512468C5" w:rsidR="001C4919" w:rsidRPr="00ED37CF" w:rsidRDefault="001C4919" w:rsidP="000754AB">
      <w:pPr>
        <w:rPr>
          <w:lang w:eastAsia="ja-JP"/>
        </w:rPr>
      </w:pPr>
      <w:r w:rsidRPr="00ED37CF">
        <w:rPr>
          <w:lang w:eastAsia="ja-JP"/>
        </w:rPr>
        <w:t>As 30% of the VMLR were women and girls, UNIRP took an integrated, contextualized gender responsive approach in the planning and delivery of the programme, especially considering the initially low participation rate of female VMLR</w:t>
      </w:r>
      <w:r w:rsidR="00C4327B">
        <w:rPr>
          <w:lang w:eastAsia="ja-JP"/>
        </w:rPr>
        <w:t xml:space="preserve"> in reintegration packages</w:t>
      </w:r>
      <w:r w:rsidRPr="00ED37CF">
        <w:rPr>
          <w:lang w:eastAsia="ja-JP"/>
        </w:rPr>
        <w:t>.</w:t>
      </w:r>
      <w:r w:rsidR="005E1EE9" w:rsidRPr="00ED37CF">
        <w:rPr>
          <w:lang w:eastAsia="ja-JP"/>
        </w:rPr>
        <w:t xml:space="preserve"> </w:t>
      </w:r>
      <w:r w:rsidRPr="00ED37CF">
        <w:rPr>
          <w:lang w:eastAsia="ja-JP"/>
        </w:rPr>
        <w:t>At the organizational level, UNIRP incorporated gender sensitive approaches into various components of the programme, such as the development of a comprehensive support matrix, hiring of appropriate focal points at all levels, and the provision of needs assessments, staff trainings, operational guidelines, and capacity building of key IPs.</w:t>
      </w:r>
      <w:r w:rsidR="005E1EE9" w:rsidRPr="00ED37CF">
        <w:rPr>
          <w:lang w:eastAsia="ja-JP"/>
        </w:rPr>
        <w:t xml:space="preserve"> </w:t>
      </w:r>
      <w:r w:rsidRPr="00ED37CF">
        <w:rPr>
          <w:lang w:eastAsia="ja-JP"/>
        </w:rPr>
        <w:t>By the end of the July 2013, 181 people were trained for the project implementation of UNSCR 1325 and 1820.</w:t>
      </w:r>
    </w:p>
    <w:p w14:paraId="59E03A90" w14:textId="22CBB117" w:rsidR="001C4919" w:rsidRPr="00ED37CF" w:rsidRDefault="001C4919" w:rsidP="000754AB">
      <w:r w:rsidRPr="00ED37CF">
        <w:t>In addition to the employment training and gender support, participants were also offered life skills training on the subjects of reproductive health, Sexual and Gender Based Violence (SGBV), HIV/AIDS awareness and human rights.</w:t>
      </w:r>
      <w:r w:rsidR="005E1EE9" w:rsidRPr="00ED37CF">
        <w:t xml:space="preserve"> </w:t>
      </w:r>
      <w:r w:rsidRPr="00ED37CF">
        <w:t>VMLR were then encouraged to involve themselves as ‘champions’ and to advocate for gender-specific peacebuilding activities.</w:t>
      </w:r>
      <w:r w:rsidR="005E1EE9" w:rsidRPr="00ED37CF">
        <w:t xml:space="preserve"> </w:t>
      </w:r>
      <w:r w:rsidRPr="00ED37CF">
        <w:t xml:space="preserve">In total, 58 SGBV survivors </w:t>
      </w:r>
      <w:r w:rsidR="00C4327B">
        <w:t xml:space="preserve">from among the VMLRs </w:t>
      </w:r>
      <w:r w:rsidRPr="00ED37CF">
        <w:t xml:space="preserve">who </w:t>
      </w:r>
      <w:r w:rsidR="00C4327B" w:rsidRPr="00ED37CF">
        <w:t>report</w:t>
      </w:r>
      <w:r w:rsidR="00C4327B">
        <w:t>ed</w:t>
      </w:r>
      <w:r w:rsidR="00C4327B" w:rsidRPr="00ED37CF">
        <w:t xml:space="preserve"> </w:t>
      </w:r>
      <w:r w:rsidRPr="00ED37CF">
        <w:t>to psychosocial counsellors received clinical and psychosocial support.</w:t>
      </w:r>
    </w:p>
    <w:p w14:paraId="0A3383FA" w14:textId="77777777" w:rsidR="001C4919" w:rsidRPr="00ED37CF" w:rsidRDefault="00A670E1" w:rsidP="00A670E1">
      <w:pPr>
        <w:pStyle w:val="Heading3"/>
      </w:pPr>
      <w:bookmarkStart w:id="98" w:name="_Toc389486852"/>
      <w:bookmarkStart w:id="99" w:name="_Toc393116676"/>
      <w:bookmarkStart w:id="100" w:name="_Toc393117842"/>
      <w:bookmarkStart w:id="101" w:name="_Toc393373741"/>
      <w:r w:rsidRPr="00ED37CF">
        <w:t>5.2</w:t>
      </w:r>
      <w:r w:rsidRPr="00ED37CF">
        <w:tab/>
      </w:r>
      <w:r w:rsidR="001C4919" w:rsidRPr="00ED37CF">
        <w:t>Implementation Issues &amp; Major Challenges</w:t>
      </w:r>
      <w:bookmarkEnd w:id="98"/>
      <w:bookmarkEnd w:id="99"/>
      <w:bookmarkEnd w:id="100"/>
      <w:bookmarkEnd w:id="101"/>
    </w:p>
    <w:p w14:paraId="755AC33E" w14:textId="77777777" w:rsidR="00B351F8" w:rsidRPr="00ED37CF" w:rsidRDefault="001C4919" w:rsidP="00ED37CF">
      <w:pPr>
        <w:rPr>
          <w:b/>
          <w:bCs/>
        </w:rPr>
      </w:pPr>
      <w:r w:rsidRPr="00ED37CF">
        <w:t xml:space="preserve">Since its inception, UNIRP operated in a highly politically sensitive environment in the absence of adequate political leadership from the GoN and lack of support from the Maoists. This </w:t>
      </w:r>
      <w:r w:rsidR="00AA5CA0" w:rsidRPr="00ED37CF">
        <w:t>weakened</w:t>
      </w:r>
      <w:r w:rsidRPr="00ED37CF">
        <w:t xml:space="preserve"> national ownership of the rehabilitation process for VMLR, even though MoPR was on the Project Executive Board and made all major decisions on the implementation of UNIRP.</w:t>
      </w:r>
      <w:r w:rsidR="005E1EE9" w:rsidRPr="00ED37CF">
        <w:t xml:space="preserve"> </w:t>
      </w:r>
      <w:r w:rsidRPr="00ED37CF">
        <w:t>Nevertheless, the programme managed to create a conducive environment for programme operations to move forward.</w:t>
      </w:r>
      <w:r w:rsidR="005E1EE9" w:rsidRPr="00ED37CF">
        <w:t xml:space="preserve"> </w:t>
      </w:r>
      <w:r w:rsidRPr="00ED37CF">
        <w:t>The following are some specific challenges fac</w:t>
      </w:r>
      <w:r w:rsidR="00B351F8" w:rsidRPr="00ED37CF">
        <w:t>ed by the programme since 2010:</w:t>
      </w:r>
    </w:p>
    <w:p w14:paraId="36010EEB" w14:textId="77777777" w:rsidR="001C4919" w:rsidRPr="00ED37CF" w:rsidRDefault="001C4919" w:rsidP="000754AB">
      <w:pPr>
        <w:rPr>
          <w:b/>
          <w:bCs/>
        </w:rPr>
      </w:pPr>
      <w:r w:rsidRPr="00ED37CF">
        <w:rPr>
          <w:b/>
          <w:bCs/>
        </w:rPr>
        <w:t>2010</w:t>
      </w:r>
    </w:p>
    <w:p w14:paraId="61A62EB4" w14:textId="77777777" w:rsidR="001C4919" w:rsidRPr="00ED37CF" w:rsidRDefault="001C4919" w:rsidP="007D3884">
      <w:pPr>
        <w:pStyle w:val="ListParagraph"/>
        <w:numPr>
          <w:ilvl w:val="0"/>
          <w:numId w:val="28"/>
        </w:numPr>
        <w:ind w:left="360"/>
      </w:pPr>
      <w:r w:rsidRPr="00ED37CF">
        <w:t>Absence of a political buy-in by the GoN and the UCPN-Maoist leadership made the rehabilitation process for VMLR less likely to succeed.</w:t>
      </w:r>
      <w:r w:rsidR="005E1EE9" w:rsidRPr="00ED37CF">
        <w:t xml:space="preserve"> </w:t>
      </w:r>
      <w:r w:rsidRPr="00ED37CF">
        <w:t>Ownership of the programme and responsibility for sustainable rehabilitation rested with the GoN to prevent recurrence of violence and VMLR joining other splinter groups.</w:t>
      </w:r>
    </w:p>
    <w:p w14:paraId="3F5A875B" w14:textId="77777777" w:rsidR="001C4919" w:rsidRPr="00ED37CF" w:rsidRDefault="001C4919" w:rsidP="007D3884">
      <w:pPr>
        <w:pStyle w:val="ListParagraph"/>
        <w:numPr>
          <w:ilvl w:val="0"/>
          <w:numId w:val="28"/>
        </w:numPr>
        <w:ind w:left="360"/>
      </w:pPr>
      <w:r w:rsidRPr="00ED37CF">
        <w:t>Smooth access to the rehabilitation programme was disrupted by the lack of support from the UCPN-Maoist at both the central and local levels.</w:t>
      </w:r>
      <w:r w:rsidR="005E1EE9" w:rsidRPr="00ED37CF">
        <w:t xml:space="preserve"> </w:t>
      </w:r>
      <w:r w:rsidRPr="00ED37CF">
        <w:t>There were patterns of strong political links between the VMLR and UCPN-Maoist who had not officially agreed with GoN on the rehabilitation packages.</w:t>
      </w:r>
    </w:p>
    <w:p w14:paraId="0F079158" w14:textId="77777777" w:rsidR="001C4919" w:rsidRPr="00ED37CF" w:rsidRDefault="001C4919" w:rsidP="007D3884">
      <w:pPr>
        <w:pStyle w:val="ListParagraph"/>
        <w:numPr>
          <w:ilvl w:val="0"/>
          <w:numId w:val="28"/>
        </w:numPr>
        <w:ind w:left="360"/>
      </w:pPr>
      <w:r w:rsidRPr="00ED37CF">
        <w:t>A cap of NRs. 100,000 (approx. $1,400 USD) for individual rehabilitation packages, decided by the GoN, restricted the capacity for improving the technical packages to facilitate the development of more sustainable and longer-term livelihood options.</w:t>
      </w:r>
      <w:r w:rsidR="005E1EE9" w:rsidRPr="00ED37CF">
        <w:t xml:space="preserve"> </w:t>
      </w:r>
      <w:r w:rsidRPr="00ED37CF">
        <w:t>This adversely affected the costs of implementing partners, which, in turn, affected the available options for the beneficiaries.</w:t>
      </w:r>
    </w:p>
    <w:p w14:paraId="305F83EF" w14:textId="77777777" w:rsidR="001C4919" w:rsidRPr="00ED37CF" w:rsidRDefault="001C4919" w:rsidP="007D3884">
      <w:pPr>
        <w:pStyle w:val="ListParagraph"/>
        <w:numPr>
          <w:ilvl w:val="0"/>
          <w:numId w:val="28"/>
        </w:numPr>
        <w:ind w:left="360"/>
      </w:pPr>
      <w:r w:rsidRPr="00ED37CF">
        <w:t>The absence of appropriate VMLR socio-economic profiling, a process that was forbidden by UCPN-Maoist leadership, limited the capacity to design tailored individual rehabilitation options suitable to the needs and aspirations of each participant.</w:t>
      </w:r>
    </w:p>
    <w:p w14:paraId="5B552CAF" w14:textId="77777777" w:rsidR="001C4919" w:rsidRPr="00ED37CF" w:rsidRDefault="00AA5CA0" w:rsidP="00AA5CA0">
      <w:pPr>
        <w:pStyle w:val="ListParagraph"/>
        <w:numPr>
          <w:ilvl w:val="0"/>
          <w:numId w:val="28"/>
        </w:numPr>
        <w:ind w:left="360"/>
      </w:pPr>
      <w:r w:rsidRPr="00ED37CF">
        <w:t xml:space="preserve">Some </w:t>
      </w:r>
      <w:r w:rsidR="001C4919" w:rsidRPr="00ED37CF">
        <w:t>level of stigmatization affected VMLR upon their return to their communities, particularly among inter-caste married couples and former female combatants.</w:t>
      </w:r>
      <w:r w:rsidR="005E1EE9" w:rsidRPr="00ED37CF">
        <w:t xml:space="preserve"> </w:t>
      </w:r>
      <w:r w:rsidR="001C4919" w:rsidRPr="00ED37CF">
        <w:t>This limited resettlement choices and adversely reduced the potential for reunification of families.</w:t>
      </w:r>
      <w:r w:rsidR="005E1EE9" w:rsidRPr="00ED37CF">
        <w:t xml:space="preserve"> </w:t>
      </w:r>
      <w:r w:rsidR="001C4919" w:rsidRPr="00ED37CF">
        <w:t>In addition, reintegration into feudal community structures and traditional cultural roles was complicated by the broadened life experiences to which the VMLR were exposed.</w:t>
      </w:r>
    </w:p>
    <w:p w14:paraId="6DA00CA3" w14:textId="77777777" w:rsidR="001C4919" w:rsidRPr="00ED37CF" w:rsidRDefault="001C4919" w:rsidP="007D3884">
      <w:pPr>
        <w:pStyle w:val="ListParagraph"/>
        <w:numPr>
          <w:ilvl w:val="0"/>
          <w:numId w:val="28"/>
        </w:numPr>
        <w:ind w:left="360"/>
      </w:pPr>
      <w:r w:rsidRPr="00ED37CF">
        <w:lastRenderedPageBreak/>
        <w:t>A number of VMLR suffered from injuries and different forms of disabilities that required support beyond the life and capacity of the programme.</w:t>
      </w:r>
      <w:r w:rsidR="005E1EE9" w:rsidRPr="00ED37CF">
        <w:t xml:space="preserve"> </w:t>
      </w:r>
      <w:r w:rsidRPr="00ED37CF">
        <w:t>Lack of special provisions to fulfil the long-term health support to war wounded, people with disabilities and chronically ill participants seriously challenged the smooth rehabilitation of these individuals.</w:t>
      </w:r>
    </w:p>
    <w:p w14:paraId="3011CBF7" w14:textId="77777777" w:rsidR="001C4919" w:rsidRPr="00ED37CF" w:rsidRDefault="001C4919" w:rsidP="000754AB">
      <w:pPr>
        <w:rPr>
          <w:b/>
          <w:bCs/>
        </w:rPr>
      </w:pPr>
      <w:r w:rsidRPr="00ED37CF">
        <w:rPr>
          <w:b/>
          <w:bCs/>
        </w:rPr>
        <w:t>2011</w:t>
      </w:r>
    </w:p>
    <w:p w14:paraId="35CA9B39" w14:textId="77777777" w:rsidR="001C4919" w:rsidRPr="00ED37CF" w:rsidRDefault="001C4919" w:rsidP="007D3884">
      <w:pPr>
        <w:pStyle w:val="ListParagraph"/>
        <w:numPr>
          <w:ilvl w:val="0"/>
          <w:numId w:val="29"/>
        </w:numPr>
        <w:ind w:left="360"/>
      </w:pPr>
      <w:r w:rsidRPr="00ED37CF">
        <w:t>Reluctance and in some cases active discouragement on the part of the UCPN-Maoist affected the smooth access to rehabilitation programme.</w:t>
      </w:r>
    </w:p>
    <w:p w14:paraId="38B1A10A" w14:textId="77777777" w:rsidR="001C4919" w:rsidRPr="00ED37CF" w:rsidRDefault="001C4919" w:rsidP="007D3884">
      <w:pPr>
        <w:pStyle w:val="ListParagraph"/>
        <w:numPr>
          <w:ilvl w:val="0"/>
          <w:numId w:val="29"/>
        </w:numPr>
        <w:ind w:left="360"/>
      </w:pPr>
      <w:r w:rsidRPr="00ED37CF">
        <w:t>Many of those who graduated lived in remote areas and were difficult to reach for post-training follow-up, monitoring and mentoring.</w:t>
      </w:r>
      <w:r w:rsidR="005E1EE9" w:rsidRPr="00ED37CF">
        <w:t xml:space="preserve"> </w:t>
      </w:r>
      <w:r w:rsidRPr="00ED37CF">
        <w:t>This implicated their ability to secure sustainable livelihood options.</w:t>
      </w:r>
      <w:r w:rsidR="005E1EE9" w:rsidRPr="00ED37CF">
        <w:t xml:space="preserve"> </w:t>
      </w:r>
      <w:r w:rsidRPr="00ED37CF">
        <w:t>This was addressed by increasing outreach by regional office staff through improved collaboration with working partners as well as CAAFAG partners who had a reasonable reach to the remote districts.</w:t>
      </w:r>
    </w:p>
    <w:p w14:paraId="117BD37A" w14:textId="77777777" w:rsidR="001C4919" w:rsidRPr="00ED37CF" w:rsidRDefault="001C4919" w:rsidP="007D3884">
      <w:pPr>
        <w:pStyle w:val="ListParagraph"/>
        <w:numPr>
          <w:ilvl w:val="0"/>
          <w:numId w:val="29"/>
        </w:numPr>
        <w:ind w:left="360"/>
      </w:pPr>
      <w:r w:rsidRPr="00ED37CF">
        <w:t>Artificially high expectations of the VMLR often created obstacles in the implementation of the rehabilitation programme.</w:t>
      </w:r>
      <w:r w:rsidR="005E1EE9" w:rsidRPr="00ED37CF">
        <w:t xml:space="preserve"> </w:t>
      </w:r>
      <w:r w:rsidRPr="00ED37CF">
        <w:t>This was initially addressed through the counselling process and it was also mitigated through the dissemination of positive news stories in the media, particularly regarding success stories of programme graduates.</w:t>
      </w:r>
    </w:p>
    <w:p w14:paraId="566CB6CD" w14:textId="77777777" w:rsidR="00B351F8" w:rsidRPr="00ED37CF" w:rsidRDefault="001C4919" w:rsidP="007D3884">
      <w:pPr>
        <w:pStyle w:val="ListParagraph"/>
        <w:numPr>
          <w:ilvl w:val="0"/>
          <w:numId w:val="29"/>
        </w:numPr>
        <w:spacing w:after="200" w:line="276" w:lineRule="auto"/>
        <w:ind w:left="360"/>
        <w:rPr>
          <w:b/>
          <w:bCs/>
        </w:rPr>
      </w:pPr>
      <w:r w:rsidRPr="00ED37CF">
        <w:t>In a poor and limited job market situation, employment after completion of training including linkages to micro-credit support for self-employment was an extremely difficult challenge.</w:t>
      </w:r>
      <w:r w:rsidR="005E1EE9" w:rsidRPr="00ED37CF">
        <w:t xml:space="preserve"> </w:t>
      </w:r>
      <w:r w:rsidRPr="00ED37CF">
        <w:t>In addition, some of the graduates refused low paid jobs as many of them were still being supported and receiving salaries from the UCPN-Maoist.</w:t>
      </w:r>
    </w:p>
    <w:p w14:paraId="5AF56BDA" w14:textId="1D7F6FCE" w:rsidR="001C4919" w:rsidRPr="00ED37CF" w:rsidRDefault="001C4919" w:rsidP="00535D6B">
      <w:pPr>
        <w:spacing w:after="200" w:line="276" w:lineRule="auto"/>
        <w:jc w:val="left"/>
        <w:rPr>
          <w:b/>
          <w:bCs/>
        </w:rPr>
      </w:pPr>
      <w:r w:rsidRPr="00ED37CF">
        <w:rPr>
          <w:b/>
          <w:bCs/>
        </w:rPr>
        <w:t>2012</w:t>
      </w:r>
    </w:p>
    <w:p w14:paraId="14376FBA" w14:textId="7B55858F" w:rsidR="001C4919" w:rsidRPr="00ED37CF" w:rsidRDefault="001C4919" w:rsidP="007D3884">
      <w:pPr>
        <w:pStyle w:val="ListParagraph"/>
        <w:numPr>
          <w:ilvl w:val="0"/>
          <w:numId w:val="30"/>
        </w:numPr>
        <w:ind w:left="360"/>
      </w:pPr>
      <w:r w:rsidRPr="00ED37CF">
        <w:t xml:space="preserve">While face-to-face post-training monitoring and counselling proved effective in encouraging participants to gain and maintain a sustainable livelihood, it was difficult for staff to manage them considering </w:t>
      </w:r>
      <w:r w:rsidR="00C4327B">
        <w:t>VMLRs’</w:t>
      </w:r>
      <w:r w:rsidR="00C4327B" w:rsidRPr="00ED37CF">
        <w:t xml:space="preserve"> </w:t>
      </w:r>
      <w:r w:rsidRPr="00ED37CF">
        <w:t>wide geographical spread across the country, where in many cases staff members had to walk for days to reach a single participant.</w:t>
      </w:r>
    </w:p>
    <w:p w14:paraId="2DC5EAC5" w14:textId="77777777" w:rsidR="001C4919" w:rsidRPr="00ED37CF" w:rsidRDefault="001C4919" w:rsidP="007D3884">
      <w:pPr>
        <w:pStyle w:val="ListParagraph"/>
        <w:numPr>
          <w:ilvl w:val="0"/>
          <w:numId w:val="30"/>
        </w:numPr>
        <w:ind w:left="360"/>
      </w:pPr>
      <w:r w:rsidRPr="00ED37CF">
        <w:t>UNIRP found that some VMLR faced constraints in their social and economic reintegration that had not been foreseen.</w:t>
      </w:r>
      <w:r w:rsidR="005E1EE9" w:rsidRPr="00ED37CF">
        <w:t xml:space="preserve"> </w:t>
      </w:r>
      <w:r w:rsidRPr="00ED37CF">
        <w:t>In general, absence of support from communities of return, lack of acceptance of inter-caste marriages and persisting health and psychosocial problems associated with their war experiences added challenges to their reintegration in the communities.</w:t>
      </w:r>
    </w:p>
    <w:p w14:paraId="1CCC43E3" w14:textId="77777777" w:rsidR="001C4919" w:rsidRPr="00ED37CF" w:rsidRDefault="001C4919" w:rsidP="007D3884">
      <w:pPr>
        <w:pStyle w:val="ListParagraph"/>
        <w:numPr>
          <w:ilvl w:val="0"/>
          <w:numId w:val="30"/>
        </w:numPr>
        <w:ind w:left="360"/>
      </w:pPr>
      <w:r w:rsidRPr="00ED37CF">
        <w:t>In a poor and limited job market situation, securing employment after completion of training, as well as receiving micro-credit support for self-employment was an extremely difficult challenge.</w:t>
      </w:r>
      <w:r w:rsidR="005E1EE9" w:rsidRPr="00ED37CF">
        <w:t xml:space="preserve"> </w:t>
      </w:r>
      <w:r w:rsidRPr="00ED37CF">
        <w:t>As well, the Nepalese employment market is concentrated in a major economic zone and graduates were living in remote as well as semi-urban areas where there were fewer opportunities.</w:t>
      </w:r>
      <w:r w:rsidR="005E1EE9" w:rsidRPr="00ED37CF">
        <w:t xml:space="preserve"> </w:t>
      </w:r>
      <w:r w:rsidRPr="00ED37CF">
        <w:t>It was difficult to match available job opportunities with their preferred locations.</w:t>
      </w:r>
    </w:p>
    <w:p w14:paraId="63551768" w14:textId="77777777" w:rsidR="001C4919" w:rsidRPr="00ED37CF" w:rsidRDefault="001C4919" w:rsidP="007D3884">
      <w:pPr>
        <w:pStyle w:val="ListParagraph"/>
        <w:numPr>
          <w:ilvl w:val="0"/>
          <w:numId w:val="30"/>
        </w:numPr>
        <w:ind w:left="360"/>
      </w:pPr>
      <w:r w:rsidRPr="00ED37CF">
        <w:t>In some cases, private sector employees had a negative perception of ex-combatants, which affected their access to available employment opportunities.</w:t>
      </w:r>
    </w:p>
    <w:p w14:paraId="526FD69C" w14:textId="77777777" w:rsidR="001C4919" w:rsidRPr="00ED37CF" w:rsidRDefault="001C4919" w:rsidP="007D3884">
      <w:pPr>
        <w:pStyle w:val="ListParagraph"/>
        <w:numPr>
          <w:ilvl w:val="0"/>
          <w:numId w:val="30"/>
        </w:numPr>
        <w:ind w:left="360"/>
      </w:pPr>
      <w:r w:rsidRPr="00ED37CF">
        <w:t>Business sustainability was a challenge because of the limited market capacity.</w:t>
      </w:r>
      <w:r w:rsidR="005E1EE9" w:rsidRPr="00ED37CF">
        <w:t xml:space="preserve"> </w:t>
      </w:r>
      <w:r w:rsidRPr="00ED37CF">
        <w:t>VMLR were vulnerable at early stages of the establishment of their businesses; however, business mentoring was offered to support the sustainability of the newly established enterprises.</w:t>
      </w:r>
    </w:p>
    <w:p w14:paraId="2788F2BE" w14:textId="77777777" w:rsidR="001C4919" w:rsidRPr="00ED37CF" w:rsidRDefault="00A670E1" w:rsidP="00A670E1">
      <w:pPr>
        <w:pStyle w:val="Heading3"/>
      </w:pPr>
      <w:bookmarkStart w:id="102" w:name="_Toc389486853"/>
      <w:bookmarkStart w:id="103" w:name="_Toc393116677"/>
      <w:bookmarkStart w:id="104" w:name="_Toc393117843"/>
      <w:bookmarkStart w:id="105" w:name="_Toc393373742"/>
      <w:r w:rsidRPr="00ED37CF">
        <w:t>5.3</w:t>
      </w:r>
      <w:r w:rsidRPr="00ED37CF">
        <w:tab/>
      </w:r>
      <w:r w:rsidR="001C4919" w:rsidRPr="00ED37CF">
        <w:t>Lessons Learned and Best Practices</w:t>
      </w:r>
      <w:bookmarkEnd w:id="102"/>
      <w:bookmarkEnd w:id="103"/>
      <w:bookmarkEnd w:id="104"/>
      <w:bookmarkEnd w:id="105"/>
    </w:p>
    <w:p w14:paraId="4BD53538" w14:textId="77777777" w:rsidR="001C4919" w:rsidRPr="00ED37CF" w:rsidRDefault="001C4919" w:rsidP="000754AB">
      <w:r w:rsidRPr="00ED37CF">
        <w:t>UNIRP has drawn</w:t>
      </w:r>
      <w:r w:rsidR="009E2858" w:rsidRPr="00ED37CF">
        <w:t xml:space="preserve"> from</w:t>
      </w:r>
      <w:r w:rsidRPr="00ED37CF">
        <w:t xml:space="preserve"> valuable lessons, good pra</w:t>
      </w:r>
      <w:r w:rsidR="009E2858" w:rsidRPr="00ED37CF">
        <w:t>ctices, and experiences that were</w:t>
      </w:r>
      <w:r w:rsidRPr="00ED37CF">
        <w:t xml:space="preserve"> useful to other similar programmes not only in Nepal but at the international level.</w:t>
      </w:r>
      <w:r w:rsidR="005E1EE9" w:rsidRPr="00ED37CF">
        <w:t xml:space="preserve"> </w:t>
      </w:r>
      <w:r w:rsidRPr="00ED37CF">
        <w:t>A summary of lessons learned since the programme’s inception in 2010 are as follows:</w:t>
      </w:r>
    </w:p>
    <w:p w14:paraId="4D678926" w14:textId="77777777" w:rsidR="001C4919" w:rsidRPr="00ED37CF" w:rsidRDefault="001C4919" w:rsidP="007D3884">
      <w:pPr>
        <w:pStyle w:val="ListParagraph"/>
        <w:numPr>
          <w:ilvl w:val="0"/>
          <w:numId w:val="31"/>
        </w:numPr>
        <w:ind w:left="360"/>
      </w:pPr>
      <w:r w:rsidRPr="00ED37CF">
        <w:rPr>
          <w:i/>
        </w:rPr>
        <w:lastRenderedPageBreak/>
        <w:t>Taking national ownership of the process</w:t>
      </w:r>
      <w:r w:rsidRPr="00ED37CF">
        <w:t>:</w:t>
      </w:r>
      <w:r w:rsidR="005E1EE9" w:rsidRPr="00ED37CF">
        <w:t xml:space="preserve"> </w:t>
      </w:r>
      <w:r w:rsidRPr="00ED37CF">
        <w:t xml:space="preserve">Clear political and sound </w:t>
      </w:r>
      <w:r w:rsidR="009E2858" w:rsidRPr="00ED37CF">
        <w:t>leadership buy-in and support is</w:t>
      </w:r>
      <w:r w:rsidRPr="00ED37CF">
        <w:t xml:space="preserve"> required to contribute to national ownership, management of expectations and sensitivities, and the sustainability of outputs.</w:t>
      </w:r>
      <w:r w:rsidR="005E1EE9" w:rsidRPr="00ED37CF">
        <w:t xml:space="preserve"> </w:t>
      </w:r>
      <w:r w:rsidRPr="00ED37CF">
        <w:t>This would be reflected in a functioning tripartite institutional steering and technical structures that would involve the GoN, UCPN-M and the international community.</w:t>
      </w:r>
    </w:p>
    <w:p w14:paraId="18054E8C" w14:textId="77777777" w:rsidR="001C4919" w:rsidRPr="00ED37CF" w:rsidRDefault="001C4919" w:rsidP="007D3884">
      <w:pPr>
        <w:pStyle w:val="ListParagraph"/>
        <w:numPr>
          <w:ilvl w:val="0"/>
          <w:numId w:val="31"/>
        </w:numPr>
        <w:ind w:left="360"/>
      </w:pPr>
      <w:r w:rsidRPr="00ED37CF">
        <w:rPr>
          <w:i/>
        </w:rPr>
        <w:t>Adapting global lessons to context</w:t>
      </w:r>
      <w:r w:rsidRPr="00ED37CF">
        <w:t>:</w:t>
      </w:r>
      <w:r w:rsidR="005E1EE9" w:rsidRPr="00ED37CF">
        <w:t xml:space="preserve"> </w:t>
      </w:r>
      <w:r w:rsidRPr="00ED37CF">
        <w:t>All rehabilitation programmes are implemented in a unique context.</w:t>
      </w:r>
      <w:r w:rsidR="005E1EE9" w:rsidRPr="00ED37CF">
        <w:t xml:space="preserve"> </w:t>
      </w:r>
      <w:r w:rsidRPr="00ED37CF">
        <w:t>However, lessons learned and best practices from other programmes are equally applicable in most of the reintegration and rehabilitation programmes.</w:t>
      </w:r>
      <w:r w:rsidR="005E1EE9" w:rsidRPr="00ED37CF">
        <w:t xml:space="preserve"> </w:t>
      </w:r>
      <w:r w:rsidRPr="00ED37CF">
        <w:t>Adaption of international lessons learned from other similar programmes proved to be extremely useful.</w:t>
      </w:r>
    </w:p>
    <w:p w14:paraId="1EA31F3D" w14:textId="5A3CB849" w:rsidR="001C4919" w:rsidRPr="00ED37CF" w:rsidRDefault="001C4919" w:rsidP="00F9014A">
      <w:pPr>
        <w:pStyle w:val="ListParagraph"/>
        <w:numPr>
          <w:ilvl w:val="0"/>
          <w:numId w:val="31"/>
        </w:numPr>
        <w:ind w:left="360"/>
      </w:pPr>
      <w:r w:rsidRPr="00ED37CF">
        <w:rPr>
          <w:i/>
        </w:rPr>
        <w:t>Managing diverse expectations</w:t>
      </w:r>
      <w:r w:rsidRPr="00ED37CF">
        <w:t>:</w:t>
      </w:r>
      <w:r w:rsidR="005E1EE9" w:rsidRPr="00ED37CF">
        <w:t xml:space="preserve"> </w:t>
      </w:r>
      <w:r w:rsidRPr="00ED37CF">
        <w:t>Unrealistically high expectations of the VMLR created a situation of confusion that seriously challenged full access of the VMLR to the rehabilitation programme.</w:t>
      </w:r>
      <w:r w:rsidR="005E1EE9" w:rsidRPr="00ED37CF">
        <w:t xml:space="preserve"> </w:t>
      </w:r>
      <w:r w:rsidRPr="00ED37CF">
        <w:t>Little was done by the UCPN-M to manage these expectations, in which VMLR refused to take jobs because the starting salary was lower than their expectations (NRs. 5,000-6,000).</w:t>
      </w:r>
      <w:r w:rsidR="005E1EE9" w:rsidRPr="00ED37CF">
        <w:t xml:space="preserve"> </w:t>
      </w:r>
      <w:r w:rsidRPr="00ED37CF">
        <w:t>Management of expectations is critical to programme implementation</w:t>
      </w:r>
      <w:r w:rsidR="00F9014A" w:rsidRPr="00ED37CF">
        <w:t xml:space="preserve"> and success</w:t>
      </w:r>
      <w:r w:rsidR="000B4361">
        <w:t>;</w:t>
      </w:r>
      <w:r w:rsidR="00F9014A" w:rsidRPr="00ED37CF">
        <w:t xml:space="preserve"> it </w:t>
      </w:r>
      <w:r w:rsidRPr="00ED37CF">
        <w:t>is associated with a broad national buy-in, collaboration and an agreed integrated communications strategy.</w:t>
      </w:r>
      <w:r w:rsidR="005E1EE9" w:rsidRPr="00ED37CF">
        <w:t xml:space="preserve"> </w:t>
      </w:r>
      <w:r w:rsidRPr="00ED37CF">
        <w:t xml:space="preserve">Consistent communication through regional office staff, implementing partners, and related agencies was the most effective way to address this issue. </w:t>
      </w:r>
    </w:p>
    <w:p w14:paraId="72F21A7C" w14:textId="77777777" w:rsidR="001C4919" w:rsidRPr="00ED37CF" w:rsidRDefault="001C4919" w:rsidP="007D3884">
      <w:pPr>
        <w:pStyle w:val="ListParagraph"/>
        <w:numPr>
          <w:ilvl w:val="0"/>
          <w:numId w:val="31"/>
        </w:numPr>
        <w:ind w:left="360"/>
      </w:pPr>
      <w:r w:rsidRPr="00ED37CF">
        <w:rPr>
          <w:i/>
        </w:rPr>
        <w:t>Individual profiling with socio-economic mapping is vital</w:t>
      </w:r>
      <w:r w:rsidRPr="00ED37CF">
        <w:t>:</w:t>
      </w:r>
      <w:r w:rsidR="005E1EE9" w:rsidRPr="00ED37CF">
        <w:t xml:space="preserve"> </w:t>
      </w:r>
      <w:r w:rsidRPr="00ED37CF">
        <w:t>Socio-economic profiling of the participants should be conducted before offering rehabilitation packages.</w:t>
      </w:r>
      <w:r w:rsidR="005E1EE9" w:rsidRPr="00ED37CF">
        <w:t xml:space="preserve"> </w:t>
      </w:r>
      <w:r w:rsidRPr="00ED37CF">
        <w:t>In addition, an appropriate labour market survey should contribute to the programme design and enhance placement potential.</w:t>
      </w:r>
      <w:r w:rsidR="005E1EE9" w:rsidRPr="00ED37CF">
        <w:t xml:space="preserve"> </w:t>
      </w:r>
      <w:r w:rsidRPr="00ED37CF">
        <w:t>As well, a community-based programme and private sector development programme should be implemented as a parallel programmes.</w:t>
      </w:r>
    </w:p>
    <w:p w14:paraId="4CEEF125" w14:textId="77777777" w:rsidR="001C4919" w:rsidRPr="00ED37CF" w:rsidRDefault="001C4919" w:rsidP="007D3884">
      <w:pPr>
        <w:pStyle w:val="ListParagraph"/>
        <w:numPr>
          <w:ilvl w:val="0"/>
          <w:numId w:val="31"/>
        </w:numPr>
        <w:ind w:left="360"/>
      </w:pPr>
      <w:r w:rsidRPr="00ED37CF">
        <w:rPr>
          <w:i/>
        </w:rPr>
        <w:t>Opening to market demands</w:t>
      </w:r>
      <w:r w:rsidRPr="00ED37CF">
        <w:t>:</w:t>
      </w:r>
      <w:r w:rsidR="005E1EE9" w:rsidRPr="00ED37CF">
        <w:t xml:space="preserve"> </w:t>
      </w:r>
      <w:r w:rsidRPr="00ED37CF">
        <w:t>Rehabilitation option packages should not be linked exclusively to government endorsed curriculums.</w:t>
      </w:r>
      <w:r w:rsidR="005E1EE9" w:rsidRPr="00ED37CF">
        <w:t xml:space="preserve"> </w:t>
      </w:r>
      <w:r w:rsidRPr="00ED37CF">
        <w:t>There are often other options in high demand within the market that might not be part of the government’s standard curriculum.</w:t>
      </w:r>
    </w:p>
    <w:p w14:paraId="05A5FA14" w14:textId="6676BC0F" w:rsidR="001C4919" w:rsidRPr="00ED37CF" w:rsidRDefault="001C4919" w:rsidP="007D3884">
      <w:pPr>
        <w:pStyle w:val="ListParagraph"/>
        <w:numPr>
          <w:ilvl w:val="0"/>
          <w:numId w:val="31"/>
        </w:numPr>
        <w:ind w:left="360"/>
      </w:pPr>
      <w:r w:rsidRPr="00ED37CF">
        <w:rPr>
          <w:i/>
        </w:rPr>
        <w:t>Long-term value of Capacity Building</w:t>
      </w:r>
      <w:r w:rsidRPr="00ED37CF">
        <w:t>:</w:t>
      </w:r>
      <w:r w:rsidR="005E1EE9" w:rsidRPr="00ED37CF">
        <w:t xml:space="preserve"> </w:t>
      </w:r>
      <w:r w:rsidRPr="00ED37CF">
        <w:t>Capacity building of the staff members are required to perform synergic result</w:t>
      </w:r>
      <w:r w:rsidR="000B4361">
        <w:t>s</w:t>
      </w:r>
      <w:r w:rsidRPr="00ED37CF">
        <w:t>.</w:t>
      </w:r>
      <w:r w:rsidR="005E1EE9" w:rsidRPr="00ED37CF">
        <w:t xml:space="preserve"> </w:t>
      </w:r>
      <w:r w:rsidRPr="00ED37CF">
        <w:t>Therefore, context specific professional training would add value for smoother programme implementation.</w:t>
      </w:r>
      <w:r w:rsidR="005E1EE9" w:rsidRPr="00ED37CF">
        <w:t xml:space="preserve"> </w:t>
      </w:r>
      <w:r w:rsidRPr="00ED37CF">
        <w:t>As well, more specialized staff need to be allocated for socio-economic work and creating linkages for optimal results.</w:t>
      </w:r>
    </w:p>
    <w:p w14:paraId="4B777861" w14:textId="77777777" w:rsidR="001C4919" w:rsidRPr="00ED37CF" w:rsidRDefault="001C4919" w:rsidP="007D3884">
      <w:pPr>
        <w:pStyle w:val="ListParagraph"/>
        <w:numPr>
          <w:ilvl w:val="0"/>
          <w:numId w:val="31"/>
        </w:numPr>
        <w:ind w:left="360"/>
      </w:pPr>
      <w:r w:rsidRPr="00ED37CF">
        <w:rPr>
          <w:i/>
        </w:rPr>
        <w:t>Frequent face-to-face monitoring</w:t>
      </w:r>
      <w:r w:rsidRPr="00ED37CF">
        <w:t>:</w:t>
      </w:r>
      <w:r w:rsidR="005E1EE9" w:rsidRPr="00ED37CF">
        <w:t xml:space="preserve"> </w:t>
      </w:r>
      <w:r w:rsidRPr="00ED37CF">
        <w:t>Regular field visits with multiple activities, such as pre-condition verification for starting a business, business mentoring, family counselling, provisions of support for cross-cutting issues and monitoring worked very well in supporting the rehabilitation of participants.</w:t>
      </w:r>
      <w:r w:rsidR="005E1EE9" w:rsidRPr="00ED37CF">
        <w:t xml:space="preserve"> </w:t>
      </w:r>
      <w:r w:rsidRPr="00ED37CF">
        <w:t xml:space="preserve">The programme staff focused on family and community support for the VMLR, which created a more conducive environment for the well-being of the VMLR and their businesses and employment. </w:t>
      </w:r>
    </w:p>
    <w:p w14:paraId="4151F409" w14:textId="3FC5C760" w:rsidR="001C4919" w:rsidRPr="00ED37CF" w:rsidRDefault="001C4919" w:rsidP="007D3884">
      <w:pPr>
        <w:pStyle w:val="ListParagraph"/>
        <w:numPr>
          <w:ilvl w:val="0"/>
          <w:numId w:val="31"/>
        </w:numPr>
        <w:ind w:left="360"/>
      </w:pPr>
      <w:r w:rsidRPr="00ED37CF">
        <w:rPr>
          <w:i/>
        </w:rPr>
        <w:t>Prioritizing cross-cutting support services</w:t>
      </w:r>
      <w:r w:rsidRPr="00ED37CF">
        <w:t>:</w:t>
      </w:r>
      <w:r w:rsidR="005E1EE9" w:rsidRPr="00ED37CF">
        <w:t xml:space="preserve"> </w:t>
      </w:r>
      <w:r w:rsidRPr="00ED37CF">
        <w:t>Support for cross-cutting issues, gender-specific needs, psychosocial, health, career counselling and job placements were critical elements of the programme.</w:t>
      </w:r>
      <w:r w:rsidR="005E1EE9" w:rsidRPr="00ED37CF">
        <w:t xml:space="preserve"> </w:t>
      </w:r>
      <w:r w:rsidRPr="00ED37CF">
        <w:t>Addressing gender-specific needs enhanced both men and women’s participation in the programme.</w:t>
      </w:r>
      <w:r w:rsidR="005E1EE9" w:rsidRPr="00ED37CF">
        <w:t xml:space="preserve"> </w:t>
      </w:r>
      <w:r w:rsidRPr="00ED37CF">
        <w:t>A study conducted by UNICEF in 2011 showed that approximately one-third of VMLR faced psychosocial problems due to stigma associated with the word “disqualification</w:t>
      </w:r>
      <w:r w:rsidR="00AF24FB">
        <w:rPr>
          <w:rStyle w:val="FootnoteReference"/>
        </w:rPr>
        <w:footnoteReference w:id="3"/>
      </w:r>
      <w:r w:rsidRPr="00ED37CF">
        <w:t xml:space="preserve">”, </w:t>
      </w:r>
      <w:r w:rsidRPr="00ED37CF">
        <w:lastRenderedPageBreak/>
        <w:t>adjustment problems, post-traumatic disorder, etc.</w:t>
      </w:r>
      <w:r w:rsidR="005E1EE9" w:rsidRPr="00ED37CF">
        <w:t xml:space="preserve"> </w:t>
      </w:r>
      <w:r w:rsidRPr="00ED37CF">
        <w:t>Psychosocial support helped to improve their psychosocial well-being and readjustment to their communities.</w:t>
      </w:r>
      <w:r w:rsidR="005E1EE9" w:rsidRPr="00ED37CF">
        <w:t xml:space="preserve"> </w:t>
      </w:r>
      <w:r w:rsidRPr="00ED37CF">
        <w:t>Health support also ensured the continuous participation of beneficiaries in training.</w:t>
      </w:r>
      <w:r w:rsidR="005E1EE9" w:rsidRPr="00ED37CF">
        <w:t xml:space="preserve"> </w:t>
      </w:r>
      <w:r w:rsidRPr="00ED37CF">
        <w:t>Career counselling and job placement support contributed to the employment rate of the programme graduates.</w:t>
      </w:r>
    </w:p>
    <w:p w14:paraId="000BCC19" w14:textId="3209C240" w:rsidR="001C4919" w:rsidRPr="00ED37CF" w:rsidRDefault="001C4919" w:rsidP="007D3884">
      <w:pPr>
        <w:pStyle w:val="ListParagraph"/>
        <w:numPr>
          <w:ilvl w:val="0"/>
          <w:numId w:val="31"/>
        </w:numPr>
        <w:ind w:left="360"/>
      </w:pPr>
      <w:r w:rsidRPr="00ED37CF">
        <w:rPr>
          <w:i/>
        </w:rPr>
        <w:t>Importance of flexibility</w:t>
      </w:r>
      <w:r w:rsidRPr="00ED37CF">
        <w:t>:</w:t>
      </w:r>
      <w:r w:rsidR="005E1EE9" w:rsidRPr="00ED37CF">
        <w:t xml:space="preserve"> </w:t>
      </w:r>
      <w:r w:rsidRPr="00ED37CF">
        <w:t>Individual case management was very effective in supporting the rehabilitation and return of VMLR to their communities. UNIRP provided support with flexibility in training options and support based on the needs and circumstances of every individual. For example, more than 25 VST drop-outs were allowed to re-enrol into the programme with the opportunities of changing their training option to ME for better opportunities of livelihood as a result of career counselling and mentoring by dedicated UNIRP staff. Although it was time consuming to assess every individual, this flexible case management system contributed to the success of the programme. This was a need base</w:t>
      </w:r>
      <w:r w:rsidR="00FE5B2B">
        <w:t>d</w:t>
      </w:r>
      <w:r w:rsidRPr="00ED37CF">
        <w:t xml:space="preserve"> sustainable approach which was termed as enrolment of drop-outs and option switching.</w:t>
      </w:r>
      <w:r w:rsidR="005E1EE9" w:rsidRPr="00ED37CF">
        <w:t xml:space="preserve"> </w:t>
      </w:r>
    </w:p>
    <w:p w14:paraId="5FA191DA" w14:textId="0EA94F9D" w:rsidR="001C4919" w:rsidRPr="00ED37CF" w:rsidRDefault="001C4919" w:rsidP="007D3884">
      <w:pPr>
        <w:pStyle w:val="ListParagraph"/>
        <w:numPr>
          <w:ilvl w:val="0"/>
          <w:numId w:val="31"/>
        </w:numPr>
        <w:ind w:left="360"/>
      </w:pPr>
      <w:r w:rsidRPr="00ED37CF">
        <w:rPr>
          <w:i/>
        </w:rPr>
        <w:t>Benefits of timely support and intervention</w:t>
      </w:r>
      <w:r w:rsidRPr="00ED37CF">
        <w:t>:</w:t>
      </w:r>
      <w:r w:rsidR="005E1EE9" w:rsidRPr="00ED37CF">
        <w:t xml:space="preserve"> </w:t>
      </w:r>
      <w:r w:rsidRPr="00ED37CF">
        <w:t>Community rejection, lack of support from friends and family members and unemployment were cited as the major risk factors of unsuccessful reintegration of VMLR.</w:t>
      </w:r>
      <w:r w:rsidR="005E1EE9" w:rsidRPr="00ED37CF">
        <w:t xml:space="preserve"> </w:t>
      </w:r>
      <w:r w:rsidRPr="00ED37CF">
        <w:t>The programmes experience showed that appropriate and timely support and intervention in six months after graduation from training played an important r</w:t>
      </w:r>
      <w:r w:rsidR="00FE5B2B">
        <w:t>ole in addressing those risks. The l</w:t>
      </w:r>
      <w:r w:rsidRPr="00ED37CF">
        <w:t>esse</w:t>
      </w:r>
      <w:r w:rsidR="00FE5B2B">
        <w:t>r</w:t>
      </w:r>
      <w:r w:rsidRPr="00ED37CF">
        <w:t xml:space="preserve"> the gaps period for programme interventions and support, lesser the risks.</w:t>
      </w:r>
      <w:r w:rsidR="005E1EE9" w:rsidRPr="00ED37CF">
        <w:t xml:space="preserve"> </w:t>
      </w:r>
    </w:p>
    <w:p w14:paraId="36DAFA67" w14:textId="77777777" w:rsidR="006D42F7" w:rsidRDefault="001C4919" w:rsidP="006D42F7">
      <w:pPr>
        <w:pStyle w:val="ListParagraph"/>
        <w:numPr>
          <w:ilvl w:val="0"/>
          <w:numId w:val="31"/>
        </w:numPr>
        <w:ind w:left="360"/>
      </w:pPr>
      <w:r w:rsidRPr="00ED37CF">
        <w:rPr>
          <w:i/>
        </w:rPr>
        <w:t>Building a supportive community</w:t>
      </w:r>
      <w:r w:rsidRPr="00ED37CF">
        <w:t>:</w:t>
      </w:r>
      <w:r w:rsidR="005E1EE9" w:rsidRPr="00ED37CF">
        <w:t xml:space="preserve"> </w:t>
      </w:r>
      <w:r w:rsidRPr="00ED37CF">
        <w:t>Increasing the number of graduates who were successfully employed, running their businesses, or providing health-related services in their communities contributed to enhancing the social perception of VMLR.</w:t>
      </w:r>
      <w:r w:rsidR="005E1EE9" w:rsidRPr="00ED37CF">
        <w:t xml:space="preserve"> </w:t>
      </w:r>
      <w:r w:rsidRPr="00ED37CF">
        <w:t>In additio</w:t>
      </w:r>
      <w:r w:rsidR="00B02AB1" w:rsidRPr="00ED37CF">
        <w:t>n, private sector involvement was</w:t>
      </w:r>
      <w:r w:rsidRPr="00ED37CF">
        <w:t xml:space="preserve"> required where the business commu</w:t>
      </w:r>
      <w:r w:rsidR="00FE5B2B">
        <w:t xml:space="preserve">nity, known as non-political, could </w:t>
      </w:r>
      <w:r w:rsidRPr="00ED37CF">
        <w:t>significantly support the rehabilitation of the participants in various ways.</w:t>
      </w:r>
    </w:p>
    <w:p w14:paraId="58FFC49D" w14:textId="77777777" w:rsidR="006D42F7" w:rsidRDefault="001C4919" w:rsidP="006D42F7">
      <w:pPr>
        <w:pStyle w:val="ListParagraph"/>
        <w:numPr>
          <w:ilvl w:val="0"/>
          <w:numId w:val="31"/>
        </w:numPr>
        <w:ind w:left="360"/>
      </w:pPr>
      <w:r w:rsidRPr="006D42F7">
        <w:rPr>
          <w:i/>
        </w:rPr>
        <w:t>Taking the UNCT Approach</w:t>
      </w:r>
      <w:r w:rsidRPr="00ED37CF">
        <w:t>:</w:t>
      </w:r>
      <w:r w:rsidR="005E1EE9" w:rsidRPr="00ED37CF">
        <w:t xml:space="preserve"> </w:t>
      </w:r>
      <w:r w:rsidRPr="00ED37CF">
        <w:t>The UN interagency approach (UNDP, UNICEF, UNFPA and ILO) to programme development and implementation was successful in optimizing significant institutional strength</w:t>
      </w:r>
      <w:r w:rsidR="00FE5B2B">
        <w:t>, comparative advantages</w:t>
      </w:r>
      <w:r w:rsidRPr="00ED37CF">
        <w:t xml:space="preserve"> and developing synergetic outputs.</w:t>
      </w:r>
      <w:r w:rsidR="00FE5B2B">
        <w:t xml:space="preserve"> Nevertheless, this could only work to its full optimal with all project staff, no matter from which agency, sharing the same project office and with clear reporting and management lines. </w:t>
      </w:r>
    </w:p>
    <w:p w14:paraId="4407C20E" w14:textId="77777777" w:rsidR="006D42F7" w:rsidRDefault="001C4919" w:rsidP="006D42F7">
      <w:pPr>
        <w:pStyle w:val="ListParagraph"/>
        <w:numPr>
          <w:ilvl w:val="0"/>
          <w:numId w:val="31"/>
        </w:numPr>
        <w:ind w:left="360"/>
      </w:pPr>
      <w:r w:rsidRPr="006D42F7">
        <w:rPr>
          <w:i/>
        </w:rPr>
        <w:t>Effectiveness of Knowledge Sharing</w:t>
      </w:r>
      <w:r w:rsidRPr="00F76706">
        <w:t>:</w:t>
      </w:r>
      <w:r w:rsidR="005E1EE9" w:rsidRPr="00F76706">
        <w:t xml:space="preserve"> </w:t>
      </w:r>
      <w:r w:rsidRPr="00F76706">
        <w:t>Adaption of international standards, lessons learned and best practices from other similar programmes proved to be extremely useful for the case of Nepal.</w:t>
      </w:r>
      <w:r w:rsidR="00F76706">
        <w:t xml:space="preserve"> This included for example p</w:t>
      </w:r>
      <w:r w:rsidR="00F76706" w:rsidRPr="00F76706">
        <w:t>arity in terms of assistance support to ex-combatants across the different training and support packages</w:t>
      </w:r>
      <w:r w:rsidR="00F76706">
        <w:t>; p</w:t>
      </w:r>
      <w:r w:rsidR="00F76706" w:rsidRPr="00F76706">
        <w:t>roviding material support and not cash to verified minors (child soldiers</w:t>
      </w:r>
      <w:r w:rsidR="00F76706">
        <w:t xml:space="preserve"> in other countries</w:t>
      </w:r>
      <w:r w:rsidR="00F76706" w:rsidRPr="00F76706">
        <w:t>)</w:t>
      </w:r>
      <w:r w:rsidR="00F76706">
        <w:t>; e</w:t>
      </w:r>
      <w:r w:rsidR="00F76706" w:rsidRPr="00F76706">
        <w:t>qual support to both men and women and ensure women have access and control over their support.</w:t>
      </w:r>
    </w:p>
    <w:p w14:paraId="3EA986C8" w14:textId="78AC7D2E" w:rsidR="001C4919" w:rsidRPr="00ED37CF" w:rsidRDefault="00B02AB1" w:rsidP="006D42F7">
      <w:r w:rsidRPr="00ED37CF">
        <w:t>UNIRP</w:t>
      </w:r>
      <w:r w:rsidR="001C4919" w:rsidRPr="00ED37CF">
        <w:t xml:space="preserve"> compiled a set of four Knowledge Documents that also summarize</w:t>
      </w:r>
      <w:r w:rsidRPr="00ED37CF">
        <w:t>d</w:t>
      </w:r>
      <w:r w:rsidR="001C4919" w:rsidRPr="00ED37CF">
        <w:t xml:space="preserve"> the key lessons learned and best practices of four major areas of the programme, including topics on the UN “Working as One” approach, psychosocial support, gender support and conflict sensitivity.</w:t>
      </w:r>
    </w:p>
    <w:p w14:paraId="1B1449BA" w14:textId="77777777" w:rsidR="000754AB" w:rsidRDefault="000754AB" w:rsidP="000754AB"/>
    <w:p w14:paraId="3CE5D545" w14:textId="77777777" w:rsidR="00F76706" w:rsidRDefault="00F76706" w:rsidP="000754AB">
      <w:pPr>
        <w:sectPr w:rsidR="00F76706" w:rsidSect="00F76706">
          <w:pgSz w:w="11909" w:h="16834" w:code="9"/>
          <w:pgMar w:top="1080" w:right="1080" w:bottom="1080" w:left="1440" w:header="720" w:footer="720" w:gutter="0"/>
          <w:cols w:space="720"/>
          <w:docGrid w:linePitch="360"/>
        </w:sectPr>
      </w:pPr>
    </w:p>
    <w:p w14:paraId="0CCCD5AE" w14:textId="27247694" w:rsidR="00744F03" w:rsidRDefault="00744F03" w:rsidP="000754AB"/>
    <w:p w14:paraId="5600C4E4" w14:textId="77777777" w:rsidR="005356A9" w:rsidRPr="00ED37CF" w:rsidRDefault="005356A9" w:rsidP="003F3798">
      <w:pPr>
        <w:pStyle w:val="Heading2"/>
      </w:pPr>
      <w:bookmarkStart w:id="106" w:name="_Toc393116678"/>
      <w:bookmarkStart w:id="107" w:name="_Toc393117844"/>
      <w:bookmarkStart w:id="108" w:name="_Toc393373743"/>
      <w:r w:rsidRPr="00ED37CF">
        <w:t>Indicator Based Performance Assessment</w:t>
      </w:r>
      <w:bookmarkEnd w:id="106"/>
      <w:bookmarkEnd w:id="107"/>
      <w:bookmarkEnd w:id="108"/>
    </w:p>
    <w:p w14:paraId="768E4720" w14:textId="77777777" w:rsidR="005356A9" w:rsidRDefault="005356A9" w:rsidP="003F3798"/>
    <w:p w14:paraId="4B4B90D5" w14:textId="77777777" w:rsidR="005356A9" w:rsidRPr="00ED37CF" w:rsidRDefault="005356A9" w:rsidP="003F3798">
      <w:r>
        <w:t>Outcome 1:</w:t>
      </w:r>
      <w:r w:rsidRPr="00ED37CF">
        <w:rPr>
          <w:rFonts w:eastAsia="Calibri"/>
        </w:rPr>
        <w:t xml:space="preserve"> </w:t>
      </w:r>
      <w:r w:rsidRPr="00ED37CF">
        <w:t>VMLR were supported in their socio-economic rehabilitation</w:t>
      </w:r>
      <w:r>
        <w:t xml:space="preserve"> </w:t>
      </w:r>
      <w:r w:rsidRPr="00ED37CF">
        <w:t>through individual rehabilitation option packages.</w:t>
      </w:r>
    </w:p>
    <w:p w14:paraId="2D001F1C" w14:textId="77777777" w:rsidR="005356A9" w:rsidRPr="00ED37CF" w:rsidRDefault="005356A9" w:rsidP="005356A9">
      <w:r w:rsidRPr="00ED37CF">
        <w:t>There was no baseline information and no information on how many VMLR would participate in the programme because rehabilitation was offered on a voluntary basis. Based on this, it was impossible to reach 100% participation from VMLR.</w:t>
      </w:r>
    </w:p>
    <w:tbl>
      <w:tblPr>
        <w:tblW w:w="14760" w:type="dxa"/>
        <w:tblInd w:w="-72" w:type="dxa"/>
        <w:tblBorders>
          <w:top w:val="single" w:sz="4" w:space="0" w:color="auto"/>
          <w:bottom w:val="single" w:sz="4" w:space="0" w:color="auto"/>
          <w:insideH w:val="single" w:sz="4" w:space="0" w:color="auto"/>
          <w:insideV w:val="single" w:sz="4" w:space="0" w:color="auto"/>
        </w:tblBorders>
        <w:tblLayout w:type="fixed"/>
        <w:tblLook w:val="01C0" w:firstRow="0" w:lastRow="1" w:firstColumn="1" w:lastColumn="1" w:noHBand="0" w:noVBand="0"/>
      </w:tblPr>
      <w:tblGrid>
        <w:gridCol w:w="1440"/>
        <w:gridCol w:w="2284"/>
        <w:gridCol w:w="2268"/>
        <w:gridCol w:w="2410"/>
        <w:gridCol w:w="2268"/>
        <w:gridCol w:w="4090"/>
      </w:tblGrid>
      <w:tr w:rsidR="005356A9" w:rsidRPr="00ED37CF" w14:paraId="22574F6C" w14:textId="77777777" w:rsidTr="003F3798">
        <w:trPr>
          <w:trHeight w:val="567"/>
        </w:trPr>
        <w:tc>
          <w:tcPr>
            <w:tcW w:w="14760" w:type="dxa"/>
            <w:gridSpan w:val="6"/>
            <w:tcBorders>
              <w:left w:val="single" w:sz="4" w:space="0" w:color="auto"/>
              <w:bottom w:val="single" w:sz="4" w:space="0" w:color="auto"/>
              <w:right w:val="single" w:sz="8" w:space="0" w:color="000000"/>
            </w:tcBorders>
            <w:shd w:val="clear" w:color="auto" w:fill="F2F2F2"/>
            <w:vAlign w:val="center"/>
          </w:tcPr>
          <w:p w14:paraId="3A7129A4" w14:textId="77777777" w:rsidR="005356A9" w:rsidRPr="00ED37CF" w:rsidRDefault="005356A9" w:rsidP="003F3798">
            <w:pPr>
              <w:suppressAutoHyphens/>
              <w:rPr>
                <w:rFonts w:cs="Arial"/>
                <w:b/>
                <w:sz w:val="20"/>
                <w:szCs w:val="20"/>
              </w:rPr>
            </w:pPr>
            <w:bookmarkStart w:id="109" w:name="_Toc389486855"/>
            <w:bookmarkStart w:id="110" w:name="_Toc393116679"/>
            <w:bookmarkStart w:id="111" w:name="_Toc393117845"/>
            <w:bookmarkStart w:id="112" w:name="_Toc393373744"/>
            <w:r w:rsidRPr="00ED37CF">
              <w:rPr>
                <w:rFonts w:cs="Arial"/>
                <w:b/>
                <w:sz w:val="20"/>
                <w:szCs w:val="20"/>
              </w:rPr>
              <w:t>PRIORITY CLUSTER A. Cantonment/Reintegration</w:t>
            </w:r>
          </w:p>
        </w:tc>
      </w:tr>
      <w:tr w:rsidR="005356A9" w:rsidRPr="00ED37CF" w14:paraId="3B95F042" w14:textId="77777777" w:rsidTr="003F3798">
        <w:trPr>
          <w:trHeight w:val="702"/>
        </w:trPr>
        <w:tc>
          <w:tcPr>
            <w:tcW w:w="1440" w:type="dxa"/>
            <w:tcBorders>
              <w:left w:val="single" w:sz="4" w:space="0" w:color="auto"/>
              <w:bottom w:val="single" w:sz="4" w:space="0" w:color="auto"/>
            </w:tcBorders>
            <w:shd w:val="clear" w:color="auto" w:fill="BFBFBF"/>
            <w:vAlign w:val="center"/>
          </w:tcPr>
          <w:p w14:paraId="0A8EA9B8" w14:textId="77777777" w:rsidR="005356A9" w:rsidRPr="00ED37CF" w:rsidRDefault="005356A9" w:rsidP="003F3798">
            <w:pPr>
              <w:suppressAutoHyphens/>
              <w:jc w:val="center"/>
              <w:rPr>
                <w:rFonts w:cs="Arial"/>
                <w:b/>
                <w:sz w:val="20"/>
                <w:szCs w:val="20"/>
                <w:lang w:eastAsia="ja-JP"/>
              </w:rPr>
            </w:pPr>
            <w:commentRangeStart w:id="113"/>
            <w:commentRangeStart w:id="114"/>
            <w:commentRangeStart w:id="115"/>
            <w:r w:rsidRPr="00ED37CF">
              <w:rPr>
                <w:rFonts w:cs="Arial"/>
                <w:b/>
                <w:sz w:val="20"/>
                <w:szCs w:val="20"/>
              </w:rPr>
              <w:t xml:space="preserve">Strategic </w:t>
            </w:r>
            <w:r>
              <w:rPr>
                <w:rFonts w:cs="Arial"/>
                <w:b/>
                <w:sz w:val="20"/>
                <w:szCs w:val="20"/>
              </w:rPr>
              <w:t>Result</w:t>
            </w:r>
            <w:commentRangeEnd w:id="113"/>
            <w:r>
              <w:rPr>
                <w:rStyle w:val="CommentReference"/>
                <w:rFonts w:ascii="Calibri" w:eastAsia="Times New Roman" w:hAnsi="Calibri" w:cs="Mangal"/>
              </w:rPr>
              <w:commentReference w:id="113"/>
            </w:r>
            <w:commentRangeEnd w:id="114"/>
            <w:commentRangeEnd w:id="115"/>
            <w:r w:rsidR="006E3EBA">
              <w:rPr>
                <w:rStyle w:val="CommentReference"/>
                <w:rFonts w:ascii="Calibri" w:eastAsia="Times New Roman" w:hAnsi="Calibri" w:cs="Mangal"/>
              </w:rPr>
              <w:commentReference w:id="114"/>
            </w:r>
            <w:r>
              <w:rPr>
                <w:rStyle w:val="CommentReference"/>
                <w:rFonts w:ascii="Calibri" w:eastAsia="Times New Roman" w:hAnsi="Calibri" w:cs="Mangal"/>
              </w:rPr>
              <w:commentReference w:id="115"/>
            </w:r>
          </w:p>
        </w:tc>
        <w:tc>
          <w:tcPr>
            <w:tcW w:w="2284" w:type="dxa"/>
            <w:tcBorders>
              <w:bottom w:val="single" w:sz="4" w:space="0" w:color="auto"/>
            </w:tcBorders>
            <w:shd w:val="clear" w:color="auto" w:fill="BFBFBF"/>
            <w:vAlign w:val="center"/>
          </w:tcPr>
          <w:p w14:paraId="1E11B643" w14:textId="77777777" w:rsidR="005356A9" w:rsidRPr="00ED37CF" w:rsidRDefault="005356A9" w:rsidP="003F3798">
            <w:pPr>
              <w:suppressAutoHyphens/>
              <w:jc w:val="center"/>
              <w:rPr>
                <w:rFonts w:cs="Arial"/>
                <w:b/>
                <w:sz w:val="20"/>
                <w:szCs w:val="20"/>
              </w:rPr>
            </w:pPr>
            <w:r w:rsidRPr="00ED37CF">
              <w:rPr>
                <w:rFonts w:cs="Arial"/>
                <w:b/>
                <w:sz w:val="20"/>
                <w:szCs w:val="20"/>
              </w:rPr>
              <w:t>Contributing Outputs</w:t>
            </w:r>
          </w:p>
        </w:tc>
        <w:tc>
          <w:tcPr>
            <w:tcW w:w="2268" w:type="dxa"/>
            <w:tcBorders>
              <w:bottom w:val="single" w:sz="4" w:space="0" w:color="auto"/>
            </w:tcBorders>
            <w:shd w:val="clear" w:color="auto" w:fill="BFBFBF"/>
            <w:vAlign w:val="center"/>
          </w:tcPr>
          <w:p w14:paraId="2889E795" w14:textId="77777777" w:rsidR="005356A9" w:rsidRPr="00ED37CF" w:rsidRDefault="005356A9" w:rsidP="003F3798">
            <w:pPr>
              <w:suppressAutoHyphens/>
              <w:jc w:val="center"/>
              <w:rPr>
                <w:rFonts w:cs="Arial"/>
                <w:b/>
                <w:sz w:val="20"/>
                <w:szCs w:val="20"/>
              </w:rPr>
            </w:pPr>
            <w:r w:rsidRPr="00ED37CF">
              <w:rPr>
                <w:rFonts w:cs="Arial"/>
                <w:b/>
                <w:sz w:val="20"/>
                <w:szCs w:val="20"/>
              </w:rPr>
              <w:t>Verifiable Indicators</w:t>
            </w:r>
          </w:p>
        </w:tc>
        <w:tc>
          <w:tcPr>
            <w:tcW w:w="2410" w:type="dxa"/>
            <w:tcBorders>
              <w:bottom w:val="single" w:sz="4" w:space="0" w:color="auto"/>
            </w:tcBorders>
            <w:shd w:val="clear" w:color="auto" w:fill="BFBFBF"/>
            <w:vAlign w:val="center"/>
          </w:tcPr>
          <w:p w14:paraId="4D85FE4B" w14:textId="77777777" w:rsidR="005356A9" w:rsidRPr="00ED37CF" w:rsidRDefault="005356A9" w:rsidP="003F3798">
            <w:pPr>
              <w:suppressAutoHyphens/>
              <w:ind w:left="131" w:hanging="131"/>
              <w:jc w:val="center"/>
              <w:rPr>
                <w:rFonts w:cs="Arial"/>
                <w:b/>
                <w:sz w:val="20"/>
                <w:szCs w:val="20"/>
              </w:rPr>
            </w:pPr>
            <w:r w:rsidRPr="00ED37CF">
              <w:rPr>
                <w:rFonts w:cs="Arial"/>
                <w:b/>
                <w:sz w:val="20"/>
                <w:szCs w:val="20"/>
              </w:rPr>
              <w:t>Baseline (by year)</w:t>
            </w:r>
          </w:p>
        </w:tc>
        <w:tc>
          <w:tcPr>
            <w:tcW w:w="2268" w:type="dxa"/>
            <w:tcBorders>
              <w:bottom w:val="single" w:sz="4" w:space="0" w:color="auto"/>
            </w:tcBorders>
            <w:shd w:val="clear" w:color="auto" w:fill="BFBFBF"/>
            <w:vAlign w:val="center"/>
          </w:tcPr>
          <w:p w14:paraId="287961CF" w14:textId="77777777" w:rsidR="005356A9" w:rsidRPr="00ED37CF" w:rsidRDefault="005356A9" w:rsidP="003F3798">
            <w:pPr>
              <w:suppressAutoHyphens/>
              <w:ind w:left="131" w:hanging="131"/>
              <w:jc w:val="center"/>
              <w:rPr>
                <w:rFonts w:cs="Arial"/>
                <w:b/>
                <w:sz w:val="20"/>
                <w:szCs w:val="20"/>
              </w:rPr>
            </w:pPr>
            <w:r w:rsidRPr="00ED37CF">
              <w:rPr>
                <w:rFonts w:cs="Arial"/>
                <w:b/>
                <w:sz w:val="20"/>
                <w:szCs w:val="20"/>
              </w:rPr>
              <w:t>Milestones and Target (by year)</w:t>
            </w:r>
          </w:p>
        </w:tc>
        <w:tc>
          <w:tcPr>
            <w:tcW w:w="4090" w:type="dxa"/>
            <w:tcBorders>
              <w:bottom w:val="single" w:sz="4" w:space="0" w:color="auto"/>
              <w:right w:val="single" w:sz="8" w:space="0" w:color="000000"/>
            </w:tcBorders>
            <w:shd w:val="clear" w:color="auto" w:fill="BFBFBF"/>
            <w:vAlign w:val="center"/>
          </w:tcPr>
          <w:p w14:paraId="53A9FE84" w14:textId="77777777" w:rsidR="005356A9" w:rsidRPr="00ED37CF" w:rsidRDefault="005356A9" w:rsidP="003F3798">
            <w:pPr>
              <w:suppressAutoHyphens/>
              <w:ind w:left="131" w:hanging="131"/>
              <w:jc w:val="center"/>
              <w:rPr>
                <w:rFonts w:cs="Arial"/>
                <w:b/>
                <w:sz w:val="20"/>
                <w:szCs w:val="20"/>
              </w:rPr>
            </w:pPr>
            <w:r w:rsidRPr="00ED37CF">
              <w:rPr>
                <w:rFonts w:cs="Arial"/>
                <w:b/>
                <w:sz w:val="20"/>
                <w:szCs w:val="20"/>
              </w:rPr>
              <w:t>Current / Final Status</w:t>
            </w:r>
          </w:p>
        </w:tc>
      </w:tr>
      <w:tr w:rsidR="005356A9" w:rsidRPr="00ED37CF" w14:paraId="5C8AB536" w14:textId="77777777" w:rsidTr="003F3798">
        <w:trPr>
          <w:trHeight w:val="980"/>
        </w:trPr>
        <w:tc>
          <w:tcPr>
            <w:tcW w:w="1440" w:type="dxa"/>
            <w:vMerge w:val="restart"/>
            <w:tcBorders>
              <w:top w:val="single" w:sz="4" w:space="0" w:color="auto"/>
              <w:left w:val="single" w:sz="4" w:space="0" w:color="auto"/>
              <w:right w:val="single" w:sz="4" w:space="0" w:color="auto"/>
            </w:tcBorders>
            <w:shd w:val="clear" w:color="auto" w:fill="auto"/>
          </w:tcPr>
          <w:p w14:paraId="022EF9CF" w14:textId="77777777" w:rsidR="005356A9" w:rsidRPr="00ED37CF" w:rsidRDefault="005356A9" w:rsidP="003F3798">
            <w:pPr>
              <w:rPr>
                <w:rFonts w:cs="Arial"/>
                <w:b/>
                <w:i/>
                <w:sz w:val="20"/>
                <w:szCs w:val="20"/>
              </w:rPr>
            </w:pPr>
            <w:r w:rsidRPr="00ED37CF">
              <w:rPr>
                <w:rFonts w:cs="Arial"/>
                <w:b/>
                <w:i/>
                <w:sz w:val="20"/>
                <w:szCs w:val="20"/>
              </w:rPr>
              <w:t xml:space="preserve">The Government of Nepal and Maoist Army had the capacity to meet the CPA and AMMAA commitments for the cantonment, </w:t>
            </w:r>
            <w:r w:rsidRPr="00ED37CF">
              <w:rPr>
                <w:rFonts w:cs="Arial"/>
                <w:b/>
                <w:i/>
                <w:spacing w:val="-3"/>
                <w:sz w:val="20"/>
                <w:szCs w:val="20"/>
              </w:rPr>
              <w:t>discharge, integration and rehabilitation of the Maoist army</w:t>
            </w:r>
          </w:p>
        </w:tc>
        <w:tc>
          <w:tcPr>
            <w:tcW w:w="2284" w:type="dxa"/>
            <w:vMerge w:val="restart"/>
            <w:tcBorders>
              <w:top w:val="single" w:sz="4" w:space="0" w:color="auto"/>
              <w:left w:val="single" w:sz="4" w:space="0" w:color="auto"/>
              <w:right w:val="single" w:sz="4" w:space="0" w:color="auto"/>
            </w:tcBorders>
            <w:shd w:val="clear" w:color="auto" w:fill="auto"/>
          </w:tcPr>
          <w:p w14:paraId="5F3227E7" w14:textId="77777777" w:rsidR="005356A9" w:rsidRPr="00ED37CF" w:rsidRDefault="005356A9" w:rsidP="003F3798">
            <w:pPr>
              <w:suppressAutoHyphens/>
              <w:rPr>
                <w:rFonts w:cs="Arial"/>
                <w:spacing w:val="-2"/>
                <w:sz w:val="20"/>
                <w:szCs w:val="20"/>
              </w:rPr>
            </w:pPr>
            <w:r w:rsidRPr="00ED37CF">
              <w:rPr>
                <w:rFonts w:cs="Arial"/>
                <w:sz w:val="20"/>
                <w:szCs w:val="20"/>
              </w:rPr>
              <w:t>A strategy was implemented to facilitate the Maoist army discharge and provide rehabilitation assistance</w:t>
            </w:r>
          </w:p>
          <w:p w14:paraId="2231C17B" w14:textId="77777777" w:rsidR="005356A9" w:rsidRPr="00ED37CF" w:rsidRDefault="005356A9" w:rsidP="003F3798">
            <w:pPr>
              <w:pStyle w:val="ListParagraph"/>
              <w:ind w:left="0"/>
              <w:rPr>
                <w:rFonts w:cs="Arial"/>
                <w:sz w:val="20"/>
                <w:szCs w:val="20"/>
              </w:rPr>
            </w:pPr>
          </w:p>
          <w:p w14:paraId="69D86020" w14:textId="77777777" w:rsidR="005356A9" w:rsidRPr="00ED37CF" w:rsidRDefault="005356A9" w:rsidP="003F3798">
            <w:pPr>
              <w:pStyle w:val="ListParagraph"/>
              <w:ind w:left="0"/>
              <w:rPr>
                <w:rFonts w:cs="Arial"/>
                <w:sz w:val="20"/>
                <w:szCs w:val="20"/>
              </w:rPr>
            </w:pPr>
            <w:r w:rsidRPr="00ED37CF">
              <w:rPr>
                <w:rFonts w:cs="Arial"/>
                <w:sz w:val="20"/>
                <w:szCs w:val="20"/>
              </w:rPr>
              <w:t>Orderly discharge of VMLR from Maoist army cantonments in line with the AMMAA</w:t>
            </w:r>
          </w:p>
          <w:p w14:paraId="2CECA0AA" w14:textId="77777777" w:rsidR="005356A9" w:rsidRPr="00ED37CF" w:rsidRDefault="005356A9" w:rsidP="003F3798">
            <w:pPr>
              <w:pStyle w:val="ListParagraph"/>
              <w:ind w:left="0"/>
              <w:rPr>
                <w:rFonts w:cs="Arial"/>
                <w:sz w:val="20"/>
                <w:szCs w:val="20"/>
              </w:rPr>
            </w:pPr>
          </w:p>
          <w:p w14:paraId="0CDC68F6" w14:textId="77777777" w:rsidR="005356A9" w:rsidRPr="00ED37CF" w:rsidRDefault="005356A9" w:rsidP="003F3798">
            <w:pPr>
              <w:pStyle w:val="ListParagraph"/>
              <w:ind w:left="0"/>
              <w:rPr>
                <w:rFonts w:cs="Arial"/>
                <w:sz w:val="20"/>
                <w:szCs w:val="20"/>
              </w:rPr>
            </w:pPr>
            <w:r w:rsidRPr="00ED37CF">
              <w:rPr>
                <w:rFonts w:cs="Arial"/>
                <w:sz w:val="20"/>
                <w:szCs w:val="20"/>
              </w:rPr>
              <w:t xml:space="preserve">VMLR were supported in their socio-economic rehabilitation and reintegrated into civilian communities with </w:t>
            </w:r>
            <w:r w:rsidRPr="00ED37CF">
              <w:rPr>
                <w:rFonts w:cs="Arial"/>
                <w:sz w:val="20"/>
                <w:szCs w:val="20"/>
              </w:rPr>
              <w:lastRenderedPageBreak/>
              <w:t>suitable livelihood options consistent with inline established global standards</w:t>
            </w:r>
          </w:p>
          <w:p w14:paraId="7EB3589D" w14:textId="77777777" w:rsidR="005356A9" w:rsidRPr="00ED37CF" w:rsidRDefault="005356A9" w:rsidP="003F3798">
            <w:pPr>
              <w:pStyle w:val="ListParagraph"/>
              <w:ind w:left="0"/>
              <w:rPr>
                <w:rFonts w:cs="Arial"/>
                <w:sz w:val="20"/>
                <w:szCs w:val="20"/>
              </w:rPr>
            </w:pPr>
          </w:p>
          <w:p w14:paraId="415B8887" w14:textId="77777777" w:rsidR="005356A9" w:rsidRPr="00ED37CF" w:rsidRDefault="005356A9" w:rsidP="003F3798">
            <w:pPr>
              <w:pStyle w:val="ListParagraph"/>
              <w:ind w:left="0"/>
              <w:rPr>
                <w:rFonts w:cs="Arial"/>
                <w:sz w:val="20"/>
                <w:szCs w:val="20"/>
              </w:rPr>
            </w:pPr>
            <w:r w:rsidRPr="00ED37CF">
              <w:rPr>
                <w:rFonts w:cs="Arial"/>
                <w:sz w:val="20"/>
                <w:szCs w:val="20"/>
              </w:rPr>
              <w:t>Communities engaged in supporting the rehabilitation of VMLR participants</w:t>
            </w:r>
          </w:p>
          <w:p w14:paraId="6F9188DE" w14:textId="77777777" w:rsidR="005356A9" w:rsidRPr="00ED37CF" w:rsidRDefault="005356A9" w:rsidP="003F3798">
            <w:pPr>
              <w:pStyle w:val="ListParagraph"/>
              <w:ind w:left="0"/>
              <w:rPr>
                <w:rFonts w:cs="Arial"/>
                <w:spacing w:val="-3"/>
                <w:sz w:val="20"/>
                <w:szCs w:val="20"/>
              </w:rPr>
            </w:pPr>
          </w:p>
          <w:p w14:paraId="3D3CA715" w14:textId="77777777" w:rsidR="005356A9" w:rsidRPr="00ED37CF" w:rsidRDefault="005356A9" w:rsidP="003F3798">
            <w:pPr>
              <w:pStyle w:val="ListParagraph"/>
              <w:ind w:left="0"/>
              <w:rPr>
                <w:rFonts w:cs="Arial"/>
                <w:spacing w:val="-3"/>
                <w:sz w:val="20"/>
                <w:szCs w:val="20"/>
              </w:rPr>
            </w:pPr>
          </w:p>
          <w:p w14:paraId="5AE2A2D3" w14:textId="77777777" w:rsidR="005356A9" w:rsidRPr="00ED37CF" w:rsidRDefault="005356A9" w:rsidP="003F3798">
            <w:pPr>
              <w:pStyle w:val="ListParagraph"/>
              <w:ind w:left="0"/>
              <w:rPr>
                <w:rFonts w:cs="Arial"/>
                <w:spacing w:val="-3"/>
                <w:sz w:val="20"/>
                <w:szCs w:val="20"/>
              </w:rPr>
            </w:pPr>
          </w:p>
          <w:p w14:paraId="438D5C75" w14:textId="77777777" w:rsidR="005356A9" w:rsidRPr="00ED37CF" w:rsidRDefault="005356A9" w:rsidP="003F3798">
            <w:pPr>
              <w:pStyle w:val="ListParagraph"/>
              <w:ind w:left="0"/>
              <w:rPr>
                <w:rFonts w:cs="Arial"/>
                <w:sz w:val="20"/>
                <w:szCs w:val="20"/>
              </w:rPr>
            </w:pPr>
            <w:r w:rsidRPr="00ED37CF">
              <w:rPr>
                <w:rFonts w:cs="Arial"/>
                <w:spacing w:val="-3"/>
                <w:sz w:val="20"/>
                <w:szCs w:val="20"/>
              </w:rPr>
              <w:t xml:space="preserve">The UN was a strategic partner to the GoN that played a key role in </w:t>
            </w:r>
            <w:r w:rsidRPr="00ED37CF">
              <w:rPr>
                <w:rFonts w:cs="Arial"/>
                <w:sz w:val="20"/>
                <w:szCs w:val="20"/>
              </w:rPr>
              <w:t>providing rapid response to cantonment management, registration &amp; verification, discharge &amp; rehabilitation of Maoist Army Personnel</w:t>
            </w:r>
          </w:p>
        </w:tc>
        <w:tc>
          <w:tcPr>
            <w:tcW w:w="2268" w:type="dxa"/>
          </w:tcPr>
          <w:p w14:paraId="2120CC3F" w14:textId="08240735" w:rsidR="005356A9" w:rsidRPr="003F3798" w:rsidRDefault="005356A9" w:rsidP="003F3798">
            <w:pPr>
              <w:pStyle w:val="ListParagraph"/>
              <w:numPr>
                <w:ilvl w:val="1"/>
                <w:numId w:val="37"/>
              </w:numPr>
              <w:spacing w:line="276" w:lineRule="auto"/>
              <w:jc w:val="left"/>
              <w:rPr>
                <w:rFonts w:cs="Arial"/>
                <w:sz w:val="20"/>
                <w:szCs w:val="20"/>
              </w:rPr>
            </w:pPr>
            <w:r w:rsidRPr="003F3798">
              <w:rPr>
                <w:rFonts w:cs="Arial"/>
                <w:sz w:val="20"/>
                <w:szCs w:val="20"/>
              </w:rPr>
              <w:lastRenderedPageBreak/>
              <w:t>% of VMLR successfully discharged with UN support</w:t>
            </w:r>
          </w:p>
        </w:tc>
        <w:tc>
          <w:tcPr>
            <w:tcW w:w="2410" w:type="dxa"/>
          </w:tcPr>
          <w:p w14:paraId="02485B44" w14:textId="154D86D9" w:rsidR="005356A9" w:rsidRPr="003F3798" w:rsidRDefault="005356A9" w:rsidP="003F3798">
            <w:pPr>
              <w:pStyle w:val="ListParagraph"/>
              <w:numPr>
                <w:ilvl w:val="1"/>
                <w:numId w:val="38"/>
              </w:numPr>
              <w:spacing w:line="276" w:lineRule="auto"/>
              <w:jc w:val="left"/>
              <w:rPr>
                <w:rFonts w:cs="Arial"/>
                <w:sz w:val="20"/>
                <w:szCs w:val="20"/>
              </w:rPr>
            </w:pPr>
            <w:r w:rsidRPr="003F3798">
              <w:rPr>
                <w:rFonts w:cs="Arial"/>
                <w:sz w:val="20"/>
                <w:szCs w:val="20"/>
              </w:rPr>
              <w:t>0 out of 4,008 registered VMLR in Dec 2007</w:t>
            </w:r>
          </w:p>
        </w:tc>
        <w:tc>
          <w:tcPr>
            <w:tcW w:w="2268" w:type="dxa"/>
          </w:tcPr>
          <w:p w14:paraId="2CE1F308" w14:textId="6962218F" w:rsidR="005356A9" w:rsidRPr="003F3798" w:rsidRDefault="005356A9" w:rsidP="003F3798">
            <w:pPr>
              <w:pStyle w:val="ListParagraph"/>
              <w:numPr>
                <w:ilvl w:val="1"/>
                <w:numId w:val="39"/>
              </w:numPr>
              <w:spacing w:line="276" w:lineRule="auto"/>
              <w:jc w:val="left"/>
              <w:rPr>
                <w:rFonts w:cs="Arial"/>
                <w:sz w:val="20"/>
                <w:szCs w:val="20"/>
              </w:rPr>
            </w:pPr>
            <w:r w:rsidRPr="003F3798">
              <w:rPr>
                <w:rFonts w:cs="Arial"/>
                <w:sz w:val="20"/>
                <w:szCs w:val="20"/>
              </w:rPr>
              <w:t>4,008 of VMLR registered and discharged by 23 March 2010</w:t>
            </w:r>
          </w:p>
        </w:tc>
        <w:tc>
          <w:tcPr>
            <w:tcW w:w="4090" w:type="dxa"/>
            <w:tcBorders>
              <w:right w:val="single" w:sz="8" w:space="0" w:color="000000"/>
            </w:tcBorders>
          </w:tcPr>
          <w:p w14:paraId="73353DA4" w14:textId="674EC0C5" w:rsidR="005356A9" w:rsidRPr="003F3798" w:rsidRDefault="005356A9" w:rsidP="003F3798">
            <w:pPr>
              <w:pStyle w:val="ListParagraph"/>
              <w:numPr>
                <w:ilvl w:val="1"/>
                <w:numId w:val="40"/>
              </w:numPr>
              <w:spacing w:line="276" w:lineRule="auto"/>
              <w:jc w:val="left"/>
              <w:rPr>
                <w:rFonts w:cs="Arial"/>
                <w:sz w:val="20"/>
                <w:szCs w:val="20"/>
              </w:rPr>
            </w:pPr>
            <w:r w:rsidRPr="003F3798">
              <w:rPr>
                <w:rFonts w:cs="Arial"/>
                <w:sz w:val="20"/>
                <w:szCs w:val="20"/>
              </w:rPr>
              <w:t>The discharge process began on 8</w:t>
            </w:r>
            <w:r w:rsidRPr="003F3798">
              <w:rPr>
                <w:rFonts w:cs="Arial"/>
                <w:sz w:val="20"/>
                <w:szCs w:val="20"/>
                <w:vertAlign w:val="superscript"/>
              </w:rPr>
              <w:t>th</w:t>
            </w:r>
            <w:r w:rsidRPr="003F3798">
              <w:rPr>
                <w:rFonts w:cs="Arial"/>
                <w:sz w:val="20"/>
                <w:szCs w:val="20"/>
              </w:rPr>
              <w:t xml:space="preserve"> Jan 2010 and completed on 23</w:t>
            </w:r>
            <w:r w:rsidRPr="003F3798">
              <w:rPr>
                <w:rFonts w:cs="Arial"/>
                <w:sz w:val="20"/>
                <w:szCs w:val="20"/>
                <w:vertAlign w:val="superscript"/>
              </w:rPr>
              <w:t>rd</w:t>
            </w:r>
            <w:r w:rsidRPr="003F3798">
              <w:rPr>
                <w:rFonts w:cs="Arial"/>
                <w:sz w:val="20"/>
                <w:szCs w:val="20"/>
              </w:rPr>
              <w:t xml:space="preserve"> March 2010</w:t>
            </w:r>
          </w:p>
        </w:tc>
      </w:tr>
      <w:tr w:rsidR="005356A9" w:rsidRPr="00ED37CF" w14:paraId="6D75949F" w14:textId="77777777" w:rsidTr="003F3798">
        <w:trPr>
          <w:trHeight w:val="980"/>
        </w:trPr>
        <w:tc>
          <w:tcPr>
            <w:tcW w:w="1440" w:type="dxa"/>
            <w:vMerge/>
            <w:tcBorders>
              <w:left w:val="single" w:sz="4" w:space="0" w:color="auto"/>
              <w:right w:val="single" w:sz="4" w:space="0" w:color="auto"/>
            </w:tcBorders>
            <w:shd w:val="clear" w:color="auto" w:fill="auto"/>
          </w:tcPr>
          <w:p w14:paraId="5056C364" w14:textId="77777777" w:rsidR="005356A9" w:rsidRPr="00ED37CF" w:rsidRDefault="005356A9" w:rsidP="003F3798">
            <w:pPr>
              <w:pStyle w:val="ListParagraph"/>
              <w:numPr>
                <w:ilvl w:val="0"/>
                <w:numId w:val="4"/>
              </w:numPr>
              <w:spacing w:line="276" w:lineRule="auto"/>
              <w:jc w:val="left"/>
              <w:rPr>
                <w:rFonts w:cs="Arial"/>
                <w:b/>
                <w:i/>
                <w:sz w:val="20"/>
                <w:szCs w:val="20"/>
              </w:rPr>
            </w:pPr>
          </w:p>
        </w:tc>
        <w:tc>
          <w:tcPr>
            <w:tcW w:w="2284" w:type="dxa"/>
            <w:vMerge/>
            <w:tcBorders>
              <w:left w:val="single" w:sz="4" w:space="0" w:color="auto"/>
              <w:right w:val="single" w:sz="4" w:space="0" w:color="auto"/>
            </w:tcBorders>
            <w:shd w:val="clear" w:color="auto" w:fill="auto"/>
          </w:tcPr>
          <w:p w14:paraId="2B92A6F3" w14:textId="77777777" w:rsidR="005356A9" w:rsidRPr="00ED37CF" w:rsidRDefault="005356A9" w:rsidP="003F3798">
            <w:pPr>
              <w:pStyle w:val="ListParagraph"/>
              <w:ind w:left="0"/>
              <w:rPr>
                <w:rFonts w:cs="Arial"/>
                <w:spacing w:val="-3"/>
                <w:sz w:val="20"/>
                <w:szCs w:val="20"/>
              </w:rPr>
            </w:pPr>
          </w:p>
        </w:tc>
        <w:tc>
          <w:tcPr>
            <w:tcW w:w="2268" w:type="dxa"/>
          </w:tcPr>
          <w:p w14:paraId="341B8707" w14:textId="44E6C567" w:rsidR="005356A9" w:rsidRPr="003F3798" w:rsidRDefault="005356A9" w:rsidP="003F3798">
            <w:pPr>
              <w:pStyle w:val="ListParagraph"/>
              <w:numPr>
                <w:ilvl w:val="1"/>
                <w:numId w:val="40"/>
              </w:numPr>
              <w:spacing w:line="276" w:lineRule="auto"/>
              <w:jc w:val="left"/>
              <w:rPr>
                <w:rFonts w:cs="Arial"/>
                <w:sz w:val="20"/>
                <w:szCs w:val="20"/>
              </w:rPr>
            </w:pPr>
            <w:r w:rsidRPr="003F3798">
              <w:rPr>
                <w:rFonts w:cs="Arial"/>
                <w:sz w:val="20"/>
                <w:szCs w:val="20"/>
              </w:rPr>
              <w:t>A timely offer and start of the rehabilitation assistance to discharged combatants</w:t>
            </w:r>
          </w:p>
        </w:tc>
        <w:tc>
          <w:tcPr>
            <w:tcW w:w="2410" w:type="dxa"/>
          </w:tcPr>
          <w:p w14:paraId="1F17EDB6" w14:textId="2872A39A" w:rsidR="005356A9" w:rsidRPr="003F3798" w:rsidRDefault="005356A9" w:rsidP="003F3798">
            <w:pPr>
              <w:pStyle w:val="ListParagraph"/>
              <w:numPr>
                <w:ilvl w:val="1"/>
                <w:numId w:val="37"/>
              </w:numPr>
              <w:spacing w:line="276" w:lineRule="auto"/>
              <w:jc w:val="left"/>
              <w:rPr>
                <w:rFonts w:cs="Arial"/>
                <w:sz w:val="20"/>
                <w:szCs w:val="20"/>
              </w:rPr>
            </w:pPr>
            <w:r w:rsidRPr="003F3798">
              <w:rPr>
                <w:rFonts w:cs="Arial"/>
                <w:sz w:val="20"/>
                <w:szCs w:val="20"/>
              </w:rPr>
              <w:t>No rehabilitation programme (</w:t>
            </w:r>
            <w:r w:rsidRPr="003F3798">
              <w:rPr>
                <w:rFonts w:cs="Arial"/>
                <w:sz w:val="20"/>
                <w:szCs w:val="20"/>
                <w:lang w:eastAsia="ja-JP"/>
              </w:rPr>
              <w:t>D</w:t>
            </w:r>
            <w:r w:rsidRPr="003F3798">
              <w:rPr>
                <w:rFonts w:cs="Arial"/>
                <w:sz w:val="20"/>
                <w:szCs w:val="20"/>
              </w:rPr>
              <w:t>ec 07)</w:t>
            </w:r>
          </w:p>
          <w:p w14:paraId="7407349C" w14:textId="77777777" w:rsidR="005356A9" w:rsidRPr="00ED37CF" w:rsidRDefault="005356A9" w:rsidP="003F3798">
            <w:pPr>
              <w:tabs>
                <w:tab w:val="left" w:pos="871"/>
              </w:tabs>
              <w:ind w:left="290" w:hanging="360"/>
              <w:rPr>
                <w:rFonts w:cs="Arial"/>
                <w:sz w:val="20"/>
                <w:szCs w:val="20"/>
              </w:rPr>
            </w:pPr>
          </w:p>
        </w:tc>
        <w:tc>
          <w:tcPr>
            <w:tcW w:w="2268" w:type="dxa"/>
          </w:tcPr>
          <w:p w14:paraId="537A282D" w14:textId="4C3417C0" w:rsidR="005356A9" w:rsidRPr="003F3798" w:rsidRDefault="005356A9" w:rsidP="003F3798">
            <w:pPr>
              <w:pStyle w:val="ListParagraph"/>
              <w:numPr>
                <w:ilvl w:val="1"/>
                <w:numId w:val="39"/>
              </w:numPr>
              <w:spacing w:line="276" w:lineRule="auto"/>
              <w:ind w:rightChars="-45" w:right="-99"/>
              <w:jc w:val="left"/>
              <w:rPr>
                <w:rFonts w:cs="Arial"/>
                <w:sz w:val="20"/>
                <w:szCs w:val="20"/>
              </w:rPr>
            </w:pPr>
            <w:r w:rsidRPr="003F3798">
              <w:rPr>
                <w:rFonts w:cs="Arial"/>
                <w:sz w:val="20"/>
                <w:szCs w:val="20"/>
              </w:rPr>
              <w:t>Effective start date of the rehabilitation prog</w:t>
            </w:r>
            <w:r w:rsidRPr="003F3798">
              <w:rPr>
                <w:rFonts w:cs="Arial"/>
                <w:sz w:val="20"/>
                <w:szCs w:val="20"/>
                <w:lang w:eastAsia="ja-JP"/>
              </w:rPr>
              <w:t>ramme</w:t>
            </w:r>
            <w:r w:rsidRPr="003F3798">
              <w:rPr>
                <w:rFonts w:cs="Arial"/>
                <w:sz w:val="20"/>
                <w:szCs w:val="20"/>
              </w:rPr>
              <w:t xml:space="preserve"> was 08 Jan, 2010</w:t>
            </w:r>
          </w:p>
        </w:tc>
        <w:tc>
          <w:tcPr>
            <w:tcW w:w="4090" w:type="dxa"/>
            <w:tcBorders>
              <w:right w:val="single" w:sz="8" w:space="0" w:color="000000"/>
            </w:tcBorders>
          </w:tcPr>
          <w:p w14:paraId="10642895" w14:textId="1502AA72" w:rsidR="005356A9" w:rsidRPr="00FE7536" w:rsidRDefault="00FE7536" w:rsidP="00FE7536">
            <w:pPr>
              <w:spacing w:line="276" w:lineRule="auto"/>
              <w:ind w:rightChars="-45" w:right="-99"/>
              <w:jc w:val="left"/>
              <w:rPr>
                <w:rFonts w:cs="Arial"/>
                <w:sz w:val="20"/>
                <w:szCs w:val="20"/>
              </w:rPr>
            </w:pPr>
            <w:r>
              <w:rPr>
                <w:rFonts w:cs="Arial"/>
                <w:sz w:val="20"/>
                <w:szCs w:val="20"/>
              </w:rPr>
              <w:t xml:space="preserve">1.2 </w:t>
            </w:r>
            <w:r w:rsidR="005356A9" w:rsidRPr="00FE7536">
              <w:rPr>
                <w:rFonts w:cs="Arial"/>
                <w:sz w:val="20"/>
                <w:szCs w:val="20"/>
              </w:rPr>
              <w:t xml:space="preserve">Toll-free phone line as first line of contact for VMLR and five regional offices were opened on the 8 January, 2010 </w:t>
            </w:r>
            <w:r w:rsidR="005356A9" w:rsidRPr="00FE7536">
              <w:rPr>
                <w:rFonts w:cs="Arial"/>
                <w:spacing w:val="-6"/>
                <w:sz w:val="20"/>
                <w:szCs w:val="20"/>
              </w:rPr>
              <w:t xml:space="preserve">and closed in August 2011 (end of enrolment in </w:t>
            </w:r>
            <w:r w:rsidR="005356A9" w:rsidRPr="00FE7536">
              <w:rPr>
                <w:rFonts w:cs="Arial"/>
                <w:spacing w:val="-6"/>
                <w:sz w:val="20"/>
                <w:szCs w:val="20"/>
                <w:lang w:eastAsia="ja-JP"/>
              </w:rPr>
              <w:t>Sep</w:t>
            </w:r>
            <w:r w:rsidR="005356A9" w:rsidRPr="00FE7536">
              <w:rPr>
                <w:rFonts w:cs="Arial"/>
                <w:spacing w:val="-6"/>
                <w:sz w:val="20"/>
                <w:szCs w:val="20"/>
              </w:rPr>
              <w:t xml:space="preserve"> 2012)</w:t>
            </w:r>
            <w:r w:rsidR="005356A9" w:rsidRPr="00FE7536">
              <w:rPr>
                <w:rFonts w:cs="Arial"/>
                <w:sz w:val="20"/>
                <w:szCs w:val="20"/>
              </w:rPr>
              <w:t>.</w:t>
            </w:r>
          </w:p>
        </w:tc>
      </w:tr>
      <w:tr w:rsidR="005356A9" w:rsidRPr="00ED37CF" w14:paraId="7B24CDFB" w14:textId="77777777" w:rsidTr="003F3798">
        <w:trPr>
          <w:trHeight w:val="1340"/>
        </w:trPr>
        <w:tc>
          <w:tcPr>
            <w:tcW w:w="1440" w:type="dxa"/>
            <w:vMerge/>
            <w:tcBorders>
              <w:left w:val="single" w:sz="4" w:space="0" w:color="auto"/>
              <w:right w:val="single" w:sz="4" w:space="0" w:color="auto"/>
            </w:tcBorders>
            <w:shd w:val="clear" w:color="auto" w:fill="auto"/>
          </w:tcPr>
          <w:p w14:paraId="52D39651" w14:textId="77777777" w:rsidR="005356A9" w:rsidRPr="00ED37CF" w:rsidRDefault="005356A9" w:rsidP="003F3798">
            <w:pPr>
              <w:pStyle w:val="ListParagraph"/>
              <w:numPr>
                <w:ilvl w:val="0"/>
                <w:numId w:val="4"/>
              </w:numPr>
              <w:spacing w:line="276" w:lineRule="auto"/>
              <w:jc w:val="left"/>
              <w:rPr>
                <w:rFonts w:cs="Arial"/>
                <w:sz w:val="20"/>
                <w:szCs w:val="20"/>
              </w:rPr>
            </w:pPr>
          </w:p>
        </w:tc>
        <w:tc>
          <w:tcPr>
            <w:tcW w:w="2284" w:type="dxa"/>
            <w:vMerge/>
            <w:tcBorders>
              <w:left w:val="single" w:sz="4" w:space="0" w:color="auto"/>
              <w:right w:val="single" w:sz="4" w:space="0" w:color="auto"/>
            </w:tcBorders>
            <w:shd w:val="clear" w:color="auto" w:fill="auto"/>
          </w:tcPr>
          <w:p w14:paraId="1A3A7353" w14:textId="77777777" w:rsidR="005356A9" w:rsidRPr="00ED37CF" w:rsidRDefault="005356A9" w:rsidP="003F3798">
            <w:pPr>
              <w:pStyle w:val="ListParagraph"/>
              <w:ind w:left="0"/>
              <w:rPr>
                <w:rFonts w:cs="Arial"/>
                <w:spacing w:val="-3"/>
                <w:sz w:val="20"/>
                <w:szCs w:val="20"/>
              </w:rPr>
            </w:pPr>
          </w:p>
        </w:tc>
        <w:tc>
          <w:tcPr>
            <w:tcW w:w="2268" w:type="dxa"/>
          </w:tcPr>
          <w:p w14:paraId="4F66FF15" w14:textId="6FE4265D" w:rsidR="005356A9" w:rsidRPr="003F3798" w:rsidRDefault="005356A9" w:rsidP="00FE7536">
            <w:pPr>
              <w:pStyle w:val="ListParagraph"/>
              <w:numPr>
                <w:ilvl w:val="1"/>
                <w:numId w:val="39"/>
              </w:numPr>
              <w:spacing w:line="276" w:lineRule="auto"/>
              <w:jc w:val="left"/>
              <w:rPr>
                <w:rFonts w:cs="Arial"/>
                <w:sz w:val="20"/>
                <w:szCs w:val="20"/>
              </w:rPr>
            </w:pPr>
            <w:r w:rsidRPr="003F3798">
              <w:rPr>
                <w:rFonts w:cs="Arial"/>
                <w:sz w:val="20"/>
                <w:szCs w:val="20"/>
              </w:rPr>
              <w:t>% of VMLR that participated in the rehabilitation programme offered by the UN (disaggregated by gender)</w:t>
            </w:r>
          </w:p>
        </w:tc>
        <w:tc>
          <w:tcPr>
            <w:tcW w:w="2410" w:type="dxa"/>
          </w:tcPr>
          <w:p w14:paraId="3D54B0DB" w14:textId="422AAF9A" w:rsidR="005356A9" w:rsidRPr="00FE7536" w:rsidRDefault="005356A9" w:rsidP="00FE7536">
            <w:pPr>
              <w:pStyle w:val="ListParagraph"/>
              <w:numPr>
                <w:ilvl w:val="1"/>
                <w:numId w:val="37"/>
              </w:numPr>
              <w:spacing w:line="276" w:lineRule="auto"/>
              <w:jc w:val="left"/>
              <w:rPr>
                <w:rFonts w:cs="Arial"/>
                <w:sz w:val="20"/>
                <w:szCs w:val="20"/>
              </w:rPr>
            </w:pPr>
            <w:r w:rsidRPr="00FE7536">
              <w:rPr>
                <w:rFonts w:cs="Arial"/>
                <w:sz w:val="20"/>
                <w:szCs w:val="20"/>
              </w:rPr>
              <w:t>0% (2008)</w:t>
            </w:r>
          </w:p>
          <w:p w14:paraId="75118E6F" w14:textId="77777777" w:rsidR="005356A9" w:rsidRPr="00ED37CF" w:rsidRDefault="005356A9" w:rsidP="003F3798">
            <w:pPr>
              <w:rPr>
                <w:sz w:val="20"/>
              </w:rPr>
            </w:pPr>
            <w:r w:rsidRPr="00ED37CF">
              <w:rPr>
                <w:sz w:val="20"/>
              </w:rPr>
              <w:t>100% of VMLR needed rehabilitation support. 40% of the 4,008 were absent during the discharge ceremony (discharge database 2011)</w:t>
            </w:r>
          </w:p>
          <w:p w14:paraId="3D92201A" w14:textId="77777777" w:rsidR="005356A9" w:rsidRPr="00ED37CF" w:rsidRDefault="005356A9" w:rsidP="003F3798">
            <w:pPr>
              <w:rPr>
                <w:rFonts w:cs="Arial"/>
                <w:sz w:val="20"/>
                <w:szCs w:val="20"/>
              </w:rPr>
            </w:pPr>
            <w:r w:rsidRPr="00ED37CF">
              <w:rPr>
                <w:rFonts w:cs="Arial"/>
                <w:sz w:val="20"/>
                <w:szCs w:val="20"/>
              </w:rPr>
              <w:lastRenderedPageBreak/>
              <w:t>30% of the VMLR participants were women and girls (2011) % of the women combatants</w:t>
            </w:r>
          </w:p>
        </w:tc>
        <w:tc>
          <w:tcPr>
            <w:tcW w:w="2268" w:type="dxa"/>
          </w:tcPr>
          <w:p w14:paraId="29E64EF4" w14:textId="349AC38F" w:rsidR="005356A9" w:rsidRPr="003F3798" w:rsidRDefault="005356A9" w:rsidP="003F3798">
            <w:pPr>
              <w:pStyle w:val="ListParagraph"/>
              <w:numPr>
                <w:ilvl w:val="1"/>
                <w:numId w:val="40"/>
              </w:numPr>
              <w:spacing w:line="276" w:lineRule="auto"/>
              <w:ind w:rightChars="-45" w:right="-99"/>
              <w:jc w:val="left"/>
              <w:rPr>
                <w:rFonts w:cs="Arial"/>
                <w:sz w:val="20"/>
                <w:szCs w:val="20"/>
              </w:rPr>
            </w:pPr>
            <w:r w:rsidRPr="003F3798">
              <w:rPr>
                <w:rFonts w:cs="Arial"/>
                <w:sz w:val="20"/>
                <w:szCs w:val="20"/>
              </w:rPr>
              <w:lastRenderedPageBreak/>
              <w:t>31% (1,252) of 4008 VMLR received rehabilitation support (Dec 2010)</w:t>
            </w:r>
          </w:p>
          <w:p w14:paraId="036FA163" w14:textId="77777777" w:rsidR="005356A9" w:rsidRPr="00ED37CF" w:rsidRDefault="005356A9" w:rsidP="003F3798">
            <w:pPr>
              <w:ind w:left="317" w:rightChars="-45" w:right="-99"/>
              <w:rPr>
                <w:rFonts w:cs="Arial"/>
                <w:sz w:val="20"/>
                <w:szCs w:val="20"/>
              </w:rPr>
            </w:pPr>
            <w:r w:rsidRPr="00ED37CF">
              <w:rPr>
                <w:rFonts w:cs="Arial"/>
                <w:sz w:val="20"/>
                <w:szCs w:val="20"/>
              </w:rPr>
              <w:t xml:space="preserve">54% (2,149) of 4,008 VMLR received rehabilitation support </w:t>
            </w:r>
            <w:r w:rsidRPr="00ED37CF">
              <w:rPr>
                <w:rFonts w:cs="Arial"/>
                <w:sz w:val="20"/>
                <w:szCs w:val="20"/>
              </w:rPr>
              <w:lastRenderedPageBreak/>
              <w:t>(Dec 2011)</w:t>
            </w:r>
          </w:p>
          <w:p w14:paraId="6C8F1606" w14:textId="77777777" w:rsidR="005356A9" w:rsidRPr="00ED37CF" w:rsidRDefault="005356A9" w:rsidP="003F3798">
            <w:pPr>
              <w:pStyle w:val="ListParagraph"/>
              <w:ind w:left="310" w:rightChars="-45" w:right="-99"/>
              <w:rPr>
                <w:rFonts w:cs="Arial"/>
                <w:sz w:val="20"/>
                <w:szCs w:val="20"/>
              </w:rPr>
            </w:pPr>
            <w:r w:rsidRPr="00ED37CF">
              <w:rPr>
                <w:rFonts w:cs="Arial"/>
                <w:sz w:val="20"/>
                <w:szCs w:val="20"/>
              </w:rPr>
              <w:t>54% (2,149) of 4,008 VMLR received rehabilitation support (May 2012)</w:t>
            </w:r>
          </w:p>
        </w:tc>
        <w:tc>
          <w:tcPr>
            <w:tcW w:w="4090" w:type="dxa"/>
            <w:tcBorders>
              <w:right w:val="single" w:sz="8" w:space="0" w:color="000000"/>
            </w:tcBorders>
          </w:tcPr>
          <w:p w14:paraId="484CD3D3" w14:textId="22F4663B" w:rsidR="005356A9" w:rsidRPr="00FE7536" w:rsidRDefault="00FE7536" w:rsidP="00FE7536">
            <w:pPr>
              <w:spacing w:line="276" w:lineRule="auto"/>
              <w:jc w:val="left"/>
              <w:rPr>
                <w:rFonts w:cs="Arial"/>
                <w:sz w:val="20"/>
                <w:szCs w:val="20"/>
              </w:rPr>
            </w:pPr>
            <w:r>
              <w:rPr>
                <w:rFonts w:cs="Arial"/>
                <w:sz w:val="20"/>
                <w:szCs w:val="20"/>
              </w:rPr>
              <w:lastRenderedPageBreak/>
              <w:t xml:space="preserve">1.3 </w:t>
            </w:r>
            <w:r w:rsidR="005356A9" w:rsidRPr="00FE7536">
              <w:rPr>
                <w:rFonts w:cs="Arial"/>
                <w:sz w:val="20"/>
                <w:szCs w:val="20"/>
              </w:rPr>
              <w:t xml:space="preserve">56% (2,234) of </w:t>
            </w:r>
            <w:r w:rsidR="005356A9" w:rsidRPr="00FE7536">
              <w:rPr>
                <w:rFonts w:cs="Arial"/>
                <w:sz w:val="20"/>
                <w:szCs w:val="20"/>
                <w:lang w:eastAsia="ja-JP"/>
              </w:rPr>
              <w:t xml:space="preserve">4008 </w:t>
            </w:r>
            <w:r w:rsidR="005356A9" w:rsidRPr="00FE7536">
              <w:rPr>
                <w:rFonts w:cs="Arial"/>
                <w:sz w:val="20"/>
                <w:szCs w:val="20"/>
              </w:rPr>
              <w:t>VMLR enrolled and supported for rehabilitation by end of Dec 2012 (38% women 62% men )</w:t>
            </w:r>
          </w:p>
          <w:p w14:paraId="466711DB" w14:textId="77777777" w:rsidR="005356A9" w:rsidRPr="00ED37CF" w:rsidRDefault="005356A9" w:rsidP="003F3798">
            <w:pPr>
              <w:ind w:left="292" w:hanging="360"/>
              <w:rPr>
                <w:rFonts w:cs="Arial"/>
                <w:sz w:val="20"/>
                <w:szCs w:val="20"/>
              </w:rPr>
            </w:pPr>
          </w:p>
        </w:tc>
      </w:tr>
      <w:tr w:rsidR="005356A9" w:rsidRPr="00ED37CF" w14:paraId="51323552" w14:textId="77777777" w:rsidTr="00FE7536">
        <w:trPr>
          <w:trHeight w:val="2870"/>
        </w:trPr>
        <w:tc>
          <w:tcPr>
            <w:tcW w:w="1440" w:type="dxa"/>
            <w:vMerge/>
            <w:tcBorders>
              <w:left w:val="single" w:sz="4" w:space="0" w:color="auto"/>
              <w:right w:val="single" w:sz="4" w:space="0" w:color="auto"/>
            </w:tcBorders>
            <w:shd w:val="clear" w:color="auto" w:fill="auto"/>
          </w:tcPr>
          <w:p w14:paraId="4DFF04B4" w14:textId="77777777" w:rsidR="005356A9" w:rsidRPr="00ED37CF" w:rsidRDefault="005356A9" w:rsidP="003F3798">
            <w:pPr>
              <w:pStyle w:val="ListParagraph"/>
              <w:numPr>
                <w:ilvl w:val="0"/>
                <w:numId w:val="4"/>
              </w:numPr>
              <w:spacing w:line="276" w:lineRule="auto"/>
              <w:jc w:val="left"/>
              <w:rPr>
                <w:rFonts w:cs="Arial"/>
                <w:sz w:val="20"/>
                <w:szCs w:val="20"/>
              </w:rPr>
            </w:pPr>
          </w:p>
        </w:tc>
        <w:tc>
          <w:tcPr>
            <w:tcW w:w="2284" w:type="dxa"/>
            <w:vMerge/>
            <w:tcBorders>
              <w:left w:val="single" w:sz="4" w:space="0" w:color="auto"/>
              <w:right w:val="single" w:sz="4" w:space="0" w:color="auto"/>
            </w:tcBorders>
            <w:shd w:val="clear" w:color="auto" w:fill="auto"/>
          </w:tcPr>
          <w:p w14:paraId="4B64443B" w14:textId="77777777" w:rsidR="005356A9" w:rsidRPr="00ED37CF" w:rsidRDefault="005356A9" w:rsidP="003F3798">
            <w:pPr>
              <w:pStyle w:val="ListParagraph"/>
              <w:ind w:left="0"/>
              <w:rPr>
                <w:rFonts w:cs="Arial"/>
                <w:spacing w:val="-3"/>
                <w:sz w:val="20"/>
                <w:szCs w:val="20"/>
              </w:rPr>
            </w:pPr>
          </w:p>
        </w:tc>
        <w:tc>
          <w:tcPr>
            <w:tcW w:w="2268" w:type="dxa"/>
          </w:tcPr>
          <w:p w14:paraId="609A7947" w14:textId="678C1566" w:rsidR="005356A9" w:rsidRPr="003F3798" w:rsidRDefault="003F3798" w:rsidP="003F3798">
            <w:pPr>
              <w:spacing w:line="276" w:lineRule="auto"/>
              <w:jc w:val="left"/>
              <w:rPr>
                <w:rFonts w:cs="Arial"/>
                <w:sz w:val="20"/>
                <w:szCs w:val="20"/>
              </w:rPr>
            </w:pPr>
            <w:r>
              <w:rPr>
                <w:rFonts w:cs="Arial"/>
                <w:sz w:val="20"/>
                <w:szCs w:val="20"/>
              </w:rPr>
              <w:t xml:space="preserve">1.4  </w:t>
            </w:r>
            <w:r w:rsidR="005356A9" w:rsidRPr="003F3798">
              <w:rPr>
                <w:rFonts w:cs="Arial"/>
                <w:sz w:val="20"/>
                <w:szCs w:val="20"/>
              </w:rPr>
              <w:t>% of VMLR participants enrolled in rehabilitation programme received psychological support</w:t>
            </w:r>
          </w:p>
        </w:tc>
        <w:tc>
          <w:tcPr>
            <w:tcW w:w="2410" w:type="dxa"/>
          </w:tcPr>
          <w:p w14:paraId="212B7D93" w14:textId="6078E3A3" w:rsidR="005356A9" w:rsidRPr="00FE7536" w:rsidRDefault="005356A9" w:rsidP="00FE7536">
            <w:pPr>
              <w:pStyle w:val="ListParagraph"/>
              <w:numPr>
                <w:ilvl w:val="1"/>
                <w:numId w:val="40"/>
              </w:numPr>
              <w:spacing w:line="276" w:lineRule="auto"/>
              <w:jc w:val="left"/>
              <w:rPr>
                <w:rFonts w:cs="Arial"/>
                <w:sz w:val="20"/>
                <w:szCs w:val="20"/>
              </w:rPr>
            </w:pPr>
            <w:r w:rsidRPr="00FE7536">
              <w:rPr>
                <w:rFonts w:cs="Arial"/>
                <w:sz w:val="20"/>
                <w:szCs w:val="20"/>
              </w:rPr>
              <w:t>70% of VMLR participants had psychosocial needs</w:t>
            </w:r>
          </w:p>
        </w:tc>
        <w:tc>
          <w:tcPr>
            <w:tcW w:w="2268" w:type="dxa"/>
          </w:tcPr>
          <w:p w14:paraId="1C7D2FA5" w14:textId="0AD67D63" w:rsidR="005356A9" w:rsidRPr="00FE7536" w:rsidRDefault="005356A9" w:rsidP="00FE7536">
            <w:pPr>
              <w:pStyle w:val="ListParagraph"/>
              <w:numPr>
                <w:ilvl w:val="1"/>
                <w:numId w:val="37"/>
              </w:numPr>
              <w:spacing w:line="276" w:lineRule="auto"/>
              <w:jc w:val="left"/>
              <w:rPr>
                <w:rFonts w:cs="Arial"/>
                <w:sz w:val="20"/>
                <w:szCs w:val="20"/>
              </w:rPr>
            </w:pPr>
            <w:r w:rsidRPr="00FE7536">
              <w:rPr>
                <w:rFonts w:cs="Arial"/>
                <w:sz w:val="20"/>
                <w:szCs w:val="20"/>
              </w:rPr>
              <w:t>30% of VMLR with psychological needs benefited from psychosocial support</w:t>
            </w:r>
          </w:p>
        </w:tc>
        <w:tc>
          <w:tcPr>
            <w:tcW w:w="4090" w:type="dxa"/>
            <w:tcBorders>
              <w:right w:val="single" w:sz="8" w:space="0" w:color="000000"/>
            </w:tcBorders>
          </w:tcPr>
          <w:p w14:paraId="370E6DD5" w14:textId="77777777" w:rsidR="00FE7536" w:rsidRDefault="00FE7536" w:rsidP="00FE7536">
            <w:pPr>
              <w:spacing w:line="276" w:lineRule="auto"/>
              <w:jc w:val="left"/>
              <w:rPr>
                <w:rFonts w:cs="Arial"/>
                <w:sz w:val="20"/>
                <w:szCs w:val="20"/>
              </w:rPr>
            </w:pPr>
            <w:r>
              <w:rPr>
                <w:rFonts w:cs="Arial"/>
                <w:sz w:val="20"/>
                <w:szCs w:val="20"/>
              </w:rPr>
              <w:t>1.4</w:t>
            </w:r>
          </w:p>
          <w:p w14:paraId="09998C1C" w14:textId="60F92539" w:rsidR="005356A9" w:rsidRPr="00FE7536" w:rsidRDefault="005356A9" w:rsidP="00FE7536">
            <w:pPr>
              <w:spacing w:line="276" w:lineRule="auto"/>
              <w:jc w:val="left"/>
              <w:rPr>
                <w:rFonts w:cs="Arial"/>
                <w:sz w:val="20"/>
                <w:szCs w:val="20"/>
              </w:rPr>
            </w:pPr>
            <w:r w:rsidRPr="00FE7536">
              <w:rPr>
                <w:rFonts w:cs="Arial"/>
                <w:sz w:val="20"/>
                <w:szCs w:val="20"/>
              </w:rPr>
              <w:t>1,373 or 54 % of those who received career counselling in the initial stages (2,539) were assessed and received psychosocial support.</w:t>
            </w:r>
          </w:p>
          <w:p w14:paraId="62A0C65E" w14:textId="77777777" w:rsidR="005356A9" w:rsidRPr="00ED37CF" w:rsidRDefault="005356A9" w:rsidP="003F3798">
            <w:pPr>
              <w:pStyle w:val="ListParagraph"/>
              <w:ind w:left="288"/>
              <w:contextualSpacing w:val="0"/>
              <w:rPr>
                <w:rFonts w:cs="Arial"/>
                <w:sz w:val="20"/>
                <w:szCs w:val="20"/>
              </w:rPr>
            </w:pPr>
            <w:r w:rsidRPr="00ED37CF">
              <w:rPr>
                <w:rFonts w:cs="Arial"/>
                <w:sz w:val="20"/>
                <w:szCs w:val="20"/>
              </w:rPr>
              <w:t>22% of VMLR participants received regular follow-up psychosocial support.</w:t>
            </w:r>
          </w:p>
          <w:p w14:paraId="4CE6E6D4" w14:textId="77777777" w:rsidR="005356A9" w:rsidRPr="00ED37CF" w:rsidRDefault="005356A9" w:rsidP="003F3798">
            <w:pPr>
              <w:pStyle w:val="ListParagraph"/>
              <w:ind w:left="292"/>
              <w:rPr>
                <w:rFonts w:cs="Arial"/>
                <w:sz w:val="20"/>
                <w:szCs w:val="20"/>
              </w:rPr>
            </w:pPr>
            <w:r w:rsidRPr="00ED37CF">
              <w:rPr>
                <w:rFonts w:cs="Arial"/>
                <w:sz w:val="20"/>
                <w:szCs w:val="20"/>
              </w:rPr>
              <w:t>Referral mechanism set-up cases requiring longer term support from counsellors and community psychosocial workers.</w:t>
            </w:r>
          </w:p>
        </w:tc>
      </w:tr>
      <w:tr w:rsidR="005356A9" w:rsidRPr="00ED37CF" w14:paraId="46EE8555" w14:textId="77777777" w:rsidTr="003F3798">
        <w:trPr>
          <w:trHeight w:val="1340"/>
        </w:trPr>
        <w:tc>
          <w:tcPr>
            <w:tcW w:w="1440" w:type="dxa"/>
            <w:vMerge/>
            <w:tcBorders>
              <w:left w:val="single" w:sz="4" w:space="0" w:color="auto"/>
              <w:right w:val="single" w:sz="4" w:space="0" w:color="auto"/>
            </w:tcBorders>
            <w:shd w:val="clear" w:color="auto" w:fill="auto"/>
          </w:tcPr>
          <w:p w14:paraId="0E34709F" w14:textId="3F986064" w:rsidR="005356A9" w:rsidRPr="00ED37CF" w:rsidRDefault="005356A9" w:rsidP="003F3798">
            <w:pPr>
              <w:pStyle w:val="ListParagraph"/>
              <w:numPr>
                <w:ilvl w:val="0"/>
                <w:numId w:val="4"/>
              </w:numPr>
              <w:spacing w:line="276" w:lineRule="auto"/>
              <w:jc w:val="left"/>
              <w:rPr>
                <w:rFonts w:cs="Arial"/>
                <w:sz w:val="20"/>
                <w:szCs w:val="20"/>
              </w:rPr>
            </w:pPr>
          </w:p>
        </w:tc>
        <w:tc>
          <w:tcPr>
            <w:tcW w:w="2284" w:type="dxa"/>
            <w:vMerge/>
            <w:tcBorders>
              <w:left w:val="single" w:sz="4" w:space="0" w:color="auto"/>
              <w:right w:val="single" w:sz="4" w:space="0" w:color="auto"/>
            </w:tcBorders>
            <w:shd w:val="clear" w:color="auto" w:fill="auto"/>
          </w:tcPr>
          <w:p w14:paraId="0CD13179" w14:textId="77777777" w:rsidR="005356A9" w:rsidRPr="00ED37CF" w:rsidRDefault="005356A9" w:rsidP="003F3798">
            <w:pPr>
              <w:pStyle w:val="ListParagraph"/>
              <w:ind w:left="0"/>
              <w:rPr>
                <w:rFonts w:cs="Arial"/>
                <w:spacing w:val="-3"/>
                <w:sz w:val="20"/>
                <w:szCs w:val="20"/>
              </w:rPr>
            </w:pPr>
          </w:p>
        </w:tc>
        <w:tc>
          <w:tcPr>
            <w:tcW w:w="2268" w:type="dxa"/>
            <w:tcBorders>
              <w:top w:val="single" w:sz="4" w:space="0" w:color="auto"/>
              <w:left w:val="single" w:sz="4" w:space="0" w:color="auto"/>
              <w:right w:val="single" w:sz="4" w:space="0" w:color="auto"/>
            </w:tcBorders>
            <w:shd w:val="clear" w:color="auto" w:fill="auto"/>
          </w:tcPr>
          <w:p w14:paraId="50639ACA" w14:textId="598B8AA3" w:rsidR="005356A9" w:rsidRPr="003F3798" w:rsidRDefault="005356A9" w:rsidP="00FE7536">
            <w:pPr>
              <w:pStyle w:val="ListParagraph"/>
              <w:numPr>
                <w:ilvl w:val="1"/>
                <w:numId w:val="37"/>
              </w:numPr>
              <w:spacing w:line="276" w:lineRule="auto"/>
              <w:ind w:right="-55"/>
              <w:jc w:val="left"/>
              <w:rPr>
                <w:rFonts w:cs="Arial"/>
                <w:sz w:val="20"/>
                <w:szCs w:val="20"/>
              </w:rPr>
            </w:pPr>
            <w:r w:rsidRPr="003F3798">
              <w:rPr>
                <w:rFonts w:cs="Arial"/>
                <w:sz w:val="20"/>
                <w:szCs w:val="20"/>
              </w:rPr>
              <w:t>% of VMLR engaged in constructive livelihoods six months after the completion of the rehabilitation training (disaggregated by gender)</w:t>
            </w:r>
          </w:p>
        </w:tc>
        <w:tc>
          <w:tcPr>
            <w:tcW w:w="2410" w:type="dxa"/>
            <w:tcBorders>
              <w:top w:val="single" w:sz="4" w:space="0" w:color="auto"/>
              <w:left w:val="single" w:sz="4" w:space="0" w:color="auto"/>
              <w:right w:val="single" w:sz="4" w:space="0" w:color="auto"/>
            </w:tcBorders>
            <w:shd w:val="clear" w:color="auto" w:fill="auto"/>
          </w:tcPr>
          <w:p w14:paraId="18361B31" w14:textId="2B49C6C5" w:rsidR="005356A9" w:rsidRPr="00FE7536" w:rsidRDefault="005356A9" w:rsidP="00FE7536">
            <w:pPr>
              <w:pStyle w:val="ListParagraph"/>
              <w:numPr>
                <w:ilvl w:val="1"/>
                <w:numId w:val="40"/>
              </w:numPr>
              <w:spacing w:line="276" w:lineRule="auto"/>
              <w:jc w:val="left"/>
              <w:rPr>
                <w:rFonts w:cs="Arial"/>
                <w:sz w:val="20"/>
                <w:szCs w:val="20"/>
              </w:rPr>
            </w:pPr>
            <w:r w:rsidRPr="00FE7536">
              <w:rPr>
                <w:rFonts w:cs="Arial"/>
                <w:sz w:val="20"/>
                <w:szCs w:val="20"/>
              </w:rPr>
              <w:t>0% (2008)</w:t>
            </w:r>
          </w:p>
        </w:tc>
        <w:tc>
          <w:tcPr>
            <w:tcW w:w="2268" w:type="dxa"/>
            <w:tcBorders>
              <w:top w:val="single" w:sz="4" w:space="0" w:color="auto"/>
              <w:left w:val="single" w:sz="4" w:space="0" w:color="auto"/>
              <w:right w:val="single" w:sz="4" w:space="0" w:color="auto"/>
            </w:tcBorders>
            <w:shd w:val="clear" w:color="auto" w:fill="auto"/>
          </w:tcPr>
          <w:p w14:paraId="24067B1A" w14:textId="77777777" w:rsidR="00FE7536" w:rsidRDefault="00FE7536" w:rsidP="00FE7536">
            <w:pPr>
              <w:spacing w:line="276" w:lineRule="auto"/>
              <w:ind w:rightChars="-45" w:right="-99"/>
              <w:jc w:val="left"/>
              <w:rPr>
                <w:rFonts w:cs="Arial"/>
                <w:sz w:val="20"/>
                <w:szCs w:val="20"/>
              </w:rPr>
            </w:pPr>
            <w:r>
              <w:rPr>
                <w:rFonts w:cs="Arial"/>
                <w:sz w:val="20"/>
                <w:szCs w:val="20"/>
              </w:rPr>
              <w:t>1.5</w:t>
            </w:r>
          </w:p>
          <w:p w14:paraId="6EBDD82D" w14:textId="6448BEE4" w:rsidR="005356A9" w:rsidRPr="00FE7536" w:rsidRDefault="005356A9" w:rsidP="00FE7536">
            <w:pPr>
              <w:spacing w:line="276" w:lineRule="auto"/>
              <w:ind w:rightChars="-45" w:right="-99"/>
              <w:jc w:val="left"/>
              <w:rPr>
                <w:rFonts w:cs="Arial"/>
                <w:sz w:val="20"/>
                <w:szCs w:val="20"/>
              </w:rPr>
            </w:pPr>
            <w:r w:rsidRPr="00FE7536">
              <w:rPr>
                <w:rFonts w:cs="Arial"/>
                <w:sz w:val="20"/>
                <w:szCs w:val="20"/>
              </w:rPr>
              <w:t>38% (470) of 1,252 completed training (Dec 2010)</w:t>
            </w:r>
          </w:p>
          <w:p w14:paraId="041B2B17" w14:textId="77777777" w:rsidR="005356A9" w:rsidRPr="00ED37CF" w:rsidRDefault="005356A9" w:rsidP="003F3798">
            <w:pPr>
              <w:ind w:left="317" w:rightChars="-45" w:right="-99"/>
              <w:rPr>
                <w:rFonts w:cs="Arial"/>
                <w:sz w:val="20"/>
                <w:szCs w:val="20"/>
              </w:rPr>
            </w:pPr>
            <w:r w:rsidRPr="00ED37CF">
              <w:rPr>
                <w:rFonts w:cs="Arial"/>
                <w:sz w:val="20"/>
                <w:szCs w:val="20"/>
              </w:rPr>
              <w:t>48% (1,040) of 2,149 completed training (Dec 2011)</w:t>
            </w:r>
          </w:p>
          <w:p w14:paraId="2150C4AF" w14:textId="77777777" w:rsidR="005356A9" w:rsidRPr="00ED37CF" w:rsidRDefault="005356A9" w:rsidP="003F3798">
            <w:pPr>
              <w:pStyle w:val="ListParagraph"/>
              <w:ind w:left="310"/>
              <w:rPr>
                <w:rFonts w:cs="Arial"/>
                <w:sz w:val="20"/>
                <w:szCs w:val="20"/>
                <w:highlight w:val="yellow"/>
              </w:rPr>
            </w:pPr>
            <w:r w:rsidRPr="00ED37CF">
              <w:rPr>
                <w:rFonts w:cs="Arial"/>
                <w:sz w:val="20"/>
                <w:szCs w:val="20"/>
              </w:rPr>
              <w:t>62% (1,330) of 2,149 completed training (May 2012)</w:t>
            </w:r>
          </w:p>
        </w:tc>
        <w:tc>
          <w:tcPr>
            <w:tcW w:w="4090" w:type="dxa"/>
            <w:tcBorders>
              <w:top w:val="single" w:sz="4" w:space="0" w:color="auto"/>
              <w:left w:val="single" w:sz="4" w:space="0" w:color="auto"/>
              <w:right w:val="single" w:sz="8" w:space="0" w:color="000000"/>
            </w:tcBorders>
            <w:shd w:val="clear" w:color="auto" w:fill="auto"/>
          </w:tcPr>
          <w:p w14:paraId="62D26575" w14:textId="77777777" w:rsidR="00FE7536" w:rsidRDefault="00FE7536" w:rsidP="00FE7536">
            <w:pPr>
              <w:spacing w:line="276" w:lineRule="auto"/>
              <w:jc w:val="left"/>
              <w:rPr>
                <w:rFonts w:cs="Arial"/>
                <w:sz w:val="20"/>
                <w:szCs w:val="20"/>
              </w:rPr>
            </w:pPr>
            <w:r>
              <w:rPr>
                <w:rFonts w:cs="Arial"/>
                <w:sz w:val="20"/>
                <w:szCs w:val="20"/>
              </w:rPr>
              <w:t>1.5</w:t>
            </w:r>
          </w:p>
          <w:p w14:paraId="3296314F" w14:textId="77777777" w:rsidR="005356A9" w:rsidRPr="00FE7536" w:rsidRDefault="005356A9" w:rsidP="00FE7536">
            <w:pPr>
              <w:spacing w:line="276" w:lineRule="auto"/>
              <w:jc w:val="left"/>
              <w:rPr>
                <w:rFonts w:cs="Arial"/>
                <w:sz w:val="20"/>
                <w:szCs w:val="20"/>
              </w:rPr>
            </w:pPr>
            <w:r w:rsidRPr="00FE7536">
              <w:rPr>
                <w:rFonts w:cs="Arial"/>
                <w:sz w:val="20"/>
                <w:szCs w:val="20"/>
              </w:rPr>
              <w:t>1,802 (81%) out of 2,234 VMLR completed their training with 71% of them employed or have started their own business</w:t>
            </w:r>
          </w:p>
        </w:tc>
      </w:tr>
      <w:tr w:rsidR="005356A9" w:rsidRPr="00ED37CF" w14:paraId="219C4FCE" w14:textId="77777777" w:rsidTr="003F3798">
        <w:trPr>
          <w:trHeight w:val="1016"/>
        </w:trPr>
        <w:tc>
          <w:tcPr>
            <w:tcW w:w="1440" w:type="dxa"/>
            <w:vMerge/>
            <w:tcBorders>
              <w:left w:val="single" w:sz="4" w:space="0" w:color="auto"/>
              <w:right w:val="single" w:sz="4" w:space="0" w:color="auto"/>
            </w:tcBorders>
            <w:shd w:val="clear" w:color="auto" w:fill="auto"/>
          </w:tcPr>
          <w:p w14:paraId="477DDB5B" w14:textId="3C8B2421" w:rsidR="005356A9" w:rsidRPr="00ED37CF" w:rsidRDefault="005356A9" w:rsidP="003F3798">
            <w:pPr>
              <w:pStyle w:val="ListParagraph"/>
              <w:numPr>
                <w:ilvl w:val="0"/>
                <w:numId w:val="4"/>
              </w:numPr>
              <w:spacing w:line="276" w:lineRule="auto"/>
              <w:jc w:val="left"/>
              <w:rPr>
                <w:rFonts w:cs="Arial"/>
                <w:sz w:val="20"/>
                <w:szCs w:val="20"/>
              </w:rPr>
            </w:pPr>
          </w:p>
        </w:tc>
        <w:tc>
          <w:tcPr>
            <w:tcW w:w="2284" w:type="dxa"/>
            <w:vMerge/>
            <w:tcBorders>
              <w:left w:val="single" w:sz="4" w:space="0" w:color="auto"/>
              <w:right w:val="single" w:sz="4" w:space="0" w:color="auto"/>
            </w:tcBorders>
            <w:shd w:val="clear" w:color="auto" w:fill="auto"/>
          </w:tcPr>
          <w:p w14:paraId="425504DB" w14:textId="77777777" w:rsidR="005356A9" w:rsidRPr="00ED37CF" w:rsidRDefault="005356A9" w:rsidP="003F3798">
            <w:pPr>
              <w:pStyle w:val="ListParagraph"/>
              <w:ind w:left="0"/>
              <w:rPr>
                <w:rFonts w:cs="Arial"/>
                <w:spacing w:val="-3"/>
                <w:sz w:val="20"/>
                <w:szCs w:val="20"/>
              </w:rPr>
            </w:pPr>
          </w:p>
        </w:tc>
        <w:tc>
          <w:tcPr>
            <w:tcW w:w="2268" w:type="dxa"/>
            <w:tcBorders>
              <w:top w:val="single" w:sz="4" w:space="0" w:color="auto"/>
              <w:left w:val="single" w:sz="4" w:space="0" w:color="auto"/>
              <w:right w:val="single" w:sz="4" w:space="0" w:color="auto"/>
            </w:tcBorders>
            <w:shd w:val="clear" w:color="auto" w:fill="auto"/>
          </w:tcPr>
          <w:p w14:paraId="52A81462" w14:textId="7B51EA1B" w:rsidR="005356A9" w:rsidRPr="003F3798" w:rsidRDefault="005356A9" w:rsidP="003F3798">
            <w:pPr>
              <w:pStyle w:val="ListParagraph"/>
              <w:numPr>
                <w:ilvl w:val="1"/>
                <w:numId w:val="41"/>
              </w:numPr>
              <w:spacing w:line="276" w:lineRule="auto"/>
              <w:jc w:val="left"/>
              <w:rPr>
                <w:rFonts w:cs="Arial"/>
                <w:sz w:val="20"/>
                <w:szCs w:val="20"/>
              </w:rPr>
            </w:pPr>
            <w:r w:rsidRPr="003F3798">
              <w:rPr>
                <w:rFonts w:cs="Arial"/>
                <w:sz w:val="20"/>
                <w:szCs w:val="20"/>
              </w:rPr>
              <w:t>Communities perception of the local impact of the rehabilitation process</w:t>
            </w:r>
          </w:p>
        </w:tc>
        <w:tc>
          <w:tcPr>
            <w:tcW w:w="2410" w:type="dxa"/>
            <w:tcBorders>
              <w:top w:val="single" w:sz="4" w:space="0" w:color="auto"/>
              <w:left w:val="single" w:sz="4" w:space="0" w:color="auto"/>
              <w:right w:val="single" w:sz="4" w:space="0" w:color="auto"/>
            </w:tcBorders>
            <w:shd w:val="clear" w:color="auto" w:fill="auto"/>
          </w:tcPr>
          <w:p w14:paraId="1522D0BE" w14:textId="2E083A67" w:rsidR="005356A9" w:rsidRPr="00FE7536" w:rsidRDefault="005356A9" w:rsidP="00FE7536">
            <w:pPr>
              <w:pStyle w:val="ListParagraph"/>
              <w:numPr>
                <w:ilvl w:val="1"/>
                <w:numId w:val="40"/>
              </w:numPr>
              <w:spacing w:line="276" w:lineRule="auto"/>
              <w:jc w:val="left"/>
              <w:rPr>
                <w:rFonts w:cs="Arial"/>
                <w:sz w:val="20"/>
                <w:szCs w:val="20"/>
              </w:rPr>
            </w:pPr>
            <w:r w:rsidRPr="00FE7536">
              <w:rPr>
                <w:rFonts w:cs="Arial"/>
                <w:sz w:val="20"/>
                <w:szCs w:val="20"/>
              </w:rPr>
              <w:t>N</w:t>
            </w:r>
            <w:r w:rsidRPr="00FE7536">
              <w:rPr>
                <w:rFonts w:cs="Arial"/>
                <w:sz w:val="20"/>
                <w:szCs w:val="20"/>
                <w:lang w:eastAsia="ja-JP"/>
              </w:rPr>
              <w:t>/</w:t>
            </w:r>
            <w:r w:rsidRPr="00FE7536">
              <w:rPr>
                <w:rFonts w:cs="Arial"/>
                <w:sz w:val="20"/>
                <w:szCs w:val="20"/>
              </w:rPr>
              <w:t>A</w:t>
            </w:r>
          </w:p>
        </w:tc>
        <w:tc>
          <w:tcPr>
            <w:tcW w:w="2268" w:type="dxa"/>
            <w:tcBorders>
              <w:top w:val="single" w:sz="4" w:space="0" w:color="auto"/>
              <w:left w:val="single" w:sz="4" w:space="0" w:color="auto"/>
              <w:right w:val="single" w:sz="4" w:space="0" w:color="auto"/>
            </w:tcBorders>
            <w:shd w:val="clear" w:color="auto" w:fill="auto"/>
          </w:tcPr>
          <w:p w14:paraId="130F4DA0" w14:textId="77777777" w:rsidR="00FE7536" w:rsidRDefault="00FE7536" w:rsidP="00FE7536">
            <w:pPr>
              <w:spacing w:line="276" w:lineRule="auto"/>
              <w:jc w:val="left"/>
              <w:rPr>
                <w:rFonts w:cs="Arial"/>
                <w:sz w:val="20"/>
                <w:szCs w:val="20"/>
              </w:rPr>
            </w:pPr>
            <w:r>
              <w:rPr>
                <w:rFonts w:cs="Arial"/>
                <w:sz w:val="20"/>
                <w:szCs w:val="20"/>
              </w:rPr>
              <w:t>1.6</w:t>
            </w:r>
          </w:p>
          <w:p w14:paraId="73AEB408" w14:textId="6BEB84D2" w:rsidR="005356A9" w:rsidRPr="00FE7536" w:rsidRDefault="005356A9" w:rsidP="00FE7536">
            <w:pPr>
              <w:spacing w:line="276" w:lineRule="auto"/>
              <w:jc w:val="left"/>
              <w:rPr>
                <w:rFonts w:cs="Arial"/>
                <w:sz w:val="20"/>
                <w:szCs w:val="20"/>
              </w:rPr>
            </w:pPr>
            <w:r w:rsidRPr="00FE7536">
              <w:rPr>
                <w:rFonts w:cs="Arial"/>
                <w:sz w:val="20"/>
                <w:szCs w:val="20"/>
              </w:rPr>
              <w:t>70% of communities was positive by April 2012</w:t>
            </w:r>
          </w:p>
        </w:tc>
        <w:tc>
          <w:tcPr>
            <w:tcW w:w="4090" w:type="dxa"/>
            <w:tcBorders>
              <w:top w:val="single" w:sz="4" w:space="0" w:color="auto"/>
              <w:left w:val="single" w:sz="4" w:space="0" w:color="auto"/>
              <w:right w:val="single" w:sz="8" w:space="0" w:color="000000"/>
            </w:tcBorders>
            <w:shd w:val="clear" w:color="auto" w:fill="auto"/>
          </w:tcPr>
          <w:p w14:paraId="7951EF27" w14:textId="77777777" w:rsidR="00FE7536" w:rsidRDefault="00FE7536" w:rsidP="00FE7536">
            <w:pPr>
              <w:tabs>
                <w:tab w:val="left" w:pos="335"/>
              </w:tabs>
              <w:spacing w:line="276" w:lineRule="auto"/>
              <w:jc w:val="left"/>
              <w:rPr>
                <w:rFonts w:cs="Arial"/>
                <w:sz w:val="20"/>
                <w:szCs w:val="20"/>
                <w:lang w:eastAsia="ja-JP"/>
              </w:rPr>
            </w:pPr>
            <w:r>
              <w:rPr>
                <w:rFonts w:cs="Arial"/>
                <w:sz w:val="20"/>
                <w:szCs w:val="20"/>
                <w:lang w:eastAsia="ja-JP"/>
              </w:rPr>
              <w:t>1.6</w:t>
            </w:r>
          </w:p>
          <w:p w14:paraId="103D7ACA" w14:textId="77777777" w:rsidR="005356A9" w:rsidRPr="00FE7536" w:rsidRDefault="005356A9" w:rsidP="00FE7536">
            <w:pPr>
              <w:tabs>
                <w:tab w:val="left" w:pos="335"/>
              </w:tabs>
              <w:spacing w:line="276" w:lineRule="auto"/>
              <w:jc w:val="left"/>
              <w:rPr>
                <w:rFonts w:cs="Arial"/>
                <w:sz w:val="20"/>
                <w:szCs w:val="20"/>
              </w:rPr>
            </w:pPr>
            <w:r w:rsidRPr="00FE7536">
              <w:rPr>
                <w:rFonts w:cs="Arial"/>
                <w:sz w:val="20"/>
                <w:szCs w:val="20"/>
                <w:lang w:eastAsia="ja-JP"/>
              </w:rPr>
              <w:t xml:space="preserve">Through field monitoring missions and tracing families of the VMLR, it was found that more than 70 % of the local communities are positive. </w:t>
            </w:r>
          </w:p>
        </w:tc>
      </w:tr>
      <w:tr w:rsidR="005356A9" w:rsidRPr="00ED37CF" w14:paraId="492D3445" w14:textId="77777777" w:rsidTr="003F3798">
        <w:trPr>
          <w:trHeight w:val="1492"/>
        </w:trPr>
        <w:tc>
          <w:tcPr>
            <w:tcW w:w="1440" w:type="dxa"/>
            <w:vMerge/>
            <w:tcBorders>
              <w:left w:val="single" w:sz="4" w:space="0" w:color="auto"/>
              <w:right w:val="single" w:sz="4" w:space="0" w:color="auto"/>
            </w:tcBorders>
            <w:shd w:val="clear" w:color="auto" w:fill="auto"/>
          </w:tcPr>
          <w:p w14:paraId="04AE6310" w14:textId="5750A00E" w:rsidR="005356A9" w:rsidRPr="00ED37CF" w:rsidRDefault="005356A9" w:rsidP="003F3798">
            <w:pPr>
              <w:pStyle w:val="ListParagraph"/>
              <w:ind w:left="360"/>
              <w:rPr>
                <w:rFonts w:cs="Arial"/>
                <w:sz w:val="20"/>
                <w:szCs w:val="20"/>
              </w:rPr>
            </w:pPr>
          </w:p>
        </w:tc>
        <w:tc>
          <w:tcPr>
            <w:tcW w:w="2284" w:type="dxa"/>
            <w:vMerge/>
            <w:tcBorders>
              <w:left w:val="single" w:sz="4" w:space="0" w:color="auto"/>
              <w:right w:val="single" w:sz="4" w:space="0" w:color="auto"/>
            </w:tcBorders>
            <w:shd w:val="clear" w:color="auto" w:fill="auto"/>
          </w:tcPr>
          <w:p w14:paraId="311B0C65" w14:textId="77777777" w:rsidR="005356A9" w:rsidRPr="00ED37CF" w:rsidRDefault="005356A9" w:rsidP="003F3798">
            <w:pPr>
              <w:pStyle w:val="ListParagraph"/>
              <w:ind w:left="0"/>
              <w:rPr>
                <w:rFonts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75B73F47" w14:textId="0F4777DC" w:rsidR="005356A9" w:rsidRPr="003F3798" w:rsidRDefault="005356A9" w:rsidP="003F3798">
            <w:pPr>
              <w:pStyle w:val="ListParagraph"/>
              <w:numPr>
                <w:ilvl w:val="1"/>
                <w:numId w:val="41"/>
              </w:numPr>
              <w:spacing w:line="276" w:lineRule="auto"/>
              <w:ind w:right="-55"/>
              <w:jc w:val="left"/>
              <w:rPr>
                <w:rFonts w:cs="Arial"/>
                <w:sz w:val="20"/>
                <w:szCs w:val="20"/>
              </w:rPr>
            </w:pPr>
            <w:r w:rsidRPr="003F3798">
              <w:rPr>
                <w:rFonts w:cs="Arial"/>
                <w:bCs/>
                <w:color w:val="000000"/>
                <w:sz w:val="20"/>
                <w:szCs w:val="20"/>
              </w:rPr>
              <w:t xml:space="preserve">% of </w:t>
            </w:r>
            <w:r w:rsidRPr="003F3798">
              <w:rPr>
                <w:rFonts w:cs="Arial"/>
                <w:sz w:val="20"/>
                <w:szCs w:val="20"/>
              </w:rPr>
              <w:t>VMLR participants who reported being rehabilitated</w:t>
            </w:r>
            <w:r w:rsidRPr="003F3798">
              <w:rPr>
                <w:rFonts w:cs="Arial"/>
                <w:bCs/>
                <w:color w:val="000000"/>
                <w:sz w:val="20"/>
                <w:szCs w:val="20"/>
              </w:rPr>
              <w:t xml:space="preserve"> in their families and communities without stigmatization</w:t>
            </w:r>
          </w:p>
        </w:tc>
        <w:tc>
          <w:tcPr>
            <w:tcW w:w="2410" w:type="dxa"/>
            <w:tcBorders>
              <w:top w:val="single" w:sz="4" w:space="0" w:color="auto"/>
              <w:left w:val="single" w:sz="4" w:space="0" w:color="auto"/>
              <w:right w:val="single" w:sz="4" w:space="0" w:color="auto"/>
            </w:tcBorders>
            <w:shd w:val="clear" w:color="auto" w:fill="auto"/>
          </w:tcPr>
          <w:p w14:paraId="3B9707FC" w14:textId="77777777" w:rsidR="00FE7536" w:rsidRDefault="00FE7536" w:rsidP="00FE7536">
            <w:pPr>
              <w:spacing w:line="276" w:lineRule="auto"/>
              <w:jc w:val="left"/>
              <w:rPr>
                <w:rFonts w:cs="Arial"/>
                <w:sz w:val="20"/>
                <w:szCs w:val="20"/>
              </w:rPr>
            </w:pPr>
            <w:r>
              <w:rPr>
                <w:rFonts w:cs="Arial"/>
                <w:sz w:val="20"/>
                <w:szCs w:val="20"/>
              </w:rPr>
              <w:t>1.7</w:t>
            </w:r>
          </w:p>
          <w:p w14:paraId="120376AA" w14:textId="08B46DAF" w:rsidR="005356A9" w:rsidRPr="00FE7536" w:rsidRDefault="005356A9" w:rsidP="00FE7536">
            <w:pPr>
              <w:spacing w:line="276" w:lineRule="auto"/>
              <w:jc w:val="left"/>
              <w:rPr>
                <w:rFonts w:cs="Arial"/>
                <w:sz w:val="20"/>
                <w:szCs w:val="20"/>
              </w:rPr>
            </w:pPr>
            <w:r w:rsidRPr="00FE7536">
              <w:rPr>
                <w:rFonts w:cs="Arial"/>
                <w:sz w:val="20"/>
                <w:szCs w:val="20"/>
              </w:rPr>
              <w:t>0% (2008)</w:t>
            </w:r>
          </w:p>
        </w:tc>
        <w:tc>
          <w:tcPr>
            <w:tcW w:w="2268" w:type="dxa"/>
            <w:tcBorders>
              <w:top w:val="single" w:sz="4" w:space="0" w:color="auto"/>
              <w:left w:val="single" w:sz="4" w:space="0" w:color="auto"/>
              <w:right w:val="single" w:sz="4" w:space="0" w:color="auto"/>
            </w:tcBorders>
            <w:shd w:val="clear" w:color="auto" w:fill="auto"/>
          </w:tcPr>
          <w:p w14:paraId="69C27781" w14:textId="77777777" w:rsidR="00FE7536" w:rsidRDefault="00FE7536" w:rsidP="00FE7536">
            <w:pPr>
              <w:spacing w:line="276" w:lineRule="auto"/>
              <w:jc w:val="left"/>
              <w:rPr>
                <w:rFonts w:cs="Arial"/>
                <w:sz w:val="20"/>
                <w:szCs w:val="20"/>
              </w:rPr>
            </w:pPr>
            <w:r>
              <w:rPr>
                <w:rFonts w:cs="Arial"/>
                <w:sz w:val="20"/>
                <w:szCs w:val="20"/>
              </w:rPr>
              <w:t>1.7</w:t>
            </w:r>
          </w:p>
          <w:p w14:paraId="29EC1294" w14:textId="77777777" w:rsidR="005356A9" w:rsidRPr="00FE7536" w:rsidRDefault="005356A9" w:rsidP="00FE7536">
            <w:pPr>
              <w:spacing w:line="276" w:lineRule="auto"/>
              <w:jc w:val="left"/>
              <w:rPr>
                <w:rFonts w:cs="Arial"/>
                <w:sz w:val="20"/>
                <w:szCs w:val="20"/>
              </w:rPr>
            </w:pPr>
            <w:r w:rsidRPr="00FE7536">
              <w:rPr>
                <w:rFonts w:cs="Arial"/>
                <w:sz w:val="20"/>
                <w:szCs w:val="20"/>
              </w:rPr>
              <w:t>97% of VMLR participants reported as being “happy” in their community (September 2013)</w:t>
            </w:r>
          </w:p>
        </w:tc>
        <w:tc>
          <w:tcPr>
            <w:tcW w:w="4090" w:type="dxa"/>
            <w:tcBorders>
              <w:top w:val="single" w:sz="4" w:space="0" w:color="auto"/>
              <w:left w:val="single" w:sz="4" w:space="0" w:color="auto"/>
              <w:right w:val="single" w:sz="8" w:space="0" w:color="000000"/>
            </w:tcBorders>
            <w:shd w:val="clear" w:color="auto" w:fill="auto"/>
          </w:tcPr>
          <w:p w14:paraId="522D6BD3" w14:textId="77777777" w:rsidR="00FE7536" w:rsidRDefault="00FE7536" w:rsidP="00FE7536">
            <w:pPr>
              <w:spacing w:line="276" w:lineRule="auto"/>
              <w:ind w:right="-55"/>
              <w:jc w:val="left"/>
              <w:rPr>
                <w:rFonts w:cs="Arial"/>
                <w:sz w:val="20"/>
                <w:szCs w:val="20"/>
              </w:rPr>
            </w:pPr>
            <w:r>
              <w:rPr>
                <w:rFonts w:cs="Arial"/>
                <w:sz w:val="20"/>
                <w:szCs w:val="20"/>
              </w:rPr>
              <w:t>1.7</w:t>
            </w:r>
          </w:p>
          <w:p w14:paraId="609181CB" w14:textId="23EBB0E6" w:rsidR="005356A9" w:rsidRPr="00FE7536" w:rsidRDefault="005356A9" w:rsidP="00FE7536">
            <w:pPr>
              <w:spacing w:line="276" w:lineRule="auto"/>
              <w:ind w:right="-55"/>
              <w:jc w:val="left"/>
              <w:rPr>
                <w:rFonts w:cs="Arial"/>
                <w:sz w:val="20"/>
                <w:szCs w:val="20"/>
              </w:rPr>
            </w:pPr>
            <w:r w:rsidRPr="00FE7536">
              <w:rPr>
                <w:rFonts w:cs="Arial"/>
                <w:sz w:val="20"/>
                <w:szCs w:val="20"/>
              </w:rPr>
              <w:t>Results were retrieved from a UNIRP Post-Rehabilitation and Participant Satisfaction Survey, Final Report, September 2013</w:t>
            </w:r>
          </w:p>
        </w:tc>
      </w:tr>
      <w:tr w:rsidR="005356A9" w:rsidRPr="00ED37CF" w14:paraId="0B055382" w14:textId="77777777" w:rsidTr="003F3798">
        <w:trPr>
          <w:trHeight w:val="421"/>
        </w:trPr>
        <w:tc>
          <w:tcPr>
            <w:tcW w:w="1440" w:type="dxa"/>
            <w:vMerge/>
            <w:tcBorders>
              <w:left w:val="single" w:sz="4" w:space="0" w:color="auto"/>
              <w:right w:val="single" w:sz="4" w:space="0" w:color="auto"/>
            </w:tcBorders>
            <w:shd w:val="clear" w:color="auto" w:fill="auto"/>
          </w:tcPr>
          <w:p w14:paraId="663B07A4" w14:textId="338E620F" w:rsidR="005356A9" w:rsidRPr="00ED37CF" w:rsidRDefault="005356A9" w:rsidP="003F3798">
            <w:pPr>
              <w:pStyle w:val="ListParagraph"/>
              <w:ind w:left="360"/>
              <w:rPr>
                <w:rFonts w:cs="Arial"/>
                <w:sz w:val="20"/>
                <w:szCs w:val="20"/>
              </w:rPr>
            </w:pPr>
          </w:p>
        </w:tc>
        <w:tc>
          <w:tcPr>
            <w:tcW w:w="2284" w:type="dxa"/>
            <w:vMerge/>
            <w:tcBorders>
              <w:left w:val="single" w:sz="4" w:space="0" w:color="auto"/>
              <w:right w:val="single" w:sz="4" w:space="0" w:color="auto"/>
            </w:tcBorders>
            <w:shd w:val="clear" w:color="auto" w:fill="auto"/>
          </w:tcPr>
          <w:p w14:paraId="01A110D9" w14:textId="77777777" w:rsidR="005356A9" w:rsidRPr="00ED37CF" w:rsidRDefault="005356A9" w:rsidP="003F3798">
            <w:pPr>
              <w:pStyle w:val="ListParagraph"/>
              <w:ind w:left="0"/>
              <w:rPr>
                <w:rFonts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1B100863" w14:textId="52FD3C47" w:rsidR="005356A9" w:rsidRPr="003F3798" w:rsidRDefault="005356A9" w:rsidP="003F3798">
            <w:pPr>
              <w:pStyle w:val="ListParagraph"/>
              <w:numPr>
                <w:ilvl w:val="1"/>
                <w:numId w:val="41"/>
              </w:numPr>
              <w:spacing w:line="276" w:lineRule="auto"/>
              <w:jc w:val="left"/>
              <w:rPr>
                <w:rFonts w:cs="Arial"/>
                <w:sz w:val="20"/>
                <w:szCs w:val="20"/>
              </w:rPr>
            </w:pPr>
            <w:r w:rsidRPr="003F3798">
              <w:rPr>
                <w:rFonts w:cs="Arial"/>
                <w:sz w:val="20"/>
                <w:szCs w:val="20"/>
              </w:rPr>
              <w:t>The UN provided and deployed quick and strategic assistance and support to the GoN</w:t>
            </w:r>
          </w:p>
        </w:tc>
        <w:tc>
          <w:tcPr>
            <w:tcW w:w="2410" w:type="dxa"/>
            <w:tcBorders>
              <w:top w:val="single" w:sz="4" w:space="0" w:color="auto"/>
              <w:left w:val="single" w:sz="4" w:space="0" w:color="auto"/>
              <w:right w:val="single" w:sz="4" w:space="0" w:color="auto"/>
            </w:tcBorders>
            <w:shd w:val="clear" w:color="auto" w:fill="auto"/>
          </w:tcPr>
          <w:p w14:paraId="02B3C955" w14:textId="77777777" w:rsidR="00FE7536" w:rsidRDefault="00FE7536" w:rsidP="00FE7536">
            <w:pPr>
              <w:spacing w:line="276" w:lineRule="auto"/>
              <w:jc w:val="left"/>
              <w:rPr>
                <w:rFonts w:cs="Arial"/>
                <w:sz w:val="20"/>
                <w:szCs w:val="20"/>
              </w:rPr>
            </w:pPr>
            <w:r>
              <w:rPr>
                <w:rFonts w:cs="Arial"/>
                <w:sz w:val="20"/>
                <w:szCs w:val="20"/>
              </w:rPr>
              <w:t>1.8</w:t>
            </w:r>
          </w:p>
          <w:p w14:paraId="511E703E" w14:textId="77777777" w:rsidR="005356A9" w:rsidRPr="00FE7536" w:rsidRDefault="005356A9" w:rsidP="00FE7536">
            <w:pPr>
              <w:spacing w:line="276" w:lineRule="auto"/>
              <w:jc w:val="left"/>
              <w:rPr>
                <w:rFonts w:cs="Arial"/>
                <w:sz w:val="20"/>
                <w:szCs w:val="20"/>
              </w:rPr>
            </w:pPr>
            <w:r w:rsidRPr="00FE7536">
              <w:rPr>
                <w:rFonts w:cs="Arial"/>
                <w:sz w:val="20"/>
                <w:szCs w:val="20"/>
              </w:rPr>
              <w:t xml:space="preserve">The UN was seen by the parties as a neutral and strategic partner to support the CPA and AMMAA commitments for the cantonment, </w:t>
            </w:r>
            <w:r w:rsidRPr="00FE7536">
              <w:rPr>
                <w:rFonts w:cs="Arial"/>
                <w:spacing w:val="-3"/>
                <w:sz w:val="20"/>
                <w:szCs w:val="20"/>
              </w:rPr>
              <w:t>discharge, and rehabilitation of the Maoist army (2007)</w:t>
            </w:r>
          </w:p>
        </w:tc>
        <w:tc>
          <w:tcPr>
            <w:tcW w:w="2268" w:type="dxa"/>
            <w:tcBorders>
              <w:top w:val="single" w:sz="4" w:space="0" w:color="auto"/>
              <w:left w:val="single" w:sz="4" w:space="0" w:color="auto"/>
              <w:right w:val="single" w:sz="4" w:space="0" w:color="auto"/>
            </w:tcBorders>
            <w:shd w:val="clear" w:color="auto" w:fill="auto"/>
          </w:tcPr>
          <w:p w14:paraId="1A883FD9" w14:textId="77777777" w:rsidR="00FE7536" w:rsidRDefault="00FE7536" w:rsidP="00FE7536">
            <w:pPr>
              <w:spacing w:line="276" w:lineRule="auto"/>
              <w:jc w:val="left"/>
              <w:rPr>
                <w:rFonts w:cs="Arial"/>
                <w:sz w:val="20"/>
                <w:szCs w:val="20"/>
              </w:rPr>
            </w:pPr>
            <w:r>
              <w:rPr>
                <w:rFonts w:cs="Arial"/>
                <w:sz w:val="20"/>
                <w:szCs w:val="20"/>
              </w:rPr>
              <w:t>1.8</w:t>
            </w:r>
          </w:p>
          <w:p w14:paraId="17C4DB4C" w14:textId="77777777" w:rsidR="005356A9" w:rsidRPr="00FE7536" w:rsidRDefault="005356A9" w:rsidP="00FE7536">
            <w:pPr>
              <w:spacing w:line="276" w:lineRule="auto"/>
              <w:jc w:val="left"/>
              <w:rPr>
                <w:rFonts w:cs="Arial"/>
                <w:sz w:val="20"/>
                <w:szCs w:val="20"/>
              </w:rPr>
            </w:pPr>
            <w:r w:rsidRPr="00FE7536">
              <w:rPr>
                <w:rFonts w:cs="Arial"/>
                <w:sz w:val="20"/>
                <w:szCs w:val="20"/>
              </w:rPr>
              <w:t xml:space="preserve">Provisions provided by UN agencies were timely, neutral and technical assistance was offered along the different steps of the cantonment, </w:t>
            </w:r>
            <w:r w:rsidRPr="00FE7536">
              <w:rPr>
                <w:rFonts w:cs="Arial"/>
                <w:spacing w:val="-3"/>
                <w:sz w:val="20"/>
                <w:szCs w:val="20"/>
              </w:rPr>
              <w:t>discharge, integration and rehabilitation of the Maoist army</w:t>
            </w:r>
            <w:r w:rsidRPr="00FE7536">
              <w:rPr>
                <w:rFonts w:cs="Arial"/>
                <w:sz w:val="20"/>
                <w:szCs w:val="20"/>
              </w:rPr>
              <w:t xml:space="preserve"> personnel</w:t>
            </w:r>
          </w:p>
        </w:tc>
        <w:tc>
          <w:tcPr>
            <w:tcW w:w="4090" w:type="dxa"/>
            <w:tcBorders>
              <w:top w:val="single" w:sz="4" w:space="0" w:color="auto"/>
              <w:left w:val="single" w:sz="4" w:space="0" w:color="auto"/>
              <w:right w:val="single" w:sz="4" w:space="0" w:color="auto"/>
            </w:tcBorders>
            <w:shd w:val="clear" w:color="auto" w:fill="auto"/>
          </w:tcPr>
          <w:p w14:paraId="74D06344" w14:textId="77777777" w:rsidR="00FE7536" w:rsidRDefault="00FE7536" w:rsidP="00FE7536">
            <w:pPr>
              <w:tabs>
                <w:tab w:val="left" w:pos="335"/>
              </w:tabs>
              <w:spacing w:line="276" w:lineRule="auto"/>
              <w:ind w:rightChars="-45" w:right="-99"/>
              <w:jc w:val="left"/>
              <w:rPr>
                <w:rFonts w:cs="Arial"/>
                <w:sz w:val="20"/>
                <w:szCs w:val="20"/>
              </w:rPr>
            </w:pPr>
            <w:r>
              <w:rPr>
                <w:rFonts w:cs="Arial"/>
                <w:sz w:val="20"/>
                <w:szCs w:val="20"/>
              </w:rPr>
              <w:t>1.8</w:t>
            </w:r>
          </w:p>
          <w:p w14:paraId="761DA987" w14:textId="77777777" w:rsidR="005356A9" w:rsidRPr="00FE7536" w:rsidRDefault="005356A9" w:rsidP="00FE7536">
            <w:pPr>
              <w:tabs>
                <w:tab w:val="left" w:pos="335"/>
              </w:tabs>
              <w:spacing w:line="276" w:lineRule="auto"/>
              <w:ind w:rightChars="-45" w:right="-99"/>
              <w:jc w:val="left"/>
              <w:rPr>
                <w:rFonts w:cs="Arial"/>
                <w:sz w:val="20"/>
                <w:szCs w:val="20"/>
              </w:rPr>
            </w:pPr>
            <w:r w:rsidRPr="00FE7536">
              <w:rPr>
                <w:rFonts w:cs="Arial"/>
                <w:sz w:val="20"/>
                <w:szCs w:val="20"/>
              </w:rPr>
              <w:t>Rapid deployment of registration team</w:t>
            </w:r>
          </w:p>
          <w:p w14:paraId="6AFDA5B6" w14:textId="77777777" w:rsidR="005356A9" w:rsidRPr="00ED37CF" w:rsidRDefault="005356A9" w:rsidP="003F3798">
            <w:pPr>
              <w:pStyle w:val="ListParagraph"/>
              <w:tabs>
                <w:tab w:val="left" w:pos="335"/>
              </w:tabs>
              <w:ind w:left="288" w:rightChars="-45" w:right="-99"/>
              <w:contextualSpacing w:val="0"/>
              <w:rPr>
                <w:rFonts w:cs="Arial"/>
                <w:sz w:val="20"/>
                <w:szCs w:val="20"/>
              </w:rPr>
            </w:pPr>
            <w:r w:rsidRPr="00ED37CF">
              <w:rPr>
                <w:rFonts w:cs="Arial"/>
                <w:sz w:val="20"/>
                <w:szCs w:val="20"/>
              </w:rPr>
              <w:t>Upon request from GoN, winter clothing was procured and delivered to cantonments over a period of three months. It involved procurement of goods in China and their shipment to Nepal</w:t>
            </w:r>
          </w:p>
          <w:p w14:paraId="1FCB391F" w14:textId="77777777" w:rsidR="005356A9" w:rsidRPr="00ED37CF" w:rsidRDefault="005356A9" w:rsidP="003F3798">
            <w:pPr>
              <w:pStyle w:val="CommentText"/>
              <w:spacing w:after="120"/>
              <w:ind w:left="288" w:rightChars="-45" w:right="-99"/>
              <w:rPr>
                <w:rFonts w:ascii="Myriad Pro" w:eastAsiaTheme="minorEastAsia" w:hAnsi="Myriad Pro" w:cs="Arial"/>
                <w:lang w:eastAsia="ja-JP"/>
              </w:rPr>
            </w:pPr>
            <w:r w:rsidRPr="00ED37CF">
              <w:rPr>
                <w:rFonts w:ascii="Myriad Pro" w:eastAsiaTheme="minorEastAsia" w:hAnsi="Myriad Pro" w:cs="Arial"/>
              </w:rPr>
              <w:t xml:space="preserve">A UN Technical and logistic team of 60 staff were hired, trained and deployed in less than two weeks to conduct the discharge of 4,008 VMLR </w:t>
            </w:r>
          </w:p>
          <w:p w14:paraId="525B136E" w14:textId="77777777" w:rsidR="005356A9" w:rsidRPr="00ED37CF" w:rsidRDefault="005356A9" w:rsidP="003F3798">
            <w:pPr>
              <w:pStyle w:val="CommentText"/>
              <w:spacing w:after="120"/>
              <w:ind w:left="292" w:rightChars="-45" w:right="-99"/>
              <w:contextualSpacing/>
              <w:rPr>
                <w:rFonts w:ascii="Myriad Pro" w:eastAsiaTheme="minorEastAsia" w:hAnsi="Myriad Pro" w:cs="Arial"/>
                <w:lang w:eastAsia="ja-JP"/>
              </w:rPr>
            </w:pPr>
            <w:r w:rsidRPr="00ED37CF">
              <w:rPr>
                <w:rFonts w:ascii="Myriad Pro" w:eastAsiaTheme="minorEastAsia" w:hAnsi="Myriad Pro" w:cs="Arial"/>
                <w:lang w:eastAsia="ja-JP"/>
              </w:rPr>
              <w:t xml:space="preserve">Regular coordination meetings with Special Committees (SC) MoPR and partner agencies Provided technical assistance to MoPR and SC on integration and </w:t>
            </w:r>
            <w:r w:rsidRPr="00ED37CF">
              <w:rPr>
                <w:rFonts w:ascii="Myriad Pro" w:eastAsiaTheme="minorEastAsia" w:hAnsi="Myriad Pro" w:cs="Arial"/>
                <w:lang w:eastAsia="ja-JP"/>
              </w:rPr>
              <w:lastRenderedPageBreak/>
              <w:t>rehabilitation</w:t>
            </w:r>
          </w:p>
        </w:tc>
      </w:tr>
    </w:tbl>
    <w:p w14:paraId="208A813E" w14:textId="797D25BB" w:rsidR="008B4BD4" w:rsidRDefault="008B4BD4" w:rsidP="008B4BD4">
      <w:pPr>
        <w:pStyle w:val="Heading2"/>
        <w:numPr>
          <w:ilvl w:val="0"/>
          <w:numId w:val="0"/>
        </w:numPr>
        <w:ind w:left="360"/>
      </w:pPr>
    </w:p>
    <w:p w14:paraId="7C8CF6DE" w14:textId="77777777" w:rsidR="008B4BD4" w:rsidRDefault="008B4BD4" w:rsidP="008B4BD4">
      <w:pPr>
        <w:pStyle w:val="Heading2"/>
        <w:numPr>
          <w:ilvl w:val="0"/>
          <w:numId w:val="0"/>
        </w:numPr>
        <w:ind w:left="360"/>
      </w:pPr>
    </w:p>
    <w:p w14:paraId="46E7B090" w14:textId="77777777" w:rsidR="008B4BD4" w:rsidRDefault="008B4BD4" w:rsidP="008B4BD4">
      <w:pPr>
        <w:pStyle w:val="Heading2"/>
        <w:numPr>
          <w:ilvl w:val="0"/>
          <w:numId w:val="0"/>
        </w:numPr>
        <w:ind w:left="360"/>
      </w:pPr>
    </w:p>
    <w:p w14:paraId="416D5F33" w14:textId="77777777" w:rsidR="008B4BD4" w:rsidRDefault="008B4BD4" w:rsidP="008B4BD4">
      <w:pPr>
        <w:pStyle w:val="Heading2"/>
        <w:numPr>
          <w:ilvl w:val="0"/>
          <w:numId w:val="0"/>
        </w:numPr>
        <w:ind w:left="360"/>
      </w:pPr>
    </w:p>
    <w:p w14:paraId="77448191" w14:textId="77777777" w:rsidR="001C4919" w:rsidRPr="00ED37CF" w:rsidRDefault="001C4919" w:rsidP="00AC7BA9">
      <w:pPr>
        <w:pStyle w:val="Heading2"/>
      </w:pPr>
      <w:r w:rsidRPr="00ED37CF">
        <w:t>Cross Cutting Issues</w:t>
      </w:r>
      <w:bookmarkEnd w:id="109"/>
      <w:bookmarkEnd w:id="110"/>
      <w:bookmarkEnd w:id="111"/>
      <w:bookmarkEnd w:id="112"/>
    </w:p>
    <w:p w14:paraId="1A2B8958" w14:textId="3CBA6AE2" w:rsidR="001C4919" w:rsidRPr="00ED37CF" w:rsidRDefault="001C4919" w:rsidP="000754AB">
      <w:r w:rsidRPr="00ED37CF">
        <w:t>The cross cutting issues of the programme were prioritized and dealt with in a timely manner. The programme had no access to the VMLR and could not develop profiles to identify their needs prior to the discharge process. It was therefore necessary for the programme to remain flexible and adapt throughout. Most of the cross cutting support was completed in 2012 but UNIRP continued to provided gender specific support to programme graduates and their family members 2013.</w:t>
      </w:r>
    </w:p>
    <w:p w14:paraId="1340BD94" w14:textId="77777777" w:rsidR="001C4919" w:rsidRPr="00ED37CF" w:rsidRDefault="00A670E1" w:rsidP="0036529A">
      <w:pPr>
        <w:pStyle w:val="Heading3"/>
      </w:pPr>
      <w:bookmarkStart w:id="116" w:name="_Toc389486856"/>
      <w:bookmarkStart w:id="117" w:name="_Toc393373745"/>
      <w:r w:rsidRPr="00ED37CF">
        <w:t>7</w:t>
      </w:r>
      <w:r w:rsidR="0036529A" w:rsidRPr="00ED37CF">
        <w:t>.1</w:t>
      </w:r>
      <w:r w:rsidR="0036529A" w:rsidRPr="00ED37CF">
        <w:tab/>
      </w:r>
      <w:r w:rsidR="001C4919" w:rsidRPr="00ED37CF">
        <w:t>Sustainability of the Project</w:t>
      </w:r>
      <w:bookmarkEnd w:id="116"/>
      <w:bookmarkEnd w:id="117"/>
    </w:p>
    <w:p w14:paraId="35B58A9E" w14:textId="48615FC7" w:rsidR="001C4919" w:rsidRPr="00ED37CF" w:rsidRDefault="001C4919" w:rsidP="0036529A">
      <w:r w:rsidRPr="00ED37CF">
        <w:t>The majority of the participants completed their training or education programme during the first two years of the programme.</w:t>
      </w:r>
      <w:r w:rsidR="005E1EE9" w:rsidRPr="00ED37CF">
        <w:t xml:space="preserve"> </w:t>
      </w:r>
      <w:r w:rsidRPr="00ED37CF">
        <w:t xml:space="preserve">However, </w:t>
      </w:r>
      <w:r w:rsidR="00F737CA">
        <w:t>the programme</w:t>
      </w:r>
      <w:r w:rsidR="00F737CA" w:rsidRPr="00ED37CF">
        <w:t xml:space="preserve"> </w:t>
      </w:r>
      <w:r w:rsidRPr="00ED37CF">
        <w:t xml:space="preserve">was subsequently extended to July 2013 because of the need to follow up with graduates in order to ensure </w:t>
      </w:r>
      <w:r w:rsidR="00F737CA">
        <w:t xml:space="preserve">that </w:t>
      </w:r>
      <w:r w:rsidRPr="00ED37CF">
        <w:t>they were engaged in sustainable livelihood opportunities.</w:t>
      </w:r>
      <w:r w:rsidR="005E1EE9" w:rsidRPr="00ED37CF">
        <w:t xml:space="preserve"> </w:t>
      </w:r>
      <w:r w:rsidRPr="00ED37CF">
        <w:t>The extension covered two major activities: the first was to conduct a tracing of the individuals and to provide continuous programme interventions, and the second was to engage in monitoring and follow up for the last six months.</w:t>
      </w:r>
    </w:p>
    <w:p w14:paraId="10939D8D" w14:textId="216F06CF" w:rsidR="001C4919" w:rsidRPr="00ED37CF" w:rsidRDefault="001C4919" w:rsidP="0036529A">
      <w:r w:rsidRPr="00ED37CF">
        <w:t xml:space="preserve">Since the fundamental principle for sustainability was based on accommodating individual needs, one of the major programme interventions was to conduct individual needs assessments </w:t>
      </w:r>
      <w:r w:rsidR="00233979">
        <w:t xml:space="preserve">through </w:t>
      </w:r>
      <w:r w:rsidRPr="00ED37CF">
        <w:t>which further support was recommended.</w:t>
      </w:r>
      <w:r w:rsidR="005E1EE9" w:rsidRPr="00ED37CF">
        <w:t xml:space="preserve"> </w:t>
      </w:r>
      <w:r w:rsidRPr="00ED37CF">
        <w:t xml:space="preserve">This was a part of the individual case management system, in which staff assessed the needs of a participant on a case-by-case basis and </w:t>
      </w:r>
      <w:r w:rsidR="00233979">
        <w:t xml:space="preserve">supported </w:t>
      </w:r>
      <w:r w:rsidRPr="00ED37CF">
        <w:t>them accordingly with</w:t>
      </w:r>
      <w:r w:rsidR="00233979">
        <w:t>in</w:t>
      </w:r>
      <w:r w:rsidRPr="00ED37CF">
        <w:t xml:space="preserve"> the various programme intervention initiatives while also showing flexibility </w:t>
      </w:r>
      <w:r w:rsidR="00233979">
        <w:t xml:space="preserve">for </w:t>
      </w:r>
      <w:r w:rsidRPr="00ED37CF">
        <w:t>the individual’s needs.</w:t>
      </w:r>
    </w:p>
    <w:p w14:paraId="0A0FEF03" w14:textId="3B64F5A9" w:rsidR="001C4919" w:rsidRPr="00ED37CF" w:rsidRDefault="001C4919" w:rsidP="0036529A">
      <w:r w:rsidRPr="00ED37CF">
        <w:t>One of the challenging tasks for the successful socio-economic rehabilitation of the VMLR was a result of the heterogeneous social structure, diverse culture, limited employment opportunities, and poor absorptive capacity in the labour market as well as a depleted economy in Nepal. To ensure success</w:t>
      </w:r>
      <w:r w:rsidR="00233979">
        <w:t>ful rehabilitation</w:t>
      </w:r>
      <w:r w:rsidRPr="00ED37CF">
        <w:t>, participants were provided with a range of programmes and services, including career counselling, psychosocial support, life skills training, work skills training, entrepreneurship workshops, business mentoring, and civic education.</w:t>
      </w:r>
    </w:p>
    <w:p w14:paraId="2050EFD4" w14:textId="2B3132A8" w:rsidR="001C4919" w:rsidRPr="00ED37CF" w:rsidRDefault="001C4919" w:rsidP="0036529A">
      <w:r w:rsidRPr="00ED37CF">
        <w:t>Participants received additional support based on individual needs assessments. It included BPS, which involved the provision of in-kind support, such as tools and material, as well as Refresher Skills Training, which lasted up to three month</w:t>
      </w:r>
      <w:r w:rsidR="00233979">
        <w:t>s</w:t>
      </w:r>
      <w:r w:rsidRPr="00ED37CF">
        <w:t xml:space="preserve"> as per the needs of the individual.</w:t>
      </w:r>
      <w:r w:rsidR="005E1EE9" w:rsidRPr="00ED37CF">
        <w:t xml:space="preserve"> </w:t>
      </w:r>
      <w:r w:rsidRPr="00ED37CF">
        <w:t xml:space="preserve">For those participants who wanted to divert their </w:t>
      </w:r>
      <w:r w:rsidRPr="00ED37CF">
        <w:lastRenderedPageBreak/>
        <w:t>business, or run two businesses simultaneously, Diverse Support was also provided, which helped them increase their earnings and sustain their businesses.</w:t>
      </w:r>
      <w:r w:rsidR="005E1EE9" w:rsidRPr="00ED37CF">
        <w:t xml:space="preserve"> </w:t>
      </w:r>
      <w:r w:rsidRPr="00ED37CF">
        <w:t>For VST participants, ELS was provided to help create employment linkages, expand participants’ businesses, enhance their skills, and establish their own business.</w:t>
      </w:r>
    </w:p>
    <w:p w14:paraId="5C0D5229" w14:textId="1465B004" w:rsidR="001C4919" w:rsidRPr="00ED37CF" w:rsidRDefault="001C4919" w:rsidP="0036529A">
      <w:r w:rsidRPr="00ED37CF">
        <w:t xml:space="preserve">UNIRP and the Youth and Small Entrepreneur Self Employment Fund (YSESEF), under the Ministry of Finance signed a memorandum of understanding in October 2012, which enabled UNIRP graduates to access affordable loans to sustain and expand their businesses. UNIRP and YSESEF organized 14 joint orientation workshops in Panchthar, Ilam, Morang, Dhankuta, Makawanpur, Kathmandu, Kaski, Rupendehi, Dang, Surkhet, Banke, Kailali, Kanchanpur, and Dadeldhura. Altogether, </w:t>
      </w:r>
      <w:r w:rsidR="005E1EE9" w:rsidRPr="00ED37CF">
        <w:t>738</w:t>
      </w:r>
      <w:r w:rsidRPr="00ED37CF">
        <w:t xml:space="preserve"> programme graduates, the YSESEF district focal person, banks and financial institutions attended</w:t>
      </w:r>
      <w:r w:rsidR="00233979">
        <w:t>.</w:t>
      </w:r>
    </w:p>
    <w:p w14:paraId="0615C6F0" w14:textId="77777777" w:rsidR="001C4919" w:rsidRPr="00ED37CF" w:rsidRDefault="00A670E1" w:rsidP="0036529A">
      <w:pPr>
        <w:pStyle w:val="Heading5"/>
      </w:pPr>
      <w:r w:rsidRPr="00ED37CF">
        <w:t>7</w:t>
      </w:r>
      <w:r w:rsidR="00B735B3" w:rsidRPr="00ED37CF">
        <w:t>.1.1</w:t>
      </w:r>
      <w:r w:rsidR="00B735B3" w:rsidRPr="00ED37CF">
        <w:tab/>
      </w:r>
      <w:r w:rsidR="001C4919" w:rsidRPr="00ED37CF">
        <w:t>Capacity Development</w:t>
      </w:r>
    </w:p>
    <w:p w14:paraId="0C7DA913" w14:textId="19711DD7" w:rsidR="001C4919" w:rsidRPr="00ED37CF" w:rsidRDefault="001C4919" w:rsidP="0036529A">
      <w:r w:rsidRPr="00ED37CF">
        <w:rPr>
          <w:lang w:eastAsia="ja-JP"/>
        </w:rPr>
        <w:t>As part of the UNIRP Phase-Out Strategy, capacity building of relevant government staff and officials took place during the final months in consultation with MoPR.</w:t>
      </w:r>
      <w:r w:rsidR="005E1EE9" w:rsidRPr="00ED37CF">
        <w:rPr>
          <w:lang w:eastAsia="ja-JP"/>
        </w:rPr>
        <w:t xml:space="preserve"> </w:t>
      </w:r>
      <w:r w:rsidRPr="00ED37CF">
        <w:rPr>
          <w:lang w:eastAsia="ja-JP"/>
        </w:rPr>
        <w:t>It primarily included capacity building sessions leading to the final caseload handover to the GoN.</w:t>
      </w:r>
      <w:r w:rsidR="005E1EE9" w:rsidRPr="00ED37CF">
        <w:rPr>
          <w:lang w:eastAsia="ja-JP"/>
        </w:rPr>
        <w:t xml:space="preserve"> </w:t>
      </w:r>
      <w:r w:rsidRPr="00ED37CF">
        <w:rPr>
          <w:lang w:eastAsia="ja-JP"/>
        </w:rPr>
        <w:t>The process involved discussions identifying government initiatives that could provide on-going support to VMLR, as well as training seminars for MoPR technical staff on managing the database and information management system.</w:t>
      </w:r>
      <w:r w:rsidR="005E1EE9" w:rsidRPr="00ED37CF">
        <w:rPr>
          <w:lang w:eastAsia="ja-JP"/>
        </w:rPr>
        <w:t xml:space="preserve"> </w:t>
      </w:r>
      <w:r w:rsidRPr="00ED37CF">
        <w:rPr>
          <w:lang w:eastAsia="ja-JP"/>
        </w:rPr>
        <w:t>As part of the handover, UNIRP had integrated a “Case Closure” module to DDR-IMS to ensure that data on each VMLR had been fully entered before the files were closed.</w:t>
      </w:r>
      <w:r w:rsidR="005E1EE9" w:rsidRPr="00ED37CF">
        <w:rPr>
          <w:lang w:eastAsia="ja-JP"/>
        </w:rPr>
        <w:t xml:space="preserve"> </w:t>
      </w:r>
      <w:r w:rsidRPr="00ED37CF">
        <w:rPr>
          <w:lang w:eastAsia="ja-JP"/>
        </w:rPr>
        <w:t xml:space="preserve">It is worthy to note </w:t>
      </w:r>
      <w:r w:rsidRPr="00ED37CF">
        <w:t>DDR-IMS can be replicated for similar programmes elsewhere and serve as an important contribution to other peace building efforts around the world.</w:t>
      </w:r>
    </w:p>
    <w:p w14:paraId="4BCC071B" w14:textId="77777777" w:rsidR="001C4919" w:rsidRPr="00ED37CF" w:rsidRDefault="00A670E1" w:rsidP="00B735B3">
      <w:pPr>
        <w:pStyle w:val="Heading5"/>
      </w:pPr>
      <w:bookmarkStart w:id="118" w:name="_Toc389486857"/>
      <w:r w:rsidRPr="00ED37CF">
        <w:t>7</w:t>
      </w:r>
      <w:r w:rsidR="00B735B3" w:rsidRPr="00ED37CF">
        <w:t>.1.2</w:t>
      </w:r>
      <w:r w:rsidR="00B735B3" w:rsidRPr="00ED37CF">
        <w:tab/>
      </w:r>
      <w:r w:rsidR="001C4919" w:rsidRPr="00ED37CF">
        <w:t>Sustainability Strategy</w:t>
      </w:r>
      <w:bookmarkEnd w:id="118"/>
    </w:p>
    <w:p w14:paraId="6D398267" w14:textId="23928D89" w:rsidR="001C4919" w:rsidRPr="00ED37CF" w:rsidRDefault="001C4919" w:rsidP="00B735B3">
      <w:pPr>
        <w:rPr>
          <w:lang w:eastAsia="ja-JP"/>
        </w:rPr>
      </w:pPr>
      <w:r w:rsidRPr="00ED37CF">
        <w:rPr>
          <w:lang w:eastAsia="ja-JP"/>
        </w:rPr>
        <w:t>A six-month extension was necessary for UNIRP to exercise a gradual and coordinated withdrawal plan to ensure that the programme’s graduates maintained sustainable livelihoods.</w:t>
      </w:r>
      <w:r w:rsidR="005E1EE9" w:rsidRPr="00ED37CF">
        <w:rPr>
          <w:lang w:eastAsia="ja-JP"/>
        </w:rPr>
        <w:t xml:space="preserve"> </w:t>
      </w:r>
      <w:r w:rsidRPr="00ED37CF">
        <w:rPr>
          <w:lang w:eastAsia="ja-JP"/>
        </w:rPr>
        <w:t>In September 2012, a workshop was held on Peace Sensitivity in the UNIRP Phase-Out Strategy, where concerns were raised over the issues of the political commitment and government ownership regarding the success and sustainability of the programme.</w:t>
      </w:r>
      <w:r w:rsidR="005E1EE9" w:rsidRPr="00ED37CF">
        <w:rPr>
          <w:lang w:eastAsia="ja-JP"/>
        </w:rPr>
        <w:t xml:space="preserve"> </w:t>
      </w:r>
      <w:r w:rsidRPr="00ED37CF">
        <w:rPr>
          <w:lang w:eastAsia="ja-JP"/>
        </w:rPr>
        <w:t>During this time, UNIRP worked closely with relevant agencies to provide follow-up services for the beneficiaries and transfer responsibilities, information and experience of the programme.</w:t>
      </w:r>
      <w:r w:rsidR="005E1EE9" w:rsidRPr="00ED37CF">
        <w:rPr>
          <w:lang w:eastAsia="ja-JP"/>
        </w:rPr>
        <w:t xml:space="preserve"> </w:t>
      </w:r>
      <w:r w:rsidRPr="00ED37CF">
        <w:rPr>
          <w:lang w:eastAsia="ja-JP"/>
        </w:rPr>
        <w:t>It was important to offer a combination of on-going services so that the successful graduates could sustain their jobs and businesses.</w:t>
      </w:r>
      <w:r w:rsidR="005E1EE9" w:rsidRPr="00ED37CF">
        <w:rPr>
          <w:lang w:eastAsia="ja-JP"/>
        </w:rPr>
        <w:t xml:space="preserve"> </w:t>
      </w:r>
      <w:r w:rsidRPr="00ED37CF">
        <w:rPr>
          <w:lang w:eastAsia="ja-JP"/>
        </w:rPr>
        <w:t xml:space="preserve">The extension also </w:t>
      </w:r>
      <w:r w:rsidR="00233979" w:rsidRPr="00ED37CF">
        <w:rPr>
          <w:lang w:eastAsia="ja-JP"/>
        </w:rPr>
        <w:t>allow</w:t>
      </w:r>
      <w:r w:rsidR="00233979">
        <w:rPr>
          <w:lang w:eastAsia="ja-JP"/>
        </w:rPr>
        <w:t>ed</w:t>
      </w:r>
      <w:r w:rsidR="00233979" w:rsidRPr="00ED37CF">
        <w:rPr>
          <w:lang w:eastAsia="ja-JP"/>
        </w:rPr>
        <w:t xml:space="preserve"> </w:t>
      </w:r>
      <w:r w:rsidRPr="00ED37CF">
        <w:rPr>
          <w:lang w:eastAsia="ja-JP"/>
        </w:rPr>
        <w:t xml:space="preserve">the education participants to complete their studies by </w:t>
      </w:r>
      <w:r w:rsidR="00963D6C" w:rsidRPr="00ED37CF">
        <w:rPr>
          <w:lang w:eastAsia="ja-JP"/>
        </w:rPr>
        <w:t>December</w:t>
      </w:r>
      <w:r w:rsidRPr="00ED37CF">
        <w:rPr>
          <w:lang w:eastAsia="ja-JP"/>
        </w:rPr>
        <w:t xml:space="preserve"> 201</w:t>
      </w:r>
      <w:r w:rsidR="00963D6C" w:rsidRPr="00ED37CF">
        <w:rPr>
          <w:lang w:eastAsia="ja-JP"/>
        </w:rPr>
        <w:t>4</w:t>
      </w:r>
      <w:r w:rsidRPr="00ED37CF">
        <w:rPr>
          <w:lang w:eastAsia="ja-JP"/>
        </w:rPr>
        <w:t>.</w:t>
      </w:r>
      <w:r w:rsidR="005E1EE9" w:rsidRPr="00ED37CF">
        <w:rPr>
          <w:lang w:eastAsia="ja-JP"/>
        </w:rPr>
        <w:t xml:space="preserve"> </w:t>
      </w:r>
      <w:r w:rsidRPr="00ED37CF">
        <w:rPr>
          <w:lang w:eastAsia="ja-JP"/>
        </w:rPr>
        <w:t xml:space="preserve">For fresh graduates, it was also critical to identify other programmes for </w:t>
      </w:r>
      <w:r w:rsidRPr="00ED37CF">
        <w:t>effective linkages with potential local and national level initiatives and organizations. The programme managed to coordinate possible referral of programme graduates with GoN’s MoPR, Care International, EVENT, the Emergency Peace Support Program, as well as the Helvetas Nepal,</w:t>
      </w:r>
      <w:r w:rsidRPr="00ED37CF">
        <w:rPr>
          <w:lang w:eastAsia="ja-JP"/>
        </w:rPr>
        <w:t xml:space="preserve"> in order to ensure their long-term success.</w:t>
      </w:r>
      <w:r w:rsidR="005E1EE9" w:rsidRPr="00ED37CF">
        <w:rPr>
          <w:lang w:eastAsia="ja-JP"/>
        </w:rPr>
        <w:t xml:space="preserve"> </w:t>
      </w:r>
      <w:r w:rsidRPr="00ED37CF">
        <w:rPr>
          <w:lang w:eastAsia="ja-JP"/>
        </w:rPr>
        <w:t xml:space="preserve">During this time, UNIRP focussed its efforts on providing continued M&amp;E and required support services. </w:t>
      </w:r>
    </w:p>
    <w:p w14:paraId="524CA353" w14:textId="77777777" w:rsidR="001C4919" w:rsidRPr="00ED37CF" w:rsidRDefault="001C4919" w:rsidP="00B735B3">
      <w:pPr>
        <w:pStyle w:val="Heading3"/>
      </w:pPr>
      <w:bookmarkStart w:id="119" w:name="_Toc389486858"/>
      <w:r w:rsidRPr="00ED37CF">
        <w:t xml:space="preserve"> </w:t>
      </w:r>
      <w:bookmarkStart w:id="120" w:name="_Toc393116680"/>
      <w:bookmarkStart w:id="121" w:name="_Toc393117846"/>
      <w:bookmarkStart w:id="122" w:name="_Toc393373746"/>
      <w:r w:rsidR="00A670E1" w:rsidRPr="00ED37CF">
        <w:t>7</w:t>
      </w:r>
      <w:r w:rsidR="00B735B3" w:rsidRPr="00ED37CF">
        <w:t>.2</w:t>
      </w:r>
      <w:r w:rsidR="00B735B3" w:rsidRPr="00ED37CF">
        <w:tab/>
      </w:r>
      <w:r w:rsidRPr="00ED37CF">
        <w:t>South-South Cooperation</w:t>
      </w:r>
      <w:bookmarkEnd w:id="119"/>
      <w:bookmarkEnd w:id="120"/>
      <w:bookmarkEnd w:id="121"/>
      <w:bookmarkEnd w:id="122"/>
    </w:p>
    <w:p w14:paraId="6122955F" w14:textId="77777777" w:rsidR="001C4919" w:rsidRPr="00ED37CF" w:rsidRDefault="001C4919" w:rsidP="00B735B3">
      <w:pPr>
        <w:rPr>
          <w:highlight w:val="yellow"/>
        </w:rPr>
      </w:pPr>
      <w:r w:rsidRPr="00ED37CF">
        <w:rPr>
          <w:lang w:eastAsia="ja-JP"/>
        </w:rPr>
        <w:t>Within the first week that UNMIN was established in January 2007, the UNCT requested the support of the UNDP-Afghanistan in December 2006 to register the ex-combatants from the cantonments and satellite camps because there were no individual profiles.</w:t>
      </w:r>
      <w:r w:rsidR="005E1EE9" w:rsidRPr="00ED37CF">
        <w:rPr>
          <w:lang w:eastAsia="ja-JP"/>
        </w:rPr>
        <w:t xml:space="preserve"> </w:t>
      </w:r>
      <w:r w:rsidRPr="00ED37CF">
        <w:rPr>
          <w:lang w:eastAsia="ja-JP"/>
        </w:rPr>
        <w:t xml:space="preserve">As part of a south-south collaborative effort, UNDP-Nepal </w:t>
      </w:r>
      <w:r w:rsidRPr="00ED37CF">
        <w:rPr>
          <w:lang w:eastAsia="ja-JP"/>
        </w:rPr>
        <w:lastRenderedPageBreak/>
        <w:t>requested help on the registration process from the Afghan New Beginnings Programme (ANBP), a UNDP programme that had been established to assist the Government of Afghanistan in the DDR of the Afghan Military Forces (AMF).</w:t>
      </w:r>
      <w:r w:rsidR="005E1EE9" w:rsidRPr="00ED37CF">
        <w:rPr>
          <w:lang w:eastAsia="ja-JP"/>
        </w:rPr>
        <w:t xml:space="preserve"> </w:t>
      </w:r>
      <w:r w:rsidRPr="00ED37CF">
        <w:rPr>
          <w:lang w:eastAsia="ja-JP"/>
        </w:rPr>
        <w:t>Under the direct supervision of the Office of Personal Representative of the Secretary-General (OPRSG), an international team of 10-members provided training to specialist staff from UNMIN,</w:t>
      </w:r>
      <w:r w:rsidRPr="00ED37CF" w:rsidDel="00945933">
        <w:rPr>
          <w:lang w:eastAsia="ja-JP"/>
        </w:rPr>
        <w:t xml:space="preserve"> </w:t>
      </w:r>
      <w:r w:rsidRPr="00ED37CF">
        <w:rPr>
          <w:lang w:eastAsia="ja-JP"/>
        </w:rPr>
        <w:t xml:space="preserve">UNDP and UNICEF on the registration process, which involved acquainting them with a personnel and weapons recording database and reporting system, as well as providing training and briefings to the UN Monitoring Teams. </w:t>
      </w:r>
    </w:p>
    <w:p w14:paraId="06C93EC6" w14:textId="77777777" w:rsidR="001C4919" w:rsidRPr="00ED37CF" w:rsidRDefault="001C4919" w:rsidP="00B735B3">
      <w:pPr>
        <w:rPr>
          <w:lang w:eastAsia="ja-JP"/>
        </w:rPr>
      </w:pPr>
      <w:r w:rsidRPr="00ED37CF">
        <w:rPr>
          <w:lang w:eastAsia="ja-JP"/>
        </w:rPr>
        <w:t>As demonstrated by the contributions of UNDP Afghanistan, collaboration was essential for the success of Nepal’s registration process.</w:t>
      </w:r>
      <w:r w:rsidR="005E1EE9" w:rsidRPr="00ED37CF">
        <w:rPr>
          <w:lang w:eastAsia="ja-JP"/>
        </w:rPr>
        <w:t xml:space="preserve"> </w:t>
      </w:r>
      <w:r w:rsidRPr="00ED37CF">
        <w:rPr>
          <w:lang w:eastAsia="ja-JP"/>
        </w:rPr>
        <w:t>In January 2007, the UN team conducted the registration of the Maoist combatants and continued the verification process that began in June 2007 under the guidance of the Joint Management Coordination Committee (JMCC).</w:t>
      </w:r>
      <w:r w:rsidR="005E1EE9" w:rsidRPr="00ED37CF">
        <w:rPr>
          <w:lang w:eastAsia="ja-JP"/>
        </w:rPr>
        <w:t xml:space="preserve"> </w:t>
      </w:r>
      <w:r w:rsidRPr="00ED37CF">
        <w:rPr>
          <w:lang w:eastAsia="ja-JP"/>
        </w:rPr>
        <w:t>Teams were composed of UNMIN arms monitors, UNDP registration experts and UNICEF child protection officers who carried out interviews with the Maoist ex-combatants.</w:t>
      </w:r>
      <w:r w:rsidR="005E1EE9" w:rsidRPr="00ED37CF">
        <w:rPr>
          <w:lang w:eastAsia="ja-JP"/>
        </w:rPr>
        <w:t xml:space="preserve"> </w:t>
      </w:r>
      <w:r w:rsidRPr="00ED37CF">
        <w:rPr>
          <w:lang w:eastAsia="ja-JP"/>
        </w:rPr>
        <w:t>UNMIN - with the support of UNDP and UNICEF - then led the verification and identification of combatants in the cantonment sites.</w:t>
      </w:r>
    </w:p>
    <w:p w14:paraId="7179DC90" w14:textId="77777777" w:rsidR="001C4919" w:rsidRPr="00ED37CF" w:rsidRDefault="001C4919" w:rsidP="00B735B3">
      <w:pPr>
        <w:rPr>
          <w:lang w:eastAsia="ja-JP"/>
        </w:rPr>
      </w:pPr>
      <w:r w:rsidRPr="00ED37CF">
        <w:rPr>
          <w:lang w:eastAsia="ja-JP"/>
        </w:rPr>
        <w:t>Another example of south-south cooperation was the practices used by other UN programmes in addressing issues of conflict sensitivity.</w:t>
      </w:r>
      <w:r w:rsidR="005E1EE9" w:rsidRPr="00ED37CF">
        <w:rPr>
          <w:lang w:eastAsia="ja-JP"/>
        </w:rPr>
        <w:t xml:space="preserve"> </w:t>
      </w:r>
      <w:r w:rsidRPr="00ED37CF">
        <w:rPr>
          <w:lang w:eastAsia="ja-JP"/>
        </w:rPr>
        <w:t>Although it was not an explicit objective of the programme, it was necessary to address the risk of former combatants who were causing unrest, returning to armed opposition, or joining criminal groups.</w:t>
      </w:r>
      <w:r w:rsidR="005E1EE9" w:rsidRPr="00ED37CF">
        <w:rPr>
          <w:lang w:eastAsia="ja-JP"/>
        </w:rPr>
        <w:t xml:space="preserve"> </w:t>
      </w:r>
      <w:r w:rsidRPr="00ED37CF">
        <w:rPr>
          <w:lang w:eastAsia="ja-JP"/>
        </w:rPr>
        <w:t>Within this context, it was essential for the UN and the GoN to manage the rehabilitation support in such a way that it would not create negative side effects that would affect peace and stability in Nepal.</w:t>
      </w:r>
      <w:r w:rsidR="005E1EE9" w:rsidRPr="00ED37CF">
        <w:rPr>
          <w:lang w:eastAsia="ja-JP"/>
        </w:rPr>
        <w:t xml:space="preserve"> </w:t>
      </w:r>
      <w:r w:rsidRPr="00ED37CF">
        <w:rPr>
          <w:lang w:eastAsia="ja-JP"/>
        </w:rPr>
        <w:t>Drawing upon practices throughout other UN programmes, mainstreaming conflict-sensitivity in the UNIRP was a pilot effort developed by UNDP’s Peace Building and Recovery Unit in 2010 and implemented by UNDP, the Resident and Humanitarian Coordinator’s Office (RHCO) and UNICEF through the Interagency Conflict Sensitivity Initiative.</w:t>
      </w:r>
    </w:p>
    <w:p w14:paraId="6B0F67B6" w14:textId="77777777" w:rsidR="001C4919" w:rsidRPr="00ED37CF" w:rsidRDefault="001C4919" w:rsidP="00DF1B62">
      <w:pPr>
        <w:rPr>
          <w:lang w:eastAsia="ja-JP"/>
        </w:rPr>
      </w:pPr>
      <w:r w:rsidRPr="00ED37CF">
        <w:rPr>
          <w:lang w:eastAsia="ja-JP"/>
        </w:rPr>
        <w:t>Gender-specific support initiatives of UNIRP were also recognized as one of the good practices DDR experts had observed at the field level.</w:t>
      </w:r>
      <w:r w:rsidR="005E1EE9" w:rsidRPr="00ED37CF">
        <w:rPr>
          <w:lang w:eastAsia="ja-JP"/>
        </w:rPr>
        <w:t xml:space="preserve"> </w:t>
      </w:r>
      <w:r w:rsidRPr="00ED37CF">
        <w:rPr>
          <w:lang w:eastAsia="ja-JP"/>
        </w:rPr>
        <w:t>In May 2011, a five-day rehabilitation training workshop was held in partnership with Folke Bernadotte Academy, Sweden and Interagency Working Group (IAWG), Geneva.</w:t>
      </w:r>
      <w:r w:rsidR="005E1EE9" w:rsidRPr="00ED37CF">
        <w:rPr>
          <w:lang w:eastAsia="ja-JP"/>
        </w:rPr>
        <w:t xml:space="preserve"> </w:t>
      </w:r>
      <w:r w:rsidRPr="00ED37CF">
        <w:rPr>
          <w:lang w:eastAsia="ja-JP"/>
        </w:rPr>
        <w:t>It provided an opportunity for UNIRP to share its lessons learned and good practices, as well as to strengthen the capacity of UNIRP staff and partners on international rehabilitation standards and good practices used elsewhere.</w:t>
      </w:r>
      <w:r w:rsidR="005E1EE9" w:rsidRPr="00ED37CF">
        <w:rPr>
          <w:lang w:eastAsia="ja-JP"/>
        </w:rPr>
        <w:t xml:space="preserve"> </w:t>
      </w:r>
      <w:r w:rsidRPr="00ED37CF">
        <w:rPr>
          <w:lang w:eastAsia="ja-JP"/>
        </w:rPr>
        <w:t>More than 50 participants from UN interagency partners and CAAFAG’s IPs participated in the workshop.</w:t>
      </w:r>
      <w:r w:rsidR="005E1EE9" w:rsidRPr="00ED37CF">
        <w:rPr>
          <w:lang w:eastAsia="ja-JP"/>
        </w:rPr>
        <w:t xml:space="preserve"> </w:t>
      </w:r>
      <w:r w:rsidRPr="00ED37CF">
        <w:rPr>
          <w:lang w:eastAsia="ja-JP"/>
        </w:rPr>
        <w:t>As a by-product of this workshop, IAWG on DDR, Geneva provided financial support to UNIRP’s gender-specific programming by channelling $155,000 for strengthening the programme’s gender-specific activities.</w:t>
      </w:r>
    </w:p>
    <w:p w14:paraId="490AA46E" w14:textId="77777777" w:rsidR="00DF1B62" w:rsidRPr="00ED37CF" w:rsidRDefault="00DF1B62" w:rsidP="00DF1B62">
      <w:pPr>
        <w:sectPr w:rsidR="00DF1B62" w:rsidRPr="00ED37CF" w:rsidSect="006C14F6">
          <w:pgSz w:w="16834" w:h="11909" w:orient="landscape" w:code="9"/>
          <w:pgMar w:top="1440" w:right="1080" w:bottom="1080" w:left="1080" w:header="720" w:footer="720" w:gutter="0"/>
          <w:cols w:space="720"/>
          <w:docGrid w:linePitch="360"/>
        </w:sectPr>
      </w:pPr>
    </w:p>
    <w:p w14:paraId="7AD8ACF0" w14:textId="77777777" w:rsidR="00BD181B" w:rsidRPr="00933DF9" w:rsidRDefault="00BD181B" w:rsidP="00BD181B">
      <w:pPr>
        <w:numPr>
          <w:ilvl w:val="12"/>
          <w:numId w:val="0"/>
        </w:numPr>
        <w:tabs>
          <w:tab w:val="left" w:pos="-720"/>
        </w:tabs>
        <w:suppressAutoHyphens/>
        <w:rPr>
          <w:spacing w:val="-3"/>
        </w:rPr>
      </w:pPr>
      <w:r w:rsidRPr="00E30326">
        <w:rPr>
          <w:b/>
          <w:spacing w:val="-6"/>
        </w:rPr>
        <w:lastRenderedPageBreak/>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p>
    <w:p w14:paraId="656F5A23" w14:textId="77777777" w:rsidR="00BD181B" w:rsidRPr="00BD181B" w:rsidRDefault="00BD181B" w:rsidP="00BD181B">
      <w:pPr>
        <w:pStyle w:val="Heading2"/>
        <w:numPr>
          <w:ilvl w:val="0"/>
          <w:numId w:val="0"/>
        </w:numPr>
        <w:spacing w:before="0"/>
        <w:ind w:left="720"/>
        <w:rPr>
          <w:rFonts w:ascii="Times New Roman" w:hAnsi="Times New Roman"/>
          <w:color w:val="0000FF"/>
          <w:szCs w:val="22"/>
          <w:u w:val="single"/>
        </w:rPr>
      </w:pPr>
    </w:p>
    <w:p w14:paraId="060F17F3" w14:textId="77777777" w:rsidR="006C14F6" w:rsidRPr="00933DF9" w:rsidRDefault="006C14F6" w:rsidP="006C14F6">
      <w:pPr>
        <w:numPr>
          <w:ilvl w:val="12"/>
          <w:numId w:val="0"/>
        </w:numPr>
        <w:tabs>
          <w:tab w:val="left" w:pos="-720"/>
        </w:tabs>
        <w:suppressAutoHyphens/>
        <w:rPr>
          <w:spacing w:val="-3"/>
        </w:rPr>
      </w:pP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r w:rsidRPr="00E30326">
        <w:rPr>
          <w:b/>
          <w:spacing w:val="-6"/>
        </w:rPr>
        <w:tab/>
      </w:r>
    </w:p>
    <w:p w14:paraId="0C16826C" w14:textId="77777777" w:rsidR="006C14F6" w:rsidRPr="006C14F6" w:rsidRDefault="006C14F6" w:rsidP="006C14F6">
      <w:pPr>
        <w:pStyle w:val="Heading2"/>
        <w:numPr>
          <w:ilvl w:val="0"/>
          <w:numId w:val="35"/>
        </w:numPr>
        <w:spacing w:before="0"/>
        <w:jc w:val="center"/>
        <w:rPr>
          <w:rFonts w:ascii="Times New Roman" w:hAnsi="Times New Roman"/>
          <w:color w:val="0000FF"/>
          <w:szCs w:val="22"/>
          <w:u w:val="single"/>
        </w:rPr>
      </w:pPr>
    </w:p>
    <w:p w14:paraId="5696251A" w14:textId="106CD580" w:rsidR="006C14F6" w:rsidRPr="00933DF9" w:rsidRDefault="006C14F6" w:rsidP="006C14F6">
      <w:pPr>
        <w:jc w:val="center"/>
        <w:rPr>
          <w:rFonts w:ascii="Arial" w:hAnsi="Arial" w:cs="Arial"/>
          <w:b/>
          <w:color w:val="000000" w:themeColor="text1"/>
        </w:rPr>
      </w:pPr>
      <w:r w:rsidRPr="00933DF9">
        <w:rPr>
          <w:rFonts w:ascii="Arial" w:hAnsi="Arial" w:cs="Arial"/>
          <w:b/>
          <w:color w:val="000000" w:themeColor="text1"/>
        </w:rPr>
        <w:t>United Nations Peace Fund for Nepal</w:t>
      </w:r>
    </w:p>
    <w:p w14:paraId="591A354E" w14:textId="77777777" w:rsidR="006C14F6" w:rsidRPr="00933DF9" w:rsidRDefault="006C14F6" w:rsidP="006C14F6">
      <w:pPr>
        <w:jc w:val="center"/>
        <w:rPr>
          <w:rFonts w:ascii="Arial" w:hAnsi="Arial" w:cs="Arial"/>
          <w:b/>
          <w:color w:val="000000" w:themeColor="text1"/>
        </w:rPr>
      </w:pPr>
      <w:r w:rsidRPr="00933DF9">
        <w:rPr>
          <w:rFonts w:ascii="Arial" w:hAnsi="Arial" w:cs="Arial"/>
          <w:b/>
          <w:color w:val="000000" w:themeColor="text1"/>
        </w:rPr>
        <w:t>Revised Project Budget</w:t>
      </w:r>
    </w:p>
    <w:p w14:paraId="5D7BC986" w14:textId="77777777" w:rsidR="006C14F6" w:rsidRPr="00933DF9" w:rsidRDefault="006C14F6" w:rsidP="006C14F6">
      <w:pPr>
        <w:ind w:left="1620" w:hanging="1620"/>
        <w:rPr>
          <w:rFonts w:ascii="Arial" w:hAnsi="Arial" w:cs="Arial"/>
          <w:b/>
        </w:rPr>
      </w:pPr>
    </w:p>
    <w:p w14:paraId="70EF11DD" w14:textId="77777777" w:rsidR="006C14F6" w:rsidRPr="00933DF9" w:rsidRDefault="006C14F6" w:rsidP="006C14F6">
      <w:pPr>
        <w:ind w:left="1890" w:hanging="1890"/>
        <w:rPr>
          <w:rFonts w:ascii="Arial" w:hAnsi="Arial" w:cs="Arial"/>
        </w:rPr>
      </w:pPr>
      <w:r w:rsidRPr="00933DF9">
        <w:rPr>
          <w:rFonts w:ascii="Arial" w:hAnsi="Arial" w:cs="Arial"/>
          <w:b/>
        </w:rPr>
        <w:t xml:space="preserve">Project Number: </w:t>
      </w:r>
      <w:r w:rsidRPr="00933DF9">
        <w:rPr>
          <w:rFonts w:ascii="Arial" w:hAnsi="Arial" w:cs="Arial"/>
          <w:b/>
        </w:rPr>
        <w:tab/>
      </w:r>
      <w:r w:rsidRPr="00933DF9">
        <w:rPr>
          <w:rFonts w:ascii="Arial" w:hAnsi="Arial" w:cs="Arial"/>
        </w:rPr>
        <w:t>UNPFN/A-7</w:t>
      </w:r>
    </w:p>
    <w:p w14:paraId="1E8D329D" w14:textId="77777777" w:rsidR="006C14F6" w:rsidRPr="00933DF9" w:rsidRDefault="006C14F6" w:rsidP="006C14F6">
      <w:pPr>
        <w:ind w:left="1890" w:hanging="1890"/>
        <w:rPr>
          <w:rFonts w:ascii="Arial" w:hAnsi="Arial" w:cs="Arial"/>
          <w:b/>
        </w:rPr>
      </w:pPr>
    </w:p>
    <w:p w14:paraId="29DB7718" w14:textId="77777777" w:rsidR="006C14F6" w:rsidRPr="00933DF9" w:rsidRDefault="006C14F6" w:rsidP="006C14F6">
      <w:pPr>
        <w:ind w:left="1890" w:hanging="1890"/>
        <w:rPr>
          <w:rFonts w:ascii="Calibri" w:hAnsi="Calibri" w:cs="Calibri"/>
          <w:bCs/>
          <w:spacing w:val="-6"/>
          <w:sz w:val="20"/>
          <w:szCs w:val="20"/>
        </w:rPr>
      </w:pPr>
      <w:r w:rsidRPr="00933DF9">
        <w:rPr>
          <w:rFonts w:ascii="Arial" w:hAnsi="Arial" w:cs="Arial"/>
          <w:b/>
        </w:rPr>
        <w:t xml:space="preserve">Project Title: </w:t>
      </w:r>
      <w:r w:rsidRPr="00933DF9">
        <w:rPr>
          <w:rFonts w:ascii="Arial" w:hAnsi="Arial" w:cs="Arial"/>
          <w:b/>
        </w:rPr>
        <w:tab/>
      </w:r>
      <w:r w:rsidRPr="00933DF9">
        <w:rPr>
          <w:rFonts w:ascii="Arial" w:hAnsi="Arial" w:cs="Arial"/>
        </w:rPr>
        <w:t>Support to the Rehabilitation of Verified Minors and Late Recruits</w:t>
      </w:r>
      <w:r w:rsidRPr="00933DF9">
        <w:rPr>
          <w:rFonts w:ascii="Arial" w:hAnsi="Arial" w:cs="Arial"/>
          <w:lang w:val="en-US"/>
        </w:rPr>
        <w:t xml:space="preserve"> (</w:t>
      </w:r>
      <w:r w:rsidRPr="00933DF9">
        <w:rPr>
          <w:rFonts w:ascii="Arial" w:hAnsi="Arial" w:cs="Arial"/>
        </w:rPr>
        <w:t>UN Interagency Rehabilitation Programme – UNIRP)</w:t>
      </w:r>
    </w:p>
    <w:p w14:paraId="6374A730" w14:textId="77777777" w:rsidR="006C14F6" w:rsidRPr="00933DF9" w:rsidRDefault="006C14F6" w:rsidP="006C14F6">
      <w:pPr>
        <w:ind w:left="1890" w:hanging="1890"/>
        <w:rPr>
          <w:rFonts w:ascii="Arial" w:hAnsi="Arial" w:cs="Arial"/>
          <w:b/>
        </w:rPr>
      </w:pPr>
    </w:p>
    <w:p w14:paraId="0D3EC39E" w14:textId="77777777" w:rsidR="006C14F6" w:rsidRDefault="006C14F6" w:rsidP="006C14F6">
      <w:pPr>
        <w:ind w:left="1890" w:hanging="1890"/>
        <w:rPr>
          <w:rFonts w:ascii="Arial" w:hAnsi="Arial" w:cs="Arial"/>
        </w:rPr>
      </w:pPr>
      <w:r w:rsidRPr="00933DF9">
        <w:rPr>
          <w:rFonts w:ascii="Arial" w:hAnsi="Arial" w:cs="Arial"/>
          <w:b/>
        </w:rPr>
        <w:t>PUNOs:</w:t>
      </w:r>
      <w:r w:rsidRPr="00933DF9">
        <w:rPr>
          <w:rFonts w:ascii="Arial" w:hAnsi="Arial" w:cs="Arial"/>
        </w:rPr>
        <w:t xml:space="preserve"> </w:t>
      </w:r>
      <w:r w:rsidRPr="00933DF9">
        <w:rPr>
          <w:rFonts w:ascii="Arial" w:hAnsi="Arial" w:cs="Arial"/>
        </w:rPr>
        <w:tab/>
        <w:t>UNDP, UNICEF, ILO, UNFPA</w:t>
      </w:r>
    </w:p>
    <w:tbl>
      <w:tblPr>
        <w:tblW w:w="15780" w:type="dxa"/>
        <w:tblLook w:val="04A0" w:firstRow="1" w:lastRow="0" w:firstColumn="1" w:lastColumn="0" w:noHBand="0" w:noVBand="1"/>
      </w:tblPr>
      <w:tblGrid>
        <w:gridCol w:w="4467"/>
        <w:gridCol w:w="1081"/>
        <w:gridCol w:w="1066"/>
        <w:gridCol w:w="956"/>
        <w:gridCol w:w="957"/>
        <w:gridCol w:w="1183"/>
        <w:gridCol w:w="1322"/>
        <w:gridCol w:w="1246"/>
        <w:gridCol w:w="1125"/>
        <w:gridCol w:w="1219"/>
        <w:gridCol w:w="1158"/>
      </w:tblGrid>
      <w:tr w:rsidR="006C14F6" w:rsidRPr="00B36A3B" w14:paraId="1792B629" w14:textId="77777777" w:rsidTr="006C14F6">
        <w:trPr>
          <w:trHeight w:val="315"/>
        </w:trPr>
        <w:tc>
          <w:tcPr>
            <w:tcW w:w="157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BE33C72"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REVISED PROJECT BUDGET</w:t>
            </w:r>
          </w:p>
        </w:tc>
      </w:tr>
      <w:tr w:rsidR="006C14F6" w:rsidRPr="00B36A3B" w14:paraId="4660008B" w14:textId="77777777" w:rsidTr="006C14F6">
        <w:trPr>
          <w:trHeight w:val="315"/>
        </w:trPr>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14:paraId="72630714"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CATEGORIES</w:t>
            </w:r>
          </w:p>
        </w:tc>
        <w:tc>
          <w:tcPr>
            <w:tcW w:w="4980" w:type="dxa"/>
            <w:gridSpan w:val="5"/>
            <w:tcBorders>
              <w:top w:val="single" w:sz="8" w:space="0" w:color="auto"/>
              <w:left w:val="nil"/>
              <w:bottom w:val="single" w:sz="8" w:space="0" w:color="auto"/>
              <w:right w:val="single" w:sz="8" w:space="0" w:color="000000"/>
            </w:tcBorders>
            <w:shd w:val="clear" w:color="auto" w:fill="auto"/>
            <w:vAlign w:val="center"/>
            <w:hideMark/>
          </w:tcPr>
          <w:p w14:paraId="5C136F58"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Budget as per the last Revision ( Rev 4)</w:t>
            </w:r>
          </w:p>
        </w:tc>
        <w:tc>
          <w:tcPr>
            <w:tcW w:w="6140" w:type="dxa"/>
            <w:gridSpan w:val="5"/>
            <w:tcBorders>
              <w:top w:val="single" w:sz="8" w:space="0" w:color="auto"/>
              <w:left w:val="nil"/>
              <w:bottom w:val="single" w:sz="8" w:space="0" w:color="auto"/>
              <w:right w:val="single" w:sz="8" w:space="0" w:color="000000"/>
            </w:tcBorders>
            <w:shd w:val="clear" w:color="auto" w:fill="auto"/>
            <w:vAlign w:val="center"/>
            <w:hideMark/>
          </w:tcPr>
          <w:p w14:paraId="70A35E27"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 xml:space="preserve">Revised Budget </w:t>
            </w:r>
          </w:p>
        </w:tc>
      </w:tr>
      <w:tr w:rsidR="006C14F6" w:rsidRPr="00B36A3B" w14:paraId="44CBECAA" w14:textId="77777777" w:rsidTr="006C14F6">
        <w:trPr>
          <w:trHeight w:val="315"/>
        </w:trPr>
        <w:tc>
          <w:tcPr>
            <w:tcW w:w="4660" w:type="dxa"/>
            <w:vMerge/>
            <w:tcBorders>
              <w:top w:val="nil"/>
              <w:left w:val="single" w:sz="8" w:space="0" w:color="auto"/>
              <w:bottom w:val="single" w:sz="8" w:space="0" w:color="000000"/>
              <w:right w:val="single" w:sz="8" w:space="0" w:color="auto"/>
            </w:tcBorders>
            <w:vAlign w:val="center"/>
            <w:hideMark/>
          </w:tcPr>
          <w:p w14:paraId="6C01B06E" w14:textId="77777777" w:rsidR="006C14F6" w:rsidRPr="00B36A3B" w:rsidRDefault="006C14F6" w:rsidP="006C14F6">
            <w:pPr>
              <w:rPr>
                <w:rFonts w:ascii="Calibri" w:hAnsi="Calibri" w:cs="Calibri"/>
                <w:b/>
                <w:bCs/>
                <w:color w:val="00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17DA674C"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UNDP</w:t>
            </w:r>
          </w:p>
        </w:tc>
        <w:tc>
          <w:tcPr>
            <w:tcW w:w="960" w:type="dxa"/>
            <w:tcBorders>
              <w:top w:val="nil"/>
              <w:left w:val="nil"/>
              <w:bottom w:val="single" w:sz="8" w:space="0" w:color="auto"/>
              <w:right w:val="single" w:sz="8" w:space="0" w:color="auto"/>
            </w:tcBorders>
            <w:shd w:val="clear" w:color="auto" w:fill="auto"/>
            <w:vAlign w:val="center"/>
            <w:hideMark/>
          </w:tcPr>
          <w:p w14:paraId="30B98156"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UNICEF</w:t>
            </w:r>
          </w:p>
        </w:tc>
        <w:tc>
          <w:tcPr>
            <w:tcW w:w="960" w:type="dxa"/>
            <w:tcBorders>
              <w:top w:val="nil"/>
              <w:left w:val="nil"/>
              <w:bottom w:val="single" w:sz="8" w:space="0" w:color="auto"/>
              <w:right w:val="single" w:sz="8" w:space="0" w:color="auto"/>
            </w:tcBorders>
            <w:shd w:val="clear" w:color="auto" w:fill="auto"/>
            <w:vAlign w:val="center"/>
            <w:hideMark/>
          </w:tcPr>
          <w:p w14:paraId="57A398F5"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ILO</w:t>
            </w:r>
          </w:p>
        </w:tc>
        <w:tc>
          <w:tcPr>
            <w:tcW w:w="960" w:type="dxa"/>
            <w:tcBorders>
              <w:top w:val="nil"/>
              <w:left w:val="nil"/>
              <w:bottom w:val="single" w:sz="8" w:space="0" w:color="auto"/>
              <w:right w:val="single" w:sz="8" w:space="0" w:color="auto"/>
            </w:tcBorders>
            <w:shd w:val="clear" w:color="auto" w:fill="auto"/>
            <w:vAlign w:val="center"/>
            <w:hideMark/>
          </w:tcPr>
          <w:p w14:paraId="3A2FCB3E"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UNFPA</w:t>
            </w:r>
          </w:p>
        </w:tc>
        <w:tc>
          <w:tcPr>
            <w:tcW w:w="1140" w:type="dxa"/>
            <w:tcBorders>
              <w:top w:val="nil"/>
              <w:left w:val="nil"/>
              <w:bottom w:val="single" w:sz="8" w:space="0" w:color="auto"/>
              <w:right w:val="single" w:sz="8" w:space="0" w:color="auto"/>
            </w:tcBorders>
            <w:shd w:val="clear" w:color="auto" w:fill="auto"/>
            <w:vAlign w:val="center"/>
            <w:hideMark/>
          </w:tcPr>
          <w:p w14:paraId="5694D400"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TOTAL</w:t>
            </w:r>
          </w:p>
        </w:tc>
        <w:tc>
          <w:tcPr>
            <w:tcW w:w="1340" w:type="dxa"/>
            <w:tcBorders>
              <w:top w:val="nil"/>
              <w:left w:val="nil"/>
              <w:bottom w:val="single" w:sz="8" w:space="0" w:color="auto"/>
              <w:right w:val="single" w:sz="8" w:space="0" w:color="auto"/>
            </w:tcBorders>
            <w:shd w:val="clear" w:color="auto" w:fill="auto"/>
            <w:vAlign w:val="center"/>
            <w:hideMark/>
          </w:tcPr>
          <w:p w14:paraId="2695F2F8"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UNDP</w:t>
            </w:r>
          </w:p>
        </w:tc>
        <w:tc>
          <w:tcPr>
            <w:tcW w:w="1260" w:type="dxa"/>
            <w:tcBorders>
              <w:top w:val="nil"/>
              <w:left w:val="nil"/>
              <w:bottom w:val="single" w:sz="8" w:space="0" w:color="auto"/>
              <w:right w:val="single" w:sz="8" w:space="0" w:color="auto"/>
            </w:tcBorders>
            <w:shd w:val="clear" w:color="auto" w:fill="auto"/>
            <w:vAlign w:val="center"/>
            <w:hideMark/>
          </w:tcPr>
          <w:p w14:paraId="6196EE4E"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UNICEF</w:t>
            </w:r>
          </w:p>
        </w:tc>
        <w:tc>
          <w:tcPr>
            <w:tcW w:w="1140" w:type="dxa"/>
            <w:tcBorders>
              <w:top w:val="nil"/>
              <w:left w:val="nil"/>
              <w:bottom w:val="single" w:sz="8" w:space="0" w:color="auto"/>
              <w:right w:val="single" w:sz="8" w:space="0" w:color="auto"/>
            </w:tcBorders>
            <w:shd w:val="clear" w:color="auto" w:fill="auto"/>
            <w:vAlign w:val="center"/>
            <w:hideMark/>
          </w:tcPr>
          <w:p w14:paraId="76411AD9"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ILO</w:t>
            </w:r>
          </w:p>
        </w:tc>
        <w:tc>
          <w:tcPr>
            <w:tcW w:w="1240" w:type="dxa"/>
            <w:tcBorders>
              <w:top w:val="nil"/>
              <w:left w:val="nil"/>
              <w:bottom w:val="single" w:sz="8" w:space="0" w:color="auto"/>
              <w:right w:val="single" w:sz="8" w:space="0" w:color="auto"/>
            </w:tcBorders>
            <w:shd w:val="clear" w:color="auto" w:fill="auto"/>
            <w:vAlign w:val="center"/>
            <w:hideMark/>
          </w:tcPr>
          <w:p w14:paraId="3AAFE1FB"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UNFPA</w:t>
            </w:r>
          </w:p>
        </w:tc>
        <w:tc>
          <w:tcPr>
            <w:tcW w:w="1160" w:type="dxa"/>
            <w:tcBorders>
              <w:top w:val="nil"/>
              <w:left w:val="nil"/>
              <w:bottom w:val="single" w:sz="8" w:space="0" w:color="auto"/>
              <w:right w:val="single" w:sz="8" w:space="0" w:color="auto"/>
            </w:tcBorders>
            <w:shd w:val="clear" w:color="auto" w:fill="auto"/>
            <w:vAlign w:val="center"/>
            <w:hideMark/>
          </w:tcPr>
          <w:p w14:paraId="087D2A49" w14:textId="77777777" w:rsidR="006C14F6" w:rsidRPr="00B36A3B" w:rsidRDefault="006C14F6" w:rsidP="006C14F6">
            <w:pPr>
              <w:jc w:val="center"/>
              <w:rPr>
                <w:rFonts w:ascii="Calibri" w:hAnsi="Calibri" w:cs="Calibri"/>
                <w:b/>
                <w:bCs/>
                <w:color w:val="000000"/>
                <w:sz w:val="20"/>
                <w:szCs w:val="20"/>
                <w:lang w:val="en-US"/>
              </w:rPr>
            </w:pPr>
            <w:r w:rsidRPr="00B36A3B">
              <w:rPr>
                <w:rFonts w:ascii="Calibri" w:hAnsi="Calibri" w:cs="Calibri"/>
                <w:b/>
                <w:bCs/>
                <w:color w:val="000000"/>
                <w:sz w:val="20"/>
                <w:szCs w:val="20"/>
                <w:lang w:val="en-US"/>
              </w:rPr>
              <w:t>TOTAL</w:t>
            </w:r>
          </w:p>
        </w:tc>
      </w:tr>
      <w:tr w:rsidR="006C14F6" w:rsidRPr="00B36A3B" w14:paraId="01F73FDB"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5E430DCC"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1.</w:t>
            </w:r>
            <w:r w:rsidRPr="00B36A3B">
              <w:rPr>
                <w:color w:val="000000"/>
                <w:sz w:val="14"/>
                <w:szCs w:val="14"/>
                <w:lang w:val="en-US"/>
              </w:rPr>
              <w:t xml:space="preserve">       </w:t>
            </w:r>
            <w:r w:rsidRPr="00B36A3B">
              <w:rPr>
                <w:rFonts w:ascii="Calibri" w:hAnsi="Calibri" w:cs="Calibri"/>
                <w:color w:val="000000"/>
                <w:sz w:val="20"/>
                <w:szCs w:val="20"/>
                <w:lang w:val="en-US"/>
              </w:rPr>
              <w:t>Supplies, commodities, equipment and transport</w:t>
            </w:r>
          </w:p>
        </w:tc>
        <w:tc>
          <w:tcPr>
            <w:tcW w:w="960" w:type="dxa"/>
            <w:tcBorders>
              <w:top w:val="nil"/>
              <w:left w:val="nil"/>
              <w:bottom w:val="single" w:sz="8" w:space="0" w:color="auto"/>
              <w:right w:val="single" w:sz="8" w:space="0" w:color="auto"/>
            </w:tcBorders>
            <w:shd w:val="clear" w:color="auto" w:fill="auto"/>
            <w:vAlign w:val="center"/>
            <w:hideMark/>
          </w:tcPr>
          <w:p w14:paraId="4D75355B" w14:textId="77777777" w:rsidR="006C14F6" w:rsidRPr="00B36A3B" w:rsidRDefault="006C14F6" w:rsidP="006C14F6">
            <w:pPr>
              <w:jc w:val="right"/>
              <w:rPr>
                <w:color w:val="000000"/>
                <w:sz w:val="20"/>
                <w:szCs w:val="20"/>
                <w:lang w:val="en-US"/>
              </w:rPr>
            </w:pPr>
            <w:r w:rsidRPr="00B36A3B">
              <w:rPr>
                <w:color w:val="000000"/>
                <w:sz w:val="20"/>
                <w:szCs w:val="20"/>
              </w:rPr>
              <w:t>431,657</w:t>
            </w:r>
          </w:p>
        </w:tc>
        <w:tc>
          <w:tcPr>
            <w:tcW w:w="960" w:type="dxa"/>
            <w:tcBorders>
              <w:top w:val="nil"/>
              <w:left w:val="nil"/>
              <w:bottom w:val="single" w:sz="8" w:space="0" w:color="auto"/>
              <w:right w:val="single" w:sz="8" w:space="0" w:color="auto"/>
            </w:tcBorders>
            <w:shd w:val="clear" w:color="auto" w:fill="auto"/>
            <w:vAlign w:val="center"/>
            <w:hideMark/>
          </w:tcPr>
          <w:p w14:paraId="248CD3A1" w14:textId="77777777" w:rsidR="006C14F6" w:rsidRPr="00B36A3B" w:rsidRDefault="006C14F6" w:rsidP="006C14F6">
            <w:pPr>
              <w:jc w:val="right"/>
              <w:rPr>
                <w:color w:val="000000"/>
                <w:sz w:val="20"/>
                <w:szCs w:val="20"/>
                <w:lang w:val="en-US"/>
              </w:rPr>
            </w:pPr>
            <w:r w:rsidRPr="00B36A3B">
              <w:rPr>
                <w:color w:val="000000"/>
                <w:sz w:val="20"/>
                <w:szCs w:val="20"/>
              </w:rPr>
              <w:t>32,657</w:t>
            </w:r>
          </w:p>
        </w:tc>
        <w:tc>
          <w:tcPr>
            <w:tcW w:w="960" w:type="dxa"/>
            <w:tcBorders>
              <w:top w:val="nil"/>
              <w:left w:val="nil"/>
              <w:bottom w:val="single" w:sz="8" w:space="0" w:color="auto"/>
              <w:right w:val="single" w:sz="8" w:space="0" w:color="auto"/>
            </w:tcBorders>
            <w:shd w:val="clear" w:color="auto" w:fill="auto"/>
            <w:vAlign w:val="center"/>
            <w:hideMark/>
          </w:tcPr>
          <w:p w14:paraId="499F8CB9" w14:textId="77777777" w:rsidR="006C14F6" w:rsidRPr="00B36A3B" w:rsidRDefault="006C14F6" w:rsidP="006C14F6">
            <w:pPr>
              <w:jc w:val="right"/>
              <w:rPr>
                <w:color w:val="000000"/>
                <w:sz w:val="20"/>
                <w:szCs w:val="20"/>
                <w:lang w:val="en-US"/>
              </w:rPr>
            </w:pPr>
            <w:r w:rsidRPr="00B36A3B">
              <w:rPr>
                <w:color w:val="000000"/>
                <w:sz w:val="20"/>
                <w:szCs w:val="20"/>
              </w:rPr>
              <w:t>4,879</w:t>
            </w:r>
          </w:p>
        </w:tc>
        <w:tc>
          <w:tcPr>
            <w:tcW w:w="960" w:type="dxa"/>
            <w:tcBorders>
              <w:top w:val="nil"/>
              <w:left w:val="nil"/>
              <w:bottom w:val="single" w:sz="8" w:space="0" w:color="auto"/>
              <w:right w:val="single" w:sz="8" w:space="0" w:color="auto"/>
            </w:tcBorders>
            <w:shd w:val="clear" w:color="auto" w:fill="auto"/>
            <w:vAlign w:val="center"/>
            <w:hideMark/>
          </w:tcPr>
          <w:p w14:paraId="08E668C1" w14:textId="77777777" w:rsidR="006C14F6" w:rsidRPr="00B36A3B" w:rsidRDefault="006C14F6" w:rsidP="006C14F6">
            <w:pPr>
              <w:jc w:val="right"/>
              <w:rPr>
                <w:color w:val="000000"/>
                <w:sz w:val="20"/>
                <w:szCs w:val="20"/>
                <w:lang w:val="en-US"/>
              </w:rPr>
            </w:pPr>
            <w:r w:rsidRPr="00B36A3B">
              <w:rPr>
                <w:color w:val="000000"/>
                <w:sz w:val="20"/>
                <w:szCs w:val="20"/>
              </w:rPr>
              <w:t>0</w:t>
            </w:r>
          </w:p>
        </w:tc>
        <w:tc>
          <w:tcPr>
            <w:tcW w:w="1140" w:type="dxa"/>
            <w:tcBorders>
              <w:top w:val="nil"/>
              <w:left w:val="nil"/>
              <w:bottom w:val="single" w:sz="8" w:space="0" w:color="auto"/>
              <w:right w:val="single" w:sz="8" w:space="0" w:color="auto"/>
            </w:tcBorders>
            <w:shd w:val="clear" w:color="auto" w:fill="auto"/>
            <w:vAlign w:val="center"/>
            <w:hideMark/>
          </w:tcPr>
          <w:p w14:paraId="0A4D7BE6" w14:textId="77777777" w:rsidR="006C14F6" w:rsidRPr="00B36A3B" w:rsidRDefault="006C14F6" w:rsidP="006C14F6">
            <w:pPr>
              <w:jc w:val="right"/>
              <w:rPr>
                <w:color w:val="000000"/>
                <w:sz w:val="20"/>
                <w:szCs w:val="20"/>
                <w:lang w:val="en-US"/>
              </w:rPr>
            </w:pPr>
            <w:r w:rsidRPr="00B36A3B">
              <w:rPr>
                <w:color w:val="000000"/>
                <w:sz w:val="20"/>
                <w:szCs w:val="20"/>
              </w:rPr>
              <w:t>469,193</w:t>
            </w:r>
          </w:p>
        </w:tc>
        <w:tc>
          <w:tcPr>
            <w:tcW w:w="1340" w:type="dxa"/>
            <w:tcBorders>
              <w:top w:val="nil"/>
              <w:left w:val="nil"/>
              <w:bottom w:val="single" w:sz="8" w:space="0" w:color="auto"/>
              <w:right w:val="single" w:sz="8" w:space="0" w:color="auto"/>
            </w:tcBorders>
            <w:shd w:val="clear" w:color="auto" w:fill="auto"/>
            <w:vAlign w:val="center"/>
            <w:hideMark/>
          </w:tcPr>
          <w:p w14:paraId="5996DA7B"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431,657</w:t>
            </w:r>
          </w:p>
        </w:tc>
        <w:tc>
          <w:tcPr>
            <w:tcW w:w="1260" w:type="dxa"/>
            <w:tcBorders>
              <w:top w:val="nil"/>
              <w:left w:val="nil"/>
              <w:bottom w:val="single" w:sz="8" w:space="0" w:color="auto"/>
              <w:right w:val="single" w:sz="8" w:space="0" w:color="auto"/>
            </w:tcBorders>
            <w:shd w:val="clear" w:color="auto" w:fill="auto"/>
            <w:vAlign w:val="center"/>
            <w:hideMark/>
          </w:tcPr>
          <w:p w14:paraId="0B4875CE"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32,657</w:t>
            </w:r>
          </w:p>
        </w:tc>
        <w:tc>
          <w:tcPr>
            <w:tcW w:w="1140" w:type="dxa"/>
            <w:tcBorders>
              <w:top w:val="nil"/>
              <w:left w:val="nil"/>
              <w:bottom w:val="single" w:sz="8" w:space="0" w:color="auto"/>
              <w:right w:val="single" w:sz="8" w:space="0" w:color="auto"/>
            </w:tcBorders>
            <w:shd w:val="clear" w:color="auto" w:fill="auto"/>
            <w:vAlign w:val="center"/>
            <w:hideMark/>
          </w:tcPr>
          <w:p w14:paraId="75DC207F"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4,879</w:t>
            </w:r>
          </w:p>
        </w:tc>
        <w:tc>
          <w:tcPr>
            <w:tcW w:w="1240" w:type="dxa"/>
            <w:tcBorders>
              <w:top w:val="nil"/>
              <w:left w:val="nil"/>
              <w:bottom w:val="single" w:sz="8" w:space="0" w:color="auto"/>
              <w:right w:val="single" w:sz="8" w:space="0" w:color="auto"/>
            </w:tcBorders>
            <w:shd w:val="clear" w:color="auto" w:fill="auto"/>
            <w:vAlign w:val="center"/>
            <w:hideMark/>
          </w:tcPr>
          <w:p w14:paraId="18D79EFA"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0</w:t>
            </w:r>
          </w:p>
        </w:tc>
        <w:tc>
          <w:tcPr>
            <w:tcW w:w="1160" w:type="dxa"/>
            <w:tcBorders>
              <w:top w:val="nil"/>
              <w:left w:val="nil"/>
              <w:bottom w:val="single" w:sz="8" w:space="0" w:color="auto"/>
              <w:right w:val="single" w:sz="8" w:space="0" w:color="auto"/>
            </w:tcBorders>
            <w:shd w:val="clear" w:color="auto" w:fill="auto"/>
            <w:vAlign w:val="center"/>
            <w:hideMark/>
          </w:tcPr>
          <w:p w14:paraId="22FA9372"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469,193</w:t>
            </w:r>
          </w:p>
        </w:tc>
      </w:tr>
      <w:tr w:rsidR="006C14F6" w:rsidRPr="00B36A3B" w14:paraId="17B6C495"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055953F5"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2.</w:t>
            </w:r>
            <w:r w:rsidRPr="00B36A3B">
              <w:rPr>
                <w:i/>
                <w:iCs/>
                <w:color w:val="000000"/>
                <w:sz w:val="14"/>
                <w:szCs w:val="14"/>
                <w:lang w:val="en-US"/>
              </w:rPr>
              <w:t xml:space="preserve">       </w:t>
            </w:r>
            <w:r w:rsidRPr="00B36A3B">
              <w:rPr>
                <w:rFonts w:ascii="Calibri" w:hAnsi="Calibri" w:cs="Calibri"/>
                <w:color w:val="000000"/>
                <w:sz w:val="20"/>
                <w:szCs w:val="20"/>
                <w:lang w:val="en-US"/>
              </w:rPr>
              <w:t>Personnel (staff, consultants and travel)</w:t>
            </w:r>
          </w:p>
        </w:tc>
        <w:tc>
          <w:tcPr>
            <w:tcW w:w="960" w:type="dxa"/>
            <w:tcBorders>
              <w:top w:val="nil"/>
              <w:left w:val="nil"/>
              <w:bottom w:val="single" w:sz="8" w:space="0" w:color="auto"/>
              <w:right w:val="single" w:sz="8" w:space="0" w:color="auto"/>
            </w:tcBorders>
            <w:shd w:val="clear" w:color="auto" w:fill="auto"/>
            <w:vAlign w:val="center"/>
            <w:hideMark/>
          </w:tcPr>
          <w:p w14:paraId="4EF6959A" w14:textId="77777777" w:rsidR="006C14F6" w:rsidRPr="00B36A3B" w:rsidRDefault="006C14F6" w:rsidP="006C14F6">
            <w:pPr>
              <w:jc w:val="right"/>
              <w:rPr>
                <w:color w:val="000000"/>
                <w:sz w:val="20"/>
                <w:szCs w:val="20"/>
                <w:lang w:val="en-US"/>
              </w:rPr>
            </w:pPr>
            <w:r w:rsidRPr="00B36A3B">
              <w:rPr>
                <w:color w:val="000000"/>
                <w:sz w:val="20"/>
                <w:szCs w:val="20"/>
              </w:rPr>
              <w:t>3,630,698</w:t>
            </w:r>
          </w:p>
        </w:tc>
        <w:tc>
          <w:tcPr>
            <w:tcW w:w="960" w:type="dxa"/>
            <w:tcBorders>
              <w:top w:val="nil"/>
              <w:left w:val="nil"/>
              <w:bottom w:val="single" w:sz="8" w:space="0" w:color="auto"/>
              <w:right w:val="single" w:sz="8" w:space="0" w:color="auto"/>
            </w:tcBorders>
            <w:shd w:val="clear" w:color="auto" w:fill="auto"/>
            <w:vAlign w:val="center"/>
            <w:hideMark/>
          </w:tcPr>
          <w:p w14:paraId="64D61D3D" w14:textId="77777777" w:rsidR="006C14F6" w:rsidRPr="00B36A3B" w:rsidRDefault="006C14F6" w:rsidP="006C14F6">
            <w:pPr>
              <w:jc w:val="right"/>
              <w:rPr>
                <w:color w:val="000000"/>
                <w:sz w:val="20"/>
                <w:szCs w:val="20"/>
                <w:lang w:val="en-US"/>
              </w:rPr>
            </w:pPr>
            <w:r w:rsidRPr="00B36A3B">
              <w:rPr>
                <w:color w:val="000000"/>
                <w:sz w:val="20"/>
                <w:szCs w:val="20"/>
              </w:rPr>
              <w:t>540,863</w:t>
            </w:r>
          </w:p>
        </w:tc>
        <w:tc>
          <w:tcPr>
            <w:tcW w:w="960" w:type="dxa"/>
            <w:tcBorders>
              <w:top w:val="nil"/>
              <w:left w:val="nil"/>
              <w:bottom w:val="single" w:sz="8" w:space="0" w:color="auto"/>
              <w:right w:val="single" w:sz="8" w:space="0" w:color="auto"/>
            </w:tcBorders>
            <w:shd w:val="clear" w:color="auto" w:fill="auto"/>
            <w:vAlign w:val="center"/>
            <w:hideMark/>
          </w:tcPr>
          <w:p w14:paraId="052C9FBB" w14:textId="77777777" w:rsidR="006C14F6" w:rsidRPr="00B36A3B" w:rsidRDefault="006C14F6" w:rsidP="006C14F6">
            <w:pPr>
              <w:jc w:val="right"/>
              <w:rPr>
                <w:color w:val="000000"/>
                <w:sz w:val="20"/>
                <w:szCs w:val="20"/>
                <w:lang w:val="en-US"/>
              </w:rPr>
            </w:pPr>
            <w:r w:rsidRPr="00B36A3B">
              <w:rPr>
                <w:color w:val="000000"/>
                <w:sz w:val="20"/>
                <w:szCs w:val="20"/>
              </w:rPr>
              <w:t>171,456</w:t>
            </w:r>
          </w:p>
        </w:tc>
        <w:tc>
          <w:tcPr>
            <w:tcW w:w="960" w:type="dxa"/>
            <w:tcBorders>
              <w:top w:val="nil"/>
              <w:left w:val="nil"/>
              <w:bottom w:val="single" w:sz="8" w:space="0" w:color="auto"/>
              <w:right w:val="single" w:sz="8" w:space="0" w:color="auto"/>
            </w:tcBorders>
            <w:shd w:val="clear" w:color="auto" w:fill="auto"/>
            <w:vAlign w:val="center"/>
            <w:hideMark/>
          </w:tcPr>
          <w:p w14:paraId="1BF871FF" w14:textId="77777777" w:rsidR="006C14F6" w:rsidRPr="00B36A3B" w:rsidRDefault="006C14F6" w:rsidP="006C14F6">
            <w:pPr>
              <w:jc w:val="right"/>
              <w:rPr>
                <w:color w:val="000000"/>
                <w:sz w:val="20"/>
                <w:szCs w:val="20"/>
                <w:lang w:val="en-US"/>
              </w:rPr>
            </w:pPr>
            <w:r w:rsidRPr="00B36A3B">
              <w:rPr>
                <w:color w:val="000000"/>
                <w:sz w:val="20"/>
                <w:szCs w:val="20"/>
              </w:rPr>
              <w:t>68,131</w:t>
            </w:r>
          </w:p>
        </w:tc>
        <w:tc>
          <w:tcPr>
            <w:tcW w:w="1140" w:type="dxa"/>
            <w:tcBorders>
              <w:top w:val="nil"/>
              <w:left w:val="nil"/>
              <w:bottom w:val="single" w:sz="8" w:space="0" w:color="auto"/>
              <w:right w:val="single" w:sz="8" w:space="0" w:color="auto"/>
            </w:tcBorders>
            <w:shd w:val="clear" w:color="auto" w:fill="auto"/>
            <w:vAlign w:val="center"/>
            <w:hideMark/>
          </w:tcPr>
          <w:p w14:paraId="253A0BCB" w14:textId="77777777" w:rsidR="006C14F6" w:rsidRPr="00B36A3B" w:rsidRDefault="006C14F6" w:rsidP="006C14F6">
            <w:pPr>
              <w:jc w:val="right"/>
              <w:rPr>
                <w:color w:val="000000"/>
                <w:sz w:val="20"/>
                <w:szCs w:val="20"/>
                <w:lang w:val="en-US"/>
              </w:rPr>
            </w:pPr>
            <w:r w:rsidRPr="00B36A3B">
              <w:rPr>
                <w:color w:val="000000"/>
                <w:sz w:val="20"/>
                <w:szCs w:val="20"/>
              </w:rPr>
              <w:t>4,411,148</w:t>
            </w:r>
          </w:p>
        </w:tc>
        <w:tc>
          <w:tcPr>
            <w:tcW w:w="1340" w:type="dxa"/>
            <w:tcBorders>
              <w:top w:val="nil"/>
              <w:left w:val="nil"/>
              <w:bottom w:val="single" w:sz="8" w:space="0" w:color="auto"/>
              <w:right w:val="single" w:sz="8" w:space="0" w:color="auto"/>
            </w:tcBorders>
            <w:shd w:val="clear" w:color="auto" w:fill="auto"/>
            <w:vAlign w:val="center"/>
            <w:hideMark/>
          </w:tcPr>
          <w:p w14:paraId="3EE34183"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3,630,698</w:t>
            </w:r>
          </w:p>
        </w:tc>
        <w:tc>
          <w:tcPr>
            <w:tcW w:w="1260" w:type="dxa"/>
            <w:tcBorders>
              <w:top w:val="nil"/>
              <w:left w:val="nil"/>
              <w:bottom w:val="single" w:sz="8" w:space="0" w:color="auto"/>
              <w:right w:val="single" w:sz="8" w:space="0" w:color="auto"/>
            </w:tcBorders>
            <w:shd w:val="clear" w:color="auto" w:fill="auto"/>
            <w:vAlign w:val="center"/>
            <w:hideMark/>
          </w:tcPr>
          <w:p w14:paraId="2F552578"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540,863</w:t>
            </w:r>
          </w:p>
        </w:tc>
        <w:tc>
          <w:tcPr>
            <w:tcW w:w="1140" w:type="dxa"/>
            <w:tcBorders>
              <w:top w:val="nil"/>
              <w:left w:val="nil"/>
              <w:bottom w:val="single" w:sz="8" w:space="0" w:color="auto"/>
              <w:right w:val="single" w:sz="8" w:space="0" w:color="auto"/>
            </w:tcBorders>
            <w:shd w:val="clear" w:color="auto" w:fill="auto"/>
            <w:vAlign w:val="center"/>
            <w:hideMark/>
          </w:tcPr>
          <w:p w14:paraId="708B2F21"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171,456</w:t>
            </w:r>
          </w:p>
        </w:tc>
        <w:tc>
          <w:tcPr>
            <w:tcW w:w="1240" w:type="dxa"/>
            <w:tcBorders>
              <w:top w:val="nil"/>
              <w:left w:val="nil"/>
              <w:bottom w:val="single" w:sz="8" w:space="0" w:color="auto"/>
              <w:right w:val="single" w:sz="8" w:space="0" w:color="auto"/>
            </w:tcBorders>
            <w:shd w:val="clear" w:color="auto" w:fill="auto"/>
            <w:vAlign w:val="center"/>
            <w:hideMark/>
          </w:tcPr>
          <w:p w14:paraId="269BEA38"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68,131</w:t>
            </w:r>
          </w:p>
        </w:tc>
        <w:tc>
          <w:tcPr>
            <w:tcW w:w="1160" w:type="dxa"/>
            <w:tcBorders>
              <w:top w:val="nil"/>
              <w:left w:val="nil"/>
              <w:bottom w:val="single" w:sz="8" w:space="0" w:color="auto"/>
              <w:right w:val="single" w:sz="8" w:space="0" w:color="auto"/>
            </w:tcBorders>
            <w:shd w:val="clear" w:color="auto" w:fill="auto"/>
            <w:vAlign w:val="center"/>
            <w:hideMark/>
          </w:tcPr>
          <w:p w14:paraId="4675291B"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4,411,148</w:t>
            </w:r>
          </w:p>
        </w:tc>
      </w:tr>
      <w:tr w:rsidR="006C14F6" w:rsidRPr="00B36A3B" w14:paraId="695CB99B"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59A03E73"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3.</w:t>
            </w:r>
            <w:r w:rsidRPr="00B36A3B">
              <w:rPr>
                <w:color w:val="000000"/>
                <w:sz w:val="14"/>
                <w:szCs w:val="14"/>
                <w:lang w:val="en-US"/>
              </w:rPr>
              <w:t xml:space="preserve">       </w:t>
            </w:r>
            <w:r w:rsidRPr="00B36A3B">
              <w:rPr>
                <w:rFonts w:ascii="Calibri" w:hAnsi="Calibri" w:cs="Calibri"/>
                <w:color w:val="000000"/>
                <w:sz w:val="20"/>
                <w:szCs w:val="20"/>
                <w:lang w:val="en-US"/>
              </w:rPr>
              <w:t>Training of counterparts</w:t>
            </w:r>
          </w:p>
        </w:tc>
        <w:tc>
          <w:tcPr>
            <w:tcW w:w="960" w:type="dxa"/>
            <w:tcBorders>
              <w:top w:val="nil"/>
              <w:left w:val="nil"/>
              <w:bottom w:val="single" w:sz="8" w:space="0" w:color="auto"/>
              <w:right w:val="single" w:sz="8" w:space="0" w:color="auto"/>
            </w:tcBorders>
            <w:shd w:val="clear" w:color="auto" w:fill="auto"/>
            <w:vAlign w:val="center"/>
            <w:hideMark/>
          </w:tcPr>
          <w:p w14:paraId="7388B610" w14:textId="77777777" w:rsidR="006C14F6" w:rsidRPr="00B36A3B" w:rsidRDefault="006C14F6" w:rsidP="006C14F6">
            <w:pPr>
              <w:jc w:val="right"/>
              <w:rPr>
                <w:color w:val="000000"/>
                <w:sz w:val="20"/>
                <w:szCs w:val="20"/>
                <w:lang w:val="en-US"/>
              </w:rPr>
            </w:pPr>
            <w:r w:rsidRPr="00B36A3B">
              <w:rPr>
                <w:color w:val="000000"/>
                <w:sz w:val="20"/>
                <w:szCs w:val="20"/>
              </w:rPr>
              <w:t>68,025</w:t>
            </w:r>
          </w:p>
        </w:tc>
        <w:tc>
          <w:tcPr>
            <w:tcW w:w="960" w:type="dxa"/>
            <w:tcBorders>
              <w:top w:val="nil"/>
              <w:left w:val="nil"/>
              <w:bottom w:val="single" w:sz="8" w:space="0" w:color="auto"/>
              <w:right w:val="single" w:sz="8" w:space="0" w:color="auto"/>
            </w:tcBorders>
            <w:shd w:val="clear" w:color="auto" w:fill="auto"/>
            <w:vAlign w:val="center"/>
            <w:hideMark/>
          </w:tcPr>
          <w:p w14:paraId="5EBD806B" w14:textId="77777777" w:rsidR="006C14F6" w:rsidRPr="00B36A3B" w:rsidRDefault="006C14F6" w:rsidP="006C14F6">
            <w:pPr>
              <w:jc w:val="right"/>
              <w:rPr>
                <w:color w:val="000000"/>
                <w:sz w:val="20"/>
                <w:szCs w:val="20"/>
                <w:lang w:val="en-US"/>
              </w:rPr>
            </w:pPr>
            <w:r w:rsidRPr="00B36A3B">
              <w:rPr>
                <w:color w:val="000000"/>
                <w:sz w:val="20"/>
                <w:szCs w:val="20"/>
              </w:rPr>
              <w:t>329,743</w:t>
            </w:r>
          </w:p>
        </w:tc>
        <w:tc>
          <w:tcPr>
            <w:tcW w:w="960" w:type="dxa"/>
            <w:tcBorders>
              <w:top w:val="nil"/>
              <w:left w:val="nil"/>
              <w:bottom w:val="single" w:sz="8" w:space="0" w:color="auto"/>
              <w:right w:val="single" w:sz="8" w:space="0" w:color="auto"/>
            </w:tcBorders>
            <w:shd w:val="clear" w:color="auto" w:fill="auto"/>
            <w:vAlign w:val="center"/>
            <w:hideMark/>
          </w:tcPr>
          <w:p w14:paraId="26F46569" w14:textId="77777777" w:rsidR="006C14F6" w:rsidRPr="00B36A3B" w:rsidRDefault="006C14F6" w:rsidP="006C14F6">
            <w:pPr>
              <w:jc w:val="right"/>
              <w:rPr>
                <w:color w:val="000000"/>
                <w:sz w:val="20"/>
                <w:szCs w:val="20"/>
                <w:lang w:val="en-US"/>
              </w:rPr>
            </w:pPr>
            <w:r w:rsidRPr="00B36A3B">
              <w:rPr>
                <w:color w:val="000000"/>
                <w:sz w:val="20"/>
                <w:szCs w:val="20"/>
              </w:rPr>
              <w:t>113,608</w:t>
            </w:r>
          </w:p>
        </w:tc>
        <w:tc>
          <w:tcPr>
            <w:tcW w:w="960" w:type="dxa"/>
            <w:tcBorders>
              <w:top w:val="nil"/>
              <w:left w:val="nil"/>
              <w:bottom w:val="single" w:sz="8" w:space="0" w:color="auto"/>
              <w:right w:val="single" w:sz="8" w:space="0" w:color="auto"/>
            </w:tcBorders>
            <w:shd w:val="clear" w:color="auto" w:fill="auto"/>
            <w:vAlign w:val="center"/>
            <w:hideMark/>
          </w:tcPr>
          <w:p w14:paraId="08E32D23" w14:textId="77777777" w:rsidR="006C14F6" w:rsidRPr="00B36A3B" w:rsidRDefault="006C14F6" w:rsidP="006C14F6">
            <w:pPr>
              <w:jc w:val="right"/>
              <w:rPr>
                <w:color w:val="000000"/>
                <w:sz w:val="20"/>
                <w:szCs w:val="20"/>
                <w:lang w:val="en-US"/>
              </w:rPr>
            </w:pPr>
            <w:r w:rsidRPr="00B36A3B">
              <w:rPr>
                <w:color w:val="000000"/>
                <w:sz w:val="20"/>
                <w:szCs w:val="20"/>
              </w:rPr>
              <w:t>18,169</w:t>
            </w:r>
          </w:p>
        </w:tc>
        <w:tc>
          <w:tcPr>
            <w:tcW w:w="1140" w:type="dxa"/>
            <w:tcBorders>
              <w:top w:val="nil"/>
              <w:left w:val="nil"/>
              <w:bottom w:val="single" w:sz="8" w:space="0" w:color="auto"/>
              <w:right w:val="single" w:sz="8" w:space="0" w:color="auto"/>
            </w:tcBorders>
            <w:shd w:val="clear" w:color="auto" w:fill="auto"/>
            <w:vAlign w:val="center"/>
            <w:hideMark/>
          </w:tcPr>
          <w:p w14:paraId="0E474FD7" w14:textId="77777777" w:rsidR="006C14F6" w:rsidRPr="00B36A3B" w:rsidRDefault="006C14F6" w:rsidP="006C14F6">
            <w:pPr>
              <w:jc w:val="right"/>
              <w:rPr>
                <w:color w:val="000000"/>
                <w:sz w:val="20"/>
                <w:szCs w:val="20"/>
                <w:lang w:val="en-US"/>
              </w:rPr>
            </w:pPr>
            <w:r w:rsidRPr="00B36A3B">
              <w:rPr>
                <w:color w:val="000000"/>
                <w:sz w:val="20"/>
                <w:szCs w:val="20"/>
              </w:rPr>
              <w:t>529,545</w:t>
            </w:r>
          </w:p>
        </w:tc>
        <w:tc>
          <w:tcPr>
            <w:tcW w:w="1340" w:type="dxa"/>
            <w:tcBorders>
              <w:top w:val="nil"/>
              <w:left w:val="nil"/>
              <w:bottom w:val="single" w:sz="8" w:space="0" w:color="auto"/>
              <w:right w:val="single" w:sz="8" w:space="0" w:color="auto"/>
            </w:tcBorders>
            <w:shd w:val="clear" w:color="auto" w:fill="auto"/>
            <w:vAlign w:val="center"/>
            <w:hideMark/>
          </w:tcPr>
          <w:p w14:paraId="60CEA074"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68,025</w:t>
            </w:r>
          </w:p>
        </w:tc>
        <w:tc>
          <w:tcPr>
            <w:tcW w:w="1260" w:type="dxa"/>
            <w:tcBorders>
              <w:top w:val="nil"/>
              <w:left w:val="nil"/>
              <w:bottom w:val="single" w:sz="8" w:space="0" w:color="auto"/>
              <w:right w:val="single" w:sz="8" w:space="0" w:color="auto"/>
            </w:tcBorders>
            <w:shd w:val="clear" w:color="auto" w:fill="auto"/>
            <w:vAlign w:val="center"/>
            <w:hideMark/>
          </w:tcPr>
          <w:p w14:paraId="71EE6891"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329,743</w:t>
            </w:r>
          </w:p>
        </w:tc>
        <w:tc>
          <w:tcPr>
            <w:tcW w:w="1140" w:type="dxa"/>
            <w:tcBorders>
              <w:top w:val="nil"/>
              <w:left w:val="nil"/>
              <w:bottom w:val="single" w:sz="8" w:space="0" w:color="auto"/>
              <w:right w:val="single" w:sz="8" w:space="0" w:color="auto"/>
            </w:tcBorders>
            <w:shd w:val="clear" w:color="auto" w:fill="auto"/>
            <w:vAlign w:val="center"/>
            <w:hideMark/>
          </w:tcPr>
          <w:p w14:paraId="622E6820"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113,608</w:t>
            </w:r>
          </w:p>
        </w:tc>
        <w:tc>
          <w:tcPr>
            <w:tcW w:w="1240" w:type="dxa"/>
            <w:tcBorders>
              <w:top w:val="nil"/>
              <w:left w:val="nil"/>
              <w:bottom w:val="single" w:sz="8" w:space="0" w:color="auto"/>
              <w:right w:val="single" w:sz="8" w:space="0" w:color="auto"/>
            </w:tcBorders>
            <w:shd w:val="clear" w:color="auto" w:fill="auto"/>
            <w:vAlign w:val="center"/>
            <w:hideMark/>
          </w:tcPr>
          <w:p w14:paraId="295D9195"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18,169</w:t>
            </w:r>
          </w:p>
        </w:tc>
        <w:tc>
          <w:tcPr>
            <w:tcW w:w="1160" w:type="dxa"/>
            <w:tcBorders>
              <w:top w:val="nil"/>
              <w:left w:val="nil"/>
              <w:bottom w:val="single" w:sz="8" w:space="0" w:color="auto"/>
              <w:right w:val="single" w:sz="8" w:space="0" w:color="auto"/>
            </w:tcBorders>
            <w:shd w:val="clear" w:color="auto" w:fill="auto"/>
            <w:vAlign w:val="center"/>
            <w:hideMark/>
          </w:tcPr>
          <w:p w14:paraId="05A6C192"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529,545</w:t>
            </w:r>
          </w:p>
        </w:tc>
      </w:tr>
      <w:tr w:rsidR="006C14F6" w:rsidRPr="00B36A3B" w14:paraId="56853863"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254958A9"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4.</w:t>
            </w:r>
            <w:r w:rsidRPr="00B36A3B">
              <w:rPr>
                <w:color w:val="000000"/>
                <w:sz w:val="14"/>
                <w:szCs w:val="14"/>
                <w:lang w:val="en-US"/>
              </w:rPr>
              <w:t xml:space="preserve">       </w:t>
            </w:r>
            <w:r w:rsidRPr="00B36A3B">
              <w:rPr>
                <w:rFonts w:ascii="Calibri" w:hAnsi="Calibri" w:cs="Calibri"/>
                <w:color w:val="000000"/>
                <w:sz w:val="20"/>
                <w:szCs w:val="20"/>
                <w:lang w:val="en-US"/>
              </w:rPr>
              <w:t>Contracts</w:t>
            </w:r>
          </w:p>
        </w:tc>
        <w:tc>
          <w:tcPr>
            <w:tcW w:w="960" w:type="dxa"/>
            <w:tcBorders>
              <w:top w:val="nil"/>
              <w:left w:val="nil"/>
              <w:bottom w:val="single" w:sz="8" w:space="0" w:color="auto"/>
              <w:right w:val="single" w:sz="8" w:space="0" w:color="auto"/>
            </w:tcBorders>
            <w:shd w:val="clear" w:color="auto" w:fill="auto"/>
            <w:vAlign w:val="center"/>
            <w:hideMark/>
          </w:tcPr>
          <w:p w14:paraId="09DB0DB6" w14:textId="77777777" w:rsidR="006C14F6" w:rsidRPr="00B36A3B" w:rsidRDefault="006C14F6" w:rsidP="006C14F6">
            <w:pPr>
              <w:jc w:val="right"/>
              <w:rPr>
                <w:color w:val="000000"/>
                <w:sz w:val="20"/>
                <w:szCs w:val="20"/>
                <w:lang w:val="en-US"/>
              </w:rPr>
            </w:pPr>
            <w:r w:rsidRPr="00B36A3B">
              <w:rPr>
                <w:color w:val="000000"/>
                <w:sz w:val="20"/>
                <w:szCs w:val="20"/>
              </w:rPr>
              <w:t>3,136,797</w:t>
            </w:r>
          </w:p>
        </w:tc>
        <w:tc>
          <w:tcPr>
            <w:tcW w:w="960" w:type="dxa"/>
            <w:tcBorders>
              <w:top w:val="nil"/>
              <w:left w:val="nil"/>
              <w:bottom w:val="single" w:sz="8" w:space="0" w:color="auto"/>
              <w:right w:val="single" w:sz="8" w:space="0" w:color="auto"/>
            </w:tcBorders>
            <w:shd w:val="clear" w:color="auto" w:fill="auto"/>
            <w:vAlign w:val="center"/>
            <w:hideMark/>
          </w:tcPr>
          <w:p w14:paraId="33A9A914" w14:textId="77777777" w:rsidR="006C14F6" w:rsidRPr="00B36A3B" w:rsidRDefault="006C14F6" w:rsidP="006C14F6">
            <w:pPr>
              <w:jc w:val="right"/>
              <w:rPr>
                <w:color w:val="000000"/>
                <w:sz w:val="20"/>
                <w:szCs w:val="20"/>
                <w:lang w:val="en-US"/>
              </w:rPr>
            </w:pPr>
            <w:r w:rsidRPr="00B36A3B">
              <w:rPr>
                <w:color w:val="000000"/>
                <w:sz w:val="20"/>
                <w:szCs w:val="20"/>
              </w:rPr>
              <w:t>1,820,516</w:t>
            </w:r>
          </w:p>
        </w:tc>
        <w:tc>
          <w:tcPr>
            <w:tcW w:w="960" w:type="dxa"/>
            <w:tcBorders>
              <w:top w:val="nil"/>
              <w:left w:val="nil"/>
              <w:bottom w:val="single" w:sz="8" w:space="0" w:color="auto"/>
              <w:right w:val="single" w:sz="8" w:space="0" w:color="auto"/>
            </w:tcBorders>
            <w:shd w:val="clear" w:color="auto" w:fill="auto"/>
            <w:vAlign w:val="center"/>
            <w:hideMark/>
          </w:tcPr>
          <w:p w14:paraId="0EC83351" w14:textId="77777777" w:rsidR="006C14F6" w:rsidRPr="00B36A3B" w:rsidRDefault="006C14F6" w:rsidP="006C14F6">
            <w:pPr>
              <w:jc w:val="right"/>
              <w:rPr>
                <w:color w:val="000000"/>
                <w:sz w:val="20"/>
                <w:szCs w:val="20"/>
                <w:lang w:val="en-US"/>
              </w:rPr>
            </w:pPr>
            <w:r w:rsidRPr="00B36A3B">
              <w:rPr>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14:paraId="3165761B" w14:textId="77777777" w:rsidR="006C14F6" w:rsidRPr="00B36A3B" w:rsidRDefault="006C14F6" w:rsidP="006C14F6">
            <w:pPr>
              <w:jc w:val="right"/>
              <w:rPr>
                <w:color w:val="000000"/>
                <w:sz w:val="20"/>
                <w:szCs w:val="20"/>
                <w:lang w:val="en-US"/>
              </w:rPr>
            </w:pPr>
            <w:r w:rsidRPr="00B36A3B">
              <w:rPr>
                <w:color w:val="000000"/>
                <w:sz w:val="20"/>
                <w:szCs w:val="20"/>
              </w:rPr>
              <w:t>185,871</w:t>
            </w:r>
          </w:p>
        </w:tc>
        <w:tc>
          <w:tcPr>
            <w:tcW w:w="1140" w:type="dxa"/>
            <w:tcBorders>
              <w:top w:val="nil"/>
              <w:left w:val="nil"/>
              <w:bottom w:val="single" w:sz="8" w:space="0" w:color="auto"/>
              <w:right w:val="single" w:sz="8" w:space="0" w:color="auto"/>
            </w:tcBorders>
            <w:shd w:val="clear" w:color="auto" w:fill="auto"/>
            <w:vAlign w:val="center"/>
            <w:hideMark/>
          </w:tcPr>
          <w:p w14:paraId="1C70AED2" w14:textId="77777777" w:rsidR="006C14F6" w:rsidRPr="00B36A3B" w:rsidRDefault="006C14F6" w:rsidP="006C14F6">
            <w:pPr>
              <w:jc w:val="right"/>
              <w:rPr>
                <w:color w:val="000000"/>
                <w:sz w:val="20"/>
                <w:szCs w:val="20"/>
                <w:lang w:val="en-US"/>
              </w:rPr>
            </w:pPr>
            <w:r w:rsidRPr="00B36A3B">
              <w:rPr>
                <w:color w:val="000000"/>
                <w:sz w:val="20"/>
                <w:szCs w:val="20"/>
              </w:rPr>
              <w:t>5,143,185</w:t>
            </w:r>
          </w:p>
        </w:tc>
        <w:tc>
          <w:tcPr>
            <w:tcW w:w="1340" w:type="dxa"/>
            <w:tcBorders>
              <w:top w:val="nil"/>
              <w:left w:val="nil"/>
              <w:bottom w:val="single" w:sz="8" w:space="0" w:color="auto"/>
              <w:right w:val="single" w:sz="8" w:space="0" w:color="auto"/>
            </w:tcBorders>
            <w:shd w:val="clear" w:color="auto" w:fill="auto"/>
            <w:vAlign w:val="center"/>
            <w:hideMark/>
          </w:tcPr>
          <w:p w14:paraId="29EF6CEE"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3,136,797</w:t>
            </w:r>
          </w:p>
        </w:tc>
        <w:tc>
          <w:tcPr>
            <w:tcW w:w="1260" w:type="dxa"/>
            <w:tcBorders>
              <w:top w:val="nil"/>
              <w:left w:val="nil"/>
              <w:bottom w:val="single" w:sz="8" w:space="0" w:color="auto"/>
              <w:right w:val="single" w:sz="8" w:space="0" w:color="auto"/>
            </w:tcBorders>
            <w:shd w:val="clear" w:color="auto" w:fill="auto"/>
            <w:vAlign w:val="center"/>
            <w:hideMark/>
          </w:tcPr>
          <w:p w14:paraId="6132BA9B"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1,789,569</w:t>
            </w:r>
          </w:p>
        </w:tc>
        <w:tc>
          <w:tcPr>
            <w:tcW w:w="1140" w:type="dxa"/>
            <w:tcBorders>
              <w:top w:val="nil"/>
              <w:left w:val="nil"/>
              <w:bottom w:val="single" w:sz="8" w:space="0" w:color="auto"/>
              <w:right w:val="single" w:sz="8" w:space="0" w:color="auto"/>
            </w:tcBorders>
            <w:shd w:val="clear" w:color="auto" w:fill="auto"/>
            <w:vAlign w:val="center"/>
            <w:hideMark/>
          </w:tcPr>
          <w:p w14:paraId="722DA578"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14:paraId="5C31F2A4"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185,871</w:t>
            </w:r>
          </w:p>
        </w:tc>
        <w:tc>
          <w:tcPr>
            <w:tcW w:w="1160" w:type="dxa"/>
            <w:tcBorders>
              <w:top w:val="nil"/>
              <w:left w:val="nil"/>
              <w:bottom w:val="single" w:sz="8" w:space="0" w:color="auto"/>
              <w:right w:val="single" w:sz="8" w:space="0" w:color="auto"/>
            </w:tcBorders>
            <w:shd w:val="clear" w:color="auto" w:fill="auto"/>
            <w:vAlign w:val="center"/>
            <w:hideMark/>
          </w:tcPr>
          <w:p w14:paraId="033655C6"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5,143,185</w:t>
            </w:r>
          </w:p>
        </w:tc>
      </w:tr>
      <w:tr w:rsidR="006C14F6" w:rsidRPr="00B36A3B" w14:paraId="4B62481E"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4FD1154B"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5.</w:t>
            </w:r>
            <w:r w:rsidRPr="00B36A3B">
              <w:rPr>
                <w:color w:val="000000"/>
                <w:sz w:val="14"/>
                <w:szCs w:val="14"/>
                <w:lang w:val="en-US"/>
              </w:rPr>
              <w:t xml:space="preserve">       </w:t>
            </w:r>
            <w:r w:rsidRPr="00B36A3B">
              <w:rPr>
                <w:rFonts w:ascii="Calibri" w:hAnsi="Calibri" w:cs="Calibri"/>
                <w:color w:val="000000"/>
                <w:sz w:val="20"/>
                <w:szCs w:val="20"/>
                <w:lang w:val="en-US"/>
              </w:rPr>
              <w:t xml:space="preserve">Other direct costs </w:t>
            </w:r>
          </w:p>
        </w:tc>
        <w:tc>
          <w:tcPr>
            <w:tcW w:w="960" w:type="dxa"/>
            <w:tcBorders>
              <w:top w:val="nil"/>
              <w:left w:val="nil"/>
              <w:bottom w:val="single" w:sz="8" w:space="0" w:color="auto"/>
              <w:right w:val="single" w:sz="8" w:space="0" w:color="auto"/>
            </w:tcBorders>
            <w:shd w:val="clear" w:color="auto" w:fill="auto"/>
            <w:vAlign w:val="center"/>
            <w:hideMark/>
          </w:tcPr>
          <w:p w14:paraId="232ABB3C" w14:textId="77777777" w:rsidR="006C14F6" w:rsidRPr="00B36A3B" w:rsidRDefault="006C14F6" w:rsidP="006C14F6">
            <w:pPr>
              <w:jc w:val="right"/>
              <w:rPr>
                <w:color w:val="000000"/>
                <w:sz w:val="20"/>
                <w:szCs w:val="20"/>
                <w:lang w:val="en-US"/>
              </w:rPr>
            </w:pPr>
            <w:r w:rsidRPr="00B36A3B">
              <w:rPr>
                <w:color w:val="000000"/>
                <w:sz w:val="20"/>
                <w:szCs w:val="20"/>
              </w:rPr>
              <w:t>739,264</w:t>
            </w:r>
          </w:p>
        </w:tc>
        <w:tc>
          <w:tcPr>
            <w:tcW w:w="960" w:type="dxa"/>
            <w:tcBorders>
              <w:top w:val="nil"/>
              <w:left w:val="nil"/>
              <w:bottom w:val="single" w:sz="8" w:space="0" w:color="auto"/>
              <w:right w:val="single" w:sz="8" w:space="0" w:color="auto"/>
            </w:tcBorders>
            <w:shd w:val="clear" w:color="auto" w:fill="auto"/>
            <w:vAlign w:val="center"/>
            <w:hideMark/>
          </w:tcPr>
          <w:p w14:paraId="395DB03C" w14:textId="77777777" w:rsidR="006C14F6" w:rsidRPr="00B36A3B" w:rsidRDefault="006C14F6" w:rsidP="006C14F6">
            <w:pPr>
              <w:jc w:val="right"/>
              <w:rPr>
                <w:color w:val="000000"/>
                <w:sz w:val="20"/>
                <w:szCs w:val="20"/>
                <w:lang w:val="en-US"/>
              </w:rPr>
            </w:pPr>
            <w:r w:rsidRPr="00B36A3B">
              <w:rPr>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14:paraId="5A3EB38E" w14:textId="77777777" w:rsidR="006C14F6" w:rsidRPr="00B36A3B" w:rsidRDefault="006C14F6" w:rsidP="006C14F6">
            <w:pPr>
              <w:jc w:val="right"/>
              <w:rPr>
                <w:color w:val="000000"/>
                <w:sz w:val="20"/>
                <w:szCs w:val="20"/>
                <w:lang w:val="en-US"/>
              </w:rPr>
            </w:pPr>
            <w:r w:rsidRPr="00B36A3B">
              <w:rPr>
                <w:color w:val="000000"/>
                <w:sz w:val="20"/>
                <w:szCs w:val="20"/>
              </w:rPr>
              <w:t>5,790</w:t>
            </w:r>
          </w:p>
        </w:tc>
        <w:tc>
          <w:tcPr>
            <w:tcW w:w="960" w:type="dxa"/>
            <w:tcBorders>
              <w:top w:val="nil"/>
              <w:left w:val="nil"/>
              <w:bottom w:val="single" w:sz="8" w:space="0" w:color="auto"/>
              <w:right w:val="single" w:sz="8" w:space="0" w:color="auto"/>
            </w:tcBorders>
            <w:shd w:val="clear" w:color="auto" w:fill="auto"/>
            <w:vAlign w:val="center"/>
            <w:hideMark/>
          </w:tcPr>
          <w:p w14:paraId="327B2C8C" w14:textId="77777777" w:rsidR="006C14F6" w:rsidRPr="00B36A3B" w:rsidRDefault="006C14F6" w:rsidP="006C14F6">
            <w:pPr>
              <w:jc w:val="right"/>
              <w:rPr>
                <w:color w:val="000000"/>
                <w:sz w:val="20"/>
                <w:szCs w:val="20"/>
                <w:lang w:val="en-US"/>
              </w:rPr>
            </w:pPr>
            <w:r w:rsidRPr="00B36A3B">
              <w:rPr>
                <w:color w:val="000000"/>
                <w:sz w:val="20"/>
                <w:szCs w:val="20"/>
              </w:rPr>
              <w:t>12,622</w:t>
            </w:r>
          </w:p>
        </w:tc>
        <w:tc>
          <w:tcPr>
            <w:tcW w:w="1140" w:type="dxa"/>
            <w:tcBorders>
              <w:top w:val="nil"/>
              <w:left w:val="nil"/>
              <w:bottom w:val="single" w:sz="8" w:space="0" w:color="auto"/>
              <w:right w:val="single" w:sz="8" w:space="0" w:color="auto"/>
            </w:tcBorders>
            <w:shd w:val="clear" w:color="auto" w:fill="auto"/>
            <w:vAlign w:val="center"/>
            <w:hideMark/>
          </w:tcPr>
          <w:p w14:paraId="3A68C828" w14:textId="77777777" w:rsidR="006C14F6" w:rsidRPr="00B36A3B" w:rsidRDefault="006C14F6" w:rsidP="006C14F6">
            <w:pPr>
              <w:jc w:val="right"/>
              <w:rPr>
                <w:color w:val="000000"/>
                <w:sz w:val="20"/>
                <w:szCs w:val="20"/>
                <w:lang w:val="en-US"/>
              </w:rPr>
            </w:pPr>
            <w:r w:rsidRPr="00B36A3B">
              <w:rPr>
                <w:color w:val="000000"/>
                <w:sz w:val="20"/>
                <w:szCs w:val="20"/>
              </w:rPr>
              <w:t>757,676</w:t>
            </w:r>
          </w:p>
        </w:tc>
        <w:tc>
          <w:tcPr>
            <w:tcW w:w="1340" w:type="dxa"/>
            <w:tcBorders>
              <w:top w:val="nil"/>
              <w:left w:val="nil"/>
              <w:bottom w:val="single" w:sz="8" w:space="0" w:color="auto"/>
              <w:right w:val="single" w:sz="8" w:space="0" w:color="auto"/>
            </w:tcBorders>
            <w:shd w:val="clear" w:color="auto" w:fill="auto"/>
            <w:vAlign w:val="center"/>
            <w:hideMark/>
          </w:tcPr>
          <w:p w14:paraId="60D38371"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739,264</w:t>
            </w:r>
          </w:p>
        </w:tc>
        <w:tc>
          <w:tcPr>
            <w:tcW w:w="1260" w:type="dxa"/>
            <w:tcBorders>
              <w:top w:val="nil"/>
              <w:left w:val="nil"/>
              <w:bottom w:val="single" w:sz="8" w:space="0" w:color="auto"/>
              <w:right w:val="single" w:sz="8" w:space="0" w:color="auto"/>
            </w:tcBorders>
            <w:shd w:val="clear" w:color="auto" w:fill="auto"/>
            <w:vAlign w:val="center"/>
            <w:hideMark/>
          </w:tcPr>
          <w:p w14:paraId="2D6668E2"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0</w:t>
            </w:r>
          </w:p>
        </w:tc>
        <w:tc>
          <w:tcPr>
            <w:tcW w:w="1140" w:type="dxa"/>
            <w:tcBorders>
              <w:top w:val="nil"/>
              <w:left w:val="nil"/>
              <w:bottom w:val="single" w:sz="8" w:space="0" w:color="auto"/>
              <w:right w:val="single" w:sz="8" w:space="0" w:color="auto"/>
            </w:tcBorders>
            <w:shd w:val="clear" w:color="auto" w:fill="auto"/>
            <w:vAlign w:val="center"/>
            <w:hideMark/>
          </w:tcPr>
          <w:p w14:paraId="4CD26FFB"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5,790</w:t>
            </w:r>
          </w:p>
        </w:tc>
        <w:tc>
          <w:tcPr>
            <w:tcW w:w="1240" w:type="dxa"/>
            <w:tcBorders>
              <w:top w:val="nil"/>
              <w:left w:val="nil"/>
              <w:bottom w:val="single" w:sz="8" w:space="0" w:color="auto"/>
              <w:right w:val="single" w:sz="8" w:space="0" w:color="auto"/>
            </w:tcBorders>
            <w:shd w:val="clear" w:color="auto" w:fill="auto"/>
            <w:vAlign w:val="center"/>
            <w:hideMark/>
          </w:tcPr>
          <w:p w14:paraId="401ECDC5"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12,622</w:t>
            </w:r>
          </w:p>
        </w:tc>
        <w:tc>
          <w:tcPr>
            <w:tcW w:w="1160" w:type="dxa"/>
            <w:tcBorders>
              <w:top w:val="nil"/>
              <w:left w:val="nil"/>
              <w:bottom w:val="single" w:sz="8" w:space="0" w:color="auto"/>
              <w:right w:val="single" w:sz="8" w:space="0" w:color="auto"/>
            </w:tcBorders>
            <w:shd w:val="clear" w:color="auto" w:fill="auto"/>
            <w:vAlign w:val="center"/>
            <w:hideMark/>
          </w:tcPr>
          <w:p w14:paraId="78C8D362"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757,676</w:t>
            </w:r>
          </w:p>
        </w:tc>
      </w:tr>
      <w:tr w:rsidR="006C14F6" w:rsidRPr="00B36A3B" w14:paraId="11D6156D"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147587EF" w14:textId="77777777" w:rsidR="006C14F6" w:rsidRPr="00B36A3B" w:rsidRDefault="006C14F6" w:rsidP="006C14F6">
            <w:pPr>
              <w:rPr>
                <w:rFonts w:ascii="Calibri" w:hAnsi="Calibri" w:cs="Calibri"/>
                <w:b/>
                <w:bCs/>
                <w:color w:val="000000"/>
                <w:sz w:val="20"/>
                <w:szCs w:val="20"/>
                <w:lang w:val="en-US"/>
              </w:rPr>
            </w:pPr>
            <w:r w:rsidRPr="00B36A3B">
              <w:rPr>
                <w:rFonts w:ascii="Calibri" w:hAnsi="Calibri" w:cs="Calibri"/>
                <w:b/>
                <w:bCs/>
                <w:color w:val="000000"/>
                <w:sz w:val="20"/>
                <w:szCs w:val="20"/>
                <w:lang w:val="en-US"/>
              </w:rPr>
              <w:lastRenderedPageBreak/>
              <w:t>Sub-Total : Project Costs</w:t>
            </w:r>
          </w:p>
        </w:tc>
        <w:tc>
          <w:tcPr>
            <w:tcW w:w="960" w:type="dxa"/>
            <w:tcBorders>
              <w:top w:val="nil"/>
              <w:left w:val="nil"/>
              <w:bottom w:val="single" w:sz="8" w:space="0" w:color="auto"/>
              <w:right w:val="single" w:sz="8" w:space="0" w:color="auto"/>
            </w:tcBorders>
            <w:shd w:val="clear" w:color="auto" w:fill="auto"/>
            <w:vAlign w:val="center"/>
            <w:hideMark/>
          </w:tcPr>
          <w:p w14:paraId="7BEC97EA" w14:textId="77777777" w:rsidR="006C14F6" w:rsidRPr="00B36A3B" w:rsidRDefault="006C14F6" w:rsidP="006C14F6">
            <w:pPr>
              <w:jc w:val="right"/>
              <w:rPr>
                <w:b/>
                <w:bCs/>
                <w:color w:val="000000"/>
                <w:sz w:val="20"/>
                <w:szCs w:val="20"/>
                <w:lang w:val="en-US"/>
              </w:rPr>
            </w:pPr>
            <w:r w:rsidRPr="00B36A3B">
              <w:rPr>
                <w:b/>
                <w:bCs/>
                <w:color w:val="000000"/>
                <w:sz w:val="20"/>
                <w:szCs w:val="20"/>
              </w:rPr>
              <w:t>8,006,441</w:t>
            </w:r>
          </w:p>
        </w:tc>
        <w:tc>
          <w:tcPr>
            <w:tcW w:w="960" w:type="dxa"/>
            <w:tcBorders>
              <w:top w:val="nil"/>
              <w:left w:val="nil"/>
              <w:bottom w:val="single" w:sz="8" w:space="0" w:color="auto"/>
              <w:right w:val="single" w:sz="8" w:space="0" w:color="auto"/>
            </w:tcBorders>
            <w:shd w:val="clear" w:color="auto" w:fill="auto"/>
            <w:vAlign w:val="center"/>
            <w:hideMark/>
          </w:tcPr>
          <w:p w14:paraId="3E8CDFC6" w14:textId="77777777" w:rsidR="006C14F6" w:rsidRPr="00B36A3B" w:rsidRDefault="006C14F6" w:rsidP="006C14F6">
            <w:pPr>
              <w:jc w:val="right"/>
              <w:rPr>
                <w:b/>
                <w:bCs/>
                <w:color w:val="000000"/>
                <w:sz w:val="20"/>
                <w:szCs w:val="20"/>
                <w:lang w:val="en-US"/>
              </w:rPr>
            </w:pPr>
            <w:r w:rsidRPr="00B36A3B">
              <w:rPr>
                <w:b/>
                <w:bCs/>
                <w:color w:val="000000"/>
                <w:sz w:val="20"/>
                <w:szCs w:val="20"/>
              </w:rPr>
              <w:t>2,723,779</w:t>
            </w:r>
          </w:p>
        </w:tc>
        <w:tc>
          <w:tcPr>
            <w:tcW w:w="960" w:type="dxa"/>
            <w:tcBorders>
              <w:top w:val="nil"/>
              <w:left w:val="nil"/>
              <w:bottom w:val="single" w:sz="8" w:space="0" w:color="auto"/>
              <w:right w:val="single" w:sz="8" w:space="0" w:color="auto"/>
            </w:tcBorders>
            <w:shd w:val="clear" w:color="auto" w:fill="auto"/>
            <w:vAlign w:val="center"/>
            <w:hideMark/>
          </w:tcPr>
          <w:p w14:paraId="3D717AD5" w14:textId="77777777" w:rsidR="006C14F6" w:rsidRPr="00B36A3B" w:rsidRDefault="006C14F6" w:rsidP="006C14F6">
            <w:pPr>
              <w:jc w:val="right"/>
              <w:rPr>
                <w:b/>
                <w:bCs/>
                <w:color w:val="000000"/>
                <w:sz w:val="20"/>
                <w:szCs w:val="20"/>
                <w:lang w:val="en-US"/>
              </w:rPr>
            </w:pPr>
            <w:r w:rsidRPr="00B36A3B">
              <w:rPr>
                <w:b/>
                <w:bCs/>
                <w:color w:val="000000"/>
                <w:sz w:val="20"/>
                <w:szCs w:val="20"/>
              </w:rPr>
              <w:t>295,733</w:t>
            </w:r>
          </w:p>
        </w:tc>
        <w:tc>
          <w:tcPr>
            <w:tcW w:w="960" w:type="dxa"/>
            <w:tcBorders>
              <w:top w:val="nil"/>
              <w:left w:val="nil"/>
              <w:bottom w:val="single" w:sz="8" w:space="0" w:color="auto"/>
              <w:right w:val="single" w:sz="8" w:space="0" w:color="auto"/>
            </w:tcBorders>
            <w:shd w:val="clear" w:color="auto" w:fill="auto"/>
            <w:vAlign w:val="center"/>
            <w:hideMark/>
          </w:tcPr>
          <w:p w14:paraId="4582174B" w14:textId="77777777" w:rsidR="006C14F6" w:rsidRPr="00B36A3B" w:rsidRDefault="006C14F6" w:rsidP="006C14F6">
            <w:pPr>
              <w:jc w:val="right"/>
              <w:rPr>
                <w:b/>
                <w:bCs/>
                <w:color w:val="000000"/>
                <w:sz w:val="20"/>
                <w:szCs w:val="20"/>
                <w:lang w:val="en-US"/>
              </w:rPr>
            </w:pPr>
            <w:r w:rsidRPr="00B36A3B">
              <w:rPr>
                <w:b/>
                <w:bCs/>
                <w:color w:val="000000"/>
                <w:sz w:val="20"/>
                <w:szCs w:val="20"/>
              </w:rPr>
              <w:t>284,793</w:t>
            </w:r>
          </w:p>
        </w:tc>
        <w:tc>
          <w:tcPr>
            <w:tcW w:w="1140" w:type="dxa"/>
            <w:tcBorders>
              <w:top w:val="nil"/>
              <w:left w:val="nil"/>
              <w:bottom w:val="single" w:sz="8" w:space="0" w:color="auto"/>
              <w:right w:val="single" w:sz="8" w:space="0" w:color="auto"/>
            </w:tcBorders>
            <w:shd w:val="clear" w:color="auto" w:fill="auto"/>
            <w:vAlign w:val="center"/>
            <w:hideMark/>
          </w:tcPr>
          <w:p w14:paraId="2AC470E3" w14:textId="77777777" w:rsidR="006C14F6" w:rsidRPr="00B36A3B" w:rsidRDefault="006C14F6" w:rsidP="006C14F6">
            <w:pPr>
              <w:jc w:val="right"/>
              <w:rPr>
                <w:b/>
                <w:bCs/>
                <w:color w:val="000000"/>
                <w:sz w:val="20"/>
                <w:szCs w:val="20"/>
                <w:lang w:val="en-US"/>
              </w:rPr>
            </w:pPr>
            <w:r w:rsidRPr="00B36A3B">
              <w:rPr>
                <w:b/>
                <w:bCs/>
                <w:color w:val="000000"/>
                <w:sz w:val="20"/>
                <w:szCs w:val="20"/>
              </w:rPr>
              <w:t>11,310,747</w:t>
            </w:r>
          </w:p>
        </w:tc>
        <w:tc>
          <w:tcPr>
            <w:tcW w:w="1340" w:type="dxa"/>
            <w:tcBorders>
              <w:top w:val="nil"/>
              <w:left w:val="nil"/>
              <w:bottom w:val="single" w:sz="8" w:space="0" w:color="auto"/>
              <w:right w:val="single" w:sz="8" w:space="0" w:color="auto"/>
            </w:tcBorders>
            <w:shd w:val="clear" w:color="auto" w:fill="auto"/>
            <w:vAlign w:val="center"/>
            <w:hideMark/>
          </w:tcPr>
          <w:p w14:paraId="4D2B89BC"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8,006,441</w:t>
            </w:r>
          </w:p>
        </w:tc>
        <w:tc>
          <w:tcPr>
            <w:tcW w:w="1260" w:type="dxa"/>
            <w:tcBorders>
              <w:top w:val="nil"/>
              <w:left w:val="nil"/>
              <w:bottom w:val="single" w:sz="8" w:space="0" w:color="auto"/>
              <w:right w:val="single" w:sz="8" w:space="0" w:color="auto"/>
            </w:tcBorders>
            <w:shd w:val="clear" w:color="auto" w:fill="auto"/>
            <w:vAlign w:val="center"/>
            <w:hideMark/>
          </w:tcPr>
          <w:p w14:paraId="1A4FBFE6"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2,692,832</w:t>
            </w:r>
          </w:p>
        </w:tc>
        <w:tc>
          <w:tcPr>
            <w:tcW w:w="1140" w:type="dxa"/>
            <w:tcBorders>
              <w:top w:val="nil"/>
              <w:left w:val="nil"/>
              <w:bottom w:val="single" w:sz="8" w:space="0" w:color="auto"/>
              <w:right w:val="single" w:sz="8" w:space="0" w:color="auto"/>
            </w:tcBorders>
            <w:shd w:val="clear" w:color="auto" w:fill="auto"/>
            <w:vAlign w:val="center"/>
            <w:hideMark/>
          </w:tcPr>
          <w:p w14:paraId="0081A2CA"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295,733</w:t>
            </w:r>
          </w:p>
        </w:tc>
        <w:tc>
          <w:tcPr>
            <w:tcW w:w="1240" w:type="dxa"/>
            <w:tcBorders>
              <w:top w:val="nil"/>
              <w:left w:val="nil"/>
              <w:bottom w:val="single" w:sz="8" w:space="0" w:color="auto"/>
              <w:right w:val="single" w:sz="8" w:space="0" w:color="auto"/>
            </w:tcBorders>
            <w:shd w:val="clear" w:color="auto" w:fill="auto"/>
            <w:vAlign w:val="center"/>
            <w:hideMark/>
          </w:tcPr>
          <w:p w14:paraId="084ED6C2"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284,793</w:t>
            </w:r>
          </w:p>
        </w:tc>
        <w:tc>
          <w:tcPr>
            <w:tcW w:w="1160" w:type="dxa"/>
            <w:tcBorders>
              <w:top w:val="nil"/>
              <w:left w:val="nil"/>
              <w:bottom w:val="single" w:sz="8" w:space="0" w:color="auto"/>
              <w:right w:val="single" w:sz="8" w:space="0" w:color="auto"/>
            </w:tcBorders>
            <w:shd w:val="clear" w:color="auto" w:fill="auto"/>
            <w:vAlign w:val="center"/>
            <w:hideMark/>
          </w:tcPr>
          <w:p w14:paraId="53918CDE"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11,310,747</w:t>
            </w:r>
          </w:p>
        </w:tc>
      </w:tr>
      <w:tr w:rsidR="006C14F6" w:rsidRPr="00B36A3B" w14:paraId="472E0514"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5D00C0A0" w14:textId="77777777" w:rsidR="006C14F6" w:rsidRPr="00B36A3B" w:rsidRDefault="006C14F6" w:rsidP="006C14F6">
            <w:pPr>
              <w:rPr>
                <w:rFonts w:ascii="Calibri" w:hAnsi="Calibri" w:cs="Calibri"/>
                <w:b/>
                <w:bCs/>
                <w:color w:val="000000"/>
                <w:sz w:val="20"/>
                <w:szCs w:val="20"/>
                <w:lang w:val="en-US"/>
              </w:rPr>
            </w:pPr>
            <w:r w:rsidRPr="00B36A3B">
              <w:rPr>
                <w:rFonts w:ascii="Calibri" w:hAnsi="Calibri" w:cs="Calibri"/>
                <w:b/>
                <w:bCs/>
                <w:color w:val="000000"/>
                <w:sz w:val="20"/>
                <w:szCs w:val="20"/>
                <w:lang w:val="en-US"/>
              </w:rPr>
              <w:t>Contribution from BCPR</w:t>
            </w:r>
          </w:p>
        </w:tc>
        <w:tc>
          <w:tcPr>
            <w:tcW w:w="960" w:type="dxa"/>
            <w:tcBorders>
              <w:top w:val="nil"/>
              <w:left w:val="nil"/>
              <w:bottom w:val="single" w:sz="8" w:space="0" w:color="auto"/>
              <w:right w:val="single" w:sz="8" w:space="0" w:color="auto"/>
            </w:tcBorders>
            <w:shd w:val="clear" w:color="auto" w:fill="auto"/>
            <w:vAlign w:val="center"/>
            <w:hideMark/>
          </w:tcPr>
          <w:p w14:paraId="00EAA5A7" w14:textId="77777777" w:rsidR="006C14F6" w:rsidRPr="00B36A3B" w:rsidRDefault="006C14F6" w:rsidP="006C14F6">
            <w:pPr>
              <w:jc w:val="right"/>
              <w:rPr>
                <w:color w:val="000000"/>
                <w:sz w:val="20"/>
                <w:szCs w:val="20"/>
                <w:lang w:val="en-US"/>
              </w:rPr>
            </w:pPr>
            <w:r w:rsidRPr="00B36A3B">
              <w:rPr>
                <w:color w:val="000000"/>
                <w:sz w:val="20"/>
                <w:szCs w:val="20"/>
              </w:rPr>
              <w:t>693,000</w:t>
            </w:r>
          </w:p>
        </w:tc>
        <w:tc>
          <w:tcPr>
            <w:tcW w:w="960" w:type="dxa"/>
            <w:tcBorders>
              <w:top w:val="nil"/>
              <w:left w:val="nil"/>
              <w:bottom w:val="single" w:sz="8" w:space="0" w:color="auto"/>
              <w:right w:val="single" w:sz="8" w:space="0" w:color="auto"/>
            </w:tcBorders>
            <w:shd w:val="clear" w:color="auto" w:fill="auto"/>
            <w:vAlign w:val="center"/>
            <w:hideMark/>
          </w:tcPr>
          <w:p w14:paraId="44E19DE2" w14:textId="77777777" w:rsidR="006C14F6" w:rsidRPr="00B36A3B" w:rsidRDefault="006C14F6" w:rsidP="006C14F6">
            <w:pPr>
              <w:rPr>
                <w:color w:val="000000"/>
                <w:sz w:val="20"/>
                <w:szCs w:val="20"/>
                <w:lang w:val="en-US"/>
              </w:rPr>
            </w:pPr>
            <w:r w:rsidRPr="00B36A3B">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E72B302" w14:textId="77777777" w:rsidR="006C14F6" w:rsidRPr="00B36A3B" w:rsidRDefault="006C14F6" w:rsidP="006C14F6">
            <w:pPr>
              <w:rPr>
                <w:color w:val="000000"/>
                <w:sz w:val="20"/>
                <w:szCs w:val="20"/>
                <w:lang w:val="en-US"/>
              </w:rPr>
            </w:pPr>
            <w:r w:rsidRPr="00B36A3B">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14A12BE" w14:textId="77777777" w:rsidR="006C14F6" w:rsidRPr="00B36A3B" w:rsidRDefault="006C14F6" w:rsidP="006C14F6">
            <w:pPr>
              <w:rPr>
                <w:color w:val="000000"/>
                <w:sz w:val="20"/>
                <w:szCs w:val="20"/>
                <w:lang w:val="en-US"/>
              </w:rPr>
            </w:pPr>
            <w:r w:rsidRPr="00B36A3B">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14:paraId="01BDD3A7" w14:textId="77777777" w:rsidR="006C14F6" w:rsidRPr="00B36A3B" w:rsidRDefault="006C14F6" w:rsidP="006C14F6">
            <w:pPr>
              <w:jc w:val="right"/>
              <w:rPr>
                <w:color w:val="000000"/>
                <w:sz w:val="20"/>
                <w:szCs w:val="20"/>
                <w:lang w:val="en-US"/>
              </w:rPr>
            </w:pPr>
            <w:r w:rsidRPr="00B36A3B">
              <w:rPr>
                <w:color w:val="000000"/>
                <w:sz w:val="20"/>
                <w:szCs w:val="20"/>
              </w:rPr>
              <w:t>693,000</w:t>
            </w:r>
          </w:p>
        </w:tc>
        <w:tc>
          <w:tcPr>
            <w:tcW w:w="1340" w:type="dxa"/>
            <w:tcBorders>
              <w:top w:val="nil"/>
              <w:left w:val="nil"/>
              <w:bottom w:val="single" w:sz="8" w:space="0" w:color="auto"/>
              <w:right w:val="single" w:sz="8" w:space="0" w:color="auto"/>
            </w:tcBorders>
            <w:shd w:val="clear" w:color="auto" w:fill="auto"/>
            <w:vAlign w:val="center"/>
            <w:hideMark/>
          </w:tcPr>
          <w:p w14:paraId="6A6D4BDD"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693,000</w:t>
            </w:r>
          </w:p>
        </w:tc>
        <w:tc>
          <w:tcPr>
            <w:tcW w:w="1260" w:type="dxa"/>
            <w:tcBorders>
              <w:top w:val="nil"/>
              <w:left w:val="nil"/>
              <w:bottom w:val="single" w:sz="8" w:space="0" w:color="auto"/>
              <w:right w:val="single" w:sz="8" w:space="0" w:color="auto"/>
            </w:tcBorders>
            <w:shd w:val="clear" w:color="auto" w:fill="auto"/>
            <w:vAlign w:val="center"/>
            <w:hideMark/>
          </w:tcPr>
          <w:p w14:paraId="7E043ED7"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14:paraId="03EBC1FC"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067D880A"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14:paraId="18D8908C"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693,000</w:t>
            </w:r>
          </w:p>
        </w:tc>
      </w:tr>
      <w:tr w:rsidR="006C14F6" w:rsidRPr="00B36A3B" w14:paraId="5CF9696F"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4B85AF46" w14:textId="77777777" w:rsidR="006C14F6" w:rsidRPr="00B36A3B" w:rsidRDefault="006C14F6" w:rsidP="006C14F6">
            <w:pPr>
              <w:rPr>
                <w:rFonts w:ascii="Calibri" w:hAnsi="Calibri" w:cs="Calibri"/>
                <w:b/>
                <w:bCs/>
                <w:color w:val="000000"/>
                <w:sz w:val="20"/>
                <w:szCs w:val="20"/>
                <w:lang w:val="en-US"/>
              </w:rPr>
            </w:pPr>
            <w:r w:rsidRPr="00B36A3B">
              <w:rPr>
                <w:rFonts w:ascii="Calibri" w:hAnsi="Calibri" w:cs="Calibri"/>
                <w:b/>
                <w:bCs/>
                <w:color w:val="000000"/>
                <w:sz w:val="20"/>
                <w:szCs w:val="20"/>
                <w:lang w:val="en-US"/>
              </w:rPr>
              <w:t>Total UNPFN Funded Project Cost</w:t>
            </w:r>
          </w:p>
        </w:tc>
        <w:tc>
          <w:tcPr>
            <w:tcW w:w="960" w:type="dxa"/>
            <w:tcBorders>
              <w:top w:val="nil"/>
              <w:left w:val="nil"/>
              <w:bottom w:val="single" w:sz="8" w:space="0" w:color="auto"/>
              <w:right w:val="single" w:sz="8" w:space="0" w:color="auto"/>
            </w:tcBorders>
            <w:shd w:val="clear" w:color="auto" w:fill="auto"/>
            <w:vAlign w:val="center"/>
            <w:hideMark/>
          </w:tcPr>
          <w:p w14:paraId="62A1F68E" w14:textId="77777777" w:rsidR="006C14F6" w:rsidRPr="00B36A3B" w:rsidRDefault="006C14F6" w:rsidP="006C14F6">
            <w:pPr>
              <w:jc w:val="right"/>
              <w:rPr>
                <w:b/>
                <w:bCs/>
                <w:color w:val="000000"/>
                <w:sz w:val="20"/>
                <w:szCs w:val="20"/>
                <w:lang w:val="en-US"/>
              </w:rPr>
            </w:pPr>
            <w:r w:rsidRPr="00B36A3B">
              <w:rPr>
                <w:b/>
                <w:bCs/>
                <w:color w:val="000000"/>
                <w:sz w:val="20"/>
                <w:szCs w:val="20"/>
              </w:rPr>
              <w:t>7,313,441</w:t>
            </w:r>
          </w:p>
        </w:tc>
        <w:tc>
          <w:tcPr>
            <w:tcW w:w="960" w:type="dxa"/>
            <w:tcBorders>
              <w:top w:val="nil"/>
              <w:left w:val="nil"/>
              <w:bottom w:val="single" w:sz="8" w:space="0" w:color="auto"/>
              <w:right w:val="single" w:sz="8" w:space="0" w:color="auto"/>
            </w:tcBorders>
            <w:shd w:val="clear" w:color="auto" w:fill="auto"/>
            <w:vAlign w:val="center"/>
            <w:hideMark/>
          </w:tcPr>
          <w:p w14:paraId="7A7C9587" w14:textId="77777777" w:rsidR="006C14F6" w:rsidRPr="00B36A3B" w:rsidRDefault="006C14F6" w:rsidP="006C14F6">
            <w:pPr>
              <w:jc w:val="right"/>
              <w:rPr>
                <w:b/>
                <w:bCs/>
                <w:color w:val="000000"/>
                <w:sz w:val="20"/>
                <w:szCs w:val="20"/>
                <w:lang w:val="en-US"/>
              </w:rPr>
            </w:pPr>
            <w:r w:rsidRPr="00B36A3B">
              <w:rPr>
                <w:b/>
                <w:bCs/>
                <w:color w:val="000000"/>
                <w:sz w:val="20"/>
                <w:szCs w:val="20"/>
              </w:rPr>
              <w:t>2,723,779</w:t>
            </w:r>
          </w:p>
        </w:tc>
        <w:tc>
          <w:tcPr>
            <w:tcW w:w="960" w:type="dxa"/>
            <w:tcBorders>
              <w:top w:val="nil"/>
              <w:left w:val="nil"/>
              <w:bottom w:val="single" w:sz="8" w:space="0" w:color="auto"/>
              <w:right w:val="single" w:sz="8" w:space="0" w:color="auto"/>
            </w:tcBorders>
            <w:shd w:val="clear" w:color="auto" w:fill="auto"/>
            <w:vAlign w:val="center"/>
            <w:hideMark/>
          </w:tcPr>
          <w:p w14:paraId="1881441F" w14:textId="77777777" w:rsidR="006C14F6" w:rsidRPr="00B36A3B" w:rsidRDefault="006C14F6" w:rsidP="006C14F6">
            <w:pPr>
              <w:jc w:val="right"/>
              <w:rPr>
                <w:b/>
                <w:bCs/>
                <w:color w:val="000000"/>
                <w:sz w:val="20"/>
                <w:szCs w:val="20"/>
                <w:lang w:val="en-US"/>
              </w:rPr>
            </w:pPr>
            <w:r w:rsidRPr="00B36A3B">
              <w:rPr>
                <w:b/>
                <w:bCs/>
                <w:color w:val="000000"/>
                <w:sz w:val="20"/>
                <w:szCs w:val="20"/>
              </w:rPr>
              <w:t>295,733</w:t>
            </w:r>
          </w:p>
        </w:tc>
        <w:tc>
          <w:tcPr>
            <w:tcW w:w="960" w:type="dxa"/>
            <w:tcBorders>
              <w:top w:val="nil"/>
              <w:left w:val="nil"/>
              <w:bottom w:val="single" w:sz="8" w:space="0" w:color="auto"/>
              <w:right w:val="single" w:sz="8" w:space="0" w:color="auto"/>
            </w:tcBorders>
            <w:shd w:val="clear" w:color="auto" w:fill="auto"/>
            <w:vAlign w:val="center"/>
            <w:hideMark/>
          </w:tcPr>
          <w:p w14:paraId="321F1847" w14:textId="77777777" w:rsidR="006C14F6" w:rsidRPr="00B36A3B" w:rsidRDefault="006C14F6" w:rsidP="006C14F6">
            <w:pPr>
              <w:jc w:val="right"/>
              <w:rPr>
                <w:b/>
                <w:bCs/>
                <w:color w:val="000000"/>
                <w:sz w:val="20"/>
                <w:szCs w:val="20"/>
                <w:lang w:val="en-US"/>
              </w:rPr>
            </w:pPr>
            <w:r w:rsidRPr="00B36A3B">
              <w:rPr>
                <w:b/>
                <w:bCs/>
                <w:color w:val="000000"/>
                <w:sz w:val="20"/>
                <w:szCs w:val="20"/>
              </w:rPr>
              <w:t>284,793</w:t>
            </w:r>
          </w:p>
        </w:tc>
        <w:tc>
          <w:tcPr>
            <w:tcW w:w="1140" w:type="dxa"/>
            <w:tcBorders>
              <w:top w:val="nil"/>
              <w:left w:val="nil"/>
              <w:bottom w:val="single" w:sz="8" w:space="0" w:color="auto"/>
              <w:right w:val="single" w:sz="8" w:space="0" w:color="auto"/>
            </w:tcBorders>
            <w:shd w:val="clear" w:color="auto" w:fill="auto"/>
            <w:vAlign w:val="center"/>
            <w:hideMark/>
          </w:tcPr>
          <w:p w14:paraId="6DF32C6A" w14:textId="77777777" w:rsidR="006C14F6" w:rsidRPr="00B36A3B" w:rsidRDefault="006C14F6" w:rsidP="006C14F6">
            <w:pPr>
              <w:jc w:val="right"/>
              <w:rPr>
                <w:b/>
                <w:bCs/>
                <w:color w:val="000000"/>
                <w:sz w:val="20"/>
                <w:szCs w:val="20"/>
                <w:lang w:val="en-US"/>
              </w:rPr>
            </w:pPr>
            <w:r w:rsidRPr="00B36A3B">
              <w:rPr>
                <w:b/>
                <w:bCs/>
                <w:color w:val="000000"/>
                <w:sz w:val="20"/>
                <w:szCs w:val="20"/>
              </w:rPr>
              <w:t>10,617,747</w:t>
            </w:r>
          </w:p>
        </w:tc>
        <w:tc>
          <w:tcPr>
            <w:tcW w:w="1340" w:type="dxa"/>
            <w:tcBorders>
              <w:top w:val="nil"/>
              <w:left w:val="nil"/>
              <w:bottom w:val="single" w:sz="8" w:space="0" w:color="auto"/>
              <w:right w:val="single" w:sz="8" w:space="0" w:color="auto"/>
            </w:tcBorders>
            <w:shd w:val="clear" w:color="auto" w:fill="auto"/>
            <w:vAlign w:val="center"/>
            <w:hideMark/>
          </w:tcPr>
          <w:p w14:paraId="24FBC96F"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7,313,441</w:t>
            </w:r>
          </w:p>
        </w:tc>
        <w:tc>
          <w:tcPr>
            <w:tcW w:w="1260" w:type="dxa"/>
            <w:tcBorders>
              <w:top w:val="nil"/>
              <w:left w:val="nil"/>
              <w:bottom w:val="single" w:sz="8" w:space="0" w:color="auto"/>
              <w:right w:val="single" w:sz="8" w:space="0" w:color="auto"/>
            </w:tcBorders>
            <w:shd w:val="clear" w:color="auto" w:fill="auto"/>
            <w:vAlign w:val="center"/>
            <w:hideMark/>
          </w:tcPr>
          <w:p w14:paraId="6A6B6297"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2,692,832</w:t>
            </w:r>
          </w:p>
        </w:tc>
        <w:tc>
          <w:tcPr>
            <w:tcW w:w="1140" w:type="dxa"/>
            <w:tcBorders>
              <w:top w:val="nil"/>
              <w:left w:val="nil"/>
              <w:bottom w:val="single" w:sz="8" w:space="0" w:color="auto"/>
              <w:right w:val="single" w:sz="8" w:space="0" w:color="auto"/>
            </w:tcBorders>
            <w:shd w:val="clear" w:color="auto" w:fill="auto"/>
            <w:vAlign w:val="center"/>
            <w:hideMark/>
          </w:tcPr>
          <w:p w14:paraId="34B22EB2"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295,733</w:t>
            </w:r>
          </w:p>
        </w:tc>
        <w:tc>
          <w:tcPr>
            <w:tcW w:w="1240" w:type="dxa"/>
            <w:tcBorders>
              <w:top w:val="nil"/>
              <w:left w:val="nil"/>
              <w:bottom w:val="single" w:sz="8" w:space="0" w:color="auto"/>
              <w:right w:val="single" w:sz="8" w:space="0" w:color="auto"/>
            </w:tcBorders>
            <w:shd w:val="clear" w:color="auto" w:fill="auto"/>
            <w:vAlign w:val="center"/>
            <w:hideMark/>
          </w:tcPr>
          <w:p w14:paraId="32B63576"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284,793</w:t>
            </w:r>
          </w:p>
        </w:tc>
        <w:tc>
          <w:tcPr>
            <w:tcW w:w="1160" w:type="dxa"/>
            <w:tcBorders>
              <w:top w:val="nil"/>
              <w:left w:val="nil"/>
              <w:bottom w:val="single" w:sz="8" w:space="0" w:color="auto"/>
              <w:right w:val="single" w:sz="8" w:space="0" w:color="auto"/>
            </w:tcBorders>
            <w:shd w:val="clear" w:color="auto" w:fill="auto"/>
            <w:vAlign w:val="center"/>
            <w:hideMark/>
          </w:tcPr>
          <w:p w14:paraId="132DBEB2"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10,586,799</w:t>
            </w:r>
          </w:p>
        </w:tc>
      </w:tr>
      <w:tr w:rsidR="006C14F6" w:rsidRPr="00B36A3B" w14:paraId="2D54C6F0" w14:textId="77777777" w:rsidTr="006C14F6">
        <w:trPr>
          <w:trHeight w:val="52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674EBF0F" w14:textId="77777777" w:rsidR="006C14F6" w:rsidRPr="00B36A3B" w:rsidRDefault="006C14F6" w:rsidP="006C14F6">
            <w:pPr>
              <w:rPr>
                <w:rFonts w:ascii="Calibri" w:hAnsi="Calibri" w:cs="Calibri"/>
                <w:color w:val="000000"/>
                <w:sz w:val="20"/>
                <w:szCs w:val="20"/>
                <w:lang w:val="en-US"/>
              </w:rPr>
            </w:pPr>
            <w:r w:rsidRPr="00B36A3B">
              <w:rPr>
                <w:rFonts w:ascii="Calibri" w:hAnsi="Calibri" w:cs="Calibri"/>
                <w:color w:val="000000"/>
                <w:sz w:val="20"/>
                <w:szCs w:val="20"/>
                <w:lang w:val="en-US"/>
              </w:rPr>
              <w:t>Indirect Support Costs  (7  % of Sub-Total Project Cost)*</w:t>
            </w:r>
          </w:p>
        </w:tc>
        <w:tc>
          <w:tcPr>
            <w:tcW w:w="960" w:type="dxa"/>
            <w:tcBorders>
              <w:top w:val="nil"/>
              <w:left w:val="nil"/>
              <w:bottom w:val="single" w:sz="8" w:space="0" w:color="auto"/>
              <w:right w:val="single" w:sz="8" w:space="0" w:color="auto"/>
            </w:tcBorders>
            <w:shd w:val="clear" w:color="auto" w:fill="auto"/>
            <w:vAlign w:val="center"/>
            <w:hideMark/>
          </w:tcPr>
          <w:p w14:paraId="53048654" w14:textId="77777777" w:rsidR="006C14F6" w:rsidRPr="00B36A3B" w:rsidRDefault="006C14F6" w:rsidP="006C14F6">
            <w:pPr>
              <w:jc w:val="right"/>
              <w:rPr>
                <w:color w:val="000000"/>
                <w:sz w:val="20"/>
                <w:szCs w:val="20"/>
                <w:lang w:val="en-US"/>
              </w:rPr>
            </w:pPr>
            <w:r w:rsidRPr="00B36A3B">
              <w:rPr>
                <w:color w:val="000000"/>
                <w:sz w:val="20"/>
                <w:szCs w:val="20"/>
              </w:rPr>
              <w:t>511,941</w:t>
            </w:r>
          </w:p>
        </w:tc>
        <w:tc>
          <w:tcPr>
            <w:tcW w:w="960" w:type="dxa"/>
            <w:tcBorders>
              <w:top w:val="nil"/>
              <w:left w:val="nil"/>
              <w:bottom w:val="single" w:sz="8" w:space="0" w:color="auto"/>
              <w:right w:val="single" w:sz="8" w:space="0" w:color="auto"/>
            </w:tcBorders>
            <w:shd w:val="clear" w:color="auto" w:fill="auto"/>
            <w:vAlign w:val="center"/>
            <w:hideMark/>
          </w:tcPr>
          <w:p w14:paraId="6FA22339" w14:textId="77777777" w:rsidR="006C14F6" w:rsidRPr="00B36A3B" w:rsidRDefault="006C14F6" w:rsidP="006C14F6">
            <w:pPr>
              <w:jc w:val="right"/>
              <w:rPr>
                <w:color w:val="000000"/>
                <w:sz w:val="20"/>
                <w:szCs w:val="20"/>
                <w:lang w:val="en-US"/>
              </w:rPr>
            </w:pPr>
            <w:r w:rsidRPr="00B36A3B">
              <w:rPr>
                <w:color w:val="000000"/>
                <w:sz w:val="20"/>
                <w:szCs w:val="20"/>
              </w:rPr>
              <w:t>190,665</w:t>
            </w:r>
          </w:p>
        </w:tc>
        <w:tc>
          <w:tcPr>
            <w:tcW w:w="960" w:type="dxa"/>
            <w:tcBorders>
              <w:top w:val="nil"/>
              <w:left w:val="nil"/>
              <w:bottom w:val="single" w:sz="8" w:space="0" w:color="auto"/>
              <w:right w:val="single" w:sz="8" w:space="0" w:color="auto"/>
            </w:tcBorders>
            <w:shd w:val="clear" w:color="auto" w:fill="auto"/>
            <w:vAlign w:val="center"/>
            <w:hideMark/>
          </w:tcPr>
          <w:p w14:paraId="3A2E3253" w14:textId="77777777" w:rsidR="006C14F6" w:rsidRPr="00B36A3B" w:rsidRDefault="006C14F6" w:rsidP="006C14F6">
            <w:pPr>
              <w:jc w:val="right"/>
              <w:rPr>
                <w:color w:val="000000"/>
                <w:sz w:val="20"/>
                <w:szCs w:val="20"/>
                <w:lang w:val="en-US"/>
              </w:rPr>
            </w:pPr>
            <w:r w:rsidRPr="00B36A3B">
              <w:rPr>
                <w:color w:val="000000"/>
                <w:sz w:val="20"/>
                <w:szCs w:val="20"/>
              </w:rPr>
              <w:t>20,701</w:t>
            </w:r>
          </w:p>
        </w:tc>
        <w:tc>
          <w:tcPr>
            <w:tcW w:w="960" w:type="dxa"/>
            <w:tcBorders>
              <w:top w:val="nil"/>
              <w:left w:val="nil"/>
              <w:bottom w:val="single" w:sz="8" w:space="0" w:color="auto"/>
              <w:right w:val="single" w:sz="8" w:space="0" w:color="auto"/>
            </w:tcBorders>
            <w:shd w:val="clear" w:color="auto" w:fill="auto"/>
            <w:vAlign w:val="center"/>
            <w:hideMark/>
          </w:tcPr>
          <w:p w14:paraId="194D744B" w14:textId="77777777" w:rsidR="006C14F6" w:rsidRPr="00B36A3B" w:rsidRDefault="006C14F6" w:rsidP="006C14F6">
            <w:pPr>
              <w:jc w:val="right"/>
              <w:rPr>
                <w:color w:val="000000"/>
                <w:sz w:val="20"/>
                <w:szCs w:val="20"/>
                <w:lang w:val="en-US"/>
              </w:rPr>
            </w:pPr>
            <w:r w:rsidRPr="00B36A3B">
              <w:rPr>
                <w:color w:val="000000"/>
                <w:sz w:val="20"/>
                <w:szCs w:val="20"/>
              </w:rPr>
              <w:t>19,936</w:t>
            </w:r>
          </w:p>
        </w:tc>
        <w:tc>
          <w:tcPr>
            <w:tcW w:w="1140" w:type="dxa"/>
            <w:tcBorders>
              <w:top w:val="nil"/>
              <w:left w:val="nil"/>
              <w:bottom w:val="single" w:sz="8" w:space="0" w:color="auto"/>
              <w:right w:val="single" w:sz="8" w:space="0" w:color="auto"/>
            </w:tcBorders>
            <w:shd w:val="clear" w:color="auto" w:fill="auto"/>
            <w:vAlign w:val="center"/>
            <w:hideMark/>
          </w:tcPr>
          <w:p w14:paraId="4B73286D" w14:textId="77777777" w:rsidR="006C14F6" w:rsidRPr="00B36A3B" w:rsidRDefault="006C14F6" w:rsidP="006C14F6">
            <w:pPr>
              <w:jc w:val="right"/>
              <w:rPr>
                <w:color w:val="000000"/>
                <w:sz w:val="20"/>
                <w:szCs w:val="20"/>
                <w:lang w:val="en-US"/>
              </w:rPr>
            </w:pPr>
            <w:r w:rsidRPr="00B36A3B">
              <w:rPr>
                <w:color w:val="000000"/>
                <w:sz w:val="20"/>
                <w:szCs w:val="20"/>
              </w:rPr>
              <w:t>743,243</w:t>
            </w:r>
          </w:p>
        </w:tc>
        <w:tc>
          <w:tcPr>
            <w:tcW w:w="1340" w:type="dxa"/>
            <w:tcBorders>
              <w:top w:val="nil"/>
              <w:left w:val="nil"/>
              <w:bottom w:val="single" w:sz="8" w:space="0" w:color="auto"/>
              <w:right w:val="single" w:sz="8" w:space="0" w:color="auto"/>
            </w:tcBorders>
            <w:shd w:val="clear" w:color="auto" w:fill="auto"/>
            <w:vAlign w:val="center"/>
            <w:hideMark/>
          </w:tcPr>
          <w:p w14:paraId="1BE2CCDE"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511,941</w:t>
            </w:r>
          </w:p>
        </w:tc>
        <w:tc>
          <w:tcPr>
            <w:tcW w:w="1260" w:type="dxa"/>
            <w:tcBorders>
              <w:top w:val="nil"/>
              <w:left w:val="nil"/>
              <w:bottom w:val="single" w:sz="8" w:space="0" w:color="auto"/>
              <w:right w:val="single" w:sz="8" w:space="0" w:color="auto"/>
            </w:tcBorders>
            <w:shd w:val="clear" w:color="auto" w:fill="auto"/>
            <w:vAlign w:val="center"/>
            <w:hideMark/>
          </w:tcPr>
          <w:p w14:paraId="66DA305F"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188,499</w:t>
            </w:r>
          </w:p>
        </w:tc>
        <w:tc>
          <w:tcPr>
            <w:tcW w:w="1140" w:type="dxa"/>
            <w:tcBorders>
              <w:top w:val="nil"/>
              <w:left w:val="nil"/>
              <w:bottom w:val="single" w:sz="8" w:space="0" w:color="auto"/>
              <w:right w:val="single" w:sz="8" w:space="0" w:color="auto"/>
            </w:tcBorders>
            <w:shd w:val="clear" w:color="auto" w:fill="auto"/>
            <w:vAlign w:val="center"/>
            <w:hideMark/>
          </w:tcPr>
          <w:p w14:paraId="5B7E908A"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20,701</w:t>
            </w:r>
          </w:p>
        </w:tc>
        <w:tc>
          <w:tcPr>
            <w:tcW w:w="1240" w:type="dxa"/>
            <w:tcBorders>
              <w:top w:val="nil"/>
              <w:left w:val="nil"/>
              <w:bottom w:val="single" w:sz="8" w:space="0" w:color="auto"/>
              <w:right w:val="single" w:sz="8" w:space="0" w:color="auto"/>
            </w:tcBorders>
            <w:shd w:val="clear" w:color="auto" w:fill="auto"/>
            <w:vAlign w:val="center"/>
            <w:hideMark/>
          </w:tcPr>
          <w:p w14:paraId="217BEAC8"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19,936</w:t>
            </w:r>
          </w:p>
        </w:tc>
        <w:tc>
          <w:tcPr>
            <w:tcW w:w="1160" w:type="dxa"/>
            <w:tcBorders>
              <w:top w:val="nil"/>
              <w:left w:val="nil"/>
              <w:bottom w:val="single" w:sz="8" w:space="0" w:color="auto"/>
              <w:right w:val="single" w:sz="8" w:space="0" w:color="auto"/>
            </w:tcBorders>
            <w:shd w:val="clear" w:color="auto" w:fill="auto"/>
            <w:vAlign w:val="center"/>
            <w:hideMark/>
          </w:tcPr>
          <w:p w14:paraId="29EABCAB" w14:textId="77777777" w:rsidR="006C14F6" w:rsidRPr="00B36A3B" w:rsidRDefault="006C14F6" w:rsidP="006C14F6">
            <w:pPr>
              <w:jc w:val="right"/>
              <w:rPr>
                <w:rFonts w:ascii="Calibri" w:hAnsi="Calibri" w:cs="Calibri"/>
                <w:color w:val="000000"/>
                <w:sz w:val="20"/>
                <w:szCs w:val="20"/>
                <w:lang w:val="en-US"/>
              </w:rPr>
            </w:pPr>
            <w:r w:rsidRPr="00B36A3B">
              <w:rPr>
                <w:rFonts w:ascii="Calibri" w:hAnsi="Calibri" w:cs="Calibri"/>
                <w:color w:val="000000"/>
                <w:sz w:val="20"/>
                <w:szCs w:val="20"/>
              </w:rPr>
              <w:t>741,077</w:t>
            </w:r>
          </w:p>
        </w:tc>
      </w:tr>
      <w:tr w:rsidR="006C14F6" w:rsidRPr="00B36A3B" w14:paraId="6B360608" w14:textId="77777777" w:rsidTr="006C14F6">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28609E5C" w14:textId="77777777" w:rsidR="006C14F6" w:rsidRPr="00B36A3B" w:rsidRDefault="006C14F6" w:rsidP="006C14F6">
            <w:pPr>
              <w:rPr>
                <w:rFonts w:ascii="Calibri" w:hAnsi="Calibri" w:cs="Calibri"/>
                <w:b/>
                <w:bCs/>
                <w:color w:val="000000"/>
                <w:sz w:val="20"/>
                <w:szCs w:val="20"/>
                <w:lang w:val="en-US"/>
              </w:rPr>
            </w:pPr>
            <w:r w:rsidRPr="00B36A3B">
              <w:rPr>
                <w:rFonts w:ascii="Calibri" w:hAnsi="Calibri" w:cs="Calibri"/>
                <w:b/>
                <w:bCs/>
                <w:color w:val="000000"/>
                <w:sz w:val="20"/>
                <w:szCs w:val="20"/>
                <w:lang w:val="en-US"/>
              </w:rPr>
              <w:t>GRAND TOTAL UNPFN Funded Project Cost</w:t>
            </w:r>
          </w:p>
        </w:tc>
        <w:tc>
          <w:tcPr>
            <w:tcW w:w="960" w:type="dxa"/>
            <w:tcBorders>
              <w:top w:val="nil"/>
              <w:left w:val="nil"/>
              <w:bottom w:val="single" w:sz="8" w:space="0" w:color="auto"/>
              <w:right w:val="single" w:sz="8" w:space="0" w:color="auto"/>
            </w:tcBorders>
            <w:shd w:val="clear" w:color="auto" w:fill="auto"/>
            <w:vAlign w:val="center"/>
            <w:hideMark/>
          </w:tcPr>
          <w:p w14:paraId="1DA7F99A" w14:textId="77777777" w:rsidR="006C14F6" w:rsidRPr="00B36A3B" w:rsidRDefault="006C14F6" w:rsidP="006C14F6">
            <w:pPr>
              <w:jc w:val="right"/>
              <w:rPr>
                <w:b/>
                <w:bCs/>
                <w:color w:val="000000"/>
                <w:sz w:val="20"/>
                <w:szCs w:val="20"/>
                <w:lang w:val="en-US"/>
              </w:rPr>
            </w:pPr>
            <w:r w:rsidRPr="00B36A3B">
              <w:rPr>
                <w:b/>
                <w:bCs/>
                <w:color w:val="000000"/>
                <w:sz w:val="20"/>
                <w:szCs w:val="20"/>
              </w:rPr>
              <w:t>7,825,383</w:t>
            </w:r>
          </w:p>
        </w:tc>
        <w:tc>
          <w:tcPr>
            <w:tcW w:w="960" w:type="dxa"/>
            <w:tcBorders>
              <w:top w:val="nil"/>
              <w:left w:val="nil"/>
              <w:bottom w:val="single" w:sz="8" w:space="0" w:color="auto"/>
              <w:right w:val="single" w:sz="8" w:space="0" w:color="auto"/>
            </w:tcBorders>
            <w:shd w:val="clear" w:color="auto" w:fill="auto"/>
            <w:vAlign w:val="center"/>
            <w:hideMark/>
          </w:tcPr>
          <w:p w14:paraId="501F5C0A" w14:textId="77777777" w:rsidR="006C14F6" w:rsidRPr="00B36A3B" w:rsidRDefault="006C14F6" w:rsidP="006C14F6">
            <w:pPr>
              <w:jc w:val="right"/>
              <w:rPr>
                <w:b/>
                <w:bCs/>
                <w:color w:val="000000"/>
                <w:sz w:val="20"/>
                <w:szCs w:val="20"/>
                <w:lang w:val="en-US"/>
              </w:rPr>
            </w:pPr>
            <w:r w:rsidRPr="00B36A3B">
              <w:rPr>
                <w:b/>
                <w:bCs/>
                <w:color w:val="000000"/>
                <w:sz w:val="20"/>
                <w:szCs w:val="20"/>
              </w:rPr>
              <w:t>2,914,443</w:t>
            </w:r>
          </w:p>
        </w:tc>
        <w:tc>
          <w:tcPr>
            <w:tcW w:w="960" w:type="dxa"/>
            <w:tcBorders>
              <w:top w:val="nil"/>
              <w:left w:val="nil"/>
              <w:bottom w:val="single" w:sz="8" w:space="0" w:color="auto"/>
              <w:right w:val="single" w:sz="8" w:space="0" w:color="auto"/>
            </w:tcBorders>
            <w:shd w:val="clear" w:color="auto" w:fill="auto"/>
            <w:vAlign w:val="center"/>
            <w:hideMark/>
          </w:tcPr>
          <w:p w14:paraId="5E1AD654" w14:textId="77777777" w:rsidR="006C14F6" w:rsidRPr="00B36A3B" w:rsidRDefault="006C14F6" w:rsidP="006C14F6">
            <w:pPr>
              <w:jc w:val="right"/>
              <w:rPr>
                <w:b/>
                <w:bCs/>
                <w:color w:val="000000"/>
                <w:sz w:val="20"/>
                <w:szCs w:val="20"/>
                <w:lang w:val="en-US"/>
              </w:rPr>
            </w:pPr>
            <w:r w:rsidRPr="00B36A3B">
              <w:rPr>
                <w:b/>
                <w:bCs/>
                <w:color w:val="000000"/>
                <w:sz w:val="20"/>
                <w:szCs w:val="20"/>
              </w:rPr>
              <w:t>316,434</w:t>
            </w:r>
          </w:p>
        </w:tc>
        <w:tc>
          <w:tcPr>
            <w:tcW w:w="960" w:type="dxa"/>
            <w:tcBorders>
              <w:top w:val="nil"/>
              <w:left w:val="nil"/>
              <w:bottom w:val="single" w:sz="8" w:space="0" w:color="auto"/>
              <w:right w:val="single" w:sz="8" w:space="0" w:color="auto"/>
            </w:tcBorders>
            <w:shd w:val="clear" w:color="auto" w:fill="auto"/>
            <w:vAlign w:val="center"/>
            <w:hideMark/>
          </w:tcPr>
          <w:p w14:paraId="469D4788" w14:textId="77777777" w:rsidR="006C14F6" w:rsidRPr="00B36A3B" w:rsidRDefault="006C14F6" w:rsidP="006C14F6">
            <w:pPr>
              <w:jc w:val="right"/>
              <w:rPr>
                <w:b/>
                <w:bCs/>
                <w:color w:val="000000"/>
                <w:sz w:val="20"/>
                <w:szCs w:val="20"/>
                <w:lang w:val="en-US"/>
              </w:rPr>
            </w:pPr>
            <w:r w:rsidRPr="00B36A3B">
              <w:rPr>
                <w:b/>
                <w:bCs/>
                <w:color w:val="000000"/>
                <w:sz w:val="20"/>
                <w:szCs w:val="20"/>
              </w:rPr>
              <w:t>304,729</w:t>
            </w:r>
          </w:p>
        </w:tc>
        <w:tc>
          <w:tcPr>
            <w:tcW w:w="1140" w:type="dxa"/>
            <w:tcBorders>
              <w:top w:val="nil"/>
              <w:left w:val="nil"/>
              <w:bottom w:val="single" w:sz="8" w:space="0" w:color="auto"/>
              <w:right w:val="single" w:sz="8" w:space="0" w:color="auto"/>
            </w:tcBorders>
            <w:shd w:val="clear" w:color="auto" w:fill="auto"/>
            <w:vAlign w:val="center"/>
            <w:hideMark/>
          </w:tcPr>
          <w:p w14:paraId="1ACDFF48" w14:textId="77777777" w:rsidR="006C14F6" w:rsidRPr="00B36A3B" w:rsidRDefault="006C14F6" w:rsidP="006C14F6">
            <w:pPr>
              <w:jc w:val="right"/>
              <w:rPr>
                <w:b/>
                <w:bCs/>
                <w:color w:val="000000"/>
                <w:sz w:val="20"/>
                <w:szCs w:val="20"/>
                <w:lang w:val="en-US"/>
              </w:rPr>
            </w:pPr>
            <w:r w:rsidRPr="00B36A3B">
              <w:rPr>
                <w:b/>
                <w:bCs/>
                <w:color w:val="000000"/>
                <w:sz w:val="20"/>
                <w:szCs w:val="20"/>
              </w:rPr>
              <w:t>11,360,989</w:t>
            </w:r>
          </w:p>
        </w:tc>
        <w:tc>
          <w:tcPr>
            <w:tcW w:w="1340" w:type="dxa"/>
            <w:tcBorders>
              <w:top w:val="nil"/>
              <w:left w:val="nil"/>
              <w:bottom w:val="single" w:sz="8" w:space="0" w:color="auto"/>
              <w:right w:val="single" w:sz="8" w:space="0" w:color="auto"/>
            </w:tcBorders>
            <w:shd w:val="clear" w:color="auto" w:fill="auto"/>
            <w:vAlign w:val="center"/>
            <w:hideMark/>
          </w:tcPr>
          <w:p w14:paraId="6BC71C95"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7,825,383</w:t>
            </w:r>
          </w:p>
        </w:tc>
        <w:tc>
          <w:tcPr>
            <w:tcW w:w="1260" w:type="dxa"/>
            <w:tcBorders>
              <w:top w:val="nil"/>
              <w:left w:val="nil"/>
              <w:bottom w:val="single" w:sz="8" w:space="0" w:color="auto"/>
              <w:right w:val="single" w:sz="8" w:space="0" w:color="auto"/>
            </w:tcBorders>
            <w:shd w:val="clear" w:color="auto" w:fill="auto"/>
            <w:vAlign w:val="center"/>
            <w:hideMark/>
          </w:tcPr>
          <w:p w14:paraId="50A07F82"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2,881,331</w:t>
            </w:r>
          </w:p>
        </w:tc>
        <w:tc>
          <w:tcPr>
            <w:tcW w:w="1140" w:type="dxa"/>
            <w:tcBorders>
              <w:top w:val="nil"/>
              <w:left w:val="nil"/>
              <w:bottom w:val="single" w:sz="8" w:space="0" w:color="auto"/>
              <w:right w:val="single" w:sz="8" w:space="0" w:color="auto"/>
            </w:tcBorders>
            <w:shd w:val="clear" w:color="auto" w:fill="auto"/>
            <w:vAlign w:val="center"/>
            <w:hideMark/>
          </w:tcPr>
          <w:p w14:paraId="38486FF9"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316,434</w:t>
            </w:r>
          </w:p>
        </w:tc>
        <w:tc>
          <w:tcPr>
            <w:tcW w:w="1240" w:type="dxa"/>
            <w:tcBorders>
              <w:top w:val="nil"/>
              <w:left w:val="nil"/>
              <w:bottom w:val="single" w:sz="8" w:space="0" w:color="auto"/>
              <w:right w:val="single" w:sz="8" w:space="0" w:color="auto"/>
            </w:tcBorders>
            <w:shd w:val="clear" w:color="auto" w:fill="auto"/>
            <w:vAlign w:val="center"/>
            <w:hideMark/>
          </w:tcPr>
          <w:p w14:paraId="4DFC83D0"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304,729</w:t>
            </w:r>
          </w:p>
        </w:tc>
        <w:tc>
          <w:tcPr>
            <w:tcW w:w="1160" w:type="dxa"/>
            <w:tcBorders>
              <w:top w:val="nil"/>
              <w:left w:val="nil"/>
              <w:bottom w:val="single" w:sz="8" w:space="0" w:color="auto"/>
              <w:right w:val="single" w:sz="8" w:space="0" w:color="auto"/>
            </w:tcBorders>
            <w:shd w:val="clear" w:color="auto" w:fill="auto"/>
            <w:vAlign w:val="center"/>
            <w:hideMark/>
          </w:tcPr>
          <w:p w14:paraId="6B59B307" w14:textId="77777777" w:rsidR="006C14F6" w:rsidRPr="00B36A3B" w:rsidRDefault="006C14F6" w:rsidP="006C14F6">
            <w:pPr>
              <w:jc w:val="right"/>
              <w:rPr>
                <w:rFonts w:ascii="Calibri" w:hAnsi="Calibri" w:cs="Calibri"/>
                <w:b/>
                <w:bCs/>
                <w:color w:val="000000"/>
                <w:sz w:val="20"/>
                <w:szCs w:val="20"/>
                <w:lang w:val="en-US"/>
              </w:rPr>
            </w:pPr>
            <w:r w:rsidRPr="00B36A3B">
              <w:rPr>
                <w:rFonts w:ascii="Calibri" w:hAnsi="Calibri" w:cs="Calibri"/>
                <w:b/>
                <w:bCs/>
                <w:color w:val="000000"/>
                <w:sz w:val="20"/>
                <w:szCs w:val="20"/>
              </w:rPr>
              <w:t>11,327,877</w:t>
            </w:r>
          </w:p>
        </w:tc>
      </w:tr>
    </w:tbl>
    <w:p w14:paraId="12924FBA" w14:textId="77777777" w:rsidR="006C14F6" w:rsidRPr="00933DF9" w:rsidRDefault="006C14F6" w:rsidP="006C14F6">
      <w:pPr>
        <w:ind w:left="1890" w:hanging="1890"/>
        <w:rPr>
          <w:rFonts w:ascii="Arial" w:hAnsi="Arial" w:cs="Arial"/>
        </w:rPr>
      </w:pPr>
    </w:p>
    <w:p w14:paraId="12095EED" w14:textId="77777777" w:rsidR="006C14F6" w:rsidRPr="00933DF9" w:rsidRDefault="006C14F6" w:rsidP="006C14F6">
      <w:pPr>
        <w:rPr>
          <w:rFonts w:ascii="Arial" w:hAnsi="Arial" w:cs="Arial"/>
        </w:rPr>
      </w:pPr>
    </w:p>
    <w:p w14:paraId="0C8B6119" w14:textId="77777777" w:rsidR="006C14F6" w:rsidRPr="00933DF9" w:rsidRDefault="006C14F6" w:rsidP="006C14F6">
      <w:pPr>
        <w:ind w:firstLine="720"/>
        <w:rPr>
          <w:sz w:val="20"/>
        </w:rPr>
      </w:pPr>
      <w:r w:rsidRPr="00933DF9">
        <w:rPr>
          <w:sz w:val="20"/>
        </w:rPr>
        <w:t>*    Is not charged against the UNDP</w:t>
      </w:r>
      <w:r>
        <w:rPr>
          <w:sz w:val="20"/>
        </w:rPr>
        <w:t>/</w:t>
      </w:r>
      <w:r w:rsidRPr="00933DF9">
        <w:rPr>
          <w:sz w:val="20"/>
        </w:rPr>
        <w:t xml:space="preserve"> BCPR funding</w:t>
      </w:r>
      <w:r>
        <w:rPr>
          <w:sz w:val="20"/>
        </w:rPr>
        <w:t>.</w:t>
      </w:r>
      <w:r w:rsidRPr="00933DF9">
        <w:rPr>
          <w:sz w:val="20"/>
        </w:rPr>
        <w:t>.</w:t>
      </w:r>
    </w:p>
    <w:p w14:paraId="5A18BBFF" w14:textId="77777777" w:rsidR="006C14F6" w:rsidRPr="00933DF9" w:rsidRDefault="006C14F6" w:rsidP="006C14F6">
      <w:pPr>
        <w:tabs>
          <w:tab w:val="left" w:pos="14640"/>
        </w:tabs>
        <w:rPr>
          <w:rFonts w:ascii="Calibri" w:hAnsi="Calibri" w:cs="Calibri"/>
          <w:color w:val="000080"/>
          <w:lang w:val="en-US"/>
        </w:rPr>
      </w:pPr>
    </w:p>
    <w:p w14:paraId="01F0FD28" w14:textId="77777777" w:rsidR="006C14F6" w:rsidRDefault="006C14F6" w:rsidP="006C14F6">
      <w:pPr>
        <w:rPr>
          <w:u w:val="single"/>
        </w:rPr>
      </w:pPr>
      <w:r>
        <w:rPr>
          <w:u w:val="single"/>
        </w:rPr>
        <w:br w:type="page"/>
      </w:r>
    </w:p>
    <w:p w14:paraId="152CA101" w14:textId="77777777" w:rsidR="006C14F6" w:rsidRPr="00565EEC" w:rsidRDefault="006C14F6" w:rsidP="006C14F6">
      <w:pPr>
        <w:rPr>
          <w:b/>
          <w:u w:val="single"/>
        </w:rPr>
      </w:pPr>
      <w:r w:rsidRPr="00565EEC">
        <w:rPr>
          <w:b/>
          <w:u w:val="single"/>
        </w:rPr>
        <w:lastRenderedPageBreak/>
        <w:t xml:space="preserve">UN Interagency Rehabilitation Programme – Detailed Budget Analysis </w:t>
      </w:r>
    </w:p>
    <w:p w14:paraId="0AC9E9B4" w14:textId="77777777" w:rsidR="006C14F6" w:rsidRDefault="006C14F6" w:rsidP="006C14F6">
      <w:r w:rsidRPr="00565EEC">
        <w:t>The table below shows the change in budget from the last project revision (REV</w:t>
      </w:r>
      <w:r>
        <w:t>3 and Rev 4</w:t>
      </w:r>
      <w:r w:rsidRPr="00565EEC">
        <w:t>: US$</w:t>
      </w:r>
      <w:r w:rsidRPr="00565EEC">
        <w:rPr>
          <w:lang w:val="en-US"/>
        </w:rPr>
        <w:t>11,851,717 from Feb 2013) to the new total of US$</w:t>
      </w:r>
      <w:r w:rsidRPr="00565EEC">
        <w:rPr>
          <w:bCs/>
          <w:iCs/>
          <w:u w:val="single"/>
          <w:lang w:val="en-US"/>
        </w:rPr>
        <w:t>11,3</w:t>
      </w:r>
      <w:r>
        <w:rPr>
          <w:bCs/>
          <w:iCs/>
          <w:u w:val="single"/>
          <w:lang w:val="en-US"/>
        </w:rPr>
        <w:t>27,877</w:t>
      </w:r>
      <w:r w:rsidRPr="00565EEC">
        <w:rPr>
          <w:bCs/>
          <w:iCs/>
          <w:u w:val="single"/>
          <w:lang w:val="en-US"/>
        </w:rPr>
        <w:t xml:space="preserve">. </w:t>
      </w:r>
      <w:r w:rsidRPr="00565EEC">
        <w:t>It reflects internal budget adjustments and refund of the unspent funds by UNICE</w:t>
      </w:r>
      <w:r>
        <w:t>F (totalling US $ 33,112)</w:t>
      </w:r>
    </w:p>
    <w:tbl>
      <w:tblPr>
        <w:tblW w:w="16531" w:type="dxa"/>
        <w:tblLook w:val="04A0" w:firstRow="1" w:lastRow="0" w:firstColumn="1" w:lastColumn="0" w:noHBand="0" w:noVBand="1"/>
      </w:tblPr>
      <w:tblGrid>
        <w:gridCol w:w="343"/>
        <w:gridCol w:w="7542"/>
        <w:gridCol w:w="1915"/>
        <w:gridCol w:w="917"/>
        <w:gridCol w:w="1177"/>
        <w:gridCol w:w="1131"/>
        <w:gridCol w:w="963"/>
        <w:gridCol w:w="1620"/>
        <w:gridCol w:w="923"/>
      </w:tblGrid>
      <w:tr w:rsidR="006C14F6" w:rsidRPr="003113EA" w14:paraId="2B52049F" w14:textId="77777777" w:rsidTr="006C14F6">
        <w:trPr>
          <w:trHeight w:val="315"/>
        </w:trPr>
        <w:tc>
          <w:tcPr>
            <w:tcW w:w="165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F349" w14:textId="77777777" w:rsidR="006C14F6" w:rsidRPr="003113EA" w:rsidRDefault="006C14F6" w:rsidP="006C14F6">
            <w:pPr>
              <w:jc w:val="center"/>
              <w:rPr>
                <w:rFonts w:ascii="Calibri" w:hAnsi="Calibri" w:cs="Calibri"/>
                <w:b/>
                <w:bCs/>
                <w:color w:val="000000"/>
                <w:lang w:val="en-US"/>
              </w:rPr>
            </w:pPr>
            <w:r w:rsidRPr="003113EA">
              <w:rPr>
                <w:rFonts w:ascii="Calibri" w:hAnsi="Calibri" w:cs="Calibri"/>
                <w:b/>
                <w:bCs/>
                <w:color w:val="000000"/>
                <w:lang w:val="en-US"/>
              </w:rPr>
              <w:t xml:space="preserve">UNIRP Budget Analysis including internal adjustment of fund  within different budget line of UNDP for 2014 </w:t>
            </w:r>
          </w:p>
        </w:tc>
      </w:tr>
      <w:tr w:rsidR="006C14F6" w:rsidRPr="003113EA" w14:paraId="7F7DA5C6" w14:textId="77777777" w:rsidTr="006C14F6">
        <w:trPr>
          <w:trHeight w:val="1020"/>
        </w:trPr>
        <w:tc>
          <w:tcPr>
            <w:tcW w:w="7885" w:type="dxa"/>
            <w:gridSpan w:val="2"/>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4881E15"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Budget Items by Category</w:t>
            </w:r>
          </w:p>
        </w:tc>
        <w:tc>
          <w:tcPr>
            <w:tcW w:w="1915" w:type="dxa"/>
            <w:tcBorders>
              <w:top w:val="nil"/>
              <w:left w:val="nil"/>
              <w:bottom w:val="single" w:sz="4" w:space="0" w:color="auto"/>
              <w:right w:val="single" w:sz="4" w:space="0" w:color="auto"/>
            </w:tcBorders>
            <w:shd w:val="clear" w:color="000000" w:fill="F2DCDB"/>
            <w:vAlign w:val="center"/>
            <w:hideMark/>
          </w:tcPr>
          <w:p w14:paraId="74F6C8B1"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Revised Budget after Project Extension</w:t>
            </w:r>
          </w:p>
        </w:tc>
        <w:tc>
          <w:tcPr>
            <w:tcW w:w="917" w:type="dxa"/>
            <w:vMerge w:val="restart"/>
            <w:tcBorders>
              <w:top w:val="nil"/>
              <w:left w:val="single" w:sz="4" w:space="0" w:color="auto"/>
              <w:bottom w:val="single" w:sz="4" w:space="0" w:color="auto"/>
              <w:right w:val="single" w:sz="4" w:space="0" w:color="auto"/>
            </w:tcBorders>
            <w:shd w:val="clear" w:color="000000" w:fill="F2DCDB"/>
            <w:vAlign w:val="center"/>
            <w:hideMark/>
          </w:tcPr>
          <w:p w14:paraId="3A7E2FED"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Ratio</w:t>
            </w:r>
            <w:r w:rsidRPr="003113EA">
              <w:rPr>
                <w:color w:val="000000"/>
                <w:sz w:val="18"/>
                <w:szCs w:val="18"/>
                <w:lang w:val="en-US"/>
              </w:rPr>
              <w:t> </w:t>
            </w:r>
          </w:p>
        </w:tc>
        <w:tc>
          <w:tcPr>
            <w:tcW w:w="1177" w:type="dxa"/>
            <w:vMerge w:val="restart"/>
            <w:tcBorders>
              <w:top w:val="nil"/>
              <w:left w:val="single" w:sz="4" w:space="0" w:color="auto"/>
              <w:bottom w:val="single" w:sz="4" w:space="0" w:color="auto"/>
              <w:right w:val="single" w:sz="4" w:space="0" w:color="auto"/>
            </w:tcBorders>
            <w:shd w:val="clear" w:color="000000" w:fill="00FFFF"/>
            <w:vAlign w:val="center"/>
            <w:hideMark/>
          </w:tcPr>
          <w:p w14:paraId="16017A15"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  Surplus fund   refunded to  Donor  (2014) </w:t>
            </w:r>
          </w:p>
        </w:tc>
        <w:tc>
          <w:tcPr>
            <w:tcW w:w="1131" w:type="dxa"/>
            <w:vMerge w:val="restart"/>
            <w:tcBorders>
              <w:top w:val="nil"/>
              <w:left w:val="single" w:sz="4" w:space="0" w:color="auto"/>
              <w:bottom w:val="single" w:sz="4" w:space="0" w:color="auto"/>
              <w:right w:val="single" w:sz="4" w:space="0" w:color="auto"/>
            </w:tcBorders>
            <w:shd w:val="clear" w:color="000000" w:fill="F2DCDB"/>
            <w:vAlign w:val="center"/>
            <w:hideMark/>
          </w:tcPr>
          <w:p w14:paraId="51B52915"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Total Revised Budget (Rev- 4)  </w:t>
            </w:r>
          </w:p>
        </w:tc>
        <w:tc>
          <w:tcPr>
            <w:tcW w:w="963" w:type="dxa"/>
            <w:vMerge w:val="restart"/>
            <w:tcBorders>
              <w:top w:val="nil"/>
              <w:left w:val="single" w:sz="4" w:space="0" w:color="auto"/>
              <w:bottom w:val="single" w:sz="4" w:space="0" w:color="auto"/>
              <w:right w:val="single" w:sz="4" w:space="0" w:color="auto"/>
            </w:tcBorders>
            <w:shd w:val="clear" w:color="000000" w:fill="00FFFF"/>
            <w:vAlign w:val="center"/>
            <w:hideMark/>
          </w:tcPr>
          <w:p w14:paraId="2DF5DFF9"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  Surplus fund  available for  refund from UNICEF in 2015 </w:t>
            </w:r>
          </w:p>
        </w:tc>
        <w:tc>
          <w:tcPr>
            <w:tcW w:w="1620" w:type="dxa"/>
            <w:vMerge w:val="restart"/>
            <w:tcBorders>
              <w:top w:val="nil"/>
              <w:left w:val="single" w:sz="4" w:space="0" w:color="auto"/>
              <w:bottom w:val="single" w:sz="4" w:space="0" w:color="auto"/>
              <w:right w:val="single" w:sz="4" w:space="0" w:color="auto"/>
            </w:tcBorders>
            <w:shd w:val="clear" w:color="000000" w:fill="F2DCDB"/>
            <w:vAlign w:val="center"/>
            <w:hideMark/>
          </w:tcPr>
          <w:p w14:paraId="4C9E2906"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Total Revised Budget  after refund of surplus fund    (UNICEF/UNFPA) </w:t>
            </w:r>
          </w:p>
        </w:tc>
        <w:tc>
          <w:tcPr>
            <w:tcW w:w="923" w:type="dxa"/>
            <w:vMerge w:val="restart"/>
            <w:tcBorders>
              <w:top w:val="nil"/>
              <w:left w:val="single" w:sz="4" w:space="0" w:color="auto"/>
              <w:bottom w:val="single" w:sz="4" w:space="0" w:color="auto"/>
              <w:right w:val="single" w:sz="4" w:space="0" w:color="auto"/>
            </w:tcBorders>
            <w:shd w:val="clear" w:color="000000" w:fill="F2DCDB"/>
            <w:vAlign w:val="center"/>
            <w:hideMark/>
          </w:tcPr>
          <w:p w14:paraId="6A98B5A7"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Ratio</w:t>
            </w:r>
          </w:p>
        </w:tc>
      </w:tr>
      <w:tr w:rsidR="006C14F6" w:rsidRPr="003113EA" w14:paraId="58126C8B" w14:textId="77777777" w:rsidTr="006C14F6">
        <w:trPr>
          <w:trHeight w:val="1275"/>
        </w:trPr>
        <w:tc>
          <w:tcPr>
            <w:tcW w:w="7885" w:type="dxa"/>
            <w:gridSpan w:val="2"/>
            <w:vMerge/>
            <w:tcBorders>
              <w:top w:val="single" w:sz="4" w:space="0" w:color="auto"/>
              <w:left w:val="single" w:sz="4" w:space="0" w:color="auto"/>
              <w:bottom w:val="single" w:sz="4" w:space="0" w:color="auto"/>
              <w:right w:val="single" w:sz="4" w:space="0" w:color="auto"/>
            </w:tcBorders>
            <w:vAlign w:val="center"/>
            <w:hideMark/>
          </w:tcPr>
          <w:p w14:paraId="124DA288" w14:textId="77777777" w:rsidR="006C14F6" w:rsidRPr="003113EA" w:rsidRDefault="006C14F6" w:rsidP="006C14F6">
            <w:pPr>
              <w:rPr>
                <w:rFonts w:ascii="Calibri" w:hAnsi="Calibri" w:cs="Calibri"/>
                <w:b/>
                <w:bCs/>
                <w:color w:val="000000"/>
                <w:sz w:val="20"/>
                <w:szCs w:val="20"/>
                <w:lang w:val="en-US"/>
              </w:rPr>
            </w:pPr>
          </w:p>
        </w:tc>
        <w:tc>
          <w:tcPr>
            <w:tcW w:w="1915" w:type="dxa"/>
            <w:tcBorders>
              <w:top w:val="nil"/>
              <w:left w:val="nil"/>
              <w:bottom w:val="single" w:sz="4" w:space="0" w:color="auto"/>
              <w:right w:val="single" w:sz="4" w:space="0" w:color="auto"/>
            </w:tcBorders>
            <w:shd w:val="clear" w:color="000000" w:fill="F2DCDB"/>
            <w:vAlign w:val="center"/>
            <w:hideMark/>
          </w:tcPr>
          <w:p w14:paraId="4760E9C9"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($11.85M) </w:t>
            </w:r>
            <w:r w:rsidRPr="003113EA">
              <w:rPr>
                <w:color w:val="000000"/>
                <w:sz w:val="18"/>
                <w:szCs w:val="18"/>
                <w:lang w:val="en-US"/>
              </w:rPr>
              <w:t> </w:t>
            </w:r>
            <w:r w:rsidRPr="003113EA">
              <w:rPr>
                <w:rFonts w:ascii="Calibri" w:hAnsi="Calibri" w:cs="Calibri"/>
                <w:b/>
                <w:bCs/>
                <w:color w:val="000000"/>
                <w:sz w:val="20"/>
                <w:szCs w:val="20"/>
                <w:lang w:val="en-US"/>
              </w:rPr>
              <w:t>including for the extended period until Dec 2014</w:t>
            </w:r>
            <w:r w:rsidRPr="003113EA">
              <w:rPr>
                <w:color w:val="000000"/>
                <w:sz w:val="18"/>
                <w:szCs w:val="18"/>
                <w:lang w:val="en-US"/>
              </w:rPr>
              <w:t> </w:t>
            </w:r>
          </w:p>
        </w:tc>
        <w:tc>
          <w:tcPr>
            <w:tcW w:w="917" w:type="dxa"/>
            <w:vMerge/>
            <w:tcBorders>
              <w:top w:val="nil"/>
              <w:left w:val="single" w:sz="4" w:space="0" w:color="auto"/>
              <w:bottom w:val="single" w:sz="4" w:space="0" w:color="auto"/>
              <w:right w:val="single" w:sz="4" w:space="0" w:color="auto"/>
            </w:tcBorders>
            <w:vAlign w:val="center"/>
            <w:hideMark/>
          </w:tcPr>
          <w:p w14:paraId="6BF5AE91" w14:textId="77777777" w:rsidR="006C14F6" w:rsidRPr="003113EA" w:rsidRDefault="006C14F6" w:rsidP="006C14F6">
            <w:pPr>
              <w:rPr>
                <w:rFonts w:ascii="Calibri" w:hAnsi="Calibri" w:cs="Calibri"/>
                <w:b/>
                <w:bCs/>
                <w:color w:val="000000"/>
                <w:sz w:val="20"/>
                <w:szCs w:val="20"/>
                <w:lang w:val="en-US"/>
              </w:rPr>
            </w:pPr>
          </w:p>
        </w:tc>
        <w:tc>
          <w:tcPr>
            <w:tcW w:w="1177" w:type="dxa"/>
            <w:vMerge/>
            <w:tcBorders>
              <w:top w:val="nil"/>
              <w:left w:val="single" w:sz="4" w:space="0" w:color="auto"/>
              <w:bottom w:val="single" w:sz="4" w:space="0" w:color="auto"/>
              <w:right w:val="single" w:sz="4" w:space="0" w:color="auto"/>
            </w:tcBorders>
            <w:vAlign w:val="center"/>
            <w:hideMark/>
          </w:tcPr>
          <w:p w14:paraId="4B36D5C1" w14:textId="77777777" w:rsidR="006C14F6" w:rsidRPr="003113EA" w:rsidRDefault="006C14F6" w:rsidP="006C14F6">
            <w:pPr>
              <w:rPr>
                <w:rFonts w:ascii="Calibri" w:hAnsi="Calibri" w:cs="Calibri"/>
                <w:b/>
                <w:bCs/>
                <w:color w:val="000000"/>
                <w:sz w:val="20"/>
                <w:szCs w:val="20"/>
                <w:lang w:val="en-US"/>
              </w:rPr>
            </w:pPr>
          </w:p>
        </w:tc>
        <w:tc>
          <w:tcPr>
            <w:tcW w:w="1131" w:type="dxa"/>
            <w:vMerge/>
            <w:tcBorders>
              <w:top w:val="nil"/>
              <w:left w:val="single" w:sz="4" w:space="0" w:color="auto"/>
              <w:bottom w:val="single" w:sz="4" w:space="0" w:color="auto"/>
              <w:right w:val="single" w:sz="4" w:space="0" w:color="auto"/>
            </w:tcBorders>
            <w:vAlign w:val="center"/>
            <w:hideMark/>
          </w:tcPr>
          <w:p w14:paraId="11B3284E" w14:textId="77777777" w:rsidR="006C14F6" w:rsidRPr="003113EA" w:rsidRDefault="006C14F6" w:rsidP="006C14F6">
            <w:pPr>
              <w:rPr>
                <w:rFonts w:ascii="Calibri" w:hAnsi="Calibri" w:cs="Calibri"/>
                <w:b/>
                <w:bCs/>
                <w:color w:val="000000"/>
                <w:sz w:val="20"/>
                <w:szCs w:val="20"/>
                <w:lang w:val="en-US"/>
              </w:rPr>
            </w:pPr>
          </w:p>
        </w:tc>
        <w:tc>
          <w:tcPr>
            <w:tcW w:w="963" w:type="dxa"/>
            <w:vMerge/>
            <w:tcBorders>
              <w:top w:val="nil"/>
              <w:left w:val="single" w:sz="4" w:space="0" w:color="auto"/>
              <w:bottom w:val="single" w:sz="4" w:space="0" w:color="auto"/>
              <w:right w:val="single" w:sz="4" w:space="0" w:color="auto"/>
            </w:tcBorders>
            <w:vAlign w:val="center"/>
            <w:hideMark/>
          </w:tcPr>
          <w:p w14:paraId="211DEDFD" w14:textId="77777777" w:rsidR="006C14F6" w:rsidRPr="003113EA" w:rsidRDefault="006C14F6" w:rsidP="006C14F6">
            <w:pPr>
              <w:rPr>
                <w:rFonts w:ascii="Calibri" w:hAnsi="Calibri" w:cs="Calibri"/>
                <w:b/>
                <w:bCs/>
                <w:color w:val="000000"/>
                <w:sz w:val="20"/>
                <w:szCs w:val="20"/>
                <w:lang w:val="en-US"/>
              </w:rPr>
            </w:pPr>
          </w:p>
        </w:tc>
        <w:tc>
          <w:tcPr>
            <w:tcW w:w="1620" w:type="dxa"/>
            <w:vMerge/>
            <w:tcBorders>
              <w:top w:val="nil"/>
              <w:left w:val="single" w:sz="4" w:space="0" w:color="auto"/>
              <w:bottom w:val="single" w:sz="4" w:space="0" w:color="auto"/>
              <w:right w:val="single" w:sz="4" w:space="0" w:color="auto"/>
            </w:tcBorders>
            <w:vAlign w:val="center"/>
            <w:hideMark/>
          </w:tcPr>
          <w:p w14:paraId="143FB87D" w14:textId="77777777" w:rsidR="006C14F6" w:rsidRPr="003113EA" w:rsidRDefault="006C14F6" w:rsidP="006C14F6">
            <w:pPr>
              <w:rPr>
                <w:rFonts w:ascii="Calibri" w:hAnsi="Calibri" w:cs="Calibri"/>
                <w:b/>
                <w:bCs/>
                <w:color w:val="000000"/>
                <w:sz w:val="20"/>
                <w:szCs w:val="20"/>
                <w:lang w:val="en-US"/>
              </w:rPr>
            </w:pPr>
          </w:p>
        </w:tc>
        <w:tc>
          <w:tcPr>
            <w:tcW w:w="923" w:type="dxa"/>
            <w:vMerge/>
            <w:tcBorders>
              <w:top w:val="nil"/>
              <w:left w:val="single" w:sz="4" w:space="0" w:color="auto"/>
              <w:bottom w:val="single" w:sz="4" w:space="0" w:color="auto"/>
              <w:right w:val="single" w:sz="4" w:space="0" w:color="auto"/>
            </w:tcBorders>
            <w:vAlign w:val="center"/>
            <w:hideMark/>
          </w:tcPr>
          <w:p w14:paraId="6B954203" w14:textId="77777777" w:rsidR="006C14F6" w:rsidRPr="003113EA" w:rsidRDefault="006C14F6" w:rsidP="006C14F6">
            <w:pPr>
              <w:rPr>
                <w:rFonts w:ascii="Calibri" w:hAnsi="Calibri" w:cs="Calibri"/>
                <w:b/>
                <w:bCs/>
                <w:color w:val="000000"/>
                <w:sz w:val="20"/>
                <w:szCs w:val="20"/>
                <w:lang w:val="en-US"/>
              </w:rPr>
            </w:pPr>
          </w:p>
        </w:tc>
      </w:tr>
      <w:tr w:rsidR="006C14F6" w:rsidRPr="003113EA" w14:paraId="43FA65EF" w14:textId="77777777" w:rsidTr="006C14F6">
        <w:trPr>
          <w:trHeight w:val="300"/>
        </w:trPr>
        <w:tc>
          <w:tcPr>
            <w:tcW w:w="7885"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5DAE949"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1. Direct Supports to Programme Participants</w:t>
            </w:r>
          </w:p>
        </w:tc>
        <w:tc>
          <w:tcPr>
            <w:tcW w:w="5140" w:type="dxa"/>
            <w:gridSpan w:val="4"/>
            <w:tcBorders>
              <w:top w:val="single" w:sz="4" w:space="0" w:color="auto"/>
              <w:left w:val="nil"/>
              <w:bottom w:val="single" w:sz="4" w:space="0" w:color="auto"/>
              <w:right w:val="single" w:sz="4" w:space="0" w:color="auto"/>
            </w:tcBorders>
            <w:shd w:val="clear" w:color="000000" w:fill="99CCFF"/>
            <w:noWrap/>
            <w:vAlign w:val="center"/>
            <w:hideMark/>
          </w:tcPr>
          <w:p w14:paraId="4A3478B9"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63" w:type="dxa"/>
            <w:tcBorders>
              <w:top w:val="nil"/>
              <w:left w:val="nil"/>
              <w:bottom w:val="nil"/>
              <w:right w:val="nil"/>
            </w:tcBorders>
            <w:shd w:val="clear" w:color="000000" w:fill="99CCFF"/>
            <w:noWrap/>
            <w:vAlign w:val="center"/>
            <w:hideMark/>
          </w:tcPr>
          <w:p w14:paraId="5A083DED"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1620" w:type="dxa"/>
            <w:tcBorders>
              <w:top w:val="nil"/>
              <w:left w:val="nil"/>
              <w:bottom w:val="nil"/>
              <w:right w:val="nil"/>
            </w:tcBorders>
            <w:shd w:val="clear" w:color="000000" w:fill="99CCFF"/>
            <w:noWrap/>
            <w:vAlign w:val="center"/>
            <w:hideMark/>
          </w:tcPr>
          <w:p w14:paraId="093C9C72"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23" w:type="dxa"/>
            <w:tcBorders>
              <w:top w:val="nil"/>
              <w:left w:val="nil"/>
              <w:bottom w:val="nil"/>
              <w:right w:val="nil"/>
            </w:tcBorders>
            <w:shd w:val="clear" w:color="000000" w:fill="99CCFF"/>
            <w:noWrap/>
            <w:vAlign w:val="center"/>
            <w:hideMark/>
          </w:tcPr>
          <w:p w14:paraId="754A71BD"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r>
      <w:tr w:rsidR="006C14F6" w:rsidRPr="003113EA" w14:paraId="34CA8CFB" w14:textId="77777777" w:rsidTr="006C14F6">
        <w:trPr>
          <w:trHeight w:val="705"/>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825487A"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1</w:t>
            </w:r>
          </w:p>
        </w:tc>
        <w:tc>
          <w:tcPr>
            <w:tcW w:w="7542" w:type="dxa"/>
            <w:tcBorders>
              <w:top w:val="nil"/>
              <w:left w:val="nil"/>
              <w:bottom w:val="single" w:sz="4" w:space="0" w:color="auto"/>
              <w:right w:val="single" w:sz="4" w:space="0" w:color="auto"/>
            </w:tcBorders>
            <w:shd w:val="clear" w:color="auto" w:fill="auto"/>
            <w:vAlign w:val="center"/>
            <w:hideMark/>
          </w:tcPr>
          <w:p w14:paraId="495A7B8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Rehabilitation Packages (Education and training services to ex-combatants)</w:t>
            </w:r>
          </w:p>
        </w:tc>
        <w:tc>
          <w:tcPr>
            <w:tcW w:w="1915" w:type="dxa"/>
            <w:tcBorders>
              <w:top w:val="nil"/>
              <w:left w:val="nil"/>
              <w:bottom w:val="single" w:sz="4" w:space="0" w:color="auto"/>
              <w:right w:val="single" w:sz="4" w:space="0" w:color="auto"/>
            </w:tcBorders>
            <w:shd w:val="clear" w:color="auto" w:fill="auto"/>
            <w:noWrap/>
            <w:vAlign w:val="center"/>
            <w:hideMark/>
          </w:tcPr>
          <w:p w14:paraId="2F422358"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3,430,256</w:t>
            </w:r>
          </w:p>
        </w:tc>
        <w:tc>
          <w:tcPr>
            <w:tcW w:w="917" w:type="dxa"/>
            <w:tcBorders>
              <w:top w:val="nil"/>
              <w:left w:val="nil"/>
              <w:bottom w:val="single" w:sz="4" w:space="0" w:color="auto"/>
              <w:right w:val="single" w:sz="4" w:space="0" w:color="auto"/>
            </w:tcBorders>
            <w:shd w:val="clear" w:color="auto" w:fill="auto"/>
            <w:vAlign w:val="center"/>
            <w:hideMark/>
          </w:tcPr>
          <w:p w14:paraId="1752A204"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27.34%</w:t>
            </w:r>
          </w:p>
        </w:tc>
        <w:tc>
          <w:tcPr>
            <w:tcW w:w="1177" w:type="dxa"/>
            <w:tcBorders>
              <w:top w:val="nil"/>
              <w:left w:val="nil"/>
              <w:bottom w:val="single" w:sz="4" w:space="0" w:color="auto"/>
              <w:right w:val="single" w:sz="4" w:space="0" w:color="auto"/>
            </w:tcBorders>
            <w:shd w:val="clear" w:color="auto" w:fill="auto"/>
            <w:noWrap/>
            <w:vAlign w:val="center"/>
            <w:hideMark/>
          </w:tcPr>
          <w:p w14:paraId="581E2C06"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-401,894</w:t>
            </w:r>
          </w:p>
        </w:tc>
        <w:tc>
          <w:tcPr>
            <w:tcW w:w="1131" w:type="dxa"/>
            <w:tcBorders>
              <w:top w:val="nil"/>
              <w:left w:val="nil"/>
              <w:bottom w:val="single" w:sz="4" w:space="0" w:color="auto"/>
              <w:right w:val="single" w:sz="4" w:space="0" w:color="auto"/>
            </w:tcBorders>
            <w:shd w:val="clear" w:color="auto" w:fill="auto"/>
            <w:noWrap/>
            <w:vAlign w:val="center"/>
            <w:hideMark/>
          </w:tcPr>
          <w:p w14:paraId="188BC157"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3,028,362</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4484F44E"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-30,946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B9D3C0A"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2,997,416</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1A150E1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24.94%</w:t>
            </w:r>
          </w:p>
        </w:tc>
      </w:tr>
      <w:tr w:rsidR="006C14F6" w:rsidRPr="003113EA" w14:paraId="20B36539" w14:textId="77777777" w:rsidTr="006C14F6">
        <w:trPr>
          <w:trHeight w:val="1185"/>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98F3FF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w:t>
            </w:r>
          </w:p>
        </w:tc>
        <w:tc>
          <w:tcPr>
            <w:tcW w:w="7542" w:type="dxa"/>
            <w:tcBorders>
              <w:top w:val="nil"/>
              <w:left w:val="nil"/>
              <w:bottom w:val="single" w:sz="4" w:space="0" w:color="auto"/>
              <w:right w:val="single" w:sz="4" w:space="0" w:color="auto"/>
            </w:tcBorders>
            <w:shd w:val="clear" w:color="auto" w:fill="auto"/>
            <w:vAlign w:val="center"/>
            <w:hideMark/>
          </w:tcPr>
          <w:p w14:paraId="6796BFB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Education for Community Youth: 1 vulnerable from community receives education support for every 2 ex combatants</w:t>
            </w:r>
          </w:p>
        </w:tc>
        <w:tc>
          <w:tcPr>
            <w:tcW w:w="1915" w:type="dxa"/>
            <w:tcBorders>
              <w:top w:val="nil"/>
              <w:left w:val="nil"/>
              <w:bottom w:val="single" w:sz="4" w:space="0" w:color="auto"/>
              <w:right w:val="single" w:sz="4" w:space="0" w:color="auto"/>
            </w:tcBorders>
            <w:shd w:val="clear" w:color="auto" w:fill="auto"/>
            <w:vAlign w:val="center"/>
            <w:hideMark/>
          </w:tcPr>
          <w:p w14:paraId="1D451A5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37,800</w:t>
            </w:r>
          </w:p>
        </w:tc>
        <w:tc>
          <w:tcPr>
            <w:tcW w:w="917" w:type="dxa"/>
            <w:tcBorders>
              <w:top w:val="nil"/>
              <w:left w:val="nil"/>
              <w:bottom w:val="single" w:sz="4" w:space="0" w:color="auto"/>
              <w:right w:val="single" w:sz="4" w:space="0" w:color="auto"/>
            </w:tcBorders>
            <w:shd w:val="clear" w:color="auto" w:fill="auto"/>
            <w:vAlign w:val="center"/>
            <w:hideMark/>
          </w:tcPr>
          <w:p w14:paraId="7F10F736"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0.30%</w:t>
            </w:r>
          </w:p>
        </w:tc>
        <w:tc>
          <w:tcPr>
            <w:tcW w:w="1177" w:type="dxa"/>
            <w:tcBorders>
              <w:top w:val="nil"/>
              <w:left w:val="nil"/>
              <w:bottom w:val="single" w:sz="4" w:space="0" w:color="auto"/>
              <w:right w:val="single" w:sz="4" w:space="0" w:color="auto"/>
            </w:tcBorders>
            <w:shd w:val="clear" w:color="auto" w:fill="auto"/>
            <w:vAlign w:val="center"/>
            <w:hideMark/>
          </w:tcPr>
          <w:p w14:paraId="48E8D0DF"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26A1D766"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37,800</w:t>
            </w:r>
          </w:p>
        </w:tc>
        <w:tc>
          <w:tcPr>
            <w:tcW w:w="963" w:type="dxa"/>
            <w:tcBorders>
              <w:top w:val="nil"/>
              <w:left w:val="nil"/>
              <w:bottom w:val="single" w:sz="4" w:space="0" w:color="auto"/>
              <w:right w:val="single" w:sz="4" w:space="0" w:color="auto"/>
            </w:tcBorders>
            <w:shd w:val="clear" w:color="auto" w:fill="auto"/>
            <w:vAlign w:val="center"/>
            <w:hideMark/>
          </w:tcPr>
          <w:p w14:paraId="29D13C7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B09AE5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37,800</w:t>
            </w:r>
          </w:p>
        </w:tc>
        <w:tc>
          <w:tcPr>
            <w:tcW w:w="923" w:type="dxa"/>
            <w:tcBorders>
              <w:top w:val="nil"/>
              <w:left w:val="nil"/>
              <w:bottom w:val="single" w:sz="4" w:space="0" w:color="auto"/>
              <w:right w:val="single" w:sz="4" w:space="0" w:color="auto"/>
            </w:tcBorders>
            <w:shd w:val="clear" w:color="auto" w:fill="auto"/>
            <w:vAlign w:val="center"/>
            <w:hideMark/>
          </w:tcPr>
          <w:p w14:paraId="1D715AC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0.31%</w:t>
            </w:r>
          </w:p>
        </w:tc>
      </w:tr>
      <w:tr w:rsidR="006C14F6" w:rsidRPr="003113EA" w14:paraId="7DD72E60" w14:textId="77777777" w:rsidTr="006C14F6">
        <w:trPr>
          <w:trHeight w:val="111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D3EFDA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w:t>
            </w:r>
          </w:p>
        </w:tc>
        <w:tc>
          <w:tcPr>
            <w:tcW w:w="7542" w:type="dxa"/>
            <w:tcBorders>
              <w:top w:val="nil"/>
              <w:left w:val="nil"/>
              <w:bottom w:val="single" w:sz="4" w:space="0" w:color="auto"/>
              <w:right w:val="single" w:sz="4" w:space="0" w:color="auto"/>
            </w:tcBorders>
            <w:shd w:val="clear" w:color="auto" w:fill="auto"/>
            <w:vAlign w:val="center"/>
            <w:hideMark/>
          </w:tcPr>
          <w:p w14:paraId="149576C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Refresher Training to Graduates to enhance their skill in accordance with labor market demand</w:t>
            </w:r>
          </w:p>
        </w:tc>
        <w:tc>
          <w:tcPr>
            <w:tcW w:w="1915" w:type="dxa"/>
            <w:tcBorders>
              <w:top w:val="nil"/>
              <w:left w:val="nil"/>
              <w:bottom w:val="single" w:sz="4" w:space="0" w:color="auto"/>
              <w:right w:val="single" w:sz="4" w:space="0" w:color="auto"/>
            </w:tcBorders>
            <w:shd w:val="clear" w:color="auto" w:fill="auto"/>
            <w:vAlign w:val="center"/>
            <w:hideMark/>
          </w:tcPr>
          <w:p w14:paraId="44FAE0A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69,273</w:t>
            </w:r>
          </w:p>
        </w:tc>
        <w:tc>
          <w:tcPr>
            <w:tcW w:w="917" w:type="dxa"/>
            <w:tcBorders>
              <w:top w:val="nil"/>
              <w:left w:val="nil"/>
              <w:bottom w:val="single" w:sz="4" w:space="0" w:color="auto"/>
              <w:right w:val="single" w:sz="4" w:space="0" w:color="auto"/>
            </w:tcBorders>
            <w:shd w:val="clear" w:color="auto" w:fill="auto"/>
            <w:vAlign w:val="center"/>
            <w:hideMark/>
          </w:tcPr>
          <w:p w14:paraId="678A16A6"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0.55%</w:t>
            </w:r>
          </w:p>
        </w:tc>
        <w:tc>
          <w:tcPr>
            <w:tcW w:w="1177" w:type="dxa"/>
            <w:tcBorders>
              <w:top w:val="nil"/>
              <w:left w:val="nil"/>
              <w:bottom w:val="single" w:sz="4" w:space="0" w:color="auto"/>
              <w:right w:val="single" w:sz="4" w:space="0" w:color="auto"/>
            </w:tcBorders>
            <w:shd w:val="clear" w:color="auto" w:fill="auto"/>
            <w:vAlign w:val="center"/>
            <w:hideMark/>
          </w:tcPr>
          <w:p w14:paraId="3793DB4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3E505876"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69,273</w:t>
            </w:r>
          </w:p>
        </w:tc>
        <w:tc>
          <w:tcPr>
            <w:tcW w:w="963" w:type="dxa"/>
            <w:tcBorders>
              <w:top w:val="nil"/>
              <w:left w:val="nil"/>
              <w:bottom w:val="single" w:sz="4" w:space="0" w:color="auto"/>
              <w:right w:val="single" w:sz="4" w:space="0" w:color="auto"/>
            </w:tcBorders>
            <w:shd w:val="clear" w:color="auto" w:fill="auto"/>
            <w:vAlign w:val="center"/>
            <w:hideMark/>
          </w:tcPr>
          <w:p w14:paraId="2B5E71A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13AAB6B"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69,273</w:t>
            </w:r>
          </w:p>
        </w:tc>
        <w:tc>
          <w:tcPr>
            <w:tcW w:w="923" w:type="dxa"/>
            <w:tcBorders>
              <w:top w:val="nil"/>
              <w:left w:val="nil"/>
              <w:bottom w:val="single" w:sz="4" w:space="0" w:color="auto"/>
              <w:right w:val="single" w:sz="4" w:space="0" w:color="auto"/>
            </w:tcBorders>
            <w:shd w:val="clear" w:color="auto" w:fill="auto"/>
            <w:vAlign w:val="center"/>
            <w:hideMark/>
          </w:tcPr>
          <w:p w14:paraId="22CF17F7"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0.58%</w:t>
            </w:r>
          </w:p>
        </w:tc>
      </w:tr>
      <w:tr w:rsidR="006C14F6" w:rsidRPr="003113EA" w14:paraId="42942FCF" w14:textId="77777777" w:rsidTr="006C14F6">
        <w:trPr>
          <w:trHeight w:val="1095"/>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31B1C4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w:t>
            </w:r>
          </w:p>
        </w:tc>
        <w:tc>
          <w:tcPr>
            <w:tcW w:w="7542" w:type="dxa"/>
            <w:tcBorders>
              <w:top w:val="nil"/>
              <w:left w:val="nil"/>
              <w:bottom w:val="single" w:sz="4" w:space="0" w:color="auto"/>
              <w:right w:val="single" w:sz="4" w:space="0" w:color="auto"/>
            </w:tcBorders>
            <w:shd w:val="clear" w:color="auto" w:fill="auto"/>
            <w:vAlign w:val="center"/>
            <w:hideMark/>
          </w:tcPr>
          <w:p w14:paraId="02198061"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Three meal/day to ex combatants during training</w:t>
            </w:r>
          </w:p>
        </w:tc>
        <w:tc>
          <w:tcPr>
            <w:tcW w:w="1915" w:type="dxa"/>
            <w:tcBorders>
              <w:top w:val="nil"/>
              <w:left w:val="nil"/>
              <w:bottom w:val="single" w:sz="4" w:space="0" w:color="auto"/>
              <w:right w:val="single" w:sz="4" w:space="0" w:color="auto"/>
            </w:tcBorders>
            <w:shd w:val="clear" w:color="auto" w:fill="auto"/>
            <w:vAlign w:val="center"/>
            <w:hideMark/>
          </w:tcPr>
          <w:p w14:paraId="275ECAE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402,227</w:t>
            </w:r>
          </w:p>
        </w:tc>
        <w:tc>
          <w:tcPr>
            <w:tcW w:w="917" w:type="dxa"/>
            <w:tcBorders>
              <w:top w:val="nil"/>
              <w:left w:val="nil"/>
              <w:bottom w:val="single" w:sz="4" w:space="0" w:color="auto"/>
              <w:right w:val="single" w:sz="4" w:space="0" w:color="auto"/>
            </w:tcBorders>
            <w:shd w:val="clear" w:color="auto" w:fill="auto"/>
            <w:vAlign w:val="center"/>
            <w:hideMark/>
          </w:tcPr>
          <w:p w14:paraId="7A99D1B5"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3.21%</w:t>
            </w:r>
          </w:p>
        </w:tc>
        <w:tc>
          <w:tcPr>
            <w:tcW w:w="1177" w:type="dxa"/>
            <w:tcBorders>
              <w:top w:val="nil"/>
              <w:left w:val="nil"/>
              <w:bottom w:val="single" w:sz="4" w:space="0" w:color="auto"/>
              <w:right w:val="single" w:sz="4" w:space="0" w:color="auto"/>
            </w:tcBorders>
            <w:shd w:val="clear" w:color="auto" w:fill="auto"/>
            <w:vAlign w:val="center"/>
            <w:hideMark/>
          </w:tcPr>
          <w:p w14:paraId="7A0F17E4"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301491DF"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402,227</w:t>
            </w:r>
          </w:p>
        </w:tc>
        <w:tc>
          <w:tcPr>
            <w:tcW w:w="963" w:type="dxa"/>
            <w:tcBorders>
              <w:top w:val="nil"/>
              <w:left w:val="nil"/>
              <w:bottom w:val="single" w:sz="4" w:space="0" w:color="auto"/>
              <w:right w:val="single" w:sz="4" w:space="0" w:color="auto"/>
            </w:tcBorders>
            <w:shd w:val="clear" w:color="auto" w:fill="auto"/>
            <w:vAlign w:val="center"/>
            <w:hideMark/>
          </w:tcPr>
          <w:p w14:paraId="202CDE3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455EBBF"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402,227</w:t>
            </w:r>
          </w:p>
        </w:tc>
        <w:tc>
          <w:tcPr>
            <w:tcW w:w="923" w:type="dxa"/>
            <w:tcBorders>
              <w:top w:val="nil"/>
              <w:left w:val="nil"/>
              <w:bottom w:val="single" w:sz="4" w:space="0" w:color="auto"/>
              <w:right w:val="single" w:sz="4" w:space="0" w:color="auto"/>
            </w:tcBorders>
            <w:shd w:val="clear" w:color="auto" w:fill="auto"/>
            <w:vAlign w:val="center"/>
            <w:hideMark/>
          </w:tcPr>
          <w:p w14:paraId="1F4203B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3.35%</w:t>
            </w:r>
          </w:p>
        </w:tc>
      </w:tr>
      <w:tr w:rsidR="006C14F6" w:rsidRPr="003113EA" w14:paraId="4B0C56C1" w14:textId="77777777" w:rsidTr="006C14F6">
        <w:trPr>
          <w:trHeight w:val="1005"/>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9FAECD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lastRenderedPageBreak/>
              <w:t>2</w:t>
            </w:r>
          </w:p>
        </w:tc>
        <w:tc>
          <w:tcPr>
            <w:tcW w:w="7542" w:type="dxa"/>
            <w:tcBorders>
              <w:top w:val="nil"/>
              <w:left w:val="nil"/>
              <w:bottom w:val="single" w:sz="4" w:space="0" w:color="auto"/>
              <w:right w:val="single" w:sz="4" w:space="0" w:color="auto"/>
            </w:tcBorders>
            <w:shd w:val="clear" w:color="auto" w:fill="auto"/>
            <w:vAlign w:val="center"/>
            <w:hideMark/>
          </w:tcPr>
          <w:p w14:paraId="3A5DE43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Registration, Stipend and Transport to ex-combatants</w:t>
            </w:r>
          </w:p>
        </w:tc>
        <w:tc>
          <w:tcPr>
            <w:tcW w:w="1915" w:type="dxa"/>
            <w:tcBorders>
              <w:top w:val="nil"/>
              <w:left w:val="nil"/>
              <w:bottom w:val="single" w:sz="4" w:space="0" w:color="auto"/>
              <w:right w:val="single" w:sz="4" w:space="0" w:color="auto"/>
            </w:tcBorders>
            <w:shd w:val="clear" w:color="auto" w:fill="auto"/>
            <w:vAlign w:val="center"/>
            <w:hideMark/>
          </w:tcPr>
          <w:p w14:paraId="3F096E4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231,457</w:t>
            </w:r>
          </w:p>
        </w:tc>
        <w:tc>
          <w:tcPr>
            <w:tcW w:w="917" w:type="dxa"/>
            <w:tcBorders>
              <w:top w:val="nil"/>
              <w:left w:val="nil"/>
              <w:bottom w:val="single" w:sz="4" w:space="0" w:color="auto"/>
              <w:right w:val="single" w:sz="4" w:space="0" w:color="auto"/>
            </w:tcBorders>
            <w:shd w:val="clear" w:color="auto" w:fill="auto"/>
            <w:vAlign w:val="center"/>
            <w:hideMark/>
          </w:tcPr>
          <w:p w14:paraId="67D827C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1.85%</w:t>
            </w:r>
          </w:p>
        </w:tc>
        <w:tc>
          <w:tcPr>
            <w:tcW w:w="1177" w:type="dxa"/>
            <w:tcBorders>
              <w:top w:val="nil"/>
              <w:left w:val="nil"/>
              <w:bottom w:val="single" w:sz="4" w:space="0" w:color="auto"/>
              <w:right w:val="single" w:sz="4" w:space="0" w:color="auto"/>
            </w:tcBorders>
            <w:shd w:val="clear" w:color="auto" w:fill="auto"/>
            <w:vAlign w:val="center"/>
            <w:hideMark/>
          </w:tcPr>
          <w:p w14:paraId="6A7BE26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2DA957B8"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231,457</w:t>
            </w:r>
          </w:p>
        </w:tc>
        <w:tc>
          <w:tcPr>
            <w:tcW w:w="963" w:type="dxa"/>
            <w:tcBorders>
              <w:top w:val="nil"/>
              <w:left w:val="nil"/>
              <w:bottom w:val="single" w:sz="4" w:space="0" w:color="auto"/>
              <w:right w:val="single" w:sz="4" w:space="0" w:color="auto"/>
            </w:tcBorders>
            <w:shd w:val="clear" w:color="auto" w:fill="auto"/>
            <w:vAlign w:val="center"/>
            <w:hideMark/>
          </w:tcPr>
          <w:p w14:paraId="54970090"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FFD8288"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231,457</w:t>
            </w:r>
          </w:p>
        </w:tc>
        <w:tc>
          <w:tcPr>
            <w:tcW w:w="923" w:type="dxa"/>
            <w:tcBorders>
              <w:top w:val="nil"/>
              <w:left w:val="nil"/>
              <w:bottom w:val="single" w:sz="4" w:space="0" w:color="auto"/>
              <w:right w:val="single" w:sz="4" w:space="0" w:color="auto"/>
            </w:tcBorders>
            <w:shd w:val="clear" w:color="auto" w:fill="auto"/>
            <w:vAlign w:val="center"/>
            <w:hideMark/>
          </w:tcPr>
          <w:p w14:paraId="7B857CA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1.93%</w:t>
            </w:r>
          </w:p>
        </w:tc>
      </w:tr>
      <w:tr w:rsidR="006C14F6" w:rsidRPr="003113EA" w14:paraId="1E1E6FB7" w14:textId="77777777" w:rsidTr="006C14F6">
        <w:trPr>
          <w:trHeight w:val="915"/>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3691197"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60D4A1C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Gender Specific Support to Programme Participants </w:t>
            </w:r>
          </w:p>
        </w:tc>
        <w:tc>
          <w:tcPr>
            <w:tcW w:w="1915" w:type="dxa"/>
            <w:tcBorders>
              <w:top w:val="nil"/>
              <w:left w:val="nil"/>
              <w:bottom w:val="single" w:sz="4" w:space="0" w:color="auto"/>
              <w:right w:val="single" w:sz="4" w:space="0" w:color="auto"/>
            </w:tcBorders>
            <w:shd w:val="clear" w:color="auto" w:fill="auto"/>
            <w:vAlign w:val="center"/>
            <w:hideMark/>
          </w:tcPr>
          <w:p w14:paraId="584F138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200,000</w:t>
            </w:r>
          </w:p>
        </w:tc>
        <w:tc>
          <w:tcPr>
            <w:tcW w:w="917" w:type="dxa"/>
            <w:tcBorders>
              <w:top w:val="nil"/>
              <w:left w:val="nil"/>
              <w:bottom w:val="single" w:sz="4" w:space="0" w:color="auto"/>
              <w:right w:val="single" w:sz="4" w:space="0" w:color="auto"/>
            </w:tcBorders>
            <w:shd w:val="clear" w:color="auto" w:fill="auto"/>
            <w:vAlign w:val="center"/>
            <w:hideMark/>
          </w:tcPr>
          <w:p w14:paraId="6CADF444"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1.59%</w:t>
            </w:r>
          </w:p>
        </w:tc>
        <w:tc>
          <w:tcPr>
            <w:tcW w:w="1177" w:type="dxa"/>
            <w:tcBorders>
              <w:top w:val="nil"/>
              <w:left w:val="nil"/>
              <w:bottom w:val="single" w:sz="4" w:space="0" w:color="auto"/>
              <w:right w:val="single" w:sz="4" w:space="0" w:color="auto"/>
            </w:tcBorders>
            <w:shd w:val="clear" w:color="auto" w:fill="auto"/>
            <w:vAlign w:val="center"/>
            <w:hideMark/>
          </w:tcPr>
          <w:p w14:paraId="6880D20E"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31075EF2"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200,000</w:t>
            </w:r>
          </w:p>
        </w:tc>
        <w:tc>
          <w:tcPr>
            <w:tcW w:w="963" w:type="dxa"/>
            <w:tcBorders>
              <w:top w:val="nil"/>
              <w:left w:val="nil"/>
              <w:bottom w:val="single" w:sz="4" w:space="0" w:color="auto"/>
              <w:right w:val="single" w:sz="4" w:space="0" w:color="auto"/>
            </w:tcBorders>
            <w:shd w:val="clear" w:color="auto" w:fill="auto"/>
            <w:vAlign w:val="center"/>
            <w:hideMark/>
          </w:tcPr>
          <w:p w14:paraId="02D2270F"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3312651"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200,000</w:t>
            </w:r>
          </w:p>
        </w:tc>
        <w:tc>
          <w:tcPr>
            <w:tcW w:w="923" w:type="dxa"/>
            <w:tcBorders>
              <w:top w:val="nil"/>
              <w:left w:val="nil"/>
              <w:bottom w:val="single" w:sz="4" w:space="0" w:color="auto"/>
              <w:right w:val="single" w:sz="4" w:space="0" w:color="auto"/>
            </w:tcBorders>
            <w:shd w:val="clear" w:color="auto" w:fill="auto"/>
            <w:vAlign w:val="center"/>
            <w:hideMark/>
          </w:tcPr>
          <w:p w14:paraId="1F97D04A"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1.66%</w:t>
            </w:r>
          </w:p>
        </w:tc>
      </w:tr>
      <w:tr w:rsidR="006C14F6" w:rsidRPr="003113EA" w14:paraId="15A5C553" w14:textId="77777777" w:rsidTr="006C14F6">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0B0883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5F674DF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Specific Support for Girls in Education Away from Home</w:t>
            </w:r>
          </w:p>
        </w:tc>
        <w:tc>
          <w:tcPr>
            <w:tcW w:w="1915" w:type="dxa"/>
            <w:tcBorders>
              <w:top w:val="nil"/>
              <w:left w:val="nil"/>
              <w:bottom w:val="single" w:sz="4" w:space="0" w:color="auto"/>
              <w:right w:val="single" w:sz="4" w:space="0" w:color="auto"/>
            </w:tcBorders>
            <w:shd w:val="clear" w:color="auto" w:fill="auto"/>
            <w:vAlign w:val="center"/>
            <w:hideMark/>
          </w:tcPr>
          <w:p w14:paraId="1926293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125,000</w:t>
            </w:r>
          </w:p>
        </w:tc>
        <w:tc>
          <w:tcPr>
            <w:tcW w:w="917" w:type="dxa"/>
            <w:tcBorders>
              <w:top w:val="nil"/>
              <w:left w:val="nil"/>
              <w:bottom w:val="single" w:sz="4" w:space="0" w:color="auto"/>
              <w:right w:val="single" w:sz="4" w:space="0" w:color="auto"/>
            </w:tcBorders>
            <w:shd w:val="clear" w:color="auto" w:fill="auto"/>
            <w:vAlign w:val="center"/>
            <w:hideMark/>
          </w:tcPr>
          <w:p w14:paraId="6806DBF8"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1.00%</w:t>
            </w:r>
          </w:p>
        </w:tc>
        <w:tc>
          <w:tcPr>
            <w:tcW w:w="1177" w:type="dxa"/>
            <w:tcBorders>
              <w:top w:val="nil"/>
              <w:left w:val="nil"/>
              <w:bottom w:val="single" w:sz="4" w:space="0" w:color="auto"/>
              <w:right w:val="single" w:sz="4" w:space="0" w:color="auto"/>
            </w:tcBorders>
            <w:shd w:val="clear" w:color="auto" w:fill="auto"/>
            <w:vAlign w:val="center"/>
            <w:hideMark/>
          </w:tcPr>
          <w:p w14:paraId="6A31A88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vAlign w:val="center"/>
            <w:hideMark/>
          </w:tcPr>
          <w:p w14:paraId="0E1A874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125,000</w:t>
            </w:r>
          </w:p>
        </w:tc>
        <w:tc>
          <w:tcPr>
            <w:tcW w:w="963" w:type="dxa"/>
            <w:tcBorders>
              <w:top w:val="nil"/>
              <w:left w:val="nil"/>
              <w:bottom w:val="single" w:sz="4" w:space="0" w:color="auto"/>
              <w:right w:val="single" w:sz="4" w:space="0" w:color="auto"/>
            </w:tcBorders>
            <w:shd w:val="clear" w:color="auto" w:fill="auto"/>
            <w:vAlign w:val="center"/>
            <w:hideMark/>
          </w:tcPr>
          <w:p w14:paraId="2AC37E0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8C70CAB"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125,000</w:t>
            </w:r>
          </w:p>
        </w:tc>
        <w:tc>
          <w:tcPr>
            <w:tcW w:w="923" w:type="dxa"/>
            <w:tcBorders>
              <w:top w:val="nil"/>
              <w:left w:val="nil"/>
              <w:bottom w:val="single" w:sz="4" w:space="0" w:color="auto"/>
              <w:right w:val="single" w:sz="4" w:space="0" w:color="auto"/>
            </w:tcBorders>
            <w:shd w:val="clear" w:color="auto" w:fill="auto"/>
            <w:vAlign w:val="center"/>
            <w:hideMark/>
          </w:tcPr>
          <w:p w14:paraId="773DB716"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1.04%</w:t>
            </w:r>
          </w:p>
        </w:tc>
      </w:tr>
      <w:tr w:rsidR="006C14F6" w:rsidRPr="003113EA" w14:paraId="44855034" w14:textId="77777777" w:rsidTr="006C14F6">
        <w:trPr>
          <w:trHeight w:val="396"/>
        </w:trPr>
        <w:tc>
          <w:tcPr>
            <w:tcW w:w="7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BE12"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Sub Total of Direct Support to Programme Participants</w:t>
            </w:r>
          </w:p>
        </w:tc>
        <w:tc>
          <w:tcPr>
            <w:tcW w:w="1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B85DE"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4,496,012</w:t>
            </w:r>
          </w:p>
        </w:tc>
        <w:tc>
          <w:tcPr>
            <w:tcW w:w="917" w:type="dxa"/>
            <w:vMerge w:val="restart"/>
            <w:tcBorders>
              <w:top w:val="nil"/>
              <w:left w:val="single" w:sz="4" w:space="0" w:color="auto"/>
              <w:bottom w:val="single" w:sz="4" w:space="0" w:color="000000"/>
              <w:right w:val="single" w:sz="4" w:space="0" w:color="auto"/>
            </w:tcBorders>
            <w:shd w:val="clear" w:color="auto" w:fill="auto"/>
            <w:vAlign w:val="center"/>
            <w:hideMark/>
          </w:tcPr>
          <w:p w14:paraId="79CB5A81"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35.84%</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C044C"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-401,894</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D8DA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rPr>
              <w:t>4,094,118</w:t>
            </w:r>
          </w:p>
        </w:tc>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F5844"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-30,946</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A0F6F"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4,063,172</w:t>
            </w:r>
          </w:p>
        </w:tc>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14:paraId="58AEC9EC"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33.80%</w:t>
            </w:r>
          </w:p>
        </w:tc>
      </w:tr>
      <w:tr w:rsidR="006C14F6" w:rsidRPr="003113EA" w14:paraId="3C494C61" w14:textId="77777777" w:rsidTr="006C14F6">
        <w:trPr>
          <w:trHeight w:val="396"/>
        </w:trPr>
        <w:tc>
          <w:tcPr>
            <w:tcW w:w="7885" w:type="dxa"/>
            <w:gridSpan w:val="2"/>
            <w:vMerge/>
            <w:tcBorders>
              <w:top w:val="single" w:sz="4" w:space="0" w:color="auto"/>
              <w:left w:val="single" w:sz="4" w:space="0" w:color="auto"/>
              <w:bottom w:val="single" w:sz="4" w:space="0" w:color="auto"/>
              <w:right w:val="single" w:sz="4" w:space="0" w:color="auto"/>
            </w:tcBorders>
            <w:vAlign w:val="center"/>
            <w:hideMark/>
          </w:tcPr>
          <w:p w14:paraId="4962C331" w14:textId="77777777" w:rsidR="006C14F6" w:rsidRPr="003113EA" w:rsidRDefault="006C14F6" w:rsidP="006C14F6">
            <w:pPr>
              <w:rPr>
                <w:rFonts w:ascii="Calibri" w:hAnsi="Calibri" w:cs="Calibri"/>
                <w:b/>
                <w:bCs/>
                <w:color w:val="000000"/>
                <w:sz w:val="20"/>
                <w:szCs w:val="20"/>
                <w:lang w:val="en-US"/>
              </w:rPr>
            </w:pPr>
          </w:p>
        </w:tc>
        <w:tc>
          <w:tcPr>
            <w:tcW w:w="1915" w:type="dxa"/>
            <w:vMerge/>
            <w:tcBorders>
              <w:top w:val="nil"/>
              <w:left w:val="single" w:sz="4" w:space="0" w:color="auto"/>
              <w:bottom w:val="single" w:sz="4" w:space="0" w:color="auto"/>
              <w:right w:val="single" w:sz="4" w:space="0" w:color="auto"/>
            </w:tcBorders>
            <w:vAlign w:val="center"/>
            <w:hideMark/>
          </w:tcPr>
          <w:p w14:paraId="6CE702A5" w14:textId="77777777" w:rsidR="006C14F6" w:rsidRPr="003113EA" w:rsidRDefault="006C14F6" w:rsidP="006C14F6">
            <w:pPr>
              <w:rPr>
                <w:rFonts w:ascii="Calibri" w:hAnsi="Calibri" w:cs="Calibri"/>
                <w:b/>
                <w:bCs/>
                <w:color w:val="000000"/>
                <w:sz w:val="20"/>
                <w:szCs w:val="20"/>
                <w:lang w:val="en-US"/>
              </w:rPr>
            </w:pPr>
          </w:p>
        </w:tc>
        <w:tc>
          <w:tcPr>
            <w:tcW w:w="917" w:type="dxa"/>
            <w:vMerge/>
            <w:tcBorders>
              <w:top w:val="nil"/>
              <w:left w:val="single" w:sz="4" w:space="0" w:color="auto"/>
              <w:bottom w:val="single" w:sz="4" w:space="0" w:color="000000"/>
              <w:right w:val="single" w:sz="4" w:space="0" w:color="auto"/>
            </w:tcBorders>
            <w:vAlign w:val="center"/>
            <w:hideMark/>
          </w:tcPr>
          <w:p w14:paraId="755D5798" w14:textId="77777777" w:rsidR="006C14F6" w:rsidRPr="003113EA" w:rsidRDefault="006C14F6" w:rsidP="006C14F6">
            <w:pPr>
              <w:rPr>
                <w:rFonts w:ascii="Calibri" w:hAnsi="Calibri" w:cs="Calibri"/>
                <w:i/>
                <w:iCs/>
                <w:color w:val="000000"/>
                <w:sz w:val="20"/>
                <w:szCs w:val="20"/>
                <w:lang w:val="en-US"/>
              </w:rPr>
            </w:pPr>
          </w:p>
        </w:tc>
        <w:tc>
          <w:tcPr>
            <w:tcW w:w="1177" w:type="dxa"/>
            <w:vMerge/>
            <w:tcBorders>
              <w:top w:val="nil"/>
              <w:left w:val="single" w:sz="4" w:space="0" w:color="auto"/>
              <w:bottom w:val="single" w:sz="4" w:space="0" w:color="auto"/>
              <w:right w:val="single" w:sz="4" w:space="0" w:color="auto"/>
            </w:tcBorders>
            <w:vAlign w:val="center"/>
            <w:hideMark/>
          </w:tcPr>
          <w:p w14:paraId="18F65264" w14:textId="77777777" w:rsidR="006C14F6" w:rsidRPr="003113EA" w:rsidRDefault="006C14F6" w:rsidP="006C14F6">
            <w:pPr>
              <w:rPr>
                <w:rFonts w:ascii="Calibri" w:hAnsi="Calibri" w:cs="Calibri"/>
                <w:color w:val="000000"/>
                <w:sz w:val="20"/>
                <w:szCs w:val="20"/>
                <w:lang w:val="en-US"/>
              </w:rPr>
            </w:pPr>
          </w:p>
        </w:tc>
        <w:tc>
          <w:tcPr>
            <w:tcW w:w="1131" w:type="dxa"/>
            <w:vMerge/>
            <w:tcBorders>
              <w:top w:val="nil"/>
              <w:left w:val="single" w:sz="4" w:space="0" w:color="auto"/>
              <w:bottom w:val="single" w:sz="4" w:space="0" w:color="auto"/>
              <w:right w:val="single" w:sz="4" w:space="0" w:color="auto"/>
            </w:tcBorders>
            <w:vAlign w:val="center"/>
            <w:hideMark/>
          </w:tcPr>
          <w:p w14:paraId="3CC376A8" w14:textId="77777777" w:rsidR="006C14F6" w:rsidRPr="003113EA" w:rsidRDefault="006C14F6" w:rsidP="006C14F6">
            <w:pPr>
              <w:rPr>
                <w:rFonts w:ascii="Calibri" w:hAnsi="Calibri" w:cs="Calibri"/>
                <w:color w:val="000000"/>
                <w:sz w:val="20"/>
                <w:szCs w:val="20"/>
                <w:lang w:val="en-US"/>
              </w:rPr>
            </w:pPr>
          </w:p>
        </w:tc>
        <w:tc>
          <w:tcPr>
            <w:tcW w:w="963" w:type="dxa"/>
            <w:vMerge/>
            <w:tcBorders>
              <w:top w:val="nil"/>
              <w:left w:val="single" w:sz="4" w:space="0" w:color="auto"/>
              <w:bottom w:val="single" w:sz="4" w:space="0" w:color="auto"/>
              <w:right w:val="single" w:sz="4" w:space="0" w:color="auto"/>
            </w:tcBorders>
            <w:vAlign w:val="center"/>
            <w:hideMark/>
          </w:tcPr>
          <w:p w14:paraId="31ABEAF1" w14:textId="77777777" w:rsidR="006C14F6" w:rsidRPr="003113EA" w:rsidRDefault="006C14F6" w:rsidP="006C14F6">
            <w:pPr>
              <w:rPr>
                <w:rFonts w:ascii="Calibri" w:hAnsi="Calibri" w:cs="Calibri"/>
                <w:color w:val="000000"/>
                <w:sz w:val="20"/>
                <w:szCs w:val="20"/>
                <w:lang w:val="en-US"/>
              </w:rPr>
            </w:pPr>
          </w:p>
        </w:tc>
        <w:tc>
          <w:tcPr>
            <w:tcW w:w="1620" w:type="dxa"/>
            <w:vMerge/>
            <w:tcBorders>
              <w:top w:val="nil"/>
              <w:left w:val="single" w:sz="4" w:space="0" w:color="auto"/>
              <w:bottom w:val="single" w:sz="4" w:space="0" w:color="auto"/>
              <w:right w:val="single" w:sz="4" w:space="0" w:color="auto"/>
            </w:tcBorders>
            <w:vAlign w:val="center"/>
            <w:hideMark/>
          </w:tcPr>
          <w:p w14:paraId="2B60E636" w14:textId="77777777" w:rsidR="006C14F6" w:rsidRPr="003113EA" w:rsidRDefault="006C14F6" w:rsidP="006C14F6">
            <w:pPr>
              <w:rPr>
                <w:rFonts w:ascii="Calibri" w:hAnsi="Calibri" w:cs="Calibri"/>
                <w:color w:val="000000"/>
                <w:sz w:val="20"/>
                <w:szCs w:val="20"/>
                <w:lang w:val="en-US"/>
              </w:rPr>
            </w:pPr>
          </w:p>
        </w:tc>
        <w:tc>
          <w:tcPr>
            <w:tcW w:w="923" w:type="dxa"/>
            <w:vMerge/>
            <w:tcBorders>
              <w:top w:val="nil"/>
              <w:left w:val="single" w:sz="4" w:space="0" w:color="auto"/>
              <w:bottom w:val="single" w:sz="4" w:space="0" w:color="auto"/>
              <w:right w:val="single" w:sz="4" w:space="0" w:color="auto"/>
            </w:tcBorders>
            <w:vAlign w:val="center"/>
            <w:hideMark/>
          </w:tcPr>
          <w:p w14:paraId="3F6C641C" w14:textId="77777777" w:rsidR="006C14F6" w:rsidRPr="003113EA" w:rsidRDefault="006C14F6" w:rsidP="006C14F6">
            <w:pPr>
              <w:rPr>
                <w:rFonts w:ascii="Calibri" w:hAnsi="Calibri" w:cs="Calibri"/>
                <w:i/>
                <w:iCs/>
                <w:color w:val="000000"/>
                <w:sz w:val="20"/>
                <w:szCs w:val="20"/>
                <w:lang w:val="en-US"/>
              </w:rPr>
            </w:pPr>
          </w:p>
        </w:tc>
      </w:tr>
      <w:tr w:rsidR="006C14F6" w:rsidRPr="003113EA" w14:paraId="7B523011" w14:textId="77777777" w:rsidTr="006C14F6">
        <w:trPr>
          <w:trHeight w:val="300"/>
        </w:trPr>
        <w:tc>
          <w:tcPr>
            <w:tcW w:w="7885"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30406A5"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 2. Additional Direct Benefits and Services </w:t>
            </w:r>
          </w:p>
        </w:tc>
        <w:tc>
          <w:tcPr>
            <w:tcW w:w="5140" w:type="dxa"/>
            <w:gridSpan w:val="4"/>
            <w:tcBorders>
              <w:top w:val="single" w:sz="4" w:space="0" w:color="auto"/>
              <w:left w:val="nil"/>
              <w:bottom w:val="single" w:sz="4" w:space="0" w:color="auto"/>
              <w:right w:val="single" w:sz="4" w:space="0" w:color="auto"/>
            </w:tcBorders>
            <w:shd w:val="clear" w:color="000000" w:fill="99CCFF"/>
            <w:noWrap/>
            <w:vAlign w:val="center"/>
            <w:hideMark/>
          </w:tcPr>
          <w:p w14:paraId="2C7FC6E1"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63" w:type="dxa"/>
            <w:tcBorders>
              <w:top w:val="nil"/>
              <w:left w:val="nil"/>
              <w:bottom w:val="nil"/>
              <w:right w:val="nil"/>
            </w:tcBorders>
            <w:shd w:val="clear" w:color="000000" w:fill="99CCFF"/>
            <w:noWrap/>
            <w:vAlign w:val="center"/>
            <w:hideMark/>
          </w:tcPr>
          <w:p w14:paraId="3CFD5E89"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1620" w:type="dxa"/>
            <w:tcBorders>
              <w:top w:val="nil"/>
              <w:left w:val="nil"/>
              <w:bottom w:val="nil"/>
              <w:right w:val="nil"/>
            </w:tcBorders>
            <w:shd w:val="clear" w:color="000000" w:fill="99CCFF"/>
            <w:noWrap/>
            <w:vAlign w:val="center"/>
            <w:hideMark/>
          </w:tcPr>
          <w:p w14:paraId="5F207B78"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23" w:type="dxa"/>
            <w:tcBorders>
              <w:top w:val="nil"/>
              <w:left w:val="nil"/>
              <w:bottom w:val="nil"/>
              <w:right w:val="nil"/>
            </w:tcBorders>
            <w:shd w:val="clear" w:color="000000" w:fill="99CCFF"/>
            <w:noWrap/>
            <w:vAlign w:val="center"/>
            <w:hideMark/>
          </w:tcPr>
          <w:p w14:paraId="7C2D924B"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r>
      <w:tr w:rsidR="006C14F6" w:rsidRPr="003113EA" w14:paraId="2220FA5D"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B0B00E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102D5F3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Training of Counterparts (Implementing partners)</w:t>
            </w:r>
          </w:p>
        </w:tc>
        <w:tc>
          <w:tcPr>
            <w:tcW w:w="1915" w:type="dxa"/>
            <w:tcBorders>
              <w:top w:val="nil"/>
              <w:left w:val="nil"/>
              <w:bottom w:val="single" w:sz="4" w:space="0" w:color="auto"/>
              <w:right w:val="single" w:sz="4" w:space="0" w:color="auto"/>
            </w:tcBorders>
            <w:shd w:val="clear" w:color="auto" w:fill="auto"/>
            <w:vAlign w:val="center"/>
            <w:hideMark/>
          </w:tcPr>
          <w:p w14:paraId="37AB0358"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497,816</w:t>
            </w:r>
          </w:p>
        </w:tc>
        <w:tc>
          <w:tcPr>
            <w:tcW w:w="917" w:type="dxa"/>
            <w:tcBorders>
              <w:top w:val="nil"/>
              <w:left w:val="nil"/>
              <w:bottom w:val="single" w:sz="4" w:space="0" w:color="auto"/>
              <w:right w:val="single" w:sz="4" w:space="0" w:color="auto"/>
            </w:tcBorders>
            <w:shd w:val="clear" w:color="auto" w:fill="auto"/>
            <w:vAlign w:val="center"/>
            <w:hideMark/>
          </w:tcPr>
          <w:p w14:paraId="36AC278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3.97%</w:t>
            </w:r>
          </w:p>
        </w:tc>
        <w:tc>
          <w:tcPr>
            <w:tcW w:w="1177" w:type="dxa"/>
            <w:tcBorders>
              <w:top w:val="nil"/>
              <w:left w:val="nil"/>
              <w:bottom w:val="single" w:sz="4" w:space="0" w:color="auto"/>
              <w:right w:val="single" w:sz="4" w:space="0" w:color="auto"/>
            </w:tcBorders>
            <w:shd w:val="clear" w:color="auto" w:fill="auto"/>
            <w:vAlign w:val="center"/>
            <w:hideMark/>
          </w:tcPr>
          <w:p w14:paraId="05762B3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21655C9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497,816</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489CC9E4"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1FA17E7"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497,816</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273DE3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4.14%</w:t>
            </w:r>
          </w:p>
        </w:tc>
      </w:tr>
      <w:tr w:rsidR="006C14F6" w:rsidRPr="003113EA" w14:paraId="7D0068EE"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6318A77"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1599D86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Psychosocial Support (Services to ex-combatants by National Specialized agencies)</w:t>
            </w:r>
          </w:p>
        </w:tc>
        <w:tc>
          <w:tcPr>
            <w:tcW w:w="1915" w:type="dxa"/>
            <w:tcBorders>
              <w:top w:val="nil"/>
              <w:left w:val="nil"/>
              <w:bottom w:val="single" w:sz="4" w:space="0" w:color="auto"/>
              <w:right w:val="single" w:sz="4" w:space="0" w:color="auto"/>
            </w:tcBorders>
            <w:shd w:val="clear" w:color="auto" w:fill="auto"/>
            <w:vAlign w:val="center"/>
            <w:hideMark/>
          </w:tcPr>
          <w:p w14:paraId="4A10248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459,410</w:t>
            </w:r>
          </w:p>
        </w:tc>
        <w:tc>
          <w:tcPr>
            <w:tcW w:w="917" w:type="dxa"/>
            <w:tcBorders>
              <w:top w:val="nil"/>
              <w:left w:val="nil"/>
              <w:bottom w:val="single" w:sz="4" w:space="0" w:color="auto"/>
              <w:right w:val="single" w:sz="4" w:space="0" w:color="auto"/>
            </w:tcBorders>
            <w:shd w:val="clear" w:color="auto" w:fill="auto"/>
            <w:vAlign w:val="center"/>
            <w:hideMark/>
          </w:tcPr>
          <w:p w14:paraId="6856874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3.66%</w:t>
            </w:r>
          </w:p>
        </w:tc>
        <w:tc>
          <w:tcPr>
            <w:tcW w:w="1177" w:type="dxa"/>
            <w:tcBorders>
              <w:top w:val="nil"/>
              <w:left w:val="nil"/>
              <w:bottom w:val="single" w:sz="4" w:space="0" w:color="auto"/>
              <w:right w:val="single" w:sz="4" w:space="0" w:color="auto"/>
            </w:tcBorders>
            <w:shd w:val="clear" w:color="auto" w:fill="auto"/>
            <w:vAlign w:val="center"/>
            <w:hideMark/>
          </w:tcPr>
          <w:p w14:paraId="5A9114D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0AD8AE8F"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459,410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35AD5780"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602A224"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459,410</w:t>
            </w:r>
          </w:p>
        </w:tc>
        <w:tc>
          <w:tcPr>
            <w:tcW w:w="923" w:type="dxa"/>
            <w:tcBorders>
              <w:top w:val="nil"/>
              <w:left w:val="nil"/>
              <w:bottom w:val="single" w:sz="4" w:space="0" w:color="auto"/>
              <w:right w:val="single" w:sz="4" w:space="0" w:color="auto"/>
            </w:tcBorders>
            <w:shd w:val="clear" w:color="auto" w:fill="auto"/>
            <w:vAlign w:val="center"/>
            <w:hideMark/>
          </w:tcPr>
          <w:p w14:paraId="3E13145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3.82%</w:t>
            </w:r>
          </w:p>
        </w:tc>
      </w:tr>
      <w:tr w:rsidR="006C14F6" w:rsidRPr="003113EA" w14:paraId="06228DF7"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3C6610F"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3C8633D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Community-based Social Integration (Peace building, life skill and reconciliation activities)</w:t>
            </w:r>
          </w:p>
        </w:tc>
        <w:tc>
          <w:tcPr>
            <w:tcW w:w="1915" w:type="dxa"/>
            <w:tcBorders>
              <w:top w:val="nil"/>
              <w:left w:val="nil"/>
              <w:bottom w:val="single" w:sz="4" w:space="0" w:color="auto"/>
              <w:right w:val="single" w:sz="4" w:space="0" w:color="auto"/>
            </w:tcBorders>
            <w:shd w:val="clear" w:color="auto" w:fill="auto"/>
            <w:vAlign w:val="center"/>
            <w:hideMark/>
          </w:tcPr>
          <w:p w14:paraId="037EE20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407,750</w:t>
            </w:r>
          </w:p>
        </w:tc>
        <w:tc>
          <w:tcPr>
            <w:tcW w:w="917" w:type="dxa"/>
            <w:tcBorders>
              <w:top w:val="nil"/>
              <w:left w:val="nil"/>
              <w:bottom w:val="single" w:sz="4" w:space="0" w:color="auto"/>
              <w:right w:val="single" w:sz="4" w:space="0" w:color="auto"/>
            </w:tcBorders>
            <w:shd w:val="clear" w:color="auto" w:fill="auto"/>
            <w:vAlign w:val="center"/>
            <w:hideMark/>
          </w:tcPr>
          <w:p w14:paraId="35B2A945"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3.25%</w:t>
            </w:r>
          </w:p>
        </w:tc>
        <w:tc>
          <w:tcPr>
            <w:tcW w:w="1177" w:type="dxa"/>
            <w:tcBorders>
              <w:top w:val="nil"/>
              <w:left w:val="nil"/>
              <w:bottom w:val="single" w:sz="4" w:space="0" w:color="auto"/>
              <w:right w:val="single" w:sz="4" w:space="0" w:color="auto"/>
            </w:tcBorders>
            <w:shd w:val="clear" w:color="auto" w:fill="auto"/>
            <w:vAlign w:val="center"/>
            <w:hideMark/>
          </w:tcPr>
          <w:p w14:paraId="22149DC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0BF5896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407,750</w:t>
            </w:r>
          </w:p>
        </w:tc>
        <w:tc>
          <w:tcPr>
            <w:tcW w:w="963" w:type="dxa"/>
            <w:vMerge/>
            <w:tcBorders>
              <w:top w:val="nil"/>
              <w:left w:val="single" w:sz="4" w:space="0" w:color="auto"/>
              <w:bottom w:val="single" w:sz="4" w:space="0" w:color="auto"/>
              <w:right w:val="single" w:sz="4" w:space="0" w:color="auto"/>
            </w:tcBorders>
            <w:vAlign w:val="center"/>
            <w:hideMark/>
          </w:tcPr>
          <w:p w14:paraId="65A3F68C" w14:textId="77777777" w:rsidR="006C14F6" w:rsidRPr="003113EA" w:rsidRDefault="006C14F6" w:rsidP="006C14F6">
            <w:pPr>
              <w:rPr>
                <w:rFonts w:ascii="Calibri" w:hAnsi="Calibri" w:cs="Calibri"/>
                <w:i/>
                <w:iCs/>
                <w:color w:val="000000"/>
                <w:sz w:val="20"/>
                <w:szCs w:val="20"/>
                <w:lang w:val="en-US"/>
              </w:rPr>
            </w:pPr>
          </w:p>
        </w:tc>
        <w:tc>
          <w:tcPr>
            <w:tcW w:w="1620" w:type="dxa"/>
            <w:tcBorders>
              <w:top w:val="nil"/>
              <w:left w:val="nil"/>
              <w:bottom w:val="single" w:sz="4" w:space="0" w:color="auto"/>
              <w:right w:val="single" w:sz="4" w:space="0" w:color="auto"/>
            </w:tcBorders>
            <w:shd w:val="clear" w:color="auto" w:fill="auto"/>
            <w:noWrap/>
            <w:vAlign w:val="center"/>
            <w:hideMark/>
          </w:tcPr>
          <w:p w14:paraId="5E364E6C"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407,750</w:t>
            </w:r>
          </w:p>
        </w:tc>
        <w:tc>
          <w:tcPr>
            <w:tcW w:w="923" w:type="dxa"/>
            <w:tcBorders>
              <w:top w:val="nil"/>
              <w:left w:val="nil"/>
              <w:bottom w:val="single" w:sz="4" w:space="0" w:color="auto"/>
              <w:right w:val="single" w:sz="4" w:space="0" w:color="auto"/>
            </w:tcBorders>
            <w:shd w:val="clear" w:color="auto" w:fill="auto"/>
            <w:vAlign w:val="center"/>
            <w:hideMark/>
          </w:tcPr>
          <w:p w14:paraId="646B5ED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3.39%</w:t>
            </w:r>
          </w:p>
        </w:tc>
      </w:tr>
      <w:tr w:rsidR="006C14F6" w:rsidRPr="003113EA" w14:paraId="15102CF6"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6ACFC1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6550FE5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Public Information and Sensitization (including direct SMS and participants tracking)</w:t>
            </w:r>
          </w:p>
        </w:tc>
        <w:tc>
          <w:tcPr>
            <w:tcW w:w="1915" w:type="dxa"/>
            <w:tcBorders>
              <w:top w:val="nil"/>
              <w:left w:val="nil"/>
              <w:bottom w:val="single" w:sz="4" w:space="0" w:color="auto"/>
              <w:right w:val="single" w:sz="4" w:space="0" w:color="auto"/>
            </w:tcBorders>
            <w:shd w:val="clear" w:color="auto" w:fill="auto"/>
            <w:vAlign w:val="center"/>
            <w:hideMark/>
          </w:tcPr>
          <w:p w14:paraId="6F3B0C2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56,438</w:t>
            </w:r>
          </w:p>
        </w:tc>
        <w:tc>
          <w:tcPr>
            <w:tcW w:w="917" w:type="dxa"/>
            <w:tcBorders>
              <w:top w:val="nil"/>
              <w:left w:val="nil"/>
              <w:bottom w:val="single" w:sz="4" w:space="0" w:color="auto"/>
              <w:right w:val="single" w:sz="4" w:space="0" w:color="auto"/>
            </w:tcBorders>
            <w:shd w:val="clear" w:color="auto" w:fill="auto"/>
            <w:vAlign w:val="center"/>
            <w:hideMark/>
          </w:tcPr>
          <w:p w14:paraId="474F04BF"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0.45%</w:t>
            </w:r>
          </w:p>
        </w:tc>
        <w:tc>
          <w:tcPr>
            <w:tcW w:w="1177" w:type="dxa"/>
            <w:tcBorders>
              <w:top w:val="nil"/>
              <w:left w:val="nil"/>
              <w:bottom w:val="single" w:sz="4" w:space="0" w:color="auto"/>
              <w:right w:val="single" w:sz="4" w:space="0" w:color="auto"/>
            </w:tcBorders>
            <w:shd w:val="clear" w:color="auto" w:fill="auto"/>
            <w:vAlign w:val="center"/>
            <w:hideMark/>
          </w:tcPr>
          <w:p w14:paraId="3D75EA87"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6FB3206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56,438</w:t>
            </w:r>
          </w:p>
        </w:tc>
        <w:tc>
          <w:tcPr>
            <w:tcW w:w="963" w:type="dxa"/>
            <w:tcBorders>
              <w:top w:val="nil"/>
              <w:left w:val="nil"/>
              <w:bottom w:val="single" w:sz="4" w:space="0" w:color="auto"/>
              <w:right w:val="single" w:sz="4" w:space="0" w:color="auto"/>
            </w:tcBorders>
            <w:shd w:val="clear" w:color="auto" w:fill="auto"/>
            <w:vAlign w:val="center"/>
            <w:hideMark/>
          </w:tcPr>
          <w:p w14:paraId="45EEBD5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2E2E681"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56,438</w:t>
            </w:r>
          </w:p>
        </w:tc>
        <w:tc>
          <w:tcPr>
            <w:tcW w:w="923" w:type="dxa"/>
            <w:tcBorders>
              <w:top w:val="nil"/>
              <w:left w:val="nil"/>
              <w:bottom w:val="single" w:sz="4" w:space="0" w:color="auto"/>
              <w:right w:val="single" w:sz="4" w:space="0" w:color="auto"/>
            </w:tcBorders>
            <w:shd w:val="clear" w:color="auto" w:fill="auto"/>
            <w:vAlign w:val="center"/>
            <w:hideMark/>
          </w:tcPr>
          <w:p w14:paraId="05B1E7A4"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0.47%</w:t>
            </w:r>
          </w:p>
        </w:tc>
      </w:tr>
      <w:tr w:rsidR="006C14F6" w:rsidRPr="003113EA" w14:paraId="78DDBB24"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8999D8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lastRenderedPageBreak/>
              <w:t>3</w:t>
            </w:r>
          </w:p>
        </w:tc>
        <w:tc>
          <w:tcPr>
            <w:tcW w:w="7542" w:type="dxa"/>
            <w:tcBorders>
              <w:top w:val="nil"/>
              <w:left w:val="nil"/>
              <w:bottom w:val="single" w:sz="4" w:space="0" w:color="auto"/>
              <w:right w:val="single" w:sz="4" w:space="0" w:color="auto"/>
            </w:tcBorders>
            <w:shd w:val="clear" w:color="auto" w:fill="auto"/>
            <w:vAlign w:val="center"/>
            <w:hideMark/>
          </w:tcPr>
          <w:p w14:paraId="283E0F4D"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Toll Free online counseling and referral services (Toll Free counselors-4)</w:t>
            </w:r>
          </w:p>
        </w:tc>
        <w:tc>
          <w:tcPr>
            <w:tcW w:w="1915" w:type="dxa"/>
            <w:tcBorders>
              <w:top w:val="nil"/>
              <w:left w:val="nil"/>
              <w:bottom w:val="single" w:sz="4" w:space="0" w:color="auto"/>
              <w:right w:val="single" w:sz="4" w:space="0" w:color="auto"/>
            </w:tcBorders>
            <w:shd w:val="clear" w:color="auto" w:fill="auto"/>
            <w:vAlign w:val="center"/>
            <w:hideMark/>
          </w:tcPr>
          <w:p w14:paraId="6FDDD81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28,532</w:t>
            </w:r>
          </w:p>
        </w:tc>
        <w:tc>
          <w:tcPr>
            <w:tcW w:w="917" w:type="dxa"/>
            <w:tcBorders>
              <w:top w:val="nil"/>
              <w:left w:val="nil"/>
              <w:bottom w:val="single" w:sz="4" w:space="0" w:color="auto"/>
              <w:right w:val="single" w:sz="4" w:space="0" w:color="auto"/>
            </w:tcBorders>
            <w:shd w:val="clear" w:color="auto" w:fill="auto"/>
            <w:vAlign w:val="center"/>
            <w:hideMark/>
          </w:tcPr>
          <w:p w14:paraId="2CB7990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0.23%</w:t>
            </w:r>
          </w:p>
        </w:tc>
        <w:tc>
          <w:tcPr>
            <w:tcW w:w="1177" w:type="dxa"/>
            <w:tcBorders>
              <w:top w:val="nil"/>
              <w:left w:val="nil"/>
              <w:bottom w:val="single" w:sz="4" w:space="0" w:color="auto"/>
              <w:right w:val="single" w:sz="4" w:space="0" w:color="auto"/>
            </w:tcBorders>
            <w:shd w:val="clear" w:color="auto" w:fill="auto"/>
            <w:vAlign w:val="center"/>
            <w:hideMark/>
          </w:tcPr>
          <w:p w14:paraId="1A76CE68"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5AD920FB"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28,532</w:t>
            </w:r>
          </w:p>
        </w:tc>
        <w:tc>
          <w:tcPr>
            <w:tcW w:w="963" w:type="dxa"/>
            <w:tcBorders>
              <w:top w:val="nil"/>
              <w:left w:val="nil"/>
              <w:bottom w:val="single" w:sz="4" w:space="0" w:color="auto"/>
              <w:right w:val="single" w:sz="4" w:space="0" w:color="auto"/>
            </w:tcBorders>
            <w:shd w:val="clear" w:color="auto" w:fill="auto"/>
            <w:vAlign w:val="center"/>
            <w:hideMark/>
          </w:tcPr>
          <w:p w14:paraId="56D315A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F3552D"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28,532</w:t>
            </w:r>
          </w:p>
        </w:tc>
        <w:tc>
          <w:tcPr>
            <w:tcW w:w="923" w:type="dxa"/>
            <w:tcBorders>
              <w:top w:val="nil"/>
              <w:left w:val="nil"/>
              <w:bottom w:val="single" w:sz="4" w:space="0" w:color="auto"/>
              <w:right w:val="single" w:sz="4" w:space="0" w:color="auto"/>
            </w:tcBorders>
            <w:shd w:val="clear" w:color="auto" w:fill="auto"/>
            <w:vAlign w:val="center"/>
            <w:hideMark/>
          </w:tcPr>
          <w:p w14:paraId="64179C8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0.24%</w:t>
            </w:r>
          </w:p>
        </w:tc>
      </w:tr>
      <w:tr w:rsidR="006C14F6" w:rsidRPr="003113EA" w14:paraId="39B844DC"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D613FD3"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46DA632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Psychosocial Services (Regional Psychosocial counselors (5) and assistant counselors (5) for 5 regional offices)</w:t>
            </w:r>
          </w:p>
        </w:tc>
        <w:tc>
          <w:tcPr>
            <w:tcW w:w="1915" w:type="dxa"/>
            <w:tcBorders>
              <w:top w:val="nil"/>
              <w:left w:val="nil"/>
              <w:bottom w:val="single" w:sz="4" w:space="0" w:color="auto"/>
              <w:right w:val="single" w:sz="4" w:space="0" w:color="auto"/>
            </w:tcBorders>
            <w:shd w:val="clear" w:color="auto" w:fill="auto"/>
            <w:vAlign w:val="center"/>
            <w:hideMark/>
          </w:tcPr>
          <w:p w14:paraId="4319F554"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110,000</w:t>
            </w:r>
          </w:p>
        </w:tc>
        <w:tc>
          <w:tcPr>
            <w:tcW w:w="917" w:type="dxa"/>
            <w:tcBorders>
              <w:top w:val="nil"/>
              <w:left w:val="nil"/>
              <w:bottom w:val="single" w:sz="4" w:space="0" w:color="auto"/>
              <w:right w:val="single" w:sz="4" w:space="0" w:color="auto"/>
            </w:tcBorders>
            <w:shd w:val="clear" w:color="auto" w:fill="auto"/>
            <w:vAlign w:val="center"/>
            <w:hideMark/>
          </w:tcPr>
          <w:p w14:paraId="55E57985"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0.88%</w:t>
            </w:r>
          </w:p>
        </w:tc>
        <w:tc>
          <w:tcPr>
            <w:tcW w:w="1177" w:type="dxa"/>
            <w:tcBorders>
              <w:top w:val="nil"/>
              <w:left w:val="nil"/>
              <w:bottom w:val="single" w:sz="4" w:space="0" w:color="auto"/>
              <w:right w:val="single" w:sz="4" w:space="0" w:color="auto"/>
            </w:tcBorders>
            <w:shd w:val="clear" w:color="auto" w:fill="auto"/>
            <w:vAlign w:val="center"/>
            <w:hideMark/>
          </w:tcPr>
          <w:p w14:paraId="5F73D3A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798AD267"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110,000</w:t>
            </w:r>
          </w:p>
        </w:tc>
        <w:tc>
          <w:tcPr>
            <w:tcW w:w="963" w:type="dxa"/>
            <w:tcBorders>
              <w:top w:val="nil"/>
              <w:left w:val="nil"/>
              <w:bottom w:val="single" w:sz="4" w:space="0" w:color="auto"/>
              <w:right w:val="single" w:sz="4" w:space="0" w:color="auto"/>
            </w:tcBorders>
            <w:shd w:val="clear" w:color="auto" w:fill="auto"/>
            <w:vAlign w:val="center"/>
            <w:hideMark/>
          </w:tcPr>
          <w:p w14:paraId="5DB6B07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49D2A49"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110,000</w:t>
            </w:r>
          </w:p>
        </w:tc>
        <w:tc>
          <w:tcPr>
            <w:tcW w:w="923" w:type="dxa"/>
            <w:tcBorders>
              <w:top w:val="nil"/>
              <w:left w:val="nil"/>
              <w:bottom w:val="single" w:sz="4" w:space="0" w:color="auto"/>
              <w:right w:val="single" w:sz="4" w:space="0" w:color="auto"/>
            </w:tcBorders>
            <w:shd w:val="clear" w:color="auto" w:fill="auto"/>
            <w:vAlign w:val="center"/>
            <w:hideMark/>
          </w:tcPr>
          <w:p w14:paraId="5C6C16E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0.92%</w:t>
            </w:r>
          </w:p>
        </w:tc>
      </w:tr>
      <w:tr w:rsidR="006C14F6" w:rsidRPr="003113EA" w14:paraId="504E674E"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D367FB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5ECD85F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Career Counseling Services (Career Counselors -5 and assistants counselors-10 for five Regional Offices)</w:t>
            </w:r>
          </w:p>
        </w:tc>
        <w:tc>
          <w:tcPr>
            <w:tcW w:w="1915" w:type="dxa"/>
            <w:tcBorders>
              <w:top w:val="nil"/>
              <w:left w:val="nil"/>
              <w:bottom w:val="single" w:sz="4" w:space="0" w:color="auto"/>
              <w:right w:val="single" w:sz="4" w:space="0" w:color="auto"/>
            </w:tcBorders>
            <w:shd w:val="clear" w:color="auto" w:fill="auto"/>
            <w:vAlign w:val="center"/>
            <w:hideMark/>
          </w:tcPr>
          <w:p w14:paraId="0D9A08EA"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451,220</w:t>
            </w:r>
          </w:p>
        </w:tc>
        <w:tc>
          <w:tcPr>
            <w:tcW w:w="917" w:type="dxa"/>
            <w:tcBorders>
              <w:top w:val="nil"/>
              <w:left w:val="nil"/>
              <w:bottom w:val="single" w:sz="4" w:space="0" w:color="auto"/>
              <w:right w:val="single" w:sz="4" w:space="0" w:color="auto"/>
            </w:tcBorders>
            <w:shd w:val="clear" w:color="auto" w:fill="auto"/>
            <w:vAlign w:val="center"/>
            <w:hideMark/>
          </w:tcPr>
          <w:p w14:paraId="6954AFD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3.60%</w:t>
            </w:r>
          </w:p>
        </w:tc>
        <w:tc>
          <w:tcPr>
            <w:tcW w:w="1177" w:type="dxa"/>
            <w:tcBorders>
              <w:top w:val="nil"/>
              <w:left w:val="nil"/>
              <w:bottom w:val="single" w:sz="4" w:space="0" w:color="auto"/>
              <w:right w:val="single" w:sz="4" w:space="0" w:color="auto"/>
            </w:tcBorders>
            <w:shd w:val="clear" w:color="auto" w:fill="auto"/>
            <w:vAlign w:val="center"/>
            <w:hideMark/>
          </w:tcPr>
          <w:p w14:paraId="70EB3CE5"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0B8C235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451,220</w:t>
            </w:r>
          </w:p>
        </w:tc>
        <w:tc>
          <w:tcPr>
            <w:tcW w:w="963" w:type="dxa"/>
            <w:tcBorders>
              <w:top w:val="nil"/>
              <w:left w:val="nil"/>
              <w:bottom w:val="single" w:sz="4" w:space="0" w:color="auto"/>
              <w:right w:val="single" w:sz="4" w:space="0" w:color="auto"/>
            </w:tcBorders>
            <w:shd w:val="clear" w:color="auto" w:fill="auto"/>
            <w:vAlign w:val="center"/>
            <w:hideMark/>
          </w:tcPr>
          <w:p w14:paraId="1A33932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7A0DF89"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451,220</w:t>
            </w:r>
          </w:p>
        </w:tc>
        <w:tc>
          <w:tcPr>
            <w:tcW w:w="923" w:type="dxa"/>
            <w:tcBorders>
              <w:top w:val="nil"/>
              <w:left w:val="nil"/>
              <w:bottom w:val="single" w:sz="4" w:space="0" w:color="auto"/>
              <w:right w:val="single" w:sz="4" w:space="0" w:color="auto"/>
            </w:tcBorders>
            <w:shd w:val="clear" w:color="auto" w:fill="auto"/>
            <w:vAlign w:val="center"/>
            <w:hideMark/>
          </w:tcPr>
          <w:p w14:paraId="01AC7698"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3.75%</w:t>
            </w:r>
          </w:p>
        </w:tc>
      </w:tr>
      <w:tr w:rsidR="006C14F6" w:rsidRPr="003113EA" w14:paraId="713AAEE5"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ADDFD1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61445A50"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Rehabilitation design, implementation and coordination of training services (National Officer-1)</w:t>
            </w:r>
          </w:p>
        </w:tc>
        <w:tc>
          <w:tcPr>
            <w:tcW w:w="1915" w:type="dxa"/>
            <w:tcBorders>
              <w:top w:val="nil"/>
              <w:left w:val="nil"/>
              <w:bottom w:val="single" w:sz="4" w:space="0" w:color="auto"/>
              <w:right w:val="single" w:sz="4" w:space="0" w:color="auto"/>
            </w:tcBorders>
            <w:shd w:val="clear" w:color="auto" w:fill="auto"/>
            <w:vAlign w:val="center"/>
            <w:hideMark/>
          </w:tcPr>
          <w:p w14:paraId="164996F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73,083</w:t>
            </w:r>
          </w:p>
        </w:tc>
        <w:tc>
          <w:tcPr>
            <w:tcW w:w="917" w:type="dxa"/>
            <w:tcBorders>
              <w:top w:val="nil"/>
              <w:left w:val="nil"/>
              <w:bottom w:val="single" w:sz="4" w:space="0" w:color="auto"/>
              <w:right w:val="single" w:sz="4" w:space="0" w:color="auto"/>
            </w:tcBorders>
            <w:shd w:val="clear" w:color="auto" w:fill="auto"/>
            <w:vAlign w:val="center"/>
            <w:hideMark/>
          </w:tcPr>
          <w:p w14:paraId="20323F47"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0.58%</w:t>
            </w:r>
          </w:p>
        </w:tc>
        <w:tc>
          <w:tcPr>
            <w:tcW w:w="1177" w:type="dxa"/>
            <w:tcBorders>
              <w:top w:val="nil"/>
              <w:left w:val="nil"/>
              <w:bottom w:val="single" w:sz="4" w:space="0" w:color="auto"/>
              <w:right w:val="single" w:sz="4" w:space="0" w:color="auto"/>
            </w:tcBorders>
            <w:shd w:val="clear" w:color="auto" w:fill="auto"/>
            <w:vAlign w:val="center"/>
            <w:hideMark/>
          </w:tcPr>
          <w:p w14:paraId="42B258B1"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4F01463B"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73,083</w:t>
            </w:r>
          </w:p>
        </w:tc>
        <w:tc>
          <w:tcPr>
            <w:tcW w:w="963" w:type="dxa"/>
            <w:tcBorders>
              <w:top w:val="nil"/>
              <w:left w:val="nil"/>
              <w:bottom w:val="single" w:sz="4" w:space="0" w:color="auto"/>
              <w:right w:val="single" w:sz="4" w:space="0" w:color="auto"/>
            </w:tcBorders>
            <w:shd w:val="clear" w:color="auto" w:fill="auto"/>
            <w:vAlign w:val="center"/>
            <w:hideMark/>
          </w:tcPr>
          <w:p w14:paraId="7EF02DA8"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F147945"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73,083</w:t>
            </w:r>
          </w:p>
        </w:tc>
        <w:tc>
          <w:tcPr>
            <w:tcW w:w="923" w:type="dxa"/>
            <w:tcBorders>
              <w:top w:val="nil"/>
              <w:left w:val="nil"/>
              <w:bottom w:val="single" w:sz="4" w:space="0" w:color="auto"/>
              <w:right w:val="single" w:sz="4" w:space="0" w:color="auto"/>
            </w:tcBorders>
            <w:shd w:val="clear" w:color="auto" w:fill="auto"/>
            <w:vAlign w:val="center"/>
            <w:hideMark/>
          </w:tcPr>
          <w:p w14:paraId="2F7D33D8"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0.61%</w:t>
            </w:r>
          </w:p>
        </w:tc>
      </w:tr>
      <w:tr w:rsidR="006C14F6" w:rsidRPr="003113EA" w14:paraId="75283545"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35487B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0CE67EED"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Education referral, coordination and monitoring services (Education referral and coordination support officers) </w:t>
            </w:r>
          </w:p>
        </w:tc>
        <w:tc>
          <w:tcPr>
            <w:tcW w:w="1915" w:type="dxa"/>
            <w:tcBorders>
              <w:top w:val="nil"/>
              <w:left w:val="nil"/>
              <w:bottom w:val="single" w:sz="4" w:space="0" w:color="auto"/>
              <w:right w:val="single" w:sz="4" w:space="0" w:color="auto"/>
            </w:tcBorders>
            <w:shd w:val="clear" w:color="auto" w:fill="auto"/>
            <w:vAlign w:val="center"/>
            <w:hideMark/>
          </w:tcPr>
          <w:p w14:paraId="019FF3B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119,500</w:t>
            </w:r>
          </w:p>
        </w:tc>
        <w:tc>
          <w:tcPr>
            <w:tcW w:w="917" w:type="dxa"/>
            <w:tcBorders>
              <w:top w:val="nil"/>
              <w:left w:val="nil"/>
              <w:bottom w:val="single" w:sz="4" w:space="0" w:color="auto"/>
              <w:right w:val="single" w:sz="4" w:space="0" w:color="auto"/>
            </w:tcBorders>
            <w:shd w:val="clear" w:color="auto" w:fill="auto"/>
            <w:vAlign w:val="center"/>
            <w:hideMark/>
          </w:tcPr>
          <w:p w14:paraId="70545324"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0.95%</w:t>
            </w:r>
          </w:p>
        </w:tc>
        <w:tc>
          <w:tcPr>
            <w:tcW w:w="1177" w:type="dxa"/>
            <w:tcBorders>
              <w:top w:val="nil"/>
              <w:left w:val="nil"/>
              <w:bottom w:val="single" w:sz="4" w:space="0" w:color="auto"/>
              <w:right w:val="single" w:sz="4" w:space="0" w:color="auto"/>
            </w:tcBorders>
            <w:shd w:val="clear" w:color="auto" w:fill="auto"/>
            <w:vAlign w:val="center"/>
            <w:hideMark/>
          </w:tcPr>
          <w:p w14:paraId="6E0692B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0D37B82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119,500</w:t>
            </w:r>
          </w:p>
        </w:tc>
        <w:tc>
          <w:tcPr>
            <w:tcW w:w="963" w:type="dxa"/>
            <w:tcBorders>
              <w:top w:val="nil"/>
              <w:left w:val="nil"/>
              <w:bottom w:val="single" w:sz="4" w:space="0" w:color="auto"/>
              <w:right w:val="single" w:sz="4" w:space="0" w:color="auto"/>
            </w:tcBorders>
            <w:shd w:val="clear" w:color="auto" w:fill="auto"/>
            <w:vAlign w:val="center"/>
            <w:hideMark/>
          </w:tcPr>
          <w:p w14:paraId="2DA1384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F95397"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119,500</w:t>
            </w:r>
          </w:p>
        </w:tc>
        <w:tc>
          <w:tcPr>
            <w:tcW w:w="923" w:type="dxa"/>
            <w:tcBorders>
              <w:top w:val="nil"/>
              <w:left w:val="nil"/>
              <w:bottom w:val="single" w:sz="4" w:space="0" w:color="auto"/>
              <w:right w:val="single" w:sz="4" w:space="0" w:color="auto"/>
            </w:tcBorders>
            <w:shd w:val="clear" w:color="auto" w:fill="auto"/>
            <w:vAlign w:val="center"/>
            <w:hideMark/>
          </w:tcPr>
          <w:p w14:paraId="2408802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0.99%</w:t>
            </w:r>
          </w:p>
        </w:tc>
      </w:tr>
      <w:tr w:rsidR="006C14F6" w:rsidRPr="003113EA" w14:paraId="3D01DFBD"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2909C9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20D51951"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Microenterprise services (Microenterprises coordinator for 5 Regional Offices)</w:t>
            </w:r>
          </w:p>
        </w:tc>
        <w:tc>
          <w:tcPr>
            <w:tcW w:w="1915" w:type="dxa"/>
            <w:tcBorders>
              <w:top w:val="nil"/>
              <w:left w:val="nil"/>
              <w:bottom w:val="single" w:sz="4" w:space="0" w:color="auto"/>
              <w:right w:val="single" w:sz="4" w:space="0" w:color="auto"/>
            </w:tcBorders>
            <w:shd w:val="clear" w:color="auto" w:fill="auto"/>
            <w:vAlign w:val="center"/>
            <w:hideMark/>
          </w:tcPr>
          <w:p w14:paraId="2A38E99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80,491</w:t>
            </w:r>
          </w:p>
        </w:tc>
        <w:tc>
          <w:tcPr>
            <w:tcW w:w="917" w:type="dxa"/>
            <w:tcBorders>
              <w:top w:val="nil"/>
              <w:left w:val="nil"/>
              <w:bottom w:val="single" w:sz="4" w:space="0" w:color="auto"/>
              <w:right w:val="single" w:sz="4" w:space="0" w:color="auto"/>
            </w:tcBorders>
            <w:shd w:val="clear" w:color="auto" w:fill="auto"/>
            <w:vAlign w:val="center"/>
            <w:hideMark/>
          </w:tcPr>
          <w:p w14:paraId="6465B299"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0.64%</w:t>
            </w:r>
          </w:p>
        </w:tc>
        <w:tc>
          <w:tcPr>
            <w:tcW w:w="1177" w:type="dxa"/>
            <w:tcBorders>
              <w:top w:val="nil"/>
              <w:left w:val="nil"/>
              <w:bottom w:val="single" w:sz="4" w:space="0" w:color="auto"/>
              <w:right w:val="single" w:sz="4" w:space="0" w:color="auto"/>
            </w:tcBorders>
            <w:shd w:val="clear" w:color="auto" w:fill="auto"/>
            <w:vAlign w:val="center"/>
            <w:hideMark/>
          </w:tcPr>
          <w:p w14:paraId="2C817DA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7EBD98D3"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80,491</w:t>
            </w:r>
          </w:p>
        </w:tc>
        <w:tc>
          <w:tcPr>
            <w:tcW w:w="963" w:type="dxa"/>
            <w:tcBorders>
              <w:top w:val="nil"/>
              <w:left w:val="nil"/>
              <w:bottom w:val="single" w:sz="4" w:space="0" w:color="auto"/>
              <w:right w:val="single" w:sz="4" w:space="0" w:color="auto"/>
            </w:tcBorders>
            <w:shd w:val="clear" w:color="auto" w:fill="auto"/>
            <w:vAlign w:val="center"/>
            <w:hideMark/>
          </w:tcPr>
          <w:p w14:paraId="4A9CC2D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EBE3C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80,491</w:t>
            </w:r>
          </w:p>
        </w:tc>
        <w:tc>
          <w:tcPr>
            <w:tcW w:w="923" w:type="dxa"/>
            <w:tcBorders>
              <w:top w:val="nil"/>
              <w:left w:val="nil"/>
              <w:bottom w:val="single" w:sz="4" w:space="0" w:color="auto"/>
              <w:right w:val="single" w:sz="4" w:space="0" w:color="auto"/>
            </w:tcBorders>
            <w:shd w:val="clear" w:color="auto" w:fill="auto"/>
            <w:vAlign w:val="center"/>
            <w:hideMark/>
          </w:tcPr>
          <w:p w14:paraId="468D7D04"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0.67%</w:t>
            </w:r>
          </w:p>
        </w:tc>
      </w:tr>
      <w:tr w:rsidR="006C14F6" w:rsidRPr="003113EA" w14:paraId="0CD68EFA"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BF134F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3F89E9B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Gender support and coordination (UNFPA- National Officer-1)</w:t>
            </w:r>
          </w:p>
        </w:tc>
        <w:tc>
          <w:tcPr>
            <w:tcW w:w="1915" w:type="dxa"/>
            <w:tcBorders>
              <w:top w:val="nil"/>
              <w:left w:val="nil"/>
              <w:bottom w:val="single" w:sz="4" w:space="0" w:color="auto"/>
              <w:right w:val="single" w:sz="4" w:space="0" w:color="auto"/>
            </w:tcBorders>
            <w:shd w:val="clear" w:color="auto" w:fill="auto"/>
            <w:vAlign w:val="center"/>
            <w:hideMark/>
          </w:tcPr>
          <w:p w14:paraId="28D88A6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26,200</w:t>
            </w:r>
          </w:p>
        </w:tc>
        <w:tc>
          <w:tcPr>
            <w:tcW w:w="917" w:type="dxa"/>
            <w:tcBorders>
              <w:top w:val="nil"/>
              <w:left w:val="nil"/>
              <w:bottom w:val="single" w:sz="4" w:space="0" w:color="auto"/>
              <w:right w:val="single" w:sz="4" w:space="0" w:color="auto"/>
            </w:tcBorders>
            <w:shd w:val="clear" w:color="auto" w:fill="auto"/>
            <w:vAlign w:val="center"/>
            <w:hideMark/>
          </w:tcPr>
          <w:p w14:paraId="164207E8"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0.21%</w:t>
            </w:r>
          </w:p>
        </w:tc>
        <w:tc>
          <w:tcPr>
            <w:tcW w:w="1177" w:type="dxa"/>
            <w:tcBorders>
              <w:top w:val="nil"/>
              <w:left w:val="nil"/>
              <w:bottom w:val="single" w:sz="4" w:space="0" w:color="auto"/>
              <w:right w:val="single" w:sz="4" w:space="0" w:color="auto"/>
            </w:tcBorders>
            <w:shd w:val="clear" w:color="auto" w:fill="auto"/>
            <w:vAlign w:val="center"/>
            <w:hideMark/>
          </w:tcPr>
          <w:p w14:paraId="7E360022"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78B002A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26,200</w:t>
            </w:r>
          </w:p>
        </w:tc>
        <w:tc>
          <w:tcPr>
            <w:tcW w:w="963" w:type="dxa"/>
            <w:tcBorders>
              <w:top w:val="nil"/>
              <w:left w:val="nil"/>
              <w:bottom w:val="single" w:sz="4" w:space="0" w:color="auto"/>
              <w:right w:val="single" w:sz="4" w:space="0" w:color="auto"/>
            </w:tcBorders>
            <w:shd w:val="clear" w:color="auto" w:fill="auto"/>
            <w:vAlign w:val="center"/>
            <w:hideMark/>
          </w:tcPr>
          <w:p w14:paraId="1363771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9DCC23C"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26,200</w:t>
            </w:r>
          </w:p>
        </w:tc>
        <w:tc>
          <w:tcPr>
            <w:tcW w:w="923" w:type="dxa"/>
            <w:tcBorders>
              <w:top w:val="nil"/>
              <w:left w:val="nil"/>
              <w:bottom w:val="single" w:sz="4" w:space="0" w:color="auto"/>
              <w:right w:val="single" w:sz="4" w:space="0" w:color="auto"/>
            </w:tcBorders>
            <w:shd w:val="clear" w:color="auto" w:fill="auto"/>
            <w:vAlign w:val="center"/>
            <w:hideMark/>
          </w:tcPr>
          <w:p w14:paraId="551474E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0.22%</w:t>
            </w:r>
          </w:p>
        </w:tc>
      </w:tr>
      <w:tr w:rsidR="006C14F6" w:rsidRPr="003113EA" w14:paraId="195BE558"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E37CF5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5E1ABB4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Employment referral and linkages (*National Officer-1 and *International Consultant-1)</w:t>
            </w:r>
          </w:p>
        </w:tc>
        <w:tc>
          <w:tcPr>
            <w:tcW w:w="1915" w:type="dxa"/>
            <w:tcBorders>
              <w:top w:val="nil"/>
              <w:left w:val="nil"/>
              <w:bottom w:val="single" w:sz="4" w:space="0" w:color="auto"/>
              <w:right w:val="single" w:sz="4" w:space="0" w:color="auto"/>
            </w:tcBorders>
            <w:shd w:val="clear" w:color="auto" w:fill="auto"/>
            <w:vAlign w:val="center"/>
            <w:hideMark/>
          </w:tcPr>
          <w:p w14:paraId="428FC892"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168,546</w:t>
            </w:r>
          </w:p>
        </w:tc>
        <w:tc>
          <w:tcPr>
            <w:tcW w:w="917" w:type="dxa"/>
            <w:tcBorders>
              <w:top w:val="nil"/>
              <w:left w:val="nil"/>
              <w:bottom w:val="single" w:sz="4" w:space="0" w:color="auto"/>
              <w:right w:val="single" w:sz="4" w:space="0" w:color="auto"/>
            </w:tcBorders>
            <w:shd w:val="clear" w:color="auto" w:fill="auto"/>
            <w:vAlign w:val="center"/>
            <w:hideMark/>
          </w:tcPr>
          <w:p w14:paraId="210E55D8"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1.34%</w:t>
            </w:r>
          </w:p>
        </w:tc>
        <w:tc>
          <w:tcPr>
            <w:tcW w:w="1177" w:type="dxa"/>
            <w:tcBorders>
              <w:top w:val="nil"/>
              <w:left w:val="nil"/>
              <w:bottom w:val="single" w:sz="4" w:space="0" w:color="auto"/>
              <w:right w:val="single" w:sz="4" w:space="0" w:color="auto"/>
            </w:tcBorders>
            <w:shd w:val="clear" w:color="auto" w:fill="auto"/>
            <w:vAlign w:val="center"/>
            <w:hideMark/>
          </w:tcPr>
          <w:p w14:paraId="3DFFF9E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2023539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168,546</w:t>
            </w:r>
          </w:p>
        </w:tc>
        <w:tc>
          <w:tcPr>
            <w:tcW w:w="963" w:type="dxa"/>
            <w:tcBorders>
              <w:top w:val="nil"/>
              <w:left w:val="nil"/>
              <w:bottom w:val="single" w:sz="4" w:space="0" w:color="auto"/>
              <w:right w:val="single" w:sz="4" w:space="0" w:color="auto"/>
            </w:tcBorders>
            <w:shd w:val="clear" w:color="auto" w:fill="auto"/>
            <w:vAlign w:val="center"/>
            <w:hideMark/>
          </w:tcPr>
          <w:p w14:paraId="06496EB8"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A292D2F"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168,546</w:t>
            </w:r>
          </w:p>
        </w:tc>
        <w:tc>
          <w:tcPr>
            <w:tcW w:w="923" w:type="dxa"/>
            <w:tcBorders>
              <w:top w:val="nil"/>
              <w:left w:val="nil"/>
              <w:bottom w:val="single" w:sz="4" w:space="0" w:color="auto"/>
              <w:right w:val="single" w:sz="4" w:space="0" w:color="auto"/>
            </w:tcBorders>
            <w:shd w:val="clear" w:color="auto" w:fill="auto"/>
            <w:vAlign w:val="center"/>
            <w:hideMark/>
          </w:tcPr>
          <w:p w14:paraId="28B74196"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1.40%</w:t>
            </w:r>
          </w:p>
        </w:tc>
      </w:tr>
      <w:tr w:rsidR="006C14F6" w:rsidRPr="003113EA" w14:paraId="2BF8DC12"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57A303D"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lastRenderedPageBreak/>
              <w:t>2</w:t>
            </w:r>
          </w:p>
        </w:tc>
        <w:tc>
          <w:tcPr>
            <w:tcW w:w="7542" w:type="dxa"/>
            <w:tcBorders>
              <w:top w:val="nil"/>
              <w:left w:val="nil"/>
              <w:bottom w:val="single" w:sz="4" w:space="0" w:color="auto"/>
              <w:right w:val="single" w:sz="4" w:space="0" w:color="auto"/>
            </w:tcBorders>
            <w:shd w:val="clear" w:color="auto" w:fill="auto"/>
            <w:vAlign w:val="center"/>
            <w:hideMark/>
          </w:tcPr>
          <w:p w14:paraId="6B999B1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Outreach, business counseling and Mentoring including Programme Monitoring</w:t>
            </w:r>
          </w:p>
        </w:tc>
        <w:tc>
          <w:tcPr>
            <w:tcW w:w="1915" w:type="dxa"/>
            <w:tcBorders>
              <w:top w:val="nil"/>
              <w:left w:val="nil"/>
              <w:bottom w:val="single" w:sz="4" w:space="0" w:color="auto"/>
              <w:right w:val="single" w:sz="4" w:space="0" w:color="auto"/>
            </w:tcBorders>
            <w:shd w:val="clear" w:color="auto" w:fill="auto"/>
            <w:vAlign w:val="center"/>
            <w:hideMark/>
          </w:tcPr>
          <w:p w14:paraId="7EE039E4"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438,266</w:t>
            </w:r>
          </w:p>
        </w:tc>
        <w:tc>
          <w:tcPr>
            <w:tcW w:w="917" w:type="dxa"/>
            <w:tcBorders>
              <w:top w:val="nil"/>
              <w:left w:val="nil"/>
              <w:bottom w:val="single" w:sz="4" w:space="0" w:color="auto"/>
              <w:right w:val="single" w:sz="4" w:space="0" w:color="auto"/>
            </w:tcBorders>
            <w:shd w:val="clear" w:color="auto" w:fill="auto"/>
            <w:vAlign w:val="center"/>
            <w:hideMark/>
          </w:tcPr>
          <w:p w14:paraId="7B19CCFF"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3.49%</w:t>
            </w:r>
          </w:p>
        </w:tc>
        <w:tc>
          <w:tcPr>
            <w:tcW w:w="1177" w:type="dxa"/>
            <w:tcBorders>
              <w:top w:val="nil"/>
              <w:left w:val="nil"/>
              <w:bottom w:val="single" w:sz="4" w:space="0" w:color="auto"/>
              <w:right w:val="single" w:sz="4" w:space="0" w:color="auto"/>
            </w:tcBorders>
            <w:shd w:val="clear" w:color="auto" w:fill="auto"/>
            <w:vAlign w:val="center"/>
            <w:hideMark/>
          </w:tcPr>
          <w:p w14:paraId="27DA4581"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7BA92ADE"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438,266</w:t>
            </w:r>
          </w:p>
        </w:tc>
        <w:tc>
          <w:tcPr>
            <w:tcW w:w="963" w:type="dxa"/>
            <w:tcBorders>
              <w:top w:val="nil"/>
              <w:left w:val="nil"/>
              <w:bottom w:val="single" w:sz="4" w:space="0" w:color="auto"/>
              <w:right w:val="single" w:sz="4" w:space="0" w:color="auto"/>
            </w:tcBorders>
            <w:shd w:val="clear" w:color="auto" w:fill="auto"/>
            <w:vAlign w:val="center"/>
            <w:hideMark/>
          </w:tcPr>
          <w:p w14:paraId="23DE9204"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C947799"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438,266</w:t>
            </w:r>
          </w:p>
        </w:tc>
        <w:tc>
          <w:tcPr>
            <w:tcW w:w="923" w:type="dxa"/>
            <w:tcBorders>
              <w:top w:val="nil"/>
              <w:left w:val="nil"/>
              <w:bottom w:val="single" w:sz="4" w:space="0" w:color="auto"/>
              <w:right w:val="single" w:sz="4" w:space="0" w:color="auto"/>
            </w:tcBorders>
            <w:shd w:val="clear" w:color="auto" w:fill="auto"/>
            <w:vAlign w:val="center"/>
            <w:hideMark/>
          </w:tcPr>
          <w:p w14:paraId="56BD01BF"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3.65%</w:t>
            </w:r>
          </w:p>
        </w:tc>
      </w:tr>
      <w:tr w:rsidR="006C14F6" w:rsidRPr="003113EA" w14:paraId="3321551B"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1F76A9"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2317D5E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Capacity Development of Vocational Training Service Providers (ILO Direct programme staff salary)</w:t>
            </w:r>
          </w:p>
        </w:tc>
        <w:tc>
          <w:tcPr>
            <w:tcW w:w="1915" w:type="dxa"/>
            <w:tcBorders>
              <w:top w:val="nil"/>
              <w:left w:val="nil"/>
              <w:bottom w:val="single" w:sz="4" w:space="0" w:color="auto"/>
              <w:right w:val="single" w:sz="4" w:space="0" w:color="auto"/>
            </w:tcBorders>
            <w:shd w:val="clear" w:color="auto" w:fill="auto"/>
            <w:vAlign w:val="center"/>
            <w:hideMark/>
          </w:tcPr>
          <w:p w14:paraId="64752A8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113,383</w:t>
            </w:r>
          </w:p>
        </w:tc>
        <w:tc>
          <w:tcPr>
            <w:tcW w:w="917" w:type="dxa"/>
            <w:tcBorders>
              <w:top w:val="nil"/>
              <w:left w:val="nil"/>
              <w:bottom w:val="single" w:sz="4" w:space="0" w:color="auto"/>
              <w:right w:val="single" w:sz="4" w:space="0" w:color="auto"/>
            </w:tcBorders>
            <w:shd w:val="clear" w:color="auto" w:fill="auto"/>
            <w:vAlign w:val="center"/>
            <w:hideMark/>
          </w:tcPr>
          <w:p w14:paraId="7DEE28D4"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0.90%</w:t>
            </w:r>
          </w:p>
        </w:tc>
        <w:tc>
          <w:tcPr>
            <w:tcW w:w="1177" w:type="dxa"/>
            <w:tcBorders>
              <w:top w:val="nil"/>
              <w:left w:val="nil"/>
              <w:bottom w:val="single" w:sz="4" w:space="0" w:color="auto"/>
              <w:right w:val="single" w:sz="4" w:space="0" w:color="auto"/>
            </w:tcBorders>
            <w:shd w:val="clear" w:color="auto" w:fill="auto"/>
            <w:vAlign w:val="center"/>
            <w:hideMark/>
          </w:tcPr>
          <w:p w14:paraId="34A14367"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29A39FF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113,383</w:t>
            </w:r>
          </w:p>
        </w:tc>
        <w:tc>
          <w:tcPr>
            <w:tcW w:w="963" w:type="dxa"/>
            <w:tcBorders>
              <w:top w:val="nil"/>
              <w:left w:val="nil"/>
              <w:bottom w:val="single" w:sz="4" w:space="0" w:color="auto"/>
              <w:right w:val="single" w:sz="4" w:space="0" w:color="auto"/>
            </w:tcBorders>
            <w:shd w:val="clear" w:color="auto" w:fill="auto"/>
            <w:vAlign w:val="center"/>
            <w:hideMark/>
          </w:tcPr>
          <w:p w14:paraId="053C562B"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6C27321"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113,383</w:t>
            </w:r>
          </w:p>
        </w:tc>
        <w:tc>
          <w:tcPr>
            <w:tcW w:w="923" w:type="dxa"/>
            <w:tcBorders>
              <w:top w:val="nil"/>
              <w:left w:val="nil"/>
              <w:bottom w:val="single" w:sz="4" w:space="0" w:color="auto"/>
              <w:right w:val="single" w:sz="4" w:space="0" w:color="auto"/>
            </w:tcBorders>
            <w:shd w:val="clear" w:color="auto" w:fill="auto"/>
            <w:vAlign w:val="center"/>
            <w:hideMark/>
          </w:tcPr>
          <w:p w14:paraId="1CC7AC15"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0.94%</w:t>
            </w:r>
          </w:p>
        </w:tc>
      </w:tr>
      <w:tr w:rsidR="006C14F6" w:rsidRPr="003113EA" w14:paraId="35022CD3" w14:textId="77777777" w:rsidTr="006C14F6">
        <w:trPr>
          <w:trHeight w:val="99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0CABE7C"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2</w:t>
            </w:r>
          </w:p>
        </w:tc>
        <w:tc>
          <w:tcPr>
            <w:tcW w:w="7542" w:type="dxa"/>
            <w:tcBorders>
              <w:top w:val="nil"/>
              <w:left w:val="nil"/>
              <w:bottom w:val="single" w:sz="4" w:space="0" w:color="auto"/>
              <w:right w:val="single" w:sz="4" w:space="0" w:color="auto"/>
            </w:tcBorders>
            <w:shd w:val="clear" w:color="auto" w:fill="auto"/>
            <w:vAlign w:val="center"/>
            <w:hideMark/>
          </w:tcPr>
          <w:p w14:paraId="1CFA4E1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Regional office operational and security cost</w:t>
            </w:r>
          </w:p>
        </w:tc>
        <w:tc>
          <w:tcPr>
            <w:tcW w:w="1915" w:type="dxa"/>
            <w:tcBorders>
              <w:top w:val="nil"/>
              <w:left w:val="nil"/>
              <w:bottom w:val="single" w:sz="4" w:space="0" w:color="auto"/>
              <w:right w:val="single" w:sz="4" w:space="0" w:color="auto"/>
            </w:tcBorders>
            <w:shd w:val="clear" w:color="auto" w:fill="auto"/>
            <w:vAlign w:val="center"/>
            <w:hideMark/>
          </w:tcPr>
          <w:p w14:paraId="4991FD2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591,183</w:t>
            </w:r>
          </w:p>
        </w:tc>
        <w:tc>
          <w:tcPr>
            <w:tcW w:w="917" w:type="dxa"/>
            <w:tcBorders>
              <w:top w:val="nil"/>
              <w:left w:val="nil"/>
              <w:bottom w:val="single" w:sz="4" w:space="0" w:color="auto"/>
              <w:right w:val="single" w:sz="4" w:space="0" w:color="auto"/>
            </w:tcBorders>
            <w:shd w:val="clear" w:color="auto" w:fill="auto"/>
            <w:vAlign w:val="center"/>
            <w:hideMark/>
          </w:tcPr>
          <w:p w14:paraId="00A8A6BF"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4.71%</w:t>
            </w:r>
          </w:p>
        </w:tc>
        <w:tc>
          <w:tcPr>
            <w:tcW w:w="1177" w:type="dxa"/>
            <w:tcBorders>
              <w:top w:val="nil"/>
              <w:left w:val="nil"/>
              <w:bottom w:val="single" w:sz="4" w:space="0" w:color="auto"/>
              <w:right w:val="single" w:sz="4" w:space="0" w:color="auto"/>
            </w:tcBorders>
            <w:shd w:val="clear" w:color="auto" w:fill="auto"/>
            <w:vAlign w:val="center"/>
            <w:hideMark/>
          </w:tcPr>
          <w:p w14:paraId="61119300"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vAlign w:val="center"/>
            <w:hideMark/>
          </w:tcPr>
          <w:p w14:paraId="7A4147E1"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591,183</w:t>
            </w:r>
          </w:p>
        </w:tc>
        <w:tc>
          <w:tcPr>
            <w:tcW w:w="963" w:type="dxa"/>
            <w:tcBorders>
              <w:top w:val="nil"/>
              <w:left w:val="nil"/>
              <w:bottom w:val="single" w:sz="4" w:space="0" w:color="auto"/>
              <w:right w:val="single" w:sz="4" w:space="0" w:color="auto"/>
            </w:tcBorders>
            <w:shd w:val="clear" w:color="auto" w:fill="auto"/>
            <w:vAlign w:val="center"/>
            <w:hideMark/>
          </w:tcPr>
          <w:p w14:paraId="356F8916"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2EADEB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591,183</w:t>
            </w:r>
          </w:p>
        </w:tc>
        <w:tc>
          <w:tcPr>
            <w:tcW w:w="923" w:type="dxa"/>
            <w:tcBorders>
              <w:top w:val="nil"/>
              <w:left w:val="nil"/>
              <w:bottom w:val="single" w:sz="4" w:space="0" w:color="auto"/>
              <w:right w:val="single" w:sz="4" w:space="0" w:color="auto"/>
            </w:tcBorders>
            <w:shd w:val="clear" w:color="auto" w:fill="auto"/>
            <w:vAlign w:val="center"/>
            <w:hideMark/>
          </w:tcPr>
          <w:p w14:paraId="576E1400"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4.92%</w:t>
            </w:r>
          </w:p>
        </w:tc>
      </w:tr>
      <w:tr w:rsidR="006C14F6" w:rsidRPr="003113EA" w14:paraId="4C59B7A1" w14:textId="77777777" w:rsidTr="006C14F6">
        <w:trPr>
          <w:trHeight w:val="300"/>
        </w:trPr>
        <w:tc>
          <w:tcPr>
            <w:tcW w:w="7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E78EA"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Sub-total of Additional Direct Benefits and Services</w:t>
            </w:r>
          </w:p>
        </w:tc>
        <w:tc>
          <w:tcPr>
            <w:tcW w:w="1915" w:type="dxa"/>
            <w:tcBorders>
              <w:top w:val="nil"/>
              <w:left w:val="nil"/>
              <w:bottom w:val="single" w:sz="4" w:space="0" w:color="auto"/>
              <w:right w:val="single" w:sz="4" w:space="0" w:color="auto"/>
            </w:tcBorders>
            <w:shd w:val="clear" w:color="auto" w:fill="auto"/>
            <w:noWrap/>
            <w:vAlign w:val="center"/>
            <w:hideMark/>
          </w:tcPr>
          <w:p w14:paraId="21F16FD1"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3,621,817</w:t>
            </w:r>
          </w:p>
        </w:tc>
        <w:tc>
          <w:tcPr>
            <w:tcW w:w="917" w:type="dxa"/>
            <w:tcBorders>
              <w:top w:val="nil"/>
              <w:left w:val="nil"/>
              <w:bottom w:val="single" w:sz="4" w:space="0" w:color="auto"/>
              <w:right w:val="single" w:sz="4" w:space="0" w:color="auto"/>
            </w:tcBorders>
            <w:shd w:val="clear" w:color="auto" w:fill="auto"/>
            <w:vAlign w:val="center"/>
            <w:hideMark/>
          </w:tcPr>
          <w:p w14:paraId="465B715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28.87%</w:t>
            </w:r>
          </w:p>
        </w:tc>
        <w:tc>
          <w:tcPr>
            <w:tcW w:w="1177" w:type="dxa"/>
            <w:tcBorders>
              <w:top w:val="nil"/>
              <w:left w:val="nil"/>
              <w:bottom w:val="single" w:sz="4" w:space="0" w:color="auto"/>
              <w:right w:val="single" w:sz="4" w:space="0" w:color="auto"/>
            </w:tcBorders>
            <w:shd w:val="clear" w:color="auto" w:fill="auto"/>
            <w:noWrap/>
            <w:vAlign w:val="center"/>
            <w:hideMark/>
          </w:tcPr>
          <w:p w14:paraId="3D186E06"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 </w:t>
            </w:r>
          </w:p>
        </w:tc>
        <w:tc>
          <w:tcPr>
            <w:tcW w:w="1131" w:type="dxa"/>
            <w:tcBorders>
              <w:top w:val="nil"/>
              <w:left w:val="nil"/>
              <w:bottom w:val="single" w:sz="4" w:space="0" w:color="auto"/>
              <w:right w:val="single" w:sz="4" w:space="0" w:color="auto"/>
            </w:tcBorders>
            <w:shd w:val="clear" w:color="auto" w:fill="auto"/>
            <w:noWrap/>
            <w:vAlign w:val="center"/>
            <w:hideMark/>
          </w:tcPr>
          <w:p w14:paraId="6D41BE55"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3,621,817</w:t>
            </w:r>
          </w:p>
        </w:tc>
        <w:tc>
          <w:tcPr>
            <w:tcW w:w="963" w:type="dxa"/>
            <w:tcBorders>
              <w:top w:val="nil"/>
              <w:left w:val="nil"/>
              <w:bottom w:val="single" w:sz="4" w:space="0" w:color="auto"/>
              <w:right w:val="single" w:sz="4" w:space="0" w:color="auto"/>
            </w:tcBorders>
            <w:shd w:val="clear" w:color="auto" w:fill="auto"/>
            <w:vAlign w:val="center"/>
            <w:hideMark/>
          </w:tcPr>
          <w:p w14:paraId="0E2FC12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1111BD"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3,621,818</w:t>
            </w:r>
          </w:p>
        </w:tc>
        <w:tc>
          <w:tcPr>
            <w:tcW w:w="923" w:type="dxa"/>
            <w:tcBorders>
              <w:top w:val="nil"/>
              <w:left w:val="nil"/>
              <w:bottom w:val="single" w:sz="4" w:space="0" w:color="auto"/>
              <w:right w:val="single" w:sz="4" w:space="0" w:color="auto"/>
            </w:tcBorders>
            <w:shd w:val="clear" w:color="auto" w:fill="auto"/>
            <w:vAlign w:val="center"/>
            <w:hideMark/>
          </w:tcPr>
          <w:p w14:paraId="7EE25812" w14:textId="77777777" w:rsidR="006C14F6" w:rsidRPr="003113EA" w:rsidRDefault="006C14F6" w:rsidP="006C14F6">
            <w:pPr>
              <w:jc w:val="right"/>
              <w:rPr>
                <w:rFonts w:ascii="Calibri" w:hAnsi="Calibri" w:cs="Calibri"/>
                <w:i/>
                <w:iCs/>
                <w:color w:val="000000"/>
                <w:sz w:val="20"/>
                <w:szCs w:val="20"/>
                <w:lang w:val="en-US"/>
              </w:rPr>
            </w:pPr>
            <w:r w:rsidRPr="003113EA">
              <w:rPr>
                <w:rFonts w:ascii="Calibri" w:hAnsi="Calibri" w:cs="Calibri"/>
                <w:i/>
                <w:iCs/>
                <w:color w:val="000000"/>
                <w:sz w:val="20"/>
                <w:szCs w:val="20"/>
                <w:lang w:val="en-US"/>
              </w:rPr>
              <w:t>30.13%</w:t>
            </w:r>
          </w:p>
        </w:tc>
      </w:tr>
      <w:tr w:rsidR="006C14F6" w:rsidRPr="003113EA" w14:paraId="77A8464C" w14:textId="77777777" w:rsidTr="006C14F6">
        <w:trPr>
          <w:trHeight w:val="300"/>
        </w:trPr>
        <w:tc>
          <w:tcPr>
            <w:tcW w:w="343" w:type="dxa"/>
            <w:tcBorders>
              <w:top w:val="nil"/>
              <w:left w:val="single" w:sz="4" w:space="0" w:color="auto"/>
              <w:bottom w:val="single" w:sz="4" w:space="0" w:color="auto"/>
              <w:right w:val="single" w:sz="4" w:space="0" w:color="auto"/>
            </w:tcBorders>
            <w:shd w:val="clear" w:color="000000" w:fill="99CCFF"/>
            <w:noWrap/>
            <w:vAlign w:val="center"/>
            <w:hideMark/>
          </w:tcPr>
          <w:p w14:paraId="28E67687"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3</w:t>
            </w:r>
          </w:p>
        </w:tc>
        <w:tc>
          <w:tcPr>
            <w:tcW w:w="7542" w:type="dxa"/>
            <w:tcBorders>
              <w:top w:val="nil"/>
              <w:left w:val="nil"/>
              <w:bottom w:val="single" w:sz="4" w:space="0" w:color="auto"/>
              <w:right w:val="single" w:sz="4" w:space="0" w:color="auto"/>
            </w:tcBorders>
            <w:shd w:val="clear" w:color="000000" w:fill="99CCFF"/>
            <w:noWrap/>
            <w:vAlign w:val="center"/>
            <w:hideMark/>
          </w:tcPr>
          <w:p w14:paraId="2C5DE71F"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 xml:space="preserve"> Indirect services (Programme Management, FO coordination, M&amp;E and database services) </w:t>
            </w:r>
          </w:p>
        </w:tc>
        <w:tc>
          <w:tcPr>
            <w:tcW w:w="1915" w:type="dxa"/>
            <w:tcBorders>
              <w:top w:val="nil"/>
              <w:left w:val="nil"/>
              <w:bottom w:val="single" w:sz="4" w:space="0" w:color="auto"/>
              <w:right w:val="single" w:sz="4" w:space="0" w:color="auto"/>
            </w:tcBorders>
            <w:shd w:val="clear" w:color="000000" w:fill="99CCFF"/>
            <w:noWrap/>
            <w:vAlign w:val="center"/>
            <w:hideMark/>
          </w:tcPr>
          <w:p w14:paraId="29784E14" w14:textId="77777777" w:rsidR="006C14F6" w:rsidRPr="003113EA" w:rsidRDefault="006C14F6" w:rsidP="006C14F6">
            <w:pPr>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17" w:type="dxa"/>
            <w:tcBorders>
              <w:top w:val="nil"/>
              <w:left w:val="nil"/>
              <w:bottom w:val="single" w:sz="4" w:space="0" w:color="auto"/>
              <w:right w:val="single" w:sz="4" w:space="0" w:color="auto"/>
            </w:tcBorders>
            <w:shd w:val="clear" w:color="000000" w:fill="99CCFF"/>
            <w:noWrap/>
            <w:vAlign w:val="center"/>
            <w:hideMark/>
          </w:tcPr>
          <w:p w14:paraId="0758297D" w14:textId="77777777" w:rsidR="006C14F6" w:rsidRPr="003113EA" w:rsidRDefault="006C14F6" w:rsidP="006C14F6">
            <w:pPr>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1177" w:type="dxa"/>
            <w:tcBorders>
              <w:top w:val="nil"/>
              <w:left w:val="nil"/>
              <w:bottom w:val="single" w:sz="4" w:space="0" w:color="auto"/>
              <w:right w:val="single" w:sz="4" w:space="0" w:color="auto"/>
            </w:tcBorders>
            <w:shd w:val="clear" w:color="000000" w:fill="99CCFF"/>
            <w:noWrap/>
            <w:vAlign w:val="center"/>
            <w:hideMark/>
          </w:tcPr>
          <w:p w14:paraId="5C3C5A2E" w14:textId="77777777" w:rsidR="006C14F6" w:rsidRPr="003113EA" w:rsidRDefault="006C14F6" w:rsidP="006C14F6">
            <w:pPr>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1131" w:type="dxa"/>
            <w:tcBorders>
              <w:top w:val="nil"/>
              <w:left w:val="nil"/>
              <w:bottom w:val="single" w:sz="4" w:space="0" w:color="auto"/>
              <w:right w:val="single" w:sz="4" w:space="0" w:color="auto"/>
            </w:tcBorders>
            <w:shd w:val="clear" w:color="000000" w:fill="99CCFF"/>
            <w:noWrap/>
            <w:vAlign w:val="center"/>
            <w:hideMark/>
          </w:tcPr>
          <w:p w14:paraId="125C7247" w14:textId="77777777" w:rsidR="006C14F6" w:rsidRPr="003113EA" w:rsidRDefault="006C14F6" w:rsidP="006C14F6">
            <w:pPr>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63" w:type="dxa"/>
            <w:tcBorders>
              <w:top w:val="nil"/>
              <w:left w:val="nil"/>
              <w:bottom w:val="single" w:sz="4" w:space="0" w:color="auto"/>
              <w:right w:val="single" w:sz="4" w:space="0" w:color="auto"/>
            </w:tcBorders>
            <w:shd w:val="clear" w:color="000000" w:fill="99CCFF"/>
            <w:noWrap/>
            <w:vAlign w:val="center"/>
            <w:hideMark/>
          </w:tcPr>
          <w:p w14:paraId="7F98BFEB"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1620" w:type="dxa"/>
            <w:tcBorders>
              <w:top w:val="nil"/>
              <w:left w:val="nil"/>
              <w:bottom w:val="single" w:sz="4" w:space="0" w:color="auto"/>
              <w:right w:val="single" w:sz="4" w:space="0" w:color="auto"/>
            </w:tcBorders>
            <w:shd w:val="clear" w:color="000000" w:fill="99CCFF"/>
            <w:noWrap/>
            <w:vAlign w:val="center"/>
            <w:hideMark/>
          </w:tcPr>
          <w:p w14:paraId="22078811"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c>
          <w:tcPr>
            <w:tcW w:w="923" w:type="dxa"/>
            <w:tcBorders>
              <w:top w:val="nil"/>
              <w:left w:val="nil"/>
              <w:bottom w:val="single" w:sz="4" w:space="0" w:color="auto"/>
              <w:right w:val="single" w:sz="4" w:space="0" w:color="auto"/>
            </w:tcBorders>
            <w:shd w:val="clear" w:color="000000" w:fill="99CCFF"/>
            <w:noWrap/>
            <w:vAlign w:val="center"/>
            <w:hideMark/>
          </w:tcPr>
          <w:p w14:paraId="15FBCB05" w14:textId="77777777" w:rsidR="006C14F6" w:rsidRPr="003113EA" w:rsidRDefault="006C14F6" w:rsidP="006C14F6">
            <w:pPr>
              <w:jc w:val="right"/>
              <w:rPr>
                <w:rFonts w:ascii="Calibri" w:hAnsi="Calibri" w:cs="Calibri"/>
                <w:b/>
                <w:bCs/>
                <w:color w:val="FF0000"/>
                <w:sz w:val="20"/>
                <w:szCs w:val="20"/>
                <w:lang w:val="en-US"/>
              </w:rPr>
            </w:pPr>
            <w:r w:rsidRPr="003113EA">
              <w:rPr>
                <w:rFonts w:ascii="Calibri" w:hAnsi="Calibri" w:cs="Calibri"/>
                <w:b/>
                <w:bCs/>
                <w:color w:val="FF0000"/>
                <w:sz w:val="20"/>
                <w:szCs w:val="20"/>
                <w:lang w:val="en-US"/>
              </w:rPr>
              <w:t> </w:t>
            </w:r>
          </w:p>
        </w:tc>
      </w:tr>
      <w:tr w:rsidR="006C14F6" w:rsidRPr="003113EA" w14:paraId="553619F1" w14:textId="77777777" w:rsidTr="006C14F6">
        <w:trPr>
          <w:trHeight w:val="51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9DB664"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766AD9A4"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Programme Management and support staff cost</w:t>
            </w:r>
          </w:p>
        </w:tc>
        <w:tc>
          <w:tcPr>
            <w:tcW w:w="1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C551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1,969,470</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14:paraId="4BC89457"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15.70%</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FB0BC"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5C020D"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1,969,470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3AC779D3"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969F9"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1,969,470</w:t>
            </w:r>
          </w:p>
        </w:tc>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14:paraId="45833286"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16.38%</w:t>
            </w:r>
          </w:p>
        </w:tc>
      </w:tr>
      <w:tr w:rsidR="006C14F6" w:rsidRPr="003113EA" w14:paraId="33E13381" w14:textId="77777777" w:rsidTr="006C14F6">
        <w:trPr>
          <w:trHeight w:val="3060"/>
        </w:trPr>
        <w:tc>
          <w:tcPr>
            <w:tcW w:w="343" w:type="dxa"/>
            <w:vMerge/>
            <w:tcBorders>
              <w:top w:val="nil"/>
              <w:left w:val="single" w:sz="4" w:space="0" w:color="auto"/>
              <w:bottom w:val="single" w:sz="4" w:space="0" w:color="auto"/>
              <w:right w:val="single" w:sz="4" w:space="0" w:color="auto"/>
            </w:tcBorders>
            <w:vAlign w:val="center"/>
            <w:hideMark/>
          </w:tcPr>
          <w:p w14:paraId="178E1589" w14:textId="77777777" w:rsidR="006C14F6" w:rsidRPr="003113EA" w:rsidRDefault="006C14F6" w:rsidP="006C14F6">
            <w:pPr>
              <w:rPr>
                <w:rFonts w:ascii="Calibri" w:hAnsi="Calibri" w:cs="Calibri"/>
                <w:color w:val="000000"/>
                <w:sz w:val="20"/>
                <w:szCs w:val="20"/>
                <w:lang w:val="en-US"/>
              </w:rPr>
            </w:pPr>
          </w:p>
        </w:tc>
        <w:tc>
          <w:tcPr>
            <w:tcW w:w="7542" w:type="dxa"/>
            <w:tcBorders>
              <w:top w:val="nil"/>
              <w:left w:val="nil"/>
              <w:bottom w:val="single" w:sz="4" w:space="0" w:color="auto"/>
              <w:right w:val="single" w:sz="4" w:space="0" w:color="auto"/>
            </w:tcBorders>
            <w:shd w:val="clear" w:color="auto" w:fill="auto"/>
            <w:vAlign w:val="center"/>
            <w:hideMark/>
          </w:tcPr>
          <w:p w14:paraId="40DCDA39"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 xml:space="preserve">( UNDP: International Programme Manager-1, </w:t>
            </w:r>
            <w:r w:rsidRPr="003113EA">
              <w:rPr>
                <w:rFonts w:ascii="Calibri" w:hAnsi="Calibri" w:cs="Calibri"/>
                <w:b/>
                <w:bCs/>
                <w:i/>
                <w:iCs/>
                <w:color w:val="000000"/>
                <w:sz w:val="20"/>
                <w:szCs w:val="20"/>
                <w:lang w:val="en-US"/>
              </w:rPr>
              <w:t>*</w:t>
            </w:r>
            <w:r w:rsidRPr="003113EA">
              <w:rPr>
                <w:rFonts w:ascii="Calibri" w:hAnsi="Calibri" w:cs="Calibri"/>
                <w:i/>
                <w:iCs/>
                <w:color w:val="000000"/>
                <w:sz w:val="20"/>
                <w:szCs w:val="20"/>
                <w:lang w:val="en-US"/>
              </w:rPr>
              <w:t>Senior Rehabilitation Advisor-1, Regional office Coordinator, *Communication officer-1, Admin/Finance Officer-1, Programme Officer/ Associate ,Procurement Associate-1, Logistic Associate-1, Drivers for CO-2 and Five Regional Offices-9 and Office Assistent-1/ UNICEF- international staff-1 on cost sharing basis, National Programme officer-1, finance assistant-1/ ILO- Programme Assistent-1, Driver-1 and short term international consultant-1 /UNFPA- National Officer-1,</w:t>
            </w:r>
          </w:p>
        </w:tc>
        <w:tc>
          <w:tcPr>
            <w:tcW w:w="1915" w:type="dxa"/>
            <w:vMerge/>
            <w:tcBorders>
              <w:top w:val="nil"/>
              <w:left w:val="single" w:sz="4" w:space="0" w:color="auto"/>
              <w:bottom w:val="single" w:sz="4" w:space="0" w:color="auto"/>
              <w:right w:val="single" w:sz="4" w:space="0" w:color="auto"/>
            </w:tcBorders>
            <w:vAlign w:val="center"/>
            <w:hideMark/>
          </w:tcPr>
          <w:p w14:paraId="73AC920C" w14:textId="77777777" w:rsidR="006C14F6" w:rsidRPr="003113EA" w:rsidRDefault="006C14F6" w:rsidP="006C14F6">
            <w:pPr>
              <w:rPr>
                <w:rFonts w:ascii="Calibri" w:hAnsi="Calibri" w:cs="Calibri"/>
                <w:color w:val="000000"/>
                <w:sz w:val="20"/>
                <w:szCs w:val="20"/>
                <w:lang w:val="en-US"/>
              </w:rPr>
            </w:pPr>
          </w:p>
        </w:tc>
        <w:tc>
          <w:tcPr>
            <w:tcW w:w="917" w:type="dxa"/>
            <w:vMerge/>
            <w:tcBorders>
              <w:top w:val="nil"/>
              <w:left w:val="single" w:sz="4" w:space="0" w:color="auto"/>
              <w:bottom w:val="single" w:sz="4" w:space="0" w:color="auto"/>
              <w:right w:val="single" w:sz="4" w:space="0" w:color="auto"/>
            </w:tcBorders>
            <w:vAlign w:val="center"/>
            <w:hideMark/>
          </w:tcPr>
          <w:p w14:paraId="3E6BD24B" w14:textId="77777777" w:rsidR="006C14F6" w:rsidRPr="003113EA" w:rsidRDefault="006C14F6" w:rsidP="006C14F6">
            <w:pPr>
              <w:rPr>
                <w:rFonts w:ascii="Calibri" w:hAnsi="Calibri" w:cs="Calibri"/>
                <w:i/>
                <w:iCs/>
                <w:color w:val="000000"/>
                <w:sz w:val="20"/>
                <w:szCs w:val="20"/>
                <w:lang w:val="en-US"/>
              </w:rPr>
            </w:pPr>
          </w:p>
        </w:tc>
        <w:tc>
          <w:tcPr>
            <w:tcW w:w="1177" w:type="dxa"/>
            <w:vMerge/>
            <w:tcBorders>
              <w:top w:val="nil"/>
              <w:left w:val="single" w:sz="4" w:space="0" w:color="auto"/>
              <w:bottom w:val="single" w:sz="4" w:space="0" w:color="auto"/>
              <w:right w:val="single" w:sz="4" w:space="0" w:color="auto"/>
            </w:tcBorders>
            <w:vAlign w:val="center"/>
            <w:hideMark/>
          </w:tcPr>
          <w:p w14:paraId="496F4B5B" w14:textId="77777777" w:rsidR="006C14F6" w:rsidRPr="003113EA" w:rsidRDefault="006C14F6" w:rsidP="006C14F6">
            <w:pPr>
              <w:rPr>
                <w:rFonts w:ascii="Calibri" w:hAnsi="Calibri" w:cs="Calibri"/>
                <w:color w:val="000000"/>
                <w:sz w:val="20"/>
                <w:szCs w:val="20"/>
                <w:lang w:val="en-US"/>
              </w:rPr>
            </w:pPr>
          </w:p>
        </w:tc>
        <w:tc>
          <w:tcPr>
            <w:tcW w:w="1131" w:type="dxa"/>
            <w:vMerge/>
            <w:tcBorders>
              <w:top w:val="nil"/>
              <w:left w:val="single" w:sz="4" w:space="0" w:color="auto"/>
              <w:bottom w:val="single" w:sz="4" w:space="0" w:color="auto"/>
              <w:right w:val="single" w:sz="4" w:space="0" w:color="auto"/>
            </w:tcBorders>
            <w:vAlign w:val="center"/>
            <w:hideMark/>
          </w:tcPr>
          <w:p w14:paraId="4DAAC02B" w14:textId="77777777" w:rsidR="006C14F6" w:rsidRPr="003113EA" w:rsidRDefault="006C14F6" w:rsidP="006C14F6">
            <w:pPr>
              <w:rPr>
                <w:rFonts w:ascii="Calibri" w:hAnsi="Calibri" w:cs="Calibri"/>
                <w:color w:val="000000"/>
                <w:sz w:val="20"/>
                <w:szCs w:val="20"/>
                <w:lang w:val="en-US"/>
              </w:rPr>
            </w:pPr>
          </w:p>
        </w:tc>
        <w:tc>
          <w:tcPr>
            <w:tcW w:w="963" w:type="dxa"/>
            <w:vMerge/>
            <w:tcBorders>
              <w:top w:val="nil"/>
              <w:left w:val="single" w:sz="4" w:space="0" w:color="auto"/>
              <w:bottom w:val="single" w:sz="4" w:space="0" w:color="auto"/>
              <w:right w:val="single" w:sz="4" w:space="0" w:color="auto"/>
            </w:tcBorders>
            <w:vAlign w:val="center"/>
            <w:hideMark/>
          </w:tcPr>
          <w:p w14:paraId="2A9B10DB" w14:textId="77777777" w:rsidR="006C14F6" w:rsidRPr="003113EA" w:rsidRDefault="006C14F6" w:rsidP="006C14F6">
            <w:pPr>
              <w:rPr>
                <w:rFonts w:ascii="Calibri" w:hAnsi="Calibri" w:cs="Calibri"/>
                <w:i/>
                <w:iCs/>
                <w:color w:val="000000"/>
                <w:sz w:val="20"/>
                <w:szCs w:val="20"/>
                <w:lang w:val="en-US"/>
              </w:rPr>
            </w:pPr>
          </w:p>
        </w:tc>
        <w:tc>
          <w:tcPr>
            <w:tcW w:w="1620" w:type="dxa"/>
            <w:vMerge/>
            <w:tcBorders>
              <w:top w:val="nil"/>
              <w:left w:val="single" w:sz="4" w:space="0" w:color="auto"/>
              <w:bottom w:val="single" w:sz="4" w:space="0" w:color="000000"/>
              <w:right w:val="single" w:sz="4" w:space="0" w:color="auto"/>
            </w:tcBorders>
            <w:vAlign w:val="center"/>
            <w:hideMark/>
          </w:tcPr>
          <w:p w14:paraId="19E2763B" w14:textId="77777777" w:rsidR="006C14F6" w:rsidRPr="003113EA" w:rsidRDefault="006C14F6" w:rsidP="006C14F6">
            <w:pPr>
              <w:rPr>
                <w:rFonts w:ascii="Calibri" w:hAnsi="Calibri" w:cs="Calibri"/>
                <w:color w:val="000000"/>
                <w:sz w:val="20"/>
                <w:szCs w:val="20"/>
                <w:lang w:val="en-US"/>
              </w:rPr>
            </w:pPr>
          </w:p>
        </w:tc>
        <w:tc>
          <w:tcPr>
            <w:tcW w:w="923" w:type="dxa"/>
            <w:vMerge/>
            <w:tcBorders>
              <w:top w:val="nil"/>
              <w:left w:val="single" w:sz="4" w:space="0" w:color="auto"/>
              <w:bottom w:val="single" w:sz="4" w:space="0" w:color="auto"/>
              <w:right w:val="single" w:sz="4" w:space="0" w:color="auto"/>
            </w:tcBorders>
            <w:vAlign w:val="center"/>
            <w:hideMark/>
          </w:tcPr>
          <w:p w14:paraId="1FDE72A7" w14:textId="77777777" w:rsidR="006C14F6" w:rsidRPr="003113EA" w:rsidRDefault="006C14F6" w:rsidP="006C14F6">
            <w:pPr>
              <w:rPr>
                <w:rFonts w:ascii="Calibri" w:hAnsi="Calibri" w:cs="Calibri"/>
                <w:i/>
                <w:iCs/>
                <w:color w:val="000000"/>
                <w:sz w:val="20"/>
                <w:szCs w:val="20"/>
                <w:lang w:val="en-US"/>
              </w:rPr>
            </w:pPr>
          </w:p>
        </w:tc>
      </w:tr>
      <w:tr w:rsidR="006C14F6" w:rsidRPr="003113EA" w14:paraId="2D015AA5" w14:textId="77777777" w:rsidTr="006C14F6">
        <w:trPr>
          <w:trHeight w:val="30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81B69A"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48470A83"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IT and database:</w:t>
            </w:r>
          </w:p>
        </w:tc>
        <w:tc>
          <w:tcPr>
            <w:tcW w:w="1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B11E3"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110,986</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14:paraId="6E9A2A8C"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0.88%</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5F2B15"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47F98"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110,986</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309FE88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92625"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110,986</w:t>
            </w:r>
          </w:p>
        </w:tc>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14:paraId="51290067"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16.02%</w:t>
            </w:r>
          </w:p>
        </w:tc>
      </w:tr>
      <w:tr w:rsidR="006C14F6" w:rsidRPr="003113EA" w14:paraId="7F6EF737" w14:textId="77777777" w:rsidTr="006C14F6">
        <w:trPr>
          <w:trHeight w:val="510"/>
        </w:trPr>
        <w:tc>
          <w:tcPr>
            <w:tcW w:w="343" w:type="dxa"/>
            <w:vMerge/>
            <w:tcBorders>
              <w:top w:val="nil"/>
              <w:left w:val="single" w:sz="4" w:space="0" w:color="auto"/>
              <w:bottom w:val="single" w:sz="4" w:space="0" w:color="auto"/>
              <w:right w:val="single" w:sz="4" w:space="0" w:color="auto"/>
            </w:tcBorders>
            <w:vAlign w:val="center"/>
            <w:hideMark/>
          </w:tcPr>
          <w:p w14:paraId="27FF281C" w14:textId="77777777" w:rsidR="006C14F6" w:rsidRPr="003113EA" w:rsidRDefault="006C14F6" w:rsidP="006C14F6">
            <w:pPr>
              <w:rPr>
                <w:rFonts w:ascii="Calibri" w:hAnsi="Calibri" w:cs="Calibri"/>
                <w:color w:val="000000"/>
                <w:sz w:val="20"/>
                <w:szCs w:val="20"/>
                <w:lang w:val="en-US"/>
              </w:rPr>
            </w:pPr>
          </w:p>
        </w:tc>
        <w:tc>
          <w:tcPr>
            <w:tcW w:w="7542" w:type="dxa"/>
            <w:tcBorders>
              <w:top w:val="nil"/>
              <w:left w:val="nil"/>
              <w:bottom w:val="single" w:sz="4" w:space="0" w:color="auto"/>
              <w:right w:val="single" w:sz="4" w:space="0" w:color="auto"/>
            </w:tcBorders>
            <w:shd w:val="clear" w:color="auto" w:fill="auto"/>
            <w:vAlign w:val="center"/>
            <w:hideMark/>
          </w:tcPr>
          <w:p w14:paraId="02B28E8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UNDP- *Data Base officer -1, associate-1 /UNICEF- Database associate -1,</w:t>
            </w:r>
          </w:p>
        </w:tc>
        <w:tc>
          <w:tcPr>
            <w:tcW w:w="1915" w:type="dxa"/>
            <w:vMerge/>
            <w:tcBorders>
              <w:top w:val="nil"/>
              <w:left w:val="single" w:sz="4" w:space="0" w:color="auto"/>
              <w:bottom w:val="single" w:sz="4" w:space="0" w:color="auto"/>
              <w:right w:val="single" w:sz="4" w:space="0" w:color="auto"/>
            </w:tcBorders>
            <w:vAlign w:val="center"/>
            <w:hideMark/>
          </w:tcPr>
          <w:p w14:paraId="17133235" w14:textId="77777777" w:rsidR="006C14F6" w:rsidRPr="003113EA" w:rsidRDefault="006C14F6" w:rsidP="006C14F6">
            <w:pPr>
              <w:rPr>
                <w:rFonts w:ascii="Calibri" w:hAnsi="Calibri" w:cs="Calibri"/>
                <w:color w:val="000000"/>
                <w:sz w:val="20"/>
                <w:szCs w:val="20"/>
                <w:lang w:val="en-US"/>
              </w:rPr>
            </w:pPr>
          </w:p>
        </w:tc>
        <w:tc>
          <w:tcPr>
            <w:tcW w:w="917" w:type="dxa"/>
            <w:vMerge/>
            <w:tcBorders>
              <w:top w:val="nil"/>
              <w:left w:val="single" w:sz="4" w:space="0" w:color="auto"/>
              <w:bottom w:val="single" w:sz="4" w:space="0" w:color="auto"/>
              <w:right w:val="single" w:sz="4" w:space="0" w:color="auto"/>
            </w:tcBorders>
            <w:vAlign w:val="center"/>
            <w:hideMark/>
          </w:tcPr>
          <w:p w14:paraId="5679C836" w14:textId="77777777" w:rsidR="006C14F6" w:rsidRPr="003113EA" w:rsidRDefault="006C14F6" w:rsidP="006C14F6">
            <w:pPr>
              <w:rPr>
                <w:rFonts w:ascii="Calibri" w:hAnsi="Calibri" w:cs="Calibri"/>
                <w:i/>
                <w:iCs/>
                <w:color w:val="000000"/>
                <w:sz w:val="20"/>
                <w:szCs w:val="20"/>
                <w:lang w:val="en-US"/>
              </w:rPr>
            </w:pPr>
          </w:p>
        </w:tc>
        <w:tc>
          <w:tcPr>
            <w:tcW w:w="1177" w:type="dxa"/>
            <w:vMerge/>
            <w:tcBorders>
              <w:top w:val="nil"/>
              <w:left w:val="single" w:sz="4" w:space="0" w:color="auto"/>
              <w:bottom w:val="single" w:sz="4" w:space="0" w:color="auto"/>
              <w:right w:val="single" w:sz="4" w:space="0" w:color="auto"/>
            </w:tcBorders>
            <w:vAlign w:val="center"/>
            <w:hideMark/>
          </w:tcPr>
          <w:p w14:paraId="1902AFDD" w14:textId="77777777" w:rsidR="006C14F6" w:rsidRPr="003113EA" w:rsidRDefault="006C14F6" w:rsidP="006C14F6">
            <w:pPr>
              <w:rPr>
                <w:rFonts w:ascii="Calibri" w:hAnsi="Calibri" w:cs="Calibri"/>
                <w:color w:val="000000"/>
                <w:sz w:val="20"/>
                <w:szCs w:val="20"/>
                <w:lang w:val="en-US"/>
              </w:rPr>
            </w:pPr>
          </w:p>
        </w:tc>
        <w:tc>
          <w:tcPr>
            <w:tcW w:w="1131" w:type="dxa"/>
            <w:vMerge/>
            <w:tcBorders>
              <w:top w:val="nil"/>
              <w:left w:val="single" w:sz="4" w:space="0" w:color="auto"/>
              <w:bottom w:val="single" w:sz="4" w:space="0" w:color="auto"/>
              <w:right w:val="single" w:sz="4" w:space="0" w:color="auto"/>
            </w:tcBorders>
            <w:vAlign w:val="center"/>
            <w:hideMark/>
          </w:tcPr>
          <w:p w14:paraId="17216883" w14:textId="77777777" w:rsidR="006C14F6" w:rsidRPr="003113EA" w:rsidRDefault="006C14F6" w:rsidP="006C14F6">
            <w:pPr>
              <w:rPr>
                <w:rFonts w:ascii="Calibri" w:hAnsi="Calibri" w:cs="Calibri"/>
                <w:color w:val="000000"/>
                <w:sz w:val="20"/>
                <w:szCs w:val="20"/>
                <w:lang w:val="en-US"/>
              </w:rPr>
            </w:pPr>
          </w:p>
        </w:tc>
        <w:tc>
          <w:tcPr>
            <w:tcW w:w="963" w:type="dxa"/>
            <w:vMerge/>
            <w:tcBorders>
              <w:top w:val="nil"/>
              <w:left w:val="single" w:sz="4" w:space="0" w:color="auto"/>
              <w:bottom w:val="single" w:sz="4" w:space="0" w:color="auto"/>
              <w:right w:val="single" w:sz="4" w:space="0" w:color="auto"/>
            </w:tcBorders>
            <w:vAlign w:val="center"/>
            <w:hideMark/>
          </w:tcPr>
          <w:p w14:paraId="77B3180B" w14:textId="77777777" w:rsidR="006C14F6" w:rsidRPr="003113EA" w:rsidRDefault="006C14F6" w:rsidP="006C14F6">
            <w:pPr>
              <w:rPr>
                <w:rFonts w:ascii="Calibri" w:hAnsi="Calibri" w:cs="Calibri"/>
                <w:i/>
                <w:iCs/>
                <w:color w:val="000000"/>
                <w:sz w:val="20"/>
                <w:szCs w:val="20"/>
                <w:lang w:val="en-US"/>
              </w:rPr>
            </w:pPr>
          </w:p>
        </w:tc>
        <w:tc>
          <w:tcPr>
            <w:tcW w:w="1620" w:type="dxa"/>
            <w:vMerge/>
            <w:tcBorders>
              <w:top w:val="nil"/>
              <w:left w:val="single" w:sz="4" w:space="0" w:color="auto"/>
              <w:bottom w:val="single" w:sz="4" w:space="0" w:color="000000"/>
              <w:right w:val="single" w:sz="4" w:space="0" w:color="auto"/>
            </w:tcBorders>
            <w:vAlign w:val="center"/>
            <w:hideMark/>
          </w:tcPr>
          <w:p w14:paraId="2CAE4F84" w14:textId="77777777" w:rsidR="006C14F6" w:rsidRPr="003113EA" w:rsidRDefault="006C14F6" w:rsidP="006C14F6">
            <w:pPr>
              <w:rPr>
                <w:rFonts w:ascii="Calibri" w:hAnsi="Calibri" w:cs="Calibri"/>
                <w:color w:val="000000"/>
                <w:sz w:val="20"/>
                <w:szCs w:val="20"/>
                <w:lang w:val="en-US"/>
              </w:rPr>
            </w:pPr>
          </w:p>
        </w:tc>
        <w:tc>
          <w:tcPr>
            <w:tcW w:w="923" w:type="dxa"/>
            <w:vMerge/>
            <w:tcBorders>
              <w:top w:val="nil"/>
              <w:left w:val="single" w:sz="4" w:space="0" w:color="auto"/>
              <w:bottom w:val="single" w:sz="4" w:space="0" w:color="auto"/>
              <w:right w:val="single" w:sz="4" w:space="0" w:color="auto"/>
            </w:tcBorders>
            <w:vAlign w:val="center"/>
            <w:hideMark/>
          </w:tcPr>
          <w:p w14:paraId="362D359F" w14:textId="77777777" w:rsidR="006C14F6" w:rsidRPr="003113EA" w:rsidRDefault="006C14F6" w:rsidP="006C14F6">
            <w:pPr>
              <w:rPr>
                <w:rFonts w:ascii="Calibri" w:hAnsi="Calibri" w:cs="Calibri"/>
                <w:i/>
                <w:iCs/>
                <w:color w:val="000000"/>
                <w:sz w:val="20"/>
                <w:szCs w:val="20"/>
                <w:lang w:val="en-US"/>
              </w:rPr>
            </w:pPr>
          </w:p>
        </w:tc>
      </w:tr>
      <w:tr w:rsidR="006C14F6" w:rsidRPr="003113EA" w14:paraId="637D4301" w14:textId="77777777" w:rsidTr="006C14F6">
        <w:trPr>
          <w:trHeight w:val="765"/>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F0EECBE"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lastRenderedPageBreak/>
              <w:t>3</w:t>
            </w:r>
          </w:p>
        </w:tc>
        <w:tc>
          <w:tcPr>
            <w:tcW w:w="7542" w:type="dxa"/>
            <w:tcBorders>
              <w:top w:val="nil"/>
              <w:left w:val="nil"/>
              <w:bottom w:val="single" w:sz="4" w:space="0" w:color="auto"/>
              <w:right w:val="single" w:sz="4" w:space="0" w:color="auto"/>
            </w:tcBorders>
            <w:shd w:val="clear" w:color="auto" w:fill="auto"/>
            <w:vAlign w:val="center"/>
            <w:hideMark/>
          </w:tcPr>
          <w:p w14:paraId="5A9D274A"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Information Management and monitoring Cost: UNDP -International -1, *National Monitoring Officer-1</w:t>
            </w:r>
          </w:p>
        </w:tc>
        <w:tc>
          <w:tcPr>
            <w:tcW w:w="1915" w:type="dxa"/>
            <w:tcBorders>
              <w:top w:val="nil"/>
              <w:left w:val="nil"/>
              <w:bottom w:val="single" w:sz="4" w:space="0" w:color="auto"/>
              <w:right w:val="single" w:sz="4" w:space="0" w:color="auto"/>
            </w:tcBorders>
            <w:shd w:val="clear" w:color="auto" w:fill="auto"/>
            <w:noWrap/>
            <w:vAlign w:val="center"/>
            <w:hideMark/>
          </w:tcPr>
          <w:p w14:paraId="59F91BCC"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354,671</w:t>
            </w:r>
          </w:p>
        </w:tc>
        <w:tc>
          <w:tcPr>
            <w:tcW w:w="917" w:type="dxa"/>
            <w:tcBorders>
              <w:top w:val="nil"/>
              <w:left w:val="nil"/>
              <w:bottom w:val="single" w:sz="4" w:space="0" w:color="auto"/>
              <w:right w:val="single" w:sz="4" w:space="0" w:color="auto"/>
            </w:tcBorders>
            <w:shd w:val="clear" w:color="auto" w:fill="auto"/>
            <w:vAlign w:val="center"/>
            <w:hideMark/>
          </w:tcPr>
          <w:p w14:paraId="44AC39C0"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2.83%</w:t>
            </w:r>
          </w:p>
        </w:tc>
        <w:tc>
          <w:tcPr>
            <w:tcW w:w="1177" w:type="dxa"/>
            <w:tcBorders>
              <w:top w:val="nil"/>
              <w:left w:val="nil"/>
              <w:bottom w:val="single" w:sz="4" w:space="0" w:color="auto"/>
              <w:right w:val="single" w:sz="4" w:space="0" w:color="auto"/>
            </w:tcBorders>
            <w:shd w:val="clear" w:color="auto" w:fill="auto"/>
            <w:noWrap/>
            <w:vAlign w:val="center"/>
            <w:hideMark/>
          </w:tcPr>
          <w:p w14:paraId="1E305005"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3E7A9E6B"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354,671</w:t>
            </w:r>
          </w:p>
        </w:tc>
        <w:tc>
          <w:tcPr>
            <w:tcW w:w="963" w:type="dxa"/>
            <w:tcBorders>
              <w:top w:val="nil"/>
              <w:left w:val="nil"/>
              <w:bottom w:val="single" w:sz="4" w:space="0" w:color="auto"/>
              <w:right w:val="single" w:sz="4" w:space="0" w:color="auto"/>
            </w:tcBorders>
            <w:shd w:val="clear" w:color="auto" w:fill="auto"/>
            <w:vAlign w:val="center"/>
            <w:hideMark/>
          </w:tcPr>
          <w:p w14:paraId="011C371B"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27ABE2F"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354,671</w:t>
            </w:r>
          </w:p>
        </w:tc>
        <w:tc>
          <w:tcPr>
            <w:tcW w:w="923" w:type="dxa"/>
            <w:tcBorders>
              <w:top w:val="nil"/>
              <w:left w:val="nil"/>
              <w:bottom w:val="single" w:sz="4" w:space="0" w:color="auto"/>
              <w:right w:val="single" w:sz="4" w:space="0" w:color="auto"/>
            </w:tcBorders>
            <w:shd w:val="clear" w:color="auto" w:fill="auto"/>
            <w:vAlign w:val="center"/>
            <w:hideMark/>
          </w:tcPr>
          <w:p w14:paraId="29DECD78"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2.95%</w:t>
            </w:r>
          </w:p>
        </w:tc>
      </w:tr>
      <w:tr w:rsidR="006C14F6" w:rsidRPr="003113EA" w14:paraId="397BC0D4" w14:textId="77777777" w:rsidTr="006C14F6">
        <w:trPr>
          <w:trHeight w:val="51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7806DB8"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3</w:t>
            </w:r>
          </w:p>
        </w:tc>
        <w:tc>
          <w:tcPr>
            <w:tcW w:w="7542" w:type="dxa"/>
            <w:tcBorders>
              <w:top w:val="nil"/>
              <w:left w:val="nil"/>
              <w:bottom w:val="single" w:sz="4" w:space="0" w:color="auto"/>
              <w:right w:val="single" w:sz="4" w:space="0" w:color="auto"/>
            </w:tcBorders>
            <w:shd w:val="clear" w:color="auto" w:fill="auto"/>
            <w:vAlign w:val="center"/>
            <w:hideMark/>
          </w:tcPr>
          <w:p w14:paraId="74FE00BC"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Support staff to UNMIN for monitoring in Cantonments until Jan-2010</w:t>
            </w:r>
          </w:p>
        </w:tc>
        <w:tc>
          <w:tcPr>
            <w:tcW w:w="1915" w:type="dxa"/>
            <w:tcBorders>
              <w:top w:val="nil"/>
              <w:left w:val="nil"/>
              <w:bottom w:val="single" w:sz="4" w:space="0" w:color="auto"/>
              <w:right w:val="single" w:sz="4" w:space="0" w:color="auto"/>
            </w:tcBorders>
            <w:shd w:val="clear" w:color="auto" w:fill="auto"/>
            <w:noWrap/>
            <w:vAlign w:val="center"/>
            <w:hideMark/>
          </w:tcPr>
          <w:p w14:paraId="4F6F24C8"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82,200</w:t>
            </w:r>
          </w:p>
        </w:tc>
        <w:tc>
          <w:tcPr>
            <w:tcW w:w="917" w:type="dxa"/>
            <w:tcBorders>
              <w:top w:val="nil"/>
              <w:left w:val="nil"/>
              <w:bottom w:val="single" w:sz="4" w:space="0" w:color="auto"/>
              <w:right w:val="single" w:sz="4" w:space="0" w:color="auto"/>
            </w:tcBorders>
            <w:shd w:val="clear" w:color="auto" w:fill="auto"/>
            <w:vAlign w:val="center"/>
            <w:hideMark/>
          </w:tcPr>
          <w:p w14:paraId="75E2E97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0.66%</w:t>
            </w:r>
          </w:p>
        </w:tc>
        <w:tc>
          <w:tcPr>
            <w:tcW w:w="1177" w:type="dxa"/>
            <w:tcBorders>
              <w:top w:val="nil"/>
              <w:left w:val="nil"/>
              <w:bottom w:val="single" w:sz="4" w:space="0" w:color="auto"/>
              <w:right w:val="single" w:sz="4" w:space="0" w:color="auto"/>
            </w:tcBorders>
            <w:shd w:val="clear" w:color="auto" w:fill="auto"/>
            <w:noWrap/>
            <w:vAlign w:val="center"/>
            <w:hideMark/>
          </w:tcPr>
          <w:p w14:paraId="1D2462A3"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17E8D538"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82,200</w:t>
            </w:r>
          </w:p>
        </w:tc>
        <w:tc>
          <w:tcPr>
            <w:tcW w:w="963" w:type="dxa"/>
            <w:tcBorders>
              <w:top w:val="nil"/>
              <w:left w:val="nil"/>
              <w:bottom w:val="single" w:sz="4" w:space="0" w:color="auto"/>
              <w:right w:val="single" w:sz="4" w:space="0" w:color="auto"/>
            </w:tcBorders>
            <w:shd w:val="clear" w:color="auto" w:fill="auto"/>
            <w:vAlign w:val="center"/>
            <w:hideMark/>
          </w:tcPr>
          <w:p w14:paraId="5A487C31"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D13C25"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82,200</w:t>
            </w:r>
          </w:p>
        </w:tc>
        <w:tc>
          <w:tcPr>
            <w:tcW w:w="923" w:type="dxa"/>
            <w:tcBorders>
              <w:top w:val="nil"/>
              <w:left w:val="nil"/>
              <w:bottom w:val="single" w:sz="4" w:space="0" w:color="auto"/>
              <w:right w:val="single" w:sz="4" w:space="0" w:color="auto"/>
            </w:tcBorders>
            <w:shd w:val="clear" w:color="auto" w:fill="auto"/>
            <w:vAlign w:val="center"/>
            <w:hideMark/>
          </w:tcPr>
          <w:p w14:paraId="5AFD10D6"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0.68%</w:t>
            </w:r>
          </w:p>
        </w:tc>
      </w:tr>
      <w:tr w:rsidR="006C14F6" w:rsidRPr="003113EA" w14:paraId="7EF6E03F" w14:textId="77777777" w:rsidTr="006C14F6">
        <w:trPr>
          <w:trHeight w:val="51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BA14BBF"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4</w:t>
            </w:r>
          </w:p>
        </w:tc>
        <w:tc>
          <w:tcPr>
            <w:tcW w:w="7542" w:type="dxa"/>
            <w:tcBorders>
              <w:top w:val="nil"/>
              <w:left w:val="nil"/>
              <w:bottom w:val="single" w:sz="4" w:space="0" w:color="auto"/>
              <w:right w:val="single" w:sz="4" w:space="0" w:color="auto"/>
            </w:tcBorders>
            <w:shd w:val="clear" w:color="auto" w:fill="auto"/>
            <w:vAlign w:val="center"/>
            <w:hideMark/>
          </w:tcPr>
          <w:p w14:paraId="55E3CA35"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Supplies, commodities, equipment and transport</w:t>
            </w:r>
          </w:p>
        </w:tc>
        <w:tc>
          <w:tcPr>
            <w:tcW w:w="1915" w:type="dxa"/>
            <w:tcBorders>
              <w:top w:val="nil"/>
              <w:left w:val="nil"/>
              <w:bottom w:val="single" w:sz="4" w:space="0" w:color="auto"/>
              <w:right w:val="single" w:sz="4" w:space="0" w:color="auto"/>
            </w:tcBorders>
            <w:shd w:val="clear" w:color="auto" w:fill="auto"/>
            <w:noWrap/>
            <w:vAlign w:val="center"/>
            <w:hideMark/>
          </w:tcPr>
          <w:p w14:paraId="1ED13BB5"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445,669</w:t>
            </w:r>
          </w:p>
        </w:tc>
        <w:tc>
          <w:tcPr>
            <w:tcW w:w="917" w:type="dxa"/>
            <w:tcBorders>
              <w:top w:val="nil"/>
              <w:left w:val="nil"/>
              <w:bottom w:val="single" w:sz="4" w:space="0" w:color="auto"/>
              <w:right w:val="single" w:sz="4" w:space="0" w:color="auto"/>
            </w:tcBorders>
            <w:shd w:val="clear" w:color="auto" w:fill="auto"/>
            <w:vAlign w:val="center"/>
            <w:hideMark/>
          </w:tcPr>
          <w:p w14:paraId="5BEC4A2C"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3.55%</w:t>
            </w:r>
          </w:p>
        </w:tc>
        <w:tc>
          <w:tcPr>
            <w:tcW w:w="1177" w:type="dxa"/>
            <w:tcBorders>
              <w:top w:val="nil"/>
              <w:left w:val="nil"/>
              <w:bottom w:val="single" w:sz="4" w:space="0" w:color="auto"/>
              <w:right w:val="single" w:sz="4" w:space="0" w:color="auto"/>
            </w:tcBorders>
            <w:shd w:val="clear" w:color="auto" w:fill="auto"/>
            <w:noWrap/>
            <w:vAlign w:val="center"/>
            <w:hideMark/>
          </w:tcPr>
          <w:p w14:paraId="12E65566"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2966F49C"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445,669</w:t>
            </w:r>
          </w:p>
        </w:tc>
        <w:tc>
          <w:tcPr>
            <w:tcW w:w="963" w:type="dxa"/>
            <w:tcBorders>
              <w:top w:val="nil"/>
              <w:left w:val="nil"/>
              <w:bottom w:val="single" w:sz="4" w:space="0" w:color="auto"/>
              <w:right w:val="single" w:sz="4" w:space="0" w:color="auto"/>
            </w:tcBorders>
            <w:shd w:val="clear" w:color="auto" w:fill="auto"/>
            <w:vAlign w:val="center"/>
            <w:hideMark/>
          </w:tcPr>
          <w:p w14:paraId="6DC2D43E"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6554AFA"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445,669</w:t>
            </w:r>
          </w:p>
        </w:tc>
        <w:tc>
          <w:tcPr>
            <w:tcW w:w="923" w:type="dxa"/>
            <w:tcBorders>
              <w:top w:val="nil"/>
              <w:left w:val="nil"/>
              <w:bottom w:val="single" w:sz="4" w:space="0" w:color="auto"/>
              <w:right w:val="single" w:sz="4" w:space="0" w:color="auto"/>
            </w:tcBorders>
            <w:shd w:val="clear" w:color="auto" w:fill="auto"/>
            <w:vAlign w:val="center"/>
            <w:hideMark/>
          </w:tcPr>
          <w:p w14:paraId="712A4DC8"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3.71%</w:t>
            </w:r>
          </w:p>
        </w:tc>
      </w:tr>
      <w:tr w:rsidR="006C14F6" w:rsidRPr="003113EA" w14:paraId="525A836D" w14:textId="77777777" w:rsidTr="006C14F6">
        <w:trPr>
          <w:trHeight w:val="51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005D4FC"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4</w:t>
            </w:r>
          </w:p>
        </w:tc>
        <w:tc>
          <w:tcPr>
            <w:tcW w:w="7542" w:type="dxa"/>
            <w:tcBorders>
              <w:top w:val="nil"/>
              <w:left w:val="nil"/>
              <w:bottom w:val="single" w:sz="4" w:space="0" w:color="auto"/>
              <w:right w:val="single" w:sz="4" w:space="0" w:color="auto"/>
            </w:tcBorders>
            <w:shd w:val="clear" w:color="auto" w:fill="auto"/>
            <w:vAlign w:val="center"/>
            <w:hideMark/>
          </w:tcPr>
          <w:p w14:paraId="5AC8AA60"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Office Rent &amp; Ops (includes communications and security costs of offices)</w:t>
            </w:r>
          </w:p>
        </w:tc>
        <w:tc>
          <w:tcPr>
            <w:tcW w:w="1915" w:type="dxa"/>
            <w:tcBorders>
              <w:top w:val="nil"/>
              <w:left w:val="nil"/>
              <w:bottom w:val="single" w:sz="4" w:space="0" w:color="auto"/>
              <w:right w:val="single" w:sz="4" w:space="0" w:color="auto"/>
            </w:tcBorders>
            <w:shd w:val="clear" w:color="auto" w:fill="auto"/>
            <w:noWrap/>
            <w:vAlign w:val="center"/>
            <w:hideMark/>
          </w:tcPr>
          <w:p w14:paraId="5F3D151E"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162,595</w:t>
            </w:r>
          </w:p>
        </w:tc>
        <w:tc>
          <w:tcPr>
            <w:tcW w:w="917" w:type="dxa"/>
            <w:tcBorders>
              <w:top w:val="nil"/>
              <w:left w:val="nil"/>
              <w:bottom w:val="single" w:sz="4" w:space="0" w:color="auto"/>
              <w:right w:val="single" w:sz="4" w:space="0" w:color="auto"/>
            </w:tcBorders>
            <w:shd w:val="clear" w:color="auto" w:fill="auto"/>
            <w:vAlign w:val="center"/>
            <w:hideMark/>
          </w:tcPr>
          <w:p w14:paraId="455FFD7C"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1.30%</w:t>
            </w:r>
          </w:p>
        </w:tc>
        <w:tc>
          <w:tcPr>
            <w:tcW w:w="1177" w:type="dxa"/>
            <w:tcBorders>
              <w:top w:val="nil"/>
              <w:left w:val="nil"/>
              <w:bottom w:val="single" w:sz="4" w:space="0" w:color="auto"/>
              <w:right w:val="single" w:sz="4" w:space="0" w:color="auto"/>
            </w:tcBorders>
            <w:shd w:val="clear" w:color="auto" w:fill="auto"/>
            <w:noWrap/>
            <w:vAlign w:val="center"/>
            <w:hideMark/>
          </w:tcPr>
          <w:p w14:paraId="0E8C52DE"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-56,730</w:t>
            </w:r>
          </w:p>
        </w:tc>
        <w:tc>
          <w:tcPr>
            <w:tcW w:w="1131" w:type="dxa"/>
            <w:tcBorders>
              <w:top w:val="nil"/>
              <w:left w:val="nil"/>
              <w:bottom w:val="single" w:sz="4" w:space="0" w:color="auto"/>
              <w:right w:val="single" w:sz="4" w:space="0" w:color="auto"/>
            </w:tcBorders>
            <w:shd w:val="clear" w:color="auto" w:fill="auto"/>
            <w:noWrap/>
            <w:vAlign w:val="center"/>
            <w:hideMark/>
          </w:tcPr>
          <w:p w14:paraId="3853D9CD"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105,865</w:t>
            </w:r>
          </w:p>
        </w:tc>
        <w:tc>
          <w:tcPr>
            <w:tcW w:w="963" w:type="dxa"/>
            <w:tcBorders>
              <w:top w:val="nil"/>
              <w:left w:val="nil"/>
              <w:bottom w:val="single" w:sz="4" w:space="0" w:color="auto"/>
              <w:right w:val="single" w:sz="4" w:space="0" w:color="auto"/>
            </w:tcBorders>
            <w:shd w:val="clear" w:color="auto" w:fill="auto"/>
            <w:vAlign w:val="center"/>
            <w:hideMark/>
          </w:tcPr>
          <w:p w14:paraId="03D76E6F"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B44D72"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105,865</w:t>
            </w:r>
          </w:p>
        </w:tc>
        <w:tc>
          <w:tcPr>
            <w:tcW w:w="923" w:type="dxa"/>
            <w:tcBorders>
              <w:top w:val="nil"/>
              <w:left w:val="nil"/>
              <w:bottom w:val="single" w:sz="4" w:space="0" w:color="auto"/>
              <w:right w:val="single" w:sz="4" w:space="0" w:color="auto"/>
            </w:tcBorders>
            <w:shd w:val="clear" w:color="auto" w:fill="auto"/>
            <w:vAlign w:val="center"/>
            <w:hideMark/>
          </w:tcPr>
          <w:p w14:paraId="720C064C"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0.88%</w:t>
            </w:r>
          </w:p>
        </w:tc>
      </w:tr>
      <w:tr w:rsidR="006C14F6" w:rsidRPr="003113EA" w14:paraId="6FACD0B8"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570C323"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4</w:t>
            </w:r>
          </w:p>
        </w:tc>
        <w:tc>
          <w:tcPr>
            <w:tcW w:w="7542" w:type="dxa"/>
            <w:tcBorders>
              <w:top w:val="nil"/>
              <w:left w:val="nil"/>
              <w:bottom w:val="single" w:sz="4" w:space="0" w:color="auto"/>
              <w:right w:val="single" w:sz="4" w:space="0" w:color="auto"/>
            </w:tcBorders>
            <w:shd w:val="clear" w:color="auto" w:fill="auto"/>
            <w:vAlign w:val="center"/>
            <w:hideMark/>
          </w:tcPr>
          <w:p w14:paraId="01FB0E0E"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Miscellaneous</w:t>
            </w:r>
          </w:p>
        </w:tc>
        <w:tc>
          <w:tcPr>
            <w:tcW w:w="1915" w:type="dxa"/>
            <w:tcBorders>
              <w:top w:val="nil"/>
              <w:left w:val="nil"/>
              <w:bottom w:val="single" w:sz="4" w:space="0" w:color="auto"/>
              <w:right w:val="single" w:sz="4" w:space="0" w:color="auto"/>
            </w:tcBorders>
            <w:shd w:val="clear" w:color="auto" w:fill="auto"/>
            <w:noWrap/>
            <w:vAlign w:val="center"/>
            <w:hideMark/>
          </w:tcPr>
          <w:p w14:paraId="1756D7A0"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166,049</w:t>
            </w:r>
          </w:p>
        </w:tc>
        <w:tc>
          <w:tcPr>
            <w:tcW w:w="917" w:type="dxa"/>
            <w:tcBorders>
              <w:top w:val="nil"/>
              <w:left w:val="nil"/>
              <w:bottom w:val="single" w:sz="4" w:space="0" w:color="auto"/>
              <w:right w:val="single" w:sz="4" w:space="0" w:color="auto"/>
            </w:tcBorders>
            <w:shd w:val="clear" w:color="auto" w:fill="auto"/>
            <w:vAlign w:val="center"/>
            <w:hideMark/>
          </w:tcPr>
          <w:p w14:paraId="799AD2D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1.32%</w:t>
            </w:r>
          </w:p>
        </w:tc>
        <w:tc>
          <w:tcPr>
            <w:tcW w:w="1177" w:type="dxa"/>
            <w:tcBorders>
              <w:top w:val="nil"/>
              <w:left w:val="nil"/>
              <w:bottom w:val="single" w:sz="4" w:space="0" w:color="auto"/>
              <w:right w:val="single" w:sz="4" w:space="0" w:color="auto"/>
            </w:tcBorders>
            <w:shd w:val="clear" w:color="auto" w:fill="auto"/>
            <w:noWrap/>
            <w:vAlign w:val="center"/>
            <w:hideMark/>
          </w:tcPr>
          <w:p w14:paraId="439872E7"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4A7CE31B"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166,049</w:t>
            </w:r>
          </w:p>
        </w:tc>
        <w:tc>
          <w:tcPr>
            <w:tcW w:w="963" w:type="dxa"/>
            <w:tcBorders>
              <w:top w:val="nil"/>
              <w:left w:val="nil"/>
              <w:bottom w:val="single" w:sz="4" w:space="0" w:color="auto"/>
              <w:right w:val="single" w:sz="4" w:space="0" w:color="auto"/>
            </w:tcBorders>
            <w:shd w:val="clear" w:color="auto" w:fill="auto"/>
            <w:vAlign w:val="center"/>
            <w:hideMark/>
          </w:tcPr>
          <w:p w14:paraId="34215ED2"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F3F7A39"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166,049</w:t>
            </w:r>
          </w:p>
        </w:tc>
        <w:tc>
          <w:tcPr>
            <w:tcW w:w="923" w:type="dxa"/>
            <w:tcBorders>
              <w:top w:val="nil"/>
              <w:left w:val="nil"/>
              <w:bottom w:val="single" w:sz="4" w:space="0" w:color="auto"/>
              <w:right w:val="single" w:sz="4" w:space="0" w:color="auto"/>
            </w:tcBorders>
            <w:shd w:val="clear" w:color="auto" w:fill="auto"/>
            <w:vAlign w:val="center"/>
            <w:hideMark/>
          </w:tcPr>
          <w:p w14:paraId="4140D80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1.38%</w:t>
            </w:r>
          </w:p>
        </w:tc>
      </w:tr>
      <w:tr w:rsidR="006C14F6" w:rsidRPr="003113EA" w14:paraId="7DC4507F" w14:textId="77777777" w:rsidTr="006C14F6">
        <w:trPr>
          <w:trHeight w:val="51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3D021EC" w14:textId="77777777" w:rsidR="006C14F6" w:rsidRPr="003113EA" w:rsidRDefault="006C14F6" w:rsidP="006C14F6">
            <w:pPr>
              <w:jc w:val="center"/>
              <w:rPr>
                <w:rFonts w:ascii="Calibri" w:hAnsi="Calibri" w:cs="Calibri"/>
                <w:color w:val="000000"/>
                <w:sz w:val="20"/>
                <w:szCs w:val="20"/>
                <w:lang w:val="en-US"/>
              </w:rPr>
            </w:pPr>
            <w:r w:rsidRPr="003113EA">
              <w:rPr>
                <w:rFonts w:ascii="Calibri" w:hAnsi="Calibri" w:cs="Calibri"/>
                <w:color w:val="000000"/>
                <w:sz w:val="20"/>
                <w:szCs w:val="20"/>
                <w:lang w:val="en-US"/>
              </w:rPr>
              <w:t>4</w:t>
            </w:r>
          </w:p>
        </w:tc>
        <w:tc>
          <w:tcPr>
            <w:tcW w:w="7542" w:type="dxa"/>
            <w:tcBorders>
              <w:top w:val="nil"/>
              <w:left w:val="nil"/>
              <w:bottom w:val="single" w:sz="4" w:space="0" w:color="auto"/>
              <w:right w:val="single" w:sz="4" w:space="0" w:color="auto"/>
            </w:tcBorders>
            <w:shd w:val="clear" w:color="auto" w:fill="auto"/>
            <w:vAlign w:val="center"/>
            <w:hideMark/>
          </w:tcPr>
          <w:p w14:paraId="72B236F8" w14:textId="77777777" w:rsidR="006C14F6" w:rsidRPr="003113EA" w:rsidRDefault="006C14F6" w:rsidP="006C14F6">
            <w:pPr>
              <w:rPr>
                <w:rFonts w:ascii="Calibri" w:hAnsi="Calibri" w:cs="Calibri"/>
                <w:i/>
                <w:iCs/>
                <w:color w:val="000000"/>
                <w:sz w:val="20"/>
                <w:szCs w:val="20"/>
                <w:lang w:val="en-US"/>
              </w:rPr>
            </w:pPr>
            <w:r w:rsidRPr="003113EA">
              <w:rPr>
                <w:rFonts w:ascii="Calibri" w:hAnsi="Calibri" w:cs="Calibri"/>
                <w:i/>
                <w:iCs/>
                <w:color w:val="000000"/>
                <w:sz w:val="20"/>
                <w:szCs w:val="20"/>
                <w:lang w:val="en-US"/>
              </w:rPr>
              <w:t>Field office Managers: UNDP- UNV Regional Office Managers-4</w:t>
            </w:r>
          </w:p>
        </w:tc>
        <w:tc>
          <w:tcPr>
            <w:tcW w:w="1915" w:type="dxa"/>
            <w:tcBorders>
              <w:top w:val="nil"/>
              <w:left w:val="nil"/>
              <w:bottom w:val="single" w:sz="4" w:space="0" w:color="auto"/>
              <w:right w:val="single" w:sz="4" w:space="0" w:color="auto"/>
            </w:tcBorders>
            <w:shd w:val="clear" w:color="auto" w:fill="auto"/>
            <w:noWrap/>
            <w:vAlign w:val="center"/>
            <w:hideMark/>
          </w:tcPr>
          <w:p w14:paraId="39F3B8F0"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359,900</w:t>
            </w:r>
          </w:p>
        </w:tc>
        <w:tc>
          <w:tcPr>
            <w:tcW w:w="917" w:type="dxa"/>
            <w:tcBorders>
              <w:top w:val="nil"/>
              <w:left w:val="nil"/>
              <w:bottom w:val="single" w:sz="4" w:space="0" w:color="auto"/>
              <w:right w:val="single" w:sz="4" w:space="0" w:color="auto"/>
            </w:tcBorders>
            <w:shd w:val="clear" w:color="auto" w:fill="auto"/>
            <w:vAlign w:val="center"/>
            <w:hideMark/>
          </w:tcPr>
          <w:p w14:paraId="560A97CB"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2.87%</w:t>
            </w:r>
          </w:p>
        </w:tc>
        <w:tc>
          <w:tcPr>
            <w:tcW w:w="1177" w:type="dxa"/>
            <w:tcBorders>
              <w:top w:val="nil"/>
              <w:left w:val="nil"/>
              <w:bottom w:val="single" w:sz="4" w:space="0" w:color="auto"/>
              <w:right w:val="single" w:sz="4" w:space="0" w:color="auto"/>
            </w:tcBorders>
            <w:shd w:val="clear" w:color="auto" w:fill="auto"/>
            <w:noWrap/>
            <w:vAlign w:val="center"/>
            <w:hideMark/>
          </w:tcPr>
          <w:p w14:paraId="6F6E20F5"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6EF34B84"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359,900</w:t>
            </w:r>
          </w:p>
        </w:tc>
        <w:tc>
          <w:tcPr>
            <w:tcW w:w="963" w:type="dxa"/>
            <w:tcBorders>
              <w:top w:val="nil"/>
              <w:left w:val="nil"/>
              <w:bottom w:val="single" w:sz="4" w:space="0" w:color="auto"/>
              <w:right w:val="single" w:sz="4" w:space="0" w:color="auto"/>
            </w:tcBorders>
            <w:shd w:val="clear" w:color="auto" w:fill="auto"/>
            <w:vAlign w:val="center"/>
            <w:hideMark/>
          </w:tcPr>
          <w:p w14:paraId="06A4F22E"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0EB7F7E"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359,900</w:t>
            </w:r>
          </w:p>
        </w:tc>
        <w:tc>
          <w:tcPr>
            <w:tcW w:w="923" w:type="dxa"/>
            <w:tcBorders>
              <w:top w:val="nil"/>
              <w:left w:val="nil"/>
              <w:bottom w:val="single" w:sz="4" w:space="0" w:color="auto"/>
              <w:right w:val="single" w:sz="4" w:space="0" w:color="auto"/>
            </w:tcBorders>
            <w:shd w:val="clear" w:color="auto" w:fill="auto"/>
            <w:vAlign w:val="center"/>
            <w:hideMark/>
          </w:tcPr>
          <w:p w14:paraId="6586C1C3"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2.99%</w:t>
            </w:r>
          </w:p>
        </w:tc>
      </w:tr>
      <w:tr w:rsidR="006C14F6" w:rsidRPr="003113EA" w14:paraId="4FEC8903" w14:textId="77777777" w:rsidTr="006C14F6">
        <w:trPr>
          <w:trHeight w:val="510"/>
        </w:trPr>
        <w:tc>
          <w:tcPr>
            <w:tcW w:w="7885" w:type="dxa"/>
            <w:gridSpan w:val="2"/>
            <w:tcBorders>
              <w:top w:val="single" w:sz="4" w:space="0" w:color="auto"/>
              <w:left w:val="single" w:sz="4" w:space="0" w:color="auto"/>
              <w:bottom w:val="single" w:sz="4" w:space="0" w:color="auto"/>
              <w:right w:val="single" w:sz="4" w:space="0" w:color="auto"/>
            </w:tcBorders>
            <w:shd w:val="clear" w:color="000000" w:fill="99CCFF"/>
            <w:vAlign w:val="center"/>
            <w:hideMark/>
          </w:tcPr>
          <w:p w14:paraId="6F510AB3"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Sub-Total of Indirect services</w:t>
            </w:r>
          </w:p>
        </w:tc>
        <w:tc>
          <w:tcPr>
            <w:tcW w:w="1915" w:type="dxa"/>
            <w:tcBorders>
              <w:top w:val="nil"/>
              <w:left w:val="nil"/>
              <w:bottom w:val="single" w:sz="4" w:space="0" w:color="auto"/>
              <w:right w:val="single" w:sz="4" w:space="0" w:color="auto"/>
            </w:tcBorders>
            <w:shd w:val="clear" w:color="000000" w:fill="99CCFF"/>
            <w:noWrap/>
            <w:vAlign w:val="center"/>
            <w:hideMark/>
          </w:tcPr>
          <w:p w14:paraId="13146AE5"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3,651,541</w:t>
            </w:r>
          </w:p>
        </w:tc>
        <w:tc>
          <w:tcPr>
            <w:tcW w:w="917" w:type="dxa"/>
            <w:tcBorders>
              <w:top w:val="nil"/>
              <w:left w:val="nil"/>
              <w:bottom w:val="single" w:sz="4" w:space="0" w:color="auto"/>
              <w:right w:val="single" w:sz="4" w:space="0" w:color="auto"/>
            </w:tcBorders>
            <w:shd w:val="clear" w:color="000000" w:fill="99CCFF"/>
            <w:vAlign w:val="center"/>
            <w:hideMark/>
          </w:tcPr>
          <w:p w14:paraId="11557C08"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29.11%</w:t>
            </w:r>
          </w:p>
        </w:tc>
        <w:tc>
          <w:tcPr>
            <w:tcW w:w="1177" w:type="dxa"/>
            <w:tcBorders>
              <w:top w:val="nil"/>
              <w:left w:val="nil"/>
              <w:bottom w:val="single" w:sz="4" w:space="0" w:color="auto"/>
              <w:right w:val="single" w:sz="4" w:space="0" w:color="auto"/>
            </w:tcBorders>
            <w:shd w:val="clear" w:color="000000" w:fill="99CCFF"/>
            <w:noWrap/>
            <w:vAlign w:val="center"/>
            <w:hideMark/>
          </w:tcPr>
          <w:p w14:paraId="1783F229"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-56,730</w:t>
            </w:r>
          </w:p>
        </w:tc>
        <w:tc>
          <w:tcPr>
            <w:tcW w:w="1131" w:type="dxa"/>
            <w:tcBorders>
              <w:top w:val="nil"/>
              <w:left w:val="nil"/>
              <w:bottom w:val="single" w:sz="4" w:space="0" w:color="auto"/>
              <w:right w:val="single" w:sz="4" w:space="0" w:color="auto"/>
            </w:tcBorders>
            <w:shd w:val="clear" w:color="000000" w:fill="99CCFF"/>
            <w:noWrap/>
            <w:vAlign w:val="center"/>
            <w:hideMark/>
          </w:tcPr>
          <w:p w14:paraId="3BEDCBA9"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3,594,811</w:t>
            </w:r>
          </w:p>
        </w:tc>
        <w:tc>
          <w:tcPr>
            <w:tcW w:w="963" w:type="dxa"/>
            <w:tcBorders>
              <w:top w:val="nil"/>
              <w:left w:val="nil"/>
              <w:bottom w:val="single" w:sz="4" w:space="0" w:color="auto"/>
              <w:right w:val="single" w:sz="4" w:space="0" w:color="auto"/>
            </w:tcBorders>
            <w:shd w:val="clear" w:color="000000" w:fill="99CCFF"/>
            <w:vAlign w:val="center"/>
            <w:hideMark/>
          </w:tcPr>
          <w:p w14:paraId="2CAAF826"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0</w:t>
            </w:r>
          </w:p>
        </w:tc>
        <w:tc>
          <w:tcPr>
            <w:tcW w:w="1620" w:type="dxa"/>
            <w:tcBorders>
              <w:top w:val="nil"/>
              <w:left w:val="nil"/>
              <w:bottom w:val="nil"/>
              <w:right w:val="single" w:sz="4" w:space="0" w:color="auto"/>
            </w:tcBorders>
            <w:shd w:val="clear" w:color="000000" w:fill="99CCFF"/>
            <w:noWrap/>
            <w:vAlign w:val="center"/>
            <w:hideMark/>
          </w:tcPr>
          <w:p w14:paraId="35FE96E8"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3,594,810</w:t>
            </w:r>
          </w:p>
        </w:tc>
        <w:tc>
          <w:tcPr>
            <w:tcW w:w="923" w:type="dxa"/>
            <w:tcBorders>
              <w:top w:val="nil"/>
              <w:left w:val="nil"/>
              <w:bottom w:val="single" w:sz="4" w:space="0" w:color="auto"/>
              <w:right w:val="single" w:sz="4" w:space="0" w:color="auto"/>
            </w:tcBorders>
            <w:shd w:val="clear" w:color="000000" w:fill="99CCFF"/>
            <w:vAlign w:val="center"/>
            <w:hideMark/>
          </w:tcPr>
          <w:p w14:paraId="02F0189A"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29.90%</w:t>
            </w:r>
          </w:p>
        </w:tc>
      </w:tr>
      <w:tr w:rsidR="006C14F6" w:rsidRPr="003113EA" w14:paraId="13E9238B"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051135B"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A</w:t>
            </w:r>
          </w:p>
        </w:tc>
        <w:tc>
          <w:tcPr>
            <w:tcW w:w="7542" w:type="dxa"/>
            <w:tcBorders>
              <w:top w:val="nil"/>
              <w:left w:val="nil"/>
              <w:bottom w:val="single" w:sz="4" w:space="0" w:color="auto"/>
              <w:right w:val="single" w:sz="4" w:space="0" w:color="auto"/>
            </w:tcBorders>
            <w:shd w:val="clear" w:color="auto" w:fill="auto"/>
            <w:noWrap/>
            <w:vAlign w:val="center"/>
            <w:hideMark/>
          </w:tcPr>
          <w:p w14:paraId="01605DAF"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Total Programme Costs</w:t>
            </w:r>
          </w:p>
        </w:tc>
        <w:tc>
          <w:tcPr>
            <w:tcW w:w="1915" w:type="dxa"/>
            <w:tcBorders>
              <w:top w:val="nil"/>
              <w:left w:val="nil"/>
              <w:bottom w:val="single" w:sz="4" w:space="0" w:color="auto"/>
              <w:right w:val="single" w:sz="4" w:space="0" w:color="auto"/>
            </w:tcBorders>
            <w:shd w:val="clear" w:color="auto" w:fill="auto"/>
            <w:noWrap/>
            <w:vAlign w:val="center"/>
            <w:hideMark/>
          </w:tcPr>
          <w:p w14:paraId="68F6AAF5"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11,769,370</w:t>
            </w:r>
          </w:p>
        </w:tc>
        <w:tc>
          <w:tcPr>
            <w:tcW w:w="917" w:type="dxa"/>
            <w:tcBorders>
              <w:top w:val="nil"/>
              <w:left w:val="nil"/>
              <w:bottom w:val="single" w:sz="4" w:space="0" w:color="auto"/>
              <w:right w:val="single" w:sz="4" w:space="0" w:color="auto"/>
            </w:tcBorders>
            <w:shd w:val="clear" w:color="auto" w:fill="auto"/>
            <w:vAlign w:val="center"/>
            <w:hideMark/>
          </w:tcPr>
          <w:p w14:paraId="5A097589"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93.82%</w:t>
            </w:r>
          </w:p>
        </w:tc>
        <w:tc>
          <w:tcPr>
            <w:tcW w:w="1177" w:type="dxa"/>
            <w:tcBorders>
              <w:top w:val="nil"/>
              <w:left w:val="nil"/>
              <w:bottom w:val="single" w:sz="4" w:space="0" w:color="auto"/>
              <w:right w:val="single" w:sz="4" w:space="0" w:color="auto"/>
            </w:tcBorders>
            <w:shd w:val="clear" w:color="auto" w:fill="auto"/>
            <w:noWrap/>
            <w:vAlign w:val="center"/>
            <w:hideMark/>
          </w:tcPr>
          <w:p w14:paraId="37EEE9BA"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rPr>
              <w:t>-458,624</w:t>
            </w:r>
          </w:p>
        </w:tc>
        <w:tc>
          <w:tcPr>
            <w:tcW w:w="1131" w:type="dxa"/>
            <w:tcBorders>
              <w:top w:val="nil"/>
              <w:left w:val="nil"/>
              <w:bottom w:val="single" w:sz="4" w:space="0" w:color="auto"/>
              <w:right w:val="single" w:sz="4" w:space="0" w:color="auto"/>
            </w:tcBorders>
            <w:shd w:val="clear" w:color="auto" w:fill="auto"/>
            <w:noWrap/>
            <w:vAlign w:val="center"/>
            <w:hideMark/>
          </w:tcPr>
          <w:p w14:paraId="6389600E"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rPr>
              <w:t>11,310,746</w:t>
            </w:r>
          </w:p>
        </w:tc>
        <w:tc>
          <w:tcPr>
            <w:tcW w:w="963" w:type="dxa"/>
            <w:tcBorders>
              <w:top w:val="nil"/>
              <w:left w:val="nil"/>
              <w:bottom w:val="single" w:sz="4" w:space="0" w:color="auto"/>
              <w:right w:val="single" w:sz="4" w:space="0" w:color="auto"/>
            </w:tcBorders>
            <w:shd w:val="clear" w:color="auto" w:fill="auto"/>
            <w:vAlign w:val="center"/>
            <w:hideMark/>
          </w:tcPr>
          <w:p w14:paraId="2836F0F9"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-30,946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EC74BE9"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11,279,800</w:t>
            </w:r>
          </w:p>
        </w:tc>
        <w:tc>
          <w:tcPr>
            <w:tcW w:w="923" w:type="dxa"/>
            <w:tcBorders>
              <w:top w:val="nil"/>
              <w:left w:val="nil"/>
              <w:bottom w:val="single" w:sz="4" w:space="0" w:color="auto"/>
              <w:right w:val="single" w:sz="4" w:space="0" w:color="auto"/>
            </w:tcBorders>
            <w:shd w:val="clear" w:color="auto" w:fill="auto"/>
            <w:vAlign w:val="center"/>
            <w:hideMark/>
          </w:tcPr>
          <w:p w14:paraId="1EB8001D"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93.84%</w:t>
            </w:r>
          </w:p>
        </w:tc>
      </w:tr>
      <w:tr w:rsidR="006C14F6" w:rsidRPr="003113EA" w14:paraId="6472E9EB"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2053827"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B</w:t>
            </w:r>
          </w:p>
        </w:tc>
        <w:tc>
          <w:tcPr>
            <w:tcW w:w="7542" w:type="dxa"/>
            <w:tcBorders>
              <w:top w:val="nil"/>
              <w:left w:val="nil"/>
              <w:bottom w:val="single" w:sz="4" w:space="0" w:color="auto"/>
              <w:right w:val="single" w:sz="4" w:space="0" w:color="auto"/>
            </w:tcBorders>
            <w:shd w:val="clear" w:color="auto" w:fill="auto"/>
            <w:noWrap/>
            <w:vAlign w:val="center"/>
            <w:hideMark/>
          </w:tcPr>
          <w:p w14:paraId="4D4813E6"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Agencies Corporate Overhead (7%)</w:t>
            </w:r>
          </w:p>
        </w:tc>
        <w:tc>
          <w:tcPr>
            <w:tcW w:w="1915" w:type="dxa"/>
            <w:tcBorders>
              <w:top w:val="nil"/>
              <w:left w:val="nil"/>
              <w:bottom w:val="single" w:sz="4" w:space="0" w:color="auto"/>
              <w:right w:val="single" w:sz="4" w:space="0" w:color="auto"/>
            </w:tcBorders>
            <w:shd w:val="clear" w:color="auto" w:fill="auto"/>
            <w:noWrap/>
            <w:vAlign w:val="center"/>
            <w:hideMark/>
          </w:tcPr>
          <w:p w14:paraId="61302F67"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775,346</w:t>
            </w:r>
          </w:p>
        </w:tc>
        <w:tc>
          <w:tcPr>
            <w:tcW w:w="917" w:type="dxa"/>
            <w:tcBorders>
              <w:top w:val="nil"/>
              <w:left w:val="nil"/>
              <w:bottom w:val="single" w:sz="4" w:space="0" w:color="auto"/>
              <w:right w:val="single" w:sz="4" w:space="0" w:color="auto"/>
            </w:tcBorders>
            <w:shd w:val="clear" w:color="auto" w:fill="auto"/>
            <w:vAlign w:val="center"/>
            <w:hideMark/>
          </w:tcPr>
          <w:p w14:paraId="10975BE3"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6.18%</w:t>
            </w:r>
          </w:p>
        </w:tc>
        <w:tc>
          <w:tcPr>
            <w:tcW w:w="1177" w:type="dxa"/>
            <w:tcBorders>
              <w:top w:val="nil"/>
              <w:left w:val="nil"/>
              <w:bottom w:val="single" w:sz="4" w:space="0" w:color="auto"/>
              <w:right w:val="single" w:sz="4" w:space="0" w:color="auto"/>
            </w:tcBorders>
            <w:shd w:val="clear" w:color="auto" w:fill="auto"/>
            <w:noWrap/>
            <w:vAlign w:val="center"/>
            <w:hideMark/>
          </w:tcPr>
          <w:p w14:paraId="19ACC24C"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rPr>
              <w:t>-32,104</w:t>
            </w:r>
          </w:p>
        </w:tc>
        <w:tc>
          <w:tcPr>
            <w:tcW w:w="1131" w:type="dxa"/>
            <w:tcBorders>
              <w:top w:val="nil"/>
              <w:left w:val="nil"/>
              <w:bottom w:val="single" w:sz="4" w:space="0" w:color="auto"/>
              <w:right w:val="single" w:sz="4" w:space="0" w:color="auto"/>
            </w:tcBorders>
            <w:shd w:val="clear" w:color="auto" w:fill="auto"/>
            <w:noWrap/>
            <w:vAlign w:val="center"/>
            <w:hideMark/>
          </w:tcPr>
          <w:p w14:paraId="13A6A53E"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rPr>
              <w:t>743,243</w:t>
            </w:r>
          </w:p>
        </w:tc>
        <w:tc>
          <w:tcPr>
            <w:tcW w:w="963" w:type="dxa"/>
            <w:tcBorders>
              <w:top w:val="nil"/>
              <w:left w:val="nil"/>
              <w:bottom w:val="single" w:sz="4" w:space="0" w:color="auto"/>
              <w:right w:val="single" w:sz="4" w:space="0" w:color="auto"/>
            </w:tcBorders>
            <w:shd w:val="clear" w:color="auto" w:fill="auto"/>
            <w:vAlign w:val="center"/>
            <w:hideMark/>
          </w:tcPr>
          <w:p w14:paraId="7B1E07DF"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-2,166</w:t>
            </w:r>
          </w:p>
        </w:tc>
        <w:tc>
          <w:tcPr>
            <w:tcW w:w="1620" w:type="dxa"/>
            <w:tcBorders>
              <w:top w:val="nil"/>
              <w:left w:val="nil"/>
              <w:bottom w:val="single" w:sz="4" w:space="0" w:color="auto"/>
              <w:right w:val="single" w:sz="4" w:space="0" w:color="auto"/>
            </w:tcBorders>
            <w:shd w:val="clear" w:color="auto" w:fill="auto"/>
            <w:noWrap/>
            <w:vAlign w:val="center"/>
            <w:hideMark/>
          </w:tcPr>
          <w:p w14:paraId="4A20F9BC"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741,077</w:t>
            </w:r>
          </w:p>
        </w:tc>
        <w:tc>
          <w:tcPr>
            <w:tcW w:w="923" w:type="dxa"/>
            <w:tcBorders>
              <w:top w:val="nil"/>
              <w:left w:val="nil"/>
              <w:bottom w:val="single" w:sz="4" w:space="0" w:color="auto"/>
              <w:right w:val="single" w:sz="4" w:space="0" w:color="auto"/>
            </w:tcBorders>
            <w:shd w:val="clear" w:color="auto" w:fill="auto"/>
            <w:vAlign w:val="center"/>
            <w:hideMark/>
          </w:tcPr>
          <w:p w14:paraId="6E198792"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6.16%</w:t>
            </w:r>
          </w:p>
        </w:tc>
      </w:tr>
      <w:tr w:rsidR="006C14F6" w:rsidRPr="003113EA" w14:paraId="7D9D4313"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784BC35"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C</w:t>
            </w:r>
          </w:p>
        </w:tc>
        <w:tc>
          <w:tcPr>
            <w:tcW w:w="7542" w:type="dxa"/>
            <w:tcBorders>
              <w:top w:val="nil"/>
              <w:left w:val="nil"/>
              <w:bottom w:val="single" w:sz="4" w:space="0" w:color="auto"/>
              <w:right w:val="single" w:sz="4" w:space="0" w:color="auto"/>
            </w:tcBorders>
            <w:shd w:val="clear" w:color="auto" w:fill="auto"/>
            <w:noWrap/>
            <w:vAlign w:val="center"/>
            <w:hideMark/>
          </w:tcPr>
          <w:p w14:paraId="2A34FCF2"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Grand Total Programme Cost (A+B)</w:t>
            </w:r>
          </w:p>
        </w:tc>
        <w:tc>
          <w:tcPr>
            <w:tcW w:w="1915" w:type="dxa"/>
            <w:tcBorders>
              <w:top w:val="nil"/>
              <w:left w:val="nil"/>
              <w:bottom w:val="single" w:sz="4" w:space="0" w:color="auto"/>
              <w:right w:val="single" w:sz="4" w:space="0" w:color="auto"/>
            </w:tcBorders>
            <w:shd w:val="clear" w:color="auto" w:fill="auto"/>
            <w:noWrap/>
            <w:vAlign w:val="center"/>
            <w:hideMark/>
          </w:tcPr>
          <w:p w14:paraId="4DD89286"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lang w:val="en-US"/>
              </w:rPr>
              <w:t>12,544,717</w:t>
            </w:r>
          </w:p>
        </w:tc>
        <w:tc>
          <w:tcPr>
            <w:tcW w:w="917" w:type="dxa"/>
            <w:tcBorders>
              <w:top w:val="nil"/>
              <w:left w:val="nil"/>
              <w:bottom w:val="single" w:sz="4" w:space="0" w:color="auto"/>
              <w:right w:val="single" w:sz="4" w:space="0" w:color="auto"/>
            </w:tcBorders>
            <w:shd w:val="clear" w:color="auto" w:fill="auto"/>
            <w:vAlign w:val="center"/>
            <w:hideMark/>
          </w:tcPr>
          <w:p w14:paraId="087A0AE1"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100.00%</w:t>
            </w:r>
          </w:p>
        </w:tc>
        <w:tc>
          <w:tcPr>
            <w:tcW w:w="1177" w:type="dxa"/>
            <w:tcBorders>
              <w:top w:val="nil"/>
              <w:left w:val="nil"/>
              <w:bottom w:val="single" w:sz="4" w:space="0" w:color="auto"/>
              <w:right w:val="single" w:sz="4" w:space="0" w:color="auto"/>
            </w:tcBorders>
            <w:shd w:val="clear" w:color="auto" w:fill="auto"/>
            <w:noWrap/>
            <w:vAlign w:val="center"/>
            <w:hideMark/>
          </w:tcPr>
          <w:p w14:paraId="4D00184E"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rPr>
              <w:t>-490,728</w:t>
            </w:r>
          </w:p>
        </w:tc>
        <w:tc>
          <w:tcPr>
            <w:tcW w:w="1131" w:type="dxa"/>
            <w:tcBorders>
              <w:top w:val="nil"/>
              <w:left w:val="nil"/>
              <w:bottom w:val="single" w:sz="4" w:space="0" w:color="auto"/>
              <w:right w:val="single" w:sz="4" w:space="0" w:color="auto"/>
            </w:tcBorders>
            <w:shd w:val="clear" w:color="auto" w:fill="auto"/>
            <w:noWrap/>
            <w:vAlign w:val="center"/>
            <w:hideMark/>
          </w:tcPr>
          <w:p w14:paraId="17B13584"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rPr>
              <w:t>12,053,989</w:t>
            </w:r>
          </w:p>
        </w:tc>
        <w:tc>
          <w:tcPr>
            <w:tcW w:w="963" w:type="dxa"/>
            <w:tcBorders>
              <w:top w:val="nil"/>
              <w:left w:val="nil"/>
              <w:bottom w:val="single" w:sz="4" w:space="0" w:color="auto"/>
              <w:right w:val="single" w:sz="4" w:space="0" w:color="auto"/>
            </w:tcBorders>
            <w:shd w:val="clear" w:color="auto" w:fill="auto"/>
            <w:vAlign w:val="center"/>
            <w:hideMark/>
          </w:tcPr>
          <w:p w14:paraId="045EBFE1"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1F3D3AF"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12,020,877</w:t>
            </w:r>
          </w:p>
        </w:tc>
        <w:tc>
          <w:tcPr>
            <w:tcW w:w="923" w:type="dxa"/>
            <w:tcBorders>
              <w:top w:val="nil"/>
              <w:left w:val="nil"/>
              <w:bottom w:val="single" w:sz="4" w:space="0" w:color="auto"/>
              <w:right w:val="single" w:sz="4" w:space="0" w:color="auto"/>
            </w:tcBorders>
            <w:shd w:val="clear" w:color="auto" w:fill="auto"/>
            <w:vAlign w:val="center"/>
            <w:hideMark/>
          </w:tcPr>
          <w:p w14:paraId="420CBC36"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100.00%</w:t>
            </w:r>
          </w:p>
        </w:tc>
      </w:tr>
      <w:tr w:rsidR="006C14F6" w:rsidRPr="003113EA" w14:paraId="585A67F4"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523197B"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D</w:t>
            </w:r>
          </w:p>
        </w:tc>
        <w:tc>
          <w:tcPr>
            <w:tcW w:w="7542" w:type="dxa"/>
            <w:tcBorders>
              <w:top w:val="nil"/>
              <w:left w:val="nil"/>
              <w:bottom w:val="single" w:sz="4" w:space="0" w:color="auto"/>
              <w:right w:val="single" w:sz="4" w:space="0" w:color="auto"/>
            </w:tcBorders>
            <w:shd w:val="clear" w:color="auto" w:fill="auto"/>
            <w:vAlign w:val="center"/>
            <w:hideMark/>
          </w:tcPr>
          <w:p w14:paraId="7E95349C"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Total Contribution from UNPFN (C-E)</w:t>
            </w:r>
          </w:p>
        </w:tc>
        <w:tc>
          <w:tcPr>
            <w:tcW w:w="1915" w:type="dxa"/>
            <w:tcBorders>
              <w:top w:val="nil"/>
              <w:left w:val="nil"/>
              <w:bottom w:val="single" w:sz="4" w:space="0" w:color="auto"/>
              <w:right w:val="single" w:sz="4" w:space="0" w:color="auto"/>
            </w:tcBorders>
            <w:shd w:val="clear" w:color="auto" w:fill="auto"/>
            <w:vAlign w:val="center"/>
            <w:hideMark/>
          </w:tcPr>
          <w:p w14:paraId="3D1035F7"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11,851,717</w:t>
            </w:r>
          </w:p>
        </w:tc>
        <w:tc>
          <w:tcPr>
            <w:tcW w:w="917" w:type="dxa"/>
            <w:tcBorders>
              <w:top w:val="nil"/>
              <w:left w:val="nil"/>
              <w:bottom w:val="single" w:sz="4" w:space="0" w:color="auto"/>
              <w:right w:val="single" w:sz="4" w:space="0" w:color="auto"/>
            </w:tcBorders>
            <w:shd w:val="clear" w:color="auto" w:fill="auto"/>
            <w:vAlign w:val="center"/>
            <w:hideMark/>
          </w:tcPr>
          <w:p w14:paraId="31F310C9"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94.48%</w:t>
            </w:r>
          </w:p>
        </w:tc>
        <w:tc>
          <w:tcPr>
            <w:tcW w:w="1177" w:type="dxa"/>
            <w:tcBorders>
              <w:top w:val="nil"/>
              <w:left w:val="nil"/>
              <w:bottom w:val="single" w:sz="4" w:space="0" w:color="auto"/>
              <w:right w:val="single" w:sz="4" w:space="0" w:color="auto"/>
            </w:tcBorders>
            <w:shd w:val="clear" w:color="auto" w:fill="auto"/>
            <w:noWrap/>
            <w:vAlign w:val="center"/>
            <w:hideMark/>
          </w:tcPr>
          <w:p w14:paraId="54D7B082" w14:textId="77777777" w:rsidR="006C14F6" w:rsidRPr="003113EA" w:rsidRDefault="006C14F6" w:rsidP="006C14F6">
            <w:pPr>
              <w:jc w:val="right"/>
              <w:rPr>
                <w:rFonts w:ascii="Calibri" w:hAnsi="Calibri" w:cs="Calibri"/>
                <w:b/>
                <w:bCs/>
                <w:color w:val="000000"/>
                <w:sz w:val="20"/>
                <w:szCs w:val="20"/>
                <w:lang w:val="en-US"/>
              </w:rPr>
            </w:pPr>
            <w:r w:rsidRPr="003113EA">
              <w:rPr>
                <w:rFonts w:ascii="Calibri" w:hAnsi="Calibri" w:cs="Calibri"/>
                <w:b/>
                <w:bCs/>
                <w:color w:val="000000"/>
                <w:sz w:val="20"/>
                <w:szCs w:val="20"/>
              </w:rPr>
              <w:t>-490,728</w:t>
            </w:r>
          </w:p>
        </w:tc>
        <w:tc>
          <w:tcPr>
            <w:tcW w:w="1131" w:type="dxa"/>
            <w:tcBorders>
              <w:top w:val="nil"/>
              <w:left w:val="nil"/>
              <w:bottom w:val="single" w:sz="4" w:space="0" w:color="auto"/>
              <w:right w:val="single" w:sz="4" w:space="0" w:color="auto"/>
            </w:tcBorders>
            <w:shd w:val="clear" w:color="auto" w:fill="auto"/>
            <w:noWrap/>
            <w:vAlign w:val="center"/>
            <w:hideMark/>
          </w:tcPr>
          <w:p w14:paraId="719B3B9F"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rPr>
              <w:t>11,360,989</w:t>
            </w:r>
          </w:p>
        </w:tc>
        <w:tc>
          <w:tcPr>
            <w:tcW w:w="963" w:type="dxa"/>
            <w:tcBorders>
              <w:top w:val="nil"/>
              <w:left w:val="nil"/>
              <w:bottom w:val="single" w:sz="4" w:space="0" w:color="auto"/>
              <w:right w:val="single" w:sz="4" w:space="0" w:color="auto"/>
            </w:tcBorders>
            <w:shd w:val="clear" w:color="auto" w:fill="auto"/>
            <w:vAlign w:val="center"/>
            <w:hideMark/>
          </w:tcPr>
          <w:p w14:paraId="6B4B3F24"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-33,112</w:t>
            </w:r>
          </w:p>
        </w:tc>
        <w:tc>
          <w:tcPr>
            <w:tcW w:w="1620" w:type="dxa"/>
            <w:tcBorders>
              <w:top w:val="nil"/>
              <w:left w:val="nil"/>
              <w:bottom w:val="single" w:sz="4" w:space="0" w:color="auto"/>
              <w:right w:val="single" w:sz="4" w:space="0" w:color="auto"/>
            </w:tcBorders>
            <w:shd w:val="clear" w:color="auto" w:fill="auto"/>
            <w:noWrap/>
            <w:vAlign w:val="center"/>
            <w:hideMark/>
          </w:tcPr>
          <w:p w14:paraId="40C23600"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11,327,877</w:t>
            </w:r>
          </w:p>
        </w:tc>
        <w:tc>
          <w:tcPr>
            <w:tcW w:w="923" w:type="dxa"/>
            <w:tcBorders>
              <w:top w:val="nil"/>
              <w:left w:val="nil"/>
              <w:bottom w:val="single" w:sz="4" w:space="0" w:color="auto"/>
              <w:right w:val="single" w:sz="4" w:space="0" w:color="auto"/>
            </w:tcBorders>
            <w:shd w:val="clear" w:color="auto" w:fill="auto"/>
            <w:vAlign w:val="center"/>
            <w:hideMark/>
          </w:tcPr>
          <w:p w14:paraId="759E6375"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94.24%</w:t>
            </w:r>
          </w:p>
        </w:tc>
      </w:tr>
      <w:tr w:rsidR="006C14F6" w:rsidRPr="003113EA" w14:paraId="2E97F037" w14:textId="77777777" w:rsidTr="006C14F6">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F52DD6D" w14:textId="77777777" w:rsidR="006C14F6" w:rsidRPr="003113EA" w:rsidRDefault="006C14F6" w:rsidP="006C14F6">
            <w:pPr>
              <w:jc w:val="center"/>
              <w:rPr>
                <w:rFonts w:ascii="Calibri" w:hAnsi="Calibri" w:cs="Calibri"/>
                <w:b/>
                <w:bCs/>
                <w:color w:val="000000"/>
                <w:sz w:val="20"/>
                <w:szCs w:val="20"/>
                <w:lang w:val="en-US"/>
              </w:rPr>
            </w:pPr>
            <w:r w:rsidRPr="003113EA">
              <w:rPr>
                <w:rFonts w:ascii="Calibri" w:hAnsi="Calibri" w:cs="Calibri"/>
                <w:b/>
                <w:bCs/>
                <w:color w:val="000000"/>
                <w:sz w:val="20"/>
                <w:szCs w:val="20"/>
                <w:lang w:val="en-US"/>
              </w:rPr>
              <w:t>E</w:t>
            </w:r>
          </w:p>
        </w:tc>
        <w:tc>
          <w:tcPr>
            <w:tcW w:w="7542" w:type="dxa"/>
            <w:tcBorders>
              <w:top w:val="nil"/>
              <w:left w:val="nil"/>
              <w:bottom w:val="single" w:sz="4" w:space="0" w:color="auto"/>
              <w:right w:val="single" w:sz="4" w:space="0" w:color="auto"/>
            </w:tcBorders>
            <w:shd w:val="clear" w:color="auto" w:fill="auto"/>
            <w:vAlign w:val="center"/>
            <w:hideMark/>
          </w:tcPr>
          <w:p w14:paraId="490553A6" w14:textId="77777777" w:rsidR="006C14F6" w:rsidRPr="003113EA" w:rsidRDefault="006C14F6" w:rsidP="006C14F6">
            <w:pPr>
              <w:rPr>
                <w:rFonts w:ascii="Calibri" w:hAnsi="Calibri" w:cs="Calibri"/>
                <w:b/>
                <w:bCs/>
                <w:color w:val="000000"/>
                <w:sz w:val="20"/>
                <w:szCs w:val="20"/>
                <w:lang w:val="en-US"/>
              </w:rPr>
            </w:pPr>
            <w:r w:rsidRPr="003113EA">
              <w:rPr>
                <w:rFonts w:ascii="Calibri" w:hAnsi="Calibri" w:cs="Calibri"/>
                <w:b/>
                <w:bCs/>
                <w:color w:val="000000"/>
                <w:sz w:val="20"/>
                <w:szCs w:val="20"/>
                <w:lang w:val="en-US"/>
              </w:rPr>
              <w:t>Total Contribution from UNDP BCPR**</w:t>
            </w:r>
          </w:p>
        </w:tc>
        <w:tc>
          <w:tcPr>
            <w:tcW w:w="1915" w:type="dxa"/>
            <w:tcBorders>
              <w:top w:val="nil"/>
              <w:left w:val="nil"/>
              <w:bottom w:val="single" w:sz="4" w:space="0" w:color="auto"/>
              <w:right w:val="single" w:sz="4" w:space="0" w:color="auto"/>
            </w:tcBorders>
            <w:shd w:val="clear" w:color="auto" w:fill="auto"/>
            <w:noWrap/>
            <w:vAlign w:val="center"/>
            <w:hideMark/>
          </w:tcPr>
          <w:p w14:paraId="6C66D1DB" w14:textId="77777777" w:rsidR="006C14F6" w:rsidRPr="003113EA" w:rsidRDefault="006C14F6" w:rsidP="006C14F6">
            <w:pPr>
              <w:jc w:val="right"/>
              <w:rPr>
                <w:rFonts w:ascii="Calibri" w:hAnsi="Calibri" w:cs="Calibri"/>
                <w:color w:val="000000"/>
                <w:sz w:val="20"/>
                <w:szCs w:val="20"/>
                <w:lang w:val="en-US"/>
              </w:rPr>
            </w:pPr>
            <w:r w:rsidRPr="003113EA">
              <w:rPr>
                <w:rFonts w:ascii="Calibri" w:hAnsi="Calibri" w:cs="Calibri"/>
                <w:color w:val="000000"/>
                <w:sz w:val="20"/>
                <w:szCs w:val="20"/>
                <w:lang w:val="en-US"/>
              </w:rPr>
              <w:t>693,000</w:t>
            </w:r>
          </w:p>
        </w:tc>
        <w:tc>
          <w:tcPr>
            <w:tcW w:w="917" w:type="dxa"/>
            <w:tcBorders>
              <w:top w:val="nil"/>
              <w:left w:val="nil"/>
              <w:bottom w:val="single" w:sz="4" w:space="0" w:color="auto"/>
              <w:right w:val="single" w:sz="4" w:space="0" w:color="auto"/>
            </w:tcBorders>
            <w:shd w:val="clear" w:color="auto" w:fill="auto"/>
            <w:vAlign w:val="center"/>
            <w:hideMark/>
          </w:tcPr>
          <w:p w14:paraId="3F8DB47F" w14:textId="77777777" w:rsidR="006C14F6" w:rsidRPr="003113EA" w:rsidRDefault="006C14F6" w:rsidP="006C14F6">
            <w:pPr>
              <w:jc w:val="center"/>
              <w:rPr>
                <w:rFonts w:ascii="Calibri" w:hAnsi="Calibri" w:cs="Calibri"/>
                <w:i/>
                <w:iCs/>
                <w:color w:val="000000"/>
                <w:sz w:val="20"/>
                <w:szCs w:val="20"/>
                <w:lang w:val="en-US"/>
              </w:rPr>
            </w:pPr>
            <w:r w:rsidRPr="003113EA">
              <w:rPr>
                <w:rFonts w:ascii="Calibri" w:hAnsi="Calibri" w:cs="Calibri"/>
                <w:i/>
                <w:iCs/>
                <w:color w:val="000000"/>
                <w:sz w:val="20"/>
                <w:szCs w:val="20"/>
                <w:lang w:val="en-US"/>
              </w:rPr>
              <w:t>5.52%</w:t>
            </w:r>
          </w:p>
        </w:tc>
        <w:tc>
          <w:tcPr>
            <w:tcW w:w="1177" w:type="dxa"/>
            <w:tcBorders>
              <w:top w:val="nil"/>
              <w:left w:val="nil"/>
              <w:bottom w:val="single" w:sz="4" w:space="0" w:color="auto"/>
              <w:right w:val="single" w:sz="4" w:space="0" w:color="auto"/>
            </w:tcBorders>
            <w:shd w:val="clear" w:color="auto" w:fill="auto"/>
            <w:noWrap/>
            <w:vAlign w:val="center"/>
            <w:hideMark/>
          </w:tcPr>
          <w:p w14:paraId="3A52423B" w14:textId="77777777" w:rsidR="006C14F6" w:rsidRPr="003113EA" w:rsidRDefault="006C14F6" w:rsidP="006C14F6">
            <w:pPr>
              <w:rPr>
                <w:rFonts w:ascii="Calibri" w:hAnsi="Calibri" w:cs="Calibri"/>
                <w:color w:val="000000"/>
                <w:sz w:val="20"/>
                <w:szCs w:val="20"/>
                <w:lang w:val="en-US"/>
              </w:rPr>
            </w:pPr>
            <w:r w:rsidRPr="003113EA">
              <w:rPr>
                <w:rFonts w:ascii="Calibri" w:hAnsi="Calibri" w:cs="Calibri"/>
                <w:color w:val="000000"/>
                <w:sz w:val="20"/>
                <w:szCs w:val="20"/>
                <w:lang w:val="en-US"/>
              </w:rPr>
              <w:t xml:space="preserve">                        -   </w:t>
            </w:r>
          </w:p>
        </w:tc>
        <w:tc>
          <w:tcPr>
            <w:tcW w:w="1131" w:type="dxa"/>
            <w:tcBorders>
              <w:top w:val="nil"/>
              <w:left w:val="nil"/>
              <w:bottom w:val="single" w:sz="4" w:space="0" w:color="auto"/>
              <w:right w:val="single" w:sz="4" w:space="0" w:color="auto"/>
            </w:tcBorders>
            <w:shd w:val="clear" w:color="auto" w:fill="auto"/>
            <w:noWrap/>
            <w:vAlign w:val="center"/>
            <w:hideMark/>
          </w:tcPr>
          <w:p w14:paraId="00C39FF6"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693,000</w:t>
            </w:r>
          </w:p>
        </w:tc>
        <w:tc>
          <w:tcPr>
            <w:tcW w:w="963" w:type="dxa"/>
            <w:tcBorders>
              <w:top w:val="nil"/>
              <w:left w:val="nil"/>
              <w:bottom w:val="single" w:sz="4" w:space="0" w:color="auto"/>
              <w:right w:val="single" w:sz="4" w:space="0" w:color="auto"/>
            </w:tcBorders>
            <w:shd w:val="clear" w:color="auto" w:fill="auto"/>
            <w:vAlign w:val="center"/>
            <w:hideMark/>
          </w:tcPr>
          <w:p w14:paraId="6BDC61A1"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09A3F5A" w14:textId="77777777" w:rsidR="006C14F6" w:rsidRPr="003113EA" w:rsidRDefault="006C14F6" w:rsidP="006C14F6">
            <w:pPr>
              <w:jc w:val="right"/>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693,000</w:t>
            </w:r>
          </w:p>
        </w:tc>
        <w:tc>
          <w:tcPr>
            <w:tcW w:w="923" w:type="dxa"/>
            <w:tcBorders>
              <w:top w:val="nil"/>
              <w:left w:val="nil"/>
              <w:bottom w:val="single" w:sz="4" w:space="0" w:color="auto"/>
              <w:right w:val="single" w:sz="4" w:space="0" w:color="auto"/>
            </w:tcBorders>
            <w:shd w:val="clear" w:color="auto" w:fill="auto"/>
            <w:vAlign w:val="center"/>
            <w:hideMark/>
          </w:tcPr>
          <w:p w14:paraId="387D00E4" w14:textId="77777777" w:rsidR="006C14F6" w:rsidRPr="003113EA" w:rsidRDefault="006C14F6" w:rsidP="006C14F6">
            <w:pPr>
              <w:jc w:val="center"/>
              <w:rPr>
                <w:rFonts w:ascii="Calibri" w:hAnsi="Calibri" w:cs="Calibri"/>
                <w:b/>
                <w:bCs/>
                <w:i/>
                <w:iCs/>
                <w:color w:val="000000"/>
                <w:sz w:val="20"/>
                <w:szCs w:val="20"/>
                <w:lang w:val="en-US"/>
              </w:rPr>
            </w:pPr>
            <w:r w:rsidRPr="003113EA">
              <w:rPr>
                <w:rFonts w:ascii="Calibri" w:hAnsi="Calibri" w:cs="Calibri"/>
                <w:b/>
                <w:bCs/>
                <w:i/>
                <w:iCs/>
                <w:color w:val="000000"/>
                <w:sz w:val="20"/>
                <w:szCs w:val="20"/>
                <w:lang w:val="en-US"/>
              </w:rPr>
              <w:t>5.76%</w:t>
            </w:r>
          </w:p>
        </w:tc>
      </w:tr>
    </w:tbl>
    <w:p w14:paraId="15E73491" w14:textId="77777777" w:rsidR="006C14F6" w:rsidRPr="00565EEC" w:rsidRDefault="006C14F6" w:rsidP="006C14F6">
      <w:pPr>
        <w:rPr>
          <w:sz w:val="12"/>
        </w:rPr>
      </w:pPr>
    </w:p>
    <w:tbl>
      <w:tblPr>
        <w:tblW w:w="13840" w:type="dxa"/>
        <w:tblInd w:w="103" w:type="dxa"/>
        <w:tblLook w:val="04A0" w:firstRow="1" w:lastRow="0" w:firstColumn="1" w:lastColumn="0" w:noHBand="0" w:noVBand="1"/>
      </w:tblPr>
      <w:tblGrid>
        <w:gridCol w:w="13840"/>
      </w:tblGrid>
      <w:tr w:rsidR="006C14F6" w:rsidRPr="00750606" w14:paraId="7BD3394F" w14:textId="77777777" w:rsidTr="006C14F6">
        <w:trPr>
          <w:trHeight w:val="255"/>
        </w:trPr>
        <w:tc>
          <w:tcPr>
            <w:tcW w:w="13840" w:type="dxa"/>
            <w:tcBorders>
              <w:top w:val="nil"/>
              <w:left w:val="nil"/>
              <w:bottom w:val="nil"/>
              <w:right w:val="nil"/>
            </w:tcBorders>
            <w:shd w:val="clear" w:color="auto" w:fill="auto"/>
            <w:noWrap/>
            <w:vAlign w:val="bottom"/>
            <w:hideMark/>
          </w:tcPr>
          <w:p w14:paraId="2E472E98" w14:textId="77777777" w:rsidR="006C14F6" w:rsidRPr="00750606" w:rsidRDefault="006C14F6" w:rsidP="006C14F6">
            <w:pPr>
              <w:rPr>
                <w:rFonts w:ascii="Calibri" w:hAnsi="Calibri"/>
                <w:color w:val="000000"/>
                <w:sz w:val="20"/>
                <w:szCs w:val="20"/>
                <w:lang w:val="en-US"/>
              </w:rPr>
            </w:pPr>
          </w:p>
        </w:tc>
      </w:tr>
      <w:tr w:rsidR="006C14F6" w:rsidRPr="00750606" w14:paraId="5208C422" w14:textId="77777777" w:rsidTr="006C14F6">
        <w:trPr>
          <w:trHeight w:val="270"/>
        </w:trPr>
        <w:tc>
          <w:tcPr>
            <w:tcW w:w="13840" w:type="dxa"/>
            <w:tcBorders>
              <w:top w:val="nil"/>
              <w:left w:val="nil"/>
              <w:bottom w:val="nil"/>
              <w:right w:val="nil"/>
            </w:tcBorders>
            <w:shd w:val="clear" w:color="auto" w:fill="auto"/>
            <w:noWrap/>
            <w:vAlign w:val="bottom"/>
            <w:hideMark/>
          </w:tcPr>
          <w:p w14:paraId="714A7F76" w14:textId="77777777" w:rsidR="006C14F6" w:rsidRPr="00750606" w:rsidRDefault="006C14F6" w:rsidP="006C14F6">
            <w:pPr>
              <w:rPr>
                <w:rFonts w:ascii="Calibri" w:hAnsi="Calibri"/>
                <w:color w:val="000000"/>
                <w:sz w:val="20"/>
                <w:szCs w:val="20"/>
                <w:lang w:val="en-US"/>
              </w:rPr>
            </w:pPr>
            <w:r w:rsidRPr="00750606">
              <w:rPr>
                <w:rFonts w:ascii="Calibri" w:hAnsi="Calibri"/>
                <w:color w:val="000000"/>
                <w:sz w:val="20"/>
                <w:szCs w:val="20"/>
                <w:lang w:val="en-US"/>
              </w:rPr>
              <w:t xml:space="preserve">** Subtracted here as 7% indirect cost is not applied to this funding. </w:t>
            </w:r>
          </w:p>
        </w:tc>
      </w:tr>
      <w:tr w:rsidR="006C14F6" w:rsidRPr="00750606" w14:paraId="3820B737" w14:textId="77777777" w:rsidTr="006C14F6">
        <w:trPr>
          <w:trHeight w:val="255"/>
        </w:trPr>
        <w:tc>
          <w:tcPr>
            <w:tcW w:w="13840" w:type="dxa"/>
            <w:tcBorders>
              <w:top w:val="nil"/>
              <w:left w:val="nil"/>
              <w:bottom w:val="nil"/>
              <w:right w:val="nil"/>
            </w:tcBorders>
            <w:shd w:val="clear" w:color="auto" w:fill="auto"/>
            <w:noWrap/>
            <w:vAlign w:val="bottom"/>
            <w:hideMark/>
          </w:tcPr>
          <w:p w14:paraId="35592657" w14:textId="77777777" w:rsidR="006C14F6" w:rsidRPr="00750606" w:rsidRDefault="006C14F6" w:rsidP="006C14F6">
            <w:pPr>
              <w:rPr>
                <w:rFonts w:ascii="Calibri" w:hAnsi="Calibri"/>
                <w:i/>
                <w:iCs/>
                <w:color w:val="000000"/>
                <w:sz w:val="20"/>
                <w:szCs w:val="20"/>
                <w:lang w:val="en-US"/>
              </w:rPr>
            </w:pPr>
            <w:r w:rsidRPr="00750606">
              <w:rPr>
                <w:rFonts w:ascii="Calibri" w:hAnsi="Calibri"/>
                <w:i/>
                <w:iCs/>
                <w:color w:val="000000"/>
                <w:sz w:val="20"/>
                <w:szCs w:val="20"/>
                <w:lang w:val="en-US"/>
              </w:rPr>
              <w:t xml:space="preserve">     Percentage figures are calculated against the total budget including BCPR funding</w:t>
            </w:r>
          </w:p>
        </w:tc>
      </w:tr>
    </w:tbl>
    <w:p w14:paraId="53BCE2F6" w14:textId="77777777" w:rsidR="006C14F6" w:rsidRDefault="006C14F6" w:rsidP="006C14F6">
      <w:pPr>
        <w:jc w:val="center"/>
        <w:rPr>
          <w:b/>
        </w:rPr>
      </w:pPr>
      <w:r w:rsidRPr="00342087">
        <w:rPr>
          <w:b/>
        </w:rPr>
        <w:t>****</w:t>
      </w:r>
    </w:p>
    <w:p w14:paraId="413EB69F" w14:textId="77777777" w:rsidR="00C77765" w:rsidRDefault="00C77765">
      <w:pPr>
        <w:spacing w:after="200" w:line="276" w:lineRule="auto"/>
        <w:jc w:val="left"/>
      </w:pPr>
    </w:p>
    <w:p w14:paraId="45B11967" w14:textId="77777777" w:rsidR="006C14F6" w:rsidRPr="00ED37CF" w:rsidRDefault="006C14F6" w:rsidP="006C14F6">
      <w:pPr>
        <w:tabs>
          <w:tab w:val="left" w:leader="dot" w:pos="9072"/>
        </w:tabs>
        <w:autoSpaceDE w:val="0"/>
        <w:autoSpaceDN w:val="0"/>
        <w:adjustRightInd w:val="0"/>
        <w:spacing w:before="120"/>
        <w:rPr>
          <w:rFonts w:cs="Arial"/>
          <w:b/>
          <w:bCs/>
          <w:color w:val="000000"/>
          <w:lang w:eastAsia="en-GB"/>
        </w:rPr>
      </w:pPr>
      <w:r w:rsidRPr="00ED37CF">
        <w:rPr>
          <w:rFonts w:cs="Arial"/>
          <w:b/>
          <w:bCs/>
          <w:color w:val="000000"/>
          <w:lang w:eastAsia="en-GB"/>
        </w:rPr>
        <w:t>ANNEX:</w:t>
      </w:r>
    </w:p>
    <w:p w14:paraId="36285A36" w14:textId="77777777" w:rsidR="006C14F6" w:rsidRPr="00ED37CF" w:rsidRDefault="006C14F6" w:rsidP="006C14F6">
      <w:pPr>
        <w:pStyle w:val="NoSpacing"/>
      </w:pPr>
      <w:r w:rsidRPr="00ED37CF">
        <w:rPr>
          <w:b/>
        </w:rPr>
        <w:t>Annex-A:</w:t>
      </w:r>
      <w:r w:rsidRPr="00ED37CF">
        <w:t xml:space="preserve"> Independent Evaluation Report</w:t>
      </w:r>
    </w:p>
    <w:p w14:paraId="4519A2A2" w14:textId="77777777" w:rsidR="006C14F6" w:rsidRPr="00ED37CF" w:rsidRDefault="006C14F6" w:rsidP="006C14F6">
      <w:pPr>
        <w:pStyle w:val="NoSpacing"/>
      </w:pPr>
      <w:r w:rsidRPr="00ED37CF">
        <w:rPr>
          <w:b/>
        </w:rPr>
        <w:t>Annex-B:</w:t>
      </w:r>
      <w:r w:rsidRPr="00ED37CF">
        <w:t xml:space="preserve"> Knowledge Management Documents</w:t>
      </w:r>
    </w:p>
    <w:p w14:paraId="0380F29A" w14:textId="77777777" w:rsidR="006C14F6" w:rsidRPr="00ED37CF" w:rsidRDefault="006C14F6" w:rsidP="006C14F6">
      <w:pPr>
        <w:pStyle w:val="NoSpacing"/>
      </w:pPr>
      <w:r w:rsidRPr="00ED37CF">
        <w:rPr>
          <w:b/>
        </w:rPr>
        <w:t>Annex-C:</w:t>
      </w:r>
      <w:r w:rsidRPr="00ED37CF">
        <w:t xml:space="preserve"> Post Rehabilitation and Participant Satisfaction Survey</w:t>
      </w:r>
    </w:p>
    <w:p w14:paraId="04E7B7F2" w14:textId="77777777" w:rsidR="006C14F6" w:rsidRDefault="006C14F6" w:rsidP="006C14F6">
      <w:pPr>
        <w:pStyle w:val="NoSpacing"/>
      </w:pPr>
      <w:r w:rsidRPr="00ED37CF">
        <w:rPr>
          <w:b/>
        </w:rPr>
        <w:t>Annex-D:</w:t>
      </w:r>
      <w:r w:rsidRPr="00ED37CF">
        <w:t xml:space="preserve"> </w:t>
      </w:r>
      <w:r w:rsidRPr="00646D21">
        <w:rPr>
          <w:b/>
          <w:sz w:val="32"/>
        </w:rPr>
        <w:t xml:space="preserve"> </w:t>
      </w:r>
      <w:r w:rsidRPr="00646D21">
        <w:t>F</w:t>
      </w:r>
      <w:r>
        <w:t xml:space="preserve">ragile Femininities, Violent Masculinities? </w:t>
      </w:r>
      <w:r w:rsidRPr="00646D21">
        <w:t>Gender in the reintegration of Maoist ex-combatants in Nepal</w:t>
      </w:r>
      <w:r>
        <w:t>, Laura Ronkainen, Department of Political Science and Contemporary History, University of Turku, March 2013</w:t>
      </w:r>
    </w:p>
    <w:p w14:paraId="488862A8" w14:textId="77777777" w:rsidR="006C14F6" w:rsidRPr="00ED37CF" w:rsidRDefault="006C14F6" w:rsidP="006C14F6">
      <w:pPr>
        <w:pStyle w:val="NoSpacing"/>
      </w:pPr>
      <w:r w:rsidRPr="00ED37CF">
        <w:rPr>
          <w:b/>
        </w:rPr>
        <w:t>Annex-E:</w:t>
      </w:r>
      <w:r w:rsidRPr="00ED37CF">
        <w:t xml:space="preserve"> 4 Success Stories (1 representing each of the rehabilitation packages)</w:t>
      </w:r>
    </w:p>
    <w:p w14:paraId="5C435459" w14:textId="1E07CCFA" w:rsidR="006C14F6" w:rsidRPr="00ED37CF" w:rsidRDefault="006C14F6" w:rsidP="006C14F6">
      <w:pPr>
        <w:pStyle w:val="NoSpacing"/>
      </w:pPr>
      <w:r w:rsidRPr="00ED37CF">
        <w:rPr>
          <w:b/>
        </w:rPr>
        <w:t xml:space="preserve">Annex-F: </w:t>
      </w:r>
      <w:r w:rsidRPr="00ED37CF">
        <w:t>Review of Reintegration Programme by BCPR</w:t>
      </w:r>
    </w:p>
    <w:p w14:paraId="0CCCBE68" w14:textId="77777777" w:rsidR="003022D8" w:rsidRDefault="003022D8" w:rsidP="006A15E0">
      <w:pPr>
        <w:tabs>
          <w:tab w:val="left" w:leader="dot" w:pos="9072"/>
        </w:tabs>
        <w:autoSpaceDE w:val="0"/>
        <w:autoSpaceDN w:val="0"/>
        <w:adjustRightInd w:val="0"/>
        <w:spacing w:before="120"/>
        <w:rPr>
          <w:rFonts w:cs="Arial"/>
          <w:b/>
          <w:bCs/>
          <w:color w:val="000000"/>
          <w:lang w:eastAsia="en-GB"/>
        </w:rPr>
        <w:sectPr w:rsidR="003022D8" w:rsidSect="00C77765">
          <w:pgSz w:w="16834" w:h="11909" w:orient="landscape" w:code="9"/>
          <w:pgMar w:top="1440" w:right="1080" w:bottom="1080" w:left="1080" w:header="720" w:footer="720" w:gutter="0"/>
          <w:cols w:space="720"/>
          <w:docGrid w:linePitch="360"/>
        </w:sectPr>
      </w:pPr>
    </w:p>
    <w:p w14:paraId="3731BCE8" w14:textId="77777777" w:rsidR="008800F2" w:rsidRPr="00ED37CF" w:rsidRDefault="008800F2" w:rsidP="006C14F6">
      <w:pPr>
        <w:tabs>
          <w:tab w:val="left" w:leader="dot" w:pos="9072"/>
        </w:tabs>
        <w:autoSpaceDE w:val="0"/>
        <w:autoSpaceDN w:val="0"/>
        <w:adjustRightInd w:val="0"/>
        <w:spacing w:before="120"/>
      </w:pPr>
    </w:p>
    <w:sectPr w:rsidR="008800F2" w:rsidRPr="00ED37CF" w:rsidSect="003022D8">
      <w:pgSz w:w="11909" w:h="16834" w:code="9"/>
      <w:pgMar w:top="1080" w:right="108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illa Ristimaki" w:date="2015-02-17T13:53:00Z" w:initials="SR">
    <w:p w14:paraId="7A550E65" w14:textId="2A225829" w:rsidR="003F3798" w:rsidRDefault="003F3798">
      <w:pPr>
        <w:pStyle w:val="CommentText"/>
      </w:pPr>
      <w:r>
        <w:rPr>
          <w:rStyle w:val="CommentReference"/>
        </w:rPr>
        <w:annotationRef/>
      </w:r>
      <w:r>
        <w:t>Need to complete this by agency</w:t>
      </w:r>
    </w:p>
  </w:comment>
  <w:comment w:id="6" w:author="Silla Ristimaki" w:date="2015-02-17T13:52:00Z" w:initials="SR">
    <w:p w14:paraId="57CC12C2" w14:textId="73FADF4A" w:rsidR="003F3798" w:rsidRDefault="003F3798">
      <w:pPr>
        <w:pStyle w:val="CommentText"/>
      </w:pPr>
      <w:r>
        <w:rPr>
          <w:rStyle w:val="CommentReference"/>
        </w:rPr>
        <w:annotationRef/>
      </w:r>
      <w:r>
        <w:t>Need to complete. Would it be feasible that this is completed within 67 months of project closure, ie by August 2015?</w:t>
      </w:r>
    </w:p>
  </w:comment>
  <w:comment w:id="7" w:author="Archana Aryal" w:date="2015-02-25T14:45:00Z" w:initials="AA">
    <w:p w14:paraId="16D1D8B8" w14:textId="711D06B0" w:rsidR="003F3798" w:rsidRDefault="003F3798">
      <w:pPr>
        <w:pStyle w:val="CommentText"/>
      </w:pPr>
      <w:r>
        <w:rPr>
          <w:rStyle w:val="CommentReference"/>
        </w:rPr>
        <w:annotationRef/>
      </w:r>
      <w:r>
        <w:t>Yes it is possible.</w:t>
      </w:r>
    </w:p>
  </w:comment>
  <w:comment w:id="113" w:author="Silla Ristimaki" w:date="2015-02-26T17:14:00Z" w:initials="SR">
    <w:p w14:paraId="66614EF5" w14:textId="77777777" w:rsidR="003F3798" w:rsidRDefault="003F3798" w:rsidP="005356A9">
      <w:pPr>
        <w:pStyle w:val="CommentText"/>
      </w:pPr>
      <w:r>
        <w:rPr>
          <w:rStyle w:val="CommentReference"/>
        </w:rPr>
        <w:annotationRef/>
      </w:r>
      <w:r>
        <w:t>Is this table essentially reporting again outcome 2 of the project? If yes, please note that somewhere. Or why does the numbering of indicators start with ‘2’?</w:t>
      </w:r>
    </w:p>
    <w:p w14:paraId="3E1EF7B4" w14:textId="77777777" w:rsidR="003F3798" w:rsidRDefault="003F3798" w:rsidP="005356A9">
      <w:pPr>
        <w:pStyle w:val="CommentText"/>
      </w:pPr>
    </w:p>
    <w:p w14:paraId="4511810B" w14:textId="77777777" w:rsidR="003F3798" w:rsidRDefault="003F3798" w:rsidP="005356A9">
      <w:pPr>
        <w:pStyle w:val="CommentText"/>
      </w:pPr>
      <w:r>
        <w:t>Please also note the final status and the dates (year) from when the data is.</w:t>
      </w:r>
    </w:p>
  </w:comment>
  <w:comment w:id="114" w:author="Abdul Hameed Omar" w:date="2015-03-02T21:40:00Z" w:initials="AHO">
    <w:p w14:paraId="12C4BF7C" w14:textId="4A40E681" w:rsidR="003F3798" w:rsidRDefault="003F3798">
      <w:pPr>
        <w:pStyle w:val="CommentText"/>
      </w:pPr>
      <w:r>
        <w:rPr>
          <w:rStyle w:val="CommentReference"/>
        </w:rPr>
        <w:annotationRef/>
      </w:r>
      <w:r>
        <w:t xml:space="preserve">This is not about outcome 2. The section above is about outcome 2. This is about outcome 1. Please change the number if it is confusing. </w:t>
      </w:r>
    </w:p>
  </w:comment>
  <w:comment w:id="115" w:author="Archana Aryal" w:date="2015-02-26T17:14:00Z" w:initials="AA">
    <w:p w14:paraId="4B9055DE" w14:textId="77777777" w:rsidR="003F3798" w:rsidRDefault="003F3798" w:rsidP="005356A9">
      <w:pPr>
        <w:pStyle w:val="CommentText"/>
      </w:pPr>
      <w:r>
        <w:rPr>
          <w:rStyle w:val="CommentReference"/>
        </w:rPr>
        <w:annotationRef/>
      </w:r>
      <w:r>
        <w:t>Silla, I am confused here. This is not in line with outcome and output. In the summary sheet (pg n. 3), the document mentions strategic result/priority area. I could not exactly find out how the numbering was done. Let’s discuss.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0E65" w15:done="0"/>
  <w15:commentEx w15:paraId="57CC12C2" w15:done="0"/>
  <w15:commentEx w15:paraId="16D1D8B8" w15:done="0"/>
  <w15:commentEx w15:paraId="4511810B" w15:done="0"/>
  <w15:commentEx w15:paraId="12C4BF7C" w15:paraIdParent="4511810B" w15:done="0"/>
  <w15:commentEx w15:paraId="4B9055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6AEA" w14:textId="77777777" w:rsidR="00496768" w:rsidRDefault="00496768" w:rsidP="001C4919">
      <w:pPr>
        <w:spacing w:after="0" w:line="240" w:lineRule="auto"/>
      </w:pPr>
      <w:r>
        <w:separator/>
      </w:r>
    </w:p>
    <w:p w14:paraId="588744D5" w14:textId="77777777" w:rsidR="00496768" w:rsidRDefault="00496768"/>
  </w:endnote>
  <w:endnote w:type="continuationSeparator" w:id="0">
    <w:p w14:paraId="3F8B6DA4" w14:textId="77777777" w:rsidR="00496768" w:rsidRDefault="00496768" w:rsidP="001C4919">
      <w:pPr>
        <w:spacing w:after="0" w:line="240" w:lineRule="auto"/>
      </w:pPr>
      <w:r>
        <w:continuationSeparator/>
      </w:r>
    </w:p>
    <w:p w14:paraId="62FA0FDB" w14:textId="77777777" w:rsidR="00496768" w:rsidRDefault="0049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30"/>
      <w:docPartObj>
        <w:docPartGallery w:val="Page Numbers (Bottom of Page)"/>
        <w:docPartUnique/>
      </w:docPartObj>
    </w:sdtPr>
    <w:sdtEndPr>
      <w:rPr>
        <w:color w:val="7F7F7F" w:themeColor="background1" w:themeShade="7F"/>
        <w:spacing w:val="60"/>
      </w:rPr>
    </w:sdtEndPr>
    <w:sdtContent>
      <w:p w14:paraId="5B738AD6" w14:textId="77777777" w:rsidR="003F3798" w:rsidRDefault="003F37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6DF2">
          <w:rPr>
            <w:noProof/>
          </w:rPr>
          <w:t>14</w:t>
        </w:r>
        <w:r>
          <w:rPr>
            <w:noProof/>
          </w:rPr>
          <w:fldChar w:fldCharType="end"/>
        </w:r>
        <w:r>
          <w:t xml:space="preserve"> | </w:t>
        </w:r>
        <w:r>
          <w:rPr>
            <w:color w:val="7F7F7F" w:themeColor="background1" w:themeShade="7F"/>
            <w:spacing w:val="60"/>
          </w:rPr>
          <w:t>Page</w:t>
        </w:r>
      </w:p>
    </w:sdtContent>
  </w:sdt>
  <w:p w14:paraId="7AA20E68" w14:textId="77777777" w:rsidR="003F3798" w:rsidRDefault="003F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E4A3" w14:textId="77777777" w:rsidR="00496768" w:rsidRDefault="00496768" w:rsidP="001C4919">
      <w:pPr>
        <w:spacing w:after="0" w:line="240" w:lineRule="auto"/>
      </w:pPr>
      <w:r>
        <w:separator/>
      </w:r>
    </w:p>
    <w:p w14:paraId="68473653" w14:textId="77777777" w:rsidR="00496768" w:rsidRDefault="00496768"/>
  </w:footnote>
  <w:footnote w:type="continuationSeparator" w:id="0">
    <w:p w14:paraId="7632B110" w14:textId="77777777" w:rsidR="00496768" w:rsidRDefault="00496768" w:rsidP="001C4919">
      <w:pPr>
        <w:spacing w:after="0" w:line="240" w:lineRule="auto"/>
      </w:pPr>
      <w:r>
        <w:continuationSeparator/>
      </w:r>
    </w:p>
    <w:p w14:paraId="11BFBCAF" w14:textId="77777777" w:rsidR="00496768" w:rsidRDefault="00496768"/>
  </w:footnote>
  <w:footnote w:id="1">
    <w:p w14:paraId="667B562C" w14:textId="77777777" w:rsidR="003F3798" w:rsidRPr="005E1EE9" w:rsidRDefault="003F3798" w:rsidP="00D77949">
      <w:pPr>
        <w:pStyle w:val="FootnoteText"/>
        <w:rPr>
          <w:rFonts w:ascii="Myriad Pro" w:hAnsi="Myriad Pro"/>
          <w:sz w:val="16"/>
          <w:szCs w:val="16"/>
        </w:rPr>
      </w:pPr>
      <w:r w:rsidRPr="005E1EE9">
        <w:rPr>
          <w:rStyle w:val="FootnoteReference"/>
          <w:rFonts w:ascii="Myriad Pro" w:hAnsi="Myriad Pro"/>
          <w:sz w:val="16"/>
          <w:szCs w:val="16"/>
        </w:rPr>
        <w:footnoteRef/>
      </w:r>
      <w:r w:rsidRPr="005E1EE9">
        <w:rPr>
          <w:rFonts w:ascii="Myriad Pro" w:hAnsi="Myriad Pro"/>
          <w:sz w:val="16"/>
          <w:szCs w:val="16"/>
        </w:rPr>
        <w:t xml:space="preserve"> </w:t>
      </w:r>
      <w:r w:rsidRPr="005E1EE9">
        <w:rPr>
          <w:rFonts w:ascii="Myriad Pro" w:hAnsi="Myriad Pro" w:cs="Calibri"/>
          <w:sz w:val="16"/>
          <w:szCs w:val="16"/>
        </w:rPr>
        <w:t>In 137 education dropouts, 42 Migrated, 23 not in contact and 50 working or engaged in economic activities</w:t>
      </w:r>
    </w:p>
  </w:footnote>
  <w:footnote w:id="2">
    <w:p w14:paraId="24A5C7A7" w14:textId="77777777" w:rsidR="003F3798" w:rsidRPr="008344D5" w:rsidRDefault="003F3798" w:rsidP="00D77949">
      <w:pPr>
        <w:pStyle w:val="FootnoteText"/>
      </w:pPr>
      <w:r w:rsidRPr="005E1EE9">
        <w:rPr>
          <w:rStyle w:val="FootnoteReference"/>
          <w:rFonts w:ascii="Myriad Pro" w:hAnsi="Myriad Pro"/>
          <w:sz w:val="16"/>
          <w:szCs w:val="16"/>
        </w:rPr>
        <w:footnoteRef/>
      </w:r>
      <w:r w:rsidRPr="005E1EE9">
        <w:rPr>
          <w:rFonts w:ascii="Myriad Pro" w:hAnsi="Myriad Pro"/>
          <w:sz w:val="16"/>
          <w:szCs w:val="16"/>
        </w:rPr>
        <w:t xml:space="preserve"> </w:t>
      </w:r>
      <w:r w:rsidRPr="005E1EE9">
        <w:rPr>
          <w:rFonts w:ascii="Myriad Pro" w:hAnsi="Myriad Pro" w:cs="Calibri"/>
          <w:sz w:val="16"/>
          <w:szCs w:val="16"/>
        </w:rPr>
        <w:t xml:space="preserve">1759 are those who have completed training under VST, ME and Health option. </w:t>
      </w:r>
      <w:r w:rsidRPr="005E1EE9">
        <w:rPr>
          <w:rFonts w:ascii="Myriad Pro" w:hAnsi="Myriad Pro" w:cs="Calibri"/>
          <w:iCs/>
          <w:sz w:val="16"/>
          <w:szCs w:val="16"/>
        </w:rPr>
        <w:t xml:space="preserve">25 </w:t>
      </w:r>
      <w:r w:rsidRPr="005E1EE9">
        <w:rPr>
          <w:rFonts w:ascii="Myriad Pro" w:hAnsi="Myriad Pro" w:cs="Calibri"/>
          <w:sz w:val="16"/>
          <w:szCs w:val="16"/>
        </w:rPr>
        <w:t>graduates under vocational skills training refused jobs offered, because they have income from other sources. The employment rate will rise to 73% if these are considered as employed</w:t>
      </w:r>
      <w:r w:rsidRPr="005E1EE9">
        <w:rPr>
          <w:rFonts w:ascii="Myriad Pro" w:hAnsi="Myriad Pro" w:cs="Calibri"/>
          <w:iCs/>
          <w:sz w:val="16"/>
          <w:szCs w:val="16"/>
        </w:rPr>
        <w:t>.</w:t>
      </w:r>
    </w:p>
  </w:footnote>
  <w:footnote w:id="3">
    <w:p w14:paraId="2464E8E6" w14:textId="05E12EE0" w:rsidR="003F3798" w:rsidRDefault="003F3798" w:rsidP="00D97044">
      <w:r>
        <w:rPr>
          <w:rStyle w:val="FootnoteReference"/>
        </w:rPr>
        <w:footnoteRef/>
      </w:r>
      <w:r>
        <w:t xml:space="preserve"> Verified Minors and Late Recruits (VMLR) were initially referred to by government officials and media as “</w:t>
      </w:r>
      <w:r w:rsidRPr="00D97044">
        <w:rPr>
          <w:i/>
          <w:iCs/>
        </w:rPr>
        <w:t>disqualified</w:t>
      </w:r>
      <w:r>
        <w:t>”, after they were verified as minors or as later recruits (recruited after the signing of CPA). The Nepali translation of the word “disqualified”, (‘</w:t>
      </w:r>
      <w:r w:rsidRPr="005B5B52">
        <w:rPr>
          <w:i/>
          <w:iCs/>
        </w:rPr>
        <w:t>aayouga</w:t>
      </w:r>
      <w:r>
        <w:t>’ in Nepali), however, has negative connotation as it means ‘</w:t>
      </w:r>
      <w:r w:rsidRPr="005B5B52">
        <w:rPr>
          <w:i/>
          <w:iCs/>
        </w:rPr>
        <w:t>incapable</w:t>
      </w:r>
      <w:r>
        <w:t>’ in Nepali. This ‘title’ was resented by the VMLRs as they did not regard themselves as incapable (of being People’s Liberation Army). Moreover, according to many VMLRs accounts, they felt disgraced to go back to their community and family tagged as ‘</w:t>
      </w:r>
      <w:r w:rsidRPr="005B5B52">
        <w:rPr>
          <w:i/>
          <w:iCs/>
        </w:rPr>
        <w:t>aayouga</w:t>
      </w:r>
      <w:r>
        <w:t xml:space="preserve">’ </w:t>
      </w:r>
      <w:r w:rsidRPr="00852FE1">
        <w:t>or</w:t>
      </w:r>
      <w:r>
        <w:rPr>
          <w:i/>
          <w:iCs/>
        </w:rPr>
        <w:t xml:space="preserve"> ‘incapable’</w:t>
      </w:r>
      <w:r>
        <w:t>.  The UNIRP project managed to popularise the term ‘Verified Minors and Late Recruits (VMLR)’ to address the minors and late recruits at the later stage.</w:t>
      </w:r>
    </w:p>
    <w:p w14:paraId="217E8B3D" w14:textId="04A761F0" w:rsidR="003F3798" w:rsidRPr="00D97044" w:rsidRDefault="003F37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44E"/>
    <w:multiLevelType w:val="hybridMultilevel"/>
    <w:tmpl w:val="6AB8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274F"/>
    <w:multiLevelType w:val="hybridMultilevel"/>
    <w:tmpl w:val="7A408016"/>
    <w:lvl w:ilvl="0" w:tplc="23689BC2">
      <w:start w:val="8"/>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5C25"/>
    <w:multiLevelType w:val="multilevel"/>
    <w:tmpl w:val="868653E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003BD"/>
    <w:multiLevelType w:val="multilevel"/>
    <w:tmpl w:val="AA587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A22FB"/>
    <w:multiLevelType w:val="hybridMultilevel"/>
    <w:tmpl w:val="E6887280"/>
    <w:lvl w:ilvl="0" w:tplc="26166FBC">
      <w:start w:val="1"/>
      <w:numFmt w:val="decimal"/>
      <w:pStyle w:val="Heading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599A"/>
    <w:multiLevelType w:val="multilevel"/>
    <w:tmpl w:val="584CCB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A77F36"/>
    <w:multiLevelType w:val="hybridMultilevel"/>
    <w:tmpl w:val="1074B4FA"/>
    <w:lvl w:ilvl="0" w:tplc="9DDA3DC6">
      <w:start w:val="7"/>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259"/>
    <w:multiLevelType w:val="hybridMultilevel"/>
    <w:tmpl w:val="D44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C7230"/>
    <w:multiLevelType w:val="hybridMultilevel"/>
    <w:tmpl w:val="B268DFB2"/>
    <w:lvl w:ilvl="0" w:tplc="A1E8D3A0">
      <w:start w:val="6"/>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63DAB"/>
    <w:multiLevelType w:val="hybridMultilevel"/>
    <w:tmpl w:val="281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879B1"/>
    <w:multiLevelType w:val="hybridMultilevel"/>
    <w:tmpl w:val="FC2CEF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907300"/>
    <w:multiLevelType w:val="hybridMultilevel"/>
    <w:tmpl w:val="38A8130C"/>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2" w15:restartNumberingAfterBreak="0">
    <w:nsid w:val="2B5F25F4"/>
    <w:multiLevelType w:val="hybridMultilevel"/>
    <w:tmpl w:val="5D5CFAA4"/>
    <w:lvl w:ilvl="0" w:tplc="C5886F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37B"/>
    <w:multiLevelType w:val="hybridMultilevel"/>
    <w:tmpl w:val="05A2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27BC"/>
    <w:multiLevelType w:val="hybridMultilevel"/>
    <w:tmpl w:val="A098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0FBF"/>
    <w:multiLevelType w:val="multilevel"/>
    <w:tmpl w:val="6E10C7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AD6E81"/>
    <w:multiLevelType w:val="hybridMultilevel"/>
    <w:tmpl w:val="1AACA2EC"/>
    <w:lvl w:ilvl="0" w:tplc="B226F646">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44D2"/>
    <w:multiLevelType w:val="hybridMultilevel"/>
    <w:tmpl w:val="E2C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B4DE6"/>
    <w:multiLevelType w:val="hybridMultilevel"/>
    <w:tmpl w:val="6BCA96D4"/>
    <w:lvl w:ilvl="0" w:tplc="0A800E72">
      <w:start w:val="1"/>
      <w:numFmt w:val="decimal"/>
      <w:lvlText w:val="2.%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31655B2"/>
    <w:multiLevelType w:val="hybridMultilevel"/>
    <w:tmpl w:val="AD3C8194"/>
    <w:lvl w:ilvl="0" w:tplc="98B264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A7A41"/>
    <w:multiLevelType w:val="hybridMultilevel"/>
    <w:tmpl w:val="1B6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216B5"/>
    <w:multiLevelType w:val="hybridMultilevel"/>
    <w:tmpl w:val="93AA6528"/>
    <w:lvl w:ilvl="0" w:tplc="8D00C3EA">
      <w:start w:val="5"/>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45306"/>
    <w:multiLevelType w:val="hybridMultilevel"/>
    <w:tmpl w:val="B61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08A6"/>
    <w:multiLevelType w:val="hybridMultilevel"/>
    <w:tmpl w:val="FEB6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987"/>
    <w:multiLevelType w:val="multilevel"/>
    <w:tmpl w:val="FD2C4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3A1F96"/>
    <w:multiLevelType w:val="multilevel"/>
    <w:tmpl w:val="F4EEE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D80425B"/>
    <w:multiLevelType w:val="hybridMultilevel"/>
    <w:tmpl w:val="A7920008"/>
    <w:lvl w:ilvl="0" w:tplc="0A800E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C4978"/>
    <w:multiLevelType w:val="hybridMultilevel"/>
    <w:tmpl w:val="70B8B3C8"/>
    <w:lvl w:ilvl="0" w:tplc="166EF1F4">
      <w:start w:val="4"/>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D384B"/>
    <w:multiLevelType w:val="hybridMultilevel"/>
    <w:tmpl w:val="A5400C8A"/>
    <w:lvl w:ilvl="0" w:tplc="9D7AE95A">
      <w:start w:val="1"/>
      <w:numFmt w:val="decimal"/>
      <w:pStyle w:val="HeadingIII"/>
      <w:lvlText w:val="5. %1"/>
      <w:lvlJc w:val="left"/>
      <w:pPr>
        <w:ind w:left="720" w:hanging="360"/>
      </w:pPr>
      <w:rPr>
        <w:rFonts w:ascii="Myriad Pro" w:hAnsi="Myriad Pro"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249B8"/>
    <w:multiLevelType w:val="hybridMultilevel"/>
    <w:tmpl w:val="C5E4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C5CF3"/>
    <w:multiLevelType w:val="multilevel"/>
    <w:tmpl w:val="E70C408A"/>
    <w:lvl w:ilvl="0">
      <w:start w:val="2"/>
      <w:numFmt w:val="decimal"/>
      <w:lvlText w:val="%1."/>
      <w:lvlJc w:val="left"/>
      <w:pPr>
        <w:ind w:left="360" w:hanging="360"/>
      </w:pPr>
      <w:rPr>
        <w:rFonts w:hint="default"/>
      </w:rPr>
    </w:lvl>
    <w:lvl w:ilvl="1">
      <w:start w:val="1"/>
      <w:numFmt w:val="none"/>
      <w:isLg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52871AA"/>
    <w:multiLevelType w:val="hybridMultilevel"/>
    <w:tmpl w:val="CC7C6008"/>
    <w:lvl w:ilvl="0" w:tplc="E8BAC9D0">
      <w:start w:val="3"/>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77F35"/>
    <w:multiLevelType w:val="hybridMultilevel"/>
    <w:tmpl w:val="E37CA30A"/>
    <w:lvl w:ilvl="0" w:tplc="DE12DDC0">
      <w:start w:val="8"/>
      <w:numFmt w:val="decimal"/>
      <w:lvlText w:val="2.%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4398B"/>
    <w:multiLevelType w:val="multilevel"/>
    <w:tmpl w:val="820C9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7D34EE"/>
    <w:multiLevelType w:val="hybridMultilevel"/>
    <w:tmpl w:val="9190DDD0"/>
    <w:lvl w:ilvl="0" w:tplc="04090001">
      <w:start w:val="1"/>
      <w:numFmt w:val="bullet"/>
      <w:pStyle w:val="tabletext"/>
      <w:lvlText w:val="●"/>
      <w:lvlJc w:val="left"/>
      <w:pPr>
        <w:tabs>
          <w:tab w:val="num" w:pos="1077"/>
        </w:tabs>
        <w:ind w:left="1077" w:hanging="357"/>
      </w:pPr>
      <w:rPr>
        <w:rFonts w:ascii="Times New Roman" w:hAnsi="Times New Roman" w:cs="Times New Roman"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B6BDD"/>
    <w:multiLevelType w:val="hybridMultilevel"/>
    <w:tmpl w:val="CBCCDE9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50FB"/>
    <w:multiLevelType w:val="hybridMultilevel"/>
    <w:tmpl w:val="0B3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D625C"/>
    <w:multiLevelType w:val="multilevel"/>
    <w:tmpl w:val="4C282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AD0553"/>
    <w:multiLevelType w:val="hybridMultilevel"/>
    <w:tmpl w:val="BDF03B04"/>
    <w:lvl w:ilvl="0" w:tplc="DF4C297C">
      <w:start w:val="6"/>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4"/>
  </w:num>
  <w:num w:numId="4">
    <w:abstractNumId w:val="30"/>
  </w:num>
  <w:num w:numId="5">
    <w:abstractNumId w:val="18"/>
  </w:num>
  <w:num w:numId="6">
    <w:abstractNumId w:val="26"/>
  </w:num>
  <w:num w:numId="7">
    <w:abstractNumId w:val="12"/>
  </w:num>
  <w:num w:numId="8">
    <w:abstractNumId w:val="19"/>
  </w:num>
  <w:num w:numId="9">
    <w:abstractNumId w:val="31"/>
  </w:num>
  <w:num w:numId="10">
    <w:abstractNumId w:val="27"/>
  </w:num>
  <w:num w:numId="11">
    <w:abstractNumId w:val="16"/>
  </w:num>
  <w:num w:numId="12">
    <w:abstractNumId w:val="15"/>
  </w:num>
  <w:num w:numId="13">
    <w:abstractNumId w:val="38"/>
  </w:num>
  <w:num w:numId="14">
    <w:abstractNumId w:val="6"/>
  </w:num>
  <w:num w:numId="15">
    <w:abstractNumId w:val="1"/>
  </w:num>
  <w:num w:numId="16">
    <w:abstractNumId w:val="21"/>
  </w:num>
  <w:num w:numId="17">
    <w:abstractNumId w:val="8"/>
  </w:num>
  <w:num w:numId="18">
    <w:abstractNumId w:val="32"/>
  </w:num>
  <w:num w:numId="19">
    <w:abstractNumId w:val="35"/>
  </w:num>
  <w:num w:numId="20">
    <w:abstractNumId w:val="17"/>
  </w:num>
  <w:num w:numId="21">
    <w:abstractNumId w:val="11"/>
  </w:num>
  <w:num w:numId="22">
    <w:abstractNumId w:val="28"/>
  </w:num>
  <w:num w:numId="23">
    <w:abstractNumId w:val="2"/>
  </w:num>
  <w:num w:numId="24">
    <w:abstractNumId w:val="4"/>
  </w:num>
  <w:num w:numId="25">
    <w:abstractNumId w:val="3"/>
  </w:num>
  <w:num w:numId="26">
    <w:abstractNumId w:val="23"/>
  </w:num>
  <w:num w:numId="27">
    <w:abstractNumId w:val="9"/>
  </w:num>
  <w:num w:numId="28">
    <w:abstractNumId w:val="36"/>
  </w:num>
  <w:num w:numId="29">
    <w:abstractNumId w:val="22"/>
  </w:num>
  <w:num w:numId="30">
    <w:abstractNumId w:val="0"/>
  </w:num>
  <w:num w:numId="31">
    <w:abstractNumId w:val="13"/>
  </w:num>
  <w:num w:numId="32">
    <w:abstractNumId w:val="7"/>
  </w:num>
  <w:num w:numId="33">
    <w:abstractNumId w:val="29"/>
  </w:num>
  <w:num w:numId="34">
    <w:abstractNumId w:val="4"/>
    <w:lvlOverride w:ilvl="0">
      <w:startOverride w:val="1"/>
    </w:lvlOverride>
  </w:num>
  <w:num w:numId="35">
    <w:abstractNumId w:val="4"/>
    <w:lvlOverride w:ilvl="0">
      <w:startOverride w:val="1"/>
    </w:lvlOverride>
  </w:num>
  <w:num w:numId="36">
    <w:abstractNumId w:val="10"/>
  </w:num>
  <w:num w:numId="37">
    <w:abstractNumId w:val="33"/>
  </w:num>
  <w:num w:numId="38">
    <w:abstractNumId w:val="25"/>
  </w:num>
  <w:num w:numId="39">
    <w:abstractNumId w:val="37"/>
  </w:num>
  <w:num w:numId="40">
    <w:abstractNumId w:val="24"/>
  </w:num>
  <w:num w:numId="41">
    <w:abstractNumId w:val="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la Ristimaki">
    <w15:presenceInfo w15:providerId="AD" w15:userId="S-1-5-21-728565366-373329293-1963608911-6156"/>
  </w15:person>
  <w15:person w15:author="Abdul Hameed Omar">
    <w15:presenceInfo w15:providerId="None" w15:userId="Abdul Hameed O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19"/>
    <w:rsid w:val="0000321A"/>
    <w:rsid w:val="0001351C"/>
    <w:rsid w:val="00055FB6"/>
    <w:rsid w:val="00067449"/>
    <w:rsid w:val="000710F1"/>
    <w:rsid w:val="00074A3A"/>
    <w:rsid w:val="000754AB"/>
    <w:rsid w:val="00075852"/>
    <w:rsid w:val="00080178"/>
    <w:rsid w:val="00096463"/>
    <w:rsid w:val="000A40B4"/>
    <w:rsid w:val="000B2962"/>
    <w:rsid w:val="000B4361"/>
    <w:rsid w:val="000D3D66"/>
    <w:rsid w:val="000D530E"/>
    <w:rsid w:val="000F23A6"/>
    <w:rsid w:val="001104A7"/>
    <w:rsid w:val="00127905"/>
    <w:rsid w:val="0018751B"/>
    <w:rsid w:val="00191C79"/>
    <w:rsid w:val="001C06B9"/>
    <w:rsid w:val="001C4881"/>
    <w:rsid w:val="001C4919"/>
    <w:rsid w:val="001D434C"/>
    <w:rsid w:val="001E41B5"/>
    <w:rsid w:val="001E5F37"/>
    <w:rsid w:val="001E7546"/>
    <w:rsid w:val="00233979"/>
    <w:rsid w:val="00253422"/>
    <w:rsid w:val="002821E3"/>
    <w:rsid w:val="002877FE"/>
    <w:rsid w:val="002A2D72"/>
    <w:rsid w:val="002B213B"/>
    <w:rsid w:val="002B3108"/>
    <w:rsid w:val="002C43A4"/>
    <w:rsid w:val="002C7A56"/>
    <w:rsid w:val="00301F75"/>
    <w:rsid w:val="003022D8"/>
    <w:rsid w:val="00303C5C"/>
    <w:rsid w:val="00323136"/>
    <w:rsid w:val="003554AE"/>
    <w:rsid w:val="0036077B"/>
    <w:rsid w:val="00360FCA"/>
    <w:rsid w:val="00361292"/>
    <w:rsid w:val="0036529A"/>
    <w:rsid w:val="00373A01"/>
    <w:rsid w:val="0038156A"/>
    <w:rsid w:val="00392DC1"/>
    <w:rsid w:val="003A2629"/>
    <w:rsid w:val="003B296E"/>
    <w:rsid w:val="003E0FF3"/>
    <w:rsid w:val="003F3798"/>
    <w:rsid w:val="00426F72"/>
    <w:rsid w:val="004313DF"/>
    <w:rsid w:val="0043140D"/>
    <w:rsid w:val="00433942"/>
    <w:rsid w:val="004618DA"/>
    <w:rsid w:val="00462FE6"/>
    <w:rsid w:val="0046529D"/>
    <w:rsid w:val="0048236E"/>
    <w:rsid w:val="004964A7"/>
    <w:rsid w:val="00496768"/>
    <w:rsid w:val="0050517C"/>
    <w:rsid w:val="00513CA8"/>
    <w:rsid w:val="00531FC9"/>
    <w:rsid w:val="005356A9"/>
    <w:rsid w:val="00535D6B"/>
    <w:rsid w:val="00541EA3"/>
    <w:rsid w:val="00553C5F"/>
    <w:rsid w:val="00556C65"/>
    <w:rsid w:val="00567B3D"/>
    <w:rsid w:val="00574B53"/>
    <w:rsid w:val="0058403F"/>
    <w:rsid w:val="005A6D49"/>
    <w:rsid w:val="005C6797"/>
    <w:rsid w:val="005E1EE9"/>
    <w:rsid w:val="00607098"/>
    <w:rsid w:val="00623C0B"/>
    <w:rsid w:val="00646D21"/>
    <w:rsid w:val="00662311"/>
    <w:rsid w:val="006814F6"/>
    <w:rsid w:val="006A15E0"/>
    <w:rsid w:val="006C14F6"/>
    <w:rsid w:val="006D2E0D"/>
    <w:rsid w:val="006D42F7"/>
    <w:rsid w:val="006E3EBA"/>
    <w:rsid w:val="006F591A"/>
    <w:rsid w:val="00736A34"/>
    <w:rsid w:val="0074442F"/>
    <w:rsid w:val="00744F03"/>
    <w:rsid w:val="007A4B9B"/>
    <w:rsid w:val="007A527B"/>
    <w:rsid w:val="007B64FD"/>
    <w:rsid w:val="007B7012"/>
    <w:rsid w:val="007D3884"/>
    <w:rsid w:val="007E5B4D"/>
    <w:rsid w:val="007F7CDD"/>
    <w:rsid w:val="00826DF2"/>
    <w:rsid w:val="00831166"/>
    <w:rsid w:val="00852FE1"/>
    <w:rsid w:val="00855F72"/>
    <w:rsid w:val="008800F2"/>
    <w:rsid w:val="00884E4E"/>
    <w:rsid w:val="008910AE"/>
    <w:rsid w:val="008977D1"/>
    <w:rsid w:val="008B4BD4"/>
    <w:rsid w:val="008D5398"/>
    <w:rsid w:val="0090750C"/>
    <w:rsid w:val="00914EBA"/>
    <w:rsid w:val="00931E28"/>
    <w:rsid w:val="00934035"/>
    <w:rsid w:val="00963BF4"/>
    <w:rsid w:val="00963D6C"/>
    <w:rsid w:val="009A0FE9"/>
    <w:rsid w:val="009A239B"/>
    <w:rsid w:val="009C52D8"/>
    <w:rsid w:val="009E2858"/>
    <w:rsid w:val="009E3F76"/>
    <w:rsid w:val="009E4F95"/>
    <w:rsid w:val="009F2489"/>
    <w:rsid w:val="00A1150B"/>
    <w:rsid w:val="00A47EDB"/>
    <w:rsid w:val="00A50330"/>
    <w:rsid w:val="00A670E1"/>
    <w:rsid w:val="00A85B7F"/>
    <w:rsid w:val="00AA5CA0"/>
    <w:rsid w:val="00AB29CC"/>
    <w:rsid w:val="00AC1BB9"/>
    <w:rsid w:val="00AC26CF"/>
    <w:rsid w:val="00AC3251"/>
    <w:rsid w:val="00AC4758"/>
    <w:rsid w:val="00AC7BA9"/>
    <w:rsid w:val="00AD3C29"/>
    <w:rsid w:val="00AE6652"/>
    <w:rsid w:val="00AF24FB"/>
    <w:rsid w:val="00AF4583"/>
    <w:rsid w:val="00B02AB1"/>
    <w:rsid w:val="00B16AE6"/>
    <w:rsid w:val="00B351F8"/>
    <w:rsid w:val="00B60022"/>
    <w:rsid w:val="00B60DE6"/>
    <w:rsid w:val="00B66225"/>
    <w:rsid w:val="00B735B3"/>
    <w:rsid w:val="00B81C07"/>
    <w:rsid w:val="00B83146"/>
    <w:rsid w:val="00B86CC3"/>
    <w:rsid w:val="00BD181B"/>
    <w:rsid w:val="00BD6965"/>
    <w:rsid w:val="00C15909"/>
    <w:rsid w:val="00C21FD4"/>
    <w:rsid w:val="00C30070"/>
    <w:rsid w:val="00C4327B"/>
    <w:rsid w:val="00C47AD3"/>
    <w:rsid w:val="00C53DE7"/>
    <w:rsid w:val="00C54457"/>
    <w:rsid w:val="00C7349C"/>
    <w:rsid w:val="00C77765"/>
    <w:rsid w:val="00C8621C"/>
    <w:rsid w:val="00C91E9E"/>
    <w:rsid w:val="00CB537F"/>
    <w:rsid w:val="00CC3058"/>
    <w:rsid w:val="00CC5A64"/>
    <w:rsid w:val="00CC6B11"/>
    <w:rsid w:val="00CE4D65"/>
    <w:rsid w:val="00CF069B"/>
    <w:rsid w:val="00CF2558"/>
    <w:rsid w:val="00D0590A"/>
    <w:rsid w:val="00D40BD4"/>
    <w:rsid w:val="00D61B86"/>
    <w:rsid w:val="00D77949"/>
    <w:rsid w:val="00D97044"/>
    <w:rsid w:val="00DA0167"/>
    <w:rsid w:val="00DA4C37"/>
    <w:rsid w:val="00DB401D"/>
    <w:rsid w:val="00DC3235"/>
    <w:rsid w:val="00DF03ED"/>
    <w:rsid w:val="00DF1B62"/>
    <w:rsid w:val="00E261E4"/>
    <w:rsid w:val="00E65FF6"/>
    <w:rsid w:val="00EA0DA2"/>
    <w:rsid w:val="00EA2D9E"/>
    <w:rsid w:val="00EB3974"/>
    <w:rsid w:val="00EB77CF"/>
    <w:rsid w:val="00ED37CF"/>
    <w:rsid w:val="00EE6A46"/>
    <w:rsid w:val="00EF77E2"/>
    <w:rsid w:val="00F21C2F"/>
    <w:rsid w:val="00F2223E"/>
    <w:rsid w:val="00F26380"/>
    <w:rsid w:val="00F317F6"/>
    <w:rsid w:val="00F45A0F"/>
    <w:rsid w:val="00F47FDE"/>
    <w:rsid w:val="00F62425"/>
    <w:rsid w:val="00F651EB"/>
    <w:rsid w:val="00F737CA"/>
    <w:rsid w:val="00F76706"/>
    <w:rsid w:val="00F9014A"/>
    <w:rsid w:val="00F97E8D"/>
    <w:rsid w:val="00FD3DEE"/>
    <w:rsid w:val="00FE35F1"/>
    <w:rsid w:val="00FE5B2B"/>
    <w:rsid w:val="00FE7536"/>
    <w:rsid w:val="00FF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CA03"/>
  <w15:docId w15:val="{134009F5-B3AF-41A5-A904-F5E191B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B"/>
    <w:pPr>
      <w:spacing w:after="120" w:line="271" w:lineRule="auto"/>
      <w:jc w:val="both"/>
    </w:pPr>
    <w:rPr>
      <w:rFonts w:ascii="Myriad Pro" w:hAnsi="Myriad Pro"/>
      <w:lang w:val="en-GB"/>
    </w:rPr>
  </w:style>
  <w:style w:type="paragraph" w:styleId="Heading1">
    <w:name w:val="heading 1"/>
    <w:basedOn w:val="Normal"/>
    <w:next w:val="Normal"/>
    <w:link w:val="Heading1Char"/>
    <w:uiPriority w:val="9"/>
    <w:qFormat/>
    <w:rsid w:val="001C4919"/>
    <w:pPr>
      <w:spacing w:before="240"/>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0321A"/>
    <w:pPr>
      <w:numPr>
        <w:numId w:val="24"/>
      </w:numPr>
      <w:spacing w:before="120" w:line="276" w:lineRule="auto"/>
      <w:ind w:left="36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54457"/>
    <w:pPr>
      <w:keepNext/>
      <w:spacing w:before="120"/>
      <w:ind w:left="540" w:hanging="540"/>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C47AD3"/>
    <w:pPr>
      <w:shd w:val="clear" w:color="auto" w:fill="DDD9C3" w:themeFill="background2" w:themeFillShade="E6"/>
      <w:spacing w:before="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6529A"/>
    <w:pPr>
      <w:spacing w:before="120"/>
      <w:jc w:val="left"/>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1C4919"/>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4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4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4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919"/>
    <w:rPr>
      <w:rFonts w:ascii="Myriad Pro" w:eastAsiaTheme="majorEastAsia" w:hAnsi="Myriad Pro" w:cstheme="majorBidi"/>
      <w:b/>
      <w:bCs/>
      <w:sz w:val="24"/>
      <w:szCs w:val="28"/>
    </w:rPr>
  </w:style>
  <w:style w:type="character" w:customStyle="1" w:styleId="Heading2Char">
    <w:name w:val="Heading 2 Char"/>
    <w:basedOn w:val="DefaultParagraphFont"/>
    <w:link w:val="Heading2"/>
    <w:uiPriority w:val="9"/>
    <w:rsid w:val="0000321A"/>
    <w:rPr>
      <w:rFonts w:ascii="Myriad Pro" w:eastAsiaTheme="majorEastAsia" w:hAnsi="Myriad Pro" w:cstheme="majorBidi"/>
      <w:b/>
      <w:bCs/>
      <w:szCs w:val="26"/>
      <w:lang w:val="en-GB"/>
    </w:rPr>
  </w:style>
  <w:style w:type="character" w:customStyle="1" w:styleId="Heading3Char">
    <w:name w:val="Heading 3 Char"/>
    <w:basedOn w:val="DefaultParagraphFont"/>
    <w:link w:val="Heading3"/>
    <w:uiPriority w:val="9"/>
    <w:rsid w:val="00C54457"/>
    <w:rPr>
      <w:rFonts w:ascii="Myriad Pro" w:eastAsiaTheme="majorEastAsia" w:hAnsi="Myriad Pro" w:cstheme="majorBidi"/>
      <w:b/>
      <w:bCs/>
      <w:lang w:val="en-GB"/>
    </w:rPr>
  </w:style>
  <w:style w:type="character" w:customStyle="1" w:styleId="Heading4Char">
    <w:name w:val="Heading 4 Char"/>
    <w:basedOn w:val="DefaultParagraphFont"/>
    <w:link w:val="Heading4"/>
    <w:uiPriority w:val="9"/>
    <w:rsid w:val="00C47AD3"/>
    <w:rPr>
      <w:rFonts w:ascii="Myriad Pro" w:eastAsiaTheme="majorEastAsia" w:hAnsi="Myriad Pro" w:cstheme="majorBidi"/>
      <w:b/>
      <w:bCs/>
      <w:iCs/>
      <w:shd w:val="clear" w:color="auto" w:fill="DDD9C3" w:themeFill="background2" w:themeFillShade="E6"/>
    </w:rPr>
  </w:style>
  <w:style w:type="character" w:customStyle="1" w:styleId="Heading5Char">
    <w:name w:val="Heading 5 Char"/>
    <w:basedOn w:val="DefaultParagraphFont"/>
    <w:link w:val="Heading5"/>
    <w:uiPriority w:val="9"/>
    <w:rsid w:val="0036529A"/>
    <w:rPr>
      <w:rFonts w:ascii="Myriad Pro" w:eastAsiaTheme="majorEastAsia" w:hAnsi="Myriad Pro" w:cstheme="majorBidi"/>
      <w:b/>
      <w:bCs/>
    </w:rPr>
  </w:style>
  <w:style w:type="character" w:customStyle="1" w:styleId="Heading6Char">
    <w:name w:val="Heading 6 Char"/>
    <w:basedOn w:val="DefaultParagraphFont"/>
    <w:link w:val="Heading6"/>
    <w:uiPriority w:val="9"/>
    <w:semiHidden/>
    <w:rsid w:val="001C4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4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4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491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C4919"/>
    <w:rPr>
      <w:b/>
      <w:bCs/>
      <w:caps/>
      <w:sz w:val="16"/>
      <w:szCs w:val="18"/>
    </w:rPr>
  </w:style>
  <w:style w:type="paragraph" w:styleId="Title">
    <w:name w:val="Title"/>
    <w:basedOn w:val="Normal"/>
    <w:next w:val="Normal"/>
    <w:link w:val="TitleChar"/>
    <w:uiPriority w:val="10"/>
    <w:qFormat/>
    <w:rsid w:val="001C4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4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4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4919"/>
    <w:rPr>
      <w:rFonts w:asciiTheme="majorHAnsi" w:eastAsiaTheme="majorEastAsia" w:hAnsiTheme="majorHAnsi" w:cstheme="majorBidi"/>
      <w:i/>
      <w:iCs/>
      <w:spacing w:val="13"/>
      <w:sz w:val="24"/>
      <w:szCs w:val="24"/>
    </w:rPr>
  </w:style>
  <w:style w:type="character" w:styleId="Strong">
    <w:name w:val="Strong"/>
    <w:uiPriority w:val="22"/>
    <w:qFormat/>
    <w:rsid w:val="001C4919"/>
    <w:rPr>
      <w:b/>
      <w:bCs/>
    </w:rPr>
  </w:style>
  <w:style w:type="character" w:styleId="Emphasis">
    <w:name w:val="Emphasis"/>
    <w:uiPriority w:val="20"/>
    <w:qFormat/>
    <w:rsid w:val="001C4919"/>
    <w:rPr>
      <w:b/>
      <w:bCs/>
      <w:i/>
      <w:iCs/>
      <w:spacing w:val="10"/>
      <w:bdr w:val="none" w:sz="0" w:space="0" w:color="auto"/>
      <w:shd w:val="clear" w:color="auto" w:fill="auto"/>
    </w:rPr>
  </w:style>
  <w:style w:type="paragraph" w:styleId="NoSpacing">
    <w:name w:val="No Spacing"/>
    <w:basedOn w:val="Normal"/>
    <w:link w:val="NoSpacingChar"/>
    <w:uiPriority w:val="1"/>
    <w:qFormat/>
    <w:rsid w:val="001C4919"/>
    <w:pPr>
      <w:spacing w:after="0" w:line="240" w:lineRule="auto"/>
    </w:pPr>
  </w:style>
  <w:style w:type="paragraph" w:styleId="ListParagraph">
    <w:name w:val="List Paragraph"/>
    <w:basedOn w:val="Normal"/>
    <w:uiPriority w:val="34"/>
    <w:qFormat/>
    <w:rsid w:val="001C4919"/>
    <w:pPr>
      <w:ind w:left="720"/>
      <w:contextualSpacing/>
    </w:pPr>
  </w:style>
  <w:style w:type="paragraph" w:styleId="Quote">
    <w:name w:val="Quote"/>
    <w:basedOn w:val="Normal"/>
    <w:next w:val="Normal"/>
    <w:link w:val="QuoteChar"/>
    <w:uiPriority w:val="29"/>
    <w:qFormat/>
    <w:rsid w:val="001C4919"/>
    <w:pPr>
      <w:spacing w:before="200" w:after="0"/>
      <w:ind w:left="360" w:right="360"/>
    </w:pPr>
    <w:rPr>
      <w:i/>
      <w:iCs/>
    </w:rPr>
  </w:style>
  <w:style w:type="character" w:customStyle="1" w:styleId="QuoteChar">
    <w:name w:val="Quote Char"/>
    <w:basedOn w:val="DefaultParagraphFont"/>
    <w:link w:val="Quote"/>
    <w:uiPriority w:val="29"/>
    <w:rsid w:val="001C4919"/>
    <w:rPr>
      <w:i/>
      <w:iCs/>
    </w:rPr>
  </w:style>
  <w:style w:type="paragraph" w:styleId="IntenseQuote">
    <w:name w:val="Intense Quote"/>
    <w:basedOn w:val="Normal"/>
    <w:next w:val="Normal"/>
    <w:link w:val="IntenseQuoteChar"/>
    <w:uiPriority w:val="30"/>
    <w:qFormat/>
    <w:rsid w:val="001C491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C4919"/>
    <w:rPr>
      <w:b/>
      <w:bCs/>
      <w:i/>
      <w:iCs/>
    </w:rPr>
  </w:style>
  <w:style w:type="character" w:styleId="SubtleEmphasis">
    <w:name w:val="Subtle Emphasis"/>
    <w:uiPriority w:val="19"/>
    <w:qFormat/>
    <w:rsid w:val="001C4919"/>
    <w:rPr>
      <w:i/>
      <w:iCs/>
    </w:rPr>
  </w:style>
  <w:style w:type="character" w:styleId="IntenseEmphasis">
    <w:name w:val="Intense Emphasis"/>
    <w:uiPriority w:val="21"/>
    <w:qFormat/>
    <w:rsid w:val="001C4919"/>
    <w:rPr>
      <w:b/>
      <w:bCs/>
    </w:rPr>
  </w:style>
  <w:style w:type="character" w:styleId="SubtleReference">
    <w:name w:val="Subtle Reference"/>
    <w:uiPriority w:val="31"/>
    <w:qFormat/>
    <w:rsid w:val="001C4919"/>
    <w:rPr>
      <w:smallCaps/>
    </w:rPr>
  </w:style>
  <w:style w:type="character" w:styleId="IntenseReference">
    <w:name w:val="Intense Reference"/>
    <w:uiPriority w:val="32"/>
    <w:qFormat/>
    <w:rsid w:val="001C4919"/>
    <w:rPr>
      <w:smallCaps/>
      <w:spacing w:val="5"/>
      <w:u w:val="single"/>
    </w:rPr>
  </w:style>
  <w:style w:type="character" w:styleId="BookTitle">
    <w:name w:val="Book Title"/>
    <w:uiPriority w:val="33"/>
    <w:qFormat/>
    <w:rsid w:val="001C4919"/>
    <w:rPr>
      <w:i/>
      <w:iCs/>
      <w:smallCaps/>
      <w:spacing w:val="5"/>
    </w:rPr>
  </w:style>
  <w:style w:type="paragraph" w:styleId="TOCHeading">
    <w:name w:val="TOC Heading"/>
    <w:basedOn w:val="Heading1"/>
    <w:next w:val="Normal"/>
    <w:uiPriority w:val="39"/>
    <w:unhideWhenUsed/>
    <w:qFormat/>
    <w:rsid w:val="001C4919"/>
    <w:pPr>
      <w:outlineLvl w:val="9"/>
    </w:pPr>
  </w:style>
  <w:style w:type="character" w:customStyle="1" w:styleId="NoSpacingChar">
    <w:name w:val="No Spacing Char"/>
    <w:basedOn w:val="DefaultParagraphFont"/>
    <w:link w:val="NoSpacing"/>
    <w:uiPriority w:val="1"/>
    <w:rsid w:val="001C4919"/>
  </w:style>
  <w:style w:type="character" w:styleId="Hyperlink">
    <w:name w:val="Hyperlink"/>
    <w:uiPriority w:val="99"/>
    <w:rsid w:val="001C4919"/>
    <w:rPr>
      <w:color w:val="0000FF"/>
      <w:u w:val="single"/>
    </w:rPr>
  </w:style>
  <w:style w:type="paragraph" w:styleId="BodyText">
    <w:name w:val="Body Text"/>
    <w:basedOn w:val="Normal"/>
    <w:link w:val="BodyTextChar"/>
    <w:rsid w:val="001C4919"/>
    <w:pPr>
      <w:spacing w:after="200" w:line="276" w:lineRule="auto"/>
      <w:jc w:val="left"/>
    </w:pPr>
    <w:rPr>
      <w:rFonts w:ascii="Arial" w:eastAsia="Times New Roman" w:hAnsi="Arial" w:cs="Mangal"/>
      <w:sz w:val="20"/>
      <w:szCs w:val="20"/>
      <w:lang w:bidi="ne-NP"/>
    </w:rPr>
  </w:style>
  <w:style w:type="character" w:customStyle="1" w:styleId="BodyTextChar">
    <w:name w:val="Body Text Char"/>
    <w:basedOn w:val="DefaultParagraphFont"/>
    <w:link w:val="BodyText"/>
    <w:rsid w:val="001C4919"/>
    <w:rPr>
      <w:rFonts w:ascii="Arial" w:eastAsia="Times New Roman" w:hAnsi="Arial" w:cs="Mangal"/>
      <w:sz w:val="20"/>
      <w:szCs w:val="20"/>
      <w:lang w:bidi="ne-NP"/>
    </w:rPr>
  </w:style>
  <w:style w:type="paragraph" w:styleId="Header">
    <w:name w:val="header"/>
    <w:basedOn w:val="Normal"/>
    <w:link w:val="HeaderChar"/>
    <w:uiPriority w:val="99"/>
    <w:rsid w:val="001C4919"/>
    <w:pPr>
      <w:tabs>
        <w:tab w:val="center" w:pos="4320"/>
        <w:tab w:val="right" w:pos="8640"/>
      </w:tabs>
      <w:spacing w:after="200" w:line="276" w:lineRule="auto"/>
      <w:jc w:val="left"/>
    </w:pPr>
    <w:rPr>
      <w:rFonts w:ascii="Calibri" w:eastAsia="Times New Roman" w:hAnsi="Calibri" w:cs="Mangal"/>
      <w:sz w:val="24"/>
      <w:szCs w:val="24"/>
      <w:lang w:bidi="ne-NP"/>
    </w:rPr>
  </w:style>
  <w:style w:type="character" w:customStyle="1" w:styleId="HeaderChar">
    <w:name w:val="Header Char"/>
    <w:basedOn w:val="DefaultParagraphFont"/>
    <w:link w:val="Header"/>
    <w:uiPriority w:val="99"/>
    <w:rsid w:val="001C4919"/>
    <w:rPr>
      <w:rFonts w:ascii="Calibri" w:eastAsia="Times New Roman" w:hAnsi="Calibri" w:cs="Mangal"/>
      <w:sz w:val="24"/>
      <w:szCs w:val="24"/>
      <w:lang w:val="en-GB" w:bidi="ne-NP"/>
    </w:rPr>
  </w:style>
  <w:style w:type="paragraph" w:styleId="Footer">
    <w:name w:val="footer"/>
    <w:basedOn w:val="Normal"/>
    <w:link w:val="FooterChar"/>
    <w:uiPriority w:val="99"/>
    <w:rsid w:val="001C4919"/>
    <w:pPr>
      <w:tabs>
        <w:tab w:val="center" w:pos="4320"/>
        <w:tab w:val="right" w:pos="8640"/>
      </w:tabs>
      <w:spacing w:after="200" w:line="276" w:lineRule="auto"/>
      <w:jc w:val="left"/>
    </w:pPr>
    <w:rPr>
      <w:rFonts w:ascii="Calibri" w:eastAsia="Times New Roman" w:hAnsi="Calibri" w:cs="Mangal"/>
      <w:sz w:val="24"/>
      <w:szCs w:val="24"/>
      <w:lang w:bidi="ne-NP"/>
    </w:rPr>
  </w:style>
  <w:style w:type="character" w:customStyle="1" w:styleId="FooterChar">
    <w:name w:val="Footer Char"/>
    <w:basedOn w:val="DefaultParagraphFont"/>
    <w:link w:val="Footer"/>
    <w:uiPriority w:val="99"/>
    <w:rsid w:val="001C4919"/>
    <w:rPr>
      <w:rFonts w:ascii="Calibri" w:eastAsia="Times New Roman" w:hAnsi="Calibri" w:cs="Mangal"/>
      <w:sz w:val="24"/>
      <w:szCs w:val="24"/>
      <w:lang w:bidi="ne-NP"/>
    </w:rPr>
  </w:style>
  <w:style w:type="paragraph" w:styleId="BodyTextIndent">
    <w:name w:val="Body Text Indent"/>
    <w:basedOn w:val="Normal"/>
    <w:link w:val="BodyTextIndentChar"/>
    <w:rsid w:val="001C4919"/>
    <w:pPr>
      <w:spacing w:after="200" w:line="276" w:lineRule="auto"/>
      <w:ind w:left="1440" w:hanging="1440"/>
      <w:jc w:val="left"/>
    </w:pPr>
    <w:rPr>
      <w:rFonts w:ascii="Arial" w:eastAsia="Times New Roman" w:hAnsi="Arial" w:cs="Arial"/>
      <w:b/>
      <w:bCs/>
      <w:sz w:val="20"/>
      <w:szCs w:val="20"/>
    </w:rPr>
  </w:style>
  <w:style w:type="character" w:customStyle="1" w:styleId="BodyTextIndentChar">
    <w:name w:val="Body Text Indent Char"/>
    <w:basedOn w:val="DefaultParagraphFont"/>
    <w:link w:val="BodyTextIndent"/>
    <w:rsid w:val="001C4919"/>
    <w:rPr>
      <w:rFonts w:ascii="Arial" w:eastAsia="Times New Roman" w:hAnsi="Arial" w:cs="Arial"/>
      <w:b/>
      <w:bCs/>
      <w:sz w:val="20"/>
      <w:szCs w:val="20"/>
    </w:rPr>
  </w:style>
  <w:style w:type="paragraph" w:styleId="BodyText2">
    <w:name w:val="Body Text 2"/>
    <w:basedOn w:val="Normal"/>
    <w:link w:val="BodyText2Char"/>
    <w:rsid w:val="001C4919"/>
    <w:pPr>
      <w:spacing w:after="200" w:line="276" w:lineRule="auto"/>
    </w:pPr>
    <w:rPr>
      <w:rFonts w:ascii="Arial" w:eastAsia="Times New Roman" w:hAnsi="Arial" w:cs="Arial"/>
      <w:sz w:val="20"/>
      <w:szCs w:val="20"/>
    </w:rPr>
  </w:style>
  <w:style w:type="character" w:customStyle="1" w:styleId="BodyText2Char">
    <w:name w:val="Body Text 2 Char"/>
    <w:basedOn w:val="DefaultParagraphFont"/>
    <w:link w:val="BodyText2"/>
    <w:rsid w:val="001C4919"/>
    <w:rPr>
      <w:rFonts w:ascii="Arial" w:eastAsia="Times New Roman" w:hAnsi="Arial" w:cs="Arial"/>
      <w:sz w:val="20"/>
      <w:szCs w:val="20"/>
    </w:rPr>
  </w:style>
  <w:style w:type="paragraph" w:styleId="BalloonText">
    <w:name w:val="Balloon Text"/>
    <w:basedOn w:val="Normal"/>
    <w:link w:val="BalloonTextChar"/>
    <w:semiHidden/>
    <w:rsid w:val="001C4919"/>
    <w:pPr>
      <w:spacing w:after="200" w:line="276"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4919"/>
    <w:rPr>
      <w:rFonts w:ascii="Tahoma" w:eastAsia="Times New Roman" w:hAnsi="Tahoma" w:cs="Tahoma"/>
      <w:sz w:val="16"/>
      <w:szCs w:val="16"/>
    </w:rPr>
  </w:style>
  <w:style w:type="paragraph" w:styleId="DocumentMap">
    <w:name w:val="Document Map"/>
    <w:basedOn w:val="Normal"/>
    <w:link w:val="DocumentMapChar"/>
    <w:semiHidden/>
    <w:rsid w:val="001C4919"/>
    <w:pPr>
      <w:shd w:val="clear" w:color="auto" w:fill="000080"/>
      <w:spacing w:after="200" w:line="276" w:lineRule="auto"/>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C4919"/>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1C4919"/>
    <w:pPr>
      <w:spacing w:before="100" w:beforeAutospacing="1" w:after="100" w:afterAutospacing="1" w:line="276" w:lineRule="auto"/>
      <w:jc w:val="left"/>
    </w:pPr>
    <w:rPr>
      <w:rFonts w:ascii="Calibri" w:eastAsia="Times New Roman" w:hAnsi="Calibri" w:cs="Mangal"/>
      <w:sz w:val="24"/>
      <w:szCs w:val="24"/>
      <w:lang w:bidi="ne-NP"/>
    </w:rPr>
  </w:style>
  <w:style w:type="character" w:customStyle="1" w:styleId="PlainTextChar">
    <w:name w:val="Plain Text Char"/>
    <w:basedOn w:val="DefaultParagraphFont"/>
    <w:link w:val="PlainText"/>
    <w:uiPriority w:val="99"/>
    <w:rsid w:val="001C4919"/>
    <w:rPr>
      <w:rFonts w:ascii="Calibri" w:eastAsia="Times New Roman" w:hAnsi="Calibri" w:cs="Mangal"/>
      <w:sz w:val="24"/>
      <w:szCs w:val="24"/>
      <w:lang w:bidi="ne-NP"/>
    </w:rPr>
  </w:style>
  <w:style w:type="paragraph" w:styleId="NormalWeb">
    <w:name w:val="Normal (Web)"/>
    <w:basedOn w:val="Normal"/>
    <w:uiPriority w:val="99"/>
    <w:rsid w:val="001C4919"/>
    <w:pPr>
      <w:spacing w:before="100" w:beforeAutospacing="1" w:after="100" w:afterAutospacing="1" w:line="276" w:lineRule="auto"/>
      <w:jc w:val="left"/>
    </w:pPr>
    <w:rPr>
      <w:rFonts w:ascii="Calibri" w:eastAsia="Times New Roman" w:hAnsi="Calibri" w:cs="Mangal"/>
    </w:rPr>
  </w:style>
  <w:style w:type="character" w:styleId="CommentReference">
    <w:name w:val="annotation reference"/>
    <w:uiPriority w:val="99"/>
    <w:rsid w:val="001C4919"/>
    <w:rPr>
      <w:sz w:val="16"/>
      <w:szCs w:val="16"/>
    </w:rPr>
  </w:style>
  <w:style w:type="paragraph" w:styleId="CommentText">
    <w:name w:val="annotation text"/>
    <w:basedOn w:val="Normal"/>
    <w:link w:val="CommentTextChar"/>
    <w:uiPriority w:val="99"/>
    <w:rsid w:val="001C4919"/>
    <w:pPr>
      <w:spacing w:after="200" w:line="276" w:lineRule="auto"/>
      <w:jc w:val="left"/>
    </w:pPr>
    <w:rPr>
      <w:rFonts w:ascii="Calibri" w:eastAsia="Times New Roman" w:hAnsi="Calibri" w:cs="Mangal"/>
      <w:sz w:val="20"/>
      <w:szCs w:val="20"/>
    </w:rPr>
  </w:style>
  <w:style w:type="character" w:customStyle="1" w:styleId="CommentTextChar">
    <w:name w:val="Comment Text Char"/>
    <w:basedOn w:val="DefaultParagraphFont"/>
    <w:link w:val="CommentText"/>
    <w:uiPriority w:val="99"/>
    <w:rsid w:val="001C4919"/>
    <w:rPr>
      <w:rFonts w:ascii="Calibri" w:eastAsia="Times New Roman" w:hAnsi="Calibri" w:cs="Mangal"/>
      <w:sz w:val="20"/>
      <w:szCs w:val="20"/>
    </w:rPr>
  </w:style>
  <w:style w:type="paragraph" w:styleId="CommentSubject">
    <w:name w:val="annotation subject"/>
    <w:basedOn w:val="CommentText"/>
    <w:next w:val="CommentText"/>
    <w:link w:val="CommentSubjectChar"/>
    <w:rsid w:val="001C4919"/>
    <w:rPr>
      <w:b/>
      <w:bCs/>
      <w:lang w:bidi="ne-NP"/>
    </w:rPr>
  </w:style>
  <w:style w:type="character" w:customStyle="1" w:styleId="CommentSubjectChar">
    <w:name w:val="Comment Subject Char"/>
    <w:basedOn w:val="CommentTextChar"/>
    <w:link w:val="CommentSubject"/>
    <w:rsid w:val="001C4919"/>
    <w:rPr>
      <w:rFonts w:ascii="Calibri" w:eastAsia="Times New Roman" w:hAnsi="Calibri" w:cs="Mangal"/>
      <w:b/>
      <w:bCs/>
      <w:sz w:val="20"/>
      <w:szCs w:val="20"/>
      <w:lang w:bidi="ne-NP"/>
    </w:rPr>
  </w:style>
  <w:style w:type="paragraph" w:styleId="FootnoteText">
    <w:name w:val="footnote text"/>
    <w:aliases w:val="ft,FOOTNOTES,fn,single space,Footnote Text Char Char"/>
    <w:basedOn w:val="Normal"/>
    <w:link w:val="FootnoteTextChar"/>
    <w:uiPriority w:val="99"/>
    <w:rsid w:val="001C4919"/>
    <w:pPr>
      <w:spacing w:after="200" w:line="276" w:lineRule="auto"/>
      <w:jc w:val="left"/>
    </w:pPr>
    <w:rPr>
      <w:rFonts w:ascii="Calibri" w:eastAsia="Times New Roman" w:hAnsi="Calibri" w:cs="Mangal"/>
      <w:sz w:val="20"/>
      <w:szCs w:val="20"/>
    </w:rPr>
  </w:style>
  <w:style w:type="character" w:customStyle="1" w:styleId="FootnoteTextChar">
    <w:name w:val="Footnote Text Char"/>
    <w:aliases w:val="ft Char,FOOTNOTES Char,fn Char,single space Char,Footnote Text Char Char Char"/>
    <w:basedOn w:val="DefaultParagraphFont"/>
    <w:link w:val="FootnoteText"/>
    <w:uiPriority w:val="99"/>
    <w:rsid w:val="001C4919"/>
    <w:rPr>
      <w:rFonts w:ascii="Calibri" w:eastAsia="Times New Roman" w:hAnsi="Calibri" w:cs="Mangal"/>
      <w:sz w:val="20"/>
      <w:szCs w:val="20"/>
    </w:rPr>
  </w:style>
  <w:style w:type="character" w:styleId="FootnoteReference">
    <w:name w:val="footnote reference"/>
    <w:aliases w:val="ftref"/>
    <w:uiPriority w:val="99"/>
    <w:rsid w:val="001C4919"/>
    <w:rPr>
      <w:vertAlign w:val="superscript"/>
    </w:rPr>
  </w:style>
  <w:style w:type="table" w:styleId="TableGrid">
    <w:name w:val="Table Grid"/>
    <w:basedOn w:val="TableNormal"/>
    <w:rsid w:val="001C4919"/>
    <w:pPr>
      <w:spacing w:after="0" w:line="240" w:lineRule="auto"/>
    </w:pPr>
    <w:rPr>
      <w:rFonts w:ascii="Calibri" w:eastAsia="Times New Roman" w:hAnsi="Calibri" w:cs="Mangal"/>
      <w:sz w:val="20"/>
      <w:szCs w:val="20"/>
      <w:lang w:bidi="ne-N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rial">
    <w:name w:val="Normal + Arial"/>
    <w:aliases w:val="Right:  -2.64 cm"/>
    <w:basedOn w:val="Normal"/>
    <w:uiPriority w:val="99"/>
    <w:rsid w:val="001C4919"/>
    <w:pPr>
      <w:overflowPunct w:val="0"/>
      <w:autoSpaceDE w:val="0"/>
      <w:autoSpaceDN w:val="0"/>
      <w:adjustRightInd w:val="0"/>
      <w:spacing w:after="200" w:line="276" w:lineRule="auto"/>
      <w:ind w:right="-1497"/>
      <w:textAlignment w:val="baseline"/>
    </w:pPr>
    <w:rPr>
      <w:rFonts w:ascii="Arial" w:eastAsia="Times New Roman" w:hAnsi="Arial" w:cs="Arial"/>
      <w:sz w:val="20"/>
    </w:rPr>
  </w:style>
  <w:style w:type="paragraph" w:styleId="TOC2">
    <w:name w:val="toc 2"/>
    <w:basedOn w:val="Normal"/>
    <w:next w:val="Normal"/>
    <w:autoRedefine/>
    <w:uiPriority w:val="39"/>
    <w:qFormat/>
    <w:rsid w:val="007E5B4D"/>
    <w:pPr>
      <w:tabs>
        <w:tab w:val="left" w:pos="720"/>
        <w:tab w:val="right" w:leader="dot" w:pos="10614"/>
      </w:tabs>
      <w:spacing w:before="120" w:line="276" w:lineRule="auto"/>
      <w:ind w:left="288"/>
      <w:jc w:val="left"/>
    </w:pPr>
    <w:rPr>
      <w:rFonts w:eastAsia="Times New Roman" w:cs="Mangal"/>
      <w:b/>
      <w:bCs/>
      <w:sz w:val="23"/>
      <w:szCs w:val="20"/>
    </w:rPr>
  </w:style>
  <w:style w:type="paragraph" w:styleId="TOC1">
    <w:name w:val="toc 1"/>
    <w:basedOn w:val="Normal"/>
    <w:next w:val="Normal"/>
    <w:autoRedefine/>
    <w:uiPriority w:val="39"/>
    <w:qFormat/>
    <w:rsid w:val="001C4919"/>
    <w:pPr>
      <w:spacing w:before="120" w:line="276" w:lineRule="auto"/>
      <w:jc w:val="left"/>
    </w:pPr>
    <w:rPr>
      <w:rFonts w:eastAsia="Times New Roman" w:cs="Mangal"/>
      <w:b/>
      <w:bCs/>
      <w:caps/>
      <w:sz w:val="23"/>
    </w:rPr>
  </w:style>
  <w:style w:type="paragraph" w:styleId="EndnoteText">
    <w:name w:val="endnote text"/>
    <w:basedOn w:val="Normal"/>
    <w:link w:val="EndnoteTextChar"/>
    <w:uiPriority w:val="99"/>
    <w:semiHidden/>
    <w:unhideWhenUsed/>
    <w:rsid w:val="001C4919"/>
    <w:pPr>
      <w:spacing w:after="200" w:line="276" w:lineRule="auto"/>
      <w:jc w:val="left"/>
    </w:pPr>
    <w:rPr>
      <w:rFonts w:ascii="Calibri" w:eastAsia="Times New Roman" w:hAnsi="Calibri" w:cs="Mangal"/>
      <w:sz w:val="20"/>
      <w:szCs w:val="20"/>
    </w:rPr>
  </w:style>
  <w:style w:type="character" w:customStyle="1" w:styleId="EndnoteTextChar">
    <w:name w:val="Endnote Text Char"/>
    <w:basedOn w:val="DefaultParagraphFont"/>
    <w:link w:val="EndnoteText"/>
    <w:uiPriority w:val="99"/>
    <w:semiHidden/>
    <w:rsid w:val="001C4919"/>
    <w:rPr>
      <w:rFonts w:ascii="Calibri" w:eastAsia="Times New Roman" w:hAnsi="Calibri" w:cs="Mangal"/>
      <w:sz w:val="20"/>
      <w:szCs w:val="20"/>
    </w:rPr>
  </w:style>
  <w:style w:type="character" w:styleId="EndnoteReference">
    <w:name w:val="endnote reference"/>
    <w:uiPriority w:val="99"/>
    <w:semiHidden/>
    <w:unhideWhenUsed/>
    <w:rsid w:val="001C4919"/>
    <w:rPr>
      <w:vertAlign w:val="superscript"/>
    </w:rPr>
  </w:style>
  <w:style w:type="character" w:styleId="FollowedHyperlink">
    <w:name w:val="FollowedHyperlink"/>
    <w:uiPriority w:val="99"/>
    <w:semiHidden/>
    <w:unhideWhenUsed/>
    <w:rsid w:val="001C4919"/>
    <w:rPr>
      <w:color w:val="800080"/>
      <w:u w:val="single"/>
    </w:rPr>
  </w:style>
  <w:style w:type="paragraph" w:customStyle="1" w:styleId="H1">
    <w:name w:val="H1"/>
    <w:rsid w:val="001C4919"/>
    <w:pPr>
      <w:spacing w:before="60" w:after="60"/>
    </w:pPr>
    <w:rPr>
      <w:rFonts w:ascii="Calibri" w:eastAsia="Times New Roman" w:hAnsi="Calibri" w:cs="Arial"/>
      <w:b/>
      <w:bCs/>
      <w:snapToGrid w:val="0"/>
      <w:kern w:val="32"/>
      <w:sz w:val="24"/>
      <w:szCs w:val="32"/>
      <w:lang w:val="en-GB" w:bidi="ar-SA"/>
    </w:rPr>
  </w:style>
  <w:style w:type="paragraph" w:customStyle="1" w:styleId="H2">
    <w:name w:val="H2"/>
    <w:rsid w:val="001C4919"/>
    <w:rPr>
      <w:rFonts w:ascii="Calibri" w:eastAsia="Times New Roman" w:hAnsi="Calibri" w:cs="Arial"/>
      <w:b/>
      <w:bCs/>
      <w:iCs/>
      <w:snapToGrid w:val="0"/>
      <w:szCs w:val="28"/>
      <w:lang w:val="en-GB" w:bidi="ar-SA"/>
    </w:rPr>
  </w:style>
  <w:style w:type="paragraph" w:customStyle="1" w:styleId="Default">
    <w:name w:val="Default"/>
    <w:rsid w:val="001C4919"/>
    <w:pPr>
      <w:autoSpaceDE w:val="0"/>
      <w:autoSpaceDN w:val="0"/>
      <w:adjustRightInd w:val="0"/>
    </w:pPr>
    <w:rPr>
      <w:rFonts w:ascii="Calibri" w:eastAsia="Times New Roman" w:hAnsi="Calibri" w:cs="Mangal"/>
      <w:color w:val="000000"/>
      <w:sz w:val="24"/>
      <w:szCs w:val="24"/>
      <w:lang w:val="en-GB" w:eastAsia="en-GB" w:bidi="ar-SA"/>
    </w:rPr>
  </w:style>
  <w:style w:type="character" w:customStyle="1" w:styleId="FootnoteTextChar1">
    <w:name w:val="Footnote Text Char1"/>
    <w:rsid w:val="001C4919"/>
    <w:rPr>
      <w:rFonts w:ascii="Times New Roman" w:eastAsia="Times New Roman" w:hAnsi="Times New Roman"/>
    </w:rPr>
  </w:style>
  <w:style w:type="table" w:styleId="MediumShading2-Accent5">
    <w:name w:val="Medium Shading 2 Accent 5"/>
    <w:basedOn w:val="TableNormal"/>
    <w:uiPriority w:val="64"/>
    <w:rsid w:val="001C4919"/>
    <w:pPr>
      <w:spacing w:after="0" w:line="240" w:lineRule="auto"/>
    </w:pPr>
    <w:rPr>
      <w:rFonts w:ascii="Calibri" w:eastAsia="Calibri" w:hAnsi="Calibri" w:cs="Mangal"/>
      <w:lang w:bidi="ne-N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qFormat/>
    <w:rsid w:val="001C4919"/>
    <w:pPr>
      <w:spacing w:after="200" w:line="276" w:lineRule="auto"/>
      <w:ind w:firstLine="360"/>
      <w:jc w:val="left"/>
    </w:pPr>
    <w:rPr>
      <w:rFonts w:eastAsia="Times New Roman" w:cs="Mangal"/>
      <w:sz w:val="23"/>
      <w:szCs w:val="20"/>
    </w:rPr>
  </w:style>
  <w:style w:type="paragraph" w:styleId="TOC4">
    <w:name w:val="toc 4"/>
    <w:basedOn w:val="Normal"/>
    <w:next w:val="Normal"/>
    <w:autoRedefine/>
    <w:uiPriority w:val="39"/>
    <w:unhideWhenUsed/>
    <w:rsid w:val="001C4919"/>
    <w:pPr>
      <w:tabs>
        <w:tab w:val="left" w:pos="1200"/>
        <w:tab w:val="right" w:leader="dot" w:pos="9710"/>
      </w:tabs>
      <w:spacing w:after="200" w:line="276" w:lineRule="auto"/>
      <w:ind w:left="480"/>
      <w:jc w:val="left"/>
    </w:pPr>
    <w:rPr>
      <w:rFonts w:eastAsia="Times New Roman" w:cs="Mangal"/>
      <w:sz w:val="23"/>
      <w:szCs w:val="20"/>
    </w:rPr>
  </w:style>
  <w:style w:type="paragraph" w:styleId="TOC5">
    <w:name w:val="toc 5"/>
    <w:basedOn w:val="Normal"/>
    <w:next w:val="Normal"/>
    <w:autoRedefine/>
    <w:uiPriority w:val="39"/>
    <w:unhideWhenUsed/>
    <w:rsid w:val="001C4919"/>
    <w:pPr>
      <w:spacing w:after="200" w:line="276" w:lineRule="auto"/>
      <w:ind w:left="720"/>
      <w:jc w:val="left"/>
    </w:pPr>
    <w:rPr>
      <w:rFonts w:ascii="Calibri" w:eastAsia="Times New Roman" w:hAnsi="Calibri" w:cs="Mangal"/>
      <w:sz w:val="20"/>
      <w:szCs w:val="20"/>
    </w:rPr>
  </w:style>
  <w:style w:type="paragraph" w:styleId="TOC6">
    <w:name w:val="toc 6"/>
    <w:basedOn w:val="Normal"/>
    <w:next w:val="Normal"/>
    <w:autoRedefine/>
    <w:uiPriority w:val="39"/>
    <w:unhideWhenUsed/>
    <w:rsid w:val="001C4919"/>
    <w:pPr>
      <w:spacing w:after="200" w:line="276" w:lineRule="auto"/>
      <w:ind w:left="960"/>
      <w:jc w:val="left"/>
    </w:pPr>
    <w:rPr>
      <w:rFonts w:ascii="Calibri" w:eastAsia="Times New Roman" w:hAnsi="Calibri" w:cs="Mangal"/>
      <w:sz w:val="20"/>
      <w:szCs w:val="20"/>
    </w:rPr>
  </w:style>
  <w:style w:type="paragraph" w:styleId="TOC7">
    <w:name w:val="toc 7"/>
    <w:basedOn w:val="Normal"/>
    <w:next w:val="Normal"/>
    <w:autoRedefine/>
    <w:uiPriority w:val="39"/>
    <w:unhideWhenUsed/>
    <w:rsid w:val="001C4919"/>
    <w:pPr>
      <w:spacing w:after="200" w:line="276" w:lineRule="auto"/>
      <w:ind w:left="1200"/>
      <w:jc w:val="left"/>
    </w:pPr>
    <w:rPr>
      <w:rFonts w:ascii="Calibri" w:eastAsia="Times New Roman" w:hAnsi="Calibri" w:cs="Mangal"/>
      <w:sz w:val="20"/>
      <w:szCs w:val="20"/>
    </w:rPr>
  </w:style>
  <w:style w:type="paragraph" w:styleId="TOC8">
    <w:name w:val="toc 8"/>
    <w:basedOn w:val="Normal"/>
    <w:next w:val="Normal"/>
    <w:autoRedefine/>
    <w:uiPriority w:val="39"/>
    <w:unhideWhenUsed/>
    <w:rsid w:val="001C4919"/>
    <w:pPr>
      <w:spacing w:after="200" w:line="276" w:lineRule="auto"/>
      <w:ind w:left="1440"/>
      <w:jc w:val="left"/>
    </w:pPr>
    <w:rPr>
      <w:rFonts w:ascii="Calibri" w:eastAsia="Times New Roman" w:hAnsi="Calibri" w:cs="Mangal"/>
      <w:sz w:val="20"/>
      <w:szCs w:val="20"/>
    </w:rPr>
  </w:style>
  <w:style w:type="paragraph" w:styleId="TOC9">
    <w:name w:val="toc 9"/>
    <w:basedOn w:val="Normal"/>
    <w:next w:val="Normal"/>
    <w:autoRedefine/>
    <w:uiPriority w:val="39"/>
    <w:unhideWhenUsed/>
    <w:rsid w:val="001C4919"/>
    <w:pPr>
      <w:spacing w:after="200" w:line="276" w:lineRule="auto"/>
      <w:ind w:left="1680"/>
      <w:jc w:val="left"/>
    </w:pPr>
    <w:rPr>
      <w:rFonts w:ascii="Calibri" w:eastAsia="Times New Roman" w:hAnsi="Calibri" w:cs="Mangal"/>
      <w:sz w:val="20"/>
      <w:szCs w:val="20"/>
    </w:rPr>
  </w:style>
  <w:style w:type="paragraph" w:customStyle="1" w:styleId="tabletext">
    <w:name w:val="table text"/>
    <w:basedOn w:val="Normal"/>
    <w:rsid w:val="001C4919"/>
    <w:pPr>
      <w:numPr>
        <w:numId w:val="3"/>
      </w:numPr>
      <w:spacing w:before="60" w:after="60" w:line="276" w:lineRule="auto"/>
      <w:ind w:left="0" w:firstLine="0"/>
      <w:jc w:val="left"/>
    </w:pPr>
    <w:rPr>
      <w:rFonts w:ascii="Arial" w:eastAsia="Times New Roman" w:hAnsi="Arial" w:cs="Arial"/>
      <w:snapToGrid w:val="0"/>
      <w:sz w:val="20"/>
    </w:rPr>
  </w:style>
  <w:style w:type="paragraph" w:styleId="Revision">
    <w:name w:val="Revision"/>
    <w:hidden/>
    <w:uiPriority w:val="99"/>
    <w:semiHidden/>
    <w:rsid w:val="001C4919"/>
    <w:rPr>
      <w:rFonts w:ascii="Calibri" w:eastAsia="Times New Roman" w:hAnsi="Calibri" w:cs="Mangal"/>
      <w:sz w:val="24"/>
      <w:szCs w:val="24"/>
      <w:lang w:bidi="ar-SA"/>
    </w:rPr>
  </w:style>
  <w:style w:type="character" w:styleId="LineNumber">
    <w:name w:val="line number"/>
    <w:basedOn w:val="DefaultParagraphFont"/>
    <w:uiPriority w:val="99"/>
    <w:semiHidden/>
    <w:unhideWhenUsed/>
    <w:rsid w:val="001C4919"/>
  </w:style>
  <w:style w:type="paragraph" w:customStyle="1" w:styleId="ColorfulList-Accent11">
    <w:name w:val="Colorful List - Accent 11"/>
    <w:basedOn w:val="Normal"/>
    <w:uiPriority w:val="34"/>
    <w:rsid w:val="001C4919"/>
    <w:pPr>
      <w:spacing w:after="200" w:line="276" w:lineRule="auto"/>
      <w:ind w:left="720"/>
      <w:contextualSpacing/>
      <w:jc w:val="left"/>
    </w:pPr>
    <w:rPr>
      <w:rFonts w:ascii="Calibri" w:eastAsia="PMingLiU" w:hAnsi="Calibri" w:cs="Mangal"/>
      <w:szCs w:val="20"/>
      <w:lang w:val="en-AU" w:eastAsia="zh-TW" w:bidi="ne-NP"/>
    </w:rPr>
  </w:style>
  <w:style w:type="character" w:customStyle="1" w:styleId="st">
    <w:name w:val="st"/>
    <w:rsid w:val="001C4919"/>
  </w:style>
  <w:style w:type="character" w:styleId="PageNumber">
    <w:name w:val="page number"/>
    <w:uiPriority w:val="99"/>
    <w:rsid w:val="001C4919"/>
    <w:rPr>
      <w:rFonts w:cs="Times New Roman"/>
    </w:rPr>
  </w:style>
  <w:style w:type="paragraph" w:customStyle="1" w:styleId="HeadingIII">
    <w:name w:val="Heading III"/>
    <w:basedOn w:val="Heading3"/>
    <w:link w:val="HeadingIIIChar"/>
    <w:qFormat/>
    <w:rsid w:val="001C4919"/>
    <w:pPr>
      <w:numPr>
        <w:numId w:val="22"/>
      </w:numPr>
    </w:pPr>
    <w:rPr>
      <w:rFonts w:eastAsia="Times New Roman" w:cs="Mangal"/>
      <w:sz w:val="23"/>
      <w:szCs w:val="26"/>
    </w:rPr>
  </w:style>
  <w:style w:type="character" w:customStyle="1" w:styleId="HeadingIIIChar">
    <w:name w:val="Heading III Char"/>
    <w:link w:val="HeadingIII"/>
    <w:rsid w:val="001C4919"/>
    <w:rPr>
      <w:rFonts w:ascii="Myriad Pro" w:eastAsia="Times New Roman" w:hAnsi="Myriad Pro" w:cs="Mangal"/>
      <w:b/>
      <w:bCs/>
      <w:sz w:val="23"/>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40910">
      <w:bodyDiv w:val="1"/>
      <w:marLeft w:val="0"/>
      <w:marRight w:val="0"/>
      <w:marTop w:val="0"/>
      <w:marBottom w:val="0"/>
      <w:divBdr>
        <w:top w:val="none" w:sz="0" w:space="0" w:color="auto"/>
        <w:left w:val="none" w:sz="0" w:space="0" w:color="auto"/>
        <w:bottom w:val="none" w:sz="0" w:space="0" w:color="auto"/>
        <w:right w:val="none" w:sz="0" w:space="0" w:color="auto"/>
      </w:divBdr>
    </w:div>
    <w:div w:id="14228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ameed.omar@und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www.unirp.org.n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NDP\Post-2014%20Stuff\For%20ICAI%20Mission_DIF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NDP\Post-2014%20Stuff\For%20ICAI%20Mission_DIF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Employment Rate &amp; Face-to-Face Monitoring Trend</a:t>
            </a:r>
          </a:p>
        </c:rich>
      </c:tx>
      <c:overlay val="0"/>
    </c:title>
    <c:autoTitleDeleted val="0"/>
    <c:plotArea>
      <c:layout/>
      <c:lineChart>
        <c:grouping val="standard"/>
        <c:varyColors val="0"/>
        <c:ser>
          <c:idx val="0"/>
          <c:order val="0"/>
          <c:tx>
            <c:strRef>
              <c:f>'Employment&amp;Monitoring'!$D$2</c:f>
              <c:strCache>
                <c:ptCount val="1"/>
                <c:pt idx="0">
                  <c:v>Employment Rate</c:v>
                </c:pt>
              </c:strCache>
            </c:strRef>
          </c:tx>
          <c:dLbls>
            <c:dLbl>
              <c:idx val="2"/>
              <c:layout>
                <c:manualLayout>
                  <c:x val="-2.9835372988015269E-2"/>
                  <c:y val="3.685226429101715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solidFill>
                      <a:schemeClr val="tx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'Employment&amp;Monitoring'!$A$3:$A$14</c:f>
              <c:numCache>
                <c:formatCode>mmm\-yy</c:formatCode>
                <c:ptCount val="1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numCache>
            </c:numRef>
          </c:cat>
          <c:val>
            <c:numRef>
              <c:f>'Employment&amp;Monitoring'!$D$3:$D$14</c:f>
              <c:numCache>
                <c:formatCode>0%</c:formatCode>
                <c:ptCount val="12"/>
                <c:pt idx="0">
                  <c:v>0.58650065530799456</c:v>
                </c:pt>
                <c:pt idx="1">
                  <c:v>0.58972772277227681</c:v>
                </c:pt>
                <c:pt idx="2">
                  <c:v>0.5773562537048017</c:v>
                </c:pt>
                <c:pt idx="3">
                  <c:v>0.62371134020618635</c:v>
                </c:pt>
                <c:pt idx="4">
                  <c:v>0.66800228963938246</c:v>
                </c:pt>
                <c:pt idx="5">
                  <c:v>0.69639794168096059</c:v>
                </c:pt>
                <c:pt idx="6">
                  <c:v>0.70193401592719062</c:v>
                </c:pt>
                <c:pt idx="7">
                  <c:v>0.70989761092150261</c:v>
                </c:pt>
                <c:pt idx="8">
                  <c:v>0.72013651877133056</c:v>
                </c:pt>
                <c:pt idx="9">
                  <c:v>0.72143263217737363</c:v>
                </c:pt>
                <c:pt idx="10">
                  <c:v>0.72768618533257534</c:v>
                </c:pt>
                <c:pt idx="11">
                  <c:v>0.71461057418988139</c:v>
                </c:pt>
              </c:numCache>
            </c:numRef>
          </c:val>
          <c:smooth val="0"/>
        </c:ser>
        <c:ser>
          <c:idx val="1"/>
          <c:order val="1"/>
          <c:tx>
            <c:strRef>
              <c:f>'Employment&amp;Monitoring'!$F$2</c:f>
              <c:strCache>
                <c:ptCount val="1"/>
                <c:pt idx="0">
                  <c:v>Face-to-Face Monitoring Rate</c:v>
                </c:pt>
              </c:strCache>
            </c:strRef>
          </c:tx>
          <c:dLbls>
            <c:dLbl>
              <c:idx val="2"/>
              <c:layout>
                <c:manualLayout>
                  <c:x val="-2.9835372988015269E-2"/>
                  <c:y val="-3.68522642910170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9835372988015269E-2"/>
                  <c:y val="-5.46696362286565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9835372988015269E-2"/>
                  <c:y val="-5.46696362286565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3048224393637533E-2"/>
                  <c:y val="-5.17000742390498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solidFill>
                      <a:schemeClr val="accent2"/>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'Employment&amp;Monitoring'!$A$3:$A$14</c:f>
              <c:numCache>
                <c:formatCode>mmm\-yy</c:formatCode>
                <c:ptCount val="1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numCache>
            </c:numRef>
          </c:cat>
          <c:val>
            <c:numRef>
              <c:f>'Employment&amp;Monitoring'!$F$3:$F$14</c:f>
              <c:numCache>
                <c:formatCode>0%</c:formatCode>
                <c:ptCount val="12"/>
                <c:pt idx="0">
                  <c:v>0.60681520314547965</c:v>
                </c:pt>
                <c:pt idx="1">
                  <c:v>0.59653465346534651</c:v>
                </c:pt>
                <c:pt idx="2">
                  <c:v>0.62299940723177405</c:v>
                </c:pt>
                <c:pt idx="3">
                  <c:v>0.63974799541810001</c:v>
                </c:pt>
                <c:pt idx="4">
                  <c:v>0.66399542072123663</c:v>
                </c:pt>
                <c:pt idx="5">
                  <c:v>0.71183533447684455</c:v>
                </c:pt>
                <c:pt idx="6">
                  <c:v>0.74857792946530144</c:v>
                </c:pt>
                <c:pt idx="7">
                  <c:v>0.78100113765642842</c:v>
                </c:pt>
                <c:pt idx="8">
                  <c:v>0.80659840728100163</c:v>
                </c:pt>
                <c:pt idx="9">
                  <c:v>0.82717453098351412</c:v>
                </c:pt>
                <c:pt idx="10">
                  <c:v>0.84422967595224552</c:v>
                </c:pt>
                <c:pt idx="11">
                  <c:v>0.86412734508243316</c:v>
                </c:pt>
              </c:numCache>
            </c:numRef>
          </c:val>
          <c:smooth val="0"/>
        </c:ser>
        <c:dLbls>
          <c:showLegendKey val="0"/>
          <c:showVal val="0"/>
          <c:showCatName val="0"/>
          <c:showSerName val="0"/>
          <c:showPercent val="0"/>
          <c:showBubbleSize val="0"/>
        </c:dLbls>
        <c:marker val="1"/>
        <c:smooth val="0"/>
        <c:axId val="339091528"/>
        <c:axId val="339091920"/>
      </c:lineChart>
      <c:dateAx>
        <c:axId val="339091528"/>
        <c:scaling>
          <c:orientation val="minMax"/>
        </c:scaling>
        <c:delete val="0"/>
        <c:axPos val="b"/>
        <c:majorGridlines/>
        <c:numFmt formatCode="mmm\-yy" sourceLinked="1"/>
        <c:majorTickMark val="none"/>
        <c:minorTickMark val="none"/>
        <c:tickLblPos val="nextTo"/>
        <c:crossAx val="339091920"/>
        <c:crosses val="autoZero"/>
        <c:auto val="1"/>
        <c:lblOffset val="100"/>
        <c:baseTimeUnit val="months"/>
      </c:dateAx>
      <c:valAx>
        <c:axId val="339091920"/>
        <c:scaling>
          <c:orientation val="minMax"/>
        </c:scaling>
        <c:delete val="0"/>
        <c:axPos val="l"/>
        <c:majorGridlines/>
        <c:numFmt formatCode="0%" sourceLinked="1"/>
        <c:majorTickMark val="none"/>
        <c:minorTickMark val="none"/>
        <c:tickLblPos val="nextTo"/>
        <c:crossAx val="339091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Trend of Business Sustainability</a:t>
            </a:r>
          </a:p>
        </c:rich>
      </c:tx>
      <c:overlay val="0"/>
    </c:title>
    <c:autoTitleDeleted val="0"/>
    <c:plotArea>
      <c:layout/>
      <c:lineChart>
        <c:grouping val="standard"/>
        <c:varyColors val="0"/>
        <c:ser>
          <c:idx val="0"/>
          <c:order val="0"/>
          <c:tx>
            <c:strRef>
              <c:f>'Business Sustainability'!$D$2</c:f>
              <c:strCache>
                <c:ptCount val="1"/>
                <c:pt idx="0">
                  <c:v>% of Business Established Graduates</c:v>
                </c:pt>
              </c:strCache>
            </c:strRef>
          </c:tx>
          <c:dLbls>
            <c:dLbl>
              <c:idx val="6"/>
              <c:layout>
                <c:manualLayout>
                  <c:x val="-4.8484842314821634E-3"/>
                  <c:y val="2.0512816371327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8.0808070524703048E-3"/>
                  <c:y val="-1.5384612278495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6161614104940561E-3"/>
                  <c:y val="-1.28205102320795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4.8484842314821634E-3"/>
                  <c:y val="2.56410204641592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4.8484842314821634E-3"/>
                  <c:y val="1.794871432491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1.794871432491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tx2"/>
                    </a:solidFil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'Business Sustainability'!$A$3:$B$17</c:f>
              <c:multiLvlStrCache>
                <c:ptCount val="1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lvl>
                <c:lvl>
                  <c:pt idx="0">
                    <c:v>2010</c:v>
                  </c:pt>
                  <c:pt idx="4">
                    <c:v>2011</c:v>
                  </c:pt>
                  <c:pt idx="8">
                    <c:v>2012</c:v>
                  </c:pt>
                  <c:pt idx="12">
                    <c:v>2013</c:v>
                  </c:pt>
                </c:lvl>
              </c:multiLvlStrCache>
            </c:multiLvlStrRef>
          </c:cat>
          <c:val>
            <c:numRef>
              <c:f>'Business Sustainability'!$D$3:$D$17</c:f>
              <c:numCache>
                <c:formatCode>0%</c:formatCode>
                <c:ptCount val="15"/>
                <c:pt idx="0">
                  <c:v>9.1911764705882569E-4</c:v>
                </c:pt>
                <c:pt idx="1">
                  <c:v>8.2720588235294362E-3</c:v>
                </c:pt>
                <c:pt idx="2">
                  <c:v>5.2389705882352942E-2</c:v>
                </c:pt>
                <c:pt idx="3">
                  <c:v>8.1801470588235295E-2</c:v>
                </c:pt>
                <c:pt idx="4">
                  <c:v>0.14338235294117646</c:v>
                </c:pt>
                <c:pt idx="5">
                  <c:v>0.21691176470588241</c:v>
                </c:pt>
                <c:pt idx="6">
                  <c:v>0.33363970588235375</c:v>
                </c:pt>
                <c:pt idx="7">
                  <c:v>0.39062500000000056</c:v>
                </c:pt>
                <c:pt idx="8">
                  <c:v>0.50275735294117663</c:v>
                </c:pt>
                <c:pt idx="9">
                  <c:v>0.59283088235294057</c:v>
                </c:pt>
                <c:pt idx="10">
                  <c:v>0.75735294117647067</c:v>
                </c:pt>
                <c:pt idx="11">
                  <c:v>0.96139705882353055</c:v>
                </c:pt>
                <c:pt idx="12">
                  <c:v>0.98897058823529416</c:v>
                </c:pt>
                <c:pt idx="13">
                  <c:v>0.99816176470588236</c:v>
                </c:pt>
                <c:pt idx="14">
                  <c:v>1</c:v>
                </c:pt>
              </c:numCache>
            </c:numRef>
          </c:val>
          <c:smooth val="0"/>
        </c:ser>
        <c:ser>
          <c:idx val="1"/>
          <c:order val="1"/>
          <c:tx>
            <c:strRef>
              <c:f>'Business Sustainability'!$F$2</c:f>
              <c:strCache>
                <c:ptCount val="1"/>
                <c:pt idx="0">
                  <c:v>% of Business Sustained</c:v>
                </c:pt>
              </c:strCache>
            </c:strRef>
          </c:tx>
          <c:dLbls>
            <c:dLbl>
              <c:idx val="10"/>
              <c:layout>
                <c:manualLayout>
                  <c:x val="-4.3983896414997684E-2"/>
                  <c:y val="-3.359619753761406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'Business Sustainability'!$A$3:$B$17</c:f>
              <c:multiLvlStrCache>
                <c:ptCount val="1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lvl>
                <c:lvl>
                  <c:pt idx="0">
                    <c:v>2010</c:v>
                  </c:pt>
                  <c:pt idx="4">
                    <c:v>2011</c:v>
                  </c:pt>
                  <c:pt idx="8">
                    <c:v>2012</c:v>
                  </c:pt>
                  <c:pt idx="12">
                    <c:v>2013</c:v>
                  </c:pt>
                </c:lvl>
              </c:multiLvlStrCache>
            </c:multiLvlStrRef>
          </c:cat>
          <c:val>
            <c:numRef>
              <c:f>'Business Sustainability'!$F$3:$F$17</c:f>
              <c:numCache>
                <c:formatCode>0%</c:formatCode>
                <c:ptCount val="15"/>
                <c:pt idx="0">
                  <c:v>1</c:v>
                </c:pt>
                <c:pt idx="1">
                  <c:v>0.88888888888888884</c:v>
                </c:pt>
                <c:pt idx="2">
                  <c:v>0.73684210526315785</c:v>
                </c:pt>
                <c:pt idx="3">
                  <c:v>0.71910112359550693</c:v>
                </c:pt>
                <c:pt idx="4">
                  <c:v>0.71153846153846168</c:v>
                </c:pt>
                <c:pt idx="5">
                  <c:v>0.72033898305084743</c:v>
                </c:pt>
                <c:pt idx="6">
                  <c:v>0.68870523415978213</c:v>
                </c:pt>
                <c:pt idx="7">
                  <c:v>0.68</c:v>
                </c:pt>
                <c:pt idx="8">
                  <c:v>0.69469835466179353</c:v>
                </c:pt>
                <c:pt idx="9">
                  <c:v>0.71007751937984565</c:v>
                </c:pt>
                <c:pt idx="10">
                  <c:v>0.73179611650485643</c:v>
                </c:pt>
                <c:pt idx="11">
                  <c:v>0.75430210325047864</c:v>
                </c:pt>
                <c:pt idx="12">
                  <c:v>0.75929368029739774</c:v>
                </c:pt>
                <c:pt idx="13">
                  <c:v>0.75966850828729282</c:v>
                </c:pt>
                <c:pt idx="14">
                  <c:v>0.76011029411764708</c:v>
                </c:pt>
              </c:numCache>
            </c:numRef>
          </c:val>
          <c:smooth val="0"/>
        </c:ser>
        <c:ser>
          <c:idx val="2"/>
          <c:order val="2"/>
          <c:tx>
            <c:strRef>
              <c:f>'Business Sustainability'!$H$2</c:f>
              <c:strCache>
                <c:ptCount val="1"/>
                <c:pt idx="0">
                  <c:v>% of Business Unsustained </c:v>
                </c:pt>
              </c:strCache>
            </c:strRef>
          </c:tx>
          <c:dLbls>
            <c:dLbl>
              <c:idx val="7"/>
              <c:layout>
                <c:manualLayout>
                  <c:x val="-2.7822282310057192E-2"/>
                  <c:y val="-2.333978935195043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3">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'Business Sustainability'!$A$3:$B$17</c:f>
              <c:multiLvlStrCache>
                <c:ptCount val="15"/>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lvl>
                <c:lvl>
                  <c:pt idx="0">
                    <c:v>2010</c:v>
                  </c:pt>
                  <c:pt idx="4">
                    <c:v>2011</c:v>
                  </c:pt>
                  <c:pt idx="8">
                    <c:v>2012</c:v>
                  </c:pt>
                  <c:pt idx="12">
                    <c:v>2013</c:v>
                  </c:pt>
                </c:lvl>
              </c:multiLvlStrCache>
            </c:multiLvlStrRef>
          </c:cat>
          <c:val>
            <c:numRef>
              <c:f>'Business Sustainability'!$H$3:$H$17</c:f>
              <c:numCache>
                <c:formatCode>0%</c:formatCode>
                <c:ptCount val="15"/>
                <c:pt idx="0">
                  <c:v>0</c:v>
                </c:pt>
                <c:pt idx="1">
                  <c:v>0.1111111111111111</c:v>
                </c:pt>
                <c:pt idx="2">
                  <c:v>0.26315789473684231</c:v>
                </c:pt>
                <c:pt idx="3">
                  <c:v>0.28089887640449501</c:v>
                </c:pt>
                <c:pt idx="4">
                  <c:v>0.28846153846153777</c:v>
                </c:pt>
                <c:pt idx="5">
                  <c:v>0.27966101694915252</c:v>
                </c:pt>
                <c:pt idx="6">
                  <c:v>0.31129476584022114</c:v>
                </c:pt>
                <c:pt idx="7">
                  <c:v>0.32000000000000062</c:v>
                </c:pt>
                <c:pt idx="8">
                  <c:v>0.30530164533820925</c:v>
                </c:pt>
                <c:pt idx="9">
                  <c:v>0.28992248062015574</c:v>
                </c:pt>
                <c:pt idx="10">
                  <c:v>0.26820388349514562</c:v>
                </c:pt>
                <c:pt idx="11">
                  <c:v>0.2456978967495223</c:v>
                </c:pt>
                <c:pt idx="12">
                  <c:v>0.24070631970260253</c:v>
                </c:pt>
                <c:pt idx="13">
                  <c:v>0.24033149171270754</c:v>
                </c:pt>
                <c:pt idx="14">
                  <c:v>0.23988970588235328</c:v>
                </c:pt>
              </c:numCache>
            </c:numRef>
          </c:val>
          <c:smooth val="0"/>
        </c:ser>
        <c:dLbls>
          <c:showLegendKey val="0"/>
          <c:showVal val="0"/>
          <c:showCatName val="0"/>
          <c:showSerName val="0"/>
          <c:showPercent val="0"/>
          <c:showBubbleSize val="0"/>
        </c:dLbls>
        <c:marker val="1"/>
        <c:smooth val="0"/>
        <c:axId val="336112048"/>
        <c:axId val="336114792"/>
      </c:lineChart>
      <c:catAx>
        <c:axId val="336112048"/>
        <c:scaling>
          <c:orientation val="minMax"/>
        </c:scaling>
        <c:delete val="0"/>
        <c:axPos val="b"/>
        <c:majorGridlines/>
        <c:numFmt formatCode="General" sourceLinked="0"/>
        <c:majorTickMark val="none"/>
        <c:minorTickMark val="none"/>
        <c:tickLblPos val="nextTo"/>
        <c:crossAx val="336114792"/>
        <c:crosses val="autoZero"/>
        <c:auto val="1"/>
        <c:lblAlgn val="ctr"/>
        <c:lblOffset val="100"/>
        <c:noMultiLvlLbl val="0"/>
      </c:catAx>
      <c:valAx>
        <c:axId val="336114792"/>
        <c:scaling>
          <c:orientation val="minMax"/>
        </c:scaling>
        <c:delete val="0"/>
        <c:axPos val="l"/>
        <c:majorGridlines/>
        <c:numFmt formatCode="0%" sourceLinked="1"/>
        <c:majorTickMark val="none"/>
        <c:minorTickMark val="none"/>
        <c:tickLblPos val="nextTo"/>
        <c:spPr>
          <a:ln w="9525">
            <a:noFill/>
          </a:ln>
        </c:spPr>
        <c:crossAx val="336112048"/>
        <c:crosses val="autoZero"/>
        <c:crossBetween val="between"/>
      </c:valAx>
      <c:spPr>
        <a:noFill/>
      </c:spPr>
    </c:plotArea>
    <c:legend>
      <c:legendPos val="b"/>
      <c:layout>
        <c:manualLayout>
          <c:xMode val="edge"/>
          <c:yMode val="edge"/>
          <c:x val="0.1321515184284493"/>
          <c:y val="0.75418391285160169"/>
          <c:w val="0.73143830512083452"/>
          <c:h val="0.204518152045153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2C75-B475-42E1-A2A3-6919B617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16264</Words>
  <Characters>92711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Nutan.Sharma</cp:lastModifiedBy>
  <cp:revision>2</cp:revision>
  <cp:lastPrinted>2015-02-25T09:07:00Z</cp:lastPrinted>
  <dcterms:created xsi:type="dcterms:W3CDTF">2016-03-15T03:55:00Z</dcterms:created>
  <dcterms:modified xsi:type="dcterms:W3CDTF">2016-03-15T03:55:00Z</dcterms:modified>
</cp:coreProperties>
</file>