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2F" w:rsidRDefault="004B7A2F"/>
    <w:tbl>
      <w:tblPr>
        <w:tblW w:w="0" w:type="auto"/>
        <w:tblLook w:val="04A0" w:firstRow="1" w:lastRow="0" w:firstColumn="1" w:lastColumn="0" w:noHBand="0" w:noVBand="1"/>
      </w:tblPr>
      <w:tblGrid>
        <w:gridCol w:w="3553"/>
        <w:gridCol w:w="5105"/>
        <w:gridCol w:w="1710"/>
      </w:tblGrid>
      <w:tr w:rsidR="001114B2" w:rsidRPr="00386B05" w:rsidTr="00C5660F">
        <w:trPr>
          <w:trHeight w:val="1745"/>
        </w:trPr>
        <w:tc>
          <w:tcPr>
            <w:tcW w:w="3553" w:type="dxa"/>
            <w:shd w:val="clear" w:color="auto" w:fill="auto"/>
          </w:tcPr>
          <w:p w:rsidR="001114B2" w:rsidRPr="00386B05" w:rsidRDefault="00B03D46" w:rsidP="001114B2">
            <w:pPr>
              <w:rPr>
                <w:sz w:val="28"/>
                <w:szCs w:val="28"/>
              </w:rPr>
            </w:pPr>
            <w:r>
              <w:rPr>
                <w:noProof/>
              </w:rPr>
              <w:drawing>
                <wp:inline distT="0" distB="0" distL="0" distR="0">
                  <wp:extent cx="857250" cy="571500"/>
                  <wp:effectExtent l="19050" t="0" r="0" b="0"/>
                  <wp:docPr id="1" name="Picture 1" descr="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
                          <pic:cNvPicPr>
                            <a:picLocks noChangeAspect="1" noChangeArrowheads="1"/>
                          </pic:cNvPicPr>
                        </pic:nvPicPr>
                        <pic:blipFill>
                          <a:blip r:embed="rId8"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p>
        </w:tc>
        <w:tc>
          <w:tcPr>
            <w:tcW w:w="5105" w:type="dxa"/>
            <w:shd w:val="clear" w:color="auto" w:fill="auto"/>
          </w:tcPr>
          <w:p w:rsidR="001114B2" w:rsidRPr="00386B05" w:rsidRDefault="001114B2" w:rsidP="00C5660F">
            <w:pPr>
              <w:jc w:val="right"/>
              <w:rPr>
                <w:noProof/>
              </w:rPr>
            </w:pPr>
          </w:p>
          <w:p w:rsidR="001114B2" w:rsidRPr="00386B05" w:rsidRDefault="00B03D46" w:rsidP="004B7A2F">
            <w:pPr>
              <w:rPr>
                <w:b/>
                <w:sz w:val="28"/>
                <w:szCs w:val="28"/>
                <w:u w:val="single"/>
              </w:rPr>
            </w:pPr>
            <w:r>
              <w:rPr>
                <w:noProof/>
              </w:rPr>
              <w:drawing>
                <wp:inline distT="0" distB="0" distL="0" distR="0">
                  <wp:extent cx="1638300" cy="304800"/>
                  <wp:effectExtent l="19050" t="0" r="0" b="0"/>
                  <wp:docPr id="2"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8300" cy="304800"/>
                          </a:xfrm>
                          <a:prstGeom prst="rect">
                            <a:avLst/>
                          </a:prstGeom>
                          <a:noFill/>
                          <a:ln w="9525">
                            <a:noFill/>
                            <a:miter lim="800000"/>
                            <a:headEnd/>
                            <a:tailEnd/>
                          </a:ln>
                        </pic:spPr>
                      </pic:pic>
                    </a:graphicData>
                  </a:graphic>
                </wp:inline>
              </w:drawing>
            </w:r>
          </w:p>
        </w:tc>
        <w:tc>
          <w:tcPr>
            <w:tcW w:w="1710" w:type="dxa"/>
            <w:shd w:val="clear" w:color="auto" w:fill="auto"/>
          </w:tcPr>
          <w:p w:rsidR="001114B2" w:rsidRPr="00386B05" w:rsidRDefault="00B03D46" w:rsidP="00C5660F">
            <w:pPr>
              <w:jc w:val="right"/>
              <w:rPr>
                <w:b/>
                <w:sz w:val="28"/>
                <w:szCs w:val="28"/>
                <w:u w:val="single"/>
              </w:rPr>
            </w:pPr>
            <w:r>
              <w:rPr>
                <w:b/>
                <w:iCs/>
                <w:noProof/>
                <w:color w:val="333399"/>
              </w:rPr>
              <w:drawing>
                <wp:inline distT="0" distB="0" distL="0" distR="0">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62610" cy="1059815"/>
                          </a:xfrm>
                          <a:prstGeom prst="rect">
                            <a:avLst/>
                          </a:prstGeom>
                          <a:noFill/>
                        </pic:spPr>
                      </pic:pic>
                    </a:graphicData>
                  </a:graphic>
                </wp:inline>
              </w:drawing>
            </w:r>
          </w:p>
        </w:tc>
      </w:tr>
    </w:tbl>
    <w:p w:rsidR="00875706" w:rsidRPr="00386B05" w:rsidRDefault="008D4242" w:rsidP="00875706">
      <w:pPr>
        <w:jc w:val="center"/>
        <w:rPr>
          <w:b/>
        </w:rPr>
      </w:pPr>
      <w:r w:rsidRPr="00386B05">
        <w:rPr>
          <w:b/>
        </w:rPr>
        <w:t>LEBANON RECOVERY FUND</w:t>
      </w:r>
    </w:p>
    <w:p w:rsidR="00875706" w:rsidRPr="00386B05" w:rsidRDefault="00875706" w:rsidP="00875706">
      <w:pPr>
        <w:jc w:val="center"/>
        <w:rPr>
          <w:b/>
          <w:bCs/>
          <w:caps/>
        </w:rPr>
      </w:pPr>
      <w:r w:rsidRPr="00386B05">
        <w:rPr>
          <w:b/>
          <w:bCs/>
          <w:caps/>
        </w:rPr>
        <w:t>MPTF OFfice GENERIC ANNUAL programme</w:t>
      </w:r>
      <w:r w:rsidRPr="00386B05">
        <w:rPr>
          <w:rStyle w:val="FootnoteReference"/>
          <w:b/>
          <w:bCs/>
          <w:caps/>
        </w:rPr>
        <w:footnoteReference w:id="1"/>
      </w:r>
      <w:r w:rsidRPr="00386B05">
        <w:rPr>
          <w:b/>
          <w:bCs/>
          <w:caps/>
        </w:rPr>
        <w:t xml:space="preserve"> NARRATIVE progress report </w:t>
      </w:r>
    </w:p>
    <w:p w:rsidR="00875706" w:rsidRPr="00386B05" w:rsidRDefault="00875706" w:rsidP="00875706">
      <w:pPr>
        <w:jc w:val="center"/>
        <w:rPr>
          <w:b/>
          <w:bCs/>
          <w:caps/>
        </w:rPr>
      </w:pPr>
      <w:r w:rsidRPr="00386B05">
        <w:rPr>
          <w:b/>
          <w:bCs/>
          <w:caps/>
        </w:rPr>
        <w:t>REPORTING PERI</w:t>
      </w:r>
      <w:r w:rsidR="00FC2E22">
        <w:rPr>
          <w:b/>
          <w:bCs/>
          <w:caps/>
        </w:rPr>
        <w:t>OD: 1 january – 31 December 201</w:t>
      </w:r>
      <w:r w:rsidR="00F9446B">
        <w:rPr>
          <w:b/>
          <w:bCs/>
          <w:caps/>
        </w:rPr>
        <w:t>4</w:t>
      </w:r>
    </w:p>
    <w:p w:rsidR="00875706" w:rsidRPr="00386B05"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3150"/>
        <w:gridCol w:w="1992"/>
        <w:gridCol w:w="258"/>
        <w:gridCol w:w="3002"/>
        <w:gridCol w:w="1984"/>
      </w:tblGrid>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Programme Title &amp; Project Number</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Country, Locality(s), Priority Area(s) / Strategic Results</w:t>
            </w:r>
            <w:r w:rsidRPr="00386B05">
              <w:rPr>
                <w:rStyle w:val="FootnoteReference"/>
                <w:rFonts w:cs="Times New Roman"/>
              </w:rPr>
              <w:footnoteReference w:id="2"/>
            </w:r>
          </w:p>
        </w:tc>
      </w:tr>
      <w:tr w:rsidR="00875706" w:rsidRPr="00386B05" w:rsidTr="00C5660F">
        <w:trPr>
          <w:trHeight w:val="300"/>
        </w:trPr>
        <w:tc>
          <w:tcPr>
            <w:tcW w:w="5142" w:type="dxa"/>
            <w:gridSpan w:val="2"/>
            <w:vMerge w:val="restart"/>
            <w:tcBorders>
              <w:left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r w:rsidRPr="00386B05">
              <w:rPr>
                <w:rFonts w:ascii="Times New Roman" w:hAnsi="Times New Roman" w:cs="Times New Roman"/>
                <w:bCs/>
                <w:iCs/>
                <w:snapToGrid w:val="0"/>
                <w:szCs w:val="28"/>
              </w:rPr>
              <w:t>Programme Title:</w:t>
            </w:r>
            <w:r w:rsidR="008D4242" w:rsidRPr="00386B05">
              <w:rPr>
                <w:rFonts w:ascii="Times New Roman" w:hAnsi="Times New Roman" w:cs="Times New Roman"/>
                <w:bCs/>
                <w:iCs/>
                <w:snapToGrid w:val="0"/>
                <w:szCs w:val="28"/>
              </w:rPr>
              <w:t xml:space="preserve"> M&amp;E team for the LRF</w:t>
            </w:r>
          </w:p>
          <w:p w:rsidR="00875706" w:rsidRPr="00386B05" w:rsidRDefault="00875706" w:rsidP="00FC2E22">
            <w:pPr>
              <w:pStyle w:val="BodyText"/>
              <w:numPr>
                <w:ilvl w:val="0"/>
                <w:numId w:val="2"/>
              </w:numPr>
              <w:spacing w:before="60" w:after="60"/>
              <w:ind w:left="342"/>
              <w:jc w:val="both"/>
              <w:rPr>
                <w:rFonts w:ascii="Times New Roman" w:hAnsi="Times New Roman" w:cs="Times New Roman"/>
                <w:bCs/>
                <w:i/>
                <w:iCs/>
                <w:snapToGrid w:val="0"/>
                <w:sz w:val="18"/>
                <w:szCs w:val="18"/>
                <w:lang w:val="en-GB"/>
              </w:rPr>
            </w:pPr>
            <w:r w:rsidRPr="00386B05">
              <w:rPr>
                <w:rFonts w:ascii="Times New Roman" w:hAnsi="Times New Roman" w:cs="Times New Roman"/>
                <w:bCs/>
                <w:iCs/>
                <w:snapToGrid w:val="0"/>
                <w:szCs w:val="28"/>
              </w:rPr>
              <w:t xml:space="preserve">Programme Number </w:t>
            </w:r>
            <w:r w:rsidR="00FC2E22">
              <w:rPr>
                <w:rFonts w:ascii="Times New Roman" w:hAnsi="Times New Roman" w:cs="Times New Roman"/>
                <w:bCs/>
                <w:i/>
                <w:iCs/>
                <w:snapToGrid w:val="0"/>
                <w:sz w:val="18"/>
                <w:szCs w:val="18"/>
                <w:lang w:val="en-GB"/>
              </w:rPr>
              <w:t>LRF 25</w:t>
            </w:r>
            <w:r w:rsidRPr="00386B05">
              <w:rPr>
                <w:rFonts w:ascii="Times New Roman" w:hAnsi="Times New Roman" w:cs="Times New Roman"/>
                <w:bCs/>
                <w:i/>
                <w:iCs/>
                <w:snapToGrid w:val="0"/>
                <w:sz w:val="18"/>
                <w:szCs w:val="18"/>
                <w:lang w:val="en-GB"/>
              </w:rPr>
              <w:t xml:space="preserve">  </w:t>
            </w:r>
          </w:p>
          <w:p w:rsidR="00875706" w:rsidRPr="00386B05" w:rsidRDefault="00875706" w:rsidP="009D1301">
            <w:pPr>
              <w:pStyle w:val="BodyText"/>
              <w:numPr>
                <w:ilvl w:val="0"/>
                <w:numId w:val="2"/>
              </w:numPr>
              <w:spacing w:before="60" w:after="60"/>
              <w:ind w:left="342"/>
              <w:jc w:val="both"/>
              <w:rPr>
                <w:rFonts w:ascii="Times New Roman" w:hAnsi="Times New Roman" w:cs="Times New Roman"/>
                <w:i/>
              </w:rPr>
            </w:pPr>
            <w:r w:rsidRPr="00386B05">
              <w:rPr>
                <w:rFonts w:ascii="Times New Roman" w:hAnsi="Times New Roman" w:cs="Times New Roman"/>
                <w:bCs/>
                <w:iCs/>
                <w:snapToGrid w:val="0"/>
                <w:szCs w:val="28"/>
              </w:rPr>
              <w:t>MPTF Office Project Reference Number:</w:t>
            </w:r>
            <w:r w:rsidRPr="00386B05">
              <w:rPr>
                <w:rStyle w:val="FootnoteReference"/>
                <w:rFonts w:ascii="Times New Roman" w:hAnsi="Times New Roman" w:cs="Times New Roman"/>
                <w:bCs/>
                <w:iCs/>
                <w:snapToGrid w:val="0"/>
                <w:szCs w:val="28"/>
              </w:rPr>
              <w:footnoteReference w:id="3"/>
            </w:r>
            <w:r w:rsidRPr="00386B05">
              <w:rPr>
                <w:rFonts w:ascii="Times New Roman" w:hAnsi="Times New Roman" w:cs="Times New Roman"/>
                <w:i/>
              </w:rPr>
              <w:t xml:space="preserve"> </w:t>
            </w:r>
            <w:r w:rsidR="008D4242" w:rsidRPr="00386B05">
              <w:rPr>
                <w:rFonts w:ascii="Times New Roman" w:hAnsi="Times New Roman" w:cs="Times New Roman"/>
                <w:iCs/>
              </w:rPr>
              <w:t>00073340</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(if applicable)</w:t>
            </w:r>
          </w:p>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Country/Region</w:t>
            </w:r>
          </w:p>
          <w:p w:rsidR="00875706" w:rsidRPr="00386B05" w:rsidRDefault="008D4242" w:rsidP="00C5660F">
            <w:pPr>
              <w:pStyle w:val="BodyText"/>
              <w:rPr>
                <w:rFonts w:ascii="Times New Roman" w:hAnsi="Times New Roman" w:cs="Times New Roman"/>
                <w:sz w:val="24"/>
              </w:rPr>
            </w:pPr>
            <w:r w:rsidRPr="00386B05">
              <w:rPr>
                <w:rFonts w:ascii="Times New Roman" w:hAnsi="Times New Roman" w:cs="Times New Roman"/>
                <w:sz w:val="24"/>
              </w:rPr>
              <w:t>Lebanon</w:t>
            </w:r>
          </w:p>
        </w:tc>
      </w:tr>
      <w:tr w:rsidR="00875706" w:rsidRPr="00386B05" w:rsidTr="00C5660F">
        <w:trPr>
          <w:trHeight w:val="426"/>
        </w:trPr>
        <w:tc>
          <w:tcPr>
            <w:tcW w:w="5142" w:type="dxa"/>
            <w:gridSpan w:val="2"/>
            <w:vMerge/>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2"/>
              </w:numPr>
              <w:spacing w:before="60" w:after="60"/>
              <w:ind w:left="342"/>
              <w:jc w:val="both"/>
              <w:rPr>
                <w:rFonts w:ascii="Times New Roman" w:hAnsi="Times New Roman" w:cs="Times New Roman"/>
                <w:bCs/>
                <w:iCs/>
                <w:snapToGrid w:val="0"/>
                <w:szCs w:val="28"/>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top w:val="single" w:sz="4" w:space="0" w:color="auto"/>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rPr>
            </w:pPr>
            <w:r w:rsidRPr="00386B05">
              <w:rPr>
                <w:rFonts w:ascii="Times New Roman" w:hAnsi="Times New Roman" w:cs="Times New Roman"/>
                <w:bCs/>
                <w:i/>
                <w:iCs/>
                <w:snapToGrid w:val="0"/>
              </w:rPr>
              <w:t xml:space="preserve">Priority area/ strategic results </w:t>
            </w: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rPr>
            </w:pPr>
            <w:r w:rsidRPr="00386B05">
              <w:rPr>
                <w:rFonts w:cs="Times New Roman"/>
              </w:rPr>
              <w:t>Participating Organization(s)</w:t>
            </w:r>
          </w:p>
        </w:tc>
        <w:tc>
          <w:tcPr>
            <w:tcW w:w="258" w:type="dxa"/>
            <w:vMerge w:val="restart"/>
            <w:tcBorders>
              <w:left w:val="single" w:sz="4" w:space="0" w:color="auto"/>
              <w:right w:val="single" w:sz="4" w:space="0" w:color="auto"/>
            </w:tcBorders>
            <w:vAlign w:val="center"/>
          </w:tcPr>
          <w:p w:rsidR="00875706" w:rsidRPr="00386B0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875706" w:rsidRPr="00386B05" w:rsidRDefault="00875706" w:rsidP="00C5660F">
            <w:pPr>
              <w:pStyle w:val="H1"/>
              <w:jc w:val="center"/>
              <w:rPr>
                <w:rFonts w:cs="Times New Roman"/>
                <w:sz w:val="20"/>
              </w:rPr>
            </w:pPr>
            <w:r w:rsidRPr="00386B05">
              <w:rPr>
                <w:rFonts w:cs="Times New Roman"/>
              </w:rPr>
              <w:t>Implementing Partners</w:t>
            </w:r>
          </w:p>
        </w:tc>
      </w:tr>
      <w:tr w:rsidR="00875706" w:rsidRPr="00386B05" w:rsidTr="00C5660F">
        <w:trPr>
          <w:trHeight w:val="495"/>
        </w:trPr>
        <w:tc>
          <w:tcPr>
            <w:tcW w:w="5142"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5"/>
              </w:numPr>
              <w:rPr>
                <w:rFonts w:ascii="Times New Roman" w:hAnsi="Times New Roman" w:cs="Times New Roman"/>
              </w:rPr>
            </w:pPr>
            <w:r w:rsidRPr="00386B05">
              <w:rPr>
                <w:rFonts w:ascii="Times New Roman" w:hAnsi="Times New Roman" w:cs="Times New Roman"/>
              </w:rPr>
              <w:t>Organizations that have received direct funding from the MPTF Office under this programme</w:t>
            </w:r>
          </w:p>
          <w:p w:rsidR="008D4242" w:rsidRPr="00386B05" w:rsidRDefault="008D4242" w:rsidP="00C5660F">
            <w:pPr>
              <w:pStyle w:val="BodyText"/>
              <w:rPr>
                <w:rFonts w:ascii="Times New Roman" w:hAnsi="Times New Roman" w:cs="Times New Roman"/>
                <w:i/>
              </w:rPr>
            </w:pPr>
          </w:p>
          <w:p w:rsidR="00875706" w:rsidRPr="00386B05" w:rsidRDefault="008D4242" w:rsidP="00C5660F">
            <w:pPr>
              <w:pStyle w:val="BodyText"/>
              <w:rPr>
                <w:rFonts w:ascii="Times New Roman" w:hAnsi="Times New Roman" w:cs="Times New Roman"/>
                <w:i/>
              </w:rPr>
            </w:pPr>
            <w:r w:rsidRPr="00386B05">
              <w:rPr>
                <w:rFonts w:ascii="Times New Roman" w:hAnsi="Times New Roman" w:cs="Times New Roman"/>
                <w:i/>
              </w:rPr>
              <w:t>UNDP</w:t>
            </w:r>
          </w:p>
          <w:p w:rsidR="00875706" w:rsidRPr="00386B05" w:rsidRDefault="00875706" w:rsidP="00C5660F">
            <w:pPr>
              <w:pStyle w:val="BodyText"/>
              <w:rPr>
                <w:rFonts w:ascii="Times New Roman" w:hAnsi="Times New Roman" w:cs="Times New Roman"/>
                <w:i/>
                <w:sz w:val="24"/>
              </w:rPr>
            </w:pP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pStyle w:val="BodyText"/>
              <w:numPr>
                <w:ilvl w:val="0"/>
                <w:numId w:val="3"/>
              </w:numPr>
              <w:spacing w:before="60" w:after="60"/>
              <w:ind w:left="376"/>
              <w:jc w:val="both"/>
              <w:rPr>
                <w:rFonts w:ascii="Times New Roman" w:hAnsi="Times New Roman" w:cs="Times New Roman"/>
                <w:bCs/>
                <w:iCs/>
                <w:snapToGrid w:val="0"/>
                <w:color w:val="000000"/>
                <w:szCs w:val="28"/>
              </w:rPr>
            </w:pPr>
            <w:r w:rsidRPr="00386B05">
              <w:rPr>
                <w:rFonts w:ascii="Times New Roman" w:hAnsi="Times New Roman" w:cs="Times New Roman"/>
                <w:bCs/>
                <w:iCs/>
                <w:snapToGrid w:val="0"/>
                <w:color w:val="000000"/>
                <w:szCs w:val="28"/>
              </w:rPr>
              <w:t>National counterparts (government, private, NGOs &amp; others) and other International Organizations</w:t>
            </w: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p>
          <w:p w:rsidR="008D4242" w:rsidRPr="00386B05" w:rsidRDefault="008D4242" w:rsidP="008D4242">
            <w:pPr>
              <w:pStyle w:val="BodyText"/>
              <w:spacing w:before="60" w:after="60"/>
              <w:ind w:left="16"/>
              <w:jc w:val="both"/>
              <w:rPr>
                <w:rFonts w:ascii="Times New Roman" w:hAnsi="Times New Roman" w:cs="Times New Roman"/>
                <w:bCs/>
                <w:i/>
                <w:snapToGrid w:val="0"/>
                <w:color w:val="000000"/>
                <w:szCs w:val="28"/>
              </w:rPr>
            </w:pPr>
            <w:r w:rsidRPr="00386B05">
              <w:rPr>
                <w:rFonts w:ascii="Times New Roman" w:hAnsi="Times New Roman" w:cs="Times New Roman"/>
                <w:bCs/>
                <w:i/>
                <w:snapToGrid w:val="0"/>
                <w:color w:val="000000"/>
                <w:szCs w:val="28"/>
              </w:rPr>
              <w:t>Ministry of Economy &amp; Trade</w:t>
            </w:r>
          </w:p>
        </w:tc>
      </w:tr>
      <w:tr w:rsidR="00875706" w:rsidRPr="00386B05"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875706" w:rsidRPr="00386B05" w:rsidRDefault="00875706" w:rsidP="00C5660F">
            <w:pPr>
              <w:pStyle w:val="H1"/>
              <w:jc w:val="center"/>
              <w:rPr>
                <w:rFonts w:cs="Times New Roman"/>
              </w:rPr>
            </w:pPr>
            <w:r w:rsidRPr="00386B05">
              <w:rPr>
                <w:rFonts w:cs="Times New Roman"/>
              </w:rPr>
              <w:t>Programme Duration</w:t>
            </w: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150" w:type="dxa"/>
            <w:tcBorders>
              <w:top w:val="nil"/>
              <w:left w:val="single" w:sz="4" w:space="0" w:color="auto"/>
              <w:bottom w:val="nil"/>
              <w:right w:val="nil"/>
            </w:tcBorders>
            <w:shd w:val="clear" w:color="auto" w:fill="auto"/>
            <w:vAlign w:val="center"/>
          </w:tcPr>
          <w:p w:rsidR="00875706" w:rsidRDefault="00875706" w:rsidP="00C5660F">
            <w:pPr>
              <w:pStyle w:val="H2"/>
              <w:rPr>
                <w:rFonts w:cs="Times New Roman"/>
                <w:b w:val="0"/>
                <w:sz w:val="20"/>
                <w:szCs w:val="20"/>
              </w:rPr>
            </w:pPr>
            <w:r w:rsidRPr="00386B05">
              <w:rPr>
                <w:rFonts w:cs="Times New Roman"/>
                <w:b w:val="0"/>
                <w:sz w:val="20"/>
                <w:szCs w:val="20"/>
              </w:rPr>
              <w:t xml:space="preserve">Total approved budget as per project document: </w:t>
            </w:r>
            <w:r w:rsidR="00C2044B" w:rsidRPr="00C2044B">
              <w:rPr>
                <w:rFonts w:cs="Times New Roman"/>
                <w:b w:val="0"/>
                <w:sz w:val="20"/>
                <w:szCs w:val="20"/>
              </w:rPr>
              <w:t>308,323</w:t>
            </w:r>
            <w:r w:rsidR="00C2044B" w:rsidRPr="00386B05">
              <w:rPr>
                <w:rFonts w:cs="Times New Roman"/>
                <w:b w:val="0"/>
                <w:sz w:val="20"/>
                <w:szCs w:val="20"/>
              </w:rPr>
              <w:t xml:space="preserve"> </w:t>
            </w:r>
            <w:r w:rsidR="00C2044B">
              <w:rPr>
                <w:rFonts w:cs="Times New Roman"/>
                <w:b w:val="0"/>
                <w:sz w:val="20"/>
                <w:szCs w:val="20"/>
              </w:rPr>
              <w:t>U</w:t>
            </w:r>
            <w:r w:rsidR="00C2044B" w:rsidRPr="00386B05">
              <w:rPr>
                <w:rFonts w:cs="Times New Roman"/>
                <w:b w:val="0"/>
                <w:sz w:val="20"/>
                <w:szCs w:val="20"/>
              </w:rPr>
              <w:t>SD</w:t>
            </w:r>
          </w:p>
          <w:p w:rsidR="00C2044B" w:rsidRPr="00386B05" w:rsidRDefault="00C2044B" w:rsidP="00C5660F">
            <w:pPr>
              <w:pStyle w:val="H2"/>
              <w:rPr>
                <w:rFonts w:cs="Times New Roman"/>
                <w:b w:val="0"/>
                <w:sz w:val="20"/>
                <w:szCs w:val="20"/>
              </w:rPr>
            </w:pPr>
            <w:r>
              <w:rPr>
                <w:rFonts w:cs="Times New Roman"/>
                <w:b w:val="0"/>
                <w:sz w:val="20"/>
                <w:szCs w:val="20"/>
              </w:rPr>
              <w:t>(including cost extensions)</w:t>
            </w:r>
          </w:p>
          <w:p w:rsidR="00C2044B" w:rsidRDefault="00875706" w:rsidP="00C2044B">
            <w:pPr>
              <w:pStyle w:val="H2"/>
              <w:rPr>
                <w:rFonts w:cs="Times New Roman"/>
                <w:b w:val="0"/>
                <w:sz w:val="20"/>
                <w:szCs w:val="20"/>
              </w:rPr>
            </w:pPr>
            <w:r w:rsidRPr="00386B05">
              <w:rPr>
                <w:rFonts w:cs="Times New Roman"/>
                <w:b w:val="0"/>
                <w:sz w:val="20"/>
                <w:szCs w:val="20"/>
              </w:rPr>
              <w:t>MPTF /JP Contribution</w:t>
            </w:r>
            <w:r w:rsidRPr="00386B05">
              <w:rPr>
                <w:rStyle w:val="FootnoteReference"/>
                <w:rFonts w:cs="Times New Roman"/>
                <w:b w:val="0"/>
                <w:sz w:val="20"/>
                <w:szCs w:val="20"/>
              </w:rPr>
              <w:footnoteReference w:id="4"/>
            </w:r>
            <w:r w:rsidRPr="00386B05">
              <w:rPr>
                <w:rFonts w:cs="Times New Roman"/>
                <w:b w:val="0"/>
                <w:sz w:val="20"/>
                <w:szCs w:val="20"/>
              </w:rPr>
              <w:t xml:space="preserve">:  </w:t>
            </w:r>
          </w:p>
          <w:p w:rsidR="00875706" w:rsidRPr="00C2044B" w:rsidRDefault="00875706" w:rsidP="00C2044B">
            <w:pPr>
              <w:pStyle w:val="H2"/>
              <w:rPr>
                <w:rFonts w:cs="Times New Roman"/>
                <w:b w:val="0"/>
                <w:sz w:val="20"/>
                <w:szCs w:val="20"/>
              </w:rPr>
            </w:pPr>
          </w:p>
        </w:tc>
        <w:tc>
          <w:tcPr>
            <w:tcW w:w="199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D4242" w:rsidRPr="00386B05" w:rsidRDefault="00875706" w:rsidP="008D4242">
            <w:pPr>
              <w:pStyle w:val="BodyText"/>
              <w:rPr>
                <w:rFonts w:ascii="Times New Roman" w:hAnsi="Times New Roman" w:cs="Times New Roman"/>
                <w:i/>
              </w:rPr>
            </w:pPr>
            <w:r w:rsidRPr="00386B05">
              <w:rPr>
                <w:rFonts w:ascii="Times New Roman" w:hAnsi="Times New Roman" w:cs="Times New Roman"/>
              </w:rPr>
              <w:t xml:space="preserve">Overall Duration </w:t>
            </w:r>
            <w:r w:rsidRPr="00386B05">
              <w:rPr>
                <w:rFonts w:ascii="Times New Roman" w:hAnsi="Times New Roman" w:cs="Times New Roman"/>
                <w:i/>
              </w:rPr>
              <w:t>(months)</w:t>
            </w:r>
            <w:r w:rsidR="008D4242" w:rsidRPr="00386B05">
              <w:rPr>
                <w:rFonts w:ascii="Times New Roman" w:hAnsi="Times New Roman" w:cs="Times New Roman"/>
                <w:i/>
              </w:rPr>
              <w:t xml:space="preserve"> </w:t>
            </w:r>
          </w:p>
          <w:p w:rsidR="00875706" w:rsidRPr="00386B05" w:rsidRDefault="00FC2E22" w:rsidP="008D4242">
            <w:pPr>
              <w:pStyle w:val="BodyText"/>
              <w:rPr>
                <w:rFonts w:ascii="Times New Roman" w:hAnsi="Times New Roman" w:cs="Times New Roman"/>
              </w:rPr>
            </w:pPr>
            <w:r>
              <w:rPr>
                <w:rFonts w:ascii="Times New Roman" w:hAnsi="Times New Roman" w:cs="Times New Roman"/>
                <w:i/>
              </w:rPr>
              <w:t>72 months</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widowControl w:val="0"/>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auto"/>
            <w:vAlign w:val="center"/>
          </w:tcPr>
          <w:p w:rsidR="00875706" w:rsidRPr="00386B05" w:rsidRDefault="00875706" w:rsidP="00B77D38">
            <w:pPr>
              <w:pStyle w:val="H2"/>
              <w:rPr>
                <w:rFonts w:cs="Times New Roman"/>
              </w:rPr>
            </w:pPr>
          </w:p>
        </w:tc>
        <w:tc>
          <w:tcPr>
            <w:tcW w:w="1992"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t>Start Date</w:t>
            </w:r>
            <w:r w:rsidRPr="00386B05">
              <w:rPr>
                <w:rStyle w:val="FootnoteReference"/>
                <w:rFonts w:ascii="Times New Roman" w:hAnsi="Times New Roman" w:cs="Times New Roman"/>
              </w:rPr>
              <w:footnoteReference w:id="5"/>
            </w:r>
            <w:r w:rsidRPr="00386B05">
              <w:rPr>
                <w:rFonts w:ascii="Times New Roman" w:hAnsi="Times New Roman" w:cs="Times New Roman"/>
              </w:rPr>
              <w:t xml:space="preserve"> </w:t>
            </w:r>
            <w:r w:rsidR="008D4242" w:rsidRPr="00386B05">
              <w:rPr>
                <w:rFonts w:ascii="Times New Roman" w:hAnsi="Times New Roman" w:cs="Times New Roman"/>
                <w:i/>
              </w:rPr>
              <w:t>17 Dec 2009</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199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nil"/>
              <w:right w:val="nil"/>
            </w:tcBorders>
            <w:shd w:val="clear" w:color="auto" w:fill="D9D9D9"/>
            <w:vAlign w:val="center"/>
          </w:tcPr>
          <w:p w:rsidR="00875706" w:rsidRPr="00386B05" w:rsidRDefault="00875706" w:rsidP="00C5660F">
            <w:pPr>
              <w:pStyle w:val="H2"/>
              <w:rPr>
                <w:rFonts w:cs="Times New Roman"/>
              </w:rPr>
            </w:pPr>
          </w:p>
        </w:tc>
        <w:tc>
          <w:tcPr>
            <w:tcW w:w="1992" w:type="dxa"/>
            <w:tcBorders>
              <w:top w:val="nil"/>
              <w:left w:val="nil"/>
              <w:bottom w:val="nil"/>
              <w:right w:val="single" w:sz="4" w:space="0" w:color="auto"/>
            </w:tcBorders>
            <w:shd w:val="clear" w:color="auto" w:fill="D9D9D9"/>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nil"/>
              <w:right w:val="nil"/>
            </w:tcBorders>
            <w:shd w:val="clear" w:color="auto" w:fill="auto"/>
            <w:vAlign w:val="center"/>
          </w:tcPr>
          <w:p w:rsidR="00875706" w:rsidRPr="00386B05" w:rsidRDefault="00875706" w:rsidP="008D4242">
            <w:pPr>
              <w:pStyle w:val="BodyText"/>
              <w:rPr>
                <w:rFonts w:ascii="Times New Roman" w:hAnsi="Times New Roman" w:cs="Times New Roman"/>
              </w:rPr>
            </w:pPr>
            <w:r w:rsidRPr="00386B05">
              <w:rPr>
                <w:rFonts w:ascii="Times New Roman" w:hAnsi="Times New Roman" w:cs="Times New Roman"/>
              </w:rPr>
              <w:t>Current End date</w:t>
            </w:r>
            <w:r w:rsidRPr="00386B05">
              <w:rPr>
                <w:rStyle w:val="FootnoteReference"/>
                <w:rFonts w:ascii="Times New Roman" w:hAnsi="Times New Roman" w:cs="Times New Roman"/>
              </w:rPr>
              <w:footnoteReference w:id="6"/>
            </w:r>
            <w:r w:rsidR="008D4242" w:rsidRPr="00386B05">
              <w:rPr>
                <w:rFonts w:ascii="Times New Roman" w:hAnsi="Times New Roman" w:cs="Times New Roman"/>
                <w:i/>
              </w:rPr>
              <w:t>31 Dec 20</w:t>
            </w:r>
            <w:r w:rsidR="00FC2E22">
              <w:rPr>
                <w:rFonts w:ascii="Times New Roman" w:hAnsi="Times New Roman" w:cs="Times New Roman"/>
                <w:i/>
              </w:rPr>
              <w:t>1</w:t>
            </w:r>
            <w:r w:rsidR="00FE14F2">
              <w:rPr>
                <w:rFonts w:ascii="Times New Roman" w:hAnsi="Times New Roman" w:cs="Times New Roman"/>
                <w:i/>
              </w:rPr>
              <w:t>6</w:t>
            </w:r>
          </w:p>
        </w:tc>
        <w:tc>
          <w:tcPr>
            <w:tcW w:w="1984" w:type="dxa"/>
            <w:tcBorders>
              <w:top w:val="nil"/>
              <w:left w:val="nil"/>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2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150"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H2"/>
              <w:rPr>
                <w:rFonts w:cs="Times New Roman"/>
                <w:sz w:val="20"/>
                <w:szCs w:val="20"/>
              </w:rPr>
            </w:pPr>
            <w:r w:rsidRPr="00386B05">
              <w:rPr>
                <w:rFonts w:cs="Times New Roman"/>
                <w:sz w:val="20"/>
                <w:szCs w:val="20"/>
              </w:rPr>
              <w:t>TOTAL:</w:t>
            </w:r>
            <w:r w:rsidR="00B77D38" w:rsidRPr="00386B05">
              <w:rPr>
                <w:rFonts w:cs="Times New Roman"/>
                <w:b w:val="0"/>
                <w:sz w:val="20"/>
                <w:szCs w:val="20"/>
              </w:rPr>
              <w:t xml:space="preserve"> 200,000.00 USD</w:t>
            </w:r>
          </w:p>
        </w:tc>
        <w:tc>
          <w:tcPr>
            <w:tcW w:w="1992"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c>
          <w:tcPr>
            <w:tcW w:w="3002" w:type="dxa"/>
            <w:tcBorders>
              <w:top w:val="nil"/>
              <w:left w:val="single" w:sz="4" w:space="0" w:color="auto"/>
              <w:bottom w:val="single" w:sz="4" w:space="0" w:color="auto"/>
              <w:right w:val="nil"/>
            </w:tcBorders>
            <w:shd w:val="clear" w:color="auto" w:fill="auto"/>
            <w:vAlign w:val="center"/>
          </w:tcPr>
          <w:p w:rsidR="00875706" w:rsidRPr="00386B05" w:rsidRDefault="00875706" w:rsidP="00C5660F">
            <w:pPr>
              <w:pStyle w:val="BodyText"/>
              <w:rPr>
                <w:rFonts w:ascii="Times New Roman" w:hAnsi="Times New Roman" w:cs="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875706" w:rsidRPr="00386B05" w:rsidRDefault="00875706" w:rsidP="00C5660F">
            <w:pPr>
              <w:pStyle w:val="BodyText"/>
              <w:rPr>
                <w:rFonts w:ascii="Times New Roman" w:hAnsi="Times New Roman" w:cs="Times New Roman"/>
              </w:rPr>
            </w:pPr>
          </w:p>
        </w:tc>
      </w:tr>
      <w:tr w:rsidR="00875706" w:rsidRPr="00386B05"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ind w:right="-120" w:hanging="70"/>
              <w:jc w:val="center"/>
              <w:rPr>
                <w:rFonts w:cs="Times New Roman"/>
              </w:rPr>
            </w:pPr>
            <w:r w:rsidRPr="00386B05">
              <w:rPr>
                <w:rFonts w:cs="Times New Roman"/>
              </w:rPr>
              <w:t>Programme Assessment/Review/Mid-Term Eval.</w:t>
            </w:r>
          </w:p>
        </w:tc>
        <w:tc>
          <w:tcPr>
            <w:tcW w:w="258" w:type="dxa"/>
            <w:vMerge w:val="restart"/>
            <w:tcBorders>
              <w:left w:val="single" w:sz="4" w:space="0" w:color="auto"/>
              <w:right w:val="single" w:sz="4" w:space="0" w:color="auto"/>
            </w:tcBorders>
          </w:tcPr>
          <w:p w:rsidR="00875706" w:rsidRPr="00386B0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rsidR="00875706" w:rsidRPr="00386B05" w:rsidRDefault="00875706" w:rsidP="00C5660F">
            <w:pPr>
              <w:pStyle w:val="H1"/>
              <w:jc w:val="center"/>
              <w:rPr>
                <w:rFonts w:cs="Times New Roman"/>
              </w:rPr>
            </w:pPr>
            <w:r w:rsidRPr="00386B05">
              <w:rPr>
                <w:rFonts w:cs="Times New Roman"/>
                <w:bCs w:val="0"/>
              </w:rPr>
              <w:t>Report Submitted By</w:t>
            </w:r>
          </w:p>
        </w:tc>
      </w:tr>
      <w:tr w:rsidR="00875706" w:rsidRPr="00386B05" w:rsidTr="00C5660F">
        <w:trPr>
          <w:trHeight w:val="285"/>
        </w:trPr>
        <w:tc>
          <w:tcPr>
            <w:tcW w:w="5142" w:type="dxa"/>
            <w:gridSpan w:val="2"/>
            <w:tcBorders>
              <w:left w:val="single" w:sz="4" w:space="0" w:color="auto"/>
              <w:bottom w:val="single" w:sz="4" w:space="0" w:color="auto"/>
              <w:right w:val="single" w:sz="4" w:space="0" w:color="auto"/>
            </w:tcBorders>
          </w:tcPr>
          <w:p w:rsidR="00875706" w:rsidRPr="00386B05" w:rsidRDefault="00875706" w:rsidP="00C5660F">
            <w:pPr>
              <w:pStyle w:val="BodyText"/>
              <w:rPr>
                <w:rFonts w:ascii="Times New Roman" w:hAnsi="Times New Roman" w:cs="Times New Roman"/>
                <w:bCs/>
                <w:i/>
                <w:iCs/>
                <w:snapToGrid w:val="0"/>
                <w:sz w:val="18"/>
                <w:szCs w:val="18"/>
                <w:lang w:val="en-GB"/>
              </w:rPr>
            </w:pPr>
            <w:r w:rsidRPr="00386B05">
              <w:rPr>
                <w:rFonts w:ascii="Times New Roman" w:hAnsi="Times New Roman" w:cs="Times New Roman"/>
              </w:rPr>
              <w:t xml:space="preserve">Assessment/Review  - if applicable </w:t>
            </w:r>
            <w:r w:rsidRPr="00386B05">
              <w:rPr>
                <w:rFonts w:ascii="Times New Roman" w:hAnsi="Times New Roman" w:cs="Times New Roman"/>
                <w:bCs/>
                <w:i/>
                <w:iCs/>
                <w:snapToGrid w:val="0"/>
                <w:sz w:val="18"/>
                <w:szCs w:val="18"/>
                <w:lang w:val="en-GB"/>
              </w:rPr>
              <w:t>please attach</w:t>
            </w:r>
          </w:p>
          <w:p w:rsidR="00875706" w:rsidRPr="00386B05" w:rsidRDefault="00792F02" w:rsidP="008D4242">
            <w:pPr>
              <w:pStyle w:val="BodyText"/>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6192" behindDoc="0" locked="0" layoutInCell="1" allowOverlap="1" wp14:anchorId="71724CF7" wp14:editId="48FFA63A">
                      <wp:simplePos x="0" y="0"/>
                      <wp:positionH relativeFrom="column">
                        <wp:posOffset>524510</wp:posOffset>
                      </wp:positionH>
                      <wp:positionV relativeFrom="paragraph">
                        <wp:posOffset>17145</wp:posOffset>
                      </wp:positionV>
                      <wp:extent cx="90805" cy="90805"/>
                      <wp:effectExtent l="19685" t="26670" r="32385" b="444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065D" id="Rectangle 3"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" fillcolor="#4f81bd" strokecolor="#f2f2f2" strokeweight="3pt">
                      <v:shadow on="t" color="#243f60" opacity=".5" offset="1pt"/>
                    </v:rect>
                  </w:pict>
                </mc:Fallback>
              </mc:AlternateContent>
            </w:r>
            <w:r>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1298DAB6" wp14:editId="0D0B3137">
                      <wp:simplePos x="0" y="0"/>
                      <wp:positionH relativeFrom="column">
                        <wp:posOffset>-8890</wp:posOffset>
                      </wp:positionH>
                      <wp:positionV relativeFrom="paragraph">
                        <wp:posOffset>17145</wp:posOffset>
                      </wp:positionV>
                      <wp:extent cx="90805" cy="90805"/>
                      <wp:effectExtent l="10160" t="7620" r="1333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4E2FF" id="Rectangle 6"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kD1jOGwIAADkEAAAOAAAAAAAAAAAAAAAAAC4CAABkcnMvZTJvRG9jLnhtbFBLAQItABQA&#10;BgAIAAAAIQBRl8Rs3AAAAAYBAAAPAAAAAAAAAAAAAAAAAHUEAABkcnMvZG93bnJldi54bWxQSwUG&#10;AAAAAAQABADzAAAAfgUAAAAA&#10;"/>
                  </w:pict>
                </mc:Fallback>
              </mc:AlternateContent>
            </w:r>
            <w:r w:rsidR="00875706" w:rsidRPr="00386B05">
              <w:rPr>
                <w:rFonts w:ascii="Times New Roman" w:hAnsi="Times New Roman" w:cs="Times New Roman"/>
              </w:rPr>
              <w:t xml:space="preserve">     Yes          No    </w:t>
            </w:r>
          </w:p>
          <w:p w:rsidR="00875706" w:rsidRPr="00386B05" w:rsidRDefault="00875706" w:rsidP="00C5660F">
            <w:pPr>
              <w:pStyle w:val="BodyText"/>
              <w:rPr>
                <w:rFonts w:ascii="Times New Roman" w:hAnsi="Times New Roman" w:cs="Times New Roman"/>
              </w:rPr>
            </w:pPr>
            <w:r w:rsidRPr="00386B05">
              <w:rPr>
                <w:rFonts w:ascii="Times New Roman" w:hAnsi="Times New Roman" w:cs="Times New Roman"/>
              </w:rPr>
              <w:lastRenderedPageBreak/>
              <w:t xml:space="preserve">Mid-Term Evaluation Report </w:t>
            </w:r>
            <w:r w:rsidRPr="00386B05">
              <w:rPr>
                <w:rFonts w:ascii="Times New Roman" w:hAnsi="Times New Roman" w:cs="Times New Roman"/>
                <w:bCs/>
                <w:i/>
                <w:iCs/>
                <w:snapToGrid w:val="0"/>
                <w:sz w:val="18"/>
                <w:szCs w:val="18"/>
                <w:lang w:val="en-GB"/>
              </w:rPr>
              <w:t>– if applicable please attach</w:t>
            </w:r>
            <w:r w:rsidRPr="00386B05">
              <w:rPr>
                <w:rFonts w:ascii="Times New Roman" w:hAnsi="Times New Roman" w:cs="Times New Roman"/>
                <w:b/>
              </w:rPr>
              <w:t xml:space="preserve">          </w:t>
            </w:r>
          </w:p>
          <w:p w:rsidR="00875706" w:rsidRPr="00386B05" w:rsidRDefault="00792F02" w:rsidP="008D4242">
            <w:pPr>
              <w:pStyle w:val="BodyText"/>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8240" behindDoc="0" locked="0" layoutInCell="1" allowOverlap="1" wp14:anchorId="016BCE32" wp14:editId="1FD20505">
                      <wp:simplePos x="0" y="0"/>
                      <wp:positionH relativeFrom="column">
                        <wp:posOffset>519430</wp:posOffset>
                      </wp:positionH>
                      <wp:positionV relativeFrom="paragraph">
                        <wp:posOffset>20320</wp:posOffset>
                      </wp:positionV>
                      <wp:extent cx="90805" cy="90805"/>
                      <wp:effectExtent l="24130" t="20320" r="37465" b="508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CCE1B" id="Rectangle 5"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" fillcolor="#4f81bd" strokecolor="#f2f2f2" strokeweight="3pt">
                      <v:shadow on="t" color="#243f60" opacity=".5" offset="1pt"/>
                    </v:rect>
                  </w:pict>
                </mc:Fallback>
              </mc:AlternateContent>
            </w:r>
            <w:r>
              <w:rPr>
                <w:rFonts w:ascii="Times New Roman" w:hAnsi="Times New Roman" w:cs="Times New Roman"/>
                <w:i/>
                <w:noProof/>
              </w:rPr>
              <mc:AlternateContent>
                <mc:Choice Requires="wps">
                  <w:drawing>
                    <wp:anchor distT="0" distB="0" distL="114300" distR="114300" simplePos="0" relativeHeight="251657216" behindDoc="0" locked="0" layoutInCell="1" allowOverlap="1" wp14:anchorId="571754C7" wp14:editId="351C31F8">
                      <wp:simplePos x="0" y="0"/>
                      <wp:positionH relativeFrom="column">
                        <wp:posOffset>-8890</wp:posOffset>
                      </wp:positionH>
                      <wp:positionV relativeFrom="paragraph">
                        <wp:posOffset>20955</wp:posOffset>
                      </wp:positionV>
                      <wp:extent cx="90805" cy="90805"/>
                      <wp:effectExtent l="10160" t="11430" r="1333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A43B" id="Rectangle 4"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F6CaxEaAgAAOQQAAA4AAAAAAAAAAAAAAAAALgIAAGRycy9lMm9Eb2MueG1sUEsBAi0AFAAG&#10;AAgAAAAhAHUb8uzcAAAABgEAAA8AAAAAAAAAAAAAAAAAdAQAAGRycy9kb3ducmV2LnhtbFBLBQYA&#10;AAAABAAEAPMAAAB9BQAAAAA=&#10;"/>
                  </w:pict>
                </mc:Fallback>
              </mc:AlternateContent>
            </w:r>
            <w:r w:rsidR="00875706" w:rsidRPr="00386B05">
              <w:rPr>
                <w:rFonts w:ascii="Times New Roman" w:hAnsi="Times New Roman" w:cs="Times New Roman"/>
              </w:rPr>
              <w:t xml:space="preserve">      Yes          No    </w:t>
            </w:r>
          </w:p>
        </w:tc>
        <w:tc>
          <w:tcPr>
            <w:tcW w:w="258" w:type="dxa"/>
            <w:vMerge/>
            <w:tcBorders>
              <w:left w:val="single" w:sz="4" w:space="0" w:color="auto"/>
              <w:right w:val="single" w:sz="4" w:space="0" w:color="auto"/>
            </w:tcBorders>
          </w:tcPr>
          <w:p w:rsidR="00875706" w:rsidRPr="00386B05" w:rsidRDefault="00875706" w:rsidP="00C5660F">
            <w:pPr>
              <w:pStyle w:val="BodyText"/>
              <w:rPr>
                <w:rFonts w:ascii="Times New Roman" w:hAnsi="Times New Roman" w:cs="Times New Roman"/>
              </w:rPr>
            </w:pPr>
          </w:p>
        </w:tc>
        <w:tc>
          <w:tcPr>
            <w:tcW w:w="4986" w:type="dxa"/>
            <w:gridSpan w:val="2"/>
            <w:tcBorders>
              <w:left w:val="single" w:sz="4" w:space="0" w:color="auto"/>
              <w:bottom w:val="single" w:sz="4" w:space="0" w:color="auto"/>
              <w:right w:val="single" w:sz="4" w:space="0" w:color="auto"/>
            </w:tcBorders>
          </w:tcPr>
          <w:p w:rsidR="00875706" w:rsidRPr="00386B05" w:rsidRDefault="00875706" w:rsidP="009D1301">
            <w:pPr>
              <w:numPr>
                <w:ilvl w:val="0"/>
                <w:numId w:val="4"/>
              </w:numPr>
              <w:ind w:left="342"/>
              <w:rPr>
                <w:sz w:val="20"/>
                <w:szCs w:val="20"/>
                <w:lang w:val="en-GB"/>
              </w:rPr>
            </w:pPr>
            <w:r w:rsidRPr="00386B05">
              <w:rPr>
                <w:sz w:val="20"/>
                <w:szCs w:val="20"/>
                <w:lang w:val="en-GB"/>
              </w:rPr>
              <w:t>Name:</w:t>
            </w:r>
            <w:r w:rsidR="009F7506" w:rsidRPr="00386B05">
              <w:rPr>
                <w:sz w:val="20"/>
                <w:szCs w:val="20"/>
                <w:lang w:val="en-GB"/>
              </w:rPr>
              <w:t xml:space="preserve"> Rony Gedeon</w:t>
            </w:r>
          </w:p>
          <w:p w:rsidR="00875706" w:rsidRPr="00386B05" w:rsidRDefault="00875706" w:rsidP="00FC2E22">
            <w:pPr>
              <w:numPr>
                <w:ilvl w:val="0"/>
                <w:numId w:val="4"/>
              </w:numPr>
              <w:ind w:left="342"/>
              <w:rPr>
                <w:sz w:val="20"/>
                <w:szCs w:val="20"/>
                <w:lang w:val="en-GB"/>
              </w:rPr>
            </w:pPr>
            <w:r w:rsidRPr="00386B05">
              <w:rPr>
                <w:sz w:val="20"/>
                <w:szCs w:val="20"/>
                <w:lang w:val="en-GB"/>
              </w:rPr>
              <w:t>Title:</w:t>
            </w:r>
            <w:r w:rsidR="009F7506" w:rsidRPr="00386B05">
              <w:rPr>
                <w:sz w:val="20"/>
                <w:szCs w:val="20"/>
                <w:lang w:val="en-GB"/>
              </w:rPr>
              <w:t xml:space="preserve"> M&amp;E </w:t>
            </w:r>
            <w:r w:rsidR="00FC2E22">
              <w:rPr>
                <w:sz w:val="20"/>
                <w:szCs w:val="20"/>
                <w:lang w:val="en-GB"/>
              </w:rPr>
              <w:t>Officer</w:t>
            </w:r>
          </w:p>
          <w:p w:rsidR="00875706" w:rsidRPr="00386B05" w:rsidRDefault="00875706" w:rsidP="009D1301">
            <w:pPr>
              <w:numPr>
                <w:ilvl w:val="0"/>
                <w:numId w:val="4"/>
              </w:numPr>
              <w:ind w:left="342"/>
              <w:rPr>
                <w:sz w:val="20"/>
                <w:szCs w:val="20"/>
                <w:lang w:val="en-GB"/>
              </w:rPr>
            </w:pPr>
            <w:r w:rsidRPr="00386B05">
              <w:rPr>
                <w:sz w:val="20"/>
                <w:szCs w:val="20"/>
                <w:lang w:val="en-GB"/>
              </w:rPr>
              <w:lastRenderedPageBreak/>
              <w:t>Participating Organization (Lead):</w:t>
            </w:r>
            <w:r w:rsidR="009F7506" w:rsidRPr="00386B05">
              <w:rPr>
                <w:sz w:val="20"/>
                <w:szCs w:val="20"/>
                <w:lang w:val="en-GB"/>
              </w:rPr>
              <w:t xml:space="preserve"> UNDP</w:t>
            </w:r>
          </w:p>
          <w:p w:rsidR="00875706" w:rsidRPr="00386B05" w:rsidRDefault="00875706" w:rsidP="00FE14F2">
            <w:pPr>
              <w:pStyle w:val="BodyText"/>
              <w:numPr>
                <w:ilvl w:val="0"/>
                <w:numId w:val="4"/>
              </w:numPr>
              <w:spacing w:after="120"/>
              <w:ind w:left="342"/>
              <w:jc w:val="both"/>
              <w:rPr>
                <w:rFonts w:ascii="Times New Roman" w:hAnsi="Times New Roman" w:cs="Times New Roman"/>
                <w:b/>
                <w:bCs/>
                <w:snapToGrid w:val="0"/>
                <w:kern w:val="32"/>
                <w:sz w:val="24"/>
                <w:szCs w:val="32"/>
              </w:rPr>
            </w:pPr>
            <w:r w:rsidRPr="00386B05">
              <w:rPr>
                <w:rFonts w:ascii="Times New Roman" w:hAnsi="Times New Roman" w:cs="Times New Roman"/>
              </w:rPr>
              <w:t>Email address:</w:t>
            </w:r>
            <w:r w:rsidR="009F7506" w:rsidRPr="00386B05">
              <w:rPr>
                <w:rFonts w:ascii="Times New Roman" w:hAnsi="Times New Roman" w:cs="Times New Roman"/>
              </w:rPr>
              <w:t xml:space="preserve"> </w:t>
            </w:r>
            <w:hyperlink r:id="rId11" w:history="1">
              <w:r w:rsidR="00FE14F2" w:rsidRPr="00FF0605">
                <w:rPr>
                  <w:rStyle w:val="Hyperlink"/>
                  <w:rFonts w:ascii="Times New Roman" w:hAnsi="Times New Roman" w:cs="Times New Roman"/>
                </w:rPr>
                <w:t>rony.gedeon@one.un.org</w:t>
              </w:r>
            </w:hyperlink>
            <w:r w:rsidR="00FE14F2">
              <w:rPr>
                <w:rFonts w:ascii="Times New Roman" w:hAnsi="Times New Roman" w:cs="Times New Roman"/>
              </w:rPr>
              <w:t xml:space="preserve"> </w:t>
            </w:r>
            <w:hyperlink r:id="rId12" w:history="1"/>
            <w:r w:rsidR="009F7506" w:rsidRPr="00386B05">
              <w:rPr>
                <w:rFonts w:ascii="Times New Roman" w:hAnsi="Times New Roman" w:cs="Times New Roman"/>
              </w:rPr>
              <w:t xml:space="preserve"> </w:t>
            </w:r>
          </w:p>
        </w:tc>
      </w:tr>
    </w:tbl>
    <w:p w:rsidR="00AB0274" w:rsidRPr="00386B05" w:rsidRDefault="00875706" w:rsidP="00AB0274">
      <w:r w:rsidRPr="00386B05">
        <w:rPr>
          <w:b/>
          <w:bCs/>
          <w:caps/>
        </w:rPr>
        <w:lastRenderedPageBreak/>
        <w:br w:type="page"/>
      </w:r>
    </w:p>
    <w:p w:rsidR="006F7F98" w:rsidRPr="00386B05" w:rsidRDefault="006F7F98" w:rsidP="006F7F98">
      <w:pPr>
        <w:pStyle w:val="Heading3"/>
        <w:jc w:val="center"/>
        <w:rPr>
          <w:rFonts w:ascii="Times New Roman" w:hAnsi="Times New Roman"/>
          <w:color w:val="000000"/>
          <w:sz w:val="24"/>
        </w:rPr>
      </w:pPr>
      <w:bookmarkStart w:id="0" w:name="_Toc296423133"/>
      <w:bookmarkStart w:id="1" w:name="_Toc296423276"/>
      <w:bookmarkStart w:id="2" w:name="_Toc249364482"/>
      <w:r w:rsidRPr="00386B05">
        <w:rPr>
          <w:rFonts w:ascii="Times New Roman" w:hAnsi="Times New Roman"/>
          <w:color w:val="000000"/>
          <w:sz w:val="24"/>
        </w:rPr>
        <w:lastRenderedPageBreak/>
        <w:t>LIST OF ACRONYMS</w:t>
      </w:r>
      <w:bookmarkEnd w:id="0"/>
      <w:bookmarkEnd w:id="1"/>
    </w:p>
    <w:p w:rsidR="006F7F98" w:rsidRPr="00386B05" w:rsidRDefault="006F7F98" w:rsidP="006F7F98"/>
    <w:p w:rsidR="006F7F98" w:rsidRPr="00386B05" w:rsidRDefault="006F7F98" w:rsidP="006F7F98">
      <w:pPr>
        <w:spacing w:line="360" w:lineRule="auto"/>
        <w:rPr>
          <w:color w:val="000000"/>
          <w:lang w:val="en-GB"/>
        </w:rPr>
      </w:pPr>
      <w:r w:rsidRPr="00386B05">
        <w:rPr>
          <w:color w:val="000000"/>
          <w:lang w:val="en-GB"/>
        </w:rPr>
        <w:t>M&amp;E: Monitoring and Evaluation</w:t>
      </w:r>
    </w:p>
    <w:p w:rsidR="006F7F98" w:rsidRPr="00386B05" w:rsidRDefault="006F7F98" w:rsidP="006F7F98">
      <w:pPr>
        <w:spacing w:line="360" w:lineRule="auto"/>
        <w:rPr>
          <w:color w:val="000000"/>
          <w:lang w:val="en-GB"/>
        </w:rPr>
      </w:pPr>
      <w:r w:rsidRPr="00386B05">
        <w:rPr>
          <w:color w:val="000000"/>
          <w:lang w:val="en-GB"/>
        </w:rPr>
        <w:t>LRF: Lebanon Recovery Fund</w:t>
      </w:r>
    </w:p>
    <w:p w:rsidR="006F7F98" w:rsidRPr="00386B05" w:rsidRDefault="006F7F98" w:rsidP="006F7F98">
      <w:pPr>
        <w:spacing w:line="360" w:lineRule="auto"/>
        <w:rPr>
          <w:color w:val="000000"/>
          <w:lang w:val="en-GB"/>
        </w:rPr>
      </w:pPr>
      <w:r w:rsidRPr="00386B05">
        <w:rPr>
          <w:color w:val="000000"/>
          <w:lang w:val="en-GB"/>
        </w:rPr>
        <w:t>UNRCO: United Nations Resident Coordinator’s Office</w:t>
      </w:r>
    </w:p>
    <w:p w:rsidR="006F7F98" w:rsidRPr="00386B05" w:rsidRDefault="006F7F98" w:rsidP="006F7F98">
      <w:pPr>
        <w:spacing w:line="360" w:lineRule="auto"/>
        <w:rPr>
          <w:color w:val="000000"/>
          <w:lang w:val="en-GB"/>
        </w:rPr>
      </w:pPr>
      <w:r w:rsidRPr="00386B05">
        <w:rPr>
          <w:color w:val="000000"/>
          <w:lang w:val="en-GB"/>
        </w:rPr>
        <w:t>FAO:</w:t>
      </w:r>
      <w:r w:rsidRPr="00386B05">
        <w:rPr>
          <w:b/>
          <w:bCs/>
          <w:color w:val="000000"/>
        </w:rPr>
        <w:t xml:space="preserve"> </w:t>
      </w:r>
      <w:r w:rsidRPr="00386B05">
        <w:rPr>
          <w:color w:val="000000"/>
        </w:rPr>
        <w:t>Food and Agriculture Organization</w:t>
      </w:r>
    </w:p>
    <w:p w:rsidR="006F7F98" w:rsidRPr="00386B05" w:rsidRDefault="006F7F98" w:rsidP="006F7F98">
      <w:pPr>
        <w:spacing w:line="360" w:lineRule="auto"/>
        <w:rPr>
          <w:color w:val="000000"/>
        </w:rPr>
      </w:pPr>
      <w:r w:rsidRPr="00386B05">
        <w:rPr>
          <w:color w:val="000000"/>
          <w:lang w:val="en-GB"/>
        </w:rPr>
        <w:t>UNIDO:</w:t>
      </w:r>
      <w:r w:rsidRPr="00386B05">
        <w:rPr>
          <w:color w:val="000000"/>
        </w:rPr>
        <w:t xml:space="preserve"> </w:t>
      </w:r>
      <w:r w:rsidRPr="00386B05">
        <w:rPr>
          <w:color w:val="000000"/>
          <w:lang w:val="en-GB"/>
        </w:rPr>
        <w:t>United Nations Industrial Development Organization</w:t>
      </w:r>
    </w:p>
    <w:p w:rsidR="006F7F98" w:rsidRPr="00386B05" w:rsidRDefault="006F7F98" w:rsidP="006F7F98">
      <w:pPr>
        <w:spacing w:line="360" w:lineRule="auto"/>
        <w:rPr>
          <w:color w:val="000000"/>
          <w:lang w:val="en-GB"/>
        </w:rPr>
      </w:pPr>
      <w:r w:rsidRPr="00386B05">
        <w:rPr>
          <w:color w:val="000000"/>
          <w:lang w:val="en-GB"/>
        </w:rPr>
        <w:t>UNDP: United Nations Development Programme</w:t>
      </w:r>
    </w:p>
    <w:p w:rsidR="006F7F98" w:rsidRPr="00386B05" w:rsidRDefault="006F7F98" w:rsidP="006F7F98">
      <w:pPr>
        <w:spacing w:line="360" w:lineRule="auto"/>
        <w:rPr>
          <w:color w:val="000000"/>
        </w:rPr>
      </w:pPr>
      <w:r w:rsidRPr="00386B05">
        <w:rPr>
          <w:color w:val="000000"/>
          <w:lang w:val="en-GB"/>
        </w:rPr>
        <w:t>UNFPA:</w:t>
      </w:r>
      <w:r w:rsidRPr="00386B05">
        <w:rPr>
          <w:color w:val="000000"/>
        </w:rPr>
        <w:t xml:space="preserve"> </w:t>
      </w:r>
      <w:r w:rsidRPr="00386B05">
        <w:rPr>
          <w:color w:val="000000"/>
          <w:lang w:val="en-GB"/>
        </w:rPr>
        <w:t>United Nations Population Fund</w:t>
      </w:r>
    </w:p>
    <w:p w:rsidR="006F7F98" w:rsidRPr="00386B05" w:rsidRDefault="006F7F98" w:rsidP="006F7F98">
      <w:pPr>
        <w:spacing w:line="360" w:lineRule="auto"/>
        <w:rPr>
          <w:color w:val="000000"/>
          <w:lang w:val="en-GB"/>
        </w:rPr>
      </w:pPr>
      <w:r w:rsidRPr="00386B05">
        <w:rPr>
          <w:color w:val="000000"/>
          <w:lang w:val="en-GB"/>
        </w:rPr>
        <w:t>ILO: International Labour Organization</w:t>
      </w:r>
    </w:p>
    <w:p w:rsidR="006F7F98" w:rsidRPr="00386B05" w:rsidRDefault="006F7F98" w:rsidP="006F7F98">
      <w:pPr>
        <w:spacing w:line="360" w:lineRule="auto"/>
        <w:rPr>
          <w:color w:val="000000"/>
          <w:lang w:val="en-GB"/>
        </w:rPr>
      </w:pPr>
      <w:r w:rsidRPr="00386B05">
        <w:rPr>
          <w:color w:val="000000"/>
          <w:lang w:val="en-GB"/>
        </w:rPr>
        <w:t>UNESCO: United Nations Educational, Scientific and Cultural Organization</w:t>
      </w:r>
    </w:p>
    <w:p w:rsidR="006F7F98" w:rsidRPr="00386B05" w:rsidRDefault="006F7F98" w:rsidP="006F7F98">
      <w:pPr>
        <w:spacing w:line="360" w:lineRule="auto"/>
        <w:rPr>
          <w:color w:val="000000"/>
          <w:lang w:val="en-GB"/>
        </w:rPr>
      </w:pPr>
      <w:r w:rsidRPr="00386B05">
        <w:rPr>
          <w:color w:val="000000"/>
          <w:lang w:val="en-GB"/>
        </w:rPr>
        <w:t>MPTF:</w:t>
      </w:r>
      <w:r w:rsidRPr="00386B05">
        <w:rPr>
          <w:color w:val="000000"/>
        </w:rPr>
        <w:t xml:space="preserve"> Multi-Donor Trust Fund</w:t>
      </w:r>
    </w:p>
    <w:p w:rsidR="006F7F98" w:rsidRPr="00386B05" w:rsidRDefault="006F7F98" w:rsidP="006F7F98">
      <w:pPr>
        <w:spacing w:line="360" w:lineRule="auto"/>
        <w:rPr>
          <w:color w:val="000000"/>
          <w:lang w:val="en-GB"/>
        </w:rPr>
      </w:pPr>
      <w:r w:rsidRPr="00386B05">
        <w:rPr>
          <w:color w:val="000000"/>
          <w:lang w:val="en-GB"/>
        </w:rPr>
        <w:t>PAG:</w:t>
      </w:r>
      <w:r w:rsidRPr="00386B05">
        <w:rPr>
          <w:color w:val="000000"/>
        </w:rPr>
        <w:t xml:space="preserve"> </w:t>
      </w:r>
      <w:r w:rsidRPr="00386B05">
        <w:rPr>
          <w:color w:val="000000"/>
          <w:lang w:val="en-GB"/>
        </w:rPr>
        <w:t>Project Approval Group</w:t>
      </w:r>
    </w:p>
    <w:p w:rsidR="006F7F98" w:rsidRPr="00386B05" w:rsidRDefault="006F7F98" w:rsidP="006F7F98">
      <w:pPr>
        <w:spacing w:line="360" w:lineRule="auto"/>
        <w:rPr>
          <w:color w:val="000000"/>
          <w:lang w:val="en-GB"/>
        </w:rPr>
      </w:pPr>
      <w:r w:rsidRPr="00386B05">
        <w:rPr>
          <w:color w:val="000000"/>
          <w:lang w:val="en-GB"/>
        </w:rPr>
        <w:t>SC: Steering Committee</w:t>
      </w:r>
    </w:p>
    <w:p w:rsidR="006F7F98" w:rsidRPr="00386B05" w:rsidRDefault="006F7F98" w:rsidP="006F7F98">
      <w:pPr>
        <w:spacing w:line="360" w:lineRule="auto"/>
        <w:rPr>
          <w:color w:val="000000"/>
        </w:rPr>
      </w:pPr>
      <w:r w:rsidRPr="00386B05">
        <w:rPr>
          <w:color w:val="000000"/>
        </w:rPr>
        <w:t>HQ: Head Quarters</w:t>
      </w:r>
    </w:p>
    <w:p w:rsidR="006F7F98" w:rsidRPr="00386B05" w:rsidRDefault="006F7F98" w:rsidP="006F7F98">
      <w:pPr>
        <w:spacing w:line="360" w:lineRule="auto"/>
        <w:rPr>
          <w:color w:val="000000"/>
        </w:rPr>
      </w:pPr>
      <w:r w:rsidRPr="00386B05">
        <w:rPr>
          <w:color w:val="000000"/>
        </w:rPr>
        <w:t>Q: Quarter</w:t>
      </w:r>
    </w:p>
    <w:p w:rsidR="006F7F98" w:rsidRPr="00386B05" w:rsidRDefault="006F7F98" w:rsidP="006F7F98">
      <w:pPr>
        <w:spacing w:line="360" w:lineRule="auto"/>
        <w:rPr>
          <w:color w:val="000000"/>
        </w:rPr>
      </w:pPr>
      <w:r w:rsidRPr="00386B05">
        <w:rPr>
          <w:color w:val="000000"/>
        </w:rPr>
        <w:t>MoM: Minutes of Meeting</w:t>
      </w:r>
    </w:p>
    <w:p w:rsidR="00AB0274" w:rsidRPr="00386B05" w:rsidRDefault="006F7F98" w:rsidP="00386B05">
      <w:pPr>
        <w:pStyle w:val="Heading1"/>
        <w:tabs>
          <w:tab w:val="left" w:pos="360"/>
        </w:tabs>
        <w:spacing w:line="276" w:lineRule="auto"/>
        <w:ind w:left="0"/>
        <w:contextualSpacing/>
        <w:jc w:val="center"/>
        <w:rPr>
          <w:rFonts w:ascii="Times New Roman" w:hAnsi="Times New Roman"/>
          <w:sz w:val="24"/>
          <w:szCs w:val="24"/>
          <w:u w:val="single"/>
        </w:rPr>
      </w:pPr>
      <w:r w:rsidRPr="00386B05">
        <w:rPr>
          <w:rFonts w:ascii="Times New Roman" w:hAnsi="Times New Roman"/>
          <w:sz w:val="24"/>
          <w:szCs w:val="24"/>
          <w:u w:val="single"/>
        </w:rPr>
        <w:br w:type="page"/>
      </w:r>
      <w:r w:rsidR="00AB0274" w:rsidRPr="00386B05">
        <w:rPr>
          <w:rFonts w:ascii="Times New Roman" w:hAnsi="Times New Roman"/>
          <w:sz w:val="24"/>
          <w:szCs w:val="24"/>
          <w:u w:val="single"/>
        </w:rPr>
        <w:lastRenderedPageBreak/>
        <w:t>NARRATIVE REPORT FORMAT</w:t>
      </w:r>
      <w:bookmarkEnd w:id="2"/>
    </w:p>
    <w:p w:rsidR="00AB0274" w:rsidRPr="00386B05" w:rsidRDefault="00AB0274" w:rsidP="00386B05">
      <w:pPr>
        <w:spacing w:line="276" w:lineRule="auto"/>
        <w:contextualSpacing/>
        <w:rPr>
          <w:sz w:val="16"/>
        </w:rPr>
      </w:pPr>
    </w:p>
    <w:p w:rsidR="009E7B3D" w:rsidRDefault="009E7B3D" w:rsidP="00023183">
      <w:pPr>
        <w:spacing w:line="276" w:lineRule="auto"/>
        <w:contextualSpacing/>
        <w:jc w:val="both"/>
      </w:pPr>
      <w:bookmarkStart w:id="3" w:name="_Toc249364483"/>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r w:rsidRPr="00386B05">
        <w:rPr>
          <w:rFonts w:ascii="Times New Roman" w:hAnsi="Times New Roman"/>
          <w:sz w:val="24"/>
          <w:szCs w:val="24"/>
        </w:rPr>
        <w:t>Purpose</w:t>
      </w:r>
      <w:bookmarkEnd w:id="3"/>
    </w:p>
    <w:p w:rsidR="008D7138" w:rsidRPr="00386B05" w:rsidRDefault="008D7138" w:rsidP="00386B05">
      <w:pPr>
        <w:pStyle w:val="BodyText"/>
        <w:spacing w:line="276" w:lineRule="auto"/>
        <w:ind w:left="720"/>
        <w:contextualSpacing/>
        <w:jc w:val="both"/>
        <w:rPr>
          <w:rFonts w:ascii="Times New Roman" w:hAnsi="Times New Roman" w:cs="Times New Roman"/>
          <w:b/>
          <w:sz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The M&amp;E unit was designed to enhance the LRF monitoring mechanism by incorporating the below activities into a more coherent and efficient framework and by expanding overall oversight management. The M&amp;E unit aims at enhancing the efficiency, preventing unnecessary expenditures and avoiding project delays. This framework will consist of: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An increased frequency of field trips and monitoring meetings;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Closer and more technical follow ups on project implementation and financial activities;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continuous evaluation and objective re-assessment of project achievements against pre-set targets;</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meet timely completion with the objective of raising the effectiveness of projects and ensure cost-efficiency in their implementation, and</w:t>
      </w:r>
    </w:p>
    <w:p w:rsidR="008D7138" w:rsidRPr="00386B05" w:rsidRDefault="008D7138" w:rsidP="009D1301">
      <w:pPr>
        <w:pStyle w:val="BodyText"/>
        <w:numPr>
          <w:ilvl w:val="0"/>
          <w:numId w:val="9"/>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t>A support system to examine the final evaluation of the projects implemented under the LRF.</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Effective oversight management of the LRF projects is time-enhancing and cost-efficient to both donors and beneficiaries. And since the M&amp;E team will oversee all aspects of the project activities, Project Managers are supported in achieving their pre-set deadlines in a timely manner. This will be advantageous to the benefactors since it will prevent the postponement of the project’s activities.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Furthermore, any revisions made in the outstanding projects-such as a no cost time extension, a budget reevaluation or change in scope is effectively assessed and evaluated by the M&amp;E team and hence, improving the cost-efficiency and decision making outcomes of those projects by the PAG team and LRF Steering Committee.</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Project Objectives:</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development goal of the M&amp;E Team is to generate a framework whereby the operation and delivery of current and prospective projects approved under the LRF are able to improve efficiency, recognize and prevent unnecessary expenditures and project delays that may arise over the present time frame of each individual project.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r w:rsidRPr="00386B05">
        <w:rPr>
          <w:rFonts w:ascii="Times New Roman" w:hAnsi="Times New Roman" w:cs="Times New Roman"/>
          <w:sz w:val="24"/>
          <w:szCs w:val="24"/>
        </w:rPr>
        <w:t xml:space="preserve">The immediate objective of establishing an M&amp;E Team is to strengthen the existing LRF monitoring mechanism by improving the timeliness, cost efficiency and reliability of the current LRF project activities. </w:t>
      </w:r>
    </w:p>
    <w:p w:rsidR="008D7138" w:rsidRPr="00386B05" w:rsidRDefault="008D7138" w:rsidP="00386B05">
      <w:pPr>
        <w:pStyle w:val="BodyText"/>
        <w:spacing w:line="276" w:lineRule="auto"/>
        <w:ind w:left="720"/>
        <w:contextualSpacing/>
        <w:rPr>
          <w:rFonts w:ascii="Times New Roman" w:hAnsi="Times New Roman" w:cs="Times New Roman"/>
          <w:sz w:val="24"/>
          <w:szCs w:val="24"/>
        </w:rPr>
      </w:pPr>
    </w:p>
    <w:p w:rsidR="008D7138" w:rsidRPr="00386B05" w:rsidRDefault="008D7138" w:rsidP="00386B05">
      <w:pPr>
        <w:pStyle w:val="BodyText"/>
        <w:spacing w:line="276" w:lineRule="auto"/>
        <w:ind w:left="720"/>
        <w:contextualSpacing/>
        <w:rPr>
          <w:rFonts w:ascii="Times New Roman" w:hAnsi="Times New Roman" w:cs="Times New Roman"/>
          <w:sz w:val="24"/>
          <w:szCs w:val="24"/>
          <w:u w:val="single"/>
        </w:rPr>
      </w:pPr>
      <w:r w:rsidRPr="00386B05">
        <w:rPr>
          <w:rFonts w:ascii="Times New Roman" w:hAnsi="Times New Roman" w:cs="Times New Roman"/>
          <w:sz w:val="24"/>
          <w:szCs w:val="24"/>
          <w:u w:val="single"/>
        </w:rPr>
        <w:t xml:space="preserve">Project Outputs: </w:t>
      </w:r>
    </w:p>
    <w:p w:rsidR="008D7138" w:rsidRPr="00386B05" w:rsidRDefault="008D7138" w:rsidP="00386B05">
      <w:pPr>
        <w:pStyle w:val="BodyText"/>
        <w:spacing w:line="276" w:lineRule="auto"/>
        <w:ind w:left="720"/>
        <w:contextualSpacing/>
        <w:jc w:val="both"/>
        <w:rPr>
          <w:rFonts w:ascii="Times New Roman" w:hAnsi="Times New Roman" w:cs="Times New Roman"/>
          <w:sz w:val="24"/>
          <w:szCs w:val="24"/>
        </w:rPr>
      </w:pPr>
      <w:r w:rsidRPr="00386B05">
        <w:rPr>
          <w:rFonts w:ascii="Times New Roman" w:hAnsi="Times New Roman" w:cs="Times New Roman"/>
          <w:sz w:val="24"/>
          <w:szCs w:val="24"/>
        </w:rPr>
        <w:t xml:space="preserve">Main outputs include: </w:t>
      </w:r>
    </w:p>
    <w:p w:rsidR="008D7138" w:rsidRPr="00386B05" w:rsidRDefault="008D7138" w:rsidP="009D1301">
      <w:pPr>
        <w:pStyle w:val="BodyText"/>
        <w:numPr>
          <w:ilvl w:val="0"/>
          <w:numId w:val="10"/>
        </w:numPr>
        <w:spacing w:line="276" w:lineRule="auto"/>
        <w:contextualSpacing/>
        <w:jc w:val="both"/>
        <w:rPr>
          <w:rFonts w:ascii="Times New Roman" w:hAnsi="Times New Roman" w:cs="Times New Roman"/>
          <w:sz w:val="24"/>
          <w:szCs w:val="24"/>
        </w:rPr>
      </w:pPr>
      <w:r w:rsidRPr="00386B05">
        <w:rPr>
          <w:rFonts w:ascii="Times New Roman" w:hAnsi="Times New Roman" w:cs="Times New Roman"/>
          <w:sz w:val="24"/>
          <w:szCs w:val="24"/>
        </w:rPr>
        <w:t>Support Project Managers in achieving their pre-set deadlines in a timely manner, thus working in favor of the beneficiaries of each project, and</w:t>
      </w:r>
    </w:p>
    <w:p w:rsidR="008D7138" w:rsidRPr="00386B05" w:rsidRDefault="008D7138" w:rsidP="00386B05">
      <w:pPr>
        <w:pStyle w:val="BodyText"/>
        <w:spacing w:line="276" w:lineRule="auto"/>
        <w:contextualSpacing/>
        <w:jc w:val="both"/>
        <w:rPr>
          <w:rFonts w:ascii="Times New Roman" w:hAnsi="Times New Roman" w:cs="Times New Roman"/>
          <w:sz w:val="24"/>
          <w:szCs w:val="24"/>
        </w:rPr>
      </w:pPr>
    </w:p>
    <w:p w:rsidR="008D7138" w:rsidRPr="00386B05" w:rsidRDefault="008D7138" w:rsidP="009D1301">
      <w:pPr>
        <w:pStyle w:val="BodyText"/>
        <w:numPr>
          <w:ilvl w:val="0"/>
          <w:numId w:val="10"/>
        </w:numPr>
        <w:spacing w:line="276" w:lineRule="auto"/>
        <w:contextualSpacing/>
        <w:rPr>
          <w:rFonts w:ascii="Times New Roman" w:hAnsi="Times New Roman" w:cs="Times New Roman"/>
          <w:sz w:val="24"/>
          <w:szCs w:val="24"/>
        </w:rPr>
      </w:pPr>
      <w:r w:rsidRPr="00386B05">
        <w:rPr>
          <w:rFonts w:ascii="Times New Roman" w:hAnsi="Times New Roman" w:cs="Times New Roman"/>
          <w:sz w:val="24"/>
          <w:szCs w:val="24"/>
        </w:rPr>
        <w:lastRenderedPageBreak/>
        <w:t>Revisions made in the outstanding projects - such as a no cost time extension, a budget re-evaluation or change in scope - will be effectively assessed and evaluated by the M&amp;E team. This will improve all decision making outcomes and will ensure compliance with the above revisions.</w:t>
      </w:r>
    </w:p>
    <w:p w:rsidR="008D7138" w:rsidRDefault="008D7138" w:rsidP="00386B05">
      <w:pPr>
        <w:pStyle w:val="BodyText"/>
        <w:spacing w:line="276" w:lineRule="auto"/>
        <w:ind w:left="720"/>
        <w:contextualSpacing/>
        <w:jc w:val="both"/>
        <w:rPr>
          <w:rFonts w:ascii="Times New Roman" w:hAnsi="Times New Roman" w:cs="Times New Roman"/>
          <w:b/>
          <w:sz w:val="24"/>
        </w:rPr>
      </w:pPr>
    </w:p>
    <w:p w:rsidR="00F53DD2" w:rsidRPr="00386B05" w:rsidRDefault="00F53DD2" w:rsidP="00386B05">
      <w:pPr>
        <w:pStyle w:val="BodyText"/>
        <w:spacing w:line="276" w:lineRule="auto"/>
        <w:ind w:left="720"/>
        <w:contextualSpacing/>
        <w:jc w:val="both"/>
        <w:rPr>
          <w:rFonts w:ascii="Times New Roman" w:hAnsi="Times New Roman" w:cs="Times New Roman"/>
          <w:sz w:val="16"/>
        </w:rPr>
      </w:pPr>
    </w:p>
    <w:p w:rsidR="00AB0274" w:rsidRPr="00386B05" w:rsidRDefault="00AB0274" w:rsidP="009D1301">
      <w:pPr>
        <w:pStyle w:val="Heading1"/>
        <w:numPr>
          <w:ilvl w:val="0"/>
          <w:numId w:val="1"/>
        </w:numPr>
        <w:tabs>
          <w:tab w:val="clear" w:pos="1080"/>
          <w:tab w:val="left" w:pos="360"/>
        </w:tabs>
        <w:spacing w:line="276" w:lineRule="auto"/>
        <w:ind w:left="360" w:hanging="360"/>
        <w:contextualSpacing/>
        <w:jc w:val="left"/>
        <w:rPr>
          <w:rFonts w:ascii="Times New Roman" w:hAnsi="Times New Roman"/>
          <w:sz w:val="24"/>
          <w:szCs w:val="24"/>
        </w:rPr>
      </w:pPr>
      <w:bookmarkStart w:id="4" w:name="_Toc249364486"/>
      <w:r w:rsidRPr="00386B05">
        <w:rPr>
          <w:rFonts w:ascii="Times New Roman" w:hAnsi="Times New Roman"/>
          <w:sz w:val="24"/>
          <w:szCs w:val="24"/>
        </w:rPr>
        <w:t>Results</w:t>
      </w:r>
      <w:bookmarkEnd w:id="4"/>
      <w:r w:rsidRPr="00386B05">
        <w:rPr>
          <w:rFonts w:ascii="Times New Roman" w:hAnsi="Times New Roman"/>
          <w:sz w:val="24"/>
          <w:szCs w:val="24"/>
        </w:rPr>
        <w:t xml:space="preserve"> </w:t>
      </w:r>
    </w:p>
    <w:p w:rsidR="00DD2243" w:rsidRPr="00386B05" w:rsidRDefault="00DD2243" w:rsidP="00386B05">
      <w:pPr>
        <w:spacing w:line="276" w:lineRule="auto"/>
        <w:contextualSpacing/>
      </w:pPr>
    </w:p>
    <w:p w:rsidR="00DD2243" w:rsidRPr="00386B05" w:rsidRDefault="00DD2243" w:rsidP="009D1301">
      <w:pPr>
        <w:numPr>
          <w:ilvl w:val="0"/>
          <w:numId w:val="6"/>
        </w:numPr>
        <w:spacing w:line="276" w:lineRule="auto"/>
        <w:contextualSpacing/>
        <w:rPr>
          <w:b/>
        </w:rPr>
      </w:pPr>
      <w:r w:rsidRPr="00386B05">
        <w:rPr>
          <w:b/>
        </w:rPr>
        <w:t>Narrative reporting on results:</w:t>
      </w:r>
    </w:p>
    <w:p w:rsidR="007029B0" w:rsidRPr="00386B05" w:rsidRDefault="007029B0" w:rsidP="00386B05">
      <w:pPr>
        <w:spacing w:line="276" w:lineRule="auto"/>
        <w:ind w:left="360"/>
        <w:contextualSpacing/>
        <w:jc w:val="both"/>
      </w:pPr>
    </w:p>
    <w:p w:rsidR="007029B0" w:rsidRDefault="007029B0" w:rsidP="00386B05">
      <w:pPr>
        <w:spacing w:line="276" w:lineRule="auto"/>
        <w:ind w:left="360"/>
        <w:contextualSpacing/>
        <w:rPr>
          <w:b/>
          <w:bCs/>
          <w:u w:val="single"/>
        </w:rPr>
      </w:pPr>
      <w:r w:rsidRPr="00386B05">
        <w:tab/>
      </w:r>
      <w:r w:rsidR="003164EF" w:rsidRPr="00386B05">
        <w:rPr>
          <w:b/>
          <w:bCs/>
          <w:u w:val="single"/>
        </w:rPr>
        <w:t>Monitoring of LRF projects</w:t>
      </w:r>
      <w:r w:rsidRPr="00386B05">
        <w:rPr>
          <w:b/>
          <w:bCs/>
          <w:u w:val="single"/>
        </w:rPr>
        <w:t xml:space="preserve"> </w:t>
      </w:r>
    </w:p>
    <w:p w:rsidR="007029B0" w:rsidRPr="00386B05" w:rsidRDefault="007029B0" w:rsidP="00FE14F2">
      <w:pPr>
        <w:spacing w:line="276" w:lineRule="auto"/>
        <w:ind w:left="720"/>
        <w:contextualSpacing/>
        <w:jc w:val="both"/>
      </w:pPr>
      <w:r w:rsidRPr="00386B05">
        <w:t xml:space="preserve">The M&amp;E unit monitored the progress of the LRF ongoing projects during </w:t>
      </w:r>
      <w:r w:rsidR="00F53DD2" w:rsidRPr="00386B05">
        <w:t>201</w:t>
      </w:r>
      <w:r w:rsidR="00FE14F2">
        <w:t>5</w:t>
      </w:r>
      <w:r w:rsidR="00F53DD2" w:rsidRPr="00386B05">
        <w:t xml:space="preserve"> </w:t>
      </w:r>
      <w:r w:rsidRPr="00386B05">
        <w:t xml:space="preserve">in relation to the planned outcomes in the projects’ documents approved by the steering committee. This monitoring entailed a </w:t>
      </w:r>
      <w:r w:rsidR="00FE14F2">
        <w:t xml:space="preserve">review of narrative and financial reports of the ongoing projects in close cooperation with the implementing agencies. </w:t>
      </w:r>
      <w:r w:rsidRPr="00386B05">
        <w:t>In collaboration with the concerned UN agencies, the reports were revised in order to highlight on the results and the impact of the LRF initiatives. The final versions of the reports have been uploaded on the MPTF gateway.</w:t>
      </w:r>
    </w:p>
    <w:p w:rsidR="007029B0" w:rsidRPr="00386B05" w:rsidRDefault="007029B0" w:rsidP="00D65885">
      <w:pPr>
        <w:spacing w:line="276" w:lineRule="auto"/>
        <w:ind w:left="720"/>
        <w:contextualSpacing/>
        <w:jc w:val="both"/>
      </w:pPr>
      <w:r w:rsidRPr="00386B05">
        <w:t>In addition, the M&amp;E unit conducted field</w:t>
      </w:r>
      <w:r w:rsidR="00F67817">
        <w:t>/office</w:t>
      </w:r>
      <w:r w:rsidRPr="00386B05">
        <w:t xml:space="preserve"> visits to projects’ regions</w:t>
      </w:r>
      <w:r w:rsidR="00F67817">
        <w:t xml:space="preserve"> and staff</w:t>
      </w:r>
      <w:r w:rsidR="00C2044B">
        <w:t xml:space="preserve"> to</w:t>
      </w:r>
      <w:r w:rsidR="001C13AD">
        <w:t xml:space="preserve"> better assess </w:t>
      </w:r>
      <w:r w:rsidRPr="00386B05">
        <w:t xml:space="preserve">the projects’ progress and to obtain </w:t>
      </w:r>
      <w:r w:rsidR="00D65885">
        <w:t>feedback</w:t>
      </w:r>
      <w:r w:rsidR="00D65885" w:rsidRPr="00386B05">
        <w:t xml:space="preserve"> </w:t>
      </w:r>
      <w:r w:rsidRPr="00386B05">
        <w:t>of beneficiaries and local stakeholders</w:t>
      </w:r>
      <w:r w:rsidR="001C13AD" w:rsidRPr="001C13AD">
        <w:t xml:space="preserve"> </w:t>
      </w:r>
      <w:r w:rsidR="001C13AD" w:rsidRPr="00386B05">
        <w:t>where possible</w:t>
      </w:r>
      <w:r w:rsidRPr="00386B05">
        <w:t>.</w:t>
      </w:r>
    </w:p>
    <w:p w:rsidR="00996478" w:rsidRDefault="00996478" w:rsidP="00996478">
      <w:pPr>
        <w:spacing w:line="276" w:lineRule="auto"/>
        <w:ind w:left="720"/>
        <w:contextualSpacing/>
        <w:jc w:val="both"/>
      </w:pPr>
    </w:p>
    <w:p w:rsidR="00483562" w:rsidRDefault="005E4A29" w:rsidP="00FE14F2">
      <w:pPr>
        <w:pStyle w:val="ListParagraph"/>
        <w:spacing w:line="276" w:lineRule="auto"/>
      </w:pPr>
      <w:r>
        <w:t>Additionally</w:t>
      </w:r>
      <w:r w:rsidR="00FE14F2">
        <w:t>, the M&amp;E unit supported the SC and PAG in review of extension requests submitted for the LRF 28 and LRF 29 projects. T</w:t>
      </w:r>
      <w:r w:rsidR="00852C7C">
        <w:t>he LRF-29 “Selected Rapid Delivery and Immediate Impact Interventions” ha</w:t>
      </w:r>
      <w:r w:rsidR="00FE14F2">
        <w:t>s</w:t>
      </w:r>
      <w:r w:rsidR="00483562" w:rsidRPr="00483562">
        <w:t xml:space="preserve"> been granted a </w:t>
      </w:r>
      <w:r w:rsidR="00D65885">
        <w:t xml:space="preserve">no-cost </w:t>
      </w:r>
      <w:r w:rsidR="00483562" w:rsidRPr="00483562">
        <w:t xml:space="preserve">time extension of </w:t>
      </w:r>
      <w:r w:rsidR="00FE14F2">
        <w:t>9</w:t>
      </w:r>
      <w:r w:rsidR="00483562" w:rsidRPr="00483562">
        <w:t xml:space="preserve"> months</w:t>
      </w:r>
      <w:r w:rsidR="00852C7C">
        <w:t xml:space="preserve"> </w:t>
      </w:r>
      <w:r w:rsidR="00483562" w:rsidRPr="00483562">
        <w:t xml:space="preserve">to complete the </w:t>
      </w:r>
      <w:r w:rsidR="00D65885">
        <w:t>remaining</w:t>
      </w:r>
      <w:r w:rsidR="00D65885" w:rsidRPr="00483562">
        <w:t xml:space="preserve"> </w:t>
      </w:r>
      <w:r w:rsidR="00483562" w:rsidRPr="00483562">
        <w:t>activities</w:t>
      </w:r>
      <w:r w:rsidR="00D65885">
        <w:t>.</w:t>
      </w:r>
      <w:r w:rsidR="00FE14F2">
        <w:t xml:space="preserve"> The LRF-28 project submitted a no-cost extension in late 2015 and the project request was reviewed closely with the implementing agency and Government counterparts and was granted an extension until August 2016.</w:t>
      </w:r>
    </w:p>
    <w:p w:rsidR="005E4A29" w:rsidRDefault="005E4A29" w:rsidP="00FE14F2">
      <w:pPr>
        <w:pStyle w:val="ListParagraph"/>
        <w:spacing w:line="276" w:lineRule="auto"/>
      </w:pPr>
    </w:p>
    <w:p w:rsidR="005E4A29" w:rsidRPr="00483562" w:rsidRDefault="005E4A29" w:rsidP="005E4A29">
      <w:pPr>
        <w:pStyle w:val="ListParagraph"/>
        <w:spacing w:line="276" w:lineRule="auto"/>
      </w:pPr>
      <w:r>
        <w:t>During 2015, the M&amp;E unit also managed the operational closure of the LRF 27 and LRF 30 projects in close collaboration with the government counterparts as well as UNDP as the recipient UN organization. The two final narrative reports are posted on the MPTF gateway.</w:t>
      </w:r>
    </w:p>
    <w:p w:rsidR="00483562" w:rsidRPr="00386B05" w:rsidRDefault="00483562" w:rsidP="00386B05">
      <w:pPr>
        <w:pStyle w:val="ListParagraph"/>
        <w:spacing w:line="276" w:lineRule="auto"/>
      </w:pPr>
    </w:p>
    <w:p w:rsidR="003164EF" w:rsidRDefault="003164EF" w:rsidP="00386B05">
      <w:pPr>
        <w:pStyle w:val="ListParagraph"/>
        <w:spacing w:line="276" w:lineRule="auto"/>
        <w:rPr>
          <w:b/>
          <w:bCs/>
          <w:u w:val="single"/>
        </w:rPr>
      </w:pPr>
      <w:r w:rsidRPr="00386B05">
        <w:rPr>
          <w:b/>
          <w:bCs/>
          <w:u w:val="single"/>
        </w:rPr>
        <w:t>Visibility of the LRF</w:t>
      </w:r>
    </w:p>
    <w:p w:rsidR="00852C7C" w:rsidRDefault="00852C7C" w:rsidP="001C13AD">
      <w:pPr>
        <w:pStyle w:val="ListParagraph"/>
        <w:spacing w:line="276" w:lineRule="auto"/>
      </w:pPr>
      <w:r>
        <w:t xml:space="preserve">The M&amp;E unit provided guidance and support to the ongoing projects on </w:t>
      </w:r>
      <w:r w:rsidR="00504B3F">
        <w:t>adhering to</w:t>
      </w:r>
      <w:r>
        <w:t xml:space="preserve"> the visibility guidelines for LRF projects during outreach activities and public events and in the case of distribution of materials highlighting the support of the trust fund and the donors.</w:t>
      </w:r>
    </w:p>
    <w:p w:rsidR="00EB1CEA" w:rsidRDefault="00EB1CEA" w:rsidP="001C13AD">
      <w:pPr>
        <w:pStyle w:val="ListParagraph"/>
        <w:spacing w:line="276" w:lineRule="auto"/>
      </w:pPr>
    </w:p>
    <w:p w:rsidR="00EB1CEA" w:rsidRPr="00EB1CEA" w:rsidRDefault="00EB1CEA" w:rsidP="001C13AD">
      <w:pPr>
        <w:pStyle w:val="ListParagraph"/>
        <w:spacing w:line="276" w:lineRule="auto"/>
        <w:rPr>
          <w:b/>
          <w:bCs/>
          <w:u w:val="single"/>
        </w:rPr>
      </w:pPr>
      <w:r w:rsidRPr="00EB1CEA">
        <w:rPr>
          <w:b/>
          <w:bCs/>
          <w:u w:val="single"/>
        </w:rPr>
        <w:t>Support to the LRF resource mobilization:</w:t>
      </w:r>
    </w:p>
    <w:p w:rsidR="00EB1CEA" w:rsidRDefault="00EB1CEA" w:rsidP="00EB1CEA">
      <w:pPr>
        <w:pStyle w:val="ListParagraph"/>
        <w:spacing w:line="276" w:lineRule="auto"/>
      </w:pPr>
      <w:r w:rsidRPr="00EB1CEA">
        <w:t>Following up on multi/bilateral fundraising and on the Third Pledging Conference (Kuwait 3) that aim</w:t>
      </w:r>
      <w:r>
        <w:t>ed</w:t>
      </w:r>
      <w:r w:rsidRPr="00EB1CEA">
        <w:t xml:space="preserve"> to </w:t>
      </w:r>
      <w:r>
        <w:t>support raising funds for</w:t>
      </w:r>
      <w:r w:rsidRPr="00EB1CEA">
        <w:t xml:space="preserve"> the countries affected by the Syrian crisis in th</w:t>
      </w:r>
      <w:r>
        <w:t>e region, the M&amp;E unit</w:t>
      </w:r>
      <w:r w:rsidRPr="00EB1CEA">
        <w:t xml:space="preserve"> </w:t>
      </w:r>
      <w:r w:rsidRPr="00EB1CEA">
        <w:t>market the LRF as a flexible channel that enables donors to pool their resources and rapidly provide funding</w:t>
      </w:r>
      <w:r w:rsidR="00572560">
        <w:t xml:space="preserve"> to Lebanon in support</w:t>
      </w:r>
      <w:r w:rsidRPr="00EB1CEA">
        <w:t xml:space="preserve"> to short and medium term projects.</w:t>
      </w:r>
    </w:p>
    <w:p w:rsidR="00572560" w:rsidRDefault="00572560" w:rsidP="00572560">
      <w:pPr>
        <w:pStyle w:val="ListParagraph"/>
        <w:spacing w:line="276" w:lineRule="auto"/>
      </w:pPr>
      <w:r>
        <w:t xml:space="preserve">This entailed consultations and </w:t>
      </w:r>
      <w:r w:rsidR="00EB1CEA">
        <w:t xml:space="preserve">follow up with </w:t>
      </w:r>
      <w:r w:rsidR="00EB1CEA" w:rsidRPr="00EB1CEA">
        <w:t>bilateral donors and partners</w:t>
      </w:r>
      <w:r w:rsidR="00EB1CEA">
        <w:t xml:space="preserve"> </w:t>
      </w:r>
      <w:r>
        <w:t>on pledges made in the conference</w:t>
      </w:r>
      <w:r w:rsidRPr="00572560">
        <w:t xml:space="preserve"> </w:t>
      </w:r>
      <w:r w:rsidRPr="00EB1CEA">
        <w:t>including marketing of the fund and increasing visibility of the trust fund’s donors and partners.</w:t>
      </w:r>
      <w:r>
        <w:t xml:space="preserve"> Additional USD 1.5 million were contributed to the LRF in support of host communities and </w:t>
      </w:r>
      <w:r>
        <w:lastRenderedPageBreak/>
        <w:t>the Lebanon Crisis Response Plan, particularly in support of the health, livelihoods and social stability sectors.</w:t>
      </w:r>
    </w:p>
    <w:p w:rsidR="00572560" w:rsidRDefault="00572560" w:rsidP="00572560">
      <w:pPr>
        <w:pStyle w:val="ListParagraph"/>
        <w:spacing w:line="276" w:lineRule="auto"/>
      </w:pPr>
    </w:p>
    <w:p w:rsidR="00572560" w:rsidRDefault="00572560" w:rsidP="00572560">
      <w:pPr>
        <w:pStyle w:val="ListParagraph"/>
        <w:spacing w:line="276" w:lineRule="auto"/>
      </w:pPr>
      <w:r>
        <w:t>Additional donors have expressed interest in supporting Lebanon and the LCRP through the LRF which the M&amp;E unit will follow up and facilitate concreting these contributions in 2016.</w:t>
      </w:r>
    </w:p>
    <w:p w:rsidR="00572560" w:rsidRDefault="00572560" w:rsidP="00572560">
      <w:pPr>
        <w:pStyle w:val="ListParagraph"/>
        <w:spacing w:line="276" w:lineRule="auto"/>
      </w:pPr>
    </w:p>
    <w:p w:rsidR="00572560" w:rsidRPr="00572560" w:rsidRDefault="00572560" w:rsidP="00572560">
      <w:pPr>
        <w:pStyle w:val="ListParagraph"/>
        <w:spacing w:line="276" w:lineRule="auto"/>
        <w:rPr>
          <w:b/>
          <w:bCs/>
          <w:u w:val="single"/>
        </w:rPr>
      </w:pPr>
      <w:r w:rsidRPr="00572560">
        <w:rPr>
          <w:b/>
          <w:bCs/>
          <w:u w:val="single"/>
        </w:rPr>
        <w:t>Proposal submission and review:</w:t>
      </w:r>
    </w:p>
    <w:p w:rsidR="00EB1CEA" w:rsidRDefault="00572560" w:rsidP="00572560">
      <w:pPr>
        <w:pStyle w:val="ListParagraph"/>
        <w:spacing w:line="276" w:lineRule="auto"/>
      </w:pPr>
      <w:r>
        <w:t>In result to the new funds received, a call for proposal was submitted to the earmarked UN agencies. The M&amp;E unit worked closely with UNDP and UNHCR in the submission of the project proposals and in collaboration with the relevant government counterparts. The final outcome of this call will take place during initial phase of 2016.</w:t>
      </w:r>
      <w:r w:rsidR="00EB1CEA">
        <w:br w:type="page"/>
      </w:r>
    </w:p>
    <w:p w:rsidR="00EB1CEA" w:rsidRDefault="00EB1CEA" w:rsidP="001C13AD">
      <w:pPr>
        <w:pStyle w:val="ListParagraph"/>
        <w:spacing w:line="276" w:lineRule="auto"/>
      </w:pPr>
    </w:p>
    <w:p w:rsidR="00852C7C" w:rsidRDefault="00852C7C" w:rsidP="00386B05">
      <w:pPr>
        <w:pStyle w:val="ListParagraph"/>
        <w:spacing w:line="276" w:lineRule="auto"/>
        <w:rPr>
          <w:u w:val="single"/>
        </w:rPr>
      </w:pPr>
    </w:p>
    <w:p w:rsidR="00852C7C" w:rsidRPr="00386B05" w:rsidRDefault="00852C7C" w:rsidP="00386B05">
      <w:pPr>
        <w:pStyle w:val="ListParagraph"/>
        <w:spacing w:line="276" w:lineRule="auto"/>
        <w:rPr>
          <w:u w:val="single"/>
        </w:rPr>
      </w:pPr>
    </w:p>
    <w:p w:rsidR="00EB1CEA" w:rsidRPr="001613F4" w:rsidRDefault="00EB1CEA" w:rsidP="00EB1CEA">
      <w:pPr>
        <w:jc w:val="center"/>
        <w:rPr>
          <w:b/>
        </w:rPr>
      </w:pPr>
      <w:r>
        <w:rPr>
          <w:b/>
        </w:rPr>
        <w:t>ii) Indicator Based Performance Assessment:</w:t>
      </w:r>
    </w:p>
    <w:p w:rsidR="00C416C0" w:rsidRPr="00386B05" w:rsidRDefault="00C416C0" w:rsidP="00C416C0">
      <w:pPr>
        <w:pStyle w:val="BodyText"/>
        <w:tabs>
          <w:tab w:val="left" w:pos="360"/>
        </w:tabs>
        <w:ind w:left="720"/>
        <w:jc w:val="both"/>
        <w:rPr>
          <w:rFonts w:ascii="Times New Roman" w:hAnsi="Times New Roman" w:cs="Times New Roman"/>
          <w:bCs/>
          <w:sz w:val="24"/>
        </w:rPr>
      </w:pPr>
    </w:p>
    <w:p w:rsidR="0070645E" w:rsidRPr="00386B05" w:rsidRDefault="0070645E" w:rsidP="000221C7">
      <w:pPr>
        <w:pStyle w:val="BodyText"/>
        <w:rPr>
          <w:rFonts w:ascii="Times New Roman" w:hAnsi="Times New Roman" w:cs="Times New Roman"/>
          <w:bCs/>
          <w:sz w:val="24"/>
        </w:rPr>
      </w:pPr>
    </w:p>
    <w:p w:rsidR="009C2AFF" w:rsidRPr="00386B05" w:rsidRDefault="009C2AFF" w:rsidP="000221C7">
      <w:pPr>
        <w:pStyle w:val="BodyText"/>
        <w:rPr>
          <w:rFonts w:ascii="Times New Roman" w:hAnsi="Times New Roman" w:cs="Times New Roman"/>
          <w:bCs/>
          <w:sz w:val="24"/>
        </w:rPr>
      </w:pPr>
    </w:p>
    <w:tbl>
      <w:tblPr>
        <w:tblW w:w="1099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088"/>
        <w:gridCol w:w="4230"/>
        <w:gridCol w:w="4680"/>
      </w:tblGrid>
      <w:tr w:rsidR="00802372" w:rsidRPr="00386B05" w:rsidTr="00802372">
        <w:tc>
          <w:tcPr>
            <w:tcW w:w="2088" w:type="dxa"/>
            <w:shd w:val="clear" w:color="auto" w:fill="4F81BD"/>
            <w:vAlign w:val="center"/>
          </w:tcPr>
          <w:p w:rsidR="00A2667B" w:rsidRPr="00386B05" w:rsidRDefault="000221C7" w:rsidP="00802372">
            <w:pPr>
              <w:pStyle w:val="Heading1"/>
              <w:spacing w:line="276" w:lineRule="auto"/>
              <w:ind w:left="0"/>
              <w:jc w:val="center"/>
              <w:rPr>
                <w:rFonts w:ascii="Times New Roman" w:hAnsi="Times New Roman"/>
              </w:rPr>
            </w:pPr>
            <w:bookmarkStart w:id="5" w:name="_Toc296423137"/>
            <w:bookmarkStart w:id="6" w:name="_Toc296423280"/>
            <w:r w:rsidRPr="00386B05">
              <w:rPr>
                <w:rFonts w:ascii="Times New Roman" w:hAnsi="Times New Roman"/>
                <w:color w:val="000000"/>
                <w:sz w:val="24"/>
                <w:szCs w:val="24"/>
              </w:rPr>
              <w:t>Project Outputs</w:t>
            </w:r>
            <w:bookmarkEnd w:id="5"/>
            <w:bookmarkEnd w:id="6"/>
          </w:p>
        </w:tc>
        <w:tc>
          <w:tcPr>
            <w:tcW w:w="423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7" w:name="_Toc296423138"/>
            <w:bookmarkStart w:id="8" w:name="_Toc296423281"/>
            <w:r w:rsidRPr="00386B05">
              <w:rPr>
                <w:rFonts w:ascii="Times New Roman" w:hAnsi="Times New Roman"/>
                <w:color w:val="000000"/>
                <w:sz w:val="24"/>
                <w:szCs w:val="24"/>
              </w:rPr>
              <w:t>Activities</w:t>
            </w:r>
            <w:bookmarkEnd w:id="7"/>
            <w:bookmarkEnd w:id="8"/>
          </w:p>
        </w:tc>
        <w:tc>
          <w:tcPr>
            <w:tcW w:w="4680" w:type="dxa"/>
            <w:shd w:val="clear" w:color="auto" w:fill="4F81BD"/>
            <w:vAlign w:val="center"/>
          </w:tcPr>
          <w:p w:rsidR="000221C7" w:rsidRPr="00386B05" w:rsidRDefault="000221C7" w:rsidP="00FE53D0">
            <w:pPr>
              <w:pStyle w:val="Heading1"/>
              <w:spacing w:line="276" w:lineRule="auto"/>
              <w:ind w:left="0"/>
              <w:jc w:val="center"/>
              <w:rPr>
                <w:rFonts w:ascii="Times New Roman" w:hAnsi="Times New Roman"/>
                <w:color w:val="000000"/>
                <w:sz w:val="24"/>
                <w:szCs w:val="24"/>
              </w:rPr>
            </w:pPr>
            <w:bookmarkStart w:id="9" w:name="_Toc296423139"/>
            <w:bookmarkStart w:id="10" w:name="_Toc296423282"/>
            <w:r w:rsidRPr="00386B05">
              <w:rPr>
                <w:rFonts w:ascii="Times New Roman" w:hAnsi="Times New Roman"/>
                <w:color w:val="000000"/>
                <w:sz w:val="24"/>
                <w:szCs w:val="24"/>
              </w:rPr>
              <w:t>Indicators</w:t>
            </w:r>
            <w:bookmarkEnd w:id="9"/>
            <w:bookmarkEnd w:id="10"/>
          </w:p>
        </w:tc>
      </w:tr>
      <w:tr w:rsidR="00802372" w:rsidRPr="00386B05" w:rsidTr="00802372">
        <w:tc>
          <w:tcPr>
            <w:tcW w:w="2088" w:type="dxa"/>
            <w:shd w:val="clear" w:color="auto" w:fill="D3DFEE"/>
          </w:tcPr>
          <w:p w:rsidR="00366BF8" w:rsidRDefault="00366BF8" w:rsidP="00FE53D0">
            <w:pPr>
              <w:spacing w:line="276" w:lineRule="auto"/>
              <w:rPr>
                <w:b/>
                <w:bCs/>
                <w:color w:val="000000"/>
              </w:rPr>
            </w:pPr>
          </w:p>
          <w:p w:rsidR="00366BF8" w:rsidRDefault="00366BF8" w:rsidP="00FE53D0">
            <w:pPr>
              <w:spacing w:line="276" w:lineRule="auto"/>
              <w:rPr>
                <w:b/>
                <w:bCs/>
                <w:color w:val="000000"/>
              </w:rPr>
            </w:pPr>
          </w:p>
          <w:p w:rsidR="000221C7" w:rsidRPr="00386B05" w:rsidRDefault="000221C7" w:rsidP="00FE53D0">
            <w:pPr>
              <w:spacing w:line="276" w:lineRule="auto"/>
              <w:rPr>
                <w:b/>
                <w:bCs/>
                <w:color w:val="000000"/>
              </w:rPr>
            </w:pPr>
            <w:r w:rsidRPr="00386B05">
              <w:rPr>
                <w:b/>
                <w:bCs/>
                <w:color w:val="000000"/>
              </w:rPr>
              <w:t>Support Project Managers in achieving their pre-set deadlines in a timely manner, thus working in favor of the beneficiaries of each project</w:t>
            </w:r>
          </w:p>
          <w:p w:rsidR="000221C7" w:rsidRPr="00386B05" w:rsidRDefault="000221C7" w:rsidP="00FE53D0">
            <w:pPr>
              <w:spacing w:line="276" w:lineRule="auto"/>
              <w:jc w:val="both"/>
              <w:rPr>
                <w:b/>
                <w:bCs/>
                <w:color w:val="000000"/>
              </w:rPr>
            </w:pPr>
          </w:p>
        </w:tc>
        <w:tc>
          <w:tcPr>
            <w:tcW w:w="4230" w:type="dxa"/>
            <w:shd w:val="clear" w:color="auto" w:fill="D3DFEE"/>
          </w:tcPr>
          <w:p w:rsidR="000221C7" w:rsidRPr="00386B05" w:rsidRDefault="00AA51B2" w:rsidP="009D1301">
            <w:pPr>
              <w:numPr>
                <w:ilvl w:val="0"/>
                <w:numId w:val="12"/>
              </w:numPr>
              <w:tabs>
                <w:tab w:val="left" w:pos="-720"/>
              </w:tabs>
              <w:suppressAutoHyphens/>
              <w:spacing w:line="276" w:lineRule="auto"/>
              <w:rPr>
                <w:color w:val="000000"/>
              </w:rPr>
            </w:pPr>
            <w:r>
              <w:rPr>
                <w:color w:val="000000"/>
              </w:rPr>
              <w:t>Monitoring of the projects’ progress conducted on continuous basis.</w:t>
            </w:r>
            <w:r w:rsidR="00533177" w:rsidRPr="00386B05">
              <w:rPr>
                <w:color w:val="000000"/>
              </w:rPr>
              <w:t xml:space="preserve"> I</w:t>
            </w:r>
            <w:r w:rsidR="000221C7" w:rsidRPr="00386B05">
              <w:rPr>
                <w:color w:val="000000"/>
              </w:rPr>
              <w:t xml:space="preserve">nquiries, comments and suggestions are shared with the </w:t>
            </w:r>
            <w:r w:rsidR="00533177" w:rsidRPr="00386B05">
              <w:rPr>
                <w:color w:val="000000"/>
              </w:rPr>
              <w:t>project teams</w:t>
            </w:r>
            <w:r w:rsidR="000221C7" w:rsidRPr="00386B05">
              <w:rPr>
                <w:color w:val="000000"/>
              </w:rPr>
              <w:t xml:space="preserve"> with regard to the obstacles faced and the alternative measures to be adopted to overcome the constraints. </w:t>
            </w:r>
          </w:p>
          <w:p w:rsidR="000221C7" w:rsidRPr="00386B05" w:rsidRDefault="000221C7" w:rsidP="00FE53D0">
            <w:pPr>
              <w:tabs>
                <w:tab w:val="left" w:pos="-720"/>
              </w:tabs>
              <w:suppressAutoHyphens/>
              <w:spacing w:line="276" w:lineRule="auto"/>
              <w:ind w:left="720"/>
              <w:rPr>
                <w:color w:val="000000"/>
              </w:rPr>
            </w:pPr>
          </w:p>
          <w:p w:rsidR="000221C7" w:rsidRPr="00386B05" w:rsidRDefault="00C27FB4" w:rsidP="009D1301">
            <w:pPr>
              <w:numPr>
                <w:ilvl w:val="0"/>
                <w:numId w:val="12"/>
              </w:numPr>
              <w:tabs>
                <w:tab w:val="left" w:pos="-720"/>
              </w:tabs>
              <w:suppressAutoHyphens/>
              <w:spacing w:line="276" w:lineRule="auto"/>
              <w:rPr>
                <w:color w:val="000000"/>
              </w:rPr>
            </w:pPr>
            <w:r>
              <w:rPr>
                <w:color w:val="000000"/>
              </w:rPr>
              <w:t>Close monitoring and evaluation</w:t>
            </w:r>
            <w:r w:rsidR="000221C7" w:rsidRPr="00386B05">
              <w:rPr>
                <w:color w:val="000000"/>
              </w:rPr>
              <w:t xml:space="preserve"> have resulted in pointing out the obstacles facing the projects’ implementation </w:t>
            </w:r>
          </w:p>
          <w:p w:rsidR="000221C7" w:rsidRPr="00386B05" w:rsidRDefault="000221C7" w:rsidP="00FE53D0">
            <w:pPr>
              <w:tabs>
                <w:tab w:val="left" w:pos="-720"/>
              </w:tabs>
              <w:suppressAutoHyphens/>
              <w:spacing w:line="276" w:lineRule="auto"/>
              <w:ind w:left="720"/>
              <w:rPr>
                <w:color w:val="000000"/>
              </w:rPr>
            </w:pPr>
          </w:p>
          <w:p w:rsidR="000221C7" w:rsidRPr="00386B05" w:rsidRDefault="000221C7" w:rsidP="009D1301">
            <w:pPr>
              <w:numPr>
                <w:ilvl w:val="0"/>
                <w:numId w:val="12"/>
              </w:numPr>
              <w:tabs>
                <w:tab w:val="left" w:pos="-720"/>
              </w:tabs>
              <w:suppressAutoHyphens/>
              <w:spacing w:line="276" w:lineRule="auto"/>
              <w:rPr>
                <w:color w:val="000000"/>
              </w:rPr>
            </w:pPr>
            <w:r w:rsidRPr="00386B05">
              <w:rPr>
                <w:color w:val="000000"/>
              </w:rPr>
              <w:t xml:space="preserve">Coordination meetings with the projects’ teams to assess the progress made and the obstacles facing the implementation. </w:t>
            </w:r>
          </w:p>
          <w:p w:rsidR="00A2667B" w:rsidRDefault="00A2667B" w:rsidP="00FE53D0">
            <w:pPr>
              <w:tabs>
                <w:tab w:val="left" w:pos="-720"/>
              </w:tabs>
              <w:suppressAutoHyphens/>
              <w:spacing w:line="276" w:lineRule="auto"/>
              <w:ind w:left="720"/>
              <w:rPr>
                <w:color w:val="000000"/>
              </w:rPr>
            </w:pPr>
          </w:p>
          <w:p w:rsidR="00FE53D0" w:rsidRPr="00FE53D0" w:rsidRDefault="00FE53D0" w:rsidP="00572560">
            <w:pPr>
              <w:numPr>
                <w:ilvl w:val="0"/>
                <w:numId w:val="8"/>
              </w:numPr>
              <w:tabs>
                <w:tab w:val="left" w:pos="-720"/>
              </w:tabs>
              <w:suppressAutoHyphens/>
              <w:spacing w:line="276" w:lineRule="auto"/>
              <w:rPr>
                <w:color w:val="000000"/>
              </w:rPr>
            </w:pPr>
            <w:r w:rsidRPr="00FE53D0">
              <w:rPr>
                <w:color w:val="000000"/>
              </w:rPr>
              <w:t>The M&amp;E Unit has been reviewing, editing and amending  the quarterly</w:t>
            </w:r>
            <w:r>
              <w:rPr>
                <w:color w:val="000000"/>
              </w:rPr>
              <w:t xml:space="preserve"> progress reports of 201</w:t>
            </w:r>
            <w:r w:rsidR="00572560">
              <w:rPr>
                <w:color w:val="000000"/>
              </w:rPr>
              <w:t>5</w:t>
            </w:r>
            <w:r w:rsidRPr="00FE53D0">
              <w:rPr>
                <w:color w:val="000000"/>
              </w:rPr>
              <w:t xml:space="preserve">; guarantying the timely submission of LRF reports through the MPTF Gateway </w:t>
            </w:r>
            <w:hyperlink r:id="rId13" w:history="1">
              <w:r w:rsidRPr="00FE53D0">
                <w:rPr>
                  <w:rStyle w:val="Hyperlink"/>
                </w:rPr>
                <w:t>http://mdtf.undp.org/</w:t>
              </w:r>
            </w:hyperlink>
            <w:r w:rsidRPr="00FE53D0">
              <w:rPr>
                <w:color w:val="000000"/>
              </w:rPr>
              <w:t xml:space="preserve">  and as such:</w:t>
            </w:r>
          </w:p>
          <w:p w:rsidR="00FE53D0" w:rsidRDefault="00FE53D0" w:rsidP="00FE53D0">
            <w:pPr>
              <w:tabs>
                <w:tab w:val="left" w:pos="-720"/>
              </w:tabs>
              <w:suppressAutoHyphens/>
              <w:spacing w:line="276" w:lineRule="auto"/>
              <w:ind w:left="720"/>
              <w:rPr>
                <w:color w:val="000000"/>
              </w:rPr>
            </w:pPr>
          </w:p>
          <w:p w:rsidR="00FE53D0" w:rsidRDefault="00FE53D0" w:rsidP="009329A4">
            <w:pPr>
              <w:tabs>
                <w:tab w:val="left" w:pos="-720"/>
              </w:tabs>
              <w:suppressAutoHyphens/>
              <w:spacing w:line="276" w:lineRule="auto"/>
              <w:ind w:left="720"/>
              <w:rPr>
                <w:color w:val="000000"/>
              </w:rPr>
            </w:pPr>
          </w:p>
          <w:p w:rsidR="00FE53D0" w:rsidRPr="00802372" w:rsidRDefault="00124BF2" w:rsidP="00572560">
            <w:pPr>
              <w:numPr>
                <w:ilvl w:val="0"/>
                <w:numId w:val="16"/>
              </w:numPr>
              <w:tabs>
                <w:tab w:val="left" w:pos="-720"/>
              </w:tabs>
              <w:suppressAutoHyphens/>
              <w:spacing w:line="276" w:lineRule="auto"/>
              <w:rPr>
                <w:color w:val="000000"/>
              </w:rPr>
            </w:pPr>
            <w:r>
              <w:rPr>
                <w:color w:val="000000"/>
              </w:rPr>
              <w:t>An</w:t>
            </w:r>
            <w:r w:rsidR="00FE53D0">
              <w:rPr>
                <w:color w:val="000000"/>
              </w:rPr>
              <w:t xml:space="preserve">nual reports covering </w:t>
            </w:r>
            <w:r>
              <w:rPr>
                <w:color w:val="000000"/>
              </w:rPr>
              <w:t>201</w:t>
            </w:r>
            <w:r w:rsidR="00572560">
              <w:rPr>
                <w:color w:val="000000"/>
              </w:rPr>
              <w:t>4</w:t>
            </w:r>
            <w:r>
              <w:rPr>
                <w:color w:val="000000"/>
              </w:rPr>
              <w:t xml:space="preserve"> </w:t>
            </w:r>
            <w:r w:rsidR="00FE53D0">
              <w:rPr>
                <w:color w:val="000000"/>
              </w:rPr>
              <w:t xml:space="preserve">revised and uploaded on </w:t>
            </w:r>
            <w:r w:rsidR="00FE53D0" w:rsidRPr="00FE53D0">
              <w:rPr>
                <w:color w:val="000000"/>
              </w:rPr>
              <w:t>MPTF gateway</w:t>
            </w:r>
            <w:r w:rsidR="00FE53D0">
              <w:rPr>
                <w:color w:val="000000"/>
              </w:rPr>
              <w:t>.</w:t>
            </w:r>
          </w:p>
        </w:tc>
        <w:tc>
          <w:tcPr>
            <w:tcW w:w="4680" w:type="dxa"/>
            <w:shd w:val="clear" w:color="auto" w:fill="auto"/>
          </w:tcPr>
          <w:p w:rsidR="00C30493"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Activities completed as per the projects’ set up work plans</w:t>
            </w:r>
          </w:p>
          <w:p w:rsidR="00C30493" w:rsidRDefault="00C30493" w:rsidP="00FE53D0">
            <w:pPr>
              <w:pStyle w:val="BodyText2"/>
              <w:spacing w:line="276" w:lineRule="auto"/>
              <w:rPr>
                <w:rFonts w:ascii="Times New Roman" w:hAnsi="Times New Roman" w:cs="Times New Roman"/>
                <w:color w:val="000000"/>
                <w:sz w:val="24"/>
                <w:szCs w:val="24"/>
              </w:rPr>
            </w:pPr>
          </w:p>
          <w:p w:rsidR="000221C7" w:rsidRPr="00386B05" w:rsidRDefault="00C30493"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Revised projects and updated work plans</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6620B7"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Challenges</w:t>
            </w:r>
            <w:r w:rsidRPr="00386B05">
              <w:rPr>
                <w:rFonts w:ascii="Times New Roman" w:hAnsi="Times New Roman" w:cs="Times New Roman"/>
                <w:color w:val="000000"/>
                <w:sz w:val="24"/>
                <w:szCs w:val="24"/>
              </w:rPr>
              <w:t xml:space="preserve"> </w:t>
            </w:r>
            <w:r w:rsidR="000221C7" w:rsidRPr="00386B05">
              <w:rPr>
                <w:rFonts w:ascii="Times New Roman" w:hAnsi="Times New Roman" w:cs="Times New Roman"/>
                <w:color w:val="000000"/>
                <w:sz w:val="24"/>
                <w:szCs w:val="24"/>
              </w:rPr>
              <w:t xml:space="preserve">assessed and alternative measures </w:t>
            </w:r>
            <w:r w:rsidR="00533177" w:rsidRPr="00386B05">
              <w:rPr>
                <w:rFonts w:ascii="Times New Roman" w:hAnsi="Times New Roman" w:cs="Times New Roman"/>
                <w:color w:val="000000"/>
                <w:sz w:val="24"/>
                <w:szCs w:val="24"/>
              </w:rPr>
              <w:t>suggested</w:t>
            </w:r>
          </w:p>
          <w:p w:rsidR="00533177" w:rsidRPr="00386B05" w:rsidRDefault="00533177"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Default="00572560"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Meetings readouts</w:t>
            </w:r>
            <w:r w:rsidR="00533177" w:rsidRPr="00386B05">
              <w:rPr>
                <w:rFonts w:ascii="Times New Roman" w:hAnsi="Times New Roman" w:cs="Times New Roman"/>
                <w:color w:val="000000"/>
                <w:sz w:val="24"/>
                <w:szCs w:val="24"/>
              </w:rPr>
              <w:t xml:space="preserve"> </w:t>
            </w:r>
            <w:r w:rsidR="000221C7" w:rsidRPr="00386B05">
              <w:rPr>
                <w:rFonts w:ascii="Times New Roman" w:hAnsi="Times New Roman" w:cs="Times New Roman"/>
                <w:color w:val="000000"/>
                <w:sz w:val="24"/>
                <w:szCs w:val="24"/>
              </w:rPr>
              <w:t xml:space="preserve">with </w:t>
            </w:r>
            <w:r w:rsidR="00533177" w:rsidRPr="00386B05">
              <w:rPr>
                <w:rFonts w:ascii="Times New Roman" w:hAnsi="Times New Roman" w:cs="Times New Roman"/>
                <w:color w:val="000000"/>
                <w:sz w:val="24"/>
                <w:szCs w:val="24"/>
              </w:rPr>
              <w:t>the projects’ teams and updated</w:t>
            </w:r>
            <w:r w:rsidR="000221C7" w:rsidRPr="00386B05">
              <w:rPr>
                <w:rFonts w:ascii="Times New Roman" w:hAnsi="Times New Roman" w:cs="Times New Roman"/>
                <w:color w:val="000000"/>
                <w:sz w:val="24"/>
                <w:szCs w:val="24"/>
              </w:rPr>
              <w:t xml:space="preserve"> work plans</w:t>
            </w: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Pr="00386B05" w:rsidRDefault="00802372" w:rsidP="00FE53D0">
            <w:pPr>
              <w:pStyle w:val="BodyText2"/>
              <w:spacing w:line="276" w:lineRule="auto"/>
              <w:rPr>
                <w:rFonts w:ascii="Times New Roman" w:hAnsi="Times New Roman" w:cs="Times New Roman"/>
                <w:color w:val="000000"/>
                <w:sz w:val="24"/>
                <w:szCs w:val="24"/>
              </w:rPr>
            </w:pPr>
            <w:r w:rsidRPr="00802372">
              <w:rPr>
                <w:rFonts w:ascii="Times New Roman" w:hAnsi="Times New Roman" w:cs="Times New Roman"/>
                <w:color w:val="000000"/>
                <w:sz w:val="24"/>
                <w:szCs w:val="24"/>
              </w:rPr>
              <w:t>Reports uploaded to the MPTF website</w:t>
            </w:r>
            <w:r>
              <w:rPr>
                <w:rFonts w:ascii="Times New Roman" w:hAnsi="Times New Roman" w:cs="Times New Roman"/>
                <w:color w:val="000000"/>
                <w:sz w:val="24"/>
                <w:szCs w:val="24"/>
              </w:rPr>
              <w:t xml:space="preserve"> (</w:t>
            </w:r>
            <w:hyperlink r:id="rId14" w:history="1">
              <w:r w:rsidRPr="00C54CA7">
                <w:rPr>
                  <w:rStyle w:val="Hyperlink"/>
                  <w:rFonts w:ascii="Times New Roman" w:hAnsi="Times New Roman" w:cs="Times New Roman"/>
                  <w:sz w:val="24"/>
                  <w:szCs w:val="24"/>
                </w:rPr>
                <w:t>http://mptf.undp.org/factsheet/fund/LRF00</w:t>
              </w:r>
            </w:hyperlink>
            <w:r>
              <w:rPr>
                <w:rFonts w:ascii="Times New Roman" w:hAnsi="Times New Roman" w:cs="Times New Roman"/>
                <w:color w:val="000000"/>
                <w:sz w:val="24"/>
                <w:szCs w:val="24"/>
              </w:rPr>
              <w:t xml:space="preserve"> )</w:t>
            </w:r>
          </w:p>
        </w:tc>
      </w:tr>
      <w:tr w:rsidR="00802372" w:rsidRPr="00386B05" w:rsidTr="00802372">
        <w:tc>
          <w:tcPr>
            <w:tcW w:w="2088" w:type="dxa"/>
            <w:shd w:val="clear" w:color="auto" w:fill="D3DFEE"/>
          </w:tcPr>
          <w:p w:rsidR="00366BF8" w:rsidRDefault="00366BF8" w:rsidP="00A53597">
            <w:pPr>
              <w:spacing w:line="276" w:lineRule="auto"/>
              <w:rPr>
                <w:b/>
                <w:bCs/>
                <w:color w:val="000000"/>
              </w:rPr>
            </w:pPr>
          </w:p>
          <w:p w:rsidR="00366BF8" w:rsidRDefault="00366BF8" w:rsidP="00A53597">
            <w:pPr>
              <w:spacing w:line="276" w:lineRule="auto"/>
              <w:rPr>
                <w:b/>
                <w:bCs/>
                <w:color w:val="000000"/>
              </w:rPr>
            </w:pPr>
          </w:p>
          <w:p w:rsidR="000221C7" w:rsidRPr="00386B05" w:rsidRDefault="000221C7" w:rsidP="00A53597">
            <w:pPr>
              <w:spacing w:line="276" w:lineRule="auto"/>
              <w:rPr>
                <w:b/>
                <w:bCs/>
                <w:color w:val="000000"/>
              </w:rPr>
            </w:pPr>
            <w:r w:rsidRPr="00386B05">
              <w:rPr>
                <w:b/>
                <w:bCs/>
                <w:color w:val="000000"/>
              </w:rPr>
              <w:lastRenderedPageBreak/>
              <w:t>Revisions made in the outstanding projects - such as a no cost time extension, a budget re-evaluation or change in scope - will be effectively assessed and evaluated by the M&amp;E team. This will improve all decision making outcomes and will ensure compliance with the above revisions.</w:t>
            </w:r>
          </w:p>
          <w:p w:rsidR="000221C7" w:rsidRPr="00386B05" w:rsidRDefault="000221C7" w:rsidP="00FE53D0">
            <w:pPr>
              <w:spacing w:line="276" w:lineRule="auto"/>
              <w:ind w:left="720"/>
              <w:rPr>
                <w:b/>
                <w:bCs/>
                <w:color w:val="000000"/>
              </w:rPr>
            </w:pPr>
          </w:p>
        </w:tc>
        <w:tc>
          <w:tcPr>
            <w:tcW w:w="4230" w:type="dxa"/>
            <w:shd w:val="clear" w:color="auto" w:fill="D3DFEE"/>
          </w:tcPr>
          <w:p w:rsidR="000221C7" w:rsidRPr="00386B05" w:rsidRDefault="000221C7" w:rsidP="009D1301">
            <w:pPr>
              <w:pStyle w:val="ListParagraph"/>
              <w:numPr>
                <w:ilvl w:val="0"/>
                <w:numId w:val="13"/>
              </w:numPr>
              <w:spacing w:line="276" w:lineRule="auto"/>
              <w:contextualSpacing w:val="0"/>
              <w:jc w:val="both"/>
              <w:rPr>
                <w:color w:val="000000"/>
              </w:rPr>
            </w:pPr>
            <w:r w:rsidRPr="00386B05">
              <w:rPr>
                <w:color w:val="000000"/>
              </w:rPr>
              <w:lastRenderedPageBreak/>
              <w:t>Periodic site visits to assess the progress achieved.</w:t>
            </w:r>
          </w:p>
          <w:p w:rsidR="00533177" w:rsidRPr="00386B05" w:rsidRDefault="00533177" w:rsidP="00FE53D0">
            <w:pPr>
              <w:pStyle w:val="ListParagraph"/>
              <w:spacing w:line="276" w:lineRule="auto"/>
              <w:contextualSpacing w:val="0"/>
              <w:jc w:val="both"/>
              <w:rPr>
                <w:color w:val="000000"/>
              </w:rPr>
            </w:pPr>
          </w:p>
          <w:p w:rsidR="000221C7" w:rsidRDefault="000221C7" w:rsidP="009D1301">
            <w:pPr>
              <w:pStyle w:val="ListParagraph"/>
              <w:numPr>
                <w:ilvl w:val="0"/>
                <w:numId w:val="13"/>
              </w:numPr>
              <w:spacing w:line="276" w:lineRule="auto"/>
              <w:contextualSpacing w:val="0"/>
              <w:jc w:val="both"/>
              <w:rPr>
                <w:color w:val="000000"/>
              </w:rPr>
            </w:pPr>
            <w:r w:rsidRPr="00386B05">
              <w:rPr>
                <w:color w:val="000000"/>
              </w:rPr>
              <w:lastRenderedPageBreak/>
              <w:t xml:space="preserve">Periodic updates to the LRF PAG and SC on the progress achieved and the obstacles faced. </w:t>
            </w:r>
          </w:p>
          <w:p w:rsidR="006605B3" w:rsidRPr="00386B05" w:rsidRDefault="006605B3" w:rsidP="00FE53D0">
            <w:pPr>
              <w:pStyle w:val="ListParagraph"/>
              <w:spacing w:line="276" w:lineRule="auto"/>
              <w:contextualSpacing w:val="0"/>
              <w:jc w:val="both"/>
              <w:rPr>
                <w:color w:val="000000"/>
              </w:rPr>
            </w:pPr>
          </w:p>
          <w:p w:rsidR="00802372" w:rsidRDefault="00802372" w:rsidP="00802372">
            <w:pPr>
              <w:pStyle w:val="ListParagraph"/>
              <w:spacing w:line="276" w:lineRule="auto"/>
              <w:rPr>
                <w:color w:val="000000"/>
              </w:rPr>
            </w:pPr>
          </w:p>
          <w:p w:rsidR="006605B3" w:rsidRPr="00386B05" w:rsidRDefault="006605B3" w:rsidP="00FE53D0">
            <w:pPr>
              <w:pStyle w:val="ListParagraph"/>
              <w:spacing w:line="276" w:lineRule="auto"/>
              <w:contextualSpacing w:val="0"/>
              <w:rPr>
                <w:color w:val="000000"/>
              </w:rPr>
            </w:pPr>
          </w:p>
          <w:p w:rsidR="006605B3" w:rsidRPr="00386B05" w:rsidRDefault="006605B3" w:rsidP="00FE53D0">
            <w:pPr>
              <w:pStyle w:val="ListParagraph"/>
              <w:spacing w:line="276" w:lineRule="auto"/>
              <w:contextualSpacing w:val="0"/>
              <w:jc w:val="both"/>
              <w:rPr>
                <w:color w:val="000000"/>
              </w:rPr>
            </w:pPr>
          </w:p>
          <w:p w:rsidR="000221C7" w:rsidRPr="0041387B" w:rsidRDefault="000221C7" w:rsidP="0041387B">
            <w:pPr>
              <w:spacing w:line="276" w:lineRule="auto"/>
              <w:jc w:val="both"/>
              <w:rPr>
                <w:color w:val="000000"/>
              </w:rPr>
            </w:pPr>
          </w:p>
        </w:tc>
        <w:tc>
          <w:tcPr>
            <w:tcW w:w="4680" w:type="dxa"/>
            <w:shd w:val="clear" w:color="auto" w:fill="auto"/>
          </w:tcPr>
          <w:p w:rsidR="00533177" w:rsidRPr="00386B05" w:rsidRDefault="00124BF2" w:rsidP="00FE53D0">
            <w:pPr>
              <w:pStyle w:val="BodyText2"/>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000221C7" w:rsidRPr="00386B05">
              <w:rPr>
                <w:rFonts w:ascii="Times New Roman" w:hAnsi="Times New Roman" w:cs="Times New Roman"/>
                <w:color w:val="000000"/>
                <w:sz w:val="24"/>
                <w:szCs w:val="24"/>
              </w:rPr>
              <w:t>ebriefing meetings</w:t>
            </w:r>
          </w:p>
          <w:p w:rsidR="00222183" w:rsidRPr="00386B05" w:rsidRDefault="00222183"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FE53D0">
            <w:pPr>
              <w:pStyle w:val="BodyText2"/>
              <w:spacing w:line="276" w:lineRule="auto"/>
              <w:rPr>
                <w:rFonts w:ascii="Times New Roman" w:hAnsi="Times New Roman" w:cs="Times New Roman"/>
                <w:color w:val="000000"/>
                <w:sz w:val="24"/>
                <w:szCs w:val="24"/>
              </w:rPr>
            </w:pPr>
            <w:r w:rsidRPr="00386B05">
              <w:rPr>
                <w:rFonts w:ascii="Times New Roman" w:hAnsi="Times New Roman" w:cs="Times New Roman"/>
                <w:color w:val="000000"/>
                <w:sz w:val="24"/>
                <w:szCs w:val="24"/>
              </w:rPr>
              <w:t>PAG and SC minutes of meeting</w:t>
            </w:r>
          </w:p>
          <w:p w:rsidR="000221C7" w:rsidRPr="00386B05" w:rsidRDefault="000221C7"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6605B3" w:rsidRDefault="006605B3" w:rsidP="00FE53D0">
            <w:pPr>
              <w:pStyle w:val="BodyText2"/>
              <w:spacing w:line="276" w:lineRule="auto"/>
              <w:rPr>
                <w:rFonts w:ascii="Times New Roman" w:hAnsi="Times New Roman" w:cs="Times New Roman"/>
                <w:color w:val="000000"/>
                <w:sz w:val="24"/>
                <w:szCs w:val="24"/>
              </w:rPr>
            </w:pPr>
          </w:p>
          <w:p w:rsidR="009329A4" w:rsidRDefault="009329A4" w:rsidP="00802372">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802372" w:rsidRDefault="00802372"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9329A4" w:rsidRDefault="009329A4" w:rsidP="00FE53D0">
            <w:pPr>
              <w:pStyle w:val="BodyText2"/>
              <w:spacing w:line="276" w:lineRule="auto"/>
              <w:rPr>
                <w:rFonts w:ascii="Times New Roman" w:hAnsi="Times New Roman" w:cs="Times New Roman"/>
                <w:color w:val="000000"/>
                <w:sz w:val="24"/>
                <w:szCs w:val="24"/>
              </w:rPr>
            </w:pPr>
          </w:p>
          <w:p w:rsidR="000221C7" w:rsidRPr="00386B05" w:rsidRDefault="000221C7" w:rsidP="0041387B">
            <w:pPr>
              <w:pStyle w:val="BodyText2"/>
              <w:spacing w:line="276" w:lineRule="auto"/>
              <w:rPr>
                <w:rFonts w:ascii="Times New Roman" w:hAnsi="Times New Roman" w:cs="Times New Roman"/>
                <w:color w:val="000000"/>
                <w:sz w:val="24"/>
                <w:szCs w:val="24"/>
              </w:rPr>
            </w:pPr>
          </w:p>
        </w:tc>
      </w:tr>
    </w:tbl>
    <w:p w:rsidR="00AC7FD3" w:rsidRPr="00386B05" w:rsidRDefault="00AC7FD3" w:rsidP="00CA38FE">
      <w:pPr>
        <w:pStyle w:val="BodyText"/>
        <w:tabs>
          <w:tab w:val="left" w:pos="360"/>
        </w:tabs>
        <w:ind w:left="720"/>
        <w:jc w:val="both"/>
        <w:rPr>
          <w:rFonts w:ascii="Times New Roman" w:hAnsi="Times New Roman" w:cs="Times New Roman"/>
          <w:sz w:val="24"/>
        </w:rPr>
      </w:pPr>
    </w:p>
    <w:p w:rsidR="00AC7FD3" w:rsidRPr="00386B05" w:rsidRDefault="00AC7FD3" w:rsidP="0036774E">
      <w:pPr>
        <w:pStyle w:val="BodyText"/>
        <w:jc w:val="both"/>
        <w:rPr>
          <w:rFonts w:ascii="Times New Roman" w:hAnsi="Times New Roman" w:cs="Times New Roman"/>
          <w:sz w:val="24"/>
        </w:rPr>
      </w:pPr>
    </w:p>
    <w:p w:rsidR="00145519" w:rsidRDefault="00145519">
      <w:pPr>
        <w:rPr>
          <w:szCs w:val="20"/>
        </w:rPr>
      </w:pPr>
      <w:r>
        <w:br w:type="page"/>
      </w:r>
    </w:p>
    <w:p w:rsidR="00145519" w:rsidRDefault="00145519" w:rsidP="00145519">
      <w:pPr>
        <w:spacing w:line="276" w:lineRule="auto"/>
        <w:ind w:left="720"/>
        <w:contextualSpacing/>
        <w:rPr>
          <w:b/>
          <w:bCs/>
          <w:color w:val="000000"/>
          <w:u w:val="single"/>
        </w:rPr>
      </w:pPr>
      <w:r w:rsidRPr="00386B05">
        <w:rPr>
          <w:b/>
          <w:bCs/>
          <w:color w:val="000000"/>
          <w:u w:val="single"/>
        </w:rPr>
        <w:lastRenderedPageBreak/>
        <w:t>Constraints:</w:t>
      </w:r>
    </w:p>
    <w:p w:rsidR="00145519" w:rsidRPr="00386B05" w:rsidRDefault="00145519" w:rsidP="00145519">
      <w:pPr>
        <w:spacing w:line="276" w:lineRule="auto"/>
        <w:ind w:left="720"/>
        <w:contextualSpacing/>
        <w:rPr>
          <w:b/>
          <w:bCs/>
          <w:color w:val="000000"/>
          <w:u w:val="single"/>
        </w:rPr>
      </w:pPr>
    </w:p>
    <w:p w:rsidR="00145519" w:rsidRPr="00386B05" w:rsidRDefault="00145519" w:rsidP="00145519">
      <w:pPr>
        <w:numPr>
          <w:ilvl w:val="0"/>
          <w:numId w:val="14"/>
        </w:numPr>
        <w:spacing w:line="276" w:lineRule="auto"/>
        <w:ind w:left="1440"/>
        <w:contextualSpacing/>
        <w:rPr>
          <w:color w:val="000000"/>
        </w:rPr>
      </w:pPr>
      <w:r>
        <w:rPr>
          <w:color w:val="000000"/>
        </w:rPr>
        <w:t>Administrative</w:t>
      </w:r>
      <w:r w:rsidRPr="00386B05">
        <w:rPr>
          <w:color w:val="000000"/>
        </w:rPr>
        <w:t xml:space="preserve"> procedures in the Ministries </w:t>
      </w:r>
      <w:r>
        <w:rPr>
          <w:color w:val="000000"/>
        </w:rPr>
        <w:t xml:space="preserve">and UN agencies </w:t>
      </w:r>
      <w:r w:rsidRPr="00386B05">
        <w:rPr>
          <w:color w:val="000000"/>
        </w:rPr>
        <w:t>resulted in delaying the approval</w:t>
      </w:r>
      <w:r>
        <w:rPr>
          <w:color w:val="000000"/>
        </w:rPr>
        <w:t xml:space="preserve"> and processing </w:t>
      </w:r>
      <w:r w:rsidRPr="00386B05">
        <w:rPr>
          <w:color w:val="000000"/>
        </w:rPr>
        <w:t xml:space="preserve">of </w:t>
      </w:r>
      <w:r>
        <w:rPr>
          <w:color w:val="000000"/>
        </w:rPr>
        <w:t>extension and transfer requests</w:t>
      </w:r>
      <w:r w:rsidRPr="00386B05">
        <w:rPr>
          <w:color w:val="000000"/>
        </w:rPr>
        <w:t>.</w:t>
      </w:r>
    </w:p>
    <w:p w:rsidR="00145519" w:rsidRPr="00386B05" w:rsidRDefault="00145519" w:rsidP="00145519">
      <w:pPr>
        <w:spacing w:line="276" w:lineRule="auto"/>
        <w:ind w:left="1440"/>
        <w:contextualSpacing/>
        <w:rPr>
          <w:color w:val="000000"/>
        </w:rPr>
      </w:pPr>
    </w:p>
    <w:p w:rsidR="00145519" w:rsidRPr="00386B05" w:rsidRDefault="00145519" w:rsidP="00145519">
      <w:pPr>
        <w:spacing w:line="276" w:lineRule="auto"/>
        <w:ind w:left="720"/>
        <w:contextualSpacing/>
        <w:rPr>
          <w:b/>
          <w:bCs/>
          <w:color w:val="000000"/>
          <w:u w:val="single"/>
        </w:rPr>
      </w:pPr>
    </w:p>
    <w:p w:rsidR="00145519" w:rsidRDefault="00145519" w:rsidP="00145519">
      <w:pPr>
        <w:spacing w:line="276" w:lineRule="auto"/>
        <w:ind w:left="720"/>
        <w:contextualSpacing/>
        <w:rPr>
          <w:b/>
          <w:bCs/>
          <w:color w:val="000000"/>
          <w:u w:val="single"/>
        </w:rPr>
      </w:pPr>
      <w:r w:rsidRPr="00386B05">
        <w:rPr>
          <w:b/>
          <w:bCs/>
          <w:color w:val="000000"/>
          <w:u w:val="single"/>
        </w:rPr>
        <w:t>Lessons Learned:</w:t>
      </w:r>
    </w:p>
    <w:p w:rsidR="00145519" w:rsidRPr="00386B05" w:rsidRDefault="00145519" w:rsidP="00145519">
      <w:pPr>
        <w:spacing w:line="276" w:lineRule="auto"/>
        <w:ind w:left="720"/>
        <w:contextualSpacing/>
        <w:rPr>
          <w:b/>
          <w:bCs/>
          <w:color w:val="000000"/>
          <w:u w:val="single"/>
        </w:rPr>
      </w:pP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To improve the quality of the LRF progress reports, the M&amp;E Unit is conducting individual meetings with the project/program managers to clarify the required info to be included in the progress reports in addition to the focus on the coordination terms between the implementing UN Agencies and the M&amp;E Unit vis-à-vis the visibility of the LRF .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Monthly reports were requested from the implementing UN Agencies to assess the progress made vis-à-vis the set work plans for projects receiving no-cost time extensions.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Participation in the LRF projects’ major events. </w:t>
      </w:r>
    </w:p>
    <w:p w:rsidR="00145519" w:rsidRPr="00386B05" w:rsidRDefault="00145519" w:rsidP="00145519">
      <w:pPr>
        <w:numPr>
          <w:ilvl w:val="0"/>
          <w:numId w:val="15"/>
        </w:numPr>
        <w:spacing w:line="276" w:lineRule="auto"/>
        <w:ind w:left="1440"/>
        <w:contextualSpacing/>
        <w:rPr>
          <w:color w:val="000000"/>
        </w:rPr>
      </w:pPr>
      <w:r w:rsidRPr="00386B05">
        <w:rPr>
          <w:color w:val="000000"/>
        </w:rPr>
        <w:t xml:space="preserve">Close follow-up with the designated focal points of the MPTF, PAG and SC. </w:t>
      </w:r>
    </w:p>
    <w:p w:rsidR="00145519" w:rsidRPr="00386B05" w:rsidRDefault="00145519" w:rsidP="00145519">
      <w:pPr>
        <w:numPr>
          <w:ilvl w:val="0"/>
          <w:numId w:val="15"/>
        </w:numPr>
        <w:spacing w:line="276" w:lineRule="auto"/>
        <w:ind w:left="1440"/>
        <w:contextualSpacing/>
        <w:rPr>
          <w:color w:val="000000"/>
        </w:rPr>
      </w:pPr>
      <w:bookmarkStart w:id="11" w:name="_GoBack"/>
      <w:r w:rsidRPr="00386B05">
        <w:rPr>
          <w:color w:val="000000"/>
        </w:rPr>
        <w:t xml:space="preserve">Meetings with the projects’ teams to assess the progress achieved and consider alternative work plans in light of the developing security situation in </w:t>
      </w:r>
      <w:r>
        <w:rPr>
          <w:color w:val="000000"/>
        </w:rPr>
        <w:t>the country</w:t>
      </w:r>
      <w:r w:rsidRPr="00386B05">
        <w:rPr>
          <w:color w:val="000000"/>
        </w:rPr>
        <w:t xml:space="preserve">. </w:t>
      </w:r>
    </w:p>
    <w:bookmarkEnd w:id="11"/>
    <w:p w:rsidR="00C41F9C" w:rsidRPr="00386B05" w:rsidRDefault="00C41F9C" w:rsidP="00FA51FC">
      <w:pPr>
        <w:pStyle w:val="BodyText"/>
        <w:ind w:firstLine="360"/>
        <w:rPr>
          <w:rFonts w:ascii="Times New Roman" w:hAnsi="Times New Roman" w:cs="Times New Roman"/>
          <w:sz w:val="24"/>
        </w:rPr>
      </w:pPr>
    </w:p>
    <w:sectPr w:rsidR="00C41F9C" w:rsidRPr="00386B05" w:rsidSect="006F301D">
      <w:footerReference w:type="default" r:id="rId15"/>
      <w:footerReference w:type="first" r:id="rId16"/>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D9" w:rsidRDefault="00854BD9">
      <w:r>
        <w:separator/>
      </w:r>
    </w:p>
  </w:endnote>
  <w:endnote w:type="continuationSeparator" w:id="0">
    <w:p w:rsidR="00854BD9" w:rsidRDefault="0085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sidR="00572560">
      <w:rPr>
        <w:rFonts w:ascii="Arial" w:hAnsi="Arial" w:cs="Arial"/>
        <w:noProof/>
        <w:sz w:val="18"/>
        <w:szCs w:val="18"/>
      </w:rPr>
      <w:t>9</w:t>
    </w:r>
    <w:r w:rsidR="004053AA">
      <w:rPr>
        <w:rFonts w:ascii="Arial" w:hAnsi="Arial" w:cs="Arial"/>
        <w:sz w:val="18"/>
        <w:szCs w:val="18"/>
      </w:rPr>
      <w:fldChar w:fldCharType="end"/>
    </w:r>
    <w:r>
      <w:rPr>
        <w:rFonts w:ascii="Arial" w:hAnsi="Arial" w:cs="Arial"/>
        <w:sz w:val="18"/>
        <w:szCs w:val="18"/>
      </w:rPr>
      <w:t xml:space="preserve"> of </w:t>
    </w:r>
    <w:fldSimple w:instr=" NUMPAGES   \* MERGEFORMAT ">
      <w:r w:rsidR="00572560" w:rsidRPr="00572560">
        <w:rPr>
          <w:rFonts w:ascii="Arial" w:hAnsi="Arial" w:cs="Arial"/>
          <w:noProof/>
          <w:sz w:val="18"/>
          <w:szCs w:val="18"/>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4053AA">
      <w:rPr>
        <w:rFonts w:ascii="Arial" w:hAnsi="Arial" w:cs="Arial"/>
        <w:sz w:val="18"/>
        <w:szCs w:val="18"/>
      </w:rPr>
      <w:fldChar w:fldCharType="begin"/>
    </w:r>
    <w:r>
      <w:rPr>
        <w:rFonts w:ascii="Arial" w:hAnsi="Arial" w:cs="Arial"/>
        <w:sz w:val="18"/>
        <w:szCs w:val="18"/>
      </w:rPr>
      <w:instrText xml:space="preserve"> PAGE   \* MERGEFORMAT </w:instrText>
    </w:r>
    <w:r w:rsidR="004053AA">
      <w:rPr>
        <w:rFonts w:ascii="Arial" w:hAnsi="Arial" w:cs="Arial"/>
        <w:sz w:val="18"/>
        <w:szCs w:val="18"/>
      </w:rPr>
      <w:fldChar w:fldCharType="separate"/>
    </w:r>
    <w:r>
      <w:rPr>
        <w:rFonts w:ascii="Arial" w:hAnsi="Arial" w:cs="Arial"/>
        <w:noProof/>
        <w:sz w:val="18"/>
        <w:szCs w:val="18"/>
      </w:rPr>
      <w:t>5</w:t>
    </w:r>
    <w:r w:rsidR="004053AA">
      <w:rPr>
        <w:rFonts w:ascii="Arial" w:hAnsi="Arial" w:cs="Arial"/>
        <w:sz w:val="18"/>
        <w:szCs w:val="18"/>
      </w:rPr>
      <w:fldChar w:fldCharType="end"/>
    </w:r>
    <w:r>
      <w:rPr>
        <w:rFonts w:ascii="Arial" w:hAnsi="Arial" w:cs="Arial"/>
        <w:sz w:val="18"/>
        <w:szCs w:val="18"/>
      </w:rPr>
      <w:t xml:space="preserve"> of </w:t>
    </w:r>
    <w:fldSimple w:instr=" NUMPAGES   \* MERGEFORMAT ">
      <w:r w:rsidR="00EC53DC" w:rsidRPr="00EC53DC">
        <w:rPr>
          <w:rFonts w:ascii="Arial" w:hAnsi="Arial" w:cs="Arial"/>
          <w:noProof/>
          <w:sz w:val="18"/>
          <w:szCs w:val="18"/>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D9" w:rsidRDefault="00854BD9">
      <w:r>
        <w:separator/>
      </w:r>
    </w:p>
  </w:footnote>
  <w:footnote w:type="continuationSeparator" w:id="0">
    <w:p w:rsidR="00854BD9" w:rsidRDefault="00854BD9">
      <w:r>
        <w:continuationSeparator/>
      </w:r>
    </w:p>
  </w:footnote>
  <w:footnote w:id="1">
    <w:p w:rsidR="00875706" w:rsidRPr="00F83DC8" w:rsidRDefault="00875706"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875706" w:rsidRDefault="00875706" w:rsidP="00875706">
      <w:pPr>
        <w:pStyle w:val="FootnoteText"/>
      </w:pPr>
      <w:r w:rsidRPr="007C14A5">
        <w:rPr>
          <w:rStyle w:val="FootnoteReference"/>
        </w:rPr>
        <w:footnoteRef/>
      </w:r>
      <w:r w:rsidRPr="007C14A5">
        <w:t xml:space="preserve"> Strategic Results, as formulated in the </w:t>
      </w:r>
      <w:r>
        <w:t xml:space="preserve">Strategic UN Planning Framework (e.g. UNDAF) </w:t>
      </w:r>
      <w:r w:rsidRPr="007C14A5">
        <w:t>or project document</w:t>
      </w:r>
      <w:r>
        <w:t xml:space="preserve">; </w:t>
      </w:r>
    </w:p>
  </w:footnote>
  <w:footnote w:id="3">
    <w:p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as  “Project ID” on </w:t>
      </w:r>
      <w:r w:rsidR="00353CD0">
        <w:t xml:space="preserve">the project’s factsheet page </w:t>
      </w:r>
      <w:r>
        <w:t xml:space="preserve">the </w:t>
      </w:r>
      <w:hyperlink r:id="rId1" w:history="1">
        <w:r w:rsidRPr="00F80443">
          <w:rPr>
            <w:rStyle w:val="Hyperlink"/>
          </w:rPr>
          <w:t>MPTF Office GATEWAY</w:t>
        </w:r>
      </w:hyperlink>
    </w:p>
  </w:footnote>
  <w:footnote w:id="4">
    <w:p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rsidR="00875706" w:rsidRDefault="00875706"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w:t>
      </w:r>
      <w:r w:rsidR="00353CD0">
        <w:t>T</w:t>
      </w:r>
      <w:r>
        <w:t xml:space="preserve">he end date is the same as the operational closure date which is when all activities for which a Participating Organization is responsible under an approved MPTF / JP have been completed. </w:t>
      </w:r>
      <w:r w:rsidR="001114B2">
        <w:t>As per the MOU, a</w:t>
      </w:r>
      <w:r>
        <w:t xml:space="preserve">gencies </w:t>
      </w:r>
      <w:r w:rsidR="001114B2">
        <w:t xml:space="preserve">are </w:t>
      </w:r>
      <w:r>
        <w:t xml:space="preserve">to notify the MPTF Office when a programme completes its operational activities.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6pt;height:4.6pt" o:bullet="t">
        <v:imagedata r:id="rId1" o:title="bullet"/>
      </v:shape>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numPicBullet w:numPicBulletId="6">
    <w:pict>
      <v:shape id="_x0000_i1122" type="#_x0000_t75" style="width:3in;height:3in" o:bullet="t"/>
    </w:pict>
  </w:numPicBullet>
  <w:numPicBullet w:numPicBulletId="7">
    <w:pict>
      <v:shape id="_x0000_i1123" type="#_x0000_t75" style="width:3in;height:3in" o:bullet="t"/>
    </w:pict>
  </w:numPicBullet>
  <w:numPicBullet w:numPicBulletId="8">
    <w:pict>
      <v:shape id="_x0000_i1124" type="#_x0000_t75" style="width:3in;height:3in" o:bullet="t"/>
    </w:pict>
  </w:numPicBullet>
  <w:numPicBullet w:numPicBulletId="9">
    <w:pict>
      <v:shape id="_x0000_i1125" type="#_x0000_t75" style="width:3in;height:3in" o:bullet="t"/>
    </w:pict>
  </w:numPicBullet>
  <w:numPicBullet w:numPicBulletId="10">
    <w:pict>
      <v:shape id="_x0000_i1126" type="#_x0000_t75" style="width:3in;height:3in" o:bullet="t"/>
    </w:pict>
  </w:numPicBullet>
  <w:numPicBullet w:numPicBulletId="11">
    <w:pict>
      <v:shape id="_x0000_i1127" type="#_x0000_t75" style="width:3in;height:3in" o:bullet="t"/>
    </w:pict>
  </w:numPicBullet>
  <w:numPicBullet w:numPicBulletId="12">
    <w:pict>
      <v:shape id="_x0000_i1128" type="#_x0000_t75" style="width:3in;height:3in" o:bullet="t"/>
    </w:pict>
  </w:numPicBullet>
  <w:numPicBullet w:numPicBulletId="13">
    <w:pict>
      <v:shape id="_x0000_i1129" type="#_x0000_t75" style="width:3in;height:3in" o:bullet="t"/>
    </w:pict>
  </w:numPicBullet>
  <w:numPicBullet w:numPicBulletId="14">
    <w:pict>
      <v:shape id="_x0000_i1130" type="#_x0000_t75" style="width:3in;height:3in" o:bullet="t"/>
    </w:pict>
  </w:numPicBullet>
  <w:abstractNum w:abstractNumId="0">
    <w:nsid w:val="001128D9"/>
    <w:multiLevelType w:val="hybridMultilevel"/>
    <w:tmpl w:val="966059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nsid w:val="11F45FD2"/>
    <w:multiLevelType w:val="hybridMultilevel"/>
    <w:tmpl w:val="793A3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33868"/>
    <w:multiLevelType w:val="hybridMultilevel"/>
    <w:tmpl w:val="56187224"/>
    <w:lvl w:ilvl="0" w:tplc="04090001">
      <w:start w:val="1"/>
      <w:numFmt w:val="bullet"/>
      <w:lvlText w:val=""/>
      <w:lvlJc w:val="left"/>
      <w:pPr>
        <w:ind w:left="720" w:hanging="360"/>
      </w:pPr>
      <w:rPr>
        <w:rFonts w:ascii="Symbol" w:hAnsi="Symbol" w:hint="default"/>
      </w:rPr>
    </w:lvl>
    <w:lvl w:ilvl="1" w:tplc="6D92EF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B5B02"/>
    <w:multiLevelType w:val="hybridMultilevel"/>
    <w:tmpl w:val="4BA4218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21C5B"/>
    <w:multiLevelType w:val="hybridMultilevel"/>
    <w:tmpl w:val="77962EC6"/>
    <w:lvl w:ilvl="0" w:tplc="499EC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01FFC"/>
    <w:multiLevelType w:val="multilevel"/>
    <w:tmpl w:val="759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92964"/>
    <w:multiLevelType w:val="hybridMultilevel"/>
    <w:tmpl w:val="442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350EC"/>
    <w:multiLevelType w:val="hybridMultilevel"/>
    <w:tmpl w:val="F45CEE3A"/>
    <w:lvl w:ilvl="0" w:tplc="CF9C08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234FF"/>
    <w:multiLevelType w:val="hybridMultilevel"/>
    <w:tmpl w:val="BDA02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34BD4"/>
    <w:multiLevelType w:val="hybridMultilevel"/>
    <w:tmpl w:val="C86A3E72"/>
    <w:lvl w:ilvl="0" w:tplc="0409000F">
      <w:start w:val="1"/>
      <w:numFmt w:val="decimal"/>
      <w:lvlText w:val="%1."/>
      <w:lvlJc w:val="left"/>
      <w:pPr>
        <w:ind w:left="720" w:hanging="360"/>
      </w:pPr>
      <w:rPr>
        <w:rFonts w:hint="default"/>
      </w:rPr>
    </w:lvl>
    <w:lvl w:ilvl="1" w:tplc="0568CA1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1070A"/>
    <w:multiLevelType w:val="multilevel"/>
    <w:tmpl w:val="61B8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A04DD0"/>
    <w:multiLevelType w:val="hybridMultilevel"/>
    <w:tmpl w:val="CA966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355044"/>
    <w:multiLevelType w:val="hybridMultilevel"/>
    <w:tmpl w:val="D5E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044A9"/>
    <w:multiLevelType w:val="hybridMultilevel"/>
    <w:tmpl w:val="4C7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7"/>
  </w:num>
  <w:num w:numId="4">
    <w:abstractNumId w:val="19"/>
  </w:num>
  <w:num w:numId="5">
    <w:abstractNumId w:val="5"/>
  </w:num>
  <w:num w:numId="6">
    <w:abstractNumId w:val="8"/>
  </w:num>
  <w:num w:numId="7">
    <w:abstractNumId w:val="3"/>
  </w:num>
  <w:num w:numId="8">
    <w:abstractNumId w:val="18"/>
  </w:num>
  <w:num w:numId="9">
    <w:abstractNumId w:val="0"/>
  </w:num>
  <w:num w:numId="10">
    <w:abstractNumId w:val="13"/>
  </w:num>
  <w:num w:numId="11">
    <w:abstractNumId w:val="4"/>
  </w:num>
  <w:num w:numId="12">
    <w:abstractNumId w:val="16"/>
  </w:num>
  <w:num w:numId="13">
    <w:abstractNumId w:val="10"/>
  </w:num>
  <w:num w:numId="14">
    <w:abstractNumId w:val="6"/>
  </w:num>
  <w:num w:numId="15">
    <w:abstractNumId w:val="11"/>
  </w:num>
  <w:num w:numId="16">
    <w:abstractNumId w:val="12"/>
  </w:num>
  <w:num w:numId="17">
    <w:abstractNumId w:val="14"/>
  </w:num>
  <w:num w:numId="18">
    <w:abstractNumId w:val="9"/>
  </w:num>
  <w:num w:numId="19">
    <w:abstractNumId w:val="2"/>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C2"/>
    <w:rsid w:val="00003AEB"/>
    <w:rsid w:val="000078BC"/>
    <w:rsid w:val="00007ECE"/>
    <w:rsid w:val="000121B0"/>
    <w:rsid w:val="000134CC"/>
    <w:rsid w:val="00015168"/>
    <w:rsid w:val="00016418"/>
    <w:rsid w:val="000221C7"/>
    <w:rsid w:val="00023183"/>
    <w:rsid w:val="00023835"/>
    <w:rsid w:val="00024F9B"/>
    <w:rsid w:val="000308D4"/>
    <w:rsid w:val="00031DC9"/>
    <w:rsid w:val="00041CB5"/>
    <w:rsid w:val="00043245"/>
    <w:rsid w:val="00050FA9"/>
    <w:rsid w:val="00051AB6"/>
    <w:rsid w:val="00052FF4"/>
    <w:rsid w:val="00064352"/>
    <w:rsid w:val="00066978"/>
    <w:rsid w:val="000803A0"/>
    <w:rsid w:val="00085C04"/>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5D2"/>
    <w:rsid w:val="000D498F"/>
    <w:rsid w:val="000D6D9C"/>
    <w:rsid w:val="000F23F3"/>
    <w:rsid w:val="000F65A4"/>
    <w:rsid w:val="00105897"/>
    <w:rsid w:val="00106A96"/>
    <w:rsid w:val="00107760"/>
    <w:rsid w:val="001114B2"/>
    <w:rsid w:val="0011469D"/>
    <w:rsid w:val="00114C7D"/>
    <w:rsid w:val="0011574D"/>
    <w:rsid w:val="0011699C"/>
    <w:rsid w:val="00122622"/>
    <w:rsid w:val="0012303A"/>
    <w:rsid w:val="00123EC0"/>
    <w:rsid w:val="00124B56"/>
    <w:rsid w:val="00124BF2"/>
    <w:rsid w:val="00124FA6"/>
    <w:rsid w:val="00126292"/>
    <w:rsid w:val="00132552"/>
    <w:rsid w:val="0013530A"/>
    <w:rsid w:val="0013612C"/>
    <w:rsid w:val="00136A69"/>
    <w:rsid w:val="00144ED5"/>
    <w:rsid w:val="0014549D"/>
    <w:rsid w:val="00145519"/>
    <w:rsid w:val="00145891"/>
    <w:rsid w:val="0015472D"/>
    <w:rsid w:val="0015763B"/>
    <w:rsid w:val="001602DF"/>
    <w:rsid w:val="00160579"/>
    <w:rsid w:val="001649DC"/>
    <w:rsid w:val="00165038"/>
    <w:rsid w:val="00170DD0"/>
    <w:rsid w:val="00171470"/>
    <w:rsid w:val="001737DA"/>
    <w:rsid w:val="001767EF"/>
    <w:rsid w:val="001854AB"/>
    <w:rsid w:val="00187F19"/>
    <w:rsid w:val="00193B41"/>
    <w:rsid w:val="001957DC"/>
    <w:rsid w:val="00197C6B"/>
    <w:rsid w:val="001A2C73"/>
    <w:rsid w:val="001A5801"/>
    <w:rsid w:val="001A6C5F"/>
    <w:rsid w:val="001C13AD"/>
    <w:rsid w:val="001C1E68"/>
    <w:rsid w:val="001C209F"/>
    <w:rsid w:val="001D242B"/>
    <w:rsid w:val="001D4CA5"/>
    <w:rsid w:val="001D4F94"/>
    <w:rsid w:val="001D757B"/>
    <w:rsid w:val="001E0681"/>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66C6"/>
    <w:rsid w:val="002179BB"/>
    <w:rsid w:val="00220D29"/>
    <w:rsid w:val="00222183"/>
    <w:rsid w:val="00233E28"/>
    <w:rsid w:val="0023529C"/>
    <w:rsid w:val="00241DAA"/>
    <w:rsid w:val="00243F99"/>
    <w:rsid w:val="002456F9"/>
    <w:rsid w:val="00251130"/>
    <w:rsid w:val="00255B0E"/>
    <w:rsid w:val="0025606E"/>
    <w:rsid w:val="00260F18"/>
    <w:rsid w:val="002637DC"/>
    <w:rsid w:val="0027001F"/>
    <w:rsid w:val="00270043"/>
    <w:rsid w:val="00274F02"/>
    <w:rsid w:val="00275A4A"/>
    <w:rsid w:val="002801C6"/>
    <w:rsid w:val="002805D4"/>
    <w:rsid w:val="00280FB9"/>
    <w:rsid w:val="00284411"/>
    <w:rsid w:val="00285140"/>
    <w:rsid w:val="00287714"/>
    <w:rsid w:val="002A02A4"/>
    <w:rsid w:val="002A3031"/>
    <w:rsid w:val="002A340B"/>
    <w:rsid w:val="002A5950"/>
    <w:rsid w:val="002A6952"/>
    <w:rsid w:val="002A7665"/>
    <w:rsid w:val="002B14C9"/>
    <w:rsid w:val="002B2B6B"/>
    <w:rsid w:val="002C126A"/>
    <w:rsid w:val="002C4A03"/>
    <w:rsid w:val="002C690B"/>
    <w:rsid w:val="002C6E2F"/>
    <w:rsid w:val="002C7713"/>
    <w:rsid w:val="002D5C59"/>
    <w:rsid w:val="002E2270"/>
    <w:rsid w:val="002E41BF"/>
    <w:rsid w:val="002E50CF"/>
    <w:rsid w:val="002E77D1"/>
    <w:rsid w:val="002F1156"/>
    <w:rsid w:val="002F27FB"/>
    <w:rsid w:val="002F3EFE"/>
    <w:rsid w:val="002F5953"/>
    <w:rsid w:val="002F5B85"/>
    <w:rsid w:val="0030509D"/>
    <w:rsid w:val="00310168"/>
    <w:rsid w:val="00310C19"/>
    <w:rsid w:val="00312685"/>
    <w:rsid w:val="00314A5F"/>
    <w:rsid w:val="003164EF"/>
    <w:rsid w:val="00320895"/>
    <w:rsid w:val="00320E3F"/>
    <w:rsid w:val="00330077"/>
    <w:rsid w:val="0033662C"/>
    <w:rsid w:val="003369D5"/>
    <w:rsid w:val="0034386B"/>
    <w:rsid w:val="00346939"/>
    <w:rsid w:val="00346CB7"/>
    <w:rsid w:val="00346FFE"/>
    <w:rsid w:val="00351A14"/>
    <w:rsid w:val="00353CD0"/>
    <w:rsid w:val="00356D08"/>
    <w:rsid w:val="00360255"/>
    <w:rsid w:val="00360431"/>
    <w:rsid w:val="00360501"/>
    <w:rsid w:val="00360945"/>
    <w:rsid w:val="00366BF8"/>
    <w:rsid w:val="0036774E"/>
    <w:rsid w:val="00375FFA"/>
    <w:rsid w:val="003806B4"/>
    <w:rsid w:val="003815EF"/>
    <w:rsid w:val="00382573"/>
    <w:rsid w:val="00386B05"/>
    <w:rsid w:val="003879DF"/>
    <w:rsid w:val="00390F98"/>
    <w:rsid w:val="00396D76"/>
    <w:rsid w:val="003A1AF5"/>
    <w:rsid w:val="003A77A2"/>
    <w:rsid w:val="003B0303"/>
    <w:rsid w:val="003B1DFF"/>
    <w:rsid w:val="003B454A"/>
    <w:rsid w:val="003C1A52"/>
    <w:rsid w:val="003C3941"/>
    <w:rsid w:val="003C3FC0"/>
    <w:rsid w:val="003C4D74"/>
    <w:rsid w:val="003C592F"/>
    <w:rsid w:val="003D13A8"/>
    <w:rsid w:val="003D210A"/>
    <w:rsid w:val="003D2385"/>
    <w:rsid w:val="003D3325"/>
    <w:rsid w:val="003D4331"/>
    <w:rsid w:val="003E51E4"/>
    <w:rsid w:val="003E62C0"/>
    <w:rsid w:val="003F446E"/>
    <w:rsid w:val="003F480D"/>
    <w:rsid w:val="003F5497"/>
    <w:rsid w:val="003F6918"/>
    <w:rsid w:val="003F6ABC"/>
    <w:rsid w:val="004053AA"/>
    <w:rsid w:val="00405A55"/>
    <w:rsid w:val="0041185F"/>
    <w:rsid w:val="0041387B"/>
    <w:rsid w:val="004160BF"/>
    <w:rsid w:val="00417B11"/>
    <w:rsid w:val="00422D8B"/>
    <w:rsid w:val="00423E99"/>
    <w:rsid w:val="00427179"/>
    <w:rsid w:val="00432267"/>
    <w:rsid w:val="00435C09"/>
    <w:rsid w:val="00442C6B"/>
    <w:rsid w:val="00442F4C"/>
    <w:rsid w:val="0044405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3562"/>
    <w:rsid w:val="004863CF"/>
    <w:rsid w:val="00490F0E"/>
    <w:rsid w:val="0049327D"/>
    <w:rsid w:val="004A0A50"/>
    <w:rsid w:val="004A3824"/>
    <w:rsid w:val="004B3940"/>
    <w:rsid w:val="004B5AAB"/>
    <w:rsid w:val="004B7A2F"/>
    <w:rsid w:val="004C62BF"/>
    <w:rsid w:val="004C6C3B"/>
    <w:rsid w:val="004D1571"/>
    <w:rsid w:val="004D52B0"/>
    <w:rsid w:val="004E14C5"/>
    <w:rsid w:val="004E4B51"/>
    <w:rsid w:val="004E7392"/>
    <w:rsid w:val="004F5F38"/>
    <w:rsid w:val="004F6B31"/>
    <w:rsid w:val="004F71AC"/>
    <w:rsid w:val="005014CA"/>
    <w:rsid w:val="00504B3F"/>
    <w:rsid w:val="00510055"/>
    <w:rsid w:val="00510D98"/>
    <w:rsid w:val="00521F30"/>
    <w:rsid w:val="005223E2"/>
    <w:rsid w:val="0052663C"/>
    <w:rsid w:val="005268DC"/>
    <w:rsid w:val="0052760B"/>
    <w:rsid w:val="00532A92"/>
    <w:rsid w:val="00533177"/>
    <w:rsid w:val="0053545E"/>
    <w:rsid w:val="00535571"/>
    <w:rsid w:val="00537107"/>
    <w:rsid w:val="00537CAD"/>
    <w:rsid w:val="00540142"/>
    <w:rsid w:val="00540389"/>
    <w:rsid w:val="005473D7"/>
    <w:rsid w:val="00555A12"/>
    <w:rsid w:val="005578E7"/>
    <w:rsid w:val="00564BBD"/>
    <w:rsid w:val="00572560"/>
    <w:rsid w:val="00573DAD"/>
    <w:rsid w:val="00581F54"/>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A20"/>
    <w:rsid w:val="005D5D53"/>
    <w:rsid w:val="005D746B"/>
    <w:rsid w:val="005E4A29"/>
    <w:rsid w:val="005E4EDD"/>
    <w:rsid w:val="005F0467"/>
    <w:rsid w:val="006002EE"/>
    <w:rsid w:val="00601E0F"/>
    <w:rsid w:val="006020B1"/>
    <w:rsid w:val="006045B8"/>
    <w:rsid w:val="006053F9"/>
    <w:rsid w:val="006117B9"/>
    <w:rsid w:val="00615E8B"/>
    <w:rsid w:val="00617CFC"/>
    <w:rsid w:val="00620475"/>
    <w:rsid w:val="00636936"/>
    <w:rsid w:val="00641437"/>
    <w:rsid w:val="006447B1"/>
    <w:rsid w:val="00645E3A"/>
    <w:rsid w:val="00650E20"/>
    <w:rsid w:val="0065590C"/>
    <w:rsid w:val="00655D27"/>
    <w:rsid w:val="00656759"/>
    <w:rsid w:val="006602F1"/>
    <w:rsid w:val="006605B3"/>
    <w:rsid w:val="006620B7"/>
    <w:rsid w:val="00673516"/>
    <w:rsid w:val="00675934"/>
    <w:rsid w:val="0068496F"/>
    <w:rsid w:val="00685ABC"/>
    <w:rsid w:val="00693899"/>
    <w:rsid w:val="006A1378"/>
    <w:rsid w:val="006A58E8"/>
    <w:rsid w:val="006B42EB"/>
    <w:rsid w:val="006B7288"/>
    <w:rsid w:val="006C5D14"/>
    <w:rsid w:val="006D3D21"/>
    <w:rsid w:val="006E3927"/>
    <w:rsid w:val="006F0970"/>
    <w:rsid w:val="006F1D4C"/>
    <w:rsid w:val="006F301D"/>
    <w:rsid w:val="006F4639"/>
    <w:rsid w:val="006F4E81"/>
    <w:rsid w:val="006F7271"/>
    <w:rsid w:val="006F7F98"/>
    <w:rsid w:val="007029B0"/>
    <w:rsid w:val="0070378C"/>
    <w:rsid w:val="007041E5"/>
    <w:rsid w:val="0070460B"/>
    <w:rsid w:val="0070583F"/>
    <w:rsid w:val="0070645E"/>
    <w:rsid w:val="0071347B"/>
    <w:rsid w:val="0071507D"/>
    <w:rsid w:val="00717598"/>
    <w:rsid w:val="00717C7A"/>
    <w:rsid w:val="00725252"/>
    <w:rsid w:val="00730077"/>
    <w:rsid w:val="00733BB2"/>
    <w:rsid w:val="007416AC"/>
    <w:rsid w:val="00744618"/>
    <w:rsid w:val="00744903"/>
    <w:rsid w:val="00747763"/>
    <w:rsid w:val="007501B3"/>
    <w:rsid w:val="00751E22"/>
    <w:rsid w:val="00756E90"/>
    <w:rsid w:val="00760206"/>
    <w:rsid w:val="007626D9"/>
    <w:rsid w:val="00764769"/>
    <w:rsid w:val="00766AF4"/>
    <w:rsid w:val="00766B02"/>
    <w:rsid w:val="00771F7F"/>
    <w:rsid w:val="007723A7"/>
    <w:rsid w:val="0077310A"/>
    <w:rsid w:val="00782335"/>
    <w:rsid w:val="00792F02"/>
    <w:rsid w:val="007B641A"/>
    <w:rsid w:val="007C14A5"/>
    <w:rsid w:val="007D144D"/>
    <w:rsid w:val="007D37BA"/>
    <w:rsid w:val="007D7136"/>
    <w:rsid w:val="007D76F9"/>
    <w:rsid w:val="007E464F"/>
    <w:rsid w:val="007E4FE2"/>
    <w:rsid w:val="007F1E32"/>
    <w:rsid w:val="007F5010"/>
    <w:rsid w:val="007F62DA"/>
    <w:rsid w:val="00802372"/>
    <w:rsid w:val="0080284B"/>
    <w:rsid w:val="00811DC6"/>
    <w:rsid w:val="00813AC1"/>
    <w:rsid w:val="00814B1B"/>
    <w:rsid w:val="0082670A"/>
    <w:rsid w:val="00826E75"/>
    <w:rsid w:val="00832740"/>
    <w:rsid w:val="0084010D"/>
    <w:rsid w:val="00843477"/>
    <w:rsid w:val="00847324"/>
    <w:rsid w:val="00850A62"/>
    <w:rsid w:val="00852C7C"/>
    <w:rsid w:val="00854BD9"/>
    <w:rsid w:val="008552F1"/>
    <w:rsid w:val="00857CFA"/>
    <w:rsid w:val="00861840"/>
    <w:rsid w:val="00862256"/>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95D"/>
    <w:rsid w:val="008B609E"/>
    <w:rsid w:val="008C1C25"/>
    <w:rsid w:val="008C224A"/>
    <w:rsid w:val="008C3A05"/>
    <w:rsid w:val="008C479C"/>
    <w:rsid w:val="008C493E"/>
    <w:rsid w:val="008C7B0B"/>
    <w:rsid w:val="008D05CD"/>
    <w:rsid w:val="008D4242"/>
    <w:rsid w:val="008D49CD"/>
    <w:rsid w:val="008D685F"/>
    <w:rsid w:val="008D7138"/>
    <w:rsid w:val="008D76B2"/>
    <w:rsid w:val="008E0959"/>
    <w:rsid w:val="008E5B7B"/>
    <w:rsid w:val="008E5BE7"/>
    <w:rsid w:val="008E650C"/>
    <w:rsid w:val="008F12AC"/>
    <w:rsid w:val="008F2AC2"/>
    <w:rsid w:val="008F2BCF"/>
    <w:rsid w:val="00903ED8"/>
    <w:rsid w:val="00906395"/>
    <w:rsid w:val="00910018"/>
    <w:rsid w:val="00916967"/>
    <w:rsid w:val="0092093C"/>
    <w:rsid w:val="00925EE6"/>
    <w:rsid w:val="009261CF"/>
    <w:rsid w:val="009329A4"/>
    <w:rsid w:val="00937093"/>
    <w:rsid w:val="00942A18"/>
    <w:rsid w:val="00953BFD"/>
    <w:rsid w:val="00954112"/>
    <w:rsid w:val="00954264"/>
    <w:rsid w:val="00954AD0"/>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96478"/>
    <w:rsid w:val="009A0A75"/>
    <w:rsid w:val="009B286A"/>
    <w:rsid w:val="009B3EC0"/>
    <w:rsid w:val="009C05C5"/>
    <w:rsid w:val="009C1C57"/>
    <w:rsid w:val="009C2AFF"/>
    <w:rsid w:val="009C5C27"/>
    <w:rsid w:val="009C7423"/>
    <w:rsid w:val="009D0955"/>
    <w:rsid w:val="009D1301"/>
    <w:rsid w:val="009D4FB1"/>
    <w:rsid w:val="009D5D55"/>
    <w:rsid w:val="009E1FDA"/>
    <w:rsid w:val="009E3952"/>
    <w:rsid w:val="009E7B3D"/>
    <w:rsid w:val="009F043F"/>
    <w:rsid w:val="009F3E07"/>
    <w:rsid w:val="009F5AF1"/>
    <w:rsid w:val="009F649C"/>
    <w:rsid w:val="009F7506"/>
    <w:rsid w:val="00A013D7"/>
    <w:rsid w:val="00A026AF"/>
    <w:rsid w:val="00A03233"/>
    <w:rsid w:val="00A06DA5"/>
    <w:rsid w:val="00A17B13"/>
    <w:rsid w:val="00A23616"/>
    <w:rsid w:val="00A24408"/>
    <w:rsid w:val="00A2458B"/>
    <w:rsid w:val="00A2667B"/>
    <w:rsid w:val="00A310A3"/>
    <w:rsid w:val="00A32FDA"/>
    <w:rsid w:val="00A33A02"/>
    <w:rsid w:val="00A359B9"/>
    <w:rsid w:val="00A42164"/>
    <w:rsid w:val="00A46E8F"/>
    <w:rsid w:val="00A53597"/>
    <w:rsid w:val="00A61216"/>
    <w:rsid w:val="00A65EFC"/>
    <w:rsid w:val="00A7197E"/>
    <w:rsid w:val="00A734CD"/>
    <w:rsid w:val="00A81AC4"/>
    <w:rsid w:val="00A81EEB"/>
    <w:rsid w:val="00A81EFE"/>
    <w:rsid w:val="00A82D0D"/>
    <w:rsid w:val="00A90528"/>
    <w:rsid w:val="00A9121A"/>
    <w:rsid w:val="00A91552"/>
    <w:rsid w:val="00A91A74"/>
    <w:rsid w:val="00A93049"/>
    <w:rsid w:val="00A96288"/>
    <w:rsid w:val="00AA4D9C"/>
    <w:rsid w:val="00AA51B2"/>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F6B"/>
    <w:rsid w:val="00AE3237"/>
    <w:rsid w:val="00AE3459"/>
    <w:rsid w:val="00AE4A17"/>
    <w:rsid w:val="00AF6095"/>
    <w:rsid w:val="00AF7B8F"/>
    <w:rsid w:val="00B03D46"/>
    <w:rsid w:val="00B0423A"/>
    <w:rsid w:val="00B11C4C"/>
    <w:rsid w:val="00B21C60"/>
    <w:rsid w:val="00B24CE1"/>
    <w:rsid w:val="00B26E7E"/>
    <w:rsid w:val="00B27172"/>
    <w:rsid w:val="00B30E23"/>
    <w:rsid w:val="00B36B8A"/>
    <w:rsid w:val="00B447C7"/>
    <w:rsid w:val="00B460A1"/>
    <w:rsid w:val="00B50BD2"/>
    <w:rsid w:val="00B516E4"/>
    <w:rsid w:val="00B54645"/>
    <w:rsid w:val="00B54704"/>
    <w:rsid w:val="00B67EEC"/>
    <w:rsid w:val="00B72C73"/>
    <w:rsid w:val="00B72F0B"/>
    <w:rsid w:val="00B734EC"/>
    <w:rsid w:val="00B7777C"/>
    <w:rsid w:val="00B77D38"/>
    <w:rsid w:val="00B84453"/>
    <w:rsid w:val="00B84BA4"/>
    <w:rsid w:val="00B912E2"/>
    <w:rsid w:val="00B97FBF"/>
    <w:rsid w:val="00BA3272"/>
    <w:rsid w:val="00BA3663"/>
    <w:rsid w:val="00BA5995"/>
    <w:rsid w:val="00BB0A3A"/>
    <w:rsid w:val="00BB0C79"/>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044B"/>
    <w:rsid w:val="00C2162B"/>
    <w:rsid w:val="00C21861"/>
    <w:rsid w:val="00C23B8B"/>
    <w:rsid w:val="00C2533A"/>
    <w:rsid w:val="00C26EC4"/>
    <w:rsid w:val="00C27FB4"/>
    <w:rsid w:val="00C30493"/>
    <w:rsid w:val="00C37214"/>
    <w:rsid w:val="00C416C0"/>
    <w:rsid w:val="00C41F9C"/>
    <w:rsid w:val="00C54B7D"/>
    <w:rsid w:val="00C557E8"/>
    <w:rsid w:val="00C5660F"/>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60A"/>
    <w:rsid w:val="00CC6E5F"/>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679"/>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369A"/>
    <w:rsid w:val="00D65885"/>
    <w:rsid w:val="00D658DF"/>
    <w:rsid w:val="00D72043"/>
    <w:rsid w:val="00D72415"/>
    <w:rsid w:val="00D72A60"/>
    <w:rsid w:val="00D7553F"/>
    <w:rsid w:val="00D86A12"/>
    <w:rsid w:val="00D9058B"/>
    <w:rsid w:val="00D92A87"/>
    <w:rsid w:val="00D94E6E"/>
    <w:rsid w:val="00D9756B"/>
    <w:rsid w:val="00DA3DCF"/>
    <w:rsid w:val="00DA6B4A"/>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F4"/>
    <w:rsid w:val="00DE6E89"/>
    <w:rsid w:val="00DF1FC2"/>
    <w:rsid w:val="00DF4C99"/>
    <w:rsid w:val="00E10174"/>
    <w:rsid w:val="00E17AB2"/>
    <w:rsid w:val="00E20C3E"/>
    <w:rsid w:val="00E24DE1"/>
    <w:rsid w:val="00E30984"/>
    <w:rsid w:val="00E30B73"/>
    <w:rsid w:val="00E314D3"/>
    <w:rsid w:val="00E35E16"/>
    <w:rsid w:val="00E364B9"/>
    <w:rsid w:val="00E40EFE"/>
    <w:rsid w:val="00E43310"/>
    <w:rsid w:val="00E52100"/>
    <w:rsid w:val="00E527F5"/>
    <w:rsid w:val="00E571C3"/>
    <w:rsid w:val="00E626BD"/>
    <w:rsid w:val="00E64927"/>
    <w:rsid w:val="00E7048D"/>
    <w:rsid w:val="00E72340"/>
    <w:rsid w:val="00E8097F"/>
    <w:rsid w:val="00EA3B64"/>
    <w:rsid w:val="00EA4366"/>
    <w:rsid w:val="00EA5797"/>
    <w:rsid w:val="00EA795A"/>
    <w:rsid w:val="00EB1471"/>
    <w:rsid w:val="00EB1A36"/>
    <w:rsid w:val="00EB1CEA"/>
    <w:rsid w:val="00EB42D7"/>
    <w:rsid w:val="00EB559E"/>
    <w:rsid w:val="00EB580A"/>
    <w:rsid w:val="00EB5ED0"/>
    <w:rsid w:val="00EC2E93"/>
    <w:rsid w:val="00EC53DC"/>
    <w:rsid w:val="00EC5B8E"/>
    <w:rsid w:val="00EC7307"/>
    <w:rsid w:val="00ED068F"/>
    <w:rsid w:val="00ED7D51"/>
    <w:rsid w:val="00EE031C"/>
    <w:rsid w:val="00EE0977"/>
    <w:rsid w:val="00EE1BD1"/>
    <w:rsid w:val="00EE6C4E"/>
    <w:rsid w:val="00EF024F"/>
    <w:rsid w:val="00EF101E"/>
    <w:rsid w:val="00EF5825"/>
    <w:rsid w:val="00EF6E14"/>
    <w:rsid w:val="00EF7C96"/>
    <w:rsid w:val="00F000D7"/>
    <w:rsid w:val="00F01182"/>
    <w:rsid w:val="00F0199B"/>
    <w:rsid w:val="00F06ED4"/>
    <w:rsid w:val="00F113CF"/>
    <w:rsid w:val="00F1764E"/>
    <w:rsid w:val="00F207F5"/>
    <w:rsid w:val="00F22A76"/>
    <w:rsid w:val="00F24B86"/>
    <w:rsid w:val="00F25119"/>
    <w:rsid w:val="00F26045"/>
    <w:rsid w:val="00F316CE"/>
    <w:rsid w:val="00F33E1A"/>
    <w:rsid w:val="00F41298"/>
    <w:rsid w:val="00F41837"/>
    <w:rsid w:val="00F418E8"/>
    <w:rsid w:val="00F46998"/>
    <w:rsid w:val="00F51A19"/>
    <w:rsid w:val="00F53DD2"/>
    <w:rsid w:val="00F61F6D"/>
    <w:rsid w:val="00F61F8D"/>
    <w:rsid w:val="00F65954"/>
    <w:rsid w:val="00F66338"/>
    <w:rsid w:val="00F66FD0"/>
    <w:rsid w:val="00F67817"/>
    <w:rsid w:val="00F70AB5"/>
    <w:rsid w:val="00F719EA"/>
    <w:rsid w:val="00F751A1"/>
    <w:rsid w:val="00F755E7"/>
    <w:rsid w:val="00F7637C"/>
    <w:rsid w:val="00F77B53"/>
    <w:rsid w:val="00F80140"/>
    <w:rsid w:val="00F80443"/>
    <w:rsid w:val="00F80D48"/>
    <w:rsid w:val="00F81681"/>
    <w:rsid w:val="00F849A9"/>
    <w:rsid w:val="00F87ACD"/>
    <w:rsid w:val="00F93AF2"/>
    <w:rsid w:val="00F9446B"/>
    <w:rsid w:val="00F971C2"/>
    <w:rsid w:val="00FA2EBE"/>
    <w:rsid w:val="00FA51FC"/>
    <w:rsid w:val="00FA6787"/>
    <w:rsid w:val="00FB7ECA"/>
    <w:rsid w:val="00FC2E22"/>
    <w:rsid w:val="00FC36F8"/>
    <w:rsid w:val="00FD032B"/>
    <w:rsid w:val="00FD506B"/>
    <w:rsid w:val="00FD5475"/>
    <w:rsid w:val="00FE0753"/>
    <w:rsid w:val="00FE092C"/>
    <w:rsid w:val="00FE14F2"/>
    <w:rsid w:val="00FE3224"/>
    <w:rsid w:val="00FE53D0"/>
    <w:rsid w:val="00FE7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36DF668E-6708-43B1-BF65-919F36ED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paragraph" w:styleId="Heading3">
    <w:name w:val="heading 3"/>
    <w:basedOn w:val="Normal"/>
    <w:next w:val="Normal"/>
    <w:link w:val="Heading3Char"/>
    <w:uiPriority w:val="9"/>
    <w:semiHidden/>
    <w:unhideWhenUsed/>
    <w:qFormat/>
    <w:rsid w:val="006F7F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ing3Char">
    <w:name w:val="Heading 3 Char"/>
    <w:basedOn w:val="DefaultParagraphFont"/>
    <w:link w:val="Heading3"/>
    <w:uiPriority w:val="9"/>
    <w:semiHidden/>
    <w:rsid w:val="006F7F98"/>
    <w:rPr>
      <w:rFonts w:ascii="Cambria" w:eastAsia="Times New Roman" w:hAnsi="Cambria" w:cs="Times New Roman"/>
      <w:b/>
      <w:bCs/>
      <w:sz w:val="26"/>
      <w:szCs w:val="26"/>
    </w:rPr>
  </w:style>
  <w:style w:type="character" w:customStyle="1" w:styleId="nobr">
    <w:name w:val="nobr"/>
    <w:basedOn w:val="DefaultParagraphFont"/>
    <w:rsid w:val="00C2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856">
      <w:bodyDiv w:val="1"/>
      <w:marLeft w:val="0"/>
      <w:marRight w:val="0"/>
      <w:marTop w:val="0"/>
      <w:marBottom w:val="0"/>
      <w:divBdr>
        <w:top w:val="none" w:sz="0" w:space="0" w:color="auto"/>
        <w:left w:val="none" w:sz="0" w:space="0" w:color="auto"/>
        <w:bottom w:val="none" w:sz="0" w:space="0" w:color="auto"/>
        <w:right w:val="none" w:sz="0" w:space="0" w:color="auto"/>
      </w:divBdr>
    </w:div>
    <w:div w:id="17204067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54834108">
      <w:bodyDiv w:val="1"/>
      <w:marLeft w:val="0"/>
      <w:marRight w:val="0"/>
      <w:marTop w:val="0"/>
      <w:marBottom w:val="0"/>
      <w:divBdr>
        <w:top w:val="none" w:sz="0" w:space="0" w:color="auto"/>
        <w:left w:val="none" w:sz="0" w:space="0" w:color="auto"/>
        <w:bottom w:val="none" w:sz="0" w:space="0" w:color="auto"/>
        <w:right w:val="none" w:sz="0" w:space="0" w:color="auto"/>
      </w:divBdr>
    </w:div>
    <w:div w:id="650016400">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35844864">
      <w:bodyDiv w:val="1"/>
      <w:marLeft w:val="0"/>
      <w:marRight w:val="0"/>
      <w:marTop w:val="0"/>
      <w:marBottom w:val="0"/>
      <w:divBdr>
        <w:top w:val="none" w:sz="0" w:space="0" w:color="auto"/>
        <w:left w:val="none" w:sz="0" w:space="0" w:color="auto"/>
        <w:bottom w:val="none" w:sz="0" w:space="0" w:color="auto"/>
        <w:right w:val="none" w:sz="0" w:space="0" w:color="auto"/>
      </w:divBdr>
    </w:div>
    <w:div w:id="1416244920">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92376362">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dtf.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edeon@economy.gov.l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y.gedeon@one.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ptf.undp.org/factsheet/fund/LRF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2854-01BA-42C0-973E-4D2703B3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10788</CharactersWithSpaces>
  <SharedDoc>false</SharedDoc>
  <HLinks>
    <vt:vector size="42" baseType="variant">
      <vt:variant>
        <vt:i4>5111898</vt:i4>
      </vt:variant>
      <vt:variant>
        <vt:i4>15</vt:i4>
      </vt:variant>
      <vt:variant>
        <vt:i4>0</vt:i4>
      </vt:variant>
      <vt:variant>
        <vt:i4>5</vt:i4>
      </vt:variant>
      <vt:variant>
        <vt:lpwstr>http://www.un.org.lb/</vt:lpwstr>
      </vt:variant>
      <vt:variant>
        <vt:lpwstr/>
      </vt:variant>
      <vt:variant>
        <vt:i4>524369</vt:i4>
      </vt:variant>
      <vt:variant>
        <vt:i4>12</vt:i4>
      </vt:variant>
      <vt:variant>
        <vt:i4>0</vt:i4>
      </vt:variant>
      <vt:variant>
        <vt:i4>5</vt:i4>
      </vt:variant>
      <vt:variant>
        <vt:lpwstr>http://mptf.undp.org/factsheet/fund/LRF00</vt:lpwstr>
      </vt:variant>
      <vt:variant>
        <vt:lpwstr/>
      </vt:variant>
      <vt:variant>
        <vt:i4>655430</vt:i4>
      </vt:variant>
      <vt:variant>
        <vt:i4>9</vt:i4>
      </vt:variant>
      <vt:variant>
        <vt:i4>0</vt:i4>
      </vt:variant>
      <vt:variant>
        <vt:i4>5</vt:i4>
      </vt:variant>
      <vt:variant>
        <vt:lpwstr>http://mdtf.undp.org/</vt:lpwstr>
      </vt:variant>
      <vt:variant>
        <vt:lpwstr/>
      </vt:variant>
      <vt:variant>
        <vt:i4>2031721</vt:i4>
      </vt:variant>
      <vt:variant>
        <vt:i4>6</vt:i4>
      </vt:variant>
      <vt:variant>
        <vt:i4>0</vt:i4>
      </vt:variant>
      <vt:variant>
        <vt:i4>5</vt:i4>
      </vt:variant>
      <vt:variant>
        <vt:lpwstr>mailto:rgedeon@economy.gov.lb</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Rony Gedeon</cp:lastModifiedBy>
  <cp:revision>3</cp:revision>
  <cp:lastPrinted>2012-11-28T14:52:00Z</cp:lastPrinted>
  <dcterms:created xsi:type="dcterms:W3CDTF">2016-04-10T19:05:00Z</dcterms:created>
  <dcterms:modified xsi:type="dcterms:W3CDTF">2016-04-10T19:19:00Z</dcterms:modified>
</cp:coreProperties>
</file>