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32" w:rsidRDefault="00427D32">
      <w:pPr>
        <w:rPr>
          <w:lang w:val="fr-ML"/>
        </w:rPr>
      </w:pPr>
      <w:bookmarkStart w:id="0" w:name="_GoBack"/>
      <w:bookmarkEnd w:id="0"/>
    </w:p>
    <w:p w:rsidR="00126FBF" w:rsidRPr="00FD66E6" w:rsidRDefault="00126FBF" w:rsidP="00126FBF">
      <w:pPr>
        <w:spacing w:after="0" w:line="240" w:lineRule="auto"/>
        <w:jc w:val="center"/>
        <w:rPr>
          <w:rFonts w:ascii="Times New Roman" w:eastAsia="Times New Roman" w:hAnsi="Times New Roman" w:cs="Times New Roman"/>
          <w:i/>
          <w:iCs/>
        </w:rPr>
      </w:pPr>
      <w:r w:rsidRPr="00FD66E6">
        <w:rPr>
          <w:rFonts w:ascii="Arial" w:eastAsia="Times New Roman" w:hAnsi="Arial" w:cs="Arial"/>
          <w:noProof/>
          <w:sz w:val="20"/>
          <w:szCs w:val="20"/>
          <w:lang w:val="en-US"/>
        </w:rPr>
        <w:drawing>
          <wp:inline distT="0" distB="0" distL="0" distR="0">
            <wp:extent cx="1035640" cy="785191"/>
            <wp:effectExtent l="0" t="0" r="0" b="0"/>
            <wp:docPr id="1" name="Picture 1" descr="http://www.pays-monde.fr/drapeau-national/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s-monde.fr/drapeau-national/ma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195" cy="786370"/>
                    </a:xfrm>
                    <a:prstGeom prst="rect">
                      <a:avLst/>
                    </a:prstGeom>
                    <a:noFill/>
                    <a:ln>
                      <a:noFill/>
                    </a:ln>
                  </pic:spPr>
                </pic:pic>
              </a:graphicData>
            </a:graphic>
          </wp:inline>
        </w:drawing>
      </w:r>
    </w:p>
    <w:p w:rsidR="00126FBF" w:rsidRPr="00FD66E6" w:rsidRDefault="00126FBF" w:rsidP="00126FBF">
      <w:pPr>
        <w:spacing w:after="0" w:line="240" w:lineRule="auto"/>
        <w:jc w:val="center"/>
        <w:rPr>
          <w:rFonts w:ascii="Times New Roman" w:eastAsia="Times New Roman" w:hAnsi="Times New Roman" w:cs="Times New Roman"/>
          <w:i/>
          <w:iCs/>
        </w:rPr>
      </w:pPr>
    </w:p>
    <w:p w:rsidR="00126FBF" w:rsidRPr="00FD66E6" w:rsidRDefault="00126FBF" w:rsidP="00126FBF">
      <w:pPr>
        <w:spacing w:after="0" w:line="240" w:lineRule="auto"/>
        <w:rPr>
          <w:rFonts w:eastAsia="Times New Roman" w:cs="Times New Roman"/>
          <w:i/>
          <w:iCs/>
        </w:rPr>
      </w:pPr>
    </w:p>
    <w:p w:rsidR="00126FBF" w:rsidRPr="00FD66E6" w:rsidRDefault="00126FBF" w:rsidP="00126FBF">
      <w:pPr>
        <w:pBdr>
          <w:top w:val="single" w:sz="18" w:space="1" w:color="auto"/>
        </w:pBdr>
        <w:spacing w:after="0" w:line="240" w:lineRule="auto"/>
        <w:ind w:firstLine="708"/>
        <w:jc w:val="center"/>
        <w:rPr>
          <w:rFonts w:eastAsia="Times New Roman" w:cs="Times New Roman"/>
          <w:b/>
          <w:bCs/>
          <w:iCs/>
          <w:sz w:val="32"/>
          <w:szCs w:val="32"/>
        </w:rPr>
      </w:pPr>
      <w:r w:rsidRPr="00FD66E6">
        <w:rPr>
          <w:rFonts w:eastAsia="Times New Roman" w:cs="Calibri"/>
          <w:b/>
          <w:bCs/>
          <w:iCs/>
          <w:sz w:val="32"/>
          <w:szCs w:val="32"/>
        </w:rPr>
        <w:t xml:space="preserve">Fonds </w:t>
      </w:r>
      <w:r>
        <w:rPr>
          <w:rFonts w:eastAsia="Times New Roman" w:cs="Calibri"/>
          <w:b/>
          <w:bCs/>
          <w:iCs/>
          <w:sz w:val="32"/>
          <w:szCs w:val="32"/>
        </w:rPr>
        <w:t>Climat Mali</w:t>
      </w:r>
    </w:p>
    <w:p w:rsidR="00126FBF" w:rsidRPr="005532BB" w:rsidRDefault="00126FBF" w:rsidP="00126FBF">
      <w:pPr>
        <w:keepNext/>
        <w:keepLines/>
        <w:spacing w:before="200" w:after="0"/>
        <w:contextualSpacing/>
        <w:outlineLvl w:val="1"/>
        <w:rPr>
          <w:rFonts w:asciiTheme="majorHAnsi" w:eastAsiaTheme="majorEastAsia" w:hAnsiTheme="majorHAnsi" w:cstheme="majorBidi"/>
          <w:b/>
          <w:bCs/>
          <w:sz w:val="26"/>
          <w:szCs w:val="26"/>
          <w:lang w:eastAsia="fr-FR"/>
        </w:rPr>
      </w:pPr>
    </w:p>
    <w:p w:rsidR="00126FBF" w:rsidRPr="005532BB" w:rsidRDefault="00126FBF" w:rsidP="00126FB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rFonts w:eastAsiaTheme="minorEastAsia"/>
          <w:b/>
          <w:bCs/>
          <w:caps/>
          <w:lang w:eastAsia="fr-FR"/>
        </w:rPr>
      </w:pPr>
    </w:p>
    <w:p w:rsidR="00126FBF" w:rsidRPr="005532BB" w:rsidRDefault="00126FBF" w:rsidP="00126FB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rFonts w:eastAsiaTheme="minorEastAsia"/>
          <w:b/>
          <w:bCs/>
          <w:caps/>
          <w:lang w:eastAsia="fr-FR"/>
        </w:rPr>
      </w:pPr>
      <w:r>
        <w:rPr>
          <w:rFonts w:eastAsiaTheme="minorEastAsia"/>
          <w:b/>
          <w:bCs/>
          <w:caps/>
          <w:lang w:eastAsia="fr-FR"/>
        </w:rPr>
        <w:t>RAPPORT ANNUEL DE PROGRAMME</w:t>
      </w:r>
      <w:r w:rsidRPr="005532BB">
        <w:rPr>
          <w:rFonts w:eastAsiaTheme="minorEastAsia"/>
          <w:b/>
          <w:bCs/>
          <w:caps/>
          <w:vertAlign w:val="superscript"/>
          <w:lang w:eastAsia="fr-FR"/>
        </w:rPr>
        <w:footnoteReference w:id="1"/>
      </w:r>
    </w:p>
    <w:p w:rsidR="00126FBF" w:rsidRPr="005532BB" w:rsidRDefault="00126FBF" w:rsidP="00126FBF">
      <w:pPr>
        <w:contextualSpacing/>
        <w:jc w:val="center"/>
        <w:rPr>
          <w:rFonts w:eastAsiaTheme="minorEastAsia"/>
          <w:lang w:eastAsia="fr-FR"/>
        </w:rPr>
      </w:pPr>
      <w:r w:rsidRPr="005532BB">
        <w:rPr>
          <w:rFonts w:eastAsiaTheme="minorEastAsia"/>
          <w:lang w:eastAsia="fr-FR"/>
        </w:rPr>
        <w:t>1</w:t>
      </w:r>
      <w:r w:rsidRPr="005532BB">
        <w:rPr>
          <w:rFonts w:eastAsiaTheme="minorEastAsia"/>
          <w:vertAlign w:val="superscript"/>
          <w:lang w:eastAsia="fr-FR"/>
        </w:rPr>
        <w:t>er</w:t>
      </w:r>
      <w:r>
        <w:rPr>
          <w:rFonts w:eastAsiaTheme="minorEastAsia"/>
          <w:lang w:eastAsia="fr-FR"/>
        </w:rPr>
        <w:t xml:space="preserve"> JANVIER – 31 DECEMBRE 2016</w:t>
      </w:r>
    </w:p>
    <w:p w:rsidR="00126FBF" w:rsidRPr="005532BB" w:rsidRDefault="00126FBF" w:rsidP="00126FBF">
      <w:pPr>
        <w:contextualSpacing/>
        <w:rPr>
          <w:rFonts w:eastAsiaTheme="minorEastAsia"/>
          <w:lang w:eastAsia="fr-FR"/>
        </w:rPr>
      </w:pPr>
    </w:p>
    <w:tbl>
      <w:tblPr>
        <w:tblW w:w="9388" w:type="dxa"/>
        <w:tblInd w:w="-72" w:type="dxa"/>
        <w:tblLayout w:type="fixed"/>
        <w:tblLook w:val="01E0" w:firstRow="1" w:lastRow="1" w:firstColumn="1" w:lastColumn="1" w:noHBand="0" w:noVBand="0"/>
      </w:tblPr>
      <w:tblGrid>
        <w:gridCol w:w="4532"/>
        <w:gridCol w:w="324"/>
        <w:gridCol w:w="4532"/>
      </w:tblGrid>
      <w:tr w:rsidR="00126FBF" w:rsidRPr="005532BB" w:rsidTr="003A37A2">
        <w:trPr>
          <w:trHeight w:val="202"/>
        </w:trPr>
        <w:tc>
          <w:tcPr>
            <w:tcW w:w="4532" w:type="dxa"/>
            <w:tcBorders>
              <w:top w:val="single" w:sz="4" w:space="0" w:color="auto"/>
              <w:left w:val="single" w:sz="4" w:space="0" w:color="auto"/>
              <w:right w:val="single" w:sz="4" w:space="0" w:color="auto"/>
            </w:tcBorders>
            <w:shd w:val="clear" w:color="auto" w:fill="F3F3F3"/>
            <w:vAlign w:val="center"/>
          </w:tcPr>
          <w:p w:rsidR="00126FBF" w:rsidRPr="005532BB" w:rsidRDefault="00126FBF" w:rsidP="003A37A2">
            <w:pPr>
              <w:contextualSpacing/>
              <w:jc w:val="center"/>
              <w:rPr>
                <w:rFonts w:eastAsiaTheme="minorEastAsia"/>
                <w:lang w:eastAsia="fr-FR"/>
              </w:rPr>
            </w:pPr>
            <w:r w:rsidRPr="005532BB">
              <w:rPr>
                <w:rFonts w:eastAsia="Times New Roman" w:cs="Times New Roman"/>
                <w:b/>
                <w:bCs/>
                <w:snapToGrid w:val="0"/>
                <w:kern w:val="32"/>
                <w:lang w:eastAsia="fr-FR"/>
              </w:rPr>
              <w:t>Titre du Programme &amp; Référence</w:t>
            </w:r>
          </w:p>
        </w:tc>
        <w:tc>
          <w:tcPr>
            <w:tcW w:w="324" w:type="dxa"/>
            <w:vMerge w:val="restart"/>
            <w:tcBorders>
              <w:left w:val="single" w:sz="4" w:space="0" w:color="auto"/>
              <w:right w:val="single" w:sz="4" w:space="0" w:color="auto"/>
            </w:tcBorders>
            <w:vAlign w:val="center"/>
          </w:tcPr>
          <w:p w:rsidR="00126FBF" w:rsidRPr="005532BB" w:rsidRDefault="00126FBF" w:rsidP="003A37A2">
            <w:pPr>
              <w:contextualSpacing/>
              <w:rPr>
                <w:rFonts w:eastAsiaTheme="minorEastAsia"/>
                <w:lang w:eastAsia="fr-FR"/>
              </w:rPr>
            </w:pPr>
          </w:p>
        </w:tc>
        <w:tc>
          <w:tcPr>
            <w:tcW w:w="4532" w:type="dxa"/>
            <w:tcBorders>
              <w:top w:val="single" w:sz="4" w:space="0" w:color="auto"/>
              <w:left w:val="single" w:sz="4" w:space="0" w:color="auto"/>
              <w:right w:val="single" w:sz="4" w:space="0" w:color="auto"/>
            </w:tcBorders>
            <w:shd w:val="clear" w:color="auto" w:fill="F3F3F3"/>
            <w:vAlign w:val="center"/>
          </w:tcPr>
          <w:p w:rsidR="00126FBF" w:rsidRPr="005532BB" w:rsidRDefault="00126FBF" w:rsidP="003A37A2">
            <w:pPr>
              <w:contextualSpacing/>
              <w:jc w:val="center"/>
              <w:rPr>
                <w:rFonts w:eastAsiaTheme="minorEastAsia"/>
                <w:lang w:eastAsia="fr-FR"/>
              </w:rPr>
            </w:pPr>
            <w:r>
              <w:rPr>
                <w:rFonts w:eastAsia="Times New Roman" w:cs="Times New Roman"/>
                <w:b/>
                <w:bCs/>
                <w:snapToGrid w:val="0"/>
                <w:kern w:val="32"/>
                <w:lang w:eastAsia="fr-FR"/>
              </w:rPr>
              <w:t>Localité, Secteur/Thème(s)</w:t>
            </w:r>
          </w:p>
        </w:tc>
      </w:tr>
      <w:tr w:rsidR="00126FBF" w:rsidRPr="005532BB" w:rsidTr="003A37A2">
        <w:trPr>
          <w:trHeight w:val="265"/>
        </w:trPr>
        <w:tc>
          <w:tcPr>
            <w:tcW w:w="4532" w:type="dxa"/>
            <w:vMerge w:val="restart"/>
            <w:tcBorders>
              <w:left w:val="single" w:sz="4" w:space="0" w:color="auto"/>
              <w:right w:val="single" w:sz="4" w:space="0" w:color="auto"/>
            </w:tcBorders>
          </w:tcPr>
          <w:p w:rsidR="00126FBF" w:rsidRPr="005532BB" w:rsidRDefault="00126FBF" w:rsidP="003A37A2">
            <w:pPr>
              <w:contextualSpacing/>
              <w:rPr>
                <w:rFonts w:eastAsiaTheme="minorEastAsia"/>
                <w:lang w:eastAsia="fr-FR"/>
              </w:rPr>
            </w:pPr>
            <w:r w:rsidRPr="005532BB">
              <w:rPr>
                <w:rFonts w:eastAsiaTheme="minorEastAsia"/>
                <w:lang w:eastAsia="fr-FR"/>
              </w:rPr>
              <w:t>Titre du Programme:</w:t>
            </w:r>
            <w:r>
              <w:rPr>
                <w:rFonts w:eastAsiaTheme="minorEastAsia"/>
                <w:lang w:eastAsia="fr-FR"/>
              </w:rPr>
              <w:t xml:space="preserve"> Appui au Secrétariat Technique du Fonds Climat</w:t>
            </w:r>
          </w:p>
          <w:p w:rsidR="00126FBF" w:rsidRPr="005532BB" w:rsidRDefault="00126FBF" w:rsidP="003A37A2">
            <w:pPr>
              <w:contextualSpacing/>
              <w:rPr>
                <w:rFonts w:eastAsiaTheme="minorEastAsia"/>
                <w:lang w:eastAsia="fr-FR"/>
              </w:rPr>
            </w:pPr>
            <w:r>
              <w:rPr>
                <w:rFonts w:eastAsiaTheme="minorEastAsia"/>
                <w:lang w:eastAsia="fr-FR"/>
              </w:rPr>
              <w:t xml:space="preserve">Réf. du Programme </w:t>
            </w:r>
            <w:r w:rsidRPr="005532BB">
              <w:rPr>
                <w:rFonts w:eastAsiaTheme="minorEastAsia"/>
                <w:lang w:eastAsia="fr-FR"/>
              </w:rPr>
              <w:t xml:space="preserve">: </w:t>
            </w:r>
            <w:r>
              <w:rPr>
                <w:rFonts w:eastAsiaTheme="minorEastAsia"/>
                <w:lang w:eastAsia="fr-FR"/>
              </w:rPr>
              <w:t>000900094</w:t>
            </w:r>
          </w:p>
          <w:p w:rsidR="00126FBF" w:rsidRPr="005532BB" w:rsidRDefault="00126FBF" w:rsidP="003A37A2">
            <w:pPr>
              <w:contextualSpacing/>
              <w:rPr>
                <w:rFonts w:eastAsiaTheme="minorEastAsia"/>
                <w:lang w:eastAsia="fr-FR"/>
              </w:rPr>
            </w:pPr>
            <w:r w:rsidRPr="005532BB">
              <w:rPr>
                <w:rFonts w:eastAsiaTheme="minorEastAsia"/>
                <w:lang w:eastAsia="fr-FR"/>
              </w:rPr>
              <w:t>Numéro de référence du Programme/MPTF Office:</w:t>
            </w:r>
            <w:r w:rsidRPr="005532BB">
              <w:rPr>
                <w:rFonts w:eastAsiaTheme="minorEastAsia"/>
                <w:vertAlign w:val="superscript"/>
                <w:lang w:eastAsia="fr-FR"/>
              </w:rPr>
              <w:footnoteReference w:id="2"/>
            </w:r>
          </w:p>
        </w:tc>
        <w:tc>
          <w:tcPr>
            <w:tcW w:w="324" w:type="dxa"/>
            <w:vMerge/>
            <w:tcBorders>
              <w:left w:val="single" w:sz="4" w:space="0" w:color="auto"/>
              <w:right w:val="single" w:sz="4" w:space="0" w:color="auto"/>
            </w:tcBorders>
          </w:tcPr>
          <w:p w:rsidR="00126FBF" w:rsidRPr="005532BB" w:rsidRDefault="00126FBF" w:rsidP="003A37A2">
            <w:pPr>
              <w:contextualSpacing/>
              <w:rPr>
                <w:rFonts w:eastAsiaTheme="minorEastAsia"/>
                <w:lang w:eastAsia="fr-FR"/>
              </w:rPr>
            </w:pPr>
          </w:p>
        </w:tc>
        <w:tc>
          <w:tcPr>
            <w:tcW w:w="4532" w:type="dxa"/>
            <w:tcBorders>
              <w:left w:val="single" w:sz="4" w:space="0" w:color="auto"/>
              <w:bottom w:val="single" w:sz="4" w:space="0" w:color="auto"/>
              <w:right w:val="single" w:sz="4" w:space="0" w:color="auto"/>
            </w:tcBorders>
          </w:tcPr>
          <w:p w:rsidR="00126FBF" w:rsidRDefault="00126FBF" w:rsidP="003A37A2">
            <w:pPr>
              <w:spacing w:after="0" w:line="240" w:lineRule="auto"/>
              <w:jc w:val="both"/>
              <w:rPr>
                <w:rFonts w:ascii="Calibri" w:eastAsia="Calibri" w:hAnsi="Calibri" w:cs="Calibri"/>
                <w:sz w:val="24"/>
              </w:rPr>
            </w:pPr>
            <w:r w:rsidRPr="005532BB">
              <w:rPr>
                <w:rFonts w:eastAsiaTheme="minorEastAsia"/>
                <w:lang w:eastAsia="fr-FR"/>
              </w:rPr>
              <w:t>Localité :</w:t>
            </w:r>
            <w:r>
              <w:rPr>
                <w:rFonts w:eastAsiaTheme="minorEastAsia"/>
                <w:lang w:eastAsia="fr-FR"/>
              </w:rPr>
              <w:t xml:space="preserve"> Bamako</w:t>
            </w:r>
          </w:p>
          <w:p w:rsidR="00126FBF" w:rsidRPr="00965243" w:rsidRDefault="00126FBF" w:rsidP="003A37A2">
            <w:pPr>
              <w:spacing w:after="0" w:line="240" w:lineRule="auto"/>
              <w:jc w:val="both"/>
              <w:rPr>
                <w:rFonts w:ascii="Calibri" w:eastAsia="Calibri" w:hAnsi="Calibri" w:cs="Calibri"/>
                <w:sz w:val="24"/>
              </w:rPr>
            </w:pPr>
          </w:p>
        </w:tc>
      </w:tr>
      <w:tr w:rsidR="00126FBF" w:rsidRPr="005532BB" w:rsidTr="003A37A2">
        <w:trPr>
          <w:trHeight w:val="510"/>
        </w:trPr>
        <w:tc>
          <w:tcPr>
            <w:tcW w:w="4532" w:type="dxa"/>
            <w:vMerge/>
            <w:tcBorders>
              <w:left w:val="single" w:sz="4" w:space="0" w:color="auto"/>
              <w:bottom w:val="single" w:sz="4" w:space="0" w:color="auto"/>
              <w:right w:val="single" w:sz="4" w:space="0" w:color="auto"/>
            </w:tcBorders>
          </w:tcPr>
          <w:p w:rsidR="00126FBF" w:rsidRPr="005532BB" w:rsidRDefault="00126FBF" w:rsidP="003A37A2">
            <w:pPr>
              <w:contextualSpacing/>
              <w:rPr>
                <w:rFonts w:eastAsiaTheme="minorEastAsia"/>
                <w:lang w:eastAsia="fr-FR"/>
              </w:rPr>
            </w:pPr>
          </w:p>
        </w:tc>
        <w:tc>
          <w:tcPr>
            <w:tcW w:w="324" w:type="dxa"/>
            <w:vMerge/>
            <w:tcBorders>
              <w:left w:val="single" w:sz="4" w:space="0" w:color="auto"/>
              <w:right w:val="single" w:sz="4" w:space="0" w:color="auto"/>
            </w:tcBorders>
          </w:tcPr>
          <w:p w:rsidR="00126FBF" w:rsidRPr="005532BB" w:rsidRDefault="00126FBF" w:rsidP="003A37A2">
            <w:pPr>
              <w:contextualSpacing/>
              <w:rPr>
                <w:rFonts w:eastAsiaTheme="minorEastAsia"/>
                <w:lang w:eastAsia="fr-FR"/>
              </w:rPr>
            </w:pPr>
          </w:p>
        </w:tc>
        <w:tc>
          <w:tcPr>
            <w:tcW w:w="4532" w:type="dxa"/>
            <w:tcBorders>
              <w:top w:val="single" w:sz="4" w:space="0" w:color="auto"/>
              <w:left w:val="single" w:sz="4" w:space="0" w:color="auto"/>
              <w:bottom w:val="single" w:sz="4" w:space="0" w:color="auto"/>
              <w:right w:val="single" w:sz="4" w:space="0" w:color="auto"/>
            </w:tcBorders>
          </w:tcPr>
          <w:p w:rsidR="00126FBF" w:rsidRPr="005532BB" w:rsidRDefault="00126FBF" w:rsidP="003A37A2">
            <w:pPr>
              <w:contextualSpacing/>
              <w:rPr>
                <w:rFonts w:eastAsiaTheme="minorEastAsia"/>
                <w:lang w:eastAsia="fr-FR"/>
              </w:rPr>
            </w:pPr>
            <w:r>
              <w:rPr>
                <w:rFonts w:eastAsiaTheme="minorEastAsia"/>
                <w:lang w:eastAsia="fr-FR"/>
              </w:rPr>
              <w:t>Domaine Prioritaire</w:t>
            </w:r>
            <w:r w:rsidRPr="005532BB">
              <w:rPr>
                <w:rFonts w:eastAsiaTheme="minorEastAsia"/>
                <w:lang w:eastAsia="fr-FR"/>
              </w:rPr>
              <w:t> :</w:t>
            </w:r>
            <w:r>
              <w:rPr>
                <w:rFonts w:eastAsiaTheme="minorEastAsia"/>
                <w:lang w:eastAsia="fr-FR"/>
              </w:rPr>
              <w:t xml:space="preserve"> </w:t>
            </w:r>
          </w:p>
        </w:tc>
      </w:tr>
    </w:tbl>
    <w:p w:rsidR="00126FBF" w:rsidRPr="005532BB" w:rsidRDefault="00126FBF" w:rsidP="00126FBF">
      <w:pPr>
        <w:contextualSpacing/>
        <w:jc w:val="center"/>
        <w:rPr>
          <w:rFonts w:eastAsiaTheme="minorEastAsia"/>
          <w:b/>
          <w:bCs/>
          <w:caps/>
          <w:lang w:eastAsia="fr-FR"/>
        </w:rPr>
      </w:pPr>
    </w:p>
    <w:tbl>
      <w:tblPr>
        <w:tblW w:w="9388" w:type="dxa"/>
        <w:tblInd w:w="-72" w:type="dxa"/>
        <w:tblLayout w:type="fixed"/>
        <w:tblLook w:val="01E0" w:firstRow="1" w:lastRow="1" w:firstColumn="1" w:lastColumn="1" w:noHBand="0" w:noVBand="0"/>
      </w:tblPr>
      <w:tblGrid>
        <w:gridCol w:w="4532"/>
        <w:gridCol w:w="324"/>
        <w:gridCol w:w="4532"/>
      </w:tblGrid>
      <w:tr w:rsidR="00126FBF" w:rsidRPr="005532BB" w:rsidTr="003A37A2">
        <w:trPr>
          <w:trHeight w:val="204"/>
        </w:trPr>
        <w:tc>
          <w:tcPr>
            <w:tcW w:w="4532" w:type="dxa"/>
            <w:tcBorders>
              <w:top w:val="single" w:sz="4" w:space="0" w:color="auto"/>
              <w:left w:val="single" w:sz="4" w:space="0" w:color="auto"/>
              <w:right w:val="single" w:sz="4" w:space="0" w:color="auto"/>
            </w:tcBorders>
            <w:shd w:val="clear" w:color="auto" w:fill="F3F3F3"/>
            <w:vAlign w:val="center"/>
          </w:tcPr>
          <w:p w:rsidR="00126FBF" w:rsidRPr="00B57A20" w:rsidRDefault="00126FBF" w:rsidP="003A37A2">
            <w:pPr>
              <w:spacing w:before="60" w:after="60" w:line="240" w:lineRule="auto"/>
              <w:contextualSpacing/>
              <w:jc w:val="center"/>
              <w:rPr>
                <w:rFonts w:eastAsia="Times New Roman" w:cs="Times New Roman"/>
                <w:b/>
                <w:bCs/>
                <w:snapToGrid w:val="0"/>
                <w:kern w:val="32"/>
                <w:lang w:eastAsia="fr-FR"/>
              </w:rPr>
            </w:pPr>
            <w:r w:rsidRPr="00B57A20">
              <w:rPr>
                <w:rFonts w:eastAsia="Times New Roman" w:cs="Times New Roman"/>
                <w:b/>
                <w:bCs/>
                <w:snapToGrid w:val="0"/>
                <w:kern w:val="32"/>
                <w:lang w:eastAsia="fr-FR"/>
              </w:rPr>
              <w:t>Organisations participantes des N.U</w:t>
            </w:r>
          </w:p>
        </w:tc>
        <w:tc>
          <w:tcPr>
            <w:tcW w:w="324" w:type="dxa"/>
            <w:vMerge w:val="restart"/>
            <w:tcBorders>
              <w:left w:val="single" w:sz="4" w:space="0" w:color="auto"/>
              <w:right w:val="single" w:sz="4" w:space="0" w:color="auto"/>
            </w:tcBorders>
            <w:vAlign w:val="center"/>
          </w:tcPr>
          <w:p w:rsidR="00126FBF" w:rsidRPr="005532BB" w:rsidRDefault="00126FBF" w:rsidP="003A37A2">
            <w:pPr>
              <w:contextualSpacing/>
              <w:jc w:val="center"/>
              <w:rPr>
                <w:rFonts w:eastAsiaTheme="minorEastAsia"/>
                <w:lang w:eastAsia="fr-FR"/>
              </w:rPr>
            </w:pPr>
          </w:p>
        </w:tc>
        <w:tc>
          <w:tcPr>
            <w:tcW w:w="4532" w:type="dxa"/>
            <w:tcBorders>
              <w:top w:val="single" w:sz="4" w:space="0" w:color="auto"/>
              <w:left w:val="single" w:sz="4" w:space="0" w:color="auto"/>
              <w:right w:val="single" w:sz="4" w:space="0" w:color="auto"/>
            </w:tcBorders>
            <w:shd w:val="clear" w:color="auto" w:fill="F3F3F3"/>
            <w:vAlign w:val="center"/>
          </w:tcPr>
          <w:p w:rsidR="00126FBF" w:rsidRPr="005532BB" w:rsidRDefault="00126FBF" w:rsidP="003A37A2">
            <w:pPr>
              <w:contextualSpacing/>
              <w:jc w:val="center"/>
              <w:rPr>
                <w:rFonts w:eastAsiaTheme="minorEastAsia"/>
                <w:lang w:eastAsia="fr-FR"/>
              </w:rPr>
            </w:pPr>
            <w:r w:rsidRPr="005532BB">
              <w:rPr>
                <w:rFonts w:eastAsia="Times New Roman" w:cs="Times New Roman"/>
                <w:b/>
                <w:bCs/>
                <w:snapToGrid w:val="0"/>
                <w:kern w:val="32"/>
                <w:lang w:eastAsia="fr-FR"/>
              </w:rPr>
              <w:t>Partenaires de mise en œuvre</w:t>
            </w:r>
          </w:p>
        </w:tc>
      </w:tr>
      <w:tr w:rsidR="00126FBF" w:rsidRPr="005532BB" w:rsidTr="003A37A2">
        <w:trPr>
          <w:trHeight w:val="491"/>
        </w:trPr>
        <w:tc>
          <w:tcPr>
            <w:tcW w:w="4532" w:type="dxa"/>
            <w:tcBorders>
              <w:left w:val="single" w:sz="4" w:space="0" w:color="auto"/>
              <w:bottom w:val="single" w:sz="4" w:space="0" w:color="auto"/>
              <w:right w:val="single" w:sz="4" w:space="0" w:color="auto"/>
            </w:tcBorders>
          </w:tcPr>
          <w:p w:rsidR="00126FBF" w:rsidRPr="00923142" w:rsidRDefault="00126FBF" w:rsidP="003A37A2">
            <w:pPr>
              <w:spacing w:after="0" w:line="240" w:lineRule="auto"/>
              <w:contextualSpacing/>
              <w:rPr>
                <w:rFonts w:eastAsiaTheme="minorEastAsia"/>
                <w:b/>
                <w:lang w:eastAsia="fr-FR"/>
              </w:rPr>
            </w:pPr>
            <w:r w:rsidRPr="00923142">
              <w:rPr>
                <w:rFonts w:eastAsiaTheme="minorEastAsia"/>
                <w:b/>
                <w:lang w:eastAsia="fr-FR"/>
              </w:rPr>
              <w:t>PNUD</w:t>
            </w:r>
          </w:p>
        </w:tc>
        <w:tc>
          <w:tcPr>
            <w:tcW w:w="324" w:type="dxa"/>
            <w:vMerge/>
            <w:tcBorders>
              <w:left w:val="single" w:sz="4" w:space="0" w:color="auto"/>
              <w:right w:val="single" w:sz="4" w:space="0" w:color="auto"/>
            </w:tcBorders>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c>
          <w:tcPr>
            <w:tcW w:w="4532" w:type="dxa"/>
            <w:tcBorders>
              <w:left w:val="single" w:sz="4" w:space="0" w:color="auto"/>
              <w:bottom w:val="single" w:sz="4" w:space="0" w:color="auto"/>
              <w:right w:val="single" w:sz="4" w:space="0" w:color="auto"/>
            </w:tcBorders>
          </w:tcPr>
          <w:p w:rsidR="00126FBF" w:rsidRPr="00923142" w:rsidRDefault="00126FBF" w:rsidP="003A37A2">
            <w:pPr>
              <w:spacing w:before="60" w:after="60" w:line="240" w:lineRule="auto"/>
              <w:contextualSpacing/>
              <w:rPr>
                <w:rFonts w:eastAsia="Times New Roman" w:cs="Times New Roman"/>
                <w:b/>
                <w:bCs/>
                <w:iCs/>
                <w:snapToGrid w:val="0"/>
                <w:color w:val="000000"/>
                <w:lang w:eastAsia="fr-FR"/>
              </w:rPr>
            </w:pPr>
            <w:r w:rsidRPr="00923142">
              <w:rPr>
                <w:rFonts w:eastAsia="Times New Roman" w:cs="Times New Roman"/>
                <w:b/>
                <w:bCs/>
                <w:iCs/>
                <w:snapToGrid w:val="0"/>
                <w:color w:val="000000"/>
                <w:lang w:eastAsia="fr-FR"/>
              </w:rPr>
              <w:t>AEDD</w:t>
            </w:r>
          </w:p>
        </w:tc>
      </w:tr>
    </w:tbl>
    <w:p w:rsidR="00126FBF" w:rsidRPr="005532BB" w:rsidRDefault="00126FBF" w:rsidP="00126FBF">
      <w:pPr>
        <w:contextualSpacing/>
        <w:jc w:val="center"/>
        <w:rPr>
          <w:rFonts w:eastAsiaTheme="minorEastAsia"/>
          <w:b/>
          <w:bCs/>
          <w:caps/>
          <w:lang w:eastAsia="fr-FR"/>
        </w:rPr>
      </w:pP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323"/>
        <w:gridCol w:w="4526"/>
      </w:tblGrid>
      <w:tr w:rsidR="00126FBF" w:rsidRPr="005532BB" w:rsidTr="003A37A2">
        <w:trPr>
          <w:trHeight w:val="450"/>
        </w:trPr>
        <w:tc>
          <w:tcPr>
            <w:tcW w:w="4526" w:type="dxa"/>
            <w:tcBorders>
              <w:top w:val="single" w:sz="4" w:space="0" w:color="auto"/>
              <w:left w:val="single" w:sz="4" w:space="0" w:color="auto"/>
              <w:bottom w:val="nil"/>
              <w:right w:val="single" w:sz="4" w:space="0" w:color="auto"/>
            </w:tcBorders>
            <w:shd w:val="clear" w:color="auto" w:fill="F2F2F2"/>
            <w:vAlign w:val="center"/>
          </w:tcPr>
          <w:p w:rsidR="00126FBF" w:rsidRPr="005532BB" w:rsidRDefault="00126FBF" w:rsidP="003A37A2">
            <w:pPr>
              <w:contextualSpacing/>
              <w:jc w:val="center"/>
              <w:rPr>
                <w:rFonts w:eastAsiaTheme="minorEastAsia"/>
                <w:lang w:eastAsia="fr-FR"/>
              </w:rPr>
            </w:pPr>
            <w:r>
              <w:rPr>
                <w:rFonts w:eastAsia="Times New Roman" w:cs="Times New Roman"/>
                <w:b/>
                <w:bCs/>
                <w:snapToGrid w:val="0"/>
                <w:kern w:val="32"/>
                <w:lang w:val="en-GB" w:eastAsia="fr-FR"/>
              </w:rPr>
              <w:t>Budget</w:t>
            </w:r>
            <w:r w:rsidRPr="005532BB">
              <w:rPr>
                <w:rFonts w:eastAsia="Times New Roman" w:cs="Times New Roman"/>
                <w:b/>
                <w:bCs/>
                <w:snapToGrid w:val="0"/>
                <w:kern w:val="32"/>
                <w:lang w:val="en-GB" w:eastAsia="fr-FR"/>
              </w:rPr>
              <w:t xml:space="preserve"> (US$)</w:t>
            </w:r>
          </w:p>
        </w:tc>
        <w:tc>
          <w:tcPr>
            <w:tcW w:w="323" w:type="dxa"/>
            <w:tcBorders>
              <w:top w:val="nil"/>
              <w:left w:val="single" w:sz="4" w:space="0" w:color="auto"/>
              <w:bottom w:val="nil"/>
              <w:right w:val="single" w:sz="4" w:space="0" w:color="auto"/>
            </w:tcBorders>
            <w:shd w:val="clear" w:color="auto" w:fill="auto"/>
            <w:vAlign w:val="center"/>
          </w:tcPr>
          <w:p w:rsidR="00126FBF" w:rsidRPr="005532BB" w:rsidRDefault="00126FBF" w:rsidP="003A37A2">
            <w:pPr>
              <w:spacing w:before="60" w:after="60" w:line="240" w:lineRule="auto"/>
              <w:contextualSpacing/>
              <w:jc w:val="center"/>
              <w:rPr>
                <w:rFonts w:eastAsia="Times New Roman" w:cs="Times New Roman"/>
                <w:b/>
                <w:bCs/>
                <w:snapToGrid w:val="0"/>
                <w:kern w:val="32"/>
                <w:lang w:eastAsia="fr-FR"/>
              </w:rPr>
            </w:pPr>
          </w:p>
        </w:tc>
        <w:tc>
          <w:tcPr>
            <w:tcW w:w="4526" w:type="dxa"/>
            <w:tcBorders>
              <w:top w:val="single" w:sz="4" w:space="0" w:color="auto"/>
              <w:left w:val="single" w:sz="4" w:space="0" w:color="auto"/>
              <w:bottom w:val="nil"/>
              <w:right w:val="single" w:sz="4" w:space="0" w:color="auto"/>
            </w:tcBorders>
            <w:shd w:val="clear" w:color="auto" w:fill="F2F2F2"/>
            <w:vAlign w:val="center"/>
          </w:tcPr>
          <w:p w:rsidR="00126FBF" w:rsidRPr="005532BB" w:rsidRDefault="00126FBF" w:rsidP="003A37A2">
            <w:pPr>
              <w:contextualSpacing/>
              <w:jc w:val="center"/>
              <w:rPr>
                <w:rFonts w:eastAsiaTheme="minorEastAsia"/>
                <w:lang w:eastAsia="fr-FR"/>
              </w:rPr>
            </w:pPr>
            <w:r>
              <w:rPr>
                <w:rFonts w:eastAsia="Times New Roman" w:cs="Times New Roman"/>
                <w:b/>
                <w:bCs/>
                <w:snapToGrid w:val="0"/>
                <w:kern w:val="32"/>
                <w:lang w:val="en-GB" w:eastAsia="fr-FR"/>
              </w:rPr>
              <w:t>Durée</w:t>
            </w:r>
          </w:p>
        </w:tc>
      </w:tr>
      <w:tr w:rsidR="00126FBF" w:rsidRPr="005532BB" w:rsidTr="003A37A2">
        <w:trPr>
          <w:trHeight w:val="995"/>
        </w:trPr>
        <w:tc>
          <w:tcPr>
            <w:tcW w:w="4526" w:type="dxa"/>
            <w:vMerge w:val="restart"/>
            <w:tcBorders>
              <w:top w:val="nil"/>
              <w:left w:val="single" w:sz="4" w:space="0" w:color="auto"/>
              <w:right w:val="single" w:sz="4" w:space="0" w:color="auto"/>
            </w:tcBorders>
            <w:shd w:val="clear" w:color="auto" w:fill="auto"/>
            <w:vAlign w:val="center"/>
          </w:tcPr>
          <w:p w:rsidR="00126FBF" w:rsidRDefault="00126FBF" w:rsidP="003A37A2">
            <w:pPr>
              <w:contextualSpacing/>
            </w:pPr>
            <w:r w:rsidRPr="005532BB">
              <w:rPr>
                <w:rFonts w:eastAsiaTheme="minorEastAsia"/>
                <w:b/>
                <w:lang w:eastAsia="fr-FR"/>
              </w:rPr>
              <w:t>Cont</w:t>
            </w:r>
            <w:r>
              <w:rPr>
                <w:rFonts w:eastAsiaTheme="minorEastAsia"/>
                <w:b/>
                <w:lang w:eastAsia="fr-FR"/>
              </w:rPr>
              <w:t>r</w:t>
            </w:r>
            <w:r w:rsidRPr="005532BB">
              <w:rPr>
                <w:rFonts w:eastAsiaTheme="minorEastAsia"/>
                <w:b/>
                <w:lang w:eastAsia="fr-FR"/>
              </w:rPr>
              <w:t>ibution du Fonds:</w:t>
            </w:r>
            <w:r>
              <w:rPr>
                <w:rFonts w:eastAsiaTheme="minorEastAsia"/>
                <w:b/>
                <w:lang w:eastAsia="fr-FR"/>
              </w:rPr>
              <w:t xml:space="preserve"> 1</w:t>
            </w:r>
            <w:r w:rsidR="00DD78BC">
              <w:rPr>
                <w:rFonts w:eastAsiaTheme="minorEastAsia"/>
                <w:b/>
                <w:lang w:eastAsia="fr-FR"/>
              </w:rPr>
              <w:t>04 000 USD</w:t>
            </w:r>
          </w:p>
          <w:p w:rsidR="00126FBF" w:rsidRPr="005532BB" w:rsidRDefault="00126FBF" w:rsidP="003A37A2">
            <w:pPr>
              <w:contextualSpacing/>
              <w:rPr>
                <w:rFonts w:eastAsia="Times New Roman" w:cs="Arial"/>
                <w:b/>
                <w:bCs/>
                <w:iCs/>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rsidR="00126FBF" w:rsidRPr="005532BB" w:rsidRDefault="00126FBF" w:rsidP="003A37A2">
            <w:pPr>
              <w:widowControl w:val="0"/>
              <w:spacing w:before="120" w:after="120" w:line="240" w:lineRule="auto"/>
              <w:contextualSpacing/>
              <w:jc w:val="both"/>
              <w:rPr>
                <w:rFonts w:eastAsia="Times New Roman" w:cs="Times New Roman"/>
                <w:snapToGrid w:val="0"/>
                <w:lang w:eastAsia="fr-FR"/>
              </w:rPr>
            </w:pPr>
          </w:p>
        </w:tc>
        <w:tc>
          <w:tcPr>
            <w:tcW w:w="4526" w:type="dxa"/>
            <w:vMerge w:val="restart"/>
            <w:tcBorders>
              <w:top w:val="nil"/>
              <w:left w:val="single" w:sz="4" w:space="0" w:color="auto"/>
              <w:right w:val="single" w:sz="4" w:space="0" w:color="auto"/>
            </w:tcBorders>
            <w:shd w:val="clear" w:color="auto" w:fill="auto"/>
            <w:vAlign w:val="center"/>
          </w:tcPr>
          <w:p w:rsidR="00126FBF" w:rsidRPr="005532BB" w:rsidRDefault="00126FBF" w:rsidP="003A37A2">
            <w:pPr>
              <w:contextualSpacing/>
              <w:rPr>
                <w:rFonts w:eastAsiaTheme="minorEastAsia"/>
                <w:lang w:eastAsia="fr-FR"/>
              </w:rPr>
            </w:pPr>
            <w:r>
              <w:rPr>
                <w:rFonts w:eastAsiaTheme="minorEastAsia"/>
                <w:lang w:eastAsia="fr-FR"/>
              </w:rPr>
              <w:t xml:space="preserve">Durée totale </w:t>
            </w:r>
            <w:r w:rsidRPr="005532BB">
              <w:rPr>
                <w:rFonts w:eastAsiaTheme="minorEastAsia"/>
                <w:lang w:eastAsia="fr-FR"/>
              </w:rPr>
              <w:t xml:space="preserve">: </w:t>
            </w:r>
          </w:p>
          <w:p w:rsidR="00126FBF" w:rsidRPr="005532BB" w:rsidRDefault="00126FBF" w:rsidP="003A37A2">
            <w:pPr>
              <w:widowControl w:val="0"/>
              <w:spacing w:after="0" w:line="240" w:lineRule="auto"/>
              <w:contextualSpacing/>
              <w:jc w:val="both"/>
              <w:rPr>
                <w:rFonts w:eastAsia="Times New Roman" w:cs="Times New Roman"/>
                <w:snapToGrid w:val="0"/>
                <w:lang w:eastAsia="fr-FR"/>
              </w:rPr>
            </w:pPr>
          </w:p>
          <w:p w:rsidR="00126FBF" w:rsidRPr="005532BB" w:rsidRDefault="00126FBF" w:rsidP="003A37A2">
            <w:pPr>
              <w:widowControl w:val="0"/>
              <w:spacing w:after="0" w:line="240" w:lineRule="auto"/>
              <w:contextualSpacing/>
              <w:jc w:val="both"/>
              <w:rPr>
                <w:rFonts w:eastAsia="Times New Roman" w:cs="Times New Roman"/>
                <w:snapToGrid w:val="0"/>
                <w:lang w:eastAsia="fr-FR"/>
              </w:rPr>
            </w:pPr>
            <w:r w:rsidRPr="005532BB">
              <w:rPr>
                <w:rFonts w:eastAsia="Times New Roman" w:cs="Times New Roman"/>
                <w:snapToGrid w:val="0"/>
                <w:lang w:eastAsia="fr-FR"/>
              </w:rPr>
              <w:t>Date de démarrage</w:t>
            </w:r>
            <w:r w:rsidRPr="005532BB">
              <w:rPr>
                <w:rFonts w:eastAsiaTheme="majorEastAsia" w:cs="Times New Roman"/>
                <w:snapToGrid w:val="0"/>
                <w:vertAlign w:val="superscript"/>
                <w:lang w:eastAsia="fr-FR"/>
              </w:rPr>
              <w:footnoteReference w:id="3"/>
            </w:r>
            <w:r w:rsidRPr="005532BB">
              <w:rPr>
                <w:rFonts w:eastAsia="Times New Roman" w:cs="Times New Roman"/>
                <w:snapToGrid w:val="0"/>
                <w:lang w:eastAsia="fr-FR"/>
              </w:rPr>
              <w:t>:</w:t>
            </w:r>
          </w:p>
          <w:p w:rsidR="00126FBF" w:rsidRPr="005532BB" w:rsidRDefault="00126FBF" w:rsidP="003A37A2">
            <w:pPr>
              <w:contextualSpacing/>
              <w:rPr>
                <w:rFonts w:eastAsiaTheme="minorEastAsia"/>
                <w:lang w:eastAsia="fr-FR"/>
              </w:rPr>
            </w:pPr>
            <w:r w:rsidRPr="005532BB">
              <w:rPr>
                <w:rFonts w:eastAsiaTheme="minorEastAsia"/>
                <w:lang w:eastAsia="fr-FR"/>
              </w:rPr>
              <w:t>Date de clôture originale</w:t>
            </w:r>
            <w:r w:rsidRPr="005532BB">
              <w:rPr>
                <w:rFonts w:eastAsiaTheme="minorEastAsia"/>
                <w:bCs/>
                <w:i/>
                <w:iCs/>
                <w:snapToGrid w:val="0"/>
                <w:vertAlign w:val="superscript"/>
                <w:lang w:eastAsia="fr-FR"/>
              </w:rPr>
              <w:footnoteReference w:id="4"/>
            </w:r>
          </w:p>
          <w:p w:rsidR="00126FBF" w:rsidRPr="005532BB" w:rsidRDefault="00126FBF" w:rsidP="003A37A2">
            <w:pPr>
              <w:contextualSpacing/>
              <w:rPr>
                <w:rFonts w:eastAsiaTheme="minorEastAsia"/>
                <w:lang w:eastAsia="fr-FR"/>
              </w:rPr>
            </w:pPr>
          </w:p>
        </w:tc>
      </w:tr>
      <w:tr w:rsidR="00126FBF" w:rsidRPr="005532BB" w:rsidTr="003A37A2">
        <w:trPr>
          <w:trHeight w:val="358"/>
        </w:trPr>
        <w:tc>
          <w:tcPr>
            <w:tcW w:w="4526" w:type="dxa"/>
            <w:vMerge/>
            <w:tcBorders>
              <w:left w:val="single" w:sz="4" w:space="0" w:color="auto"/>
              <w:right w:val="single" w:sz="4" w:space="0" w:color="auto"/>
            </w:tcBorders>
            <w:shd w:val="clear" w:color="auto" w:fill="FFFFFF"/>
            <w:vAlign w:val="center"/>
          </w:tcPr>
          <w:p w:rsidR="00126FBF" w:rsidRPr="005532BB" w:rsidRDefault="00126FBF" w:rsidP="003A37A2">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rsidR="00126FBF" w:rsidRPr="005532BB" w:rsidRDefault="00126FBF" w:rsidP="003A37A2">
            <w:pPr>
              <w:widowControl w:val="0"/>
              <w:spacing w:before="120" w:after="120" w:line="240" w:lineRule="auto"/>
              <w:contextualSpacing/>
              <w:jc w:val="both"/>
              <w:rPr>
                <w:rFonts w:eastAsia="Times New Roman" w:cs="Times New Roman"/>
                <w:snapToGrid w:val="0"/>
                <w:lang w:eastAsia="fr-FR"/>
              </w:rPr>
            </w:pPr>
          </w:p>
        </w:tc>
        <w:tc>
          <w:tcPr>
            <w:tcW w:w="4526" w:type="dxa"/>
            <w:vMerge/>
            <w:tcBorders>
              <w:left w:val="single" w:sz="4" w:space="0" w:color="auto"/>
              <w:right w:val="single" w:sz="4" w:space="0" w:color="auto"/>
            </w:tcBorders>
            <w:shd w:val="clear" w:color="auto" w:fill="auto"/>
            <w:vAlign w:val="center"/>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r>
      <w:tr w:rsidR="00126FBF" w:rsidRPr="005532BB" w:rsidTr="003A37A2">
        <w:trPr>
          <w:trHeight w:val="358"/>
        </w:trPr>
        <w:tc>
          <w:tcPr>
            <w:tcW w:w="4526" w:type="dxa"/>
            <w:vMerge/>
            <w:tcBorders>
              <w:left w:val="single" w:sz="4" w:space="0" w:color="auto"/>
              <w:right w:val="single" w:sz="4" w:space="0" w:color="auto"/>
            </w:tcBorders>
            <w:shd w:val="clear" w:color="auto" w:fill="FFFFFF"/>
            <w:vAlign w:val="center"/>
          </w:tcPr>
          <w:p w:rsidR="00126FBF" w:rsidRPr="005532BB" w:rsidRDefault="00126FBF" w:rsidP="003A37A2">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c>
          <w:tcPr>
            <w:tcW w:w="4526" w:type="dxa"/>
            <w:vMerge/>
            <w:tcBorders>
              <w:left w:val="single" w:sz="4" w:space="0" w:color="auto"/>
              <w:right w:val="single" w:sz="4" w:space="0" w:color="auto"/>
            </w:tcBorders>
            <w:shd w:val="clear" w:color="auto" w:fill="auto"/>
            <w:vAlign w:val="center"/>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r>
      <w:tr w:rsidR="00126FBF" w:rsidRPr="005532BB" w:rsidTr="003A37A2">
        <w:trPr>
          <w:trHeight w:val="358"/>
        </w:trPr>
        <w:tc>
          <w:tcPr>
            <w:tcW w:w="4526" w:type="dxa"/>
            <w:vMerge/>
            <w:tcBorders>
              <w:left w:val="single" w:sz="4" w:space="0" w:color="auto"/>
              <w:right w:val="single" w:sz="4" w:space="0" w:color="auto"/>
            </w:tcBorders>
            <w:shd w:val="clear" w:color="auto" w:fill="FFFFFF"/>
            <w:vAlign w:val="center"/>
          </w:tcPr>
          <w:p w:rsidR="00126FBF" w:rsidRPr="005532BB" w:rsidRDefault="00126FBF" w:rsidP="003A37A2">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c>
          <w:tcPr>
            <w:tcW w:w="4526" w:type="dxa"/>
            <w:vMerge/>
            <w:tcBorders>
              <w:left w:val="single" w:sz="4" w:space="0" w:color="auto"/>
              <w:right w:val="single" w:sz="4" w:space="0" w:color="auto"/>
            </w:tcBorders>
            <w:shd w:val="clear" w:color="auto" w:fill="auto"/>
            <w:vAlign w:val="center"/>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r>
      <w:tr w:rsidR="00126FBF" w:rsidRPr="005532BB" w:rsidTr="003A37A2">
        <w:trPr>
          <w:trHeight w:val="358"/>
        </w:trPr>
        <w:tc>
          <w:tcPr>
            <w:tcW w:w="4526" w:type="dxa"/>
            <w:vMerge/>
            <w:tcBorders>
              <w:left w:val="single" w:sz="4" w:space="0" w:color="auto"/>
              <w:bottom w:val="single" w:sz="4" w:space="0" w:color="auto"/>
              <w:right w:val="single" w:sz="4" w:space="0" w:color="auto"/>
            </w:tcBorders>
            <w:shd w:val="clear" w:color="auto" w:fill="auto"/>
            <w:vAlign w:val="center"/>
          </w:tcPr>
          <w:p w:rsidR="00126FBF" w:rsidRPr="005532BB" w:rsidRDefault="00126FBF" w:rsidP="003A37A2">
            <w:pPr>
              <w:widowControl w:val="0"/>
              <w:spacing w:after="0" w:line="240" w:lineRule="auto"/>
              <w:contextualSpacing/>
              <w:jc w:val="both"/>
              <w:rPr>
                <w:rFonts w:eastAsia="Times New Roman" w:cs="Times New Roman"/>
                <w:snapToGrid w:val="0"/>
                <w:color w:val="000000"/>
                <w:lang w:eastAsia="fr-FR"/>
              </w:rPr>
            </w:pPr>
          </w:p>
        </w:tc>
        <w:tc>
          <w:tcPr>
            <w:tcW w:w="323" w:type="dxa"/>
            <w:tcBorders>
              <w:top w:val="nil"/>
              <w:left w:val="single" w:sz="4" w:space="0" w:color="auto"/>
              <w:bottom w:val="nil"/>
              <w:right w:val="single" w:sz="4" w:space="0" w:color="auto"/>
            </w:tcBorders>
            <w:shd w:val="clear" w:color="auto" w:fill="auto"/>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c>
          <w:tcPr>
            <w:tcW w:w="4526" w:type="dxa"/>
            <w:vMerge/>
            <w:tcBorders>
              <w:left w:val="single" w:sz="4" w:space="0" w:color="auto"/>
              <w:bottom w:val="single" w:sz="4" w:space="0" w:color="auto"/>
              <w:right w:val="single" w:sz="4" w:space="0" w:color="auto"/>
            </w:tcBorders>
            <w:shd w:val="clear" w:color="auto" w:fill="auto"/>
            <w:vAlign w:val="center"/>
          </w:tcPr>
          <w:p w:rsidR="00126FBF" w:rsidRPr="005532BB" w:rsidRDefault="00126FBF" w:rsidP="003A37A2">
            <w:pPr>
              <w:widowControl w:val="0"/>
              <w:spacing w:after="0" w:line="240" w:lineRule="auto"/>
              <w:contextualSpacing/>
              <w:jc w:val="both"/>
              <w:rPr>
                <w:rFonts w:eastAsia="Times New Roman" w:cs="Times New Roman"/>
                <w:snapToGrid w:val="0"/>
                <w:lang w:eastAsia="fr-FR"/>
              </w:rPr>
            </w:pPr>
          </w:p>
        </w:tc>
      </w:tr>
    </w:tbl>
    <w:p w:rsidR="00126FBF" w:rsidRDefault="00126FBF" w:rsidP="00126FBF">
      <w:pPr>
        <w:contextualSpacing/>
        <w:jc w:val="center"/>
        <w:rPr>
          <w:rFonts w:eastAsiaTheme="minorEastAsia"/>
          <w:b/>
          <w:bCs/>
          <w:caps/>
          <w:lang w:eastAsia="fr-FR"/>
        </w:rPr>
      </w:pPr>
    </w:p>
    <w:p w:rsidR="00126FBF" w:rsidRDefault="00126FBF" w:rsidP="00126FBF">
      <w:pPr>
        <w:contextualSpacing/>
        <w:jc w:val="center"/>
        <w:rPr>
          <w:rFonts w:eastAsiaTheme="minorEastAsia"/>
          <w:b/>
          <w:bCs/>
          <w:caps/>
          <w:lang w:eastAsia="fr-FR"/>
        </w:rPr>
      </w:pPr>
    </w:p>
    <w:p w:rsidR="00126FBF" w:rsidRDefault="00126FBF" w:rsidP="00126FBF">
      <w:pPr>
        <w:contextualSpacing/>
        <w:jc w:val="center"/>
        <w:rPr>
          <w:rFonts w:eastAsiaTheme="minorEastAsia"/>
          <w:b/>
          <w:bCs/>
          <w:caps/>
          <w:lang w:eastAsia="fr-FR"/>
        </w:rPr>
      </w:pPr>
    </w:p>
    <w:p w:rsidR="00126FBF" w:rsidRDefault="00126FBF" w:rsidP="00126FBF">
      <w:pPr>
        <w:contextualSpacing/>
        <w:jc w:val="center"/>
        <w:rPr>
          <w:rFonts w:eastAsiaTheme="minorEastAsia"/>
          <w:b/>
          <w:bCs/>
          <w:caps/>
          <w:lang w:eastAsia="fr-FR"/>
        </w:rPr>
      </w:pPr>
    </w:p>
    <w:p w:rsidR="00126FBF" w:rsidRDefault="00126FBF" w:rsidP="00126FBF">
      <w:pPr>
        <w:contextualSpacing/>
        <w:jc w:val="center"/>
        <w:rPr>
          <w:rFonts w:eastAsiaTheme="minorEastAsia"/>
          <w:b/>
          <w:bCs/>
          <w:caps/>
          <w:lang w:eastAsia="fr-FR"/>
        </w:rPr>
      </w:pPr>
    </w:p>
    <w:p w:rsidR="00126FBF" w:rsidRDefault="00126FBF" w:rsidP="00126FBF">
      <w:pPr>
        <w:contextualSpacing/>
        <w:jc w:val="center"/>
        <w:rPr>
          <w:rFonts w:eastAsiaTheme="minorEastAsia"/>
          <w:b/>
          <w:bCs/>
          <w:caps/>
          <w:lang w:eastAsia="fr-FR"/>
        </w:rPr>
      </w:pPr>
    </w:p>
    <w:p w:rsidR="00126FBF" w:rsidRDefault="00126FBF" w:rsidP="00126FBF">
      <w:pPr>
        <w:contextualSpacing/>
        <w:jc w:val="center"/>
        <w:rPr>
          <w:rFonts w:eastAsiaTheme="minorEastAsia"/>
          <w:b/>
          <w:bCs/>
          <w:caps/>
          <w:lang w:eastAsia="fr-FR"/>
        </w:rPr>
      </w:pPr>
    </w:p>
    <w:p w:rsidR="00126FBF" w:rsidRPr="005532BB" w:rsidRDefault="00126FBF" w:rsidP="00126FBF">
      <w:pPr>
        <w:contextualSpacing/>
        <w:jc w:val="center"/>
        <w:rPr>
          <w:rFonts w:eastAsiaTheme="minorEastAsia"/>
          <w:b/>
          <w:bCs/>
          <w:caps/>
          <w:lang w:eastAsia="fr-FR"/>
        </w:rPr>
      </w:pPr>
    </w:p>
    <w:p w:rsidR="00126FBF" w:rsidRPr="00C244B3" w:rsidRDefault="00126FBF" w:rsidP="00126FBF">
      <w:pPr>
        <w:rPr>
          <w:rFonts w:ascii="Times New Roman" w:hAnsi="Times New Roman" w:cs="Times New Roman"/>
          <w:b/>
          <w:sz w:val="24"/>
          <w:szCs w:val="24"/>
        </w:rPr>
      </w:pPr>
      <w:r w:rsidRPr="00C244B3">
        <w:rPr>
          <w:rFonts w:ascii="Times New Roman" w:hAnsi="Times New Roman" w:cs="Times New Roman"/>
          <w:b/>
          <w:sz w:val="24"/>
          <w:szCs w:val="24"/>
          <w:u w:val="single"/>
        </w:rPr>
        <w:t>RESUME </w:t>
      </w:r>
      <w:r w:rsidRPr="00C244B3">
        <w:rPr>
          <w:rFonts w:ascii="Times New Roman" w:hAnsi="Times New Roman" w:cs="Times New Roman"/>
          <w:b/>
          <w:sz w:val="24"/>
          <w:szCs w:val="24"/>
        </w:rPr>
        <w:t xml:space="preserve">: </w:t>
      </w:r>
    </w:p>
    <w:p w:rsidR="00126FBF" w:rsidRPr="00C244B3" w:rsidRDefault="00126FBF" w:rsidP="00BD0B07">
      <w:pPr>
        <w:spacing w:after="0"/>
        <w:jc w:val="both"/>
        <w:rPr>
          <w:rFonts w:ascii="Times New Roman" w:hAnsi="Times New Roman" w:cs="Times New Roman"/>
          <w:sz w:val="24"/>
          <w:szCs w:val="24"/>
        </w:rPr>
      </w:pPr>
      <w:r w:rsidRPr="00C244B3">
        <w:rPr>
          <w:rFonts w:ascii="Times New Roman" w:hAnsi="Times New Roman" w:cs="Times New Roman"/>
          <w:sz w:val="24"/>
          <w:szCs w:val="24"/>
        </w:rPr>
        <w:t xml:space="preserve"> L'économie malienne dépend fortement de ses  ressources naturelles. Les effets nuisibles des changements  climatiques auxquels le pays est exposé affectent de manière significative ces ressources, et donc les perspectives de développement du pays. Les impacts des changements climatiques exercent des pressions considérables sur les secteurs vulnérables du pays affectant de ce fait de manière significative les dimensions économiques, sociales, et environnementales du développement durable du pays, et ceci à tous les niveaux et dans toutes les régions.</w:t>
      </w:r>
    </w:p>
    <w:p w:rsidR="00126FBF" w:rsidRPr="00C244B3" w:rsidRDefault="00126FBF" w:rsidP="00BD0B07">
      <w:pPr>
        <w:spacing w:after="0"/>
        <w:jc w:val="both"/>
        <w:rPr>
          <w:rFonts w:ascii="Times New Roman" w:hAnsi="Times New Roman" w:cs="Times New Roman"/>
          <w:sz w:val="24"/>
          <w:szCs w:val="24"/>
        </w:rPr>
      </w:pPr>
      <w:r w:rsidRPr="00C244B3">
        <w:rPr>
          <w:rFonts w:ascii="Times New Roman" w:hAnsi="Times New Roman" w:cs="Times New Roman"/>
          <w:sz w:val="24"/>
          <w:szCs w:val="24"/>
        </w:rPr>
        <w:t xml:space="preserve">Le Gouvernement du Mali a identifié la mise en place d’un Fonds National d’appui aux réponses aux Changements Climatiques comme un besoin prioritaire pour servir de moteur à la réalisation des objectifs dans le domaine des changements climatiques au Mali et de la stratégie nationale EVRC. Le Fonds Climat-Mali se veut un mécanisme innovant et opérationnel capable d’attirer et de combiner les financements en provenance des secteurs publics et privés  et des sources bilatérales et multilatérales. </w:t>
      </w:r>
    </w:p>
    <w:p w:rsidR="00126FBF" w:rsidRPr="00C244B3" w:rsidRDefault="00C244B3" w:rsidP="00BD0B07">
      <w:pPr>
        <w:jc w:val="both"/>
        <w:rPr>
          <w:rFonts w:ascii="Times New Roman" w:hAnsi="Times New Roman" w:cs="Times New Roman"/>
          <w:sz w:val="24"/>
          <w:szCs w:val="24"/>
        </w:rPr>
      </w:pPr>
      <w:r>
        <w:rPr>
          <w:rFonts w:ascii="Times New Roman" w:hAnsi="Times New Roman" w:cs="Times New Roman"/>
          <w:sz w:val="24"/>
          <w:szCs w:val="24"/>
        </w:rPr>
        <w:t>Il</w:t>
      </w:r>
      <w:r w:rsidR="00126FBF" w:rsidRPr="00C244B3">
        <w:rPr>
          <w:rFonts w:ascii="Times New Roman" w:hAnsi="Times New Roman" w:cs="Times New Roman"/>
          <w:sz w:val="24"/>
          <w:szCs w:val="24"/>
        </w:rPr>
        <w:t xml:space="preserve"> est  dirigé par un Comité de Pilotage présidé par le Ministre en charge de l’Environnent et auquel participent les représentants du Gouvernement, des donateurs et de la Société Civile.  Le Secrétariat Technique apporte un soutien technique et administratif au Comité de Pilotage et assure la coordination des activités de planification de suivi et d’évaluation. C’est dans ce cadre que le Comité de Pilotage a approuvé un appui de </w:t>
      </w:r>
      <w:r w:rsidR="00126FBF" w:rsidRPr="00C244B3">
        <w:rPr>
          <w:rFonts w:ascii="Times New Roman" w:hAnsi="Times New Roman" w:cs="Times New Roman"/>
          <w:b/>
          <w:sz w:val="24"/>
          <w:szCs w:val="24"/>
        </w:rPr>
        <w:t>US Dollars 1</w:t>
      </w:r>
      <w:r>
        <w:rPr>
          <w:rFonts w:ascii="Times New Roman" w:hAnsi="Times New Roman" w:cs="Times New Roman"/>
          <w:b/>
          <w:sz w:val="24"/>
          <w:szCs w:val="24"/>
        </w:rPr>
        <w:t>04 000</w:t>
      </w:r>
      <w:r w:rsidR="00126FBF" w:rsidRPr="00C244B3">
        <w:rPr>
          <w:rFonts w:ascii="Times New Roman" w:hAnsi="Times New Roman" w:cs="Times New Roman"/>
          <w:sz w:val="24"/>
          <w:szCs w:val="24"/>
        </w:rPr>
        <w:t xml:space="preserve"> pour </w:t>
      </w:r>
      <w:r>
        <w:rPr>
          <w:rFonts w:ascii="Times New Roman" w:hAnsi="Times New Roman" w:cs="Times New Roman"/>
          <w:sz w:val="24"/>
          <w:szCs w:val="24"/>
        </w:rPr>
        <w:t xml:space="preserve">assurer </w:t>
      </w:r>
      <w:r w:rsidR="00126FBF" w:rsidRPr="00C244B3">
        <w:rPr>
          <w:rFonts w:ascii="Times New Roman" w:hAnsi="Times New Roman" w:cs="Times New Roman"/>
          <w:sz w:val="24"/>
          <w:szCs w:val="24"/>
        </w:rPr>
        <w:t>:</w:t>
      </w:r>
    </w:p>
    <w:p w:rsidR="00126FBF" w:rsidRDefault="00126FBF" w:rsidP="00BD0B07">
      <w:pPr>
        <w:pStyle w:val="ListParagraph"/>
        <w:numPr>
          <w:ilvl w:val="0"/>
          <w:numId w:val="1"/>
        </w:numPr>
        <w:jc w:val="both"/>
        <w:rPr>
          <w:rFonts w:ascii="Times New Roman" w:hAnsi="Times New Roman" w:cs="Times New Roman"/>
          <w:sz w:val="24"/>
          <w:szCs w:val="24"/>
        </w:rPr>
      </w:pPr>
      <w:r w:rsidRPr="00C244B3">
        <w:rPr>
          <w:rFonts w:ascii="Times New Roman" w:hAnsi="Times New Roman" w:cs="Times New Roman"/>
          <w:sz w:val="24"/>
          <w:szCs w:val="24"/>
        </w:rPr>
        <w:t>le fonctionnement du Secrétariat Technique</w:t>
      </w:r>
      <w:r w:rsidR="00C244B3">
        <w:rPr>
          <w:rFonts w:ascii="Times New Roman" w:hAnsi="Times New Roman" w:cs="Times New Roman"/>
          <w:sz w:val="24"/>
          <w:szCs w:val="24"/>
        </w:rPr>
        <w:t> ;</w:t>
      </w:r>
    </w:p>
    <w:p w:rsidR="00C244B3" w:rsidRDefault="00C244B3" w:rsidP="00BD0B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 tenue des réunions du Comité de Pilotage ;</w:t>
      </w:r>
    </w:p>
    <w:p w:rsidR="00C244B3" w:rsidRDefault="00C244B3" w:rsidP="00BD0B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l’analyse des projets et programmes soumis au financement du Fonds Climat Mali ;</w:t>
      </w:r>
    </w:p>
    <w:p w:rsidR="00126FBF" w:rsidRPr="00C244B3" w:rsidRDefault="00C244B3" w:rsidP="00BD0B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 c</w:t>
      </w:r>
      <w:r w:rsidR="00126FBF" w:rsidRPr="00C244B3">
        <w:rPr>
          <w:rFonts w:ascii="Times New Roman" w:hAnsi="Times New Roman" w:cs="Times New Roman"/>
          <w:sz w:val="24"/>
          <w:szCs w:val="24"/>
        </w:rPr>
        <w:t>o</w:t>
      </w:r>
      <w:r>
        <w:rPr>
          <w:rFonts w:ascii="Times New Roman" w:hAnsi="Times New Roman" w:cs="Times New Roman"/>
          <w:sz w:val="24"/>
          <w:szCs w:val="24"/>
        </w:rPr>
        <w:t>ordination, la formation et le s</w:t>
      </w:r>
      <w:r w:rsidR="00126FBF" w:rsidRPr="00C244B3">
        <w:rPr>
          <w:rFonts w:ascii="Times New Roman" w:hAnsi="Times New Roman" w:cs="Times New Roman"/>
          <w:sz w:val="24"/>
          <w:szCs w:val="24"/>
        </w:rPr>
        <w:t>uivi sur le terrain</w:t>
      </w:r>
      <w:r>
        <w:rPr>
          <w:rFonts w:ascii="Times New Roman" w:hAnsi="Times New Roman" w:cs="Times New Roman"/>
          <w:sz w:val="24"/>
          <w:szCs w:val="24"/>
        </w:rPr>
        <w:t xml:space="preserve"> des projets et programmes en cours d’exécution</w:t>
      </w:r>
      <w:r w:rsidR="001A6EAB">
        <w:rPr>
          <w:rFonts w:ascii="Times New Roman" w:hAnsi="Times New Roman" w:cs="Times New Roman"/>
          <w:sz w:val="24"/>
          <w:szCs w:val="24"/>
        </w:rPr>
        <w:t> ;</w:t>
      </w:r>
      <w:r w:rsidR="00126FBF" w:rsidRPr="00C244B3">
        <w:rPr>
          <w:rFonts w:ascii="Times New Roman" w:hAnsi="Times New Roman" w:cs="Times New Roman"/>
          <w:sz w:val="24"/>
          <w:szCs w:val="24"/>
        </w:rPr>
        <w:t xml:space="preserve"> </w:t>
      </w:r>
    </w:p>
    <w:p w:rsidR="00126FBF" w:rsidRPr="00C244B3" w:rsidRDefault="00126FBF" w:rsidP="00BD0B07">
      <w:pPr>
        <w:pStyle w:val="ListParagraph"/>
        <w:numPr>
          <w:ilvl w:val="0"/>
          <w:numId w:val="1"/>
        </w:numPr>
        <w:jc w:val="both"/>
        <w:rPr>
          <w:rFonts w:ascii="Times New Roman" w:hAnsi="Times New Roman" w:cs="Times New Roman"/>
          <w:sz w:val="24"/>
          <w:szCs w:val="24"/>
        </w:rPr>
      </w:pPr>
      <w:r w:rsidRPr="00C244B3">
        <w:rPr>
          <w:rFonts w:ascii="Times New Roman" w:hAnsi="Times New Roman" w:cs="Times New Roman"/>
          <w:sz w:val="24"/>
          <w:szCs w:val="24"/>
        </w:rPr>
        <w:t>l’élaboration du rapport annuel du Fonds Climat</w:t>
      </w:r>
    </w:p>
    <w:p w:rsidR="00EA419C" w:rsidRDefault="00483DA5" w:rsidP="00BD0B07">
      <w:pPr>
        <w:jc w:val="both"/>
        <w:rPr>
          <w:rFonts w:ascii="Times New Roman" w:hAnsi="Times New Roman" w:cs="Times New Roman"/>
          <w:sz w:val="24"/>
          <w:szCs w:val="24"/>
        </w:rPr>
      </w:pPr>
      <w:r>
        <w:rPr>
          <w:rFonts w:ascii="Times New Roman" w:hAnsi="Times New Roman" w:cs="Times New Roman"/>
          <w:sz w:val="24"/>
          <w:szCs w:val="24"/>
        </w:rPr>
        <w:t>Au cours de l’année 2016</w:t>
      </w:r>
      <w:r w:rsidR="00126FBF" w:rsidRPr="00C244B3">
        <w:rPr>
          <w:rFonts w:ascii="Times New Roman" w:hAnsi="Times New Roman" w:cs="Times New Roman"/>
          <w:sz w:val="24"/>
          <w:szCs w:val="24"/>
        </w:rPr>
        <w:t>, l</w:t>
      </w:r>
      <w:r>
        <w:rPr>
          <w:rFonts w:ascii="Times New Roman" w:hAnsi="Times New Roman" w:cs="Times New Roman"/>
          <w:sz w:val="24"/>
          <w:szCs w:val="24"/>
        </w:rPr>
        <w:t xml:space="preserve">e Secrétariat Technique </w:t>
      </w:r>
      <w:r w:rsidR="00126FBF" w:rsidRPr="00C244B3">
        <w:rPr>
          <w:rFonts w:ascii="Times New Roman" w:hAnsi="Times New Roman" w:cs="Times New Roman"/>
          <w:sz w:val="24"/>
          <w:szCs w:val="24"/>
        </w:rPr>
        <w:t xml:space="preserve"> a organ</w:t>
      </w:r>
      <w:r w:rsidR="00EA419C">
        <w:rPr>
          <w:rFonts w:ascii="Times New Roman" w:hAnsi="Times New Roman" w:cs="Times New Roman"/>
          <w:sz w:val="24"/>
          <w:szCs w:val="24"/>
        </w:rPr>
        <w:t>isé deux réunions du Comité de P</w:t>
      </w:r>
      <w:r w:rsidR="00126FBF" w:rsidRPr="00C244B3">
        <w:rPr>
          <w:rFonts w:ascii="Times New Roman" w:hAnsi="Times New Roman" w:cs="Times New Roman"/>
          <w:sz w:val="24"/>
          <w:szCs w:val="24"/>
        </w:rPr>
        <w:t>ilotage</w:t>
      </w:r>
      <w:r>
        <w:rPr>
          <w:rFonts w:ascii="Times New Roman" w:hAnsi="Times New Roman" w:cs="Times New Roman"/>
          <w:sz w:val="24"/>
          <w:szCs w:val="24"/>
        </w:rPr>
        <w:t xml:space="preserve">. </w:t>
      </w:r>
      <w:r w:rsidR="00EA419C">
        <w:rPr>
          <w:rFonts w:ascii="Times New Roman" w:hAnsi="Times New Roman" w:cs="Times New Roman"/>
          <w:sz w:val="24"/>
          <w:szCs w:val="24"/>
        </w:rPr>
        <w:t>Au cours de ces réunions, le Comité de Pilotage a adopté les documents de gouvernance du fonds qui ont été élaboré par le Secrétariat Technique. Il s’agit des documents suivants :</w:t>
      </w:r>
    </w:p>
    <w:p w:rsidR="00EA419C" w:rsidRDefault="00F84183" w:rsidP="00BD0B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 Manuel de Procédures A</w:t>
      </w:r>
      <w:r w:rsidR="00EA419C">
        <w:rPr>
          <w:rFonts w:ascii="Times New Roman" w:hAnsi="Times New Roman" w:cs="Times New Roman"/>
          <w:sz w:val="24"/>
          <w:szCs w:val="24"/>
        </w:rPr>
        <w:t>dministratives Financières et Comptables ;</w:t>
      </w:r>
    </w:p>
    <w:p w:rsidR="003D0E6C" w:rsidRDefault="00F84183" w:rsidP="00BD0B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 Manuel de S</w:t>
      </w:r>
      <w:r w:rsidR="00EA419C">
        <w:rPr>
          <w:rFonts w:ascii="Times New Roman" w:hAnsi="Times New Roman" w:cs="Times New Roman"/>
          <w:sz w:val="24"/>
          <w:szCs w:val="24"/>
        </w:rPr>
        <w:t>uivi</w:t>
      </w:r>
      <w:r w:rsidR="003D0E6C">
        <w:rPr>
          <w:rFonts w:ascii="Times New Roman" w:hAnsi="Times New Roman" w:cs="Times New Roman"/>
          <w:sz w:val="24"/>
          <w:szCs w:val="24"/>
        </w:rPr>
        <w:t xml:space="preserve"> et </w:t>
      </w:r>
      <w:r w:rsidR="00EA419C" w:rsidRPr="00EA419C">
        <w:rPr>
          <w:rFonts w:ascii="Times New Roman" w:hAnsi="Times New Roman" w:cs="Times New Roman"/>
          <w:sz w:val="24"/>
          <w:szCs w:val="24"/>
        </w:rPr>
        <w:t xml:space="preserve"> </w:t>
      </w:r>
      <w:r w:rsidR="003D0E6C">
        <w:rPr>
          <w:rFonts w:ascii="Times New Roman" w:hAnsi="Times New Roman" w:cs="Times New Roman"/>
          <w:sz w:val="24"/>
          <w:szCs w:val="24"/>
        </w:rPr>
        <w:t>Evaluation des Projets et Programmes fi</w:t>
      </w:r>
      <w:r>
        <w:rPr>
          <w:rFonts w:ascii="Times New Roman" w:hAnsi="Times New Roman" w:cs="Times New Roman"/>
          <w:sz w:val="24"/>
          <w:szCs w:val="24"/>
        </w:rPr>
        <w:t>nancés par le Fonds C</w:t>
      </w:r>
      <w:r w:rsidR="003D0E6C">
        <w:rPr>
          <w:rFonts w:ascii="Times New Roman" w:hAnsi="Times New Roman" w:cs="Times New Roman"/>
          <w:sz w:val="24"/>
          <w:szCs w:val="24"/>
        </w:rPr>
        <w:t>limat Mali ;</w:t>
      </w:r>
    </w:p>
    <w:p w:rsidR="003D0E6C" w:rsidRDefault="003D0E6C" w:rsidP="00BD0B0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 Règlement Intérieur du Comité de Pilotage ;</w:t>
      </w:r>
    </w:p>
    <w:p w:rsidR="003D0E6C" w:rsidRDefault="003D0E6C" w:rsidP="00BD0B07">
      <w:pPr>
        <w:jc w:val="both"/>
        <w:rPr>
          <w:rFonts w:ascii="Times New Roman" w:hAnsi="Times New Roman" w:cs="Times New Roman"/>
          <w:sz w:val="24"/>
          <w:szCs w:val="24"/>
        </w:rPr>
      </w:pPr>
      <w:r>
        <w:rPr>
          <w:rFonts w:ascii="Times New Roman" w:hAnsi="Times New Roman" w:cs="Times New Roman"/>
          <w:sz w:val="24"/>
          <w:szCs w:val="24"/>
        </w:rPr>
        <w:t xml:space="preserve">Il a également approuvé le financement de quatre (4) nouveaux projets pour un montant de </w:t>
      </w:r>
      <w:r w:rsidRPr="00E55EB2">
        <w:rPr>
          <w:rFonts w:ascii="Times New Roman" w:hAnsi="Times New Roman" w:cs="Times New Roman"/>
          <w:b/>
          <w:sz w:val="24"/>
          <w:szCs w:val="24"/>
        </w:rPr>
        <w:t>3 658 846 dollars US</w:t>
      </w:r>
      <w:r>
        <w:rPr>
          <w:rFonts w:ascii="Times New Roman" w:hAnsi="Times New Roman" w:cs="Times New Roman"/>
          <w:sz w:val="24"/>
          <w:szCs w:val="24"/>
        </w:rPr>
        <w:t xml:space="preserve">, ainsi que les termes de référence du Plan d’Investissement Stratégique 2017-2021 du Fonds Climat Mali. </w:t>
      </w:r>
    </w:p>
    <w:p w:rsidR="00CE2E1C" w:rsidRPr="00CF4DC8" w:rsidRDefault="00CE2E1C" w:rsidP="00BD0B07">
      <w:pPr>
        <w:jc w:val="both"/>
        <w:rPr>
          <w:rFonts w:ascii="Times New Roman" w:hAnsi="Times New Roman" w:cs="Times New Roman"/>
          <w:sz w:val="24"/>
          <w:szCs w:val="24"/>
        </w:rPr>
      </w:pPr>
      <w:r>
        <w:rPr>
          <w:rFonts w:ascii="Times New Roman" w:hAnsi="Times New Roman" w:cs="Times New Roman"/>
          <w:sz w:val="24"/>
          <w:szCs w:val="24"/>
        </w:rPr>
        <w:t>Le Secrétariat</w:t>
      </w:r>
      <w:r w:rsidR="00CF4DC8">
        <w:rPr>
          <w:rFonts w:ascii="Times New Roman" w:hAnsi="Times New Roman" w:cs="Times New Roman"/>
          <w:sz w:val="24"/>
          <w:szCs w:val="24"/>
        </w:rPr>
        <w:t xml:space="preserve"> Technique </w:t>
      </w:r>
      <w:r w:rsidR="00BD0B07">
        <w:rPr>
          <w:rFonts w:ascii="Times New Roman" w:hAnsi="Times New Roman" w:cs="Times New Roman"/>
          <w:sz w:val="24"/>
          <w:szCs w:val="24"/>
        </w:rPr>
        <w:t xml:space="preserve">en collaboration avec des membres du Comité de Pilotage </w:t>
      </w:r>
      <w:r w:rsidR="00CF4DC8">
        <w:rPr>
          <w:rFonts w:ascii="Times New Roman" w:hAnsi="Times New Roman" w:cs="Times New Roman"/>
          <w:sz w:val="24"/>
          <w:szCs w:val="24"/>
        </w:rPr>
        <w:t xml:space="preserve">a effectué des missions pour aller sur le terrain pour faire le suivi et évaluation des projets financés. De </w:t>
      </w:r>
      <w:r w:rsidR="00CF4DC8">
        <w:rPr>
          <w:rFonts w:ascii="Times New Roman" w:hAnsi="Times New Roman" w:cs="Times New Roman"/>
          <w:sz w:val="24"/>
          <w:szCs w:val="24"/>
        </w:rPr>
        <w:lastRenderedPageBreak/>
        <w:t xml:space="preserve">ces visites il est apparu que pour deux projets il est nécessaire de procéder à une extension du délai d’exécution. </w:t>
      </w:r>
      <w:r>
        <w:rPr>
          <w:rFonts w:ascii="Times New Roman" w:hAnsi="Times New Roman" w:cs="Times New Roman"/>
          <w:sz w:val="24"/>
          <w:szCs w:val="24"/>
        </w:rPr>
        <w:t xml:space="preserve"> </w:t>
      </w:r>
    </w:p>
    <w:p w:rsidR="00126FBF" w:rsidRPr="00F90531" w:rsidRDefault="00126FBF" w:rsidP="00BD0B07">
      <w:pPr>
        <w:pStyle w:val="ListParagraph"/>
        <w:numPr>
          <w:ilvl w:val="0"/>
          <w:numId w:val="2"/>
        </w:numPr>
        <w:jc w:val="both"/>
        <w:rPr>
          <w:rFonts w:ascii="Times New Roman" w:hAnsi="Times New Roman" w:cs="Times New Roman"/>
          <w:b/>
          <w:sz w:val="24"/>
          <w:szCs w:val="24"/>
          <w:u w:val="single"/>
        </w:rPr>
      </w:pPr>
      <w:r w:rsidRPr="00F90531">
        <w:rPr>
          <w:rFonts w:ascii="Times New Roman" w:hAnsi="Times New Roman" w:cs="Times New Roman"/>
          <w:b/>
          <w:sz w:val="24"/>
          <w:szCs w:val="24"/>
          <w:u w:val="single"/>
        </w:rPr>
        <w:t>LES OBJECTIFS</w:t>
      </w:r>
    </w:p>
    <w:p w:rsidR="00126FBF" w:rsidRPr="00F90531" w:rsidRDefault="00126FBF" w:rsidP="00BD0B07">
      <w:pPr>
        <w:jc w:val="both"/>
        <w:rPr>
          <w:rFonts w:ascii="Times New Roman" w:hAnsi="Times New Roman" w:cs="Times New Roman"/>
          <w:sz w:val="24"/>
          <w:szCs w:val="24"/>
        </w:rPr>
      </w:pPr>
      <w:r w:rsidRPr="00F90531">
        <w:rPr>
          <w:rFonts w:ascii="Times New Roman" w:hAnsi="Times New Roman" w:cs="Times New Roman"/>
          <w:sz w:val="24"/>
          <w:szCs w:val="24"/>
        </w:rPr>
        <w:t>L’objectif principal de cet appui est de couv</w:t>
      </w:r>
      <w:r w:rsidR="00F90531" w:rsidRPr="00F90531">
        <w:rPr>
          <w:rFonts w:ascii="Times New Roman" w:hAnsi="Times New Roman" w:cs="Times New Roman"/>
          <w:sz w:val="24"/>
          <w:szCs w:val="24"/>
        </w:rPr>
        <w:t xml:space="preserve">rir les frais </w:t>
      </w:r>
      <w:r w:rsidRPr="00F90531">
        <w:rPr>
          <w:rFonts w:ascii="Times New Roman" w:hAnsi="Times New Roman" w:cs="Times New Roman"/>
          <w:sz w:val="24"/>
          <w:szCs w:val="24"/>
        </w:rPr>
        <w:t xml:space="preserve"> de fonctionnement du secrétariat technique</w:t>
      </w:r>
      <w:r w:rsidR="00F90531" w:rsidRPr="00F90531">
        <w:rPr>
          <w:rFonts w:ascii="Times New Roman" w:hAnsi="Times New Roman" w:cs="Times New Roman"/>
          <w:sz w:val="24"/>
          <w:szCs w:val="24"/>
        </w:rPr>
        <w:t xml:space="preserve"> et du Comité de Pilotage</w:t>
      </w:r>
      <w:r w:rsidRPr="00F90531">
        <w:rPr>
          <w:rFonts w:ascii="Times New Roman" w:hAnsi="Times New Roman" w:cs="Times New Roman"/>
          <w:sz w:val="24"/>
          <w:szCs w:val="24"/>
        </w:rPr>
        <w:t>.</w:t>
      </w:r>
    </w:p>
    <w:p w:rsidR="00BB0E1F" w:rsidRPr="00F90531" w:rsidRDefault="00126FBF" w:rsidP="00BD0B07">
      <w:pPr>
        <w:jc w:val="both"/>
        <w:rPr>
          <w:rFonts w:ascii="Times New Roman" w:hAnsi="Times New Roman" w:cs="Times New Roman"/>
          <w:sz w:val="24"/>
          <w:szCs w:val="24"/>
          <w:bdr w:val="single" w:sz="4" w:space="0" w:color="auto"/>
        </w:rPr>
      </w:pPr>
      <w:r w:rsidRPr="00F90531">
        <w:rPr>
          <w:rFonts w:ascii="Times New Roman" w:hAnsi="Times New Roman" w:cs="Times New Roman"/>
          <w:b/>
          <w:sz w:val="24"/>
          <w:szCs w:val="24"/>
          <w:bdr w:val="single" w:sz="4" w:space="0" w:color="auto"/>
        </w:rPr>
        <w:t>Objectif Global</w:t>
      </w:r>
      <w:r w:rsidRPr="00F90531">
        <w:rPr>
          <w:rFonts w:ascii="Times New Roman" w:hAnsi="Times New Roman" w:cs="Times New Roman"/>
          <w:sz w:val="24"/>
          <w:szCs w:val="24"/>
          <w:bdr w:val="single" w:sz="4" w:space="0" w:color="auto"/>
        </w:rPr>
        <w:t> : A</w:t>
      </w:r>
      <w:r w:rsidR="000A2344" w:rsidRPr="00F90531">
        <w:rPr>
          <w:rFonts w:ascii="Times New Roman" w:hAnsi="Times New Roman" w:cs="Times New Roman"/>
          <w:sz w:val="24"/>
          <w:szCs w:val="24"/>
          <w:bdr w:val="single" w:sz="4" w:space="0" w:color="auto"/>
        </w:rPr>
        <w:t>ssurer les frais</w:t>
      </w:r>
      <w:r w:rsidR="00BB0E1F">
        <w:rPr>
          <w:rFonts w:ascii="Times New Roman" w:hAnsi="Times New Roman" w:cs="Times New Roman"/>
          <w:sz w:val="24"/>
          <w:szCs w:val="24"/>
          <w:bdr w:val="single" w:sz="4" w:space="0" w:color="auto"/>
        </w:rPr>
        <w:t xml:space="preserve"> de f</w:t>
      </w:r>
      <w:r w:rsidRPr="00F90531">
        <w:rPr>
          <w:rFonts w:ascii="Times New Roman" w:hAnsi="Times New Roman" w:cs="Times New Roman"/>
          <w:sz w:val="24"/>
          <w:szCs w:val="24"/>
          <w:bdr w:val="single" w:sz="4" w:space="0" w:color="auto"/>
        </w:rPr>
        <w:t>onct</w:t>
      </w:r>
      <w:r w:rsidR="000A2344" w:rsidRPr="00F90531">
        <w:rPr>
          <w:rFonts w:ascii="Times New Roman" w:hAnsi="Times New Roman" w:cs="Times New Roman"/>
          <w:sz w:val="24"/>
          <w:szCs w:val="24"/>
          <w:bdr w:val="single" w:sz="4" w:space="0" w:color="auto"/>
        </w:rPr>
        <w:t xml:space="preserve">ionnement du Secrétariat </w:t>
      </w:r>
      <w:r w:rsidR="00BB0E1F">
        <w:rPr>
          <w:rFonts w:ascii="Times New Roman" w:hAnsi="Times New Roman" w:cs="Times New Roman"/>
          <w:sz w:val="24"/>
          <w:szCs w:val="24"/>
          <w:bdr w:val="single" w:sz="4" w:space="0" w:color="auto"/>
        </w:rPr>
        <w:t xml:space="preserve">Technique et du CP </w:t>
      </w:r>
    </w:p>
    <w:p w:rsidR="00126FBF" w:rsidRPr="00F90531" w:rsidRDefault="00126FBF" w:rsidP="00BD0B07">
      <w:pPr>
        <w:jc w:val="both"/>
        <w:rPr>
          <w:rFonts w:ascii="Times New Roman" w:hAnsi="Times New Roman" w:cs="Times New Roman"/>
          <w:b/>
          <w:sz w:val="24"/>
          <w:szCs w:val="24"/>
          <w:bdr w:val="single" w:sz="4" w:space="0" w:color="auto"/>
        </w:rPr>
      </w:pPr>
      <w:r w:rsidRPr="00F90531">
        <w:rPr>
          <w:rFonts w:ascii="Times New Roman" w:hAnsi="Times New Roman" w:cs="Times New Roman"/>
          <w:b/>
          <w:sz w:val="24"/>
          <w:szCs w:val="24"/>
        </w:rPr>
        <w:t>Objectifs Spécifiques :</w:t>
      </w:r>
      <w:r w:rsidRPr="00F90531">
        <w:rPr>
          <w:rFonts w:ascii="Times New Roman" w:hAnsi="Times New Roman" w:cs="Times New Roman"/>
          <w:b/>
          <w:sz w:val="24"/>
          <w:szCs w:val="24"/>
          <w:bdr w:val="single" w:sz="4" w:space="0" w:color="auto"/>
        </w:rPr>
        <w:t xml:space="preserve">     </w:t>
      </w:r>
    </w:p>
    <w:p w:rsidR="00F90531" w:rsidRPr="00F90531" w:rsidRDefault="00F90531" w:rsidP="00BD0B07">
      <w:pPr>
        <w:pStyle w:val="ListParagraph"/>
        <w:numPr>
          <w:ilvl w:val="0"/>
          <w:numId w:val="1"/>
        </w:num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F90531">
        <w:rPr>
          <w:rFonts w:ascii="Times New Roman" w:hAnsi="Times New Roman" w:cs="Times New Roman"/>
          <w:sz w:val="24"/>
          <w:szCs w:val="24"/>
        </w:rPr>
        <w:t>assurer le fonctionnement du Secrétariat Technique ;</w:t>
      </w:r>
    </w:p>
    <w:p w:rsidR="00F90531" w:rsidRDefault="00F90531" w:rsidP="00BD0B07">
      <w:pPr>
        <w:pStyle w:val="ListParagraph"/>
        <w:numPr>
          <w:ilvl w:val="0"/>
          <w:numId w:val="1"/>
        </w:num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F90531">
        <w:rPr>
          <w:rFonts w:ascii="Times New Roman" w:hAnsi="Times New Roman" w:cs="Times New Roman"/>
          <w:sz w:val="24"/>
          <w:szCs w:val="24"/>
        </w:rPr>
        <w:t>assurer la tenue des réunions du Comité de Pilotage ;</w:t>
      </w:r>
    </w:p>
    <w:p w:rsidR="00F90531" w:rsidRPr="00F90531" w:rsidRDefault="00F90531" w:rsidP="00BD0B07">
      <w:pPr>
        <w:pStyle w:val="ListParagraph"/>
        <w:numPr>
          <w:ilvl w:val="0"/>
          <w:numId w:val="1"/>
        </w:num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élaborer et adopter les outils de gouvernance du FCM,</w:t>
      </w:r>
    </w:p>
    <w:p w:rsidR="00F90531" w:rsidRPr="00F90531" w:rsidRDefault="00F90531" w:rsidP="00BD0B07">
      <w:pPr>
        <w:pStyle w:val="ListParagraph"/>
        <w:numPr>
          <w:ilvl w:val="0"/>
          <w:numId w:val="1"/>
        </w:num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F90531">
        <w:rPr>
          <w:rFonts w:ascii="Times New Roman" w:hAnsi="Times New Roman" w:cs="Times New Roman"/>
          <w:sz w:val="24"/>
          <w:szCs w:val="24"/>
        </w:rPr>
        <w:t>assurer l’analyse des projets et programmes soumis au financement du Fonds Climat Mali ;</w:t>
      </w:r>
    </w:p>
    <w:p w:rsidR="00F90531" w:rsidRPr="00F90531" w:rsidRDefault="00F90531" w:rsidP="00BD0B07">
      <w:pPr>
        <w:pStyle w:val="ListParagraph"/>
        <w:numPr>
          <w:ilvl w:val="0"/>
          <w:numId w:val="1"/>
        </w:num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F90531">
        <w:rPr>
          <w:rFonts w:ascii="Times New Roman" w:hAnsi="Times New Roman" w:cs="Times New Roman"/>
          <w:sz w:val="24"/>
          <w:szCs w:val="24"/>
        </w:rPr>
        <w:t xml:space="preserve"> la coordination, et le suivi sur le terrain des projets et programmes en cours d’exécution ; </w:t>
      </w:r>
    </w:p>
    <w:p w:rsidR="00126FBF" w:rsidRPr="0042021F" w:rsidRDefault="00F90531" w:rsidP="00BD0B07">
      <w:pPr>
        <w:pStyle w:val="ListParagraph"/>
        <w:numPr>
          <w:ilvl w:val="0"/>
          <w:numId w:val="1"/>
        </w:num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l’élaborer le </w:t>
      </w:r>
      <w:r w:rsidRPr="00F90531">
        <w:rPr>
          <w:rFonts w:ascii="Times New Roman" w:hAnsi="Times New Roman" w:cs="Times New Roman"/>
          <w:sz w:val="24"/>
          <w:szCs w:val="24"/>
        </w:rPr>
        <w:t>rapport annuel du Fonds Climat</w:t>
      </w:r>
      <w:r w:rsidR="0042021F">
        <w:rPr>
          <w:rFonts w:ascii="Times New Roman" w:hAnsi="Times New Roman" w:cs="Times New Roman"/>
          <w:sz w:val="24"/>
          <w:szCs w:val="24"/>
        </w:rPr>
        <w:t>.</w:t>
      </w:r>
    </w:p>
    <w:p w:rsidR="00126FBF" w:rsidRPr="00F90531" w:rsidRDefault="00126FBF" w:rsidP="00BD0B07">
      <w:pPr>
        <w:jc w:val="both"/>
        <w:rPr>
          <w:rFonts w:ascii="Times New Roman" w:hAnsi="Times New Roman" w:cs="Times New Roman"/>
          <w:sz w:val="24"/>
          <w:szCs w:val="24"/>
        </w:rPr>
      </w:pPr>
      <w:r w:rsidRPr="00F90531">
        <w:rPr>
          <w:rFonts w:ascii="Times New Roman" w:hAnsi="Times New Roman" w:cs="Times New Roman"/>
          <w:sz w:val="24"/>
          <w:szCs w:val="24"/>
        </w:rPr>
        <w:t>L’objectif de cet appui est de permettre la mise en place un Secrétariat Technique fonctionnel doté de cadres de haut niveau capable de remplir les cinq fonctions assignées au Secrétariat Technique :</w:t>
      </w:r>
    </w:p>
    <w:p w:rsidR="00126FBF" w:rsidRPr="00F90531" w:rsidRDefault="00126FBF" w:rsidP="00BD0B07">
      <w:pPr>
        <w:pStyle w:val="ListParagraph"/>
        <w:numPr>
          <w:ilvl w:val="0"/>
          <w:numId w:val="1"/>
        </w:numPr>
        <w:jc w:val="both"/>
        <w:rPr>
          <w:rFonts w:ascii="Times New Roman" w:hAnsi="Times New Roman" w:cs="Times New Roman"/>
          <w:sz w:val="24"/>
          <w:szCs w:val="24"/>
        </w:rPr>
      </w:pPr>
      <w:r w:rsidRPr="00F90531">
        <w:rPr>
          <w:rFonts w:ascii="Times New Roman" w:hAnsi="Times New Roman" w:cs="Times New Roman"/>
          <w:sz w:val="24"/>
          <w:szCs w:val="24"/>
        </w:rPr>
        <w:t>Un appui administratif</w:t>
      </w:r>
    </w:p>
    <w:p w:rsidR="00126FBF" w:rsidRPr="00F90531" w:rsidRDefault="00126FBF" w:rsidP="00BD0B07">
      <w:pPr>
        <w:pStyle w:val="ListParagraph"/>
        <w:numPr>
          <w:ilvl w:val="0"/>
          <w:numId w:val="1"/>
        </w:numPr>
        <w:jc w:val="both"/>
        <w:rPr>
          <w:rFonts w:ascii="Times New Roman" w:hAnsi="Times New Roman" w:cs="Times New Roman"/>
          <w:sz w:val="24"/>
          <w:szCs w:val="24"/>
        </w:rPr>
      </w:pPr>
      <w:r w:rsidRPr="00F90531">
        <w:rPr>
          <w:rFonts w:ascii="Times New Roman" w:hAnsi="Times New Roman" w:cs="Times New Roman"/>
          <w:sz w:val="24"/>
          <w:szCs w:val="24"/>
        </w:rPr>
        <w:t>Un appui en analyse des projets et programmes</w:t>
      </w:r>
    </w:p>
    <w:p w:rsidR="00126FBF" w:rsidRPr="00F90531" w:rsidRDefault="00126FBF" w:rsidP="00BD0B07">
      <w:pPr>
        <w:pStyle w:val="ListParagraph"/>
        <w:numPr>
          <w:ilvl w:val="0"/>
          <w:numId w:val="1"/>
        </w:numPr>
        <w:jc w:val="both"/>
        <w:rPr>
          <w:rFonts w:ascii="Times New Roman" w:hAnsi="Times New Roman" w:cs="Times New Roman"/>
          <w:sz w:val="24"/>
          <w:szCs w:val="24"/>
        </w:rPr>
      </w:pPr>
      <w:r w:rsidRPr="00F90531">
        <w:rPr>
          <w:rFonts w:ascii="Times New Roman" w:hAnsi="Times New Roman" w:cs="Times New Roman"/>
          <w:sz w:val="24"/>
          <w:szCs w:val="24"/>
        </w:rPr>
        <w:t xml:space="preserve">Un appui en suivi et évaluation </w:t>
      </w:r>
    </w:p>
    <w:p w:rsidR="00126FBF" w:rsidRPr="00F90531" w:rsidRDefault="00126FBF" w:rsidP="00BD0B07">
      <w:pPr>
        <w:pStyle w:val="ListParagraph"/>
        <w:numPr>
          <w:ilvl w:val="0"/>
          <w:numId w:val="1"/>
        </w:numPr>
        <w:jc w:val="both"/>
        <w:rPr>
          <w:rFonts w:ascii="Times New Roman" w:hAnsi="Times New Roman" w:cs="Times New Roman"/>
          <w:sz w:val="24"/>
          <w:szCs w:val="24"/>
        </w:rPr>
      </w:pPr>
      <w:r w:rsidRPr="00F90531">
        <w:rPr>
          <w:rFonts w:ascii="Times New Roman" w:hAnsi="Times New Roman" w:cs="Times New Roman"/>
          <w:sz w:val="24"/>
          <w:szCs w:val="24"/>
        </w:rPr>
        <w:t>Un appui en co</w:t>
      </w:r>
      <w:r w:rsidR="00E466AA" w:rsidRPr="00F90531">
        <w:rPr>
          <w:rFonts w:ascii="Times New Roman" w:hAnsi="Times New Roman" w:cs="Times New Roman"/>
          <w:sz w:val="24"/>
          <w:szCs w:val="24"/>
        </w:rPr>
        <w:t>ntrôle et Monitoring Reporting V</w:t>
      </w:r>
      <w:r w:rsidRPr="00F90531">
        <w:rPr>
          <w:rFonts w:ascii="Times New Roman" w:hAnsi="Times New Roman" w:cs="Times New Roman"/>
          <w:sz w:val="24"/>
          <w:szCs w:val="24"/>
        </w:rPr>
        <w:t xml:space="preserve">erification </w:t>
      </w:r>
    </w:p>
    <w:p w:rsidR="00126FBF" w:rsidRPr="00F90531" w:rsidRDefault="00126FBF" w:rsidP="00BD0B07">
      <w:pPr>
        <w:pStyle w:val="ListParagraph"/>
        <w:numPr>
          <w:ilvl w:val="0"/>
          <w:numId w:val="1"/>
        </w:numPr>
        <w:jc w:val="both"/>
        <w:rPr>
          <w:rFonts w:ascii="Times New Roman" w:hAnsi="Times New Roman" w:cs="Times New Roman"/>
          <w:sz w:val="24"/>
          <w:szCs w:val="24"/>
        </w:rPr>
      </w:pPr>
      <w:r w:rsidRPr="00F90531">
        <w:rPr>
          <w:rFonts w:ascii="Times New Roman" w:hAnsi="Times New Roman" w:cs="Times New Roman"/>
          <w:sz w:val="24"/>
          <w:szCs w:val="24"/>
        </w:rPr>
        <w:t>La Communication Externe</w:t>
      </w:r>
    </w:p>
    <w:p w:rsidR="00126FBF" w:rsidRPr="00F90531" w:rsidRDefault="00126FBF" w:rsidP="00BD0B07">
      <w:pPr>
        <w:pStyle w:val="ListParagraph"/>
        <w:jc w:val="both"/>
        <w:rPr>
          <w:sz w:val="24"/>
          <w:szCs w:val="24"/>
        </w:rPr>
      </w:pPr>
    </w:p>
    <w:p w:rsidR="00126FBF" w:rsidRPr="00F90531" w:rsidRDefault="00126FBF" w:rsidP="00BD0B07">
      <w:pPr>
        <w:pStyle w:val="ListParagraph"/>
        <w:numPr>
          <w:ilvl w:val="0"/>
          <w:numId w:val="2"/>
        </w:numPr>
        <w:jc w:val="both"/>
        <w:rPr>
          <w:rFonts w:ascii="Times New Roman" w:hAnsi="Times New Roman" w:cs="Times New Roman"/>
          <w:b/>
          <w:sz w:val="24"/>
          <w:szCs w:val="24"/>
          <w:u w:val="single"/>
        </w:rPr>
      </w:pPr>
      <w:r w:rsidRPr="00F90531">
        <w:rPr>
          <w:rFonts w:ascii="Times New Roman" w:hAnsi="Times New Roman" w:cs="Times New Roman"/>
          <w:b/>
          <w:sz w:val="24"/>
          <w:szCs w:val="24"/>
          <w:u w:val="single"/>
        </w:rPr>
        <w:t>LES RESULTATS</w:t>
      </w:r>
    </w:p>
    <w:p w:rsidR="00126FBF" w:rsidRPr="00F90531" w:rsidRDefault="00126FBF" w:rsidP="00BD0B07">
      <w:pPr>
        <w:jc w:val="both"/>
        <w:rPr>
          <w:rFonts w:ascii="Times New Roman" w:hAnsi="Times New Roman" w:cs="Times New Roman"/>
          <w:sz w:val="24"/>
          <w:szCs w:val="24"/>
        </w:rPr>
      </w:pPr>
      <w:r w:rsidRPr="00F90531">
        <w:rPr>
          <w:rFonts w:ascii="Times New Roman" w:hAnsi="Times New Roman" w:cs="Times New Roman"/>
          <w:sz w:val="24"/>
          <w:szCs w:val="24"/>
        </w:rPr>
        <w:t>Les principaux résultats obtenus sont :</w:t>
      </w:r>
    </w:p>
    <w:p w:rsidR="00126FBF" w:rsidRPr="00746BAB" w:rsidRDefault="00BB0E1F" w:rsidP="00BD0B07">
      <w:pPr>
        <w:pStyle w:val="ListParagraph"/>
        <w:numPr>
          <w:ilvl w:val="0"/>
          <w:numId w:val="1"/>
        </w:numPr>
        <w:jc w:val="both"/>
        <w:rPr>
          <w:rFonts w:ascii="Times New Roman" w:hAnsi="Times New Roman" w:cs="Times New Roman"/>
          <w:sz w:val="24"/>
          <w:szCs w:val="24"/>
          <w:u w:val="single"/>
          <w:lang w:val="fr-ML"/>
        </w:rPr>
      </w:pPr>
      <w:r w:rsidRPr="00746BAB">
        <w:rPr>
          <w:rFonts w:ascii="Times New Roman" w:hAnsi="Times New Roman" w:cs="Times New Roman"/>
          <w:b/>
          <w:sz w:val="24"/>
          <w:szCs w:val="24"/>
          <w:u w:val="single"/>
          <w:lang w:val="fr-ML"/>
        </w:rPr>
        <w:t>L’élaboration et l’approbation des outils de gouvernance du Fonds Climat Mali</w:t>
      </w:r>
    </w:p>
    <w:p w:rsidR="00746F3F" w:rsidRDefault="00905195" w:rsidP="00BD0B07">
      <w:pPr>
        <w:jc w:val="both"/>
        <w:rPr>
          <w:rFonts w:ascii="Times New Roman" w:hAnsi="Times New Roman"/>
          <w:sz w:val="24"/>
          <w:szCs w:val="24"/>
        </w:rPr>
      </w:pPr>
      <w:r>
        <w:rPr>
          <w:rFonts w:ascii="Times New Roman" w:hAnsi="Times New Roman" w:cs="Times New Roman"/>
          <w:sz w:val="24"/>
          <w:szCs w:val="24"/>
          <w:lang w:val="fr-ML"/>
        </w:rPr>
        <w:t xml:space="preserve">Au cours de l’année 2016, le ST a retravaillé et amélioré les projets de documents de gouvernance  soumis au </w:t>
      </w:r>
      <w:r w:rsidR="00293659">
        <w:rPr>
          <w:rFonts w:ascii="Times New Roman" w:hAnsi="Times New Roman" w:cs="Times New Roman"/>
          <w:sz w:val="24"/>
          <w:szCs w:val="24"/>
          <w:lang w:val="fr-ML"/>
        </w:rPr>
        <w:t>Comité de Pilotage lors de sa session extraordinaire du 10 septembre 2015</w:t>
      </w:r>
      <w:r w:rsidR="002D2B0B">
        <w:rPr>
          <w:rFonts w:ascii="Times New Roman" w:hAnsi="Times New Roman" w:cs="Times New Roman"/>
          <w:sz w:val="24"/>
          <w:szCs w:val="24"/>
          <w:lang w:val="fr-ML"/>
        </w:rPr>
        <w:t xml:space="preserve"> conformément aux recommandations de la </w:t>
      </w:r>
      <w:r w:rsidR="00746F3F">
        <w:rPr>
          <w:rFonts w:ascii="Times New Roman" w:hAnsi="Times New Roman" w:cs="Times New Roman"/>
          <w:sz w:val="24"/>
          <w:szCs w:val="24"/>
          <w:lang w:val="fr-ML"/>
        </w:rPr>
        <w:t xml:space="preserve">quatrième session du CP. </w:t>
      </w:r>
      <w:r w:rsidR="002D2B0B">
        <w:rPr>
          <w:rFonts w:ascii="Times New Roman" w:hAnsi="Times New Roman" w:cs="Times New Roman"/>
          <w:sz w:val="24"/>
          <w:szCs w:val="24"/>
          <w:lang w:val="fr-ML"/>
        </w:rPr>
        <w:t xml:space="preserve">Le Coordinateur du Secrétariat Technique </w:t>
      </w:r>
      <w:r w:rsidR="00746F3F">
        <w:rPr>
          <w:rFonts w:ascii="Times New Roman" w:hAnsi="Times New Roman" w:cs="Times New Roman"/>
          <w:sz w:val="24"/>
          <w:szCs w:val="24"/>
          <w:lang w:val="fr-ML"/>
        </w:rPr>
        <w:t>a été chargé de rédiger les améliorations et propositions d’amendements et de les soumettre à la commission de travail mandaté par le Comi</w:t>
      </w:r>
      <w:r w:rsidR="002150C1">
        <w:rPr>
          <w:rFonts w:ascii="Times New Roman" w:hAnsi="Times New Roman" w:cs="Times New Roman"/>
          <w:sz w:val="24"/>
          <w:szCs w:val="24"/>
          <w:lang w:val="fr-ML"/>
        </w:rPr>
        <w:t>té de Pilotage</w:t>
      </w:r>
      <w:r w:rsidR="00BD0B07">
        <w:rPr>
          <w:rFonts w:ascii="Times New Roman" w:hAnsi="Times New Roman" w:cs="Times New Roman"/>
          <w:sz w:val="24"/>
          <w:szCs w:val="24"/>
          <w:lang w:val="fr-ML"/>
        </w:rPr>
        <w:t xml:space="preserve">. Cette commission doit </w:t>
      </w:r>
      <w:r w:rsidR="002150C1">
        <w:rPr>
          <w:rFonts w:ascii="Times New Roman" w:hAnsi="Times New Roman" w:cs="Times New Roman"/>
          <w:sz w:val="24"/>
          <w:szCs w:val="24"/>
          <w:lang w:val="fr-ML"/>
        </w:rPr>
        <w:t xml:space="preserve">analyser et </w:t>
      </w:r>
      <w:r w:rsidR="00746F3F">
        <w:rPr>
          <w:rFonts w:ascii="Times New Roman" w:hAnsi="Times New Roman" w:cs="Times New Roman"/>
          <w:sz w:val="24"/>
          <w:szCs w:val="24"/>
          <w:lang w:val="fr-ML"/>
        </w:rPr>
        <w:t>adopter</w:t>
      </w:r>
      <w:r w:rsidR="00746F3F">
        <w:rPr>
          <w:rFonts w:ascii="Times New Roman" w:hAnsi="Times New Roman"/>
          <w:sz w:val="24"/>
          <w:szCs w:val="24"/>
        </w:rPr>
        <w:t xml:space="preserve"> les propositions d’amendement</w:t>
      </w:r>
      <w:r w:rsidR="002150C1">
        <w:rPr>
          <w:rFonts w:ascii="Times New Roman" w:hAnsi="Times New Roman"/>
          <w:sz w:val="24"/>
          <w:szCs w:val="24"/>
        </w:rPr>
        <w:t>,</w:t>
      </w:r>
      <w:r w:rsidR="00746F3F">
        <w:rPr>
          <w:rFonts w:ascii="Times New Roman" w:hAnsi="Times New Roman"/>
          <w:sz w:val="24"/>
          <w:szCs w:val="24"/>
        </w:rPr>
        <w:t xml:space="preserve"> et de les intégrer dans les documents de gouvernance. Les membres de la commission sont : MM. Souleymane Cissé, Daniel Tiveau, Modibo Touré, El hadj Moustaphe Doumbia et Abdoul Aziz Dicko.</w:t>
      </w:r>
    </w:p>
    <w:p w:rsidR="00F1497A" w:rsidRDefault="00915299" w:rsidP="00BD0B07">
      <w:pPr>
        <w:spacing w:after="0"/>
        <w:jc w:val="both"/>
        <w:rPr>
          <w:rFonts w:ascii="Times New Roman" w:hAnsi="Times New Roman"/>
          <w:sz w:val="24"/>
          <w:szCs w:val="24"/>
        </w:rPr>
      </w:pPr>
      <w:r>
        <w:rPr>
          <w:rFonts w:ascii="Times New Roman" w:hAnsi="Times New Roman"/>
          <w:sz w:val="24"/>
          <w:szCs w:val="24"/>
        </w:rPr>
        <w:lastRenderedPageBreak/>
        <w:t xml:space="preserve">Le coordinateur du ST après avoir rédigé les propositions d’amélioration en rapport avec M. Daniel Tiveau de l’ambassade de Suède, les a soumis </w:t>
      </w:r>
      <w:r w:rsidR="00F62094">
        <w:rPr>
          <w:rFonts w:ascii="Times New Roman" w:hAnsi="Times New Roman"/>
          <w:sz w:val="24"/>
          <w:szCs w:val="24"/>
        </w:rPr>
        <w:t xml:space="preserve">à </w:t>
      </w:r>
      <w:r>
        <w:rPr>
          <w:rFonts w:ascii="Times New Roman" w:hAnsi="Times New Roman"/>
          <w:sz w:val="24"/>
          <w:szCs w:val="24"/>
        </w:rPr>
        <w:t xml:space="preserve">la commission de travail mandaté par le CP qui les a examiné, approuvés et intégrer dans les documents de gouvernance </w:t>
      </w:r>
      <w:r w:rsidR="00F62094">
        <w:rPr>
          <w:rFonts w:ascii="Times New Roman" w:hAnsi="Times New Roman"/>
          <w:sz w:val="24"/>
          <w:szCs w:val="24"/>
        </w:rPr>
        <w:t>au cours de deux réunions de travail tenues à l’AEDD les 26 février 29 avril 2016</w:t>
      </w:r>
      <w:r w:rsidR="00F1497A">
        <w:rPr>
          <w:rFonts w:ascii="Times New Roman" w:hAnsi="Times New Roman"/>
          <w:sz w:val="24"/>
          <w:szCs w:val="24"/>
        </w:rPr>
        <w:t xml:space="preserve"> ( cf compte rendu en Annexe</w:t>
      </w:r>
      <w:r w:rsidR="002150C1">
        <w:rPr>
          <w:rFonts w:ascii="Times New Roman" w:hAnsi="Times New Roman"/>
          <w:sz w:val="24"/>
          <w:szCs w:val="24"/>
        </w:rPr>
        <w:t xml:space="preserve"> 1et 2 </w:t>
      </w:r>
      <w:r w:rsidR="00F1497A">
        <w:rPr>
          <w:rFonts w:ascii="Times New Roman" w:hAnsi="Times New Roman"/>
          <w:sz w:val="24"/>
          <w:szCs w:val="24"/>
        </w:rPr>
        <w:t>)</w:t>
      </w:r>
      <w:r w:rsidR="00F62094">
        <w:rPr>
          <w:rFonts w:ascii="Times New Roman" w:hAnsi="Times New Roman"/>
          <w:sz w:val="24"/>
          <w:szCs w:val="24"/>
        </w:rPr>
        <w:t xml:space="preserve">. </w:t>
      </w:r>
      <w:r w:rsidR="002B689E">
        <w:rPr>
          <w:rFonts w:ascii="Times New Roman" w:hAnsi="Times New Roman"/>
          <w:sz w:val="24"/>
          <w:szCs w:val="24"/>
        </w:rPr>
        <w:t xml:space="preserve">Après adoption les documents ont été transmis aux </w:t>
      </w:r>
      <w:r w:rsidR="00F1497A">
        <w:rPr>
          <w:rFonts w:ascii="Times New Roman" w:hAnsi="Times New Roman"/>
          <w:sz w:val="24"/>
          <w:szCs w:val="24"/>
        </w:rPr>
        <w:t>membres à tous les membres du Comité de Pilotage. Il s’agit des documents suivants :</w:t>
      </w:r>
    </w:p>
    <w:p w:rsidR="00915299" w:rsidRDefault="00F1497A" w:rsidP="00BD0B07">
      <w:pPr>
        <w:pStyle w:val="ListParagraph"/>
        <w:numPr>
          <w:ilvl w:val="0"/>
          <w:numId w:val="3"/>
        </w:numPr>
        <w:jc w:val="both"/>
        <w:rPr>
          <w:rFonts w:ascii="Times New Roman" w:hAnsi="Times New Roman"/>
          <w:sz w:val="24"/>
          <w:szCs w:val="24"/>
        </w:rPr>
      </w:pPr>
      <w:r>
        <w:rPr>
          <w:rFonts w:ascii="Times New Roman" w:hAnsi="Times New Roman"/>
          <w:sz w:val="24"/>
          <w:szCs w:val="24"/>
        </w:rPr>
        <w:t>Le Manuel de procédures Administratives, Comptables et Financières ;</w:t>
      </w:r>
      <w:r w:rsidR="002B689E" w:rsidRPr="00F1497A">
        <w:rPr>
          <w:rFonts w:ascii="Times New Roman" w:hAnsi="Times New Roman"/>
          <w:sz w:val="24"/>
          <w:szCs w:val="24"/>
        </w:rPr>
        <w:t xml:space="preserve"> </w:t>
      </w:r>
    </w:p>
    <w:p w:rsidR="00F1497A" w:rsidRDefault="00F1497A" w:rsidP="00BD0B07">
      <w:pPr>
        <w:pStyle w:val="ListParagraph"/>
        <w:numPr>
          <w:ilvl w:val="0"/>
          <w:numId w:val="3"/>
        </w:numPr>
        <w:jc w:val="both"/>
        <w:rPr>
          <w:rFonts w:ascii="Times New Roman" w:hAnsi="Times New Roman"/>
          <w:sz w:val="24"/>
          <w:szCs w:val="24"/>
        </w:rPr>
      </w:pPr>
      <w:r>
        <w:rPr>
          <w:rFonts w:ascii="Times New Roman" w:hAnsi="Times New Roman"/>
          <w:sz w:val="24"/>
          <w:szCs w:val="24"/>
        </w:rPr>
        <w:t>Le Manuel de Suivi et Evaluation des projets et programmes financés par le FCM ;</w:t>
      </w:r>
    </w:p>
    <w:p w:rsidR="00F1497A" w:rsidRDefault="00F1497A" w:rsidP="00BD0B07">
      <w:pPr>
        <w:pStyle w:val="ListParagraph"/>
        <w:numPr>
          <w:ilvl w:val="0"/>
          <w:numId w:val="3"/>
        </w:numPr>
        <w:spacing w:after="0"/>
        <w:jc w:val="both"/>
        <w:rPr>
          <w:rFonts w:ascii="Times New Roman" w:hAnsi="Times New Roman"/>
          <w:sz w:val="24"/>
          <w:szCs w:val="24"/>
        </w:rPr>
      </w:pPr>
      <w:r>
        <w:rPr>
          <w:rFonts w:ascii="Times New Roman" w:hAnsi="Times New Roman"/>
          <w:sz w:val="24"/>
          <w:szCs w:val="24"/>
        </w:rPr>
        <w:t>Le Règlement Intérieur du Comité de pilotage</w:t>
      </w:r>
    </w:p>
    <w:p w:rsidR="002150C1" w:rsidRPr="003A45A2" w:rsidRDefault="002150C1" w:rsidP="00BD0B07">
      <w:pPr>
        <w:pStyle w:val="ListParagraph"/>
        <w:spacing w:after="0"/>
        <w:ind w:left="1080"/>
        <w:jc w:val="both"/>
        <w:rPr>
          <w:rFonts w:ascii="Times New Roman" w:hAnsi="Times New Roman"/>
          <w:sz w:val="24"/>
          <w:szCs w:val="24"/>
        </w:rPr>
      </w:pPr>
    </w:p>
    <w:p w:rsidR="002150C1" w:rsidRPr="00BF219C" w:rsidRDefault="00C936D1" w:rsidP="00BD0B07">
      <w:pPr>
        <w:pStyle w:val="ListParagraph"/>
        <w:numPr>
          <w:ilvl w:val="0"/>
          <w:numId w:val="1"/>
        </w:numPr>
        <w:spacing w:after="0"/>
        <w:jc w:val="both"/>
        <w:rPr>
          <w:rFonts w:ascii="Times New Roman" w:hAnsi="Times New Roman" w:cs="Times New Roman"/>
          <w:b/>
          <w:sz w:val="24"/>
          <w:szCs w:val="24"/>
          <w:u w:val="single"/>
          <w:lang w:val="fr-ML"/>
        </w:rPr>
      </w:pPr>
      <w:r>
        <w:rPr>
          <w:rFonts w:ascii="Times New Roman" w:hAnsi="Times New Roman" w:cs="Times New Roman"/>
          <w:b/>
          <w:sz w:val="24"/>
          <w:szCs w:val="24"/>
          <w:u w:val="single"/>
          <w:lang w:val="fr-ML"/>
        </w:rPr>
        <w:t>L’analyse et l’approbation des projets et p</w:t>
      </w:r>
      <w:r w:rsidR="00AB0199" w:rsidRPr="00746BAB">
        <w:rPr>
          <w:rFonts w:ascii="Times New Roman" w:hAnsi="Times New Roman" w:cs="Times New Roman"/>
          <w:b/>
          <w:sz w:val="24"/>
          <w:szCs w:val="24"/>
          <w:u w:val="single"/>
          <w:lang w:val="fr-ML"/>
        </w:rPr>
        <w:t>rogrammes soumis au financement du Fonds Climat Mali</w:t>
      </w:r>
    </w:p>
    <w:p w:rsidR="00BD0B07" w:rsidRDefault="00BD0B07" w:rsidP="00BD0B07">
      <w:pPr>
        <w:jc w:val="both"/>
        <w:rPr>
          <w:rFonts w:ascii="Times New Roman" w:hAnsi="Times New Roman" w:cs="Times New Roman"/>
          <w:sz w:val="24"/>
          <w:szCs w:val="24"/>
          <w:lang w:val="fr-ML"/>
        </w:rPr>
      </w:pPr>
    </w:p>
    <w:p w:rsidR="00195141" w:rsidRDefault="00464F42" w:rsidP="00BD0B07">
      <w:pPr>
        <w:jc w:val="both"/>
        <w:rPr>
          <w:rFonts w:ascii="Times New Roman" w:hAnsi="Times New Roman"/>
          <w:sz w:val="24"/>
          <w:szCs w:val="24"/>
        </w:rPr>
      </w:pPr>
      <w:r w:rsidRPr="00464F42">
        <w:rPr>
          <w:rFonts w:ascii="Times New Roman" w:hAnsi="Times New Roman" w:cs="Times New Roman"/>
          <w:sz w:val="24"/>
          <w:szCs w:val="24"/>
          <w:lang w:val="fr-ML"/>
        </w:rPr>
        <w:t>Confor</w:t>
      </w:r>
      <w:r>
        <w:rPr>
          <w:rFonts w:ascii="Times New Roman" w:hAnsi="Times New Roman" w:cs="Times New Roman"/>
          <w:sz w:val="24"/>
          <w:szCs w:val="24"/>
          <w:lang w:val="fr-ML"/>
        </w:rPr>
        <w:t>mément aux recommandations de la sessi</w:t>
      </w:r>
      <w:r w:rsidR="00C936D1">
        <w:rPr>
          <w:rFonts w:ascii="Times New Roman" w:hAnsi="Times New Roman" w:cs="Times New Roman"/>
          <w:sz w:val="24"/>
          <w:szCs w:val="24"/>
          <w:lang w:val="fr-ML"/>
        </w:rPr>
        <w:t xml:space="preserve">on extraordinaire du Comité de Pilotage du 10 </w:t>
      </w:r>
      <w:r>
        <w:rPr>
          <w:rFonts w:ascii="Times New Roman" w:hAnsi="Times New Roman" w:cs="Times New Roman"/>
          <w:sz w:val="24"/>
          <w:szCs w:val="24"/>
          <w:lang w:val="fr-ML"/>
        </w:rPr>
        <w:t>septembre 2015, le Secrétariat Technique a analysé huit(8) propositions de projets et programmes</w:t>
      </w:r>
      <w:r w:rsidR="00CA0C32">
        <w:rPr>
          <w:rFonts w:ascii="Times New Roman" w:hAnsi="Times New Roman" w:cs="Times New Roman"/>
          <w:sz w:val="24"/>
          <w:szCs w:val="24"/>
          <w:lang w:val="fr-ML"/>
        </w:rPr>
        <w:t>,</w:t>
      </w:r>
      <w:r>
        <w:rPr>
          <w:rFonts w:ascii="Times New Roman" w:hAnsi="Times New Roman" w:cs="Times New Roman"/>
          <w:sz w:val="24"/>
          <w:szCs w:val="24"/>
          <w:lang w:val="fr-ML"/>
        </w:rPr>
        <w:t xml:space="preserve">  et </w:t>
      </w:r>
      <w:r w:rsidR="00CA0C32">
        <w:rPr>
          <w:rFonts w:ascii="Times New Roman" w:hAnsi="Times New Roman" w:cs="Times New Roman"/>
          <w:sz w:val="24"/>
          <w:szCs w:val="24"/>
          <w:lang w:val="fr-ML"/>
        </w:rPr>
        <w:t xml:space="preserve">a </w:t>
      </w:r>
      <w:r>
        <w:rPr>
          <w:rFonts w:ascii="Times New Roman" w:hAnsi="Times New Roman" w:cs="Times New Roman"/>
          <w:sz w:val="24"/>
          <w:szCs w:val="24"/>
          <w:lang w:val="fr-ML"/>
        </w:rPr>
        <w:t>soumis son rapport d’</w:t>
      </w:r>
      <w:r w:rsidR="00195141">
        <w:rPr>
          <w:rFonts w:ascii="Times New Roman" w:hAnsi="Times New Roman" w:cs="Times New Roman"/>
          <w:sz w:val="24"/>
          <w:szCs w:val="24"/>
          <w:lang w:val="fr-ML"/>
        </w:rPr>
        <w:t xml:space="preserve">analyse </w:t>
      </w:r>
      <w:r w:rsidR="00CA0C32">
        <w:rPr>
          <w:rFonts w:ascii="Times New Roman" w:hAnsi="Times New Roman" w:cs="Times New Roman"/>
          <w:sz w:val="24"/>
          <w:szCs w:val="24"/>
          <w:lang w:val="fr-ML"/>
        </w:rPr>
        <w:t xml:space="preserve">au Comité de Pilotage </w:t>
      </w:r>
      <w:r w:rsidR="00195141">
        <w:rPr>
          <w:rFonts w:ascii="Times New Roman" w:hAnsi="Times New Roman" w:cs="Times New Roman"/>
          <w:sz w:val="24"/>
          <w:szCs w:val="24"/>
          <w:lang w:val="fr-ML"/>
        </w:rPr>
        <w:t xml:space="preserve">lors de sa quatrième session du 12 février 2016. Après discussion le Comité de Pilotage a mandaté une </w:t>
      </w:r>
      <w:r w:rsidR="00CA0C32">
        <w:rPr>
          <w:rFonts w:ascii="Times New Roman" w:hAnsi="Times New Roman" w:cs="Times New Roman"/>
          <w:sz w:val="24"/>
          <w:szCs w:val="24"/>
          <w:lang w:val="fr-ML"/>
        </w:rPr>
        <w:t xml:space="preserve"> </w:t>
      </w:r>
      <w:r w:rsidR="00195141">
        <w:rPr>
          <w:rFonts w:ascii="Times New Roman" w:hAnsi="Times New Roman" w:cs="Times New Roman"/>
          <w:sz w:val="24"/>
          <w:szCs w:val="24"/>
          <w:lang w:val="fr-ML"/>
        </w:rPr>
        <w:t xml:space="preserve">commission pour analyser et </w:t>
      </w:r>
      <w:r>
        <w:rPr>
          <w:rFonts w:ascii="Times New Roman" w:hAnsi="Times New Roman" w:cs="Times New Roman"/>
          <w:sz w:val="24"/>
          <w:szCs w:val="24"/>
          <w:lang w:val="fr-ML"/>
        </w:rPr>
        <w:t xml:space="preserve"> </w:t>
      </w:r>
      <w:r w:rsidR="00195141">
        <w:rPr>
          <w:rFonts w:ascii="Times New Roman" w:hAnsi="Times New Roman" w:cs="Times New Roman"/>
          <w:sz w:val="24"/>
          <w:szCs w:val="24"/>
          <w:lang w:val="fr-ML"/>
        </w:rPr>
        <w:t>approuver les allocations de financement au</w:t>
      </w:r>
      <w:r w:rsidR="00C936D1">
        <w:rPr>
          <w:rFonts w:ascii="Times New Roman" w:hAnsi="Times New Roman" w:cs="Times New Roman"/>
          <w:sz w:val="24"/>
          <w:szCs w:val="24"/>
          <w:lang w:val="fr-ML"/>
        </w:rPr>
        <w:t>x quatre (4)</w:t>
      </w:r>
      <w:r w:rsidR="00195141">
        <w:rPr>
          <w:rFonts w:ascii="Times New Roman" w:hAnsi="Times New Roman" w:cs="Times New Roman"/>
          <w:sz w:val="24"/>
          <w:szCs w:val="24"/>
          <w:lang w:val="fr-ML"/>
        </w:rPr>
        <w:t xml:space="preserve"> meilleur</w:t>
      </w:r>
      <w:r w:rsidR="00C936D1">
        <w:rPr>
          <w:rFonts w:ascii="Times New Roman" w:hAnsi="Times New Roman" w:cs="Times New Roman"/>
          <w:sz w:val="24"/>
          <w:szCs w:val="24"/>
          <w:lang w:val="fr-ML"/>
        </w:rPr>
        <w:t>s</w:t>
      </w:r>
      <w:r w:rsidR="00195141">
        <w:rPr>
          <w:rFonts w:ascii="Times New Roman" w:hAnsi="Times New Roman" w:cs="Times New Roman"/>
          <w:sz w:val="24"/>
          <w:szCs w:val="24"/>
          <w:lang w:val="fr-ML"/>
        </w:rPr>
        <w:t xml:space="preserve"> projet</w:t>
      </w:r>
      <w:r w:rsidR="00C936D1">
        <w:rPr>
          <w:rFonts w:ascii="Times New Roman" w:hAnsi="Times New Roman" w:cs="Times New Roman"/>
          <w:sz w:val="24"/>
          <w:szCs w:val="24"/>
          <w:lang w:val="fr-ML"/>
        </w:rPr>
        <w:t>s</w:t>
      </w:r>
      <w:r w:rsidR="00195141">
        <w:rPr>
          <w:rFonts w:ascii="Times New Roman" w:hAnsi="Times New Roman" w:cs="Times New Roman"/>
          <w:sz w:val="24"/>
          <w:szCs w:val="24"/>
          <w:lang w:val="fr-ML"/>
        </w:rPr>
        <w:t>, en tenant compte des propositions déjà financés pour éviter des chevauchements géographique et thématique.</w:t>
      </w:r>
      <w:r>
        <w:rPr>
          <w:rFonts w:ascii="Times New Roman" w:hAnsi="Times New Roman" w:cs="Times New Roman"/>
          <w:sz w:val="24"/>
          <w:szCs w:val="24"/>
          <w:lang w:val="fr-ML"/>
        </w:rPr>
        <w:t xml:space="preserve"> </w:t>
      </w:r>
      <w:r w:rsidR="00370CFE">
        <w:rPr>
          <w:rFonts w:ascii="Times New Roman" w:hAnsi="Times New Roman"/>
          <w:sz w:val="24"/>
          <w:szCs w:val="24"/>
        </w:rPr>
        <w:t xml:space="preserve">La </w:t>
      </w:r>
      <w:r w:rsidR="00195141">
        <w:rPr>
          <w:rFonts w:ascii="Times New Roman" w:hAnsi="Times New Roman"/>
          <w:sz w:val="24"/>
          <w:szCs w:val="24"/>
        </w:rPr>
        <w:t xml:space="preserve"> commission </w:t>
      </w:r>
      <w:r w:rsidR="00370CFE">
        <w:rPr>
          <w:rFonts w:ascii="Times New Roman" w:hAnsi="Times New Roman"/>
          <w:sz w:val="24"/>
          <w:szCs w:val="24"/>
        </w:rPr>
        <w:t xml:space="preserve">est </w:t>
      </w:r>
      <w:r w:rsidR="00195141">
        <w:rPr>
          <w:rFonts w:ascii="Times New Roman" w:hAnsi="Times New Roman"/>
          <w:sz w:val="24"/>
          <w:szCs w:val="24"/>
        </w:rPr>
        <w:t>composée de MM. Souleymane Cissé, Daniel Tiveau, Souleymane</w:t>
      </w:r>
      <w:r w:rsidR="00370CFE">
        <w:rPr>
          <w:rFonts w:ascii="Times New Roman" w:hAnsi="Times New Roman"/>
          <w:sz w:val="24"/>
          <w:szCs w:val="24"/>
        </w:rPr>
        <w:t xml:space="preserve"> A. Guindo et Abdoul Aziz Dicko</w:t>
      </w:r>
      <w:r w:rsidR="00C936D1">
        <w:rPr>
          <w:rFonts w:ascii="Times New Roman" w:hAnsi="Times New Roman"/>
          <w:sz w:val="24"/>
          <w:szCs w:val="24"/>
        </w:rPr>
        <w:t xml:space="preserve">.   </w:t>
      </w:r>
    </w:p>
    <w:p w:rsidR="00322140" w:rsidRDefault="00C936D1" w:rsidP="00BD0B07">
      <w:pPr>
        <w:jc w:val="both"/>
        <w:rPr>
          <w:rFonts w:ascii="Times New Roman" w:hAnsi="Times New Roman"/>
          <w:sz w:val="24"/>
          <w:szCs w:val="24"/>
        </w:rPr>
      </w:pPr>
      <w:r w:rsidRPr="0076267A">
        <w:rPr>
          <w:rFonts w:ascii="Times New Roman" w:hAnsi="Times New Roman"/>
          <w:sz w:val="24"/>
          <w:szCs w:val="24"/>
        </w:rPr>
        <w:t>La commiss</w:t>
      </w:r>
      <w:r w:rsidR="0076267A" w:rsidRPr="0076267A">
        <w:rPr>
          <w:rFonts w:ascii="Times New Roman" w:hAnsi="Times New Roman"/>
          <w:sz w:val="24"/>
          <w:szCs w:val="24"/>
        </w:rPr>
        <w:t>i</w:t>
      </w:r>
      <w:r w:rsidRPr="0076267A">
        <w:rPr>
          <w:rFonts w:ascii="Times New Roman" w:hAnsi="Times New Roman"/>
          <w:sz w:val="24"/>
          <w:szCs w:val="24"/>
        </w:rPr>
        <w:t>on</w:t>
      </w:r>
      <w:r w:rsidR="0076267A" w:rsidRPr="0076267A">
        <w:rPr>
          <w:rFonts w:ascii="Times New Roman" w:hAnsi="Times New Roman"/>
          <w:sz w:val="24"/>
          <w:szCs w:val="24"/>
        </w:rPr>
        <w:t xml:space="preserve">  a examiné et analysé les  projets et programmes soumis au financement du FCM, en tenant compte des observations formulées par les membres du Comité de Pilotage lors de la quatrième session </w:t>
      </w:r>
      <w:r w:rsidR="0076267A">
        <w:rPr>
          <w:rFonts w:ascii="Times New Roman" w:hAnsi="Times New Roman"/>
          <w:sz w:val="24"/>
          <w:szCs w:val="24"/>
        </w:rPr>
        <w:t>et de celles reçue</w:t>
      </w:r>
      <w:r w:rsidR="00BD0B07">
        <w:rPr>
          <w:rFonts w:ascii="Times New Roman" w:hAnsi="Times New Roman"/>
          <w:sz w:val="24"/>
          <w:szCs w:val="24"/>
        </w:rPr>
        <w:t>s des membres du CP</w:t>
      </w:r>
      <w:r w:rsidR="002150C1">
        <w:rPr>
          <w:rFonts w:ascii="Times New Roman" w:hAnsi="Times New Roman"/>
          <w:sz w:val="24"/>
          <w:szCs w:val="24"/>
        </w:rPr>
        <w:t xml:space="preserve"> après la</w:t>
      </w:r>
      <w:r w:rsidR="0076267A">
        <w:rPr>
          <w:rFonts w:ascii="Times New Roman" w:hAnsi="Times New Roman"/>
          <w:sz w:val="24"/>
          <w:szCs w:val="24"/>
        </w:rPr>
        <w:t xml:space="preserve"> réunion.</w:t>
      </w:r>
      <w:r w:rsidR="0076267A" w:rsidRPr="0076267A">
        <w:rPr>
          <w:rFonts w:ascii="Times New Roman" w:hAnsi="Times New Roman"/>
          <w:sz w:val="24"/>
          <w:szCs w:val="24"/>
        </w:rPr>
        <w:t xml:space="preserve"> </w:t>
      </w:r>
      <w:r w:rsidR="00322140">
        <w:rPr>
          <w:rFonts w:ascii="Times New Roman" w:hAnsi="Times New Roman"/>
          <w:sz w:val="24"/>
          <w:szCs w:val="24"/>
        </w:rPr>
        <w:t>Après deux réunions de travail la commission a classé par ordre de mérite les huit (8) propositions en approuvant</w:t>
      </w:r>
      <w:r w:rsidR="003A45A2">
        <w:rPr>
          <w:rFonts w:ascii="Times New Roman" w:hAnsi="Times New Roman"/>
          <w:sz w:val="24"/>
          <w:szCs w:val="24"/>
        </w:rPr>
        <w:t xml:space="preserve"> le financement pour</w:t>
      </w:r>
      <w:r w:rsidR="00322140">
        <w:rPr>
          <w:rFonts w:ascii="Times New Roman" w:hAnsi="Times New Roman"/>
          <w:sz w:val="24"/>
          <w:szCs w:val="24"/>
        </w:rPr>
        <w:t xml:space="preserve"> les quatre (4) meilleurs propositions</w:t>
      </w:r>
      <w:r w:rsidR="003A45A2">
        <w:rPr>
          <w:rFonts w:ascii="Times New Roman" w:hAnsi="Times New Roman"/>
          <w:sz w:val="24"/>
          <w:szCs w:val="24"/>
        </w:rPr>
        <w:t>.</w:t>
      </w:r>
      <w:r w:rsidR="00322140">
        <w:rPr>
          <w:rFonts w:ascii="Times New Roman" w:hAnsi="Times New Roman"/>
          <w:sz w:val="24"/>
          <w:szCs w:val="24"/>
        </w:rPr>
        <w:t xml:space="preserve"> </w:t>
      </w:r>
    </w:p>
    <w:p w:rsidR="003A45A2" w:rsidRDefault="003A45A2" w:rsidP="00BD0B07">
      <w:pPr>
        <w:jc w:val="both"/>
        <w:rPr>
          <w:rFonts w:ascii="Times New Roman" w:hAnsi="Times New Roman"/>
          <w:sz w:val="24"/>
          <w:szCs w:val="24"/>
        </w:rPr>
      </w:pPr>
      <w:r>
        <w:rPr>
          <w:rFonts w:ascii="Times New Roman" w:hAnsi="Times New Roman"/>
          <w:sz w:val="24"/>
          <w:szCs w:val="24"/>
        </w:rPr>
        <w:t>Le Tableau suivant donne la situation des propositions retenues :</w:t>
      </w:r>
    </w:p>
    <w:p w:rsidR="003A45A2" w:rsidRPr="002150C1" w:rsidRDefault="003A45A2" w:rsidP="00BD0B07">
      <w:pPr>
        <w:jc w:val="both"/>
        <w:rPr>
          <w:rFonts w:ascii="Times New Roman" w:hAnsi="Times New Roman"/>
        </w:rPr>
      </w:pPr>
      <w:r w:rsidRPr="002150C1">
        <w:rPr>
          <w:rFonts w:ascii="Times New Roman" w:hAnsi="Times New Roman"/>
        </w:rPr>
        <w:t>Tableau 1</w:t>
      </w:r>
    </w:p>
    <w:tbl>
      <w:tblPr>
        <w:tblStyle w:val="TableGrid"/>
        <w:tblW w:w="0" w:type="auto"/>
        <w:tblLook w:val="04A0" w:firstRow="1" w:lastRow="0" w:firstColumn="1" w:lastColumn="0" w:noHBand="0" w:noVBand="1"/>
      </w:tblPr>
      <w:tblGrid>
        <w:gridCol w:w="3652"/>
        <w:gridCol w:w="1985"/>
        <w:gridCol w:w="1275"/>
        <w:gridCol w:w="2127"/>
      </w:tblGrid>
      <w:tr w:rsidR="00322140" w:rsidRPr="002150C1" w:rsidTr="002150C1">
        <w:tc>
          <w:tcPr>
            <w:tcW w:w="3652" w:type="dxa"/>
            <w:shd w:val="clear" w:color="auto" w:fill="auto"/>
          </w:tcPr>
          <w:p w:rsidR="00322140" w:rsidRPr="002150C1" w:rsidRDefault="00322140" w:rsidP="00BD0B07">
            <w:pPr>
              <w:tabs>
                <w:tab w:val="left" w:pos="7125"/>
              </w:tabs>
              <w:spacing w:line="276" w:lineRule="auto"/>
              <w:jc w:val="both"/>
              <w:rPr>
                <w:rFonts w:ascii="Times New Roman" w:hAnsi="Times New Roman" w:cs="Times New Roman"/>
                <w:b/>
                <w:lang w:val="fr-ML"/>
              </w:rPr>
            </w:pPr>
            <w:r w:rsidRPr="002150C1">
              <w:rPr>
                <w:rFonts w:ascii="Times New Roman" w:hAnsi="Times New Roman" w:cs="Times New Roman"/>
                <w:b/>
                <w:lang w:val="fr-ML"/>
              </w:rPr>
              <w:t xml:space="preserve">Titre de la proposition </w:t>
            </w:r>
          </w:p>
        </w:tc>
        <w:tc>
          <w:tcPr>
            <w:tcW w:w="1985" w:type="dxa"/>
            <w:shd w:val="clear" w:color="auto" w:fill="auto"/>
          </w:tcPr>
          <w:p w:rsidR="00322140" w:rsidRPr="002150C1" w:rsidRDefault="00322140" w:rsidP="00BD0B07">
            <w:pPr>
              <w:tabs>
                <w:tab w:val="left" w:pos="7125"/>
              </w:tabs>
              <w:spacing w:line="276" w:lineRule="auto"/>
              <w:jc w:val="both"/>
              <w:rPr>
                <w:rFonts w:ascii="Times New Roman" w:hAnsi="Times New Roman" w:cs="Times New Roman"/>
                <w:b/>
                <w:lang w:val="fr-ML"/>
              </w:rPr>
            </w:pPr>
            <w:r w:rsidRPr="002150C1">
              <w:rPr>
                <w:rFonts w:ascii="Times New Roman" w:hAnsi="Times New Roman" w:cs="Times New Roman"/>
                <w:b/>
                <w:lang w:val="fr-ML"/>
              </w:rPr>
              <w:t>Porteurs de la proposition</w:t>
            </w:r>
          </w:p>
        </w:tc>
        <w:tc>
          <w:tcPr>
            <w:tcW w:w="1275" w:type="dxa"/>
            <w:shd w:val="clear" w:color="auto" w:fill="auto"/>
          </w:tcPr>
          <w:p w:rsidR="00322140" w:rsidRPr="002150C1" w:rsidRDefault="00322140" w:rsidP="00BD0B07">
            <w:pPr>
              <w:tabs>
                <w:tab w:val="left" w:pos="7125"/>
              </w:tabs>
              <w:spacing w:line="276" w:lineRule="auto"/>
              <w:jc w:val="both"/>
              <w:rPr>
                <w:rFonts w:ascii="Times New Roman" w:hAnsi="Times New Roman" w:cs="Times New Roman"/>
                <w:b/>
                <w:lang w:val="fr-ML"/>
              </w:rPr>
            </w:pPr>
            <w:r w:rsidRPr="002150C1">
              <w:rPr>
                <w:rFonts w:ascii="Times New Roman" w:hAnsi="Times New Roman" w:cs="Times New Roman"/>
                <w:b/>
                <w:lang w:val="fr-ML"/>
              </w:rPr>
              <w:t>Montant</w:t>
            </w:r>
          </w:p>
          <w:p w:rsidR="00322140" w:rsidRPr="002150C1" w:rsidRDefault="00322140" w:rsidP="00BD0B07">
            <w:pPr>
              <w:tabs>
                <w:tab w:val="left" w:pos="7125"/>
              </w:tabs>
              <w:spacing w:line="276" w:lineRule="auto"/>
              <w:jc w:val="both"/>
              <w:rPr>
                <w:rFonts w:ascii="Times New Roman" w:hAnsi="Times New Roman" w:cs="Times New Roman"/>
                <w:b/>
                <w:lang w:val="fr-ML"/>
              </w:rPr>
            </w:pPr>
            <w:r w:rsidRPr="002150C1">
              <w:rPr>
                <w:rFonts w:ascii="Times New Roman" w:hAnsi="Times New Roman" w:cs="Times New Roman"/>
                <w:b/>
                <w:lang w:val="fr-ML"/>
              </w:rPr>
              <w:t>USD</w:t>
            </w:r>
          </w:p>
        </w:tc>
        <w:tc>
          <w:tcPr>
            <w:tcW w:w="2127" w:type="dxa"/>
            <w:shd w:val="clear" w:color="auto" w:fill="auto"/>
          </w:tcPr>
          <w:p w:rsidR="00322140" w:rsidRPr="002150C1" w:rsidRDefault="00322140" w:rsidP="00BD0B07">
            <w:pPr>
              <w:tabs>
                <w:tab w:val="left" w:pos="7125"/>
              </w:tabs>
              <w:spacing w:line="276" w:lineRule="auto"/>
              <w:jc w:val="both"/>
              <w:rPr>
                <w:rFonts w:ascii="Times New Roman" w:hAnsi="Times New Roman" w:cs="Times New Roman"/>
                <w:b/>
                <w:lang w:val="fr-ML"/>
              </w:rPr>
            </w:pPr>
            <w:r w:rsidRPr="002150C1">
              <w:rPr>
                <w:rFonts w:ascii="Times New Roman" w:hAnsi="Times New Roman" w:cs="Times New Roman"/>
                <w:b/>
                <w:lang w:val="fr-ML"/>
              </w:rPr>
              <w:t xml:space="preserve"> Domaines d’intervention</w:t>
            </w:r>
          </w:p>
        </w:tc>
      </w:tr>
      <w:tr w:rsidR="00322140" w:rsidRPr="002150C1" w:rsidTr="002150C1">
        <w:tc>
          <w:tcPr>
            <w:tcW w:w="3652" w:type="dxa"/>
            <w:shd w:val="clear" w:color="auto" w:fill="auto"/>
          </w:tcPr>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lang w:val="fr-ML"/>
              </w:rPr>
              <w:t>Programme de Développement des Capacités de Production Aquacole Résiliente et Durables adaptés aux Changements Climatiques</w:t>
            </w:r>
          </w:p>
        </w:tc>
        <w:tc>
          <w:tcPr>
            <w:tcW w:w="1985" w:type="dxa"/>
            <w:shd w:val="clear" w:color="auto" w:fill="auto"/>
          </w:tcPr>
          <w:p w:rsidR="00322140" w:rsidRPr="002150C1" w:rsidRDefault="00322140" w:rsidP="00BD0B07">
            <w:pPr>
              <w:tabs>
                <w:tab w:val="left" w:pos="7125"/>
              </w:tabs>
              <w:jc w:val="both"/>
              <w:rPr>
                <w:rFonts w:ascii="Times New Roman" w:hAnsi="Times New Roman" w:cs="Times New Roman"/>
                <w:b/>
                <w:lang w:val="fr-ML"/>
              </w:rPr>
            </w:pPr>
          </w:p>
          <w:p w:rsidR="00322140" w:rsidRPr="002150C1" w:rsidRDefault="00322140" w:rsidP="00BD0B07">
            <w:pPr>
              <w:tabs>
                <w:tab w:val="left" w:pos="7125"/>
              </w:tabs>
              <w:jc w:val="both"/>
              <w:rPr>
                <w:rFonts w:ascii="Times New Roman" w:hAnsi="Times New Roman" w:cs="Times New Roman"/>
                <w:b/>
                <w:lang w:val="fr-ML"/>
              </w:rPr>
            </w:pPr>
            <w:r w:rsidRPr="002150C1">
              <w:rPr>
                <w:rFonts w:ascii="Times New Roman" w:hAnsi="Times New Roman" w:cs="Times New Roman"/>
                <w:b/>
                <w:lang w:val="fr-ML"/>
              </w:rPr>
              <w:t>FAO-Mali et Direction Nationale de la Pêche</w:t>
            </w:r>
          </w:p>
        </w:tc>
        <w:tc>
          <w:tcPr>
            <w:tcW w:w="1275" w:type="dxa"/>
            <w:shd w:val="clear" w:color="auto" w:fill="auto"/>
          </w:tcPr>
          <w:p w:rsidR="00322140" w:rsidRPr="002150C1" w:rsidRDefault="00322140" w:rsidP="00BD0B07">
            <w:pPr>
              <w:tabs>
                <w:tab w:val="left" w:pos="7125"/>
              </w:tabs>
              <w:spacing w:line="276" w:lineRule="auto"/>
              <w:jc w:val="both"/>
              <w:rPr>
                <w:rFonts w:ascii="Times New Roman" w:hAnsi="Times New Roman" w:cs="Times New Roman"/>
                <w:b/>
                <w:lang w:val="fr-ML"/>
              </w:rPr>
            </w:pPr>
            <w:r w:rsidRPr="002150C1">
              <w:rPr>
                <w:rFonts w:ascii="Times New Roman" w:hAnsi="Times New Roman" w:cs="Times New Roman"/>
                <w:b/>
                <w:lang w:val="fr-ML"/>
              </w:rPr>
              <w:t xml:space="preserve">900 669 </w:t>
            </w:r>
          </w:p>
        </w:tc>
        <w:tc>
          <w:tcPr>
            <w:tcW w:w="2127" w:type="dxa"/>
          </w:tcPr>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lang w:val="fr-ML"/>
              </w:rPr>
              <w:t>Pisciculture associée à la riziculture</w:t>
            </w:r>
          </w:p>
        </w:tc>
      </w:tr>
      <w:tr w:rsidR="00322140" w:rsidRPr="002150C1" w:rsidTr="002150C1">
        <w:tc>
          <w:tcPr>
            <w:tcW w:w="3652" w:type="dxa"/>
            <w:shd w:val="clear" w:color="auto" w:fill="auto"/>
          </w:tcPr>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lang w:val="fr-ML"/>
              </w:rPr>
              <w:t>Programme Appui à l’Amélioration de la Productivité Agricole, Animale, Piscicole pour la Réduction de la Vulnérabilité aux Changements Climatiques des Petits Exploitations Agricoles Familiales dans le Cercle de Kita.</w:t>
            </w:r>
          </w:p>
        </w:tc>
        <w:tc>
          <w:tcPr>
            <w:tcW w:w="1985" w:type="dxa"/>
            <w:shd w:val="clear" w:color="auto" w:fill="auto"/>
          </w:tcPr>
          <w:p w:rsidR="00322140" w:rsidRPr="002150C1" w:rsidRDefault="00322140" w:rsidP="00BD0B07">
            <w:pPr>
              <w:tabs>
                <w:tab w:val="left" w:pos="7125"/>
              </w:tabs>
              <w:jc w:val="both"/>
              <w:rPr>
                <w:rFonts w:ascii="Times New Roman" w:hAnsi="Times New Roman" w:cs="Times New Roman"/>
                <w:b/>
                <w:lang w:val="fr-ML"/>
              </w:rPr>
            </w:pPr>
          </w:p>
          <w:p w:rsidR="00322140" w:rsidRPr="002150C1" w:rsidRDefault="00322140" w:rsidP="00BD0B07">
            <w:pPr>
              <w:tabs>
                <w:tab w:val="left" w:pos="7125"/>
              </w:tabs>
              <w:jc w:val="both"/>
              <w:rPr>
                <w:rFonts w:ascii="Times New Roman" w:hAnsi="Times New Roman" w:cs="Times New Roman"/>
                <w:b/>
                <w:lang w:val="fr-ML"/>
              </w:rPr>
            </w:pPr>
            <w:r w:rsidRPr="002150C1">
              <w:rPr>
                <w:rFonts w:ascii="Times New Roman" w:hAnsi="Times New Roman" w:cs="Times New Roman"/>
                <w:b/>
                <w:lang w:val="fr-ML"/>
              </w:rPr>
              <w:t>PNUD- Mali</w:t>
            </w:r>
          </w:p>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b/>
                <w:lang w:val="fr-ML"/>
              </w:rPr>
              <w:t>Seco-ONG</w:t>
            </w:r>
          </w:p>
        </w:tc>
        <w:tc>
          <w:tcPr>
            <w:tcW w:w="1275" w:type="dxa"/>
            <w:shd w:val="clear" w:color="auto" w:fill="auto"/>
          </w:tcPr>
          <w:p w:rsidR="00322140" w:rsidRPr="002150C1" w:rsidRDefault="00322140" w:rsidP="00BD0B07">
            <w:pPr>
              <w:tabs>
                <w:tab w:val="left" w:pos="7125"/>
              </w:tabs>
              <w:spacing w:line="360" w:lineRule="auto"/>
              <w:jc w:val="both"/>
              <w:rPr>
                <w:rFonts w:ascii="Times New Roman" w:hAnsi="Times New Roman" w:cs="Times New Roman"/>
                <w:lang w:val="fr-ML"/>
              </w:rPr>
            </w:pPr>
            <w:r w:rsidRPr="002150C1">
              <w:rPr>
                <w:rFonts w:ascii="Times New Roman" w:hAnsi="Times New Roman" w:cs="Times New Roman"/>
                <w:b/>
                <w:bCs/>
                <w:iCs/>
              </w:rPr>
              <w:t>966 490</w:t>
            </w:r>
          </w:p>
        </w:tc>
        <w:tc>
          <w:tcPr>
            <w:tcW w:w="2127" w:type="dxa"/>
          </w:tcPr>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lang w:val="fr-ML"/>
              </w:rPr>
              <w:t>Intensification de l’Agriculture et la Restauration des Terres</w:t>
            </w:r>
          </w:p>
        </w:tc>
      </w:tr>
      <w:tr w:rsidR="00322140" w:rsidRPr="002150C1" w:rsidTr="002150C1">
        <w:trPr>
          <w:trHeight w:val="593"/>
        </w:trPr>
        <w:tc>
          <w:tcPr>
            <w:tcW w:w="3652" w:type="dxa"/>
            <w:shd w:val="clear" w:color="auto" w:fill="auto"/>
          </w:tcPr>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lang w:val="fr-ML"/>
              </w:rPr>
              <w:lastRenderedPageBreak/>
              <w:t>Climat et Energie au Mali (CEMALI)</w:t>
            </w:r>
          </w:p>
        </w:tc>
        <w:tc>
          <w:tcPr>
            <w:tcW w:w="1985" w:type="dxa"/>
            <w:shd w:val="clear" w:color="auto" w:fill="auto"/>
          </w:tcPr>
          <w:p w:rsidR="00322140" w:rsidRPr="002150C1" w:rsidRDefault="00322140" w:rsidP="00BD0B07">
            <w:pPr>
              <w:tabs>
                <w:tab w:val="left" w:pos="7125"/>
              </w:tabs>
              <w:spacing w:line="276" w:lineRule="auto"/>
              <w:jc w:val="both"/>
              <w:rPr>
                <w:rFonts w:ascii="Times New Roman" w:hAnsi="Times New Roman" w:cs="Times New Roman"/>
                <w:b/>
                <w:lang w:val="fr-ML"/>
              </w:rPr>
            </w:pPr>
            <w:r w:rsidRPr="002150C1">
              <w:rPr>
                <w:rFonts w:ascii="Times New Roman" w:hAnsi="Times New Roman" w:cs="Times New Roman"/>
                <w:b/>
                <w:lang w:val="fr-ML"/>
              </w:rPr>
              <w:t xml:space="preserve">ONU-femmes GERES </w:t>
            </w:r>
          </w:p>
        </w:tc>
        <w:tc>
          <w:tcPr>
            <w:tcW w:w="1275" w:type="dxa"/>
            <w:shd w:val="clear" w:color="auto" w:fill="auto"/>
          </w:tcPr>
          <w:p w:rsidR="00322140" w:rsidRPr="002150C1" w:rsidRDefault="00322140" w:rsidP="00BD0B07">
            <w:pPr>
              <w:tabs>
                <w:tab w:val="left" w:pos="7125"/>
              </w:tabs>
              <w:spacing w:line="360" w:lineRule="auto"/>
              <w:jc w:val="both"/>
              <w:rPr>
                <w:rFonts w:ascii="Times New Roman" w:hAnsi="Times New Roman" w:cs="Times New Roman"/>
                <w:lang w:val="fr-ML"/>
              </w:rPr>
            </w:pPr>
            <w:r w:rsidRPr="002150C1">
              <w:rPr>
                <w:rFonts w:ascii="Times New Roman" w:hAnsi="Times New Roman" w:cs="Times New Roman"/>
                <w:b/>
                <w:bCs/>
                <w:iCs/>
              </w:rPr>
              <w:t>846 342</w:t>
            </w:r>
          </w:p>
        </w:tc>
        <w:tc>
          <w:tcPr>
            <w:tcW w:w="2127" w:type="dxa"/>
          </w:tcPr>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lang w:val="fr-ML"/>
              </w:rPr>
              <w:t>Filière bois énergie</w:t>
            </w:r>
          </w:p>
        </w:tc>
      </w:tr>
      <w:tr w:rsidR="00322140" w:rsidRPr="002150C1" w:rsidTr="002150C1">
        <w:tc>
          <w:tcPr>
            <w:tcW w:w="3652" w:type="dxa"/>
            <w:shd w:val="clear" w:color="auto" w:fill="auto"/>
          </w:tcPr>
          <w:p w:rsidR="00322140" w:rsidRPr="002150C1" w:rsidRDefault="00322140" w:rsidP="00BD0B07">
            <w:pPr>
              <w:jc w:val="both"/>
              <w:rPr>
                <w:rFonts w:ascii="Times New Roman" w:hAnsi="Times New Roman" w:cs="Times New Roman"/>
                <w:lang w:val="fr-ML"/>
              </w:rPr>
            </w:pPr>
            <w:r w:rsidRPr="002150C1">
              <w:rPr>
                <w:rFonts w:ascii="Times New Roman" w:hAnsi="Times New Roman" w:cs="Times New Roman"/>
                <w:lang w:val="fr-ML"/>
              </w:rPr>
              <w:t>Programme de Réduction des effets néfastes des Changements dans le Delta Intérieur du Niger</w:t>
            </w:r>
          </w:p>
        </w:tc>
        <w:tc>
          <w:tcPr>
            <w:tcW w:w="1985" w:type="dxa"/>
            <w:shd w:val="clear" w:color="auto" w:fill="auto"/>
          </w:tcPr>
          <w:p w:rsidR="00322140" w:rsidRPr="002150C1" w:rsidRDefault="00322140" w:rsidP="00BD0B07">
            <w:pPr>
              <w:tabs>
                <w:tab w:val="left" w:pos="7125"/>
              </w:tabs>
              <w:spacing w:line="360" w:lineRule="auto"/>
              <w:jc w:val="both"/>
              <w:rPr>
                <w:rFonts w:ascii="Times New Roman" w:hAnsi="Times New Roman" w:cs="Times New Roman"/>
                <w:b/>
                <w:lang w:val="fr-ML"/>
              </w:rPr>
            </w:pPr>
            <w:r w:rsidRPr="002150C1">
              <w:rPr>
                <w:rFonts w:ascii="Times New Roman" w:hAnsi="Times New Roman" w:cs="Times New Roman"/>
                <w:b/>
                <w:lang w:val="fr-ML"/>
              </w:rPr>
              <w:t>PNUD- Mali</w:t>
            </w:r>
          </w:p>
          <w:p w:rsidR="00322140" w:rsidRPr="002150C1" w:rsidRDefault="00322140" w:rsidP="00BD0B07">
            <w:pPr>
              <w:tabs>
                <w:tab w:val="left" w:pos="7125"/>
              </w:tabs>
              <w:spacing w:line="360" w:lineRule="auto"/>
              <w:jc w:val="both"/>
              <w:rPr>
                <w:rFonts w:ascii="Times New Roman" w:hAnsi="Times New Roman" w:cs="Times New Roman"/>
                <w:b/>
                <w:lang w:val="fr-ML"/>
              </w:rPr>
            </w:pPr>
          </w:p>
        </w:tc>
        <w:tc>
          <w:tcPr>
            <w:tcW w:w="1275" w:type="dxa"/>
            <w:shd w:val="clear" w:color="auto" w:fill="auto"/>
          </w:tcPr>
          <w:p w:rsidR="00322140" w:rsidRPr="002150C1" w:rsidRDefault="00322140" w:rsidP="00BD0B07">
            <w:pPr>
              <w:tabs>
                <w:tab w:val="left" w:pos="7125"/>
              </w:tabs>
              <w:spacing w:line="360" w:lineRule="auto"/>
              <w:jc w:val="both"/>
              <w:rPr>
                <w:rFonts w:ascii="Times New Roman" w:hAnsi="Times New Roman" w:cs="Times New Roman"/>
                <w:b/>
                <w:lang w:val="fr-ML"/>
              </w:rPr>
            </w:pPr>
            <w:r w:rsidRPr="002150C1">
              <w:rPr>
                <w:rFonts w:ascii="Times New Roman" w:hAnsi="Times New Roman" w:cs="Times New Roman"/>
                <w:b/>
                <w:lang w:val="fr-ML"/>
              </w:rPr>
              <w:t>945 345</w:t>
            </w:r>
          </w:p>
        </w:tc>
        <w:tc>
          <w:tcPr>
            <w:tcW w:w="2127" w:type="dxa"/>
          </w:tcPr>
          <w:p w:rsidR="00322140" w:rsidRPr="002150C1" w:rsidRDefault="00322140" w:rsidP="00BD0B07">
            <w:pPr>
              <w:tabs>
                <w:tab w:val="left" w:pos="7125"/>
              </w:tabs>
              <w:jc w:val="both"/>
              <w:rPr>
                <w:rFonts w:ascii="Times New Roman" w:hAnsi="Times New Roman" w:cs="Times New Roman"/>
                <w:lang w:val="fr-ML"/>
              </w:rPr>
            </w:pPr>
            <w:r w:rsidRPr="002150C1">
              <w:rPr>
                <w:rFonts w:ascii="Times New Roman" w:hAnsi="Times New Roman" w:cs="Times New Roman"/>
                <w:lang w:val="fr-ML"/>
              </w:rPr>
              <w:t xml:space="preserve">Eau (accès à l’eau potable, captage d’eau de surface) </w:t>
            </w:r>
          </w:p>
        </w:tc>
      </w:tr>
      <w:tr w:rsidR="00322140" w:rsidRPr="002150C1" w:rsidTr="002150C1">
        <w:tc>
          <w:tcPr>
            <w:tcW w:w="3652" w:type="dxa"/>
            <w:shd w:val="clear" w:color="auto" w:fill="auto"/>
          </w:tcPr>
          <w:p w:rsidR="00322140" w:rsidRPr="002150C1" w:rsidRDefault="00322140" w:rsidP="00BD0B07">
            <w:pPr>
              <w:tabs>
                <w:tab w:val="left" w:pos="7125"/>
              </w:tabs>
              <w:spacing w:line="276" w:lineRule="auto"/>
              <w:jc w:val="both"/>
              <w:rPr>
                <w:rFonts w:ascii="Times New Roman" w:hAnsi="Times New Roman" w:cs="Times New Roman"/>
                <w:lang w:val="fr-ML"/>
              </w:rPr>
            </w:pPr>
            <w:r w:rsidRPr="002150C1">
              <w:rPr>
                <w:rFonts w:ascii="Times New Roman" w:hAnsi="Times New Roman" w:cs="Times New Roman"/>
                <w:lang w:val="fr-ML"/>
              </w:rPr>
              <w:t>Total</w:t>
            </w:r>
          </w:p>
        </w:tc>
        <w:tc>
          <w:tcPr>
            <w:tcW w:w="1985" w:type="dxa"/>
            <w:shd w:val="clear" w:color="auto" w:fill="auto"/>
          </w:tcPr>
          <w:p w:rsidR="00322140" w:rsidRPr="002150C1" w:rsidRDefault="00322140" w:rsidP="00BD0B07">
            <w:pPr>
              <w:tabs>
                <w:tab w:val="left" w:pos="7125"/>
              </w:tabs>
              <w:spacing w:line="360" w:lineRule="auto"/>
              <w:jc w:val="both"/>
              <w:rPr>
                <w:rFonts w:ascii="Times New Roman" w:hAnsi="Times New Roman" w:cs="Times New Roman"/>
                <w:lang w:val="fr-ML"/>
              </w:rPr>
            </w:pPr>
          </w:p>
        </w:tc>
        <w:tc>
          <w:tcPr>
            <w:tcW w:w="1275" w:type="dxa"/>
            <w:shd w:val="clear" w:color="auto" w:fill="auto"/>
          </w:tcPr>
          <w:p w:rsidR="00322140" w:rsidRPr="002150C1" w:rsidRDefault="00322140" w:rsidP="00BD0B07">
            <w:pPr>
              <w:tabs>
                <w:tab w:val="left" w:pos="7125"/>
              </w:tabs>
              <w:spacing w:line="360" w:lineRule="auto"/>
              <w:jc w:val="both"/>
              <w:rPr>
                <w:rFonts w:ascii="Times New Roman" w:hAnsi="Times New Roman" w:cs="Times New Roman"/>
                <w:b/>
                <w:lang w:val="fr-ML"/>
              </w:rPr>
            </w:pPr>
            <w:r w:rsidRPr="002150C1">
              <w:rPr>
                <w:rFonts w:ascii="Times New Roman" w:hAnsi="Times New Roman" w:cs="Times New Roman"/>
                <w:b/>
                <w:lang w:val="fr-ML"/>
              </w:rPr>
              <w:t>3 658 846</w:t>
            </w:r>
          </w:p>
        </w:tc>
        <w:tc>
          <w:tcPr>
            <w:tcW w:w="2127" w:type="dxa"/>
          </w:tcPr>
          <w:p w:rsidR="00322140" w:rsidRPr="002150C1" w:rsidRDefault="00322140" w:rsidP="00BD0B07">
            <w:pPr>
              <w:tabs>
                <w:tab w:val="left" w:pos="7125"/>
              </w:tabs>
              <w:spacing w:line="360" w:lineRule="auto"/>
              <w:jc w:val="both"/>
              <w:rPr>
                <w:rFonts w:ascii="Times New Roman" w:hAnsi="Times New Roman" w:cs="Times New Roman"/>
                <w:lang w:val="fr-ML"/>
              </w:rPr>
            </w:pPr>
          </w:p>
        </w:tc>
      </w:tr>
    </w:tbl>
    <w:p w:rsidR="00322140" w:rsidRDefault="00322140" w:rsidP="00BD0B07">
      <w:pPr>
        <w:jc w:val="both"/>
        <w:rPr>
          <w:rFonts w:ascii="Times New Roman" w:hAnsi="Times New Roman"/>
          <w:sz w:val="24"/>
          <w:szCs w:val="24"/>
        </w:rPr>
      </w:pPr>
    </w:p>
    <w:p w:rsidR="00F1497A" w:rsidRPr="00F859B7" w:rsidRDefault="003A45A2" w:rsidP="00BD0B07">
      <w:pPr>
        <w:jc w:val="both"/>
        <w:rPr>
          <w:rFonts w:ascii="Times New Roman" w:hAnsi="Times New Roman"/>
          <w:sz w:val="24"/>
          <w:szCs w:val="24"/>
        </w:rPr>
      </w:pPr>
      <w:r>
        <w:rPr>
          <w:rFonts w:ascii="Times New Roman" w:hAnsi="Times New Roman"/>
          <w:sz w:val="24"/>
          <w:szCs w:val="24"/>
        </w:rPr>
        <w:t xml:space="preserve">Les </w:t>
      </w:r>
      <w:r w:rsidR="0076267A" w:rsidRPr="0076267A">
        <w:rPr>
          <w:rFonts w:ascii="Times New Roman" w:hAnsi="Times New Roman"/>
          <w:sz w:val="24"/>
          <w:szCs w:val="24"/>
        </w:rPr>
        <w:t xml:space="preserve"> </w:t>
      </w:r>
      <w:r>
        <w:rPr>
          <w:rFonts w:ascii="Times New Roman" w:hAnsi="Times New Roman"/>
          <w:sz w:val="24"/>
          <w:szCs w:val="24"/>
        </w:rPr>
        <w:t xml:space="preserve">comptes rendus des réunions de la commission </w:t>
      </w:r>
      <w:r w:rsidR="0076267A" w:rsidRPr="0076267A">
        <w:rPr>
          <w:rFonts w:ascii="Times New Roman" w:hAnsi="Times New Roman"/>
          <w:sz w:val="24"/>
          <w:szCs w:val="24"/>
        </w:rPr>
        <w:t>ont été transmis à tous les membres du Comité de pilotage par courriel en date du 02 juin 2016</w:t>
      </w:r>
      <w:r>
        <w:rPr>
          <w:rFonts w:ascii="Times New Roman" w:hAnsi="Times New Roman"/>
          <w:sz w:val="24"/>
          <w:szCs w:val="24"/>
        </w:rPr>
        <w:t xml:space="preserve"> (cf </w:t>
      </w:r>
      <w:r w:rsidR="00940875">
        <w:rPr>
          <w:rFonts w:ascii="Times New Roman" w:hAnsi="Times New Roman"/>
          <w:sz w:val="24"/>
          <w:szCs w:val="24"/>
        </w:rPr>
        <w:t xml:space="preserve">comptes rendus </w:t>
      </w:r>
      <w:r>
        <w:rPr>
          <w:rFonts w:ascii="Times New Roman" w:hAnsi="Times New Roman"/>
          <w:sz w:val="24"/>
          <w:szCs w:val="24"/>
        </w:rPr>
        <w:t>annexe 3 et 4)</w:t>
      </w:r>
      <w:r w:rsidR="0076267A" w:rsidRPr="0076267A">
        <w:rPr>
          <w:rFonts w:ascii="Times New Roman" w:hAnsi="Times New Roman"/>
          <w:sz w:val="24"/>
          <w:szCs w:val="24"/>
        </w:rPr>
        <w:t>.</w:t>
      </w:r>
      <w:r w:rsidR="00C936D1" w:rsidRPr="0076267A">
        <w:rPr>
          <w:rFonts w:ascii="Times New Roman" w:hAnsi="Times New Roman"/>
          <w:sz w:val="24"/>
          <w:szCs w:val="24"/>
        </w:rPr>
        <w:t xml:space="preserve"> </w:t>
      </w:r>
    </w:p>
    <w:p w:rsidR="00AB0199" w:rsidRPr="002150C1" w:rsidRDefault="00BD28DF" w:rsidP="00BD0B07">
      <w:pPr>
        <w:pStyle w:val="ListParagraph"/>
        <w:numPr>
          <w:ilvl w:val="0"/>
          <w:numId w:val="1"/>
        </w:numPr>
        <w:jc w:val="both"/>
        <w:rPr>
          <w:rFonts w:ascii="Times New Roman" w:hAnsi="Times New Roman" w:cs="Times New Roman"/>
          <w:b/>
          <w:sz w:val="24"/>
          <w:szCs w:val="24"/>
          <w:u w:val="single"/>
          <w:lang w:val="fr-ML"/>
        </w:rPr>
      </w:pPr>
      <w:r w:rsidRPr="002150C1">
        <w:rPr>
          <w:rFonts w:ascii="Times New Roman" w:hAnsi="Times New Roman" w:cs="Times New Roman"/>
          <w:b/>
          <w:sz w:val="24"/>
          <w:szCs w:val="24"/>
          <w:u w:val="single"/>
          <w:lang w:val="fr-ML"/>
        </w:rPr>
        <w:t>L</w:t>
      </w:r>
      <w:r w:rsidR="00AB0199" w:rsidRPr="002150C1">
        <w:rPr>
          <w:rFonts w:ascii="Times New Roman" w:hAnsi="Times New Roman" w:cs="Times New Roman"/>
          <w:b/>
          <w:sz w:val="24"/>
          <w:szCs w:val="24"/>
          <w:u w:val="single"/>
          <w:lang w:val="fr-ML"/>
        </w:rPr>
        <w:t>a réactualisation et l’amélioration des p</w:t>
      </w:r>
      <w:r w:rsidR="00F859B7" w:rsidRPr="002150C1">
        <w:rPr>
          <w:rFonts w:ascii="Times New Roman" w:hAnsi="Times New Roman" w:cs="Times New Roman"/>
          <w:b/>
          <w:sz w:val="24"/>
          <w:szCs w:val="24"/>
          <w:u w:val="single"/>
          <w:lang w:val="fr-ML"/>
        </w:rPr>
        <w:t>rojets  et programmes approuvés</w:t>
      </w:r>
    </w:p>
    <w:p w:rsidR="00F859B7" w:rsidRPr="00F859B7" w:rsidRDefault="00F859B7" w:rsidP="00BD0B07">
      <w:pPr>
        <w:jc w:val="both"/>
        <w:rPr>
          <w:rFonts w:ascii="Times New Roman" w:hAnsi="Times New Roman" w:cs="Times New Roman"/>
          <w:sz w:val="24"/>
          <w:szCs w:val="24"/>
          <w:lang w:val="fr-ML"/>
        </w:rPr>
      </w:pPr>
      <w:r>
        <w:rPr>
          <w:rFonts w:ascii="Times New Roman" w:hAnsi="Times New Roman" w:cs="Times New Roman"/>
          <w:sz w:val="24"/>
          <w:szCs w:val="24"/>
          <w:lang w:val="fr-ML"/>
        </w:rPr>
        <w:t>L’</w:t>
      </w:r>
      <w:r w:rsidR="00F20D7E">
        <w:rPr>
          <w:rFonts w:ascii="Times New Roman" w:hAnsi="Times New Roman" w:cs="Times New Roman"/>
          <w:sz w:val="24"/>
          <w:szCs w:val="24"/>
          <w:lang w:val="fr-ML"/>
        </w:rPr>
        <w:t>analyse des projets et programmes a permis de relever beaucoup d’insuffisances dans le montage des propositions. Après l’approbation, le Secrétariat Technique a</w:t>
      </w:r>
      <w:r w:rsidR="006014B8">
        <w:rPr>
          <w:rFonts w:ascii="Times New Roman" w:hAnsi="Times New Roman" w:cs="Times New Roman"/>
          <w:sz w:val="24"/>
          <w:szCs w:val="24"/>
          <w:lang w:val="fr-ML"/>
        </w:rPr>
        <w:t xml:space="preserve"> réexaminé les propositions et un recueil des observations faisant ressortir les points faibles et autres insuffisances à corriger a été envoyé à chacun des soumissionnaires dont la proposition a été retenue. Ensuite le Secré</w:t>
      </w:r>
      <w:r w:rsidR="00584820">
        <w:rPr>
          <w:rFonts w:ascii="Times New Roman" w:hAnsi="Times New Roman" w:cs="Times New Roman"/>
          <w:sz w:val="24"/>
          <w:szCs w:val="24"/>
          <w:lang w:val="fr-ML"/>
        </w:rPr>
        <w:t xml:space="preserve">tariat Technique a eu des </w:t>
      </w:r>
      <w:r w:rsidR="006014B8">
        <w:rPr>
          <w:rFonts w:ascii="Times New Roman" w:hAnsi="Times New Roman" w:cs="Times New Roman"/>
          <w:sz w:val="24"/>
          <w:szCs w:val="24"/>
          <w:lang w:val="fr-ML"/>
        </w:rPr>
        <w:t xml:space="preserve">réunions avec les soumissionnaires et leurs partenaires de </w:t>
      </w:r>
      <w:r w:rsidR="00584820">
        <w:rPr>
          <w:rFonts w:ascii="Times New Roman" w:hAnsi="Times New Roman" w:cs="Times New Roman"/>
          <w:sz w:val="24"/>
          <w:szCs w:val="24"/>
          <w:lang w:val="fr-ML"/>
        </w:rPr>
        <w:t>mise en œuvre pour corriger les propositions avant des envoyer au bureau MPTF pour un dernier contrôle.</w:t>
      </w:r>
    </w:p>
    <w:p w:rsidR="00AB0199" w:rsidRPr="00584820" w:rsidRDefault="00BD28DF" w:rsidP="00BD0B07">
      <w:pPr>
        <w:pStyle w:val="ListParagraph"/>
        <w:numPr>
          <w:ilvl w:val="0"/>
          <w:numId w:val="1"/>
        </w:numPr>
        <w:jc w:val="both"/>
        <w:rPr>
          <w:rFonts w:ascii="Times New Roman" w:hAnsi="Times New Roman" w:cs="Times New Roman"/>
          <w:b/>
          <w:sz w:val="24"/>
          <w:szCs w:val="24"/>
          <w:u w:val="single"/>
          <w:lang w:val="fr-ML"/>
        </w:rPr>
      </w:pPr>
      <w:r w:rsidRPr="00584820">
        <w:rPr>
          <w:rFonts w:ascii="Times New Roman" w:hAnsi="Times New Roman" w:cs="Times New Roman"/>
          <w:b/>
          <w:sz w:val="24"/>
          <w:szCs w:val="24"/>
          <w:u w:val="single"/>
          <w:lang w:val="fr-ML"/>
        </w:rPr>
        <w:t xml:space="preserve">L’élaboration </w:t>
      </w:r>
      <w:r w:rsidR="00AB0199" w:rsidRPr="00584820">
        <w:rPr>
          <w:rFonts w:ascii="Times New Roman" w:hAnsi="Times New Roman" w:cs="Times New Roman"/>
          <w:b/>
          <w:sz w:val="24"/>
          <w:szCs w:val="24"/>
          <w:u w:val="single"/>
          <w:lang w:val="fr-ML"/>
        </w:rPr>
        <w:t xml:space="preserve"> </w:t>
      </w:r>
      <w:r w:rsidRPr="00584820">
        <w:rPr>
          <w:rFonts w:ascii="Times New Roman" w:hAnsi="Times New Roman" w:cs="Times New Roman"/>
          <w:b/>
          <w:sz w:val="24"/>
          <w:szCs w:val="24"/>
          <w:u w:val="single"/>
          <w:lang w:val="fr-ML"/>
        </w:rPr>
        <w:t>du</w:t>
      </w:r>
      <w:r w:rsidR="00584820">
        <w:rPr>
          <w:rFonts w:ascii="Times New Roman" w:hAnsi="Times New Roman" w:cs="Times New Roman"/>
          <w:b/>
          <w:sz w:val="24"/>
          <w:szCs w:val="24"/>
          <w:u w:val="single"/>
          <w:lang w:val="fr-ML"/>
        </w:rPr>
        <w:t xml:space="preserve"> rapport annuel du Fonds Climat</w:t>
      </w:r>
    </w:p>
    <w:p w:rsidR="00584820" w:rsidRPr="00584820" w:rsidRDefault="00584820" w:rsidP="00BD0B07">
      <w:pPr>
        <w:jc w:val="both"/>
        <w:rPr>
          <w:rFonts w:ascii="Times New Roman" w:hAnsi="Times New Roman" w:cs="Times New Roman"/>
          <w:sz w:val="24"/>
          <w:szCs w:val="24"/>
          <w:lang w:val="fr-ML"/>
        </w:rPr>
      </w:pPr>
      <w:r>
        <w:rPr>
          <w:rFonts w:ascii="Times New Roman" w:hAnsi="Times New Roman" w:cs="Times New Roman"/>
          <w:sz w:val="24"/>
          <w:szCs w:val="24"/>
          <w:lang w:val="fr-ML"/>
        </w:rPr>
        <w:t>Le Secrétariat Technique a participé à l’élaboration du rapport annuel 2016 du Fonds Climat Mali en rapport avec le Bureau MPTF du PNUD à New York.</w:t>
      </w:r>
    </w:p>
    <w:p w:rsidR="00BD28DF" w:rsidRDefault="00BD28DF" w:rsidP="00BD0B07">
      <w:pPr>
        <w:pStyle w:val="ListParagraph"/>
        <w:numPr>
          <w:ilvl w:val="0"/>
          <w:numId w:val="1"/>
        </w:numPr>
        <w:jc w:val="both"/>
        <w:rPr>
          <w:rFonts w:ascii="Times New Roman" w:hAnsi="Times New Roman" w:cs="Times New Roman"/>
          <w:b/>
          <w:sz w:val="24"/>
          <w:szCs w:val="24"/>
          <w:u w:val="single"/>
          <w:lang w:val="fr-ML"/>
        </w:rPr>
      </w:pPr>
      <w:r w:rsidRPr="00584820">
        <w:rPr>
          <w:rFonts w:ascii="Times New Roman" w:hAnsi="Times New Roman" w:cs="Times New Roman"/>
          <w:b/>
          <w:sz w:val="24"/>
          <w:szCs w:val="24"/>
          <w:u w:val="single"/>
          <w:lang w:val="fr-ML"/>
        </w:rPr>
        <w:t>L’élaboration et l’approbation des termes de référence du Pl</w:t>
      </w:r>
      <w:r w:rsidR="00584820" w:rsidRPr="00584820">
        <w:rPr>
          <w:rFonts w:ascii="Times New Roman" w:hAnsi="Times New Roman" w:cs="Times New Roman"/>
          <w:b/>
          <w:sz w:val="24"/>
          <w:szCs w:val="24"/>
          <w:u w:val="single"/>
          <w:lang w:val="fr-ML"/>
        </w:rPr>
        <w:t>an d’Investissement Stratégique</w:t>
      </w:r>
    </w:p>
    <w:p w:rsidR="00584820" w:rsidRDefault="00584820" w:rsidP="00BD0B07">
      <w:pPr>
        <w:pStyle w:val="NoSpacing"/>
        <w:spacing w:after="240"/>
        <w:jc w:val="both"/>
        <w:rPr>
          <w:rFonts w:ascii="Times New Roman" w:hAnsi="Times New Roman"/>
          <w:sz w:val="24"/>
          <w:szCs w:val="24"/>
        </w:rPr>
      </w:pPr>
      <w:r w:rsidRPr="00584820">
        <w:rPr>
          <w:rFonts w:ascii="Times New Roman" w:hAnsi="Times New Roman"/>
          <w:sz w:val="24"/>
          <w:szCs w:val="24"/>
          <w:lang w:val="fr-ML"/>
        </w:rPr>
        <w:t>Conformément aux recommandation</w:t>
      </w:r>
      <w:r>
        <w:rPr>
          <w:rFonts w:ascii="Times New Roman" w:hAnsi="Times New Roman"/>
          <w:sz w:val="24"/>
          <w:szCs w:val="24"/>
          <w:lang w:val="fr-ML"/>
        </w:rPr>
        <w:t>s de la 4</w:t>
      </w:r>
      <w:r w:rsidRPr="00584820">
        <w:rPr>
          <w:rFonts w:ascii="Times New Roman" w:hAnsi="Times New Roman"/>
          <w:sz w:val="24"/>
          <w:szCs w:val="24"/>
          <w:vertAlign w:val="superscript"/>
          <w:lang w:val="fr-ML"/>
        </w:rPr>
        <w:t>ème</w:t>
      </w:r>
      <w:r>
        <w:rPr>
          <w:rFonts w:ascii="Times New Roman" w:hAnsi="Times New Roman"/>
          <w:sz w:val="24"/>
          <w:szCs w:val="24"/>
          <w:lang w:val="fr-ML"/>
        </w:rPr>
        <w:t xml:space="preserve"> session ordinaire du Comité de Pilotage, le Secrétariat Technique</w:t>
      </w:r>
      <w:r w:rsidR="00777FE9">
        <w:rPr>
          <w:rFonts w:ascii="Times New Roman" w:hAnsi="Times New Roman"/>
          <w:sz w:val="24"/>
          <w:szCs w:val="24"/>
          <w:lang w:val="fr-ML"/>
        </w:rPr>
        <w:t xml:space="preserve"> </w:t>
      </w:r>
      <w:r w:rsidR="00777FE9" w:rsidRPr="00777FE9">
        <w:rPr>
          <w:rFonts w:ascii="Times New Roman" w:hAnsi="Times New Roman"/>
          <w:sz w:val="24"/>
          <w:szCs w:val="24"/>
        </w:rPr>
        <w:t>a réactualisé et apporté des améliorations aux TdRs du Plan d’Investissement Stratégique et les a soumis aux membres du Comité de Pilotage par courriel en date du 07 mars 2016</w:t>
      </w:r>
      <w:r w:rsidR="00777FE9">
        <w:rPr>
          <w:rFonts w:ascii="Times New Roman" w:hAnsi="Times New Roman"/>
          <w:sz w:val="24"/>
          <w:szCs w:val="24"/>
        </w:rPr>
        <w:t>.</w:t>
      </w:r>
      <w:r w:rsidR="00777FE9" w:rsidRPr="00777FE9">
        <w:rPr>
          <w:rFonts w:ascii="Times New Roman" w:hAnsi="Times New Roman"/>
          <w:sz w:val="24"/>
          <w:szCs w:val="24"/>
        </w:rPr>
        <w:t xml:space="preserve"> </w:t>
      </w:r>
      <w:r w:rsidR="00777FE9">
        <w:rPr>
          <w:rFonts w:ascii="Times New Roman" w:hAnsi="Times New Roman"/>
          <w:sz w:val="24"/>
          <w:szCs w:val="24"/>
        </w:rPr>
        <w:t>Lors de sa 5</w:t>
      </w:r>
      <w:r w:rsidR="00777FE9" w:rsidRPr="00777FE9">
        <w:rPr>
          <w:rFonts w:ascii="Times New Roman" w:hAnsi="Times New Roman"/>
          <w:sz w:val="24"/>
          <w:szCs w:val="24"/>
          <w:vertAlign w:val="superscript"/>
        </w:rPr>
        <w:t>ème</w:t>
      </w:r>
      <w:r w:rsidR="00777FE9">
        <w:rPr>
          <w:rFonts w:ascii="Times New Roman" w:hAnsi="Times New Roman"/>
          <w:sz w:val="24"/>
          <w:szCs w:val="24"/>
        </w:rPr>
        <w:t xml:space="preserve"> session du 04 novembre, le Comité de pilotage a adopté les termes de référence du Plan d’Investissement Stratégique qui ont été transmis à la GIZ pour exécution.</w:t>
      </w:r>
    </w:p>
    <w:p w:rsidR="00777FE9" w:rsidRDefault="00777FE9" w:rsidP="00BD0B07">
      <w:pPr>
        <w:pStyle w:val="NoSpacing"/>
        <w:numPr>
          <w:ilvl w:val="0"/>
          <w:numId w:val="1"/>
        </w:numPr>
        <w:spacing w:after="240"/>
        <w:jc w:val="both"/>
        <w:rPr>
          <w:rFonts w:ascii="Times New Roman" w:hAnsi="Times New Roman"/>
          <w:b/>
          <w:sz w:val="24"/>
          <w:szCs w:val="24"/>
          <w:u w:val="single"/>
        </w:rPr>
      </w:pPr>
      <w:r w:rsidRPr="00777FE9">
        <w:rPr>
          <w:rFonts w:ascii="Times New Roman" w:hAnsi="Times New Roman"/>
          <w:b/>
          <w:sz w:val="24"/>
          <w:szCs w:val="24"/>
          <w:u w:val="single"/>
        </w:rPr>
        <w:t>Les missions de suivi et évaluation des projets et programmes en cours d’exécution</w:t>
      </w:r>
    </w:p>
    <w:p w:rsidR="00777FE9" w:rsidRDefault="00777FE9" w:rsidP="00BD0B07">
      <w:pPr>
        <w:pStyle w:val="NoSpacing"/>
        <w:spacing w:after="240"/>
        <w:jc w:val="both"/>
        <w:rPr>
          <w:rFonts w:ascii="Times New Roman" w:hAnsi="Times New Roman"/>
          <w:sz w:val="24"/>
          <w:szCs w:val="24"/>
        </w:rPr>
      </w:pPr>
      <w:r w:rsidRPr="00777FE9">
        <w:rPr>
          <w:rFonts w:ascii="Times New Roman" w:hAnsi="Times New Roman"/>
          <w:sz w:val="24"/>
          <w:szCs w:val="24"/>
        </w:rPr>
        <w:t xml:space="preserve">Au cours du </w:t>
      </w:r>
      <w:r>
        <w:rPr>
          <w:rFonts w:ascii="Times New Roman" w:hAnsi="Times New Roman"/>
          <w:sz w:val="24"/>
          <w:szCs w:val="24"/>
        </w:rPr>
        <w:t>premier semestre 2016, le Secrétariat Technique n’a pas pu exécuter son plan de suivi évaluation par manque de fina</w:t>
      </w:r>
      <w:r w:rsidR="00841EC8">
        <w:rPr>
          <w:rFonts w:ascii="Times New Roman" w:hAnsi="Times New Roman"/>
          <w:sz w:val="24"/>
          <w:szCs w:val="24"/>
        </w:rPr>
        <w:t xml:space="preserve">ncement. Il a fallu attendre la contribution suédoise pour organiser les missions. </w:t>
      </w:r>
    </w:p>
    <w:p w:rsidR="00E60D44" w:rsidRPr="00606A60" w:rsidRDefault="00841EC8" w:rsidP="00BD0B07">
      <w:pPr>
        <w:autoSpaceDE w:val="0"/>
        <w:autoSpaceDN w:val="0"/>
        <w:adjustRightInd w:val="0"/>
        <w:spacing w:after="0"/>
        <w:jc w:val="both"/>
        <w:rPr>
          <w:rFonts w:ascii="Times New Roman" w:hAnsi="Times New Roman" w:cs="Times New Roman"/>
          <w:iCs/>
          <w:color w:val="000000"/>
          <w:sz w:val="24"/>
          <w:szCs w:val="24"/>
          <w:lang w:eastAsia="fr-FR"/>
        </w:rPr>
      </w:pPr>
      <w:r w:rsidRPr="00606A60">
        <w:rPr>
          <w:rFonts w:ascii="Times New Roman" w:hAnsi="Times New Roman" w:cs="Times New Roman"/>
          <w:sz w:val="24"/>
          <w:szCs w:val="24"/>
        </w:rPr>
        <w:t xml:space="preserve">La première mission a concerné le projet </w:t>
      </w:r>
      <w:r w:rsidR="00936401" w:rsidRPr="00606A60">
        <w:rPr>
          <w:rFonts w:ascii="Times New Roman" w:hAnsi="Times New Roman" w:cs="Times New Roman"/>
          <w:bCs/>
          <w:sz w:val="24"/>
          <w:szCs w:val="24"/>
        </w:rPr>
        <w:t xml:space="preserve">« Restauration des Sols et Productivité Agricole – </w:t>
      </w:r>
      <w:r w:rsidR="00E60D44" w:rsidRPr="00606A60">
        <w:rPr>
          <w:rFonts w:ascii="Times New Roman" w:hAnsi="Times New Roman" w:cs="Times New Roman"/>
          <w:bCs/>
          <w:sz w:val="24"/>
          <w:szCs w:val="24"/>
        </w:rPr>
        <w:t xml:space="preserve">RTPA ». </w:t>
      </w:r>
      <w:r w:rsidR="00E60D44" w:rsidRPr="00606A60">
        <w:rPr>
          <w:rFonts w:ascii="Times New Roman" w:hAnsi="Times New Roman" w:cs="Times New Roman"/>
          <w:iCs/>
          <w:color w:val="000000"/>
          <w:sz w:val="24"/>
          <w:szCs w:val="24"/>
          <w:lang w:eastAsia="fr-FR"/>
        </w:rPr>
        <w:t>Compte tenu de l’étendu de la zone couverte par le programme</w:t>
      </w:r>
      <w:r w:rsidR="00606A60">
        <w:rPr>
          <w:rFonts w:ascii="Times New Roman" w:hAnsi="Times New Roman" w:cs="Times New Roman"/>
          <w:iCs/>
          <w:color w:val="000000"/>
          <w:sz w:val="24"/>
          <w:szCs w:val="24"/>
          <w:lang w:eastAsia="fr-FR"/>
        </w:rPr>
        <w:t xml:space="preserve"> (43 villages </w:t>
      </w:r>
      <w:r w:rsidR="00E60D44" w:rsidRPr="00606A60">
        <w:rPr>
          <w:rFonts w:ascii="Times New Roman" w:hAnsi="Times New Roman" w:cs="Times New Roman"/>
          <w:iCs/>
          <w:color w:val="000000"/>
          <w:sz w:val="24"/>
          <w:szCs w:val="24"/>
          <w:lang w:eastAsia="fr-FR"/>
        </w:rPr>
        <w:t xml:space="preserve"> repartis dans quatre cercles) et des impératifs de temps, la mission pour sa première sortie a visité les régions de Koulikoro et Ségou, la région de Sikasso étant programmé pour les prochaines </w:t>
      </w:r>
      <w:r w:rsidR="00E60D44" w:rsidRPr="00606A60">
        <w:rPr>
          <w:rFonts w:ascii="Times New Roman" w:hAnsi="Times New Roman" w:cs="Times New Roman"/>
          <w:iCs/>
          <w:color w:val="000000"/>
          <w:sz w:val="24"/>
          <w:szCs w:val="24"/>
          <w:lang w:eastAsia="fr-FR"/>
        </w:rPr>
        <w:lastRenderedPageBreak/>
        <w:t xml:space="preserve">missions. L’équipe </w:t>
      </w:r>
      <w:r w:rsidR="008A045A" w:rsidRPr="00606A60">
        <w:rPr>
          <w:rFonts w:ascii="Times New Roman" w:hAnsi="Times New Roman" w:cs="Times New Roman"/>
          <w:iCs/>
          <w:color w:val="000000"/>
          <w:sz w:val="24"/>
          <w:szCs w:val="24"/>
          <w:lang w:eastAsia="fr-FR"/>
        </w:rPr>
        <w:t xml:space="preserve">de la mission est </w:t>
      </w:r>
      <w:r w:rsidR="00E60D44" w:rsidRPr="00606A60">
        <w:rPr>
          <w:rFonts w:ascii="Times New Roman" w:hAnsi="Times New Roman" w:cs="Times New Roman"/>
          <w:iCs/>
          <w:color w:val="000000"/>
          <w:sz w:val="24"/>
          <w:szCs w:val="24"/>
          <w:lang w:eastAsia="fr-FR"/>
        </w:rPr>
        <w:t>composé</w:t>
      </w:r>
      <w:r w:rsidR="008A045A" w:rsidRPr="00606A60">
        <w:rPr>
          <w:rFonts w:ascii="Times New Roman" w:hAnsi="Times New Roman" w:cs="Times New Roman"/>
          <w:iCs/>
          <w:color w:val="000000"/>
          <w:sz w:val="24"/>
          <w:szCs w:val="24"/>
          <w:lang w:eastAsia="fr-FR"/>
        </w:rPr>
        <w:t>e d’un membre du ST (Abdoul Aziz DICKO), un membre du Comité de Pilotage (Daniel Tiveau de l’ASDI), d’un représentant du PAM- Mali (Ali Abdoul Salami) et deux représentants des partenaires de mise en œuvre (Messieur</w:t>
      </w:r>
      <w:r w:rsidR="00606A60">
        <w:rPr>
          <w:rFonts w:ascii="Times New Roman" w:hAnsi="Times New Roman" w:cs="Times New Roman"/>
          <w:iCs/>
          <w:color w:val="000000"/>
          <w:sz w:val="24"/>
          <w:szCs w:val="24"/>
          <w:lang w:eastAsia="fr-FR"/>
        </w:rPr>
        <w:t>s</w:t>
      </w:r>
      <w:r w:rsidR="008A045A" w:rsidRPr="00606A60">
        <w:rPr>
          <w:rFonts w:ascii="Times New Roman" w:hAnsi="Times New Roman" w:cs="Times New Roman"/>
          <w:iCs/>
          <w:color w:val="000000"/>
          <w:sz w:val="24"/>
          <w:szCs w:val="24"/>
          <w:lang w:eastAsia="fr-FR"/>
        </w:rPr>
        <w:t xml:space="preserve"> Tréta et Traoré). La mission a visité  </w:t>
      </w:r>
      <w:r w:rsidR="005C6524">
        <w:rPr>
          <w:rFonts w:ascii="Times New Roman" w:hAnsi="Times New Roman" w:cs="Times New Roman"/>
          <w:iCs/>
          <w:color w:val="000000"/>
          <w:sz w:val="24"/>
          <w:szCs w:val="24"/>
          <w:lang w:eastAsia="fr-FR"/>
        </w:rPr>
        <w:t xml:space="preserve">du 16 au 19 septembre 2016 </w:t>
      </w:r>
      <w:r w:rsidR="008A045A" w:rsidRPr="00606A60">
        <w:rPr>
          <w:rFonts w:ascii="Times New Roman" w:hAnsi="Times New Roman" w:cs="Times New Roman"/>
          <w:iCs/>
          <w:color w:val="000000"/>
          <w:sz w:val="24"/>
          <w:szCs w:val="24"/>
          <w:lang w:eastAsia="fr-FR"/>
        </w:rPr>
        <w:t>les sites suivants :</w:t>
      </w:r>
    </w:p>
    <w:p w:rsidR="00BD0B07" w:rsidRDefault="00E60D44" w:rsidP="00BD0B07">
      <w:pPr>
        <w:pStyle w:val="ListParagraph"/>
        <w:numPr>
          <w:ilvl w:val="0"/>
          <w:numId w:val="3"/>
        </w:numPr>
        <w:autoSpaceDE w:val="0"/>
        <w:autoSpaceDN w:val="0"/>
        <w:adjustRightInd w:val="0"/>
        <w:spacing w:after="0"/>
        <w:jc w:val="both"/>
        <w:rPr>
          <w:rFonts w:ascii="Times New Roman" w:hAnsi="Times New Roman" w:cs="Times New Roman"/>
          <w:iCs/>
          <w:color w:val="000000"/>
          <w:sz w:val="24"/>
          <w:szCs w:val="24"/>
          <w:lang w:eastAsia="fr-FR"/>
        </w:rPr>
      </w:pPr>
      <w:r w:rsidRPr="00BD0B07">
        <w:rPr>
          <w:rFonts w:ascii="Times New Roman" w:hAnsi="Times New Roman" w:cs="Times New Roman"/>
          <w:sz w:val="24"/>
          <w:szCs w:val="24"/>
        </w:rPr>
        <w:t>Minankofa et kobondogola près de Cinzanna </w:t>
      </w:r>
      <w:r w:rsidR="008A045A" w:rsidRPr="00BD0B07">
        <w:rPr>
          <w:rFonts w:ascii="Times New Roman" w:hAnsi="Times New Roman" w:cs="Times New Roman"/>
          <w:sz w:val="24"/>
          <w:szCs w:val="24"/>
        </w:rPr>
        <w:t xml:space="preserve">dans </w:t>
      </w:r>
      <w:r w:rsidR="008A045A" w:rsidRPr="00BD0B07">
        <w:rPr>
          <w:rFonts w:ascii="Times New Roman" w:hAnsi="Times New Roman" w:cs="Times New Roman"/>
          <w:iCs/>
          <w:color w:val="000000"/>
          <w:sz w:val="24"/>
          <w:szCs w:val="24"/>
          <w:lang w:eastAsia="fr-FR"/>
        </w:rPr>
        <w:t xml:space="preserve">le cercle de Ségou ; </w:t>
      </w:r>
    </w:p>
    <w:p w:rsidR="00BD0B07" w:rsidRPr="00BD0B07" w:rsidRDefault="00E60D44" w:rsidP="00BD0B07">
      <w:pPr>
        <w:pStyle w:val="ListParagraph"/>
        <w:numPr>
          <w:ilvl w:val="0"/>
          <w:numId w:val="3"/>
        </w:numPr>
        <w:autoSpaceDE w:val="0"/>
        <w:autoSpaceDN w:val="0"/>
        <w:adjustRightInd w:val="0"/>
        <w:spacing w:after="0"/>
        <w:jc w:val="both"/>
        <w:rPr>
          <w:rFonts w:ascii="Times New Roman" w:hAnsi="Times New Roman" w:cs="Times New Roman"/>
          <w:iCs/>
          <w:color w:val="000000"/>
          <w:sz w:val="24"/>
          <w:szCs w:val="24"/>
          <w:lang w:eastAsia="fr-FR"/>
        </w:rPr>
      </w:pPr>
      <w:r w:rsidRPr="00BD0B07">
        <w:rPr>
          <w:rFonts w:ascii="Times New Roman" w:hAnsi="Times New Roman" w:cs="Times New Roman"/>
          <w:sz w:val="24"/>
          <w:szCs w:val="24"/>
        </w:rPr>
        <w:t>Koribougou et Djigani Mabo</w:t>
      </w:r>
      <w:r w:rsidR="008A045A" w:rsidRPr="00BD0B07">
        <w:rPr>
          <w:rFonts w:ascii="Times New Roman" w:hAnsi="Times New Roman" w:cs="Times New Roman"/>
          <w:sz w:val="24"/>
          <w:szCs w:val="24"/>
        </w:rPr>
        <w:t xml:space="preserve"> dans le cercle de Barouéli (région de Ségou),</w:t>
      </w:r>
    </w:p>
    <w:p w:rsidR="00E60D44" w:rsidRPr="00BD0B07" w:rsidRDefault="008A045A" w:rsidP="00BD0B07">
      <w:pPr>
        <w:pStyle w:val="ListParagraph"/>
        <w:numPr>
          <w:ilvl w:val="0"/>
          <w:numId w:val="3"/>
        </w:numPr>
        <w:autoSpaceDE w:val="0"/>
        <w:autoSpaceDN w:val="0"/>
        <w:adjustRightInd w:val="0"/>
        <w:spacing w:after="0"/>
        <w:jc w:val="both"/>
        <w:rPr>
          <w:rFonts w:ascii="Times New Roman" w:hAnsi="Times New Roman" w:cs="Times New Roman"/>
          <w:iCs/>
          <w:color w:val="000000"/>
          <w:sz w:val="24"/>
          <w:szCs w:val="24"/>
          <w:lang w:eastAsia="fr-FR"/>
        </w:rPr>
      </w:pPr>
      <w:r w:rsidRPr="00BD0B07">
        <w:rPr>
          <w:rFonts w:ascii="Times New Roman" w:hAnsi="Times New Roman" w:cs="Times New Roman"/>
          <w:sz w:val="24"/>
          <w:szCs w:val="24"/>
        </w:rPr>
        <w:t xml:space="preserve"> </w:t>
      </w:r>
      <w:r w:rsidR="00E60D44" w:rsidRPr="00BD0B07">
        <w:rPr>
          <w:rFonts w:ascii="Times New Roman" w:hAnsi="Times New Roman" w:cs="Times New Roman"/>
          <w:sz w:val="24"/>
          <w:szCs w:val="24"/>
        </w:rPr>
        <w:t xml:space="preserve">N Djifina </w:t>
      </w:r>
      <w:r w:rsidR="00606A60" w:rsidRPr="00BD0B07">
        <w:rPr>
          <w:rFonts w:ascii="Times New Roman" w:hAnsi="Times New Roman" w:cs="Times New Roman"/>
          <w:sz w:val="24"/>
          <w:szCs w:val="24"/>
        </w:rPr>
        <w:t>dans le cercle de Dioila.</w:t>
      </w:r>
    </w:p>
    <w:p w:rsidR="00BF219C" w:rsidRDefault="00E60D44" w:rsidP="00BD0B07">
      <w:pPr>
        <w:autoSpaceDE w:val="0"/>
        <w:autoSpaceDN w:val="0"/>
        <w:adjustRightInd w:val="0"/>
        <w:spacing w:after="0"/>
        <w:jc w:val="both"/>
        <w:rPr>
          <w:rFonts w:ascii="Times New Roman" w:hAnsi="Times New Roman" w:cs="Times New Roman"/>
          <w:iCs/>
          <w:color w:val="000000"/>
          <w:sz w:val="24"/>
          <w:szCs w:val="24"/>
          <w:lang w:eastAsia="fr-FR"/>
        </w:rPr>
      </w:pPr>
      <w:r w:rsidRPr="00606A60">
        <w:rPr>
          <w:rFonts w:ascii="Times New Roman" w:hAnsi="Times New Roman" w:cs="Times New Roman"/>
          <w:iCs/>
          <w:color w:val="000000"/>
          <w:sz w:val="24"/>
          <w:szCs w:val="24"/>
          <w:lang w:eastAsia="fr-FR"/>
        </w:rPr>
        <w:t xml:space="preserve">La méthode de travail </w:t>
      </w:r>
      <w:r w:rsidR="00606A60" w:rsidRPr="00606A60">
        <w:rPr>
          <w:rFonts w:ascii="Times New Roman" w:hAnsi="Times New Roman" w:cs="Times New Roman"/>
          <w:iCs/>
          <w:color w:val="000000"/>
          <w:sz w:val="24"/>
          <w:szCs w:val="24"/>
          <w:lang w:eastAsia="fr-FR"/>
        </w:rPr>
        <w:t>a consisté</w:t>
      </w:r>
      <w:r w:rsidRPr="00606A60">
        <w:rPr>
          <w:rFonts w:ascii="Times New Roman" w:hAnsi="Times New Roman" w:cs="Times New Roman"/>
          <w:iCs/>
          <w:color w:val="000000"/>
          <w:sz w:val="24"/>
          <w:szCs w:val="24"/>
          <w:lang w:eastAsia="fr-FR"/>
        </w:rPr>
        <w:t xml:space="preserve"> à visiter les réalisations, à discuter avec les populations bénéficiaires, les autorités locales et les responsables et encadreurs des ONG partenaires</w:t>
      </w:r>
      <w:r w:rsidR="005C6524">
        <w:rPr>
          <w:rFonts w:ascii="Times New Roman" w:hAnsi="Times New Roman" w:cs="Times New Roman"/>
          <w:iCs/>
          <w:color w:val="000000"/>
          <w:sz w:val="24"/>
          <w:szCs w:val="24"/>
          <w:lang w:eastAsia="fr-FR"/>
        </w:rPr>
        <w:t xml:space="preserve"> sur le terrain</w:t>
      </w:r>
      <w:r w:rsidRPr="00606A60">
        <w:rPr>
          <w:rFonts w:ascii="Times New Roman" w:hAnsi="Times New Roman" w:cs="Times New Roman"/>
          <w:iCs/>
          <w:color w:val="000000"/>
          <w:sz w:val="24"/>
          <w:szCs w:val="24"/>
          <w:lang w:eastAsia="fr-FR"/>
        </w:rPr>
        <w:t xml:space="preserve">. </w:t>
      </w:r>
    </w:p>
    <w:p w:rsidR="00E9455A" w:rsidRDefault="005C6524" w:rsidP="00BD0B07">
      <w:pPr>
        <w:autoSpaceDE w:val="0"/>
        <w:autoSpaceDN w:val="0"/>
        <w:adjustRightInd w:val="0"/>
        <w:spacing w:after="0"/>
        <w:jc w:val="both"/>
        <w:rPr>
          <w:rFonts w:ascii="Times New Roman" w:hAnsi="Times New Roman" w:cs="Times New Roman"/>
          <w:iCs/>
          <w:color w:val="000000"/>
          <w:sz w:val="24"/>
          <w:szCs w:val="24"/>
          <w:lang w:eastAsia="fr-FR"/>
        </w:rPr>
      </w:pPr>
      <w:r>
        <w:rPr>
          <w:rFonts w:ascii="Times New Roman" w:hAnsi="Times New Roman" w:cs="Times New Roman"/>
          <w:iCs/>
          <w:color w:val="000000"/>
          <w:sz w:val="24"/>
          <w:szCs w:val="24"/>
          <w:lang w:eastAsia="fr-FR"/>
        </w:rPr>
        <w:t xml:space="preserve">La mission a permis de réactualiser le cadre de résultat et d’apprécier le niveau d’avancement des activités sur le terrain (cf. </w:t>
      </w:r>
      <w:r w:rsidR="00940875">
        <w:rPr>
          <w:rFonts w:ascii="Times New Roman" w:hAnsi="Times New Roman" w:cs="Times New Roman"/>
          <w:iCs/>
          <w:color w:val="000000"/>
          <w:sz w:val="24"/>
          <w:szCs w:val="24"/>
          <w:lang w:eastAsia="fr-FR"/>
        </w:rPr>
        <w:t xml:space="preserve">compte rendu de mission en </w:t>
      </w:r>
      <w:r>
        <w:rPr>
          <w:rFonts w:ascii="Times New Roman" w:hAnsi="Times New Roman" w:cs="Times New Roman"/>
          <w:iCs/>
          <w:color w:val="000000"/>
          <w:sz w:val="24"/>
          <w:szCs w:val="24"/>
          <w:lang w:eastAsia="fr-FR"/>
        </w:rPr>
        <w:t>annexe 5).</w:t>
      </w:r>
    </w:p>
    <w:p w:rsidR="00BF219C" w:rsidRDefault="00BF219C" w:rsidP="00BD0B07">
      <w:pPr>
        <w:autoSpaceDE w:val="0"/>
        <w:autoSpaceDN w:val="0"/>
        <w:adjustRightInd w:val="0"/>
        <w:spacing w:after="0"/>
        <w:jc w:val="both"/>
        <w:rPr>
          <w:rFonts w:ascii="Times New Roman" w:hAnsi="Times New Roman" w:cs="Times New Roman"/>
          <w:iCs/>
          <w:color w:val="000000"/>
          <w:sz w:val="24"/>
          <w:szCs w:val="24"/>
          <w:lang w:eastAsia="fr-FR"/>
        </w:rPr>
      </w:pPr>
    </w:p>
    <w:p w:rsidR="00F36D78" w:rsidRDefault="00E9455A" w:rsidP="00BD0B07">
      <w:pPr>
        <w:autoSpaceDE w:val="0"/>
        <w:autoSpaceDN w:val="0"/>
        <w:adjustRightInd w:val="0"/>
        <w:spacing w:after="0"/>
        <w:jc w:val="both"/>
        <w:rPr>
          <w:rFonts w:ascii="Times New Roman" w:hAnsi="Times New Roman" w:cs="Times New Roman"/>
          <w:iCs/>
          <w:color w:val="000000"/>
          <w:sz w:val="24"/>
          <w:szCs w:val="24"/>
          <w:lang w:eastAsia="fr-FR"/>
        </w:rPr>
      </w:pPr>
      <w:r>
        <w:rPr>
          <w:rFonts w:ascii="Times New Roman" w:hAnsi="Times New Roman" w:cs="Times New Roman"/>
          <w:iCs/>
          <w:color w:val="000000"/>
          <w:sz w:val="24"/>
          <w:szCs w:val="24"/>
          <w:lang w:eastAsia="fr-FR"/>
        </w:rPr>
        <w:t xml:space="preserve">  </w:t>
      </w:r>
      <w:r w:rsidR="005C6524" w:rsidRPr="00E9455A">
        <w:rPr>
          <w:rFonts w:ascii="Times New Roman" w:hAnsi="Times New Roman" w:cs="Times New Roman"/>
          <w:sz w:val="24"/>
          <w:szCs w:val="24"/>
        </w:rPr>
        <w:t>La seconde</w:t>
      </w:r>
      <w:r w:rsidR="00D03709">
        <w:rPr>
          <w:rFonts w:ascii="Times New Roman" w:hAnsi="Times New Roman" w:cs="Times New Roman"/>
          <w:sz w:val="24"/>
          <w:szCs w:val="24"/>
        </w:rPr>
        <w:t xml:space="preserve"> mission a concerné le </w:t>
      </w:r>
      <w:r w:rsidR="005C6524" w:rsidRPr="00E9455A">
        <w:rPr>
          <w:rFonts w:ascii="Times New Roman" w:hAnsi="Times New Roman" w:cs="Times New Roman"/>
          <w:bCs/>
          <w:sz w:val="24"/>
          <w:szCs w:val="24"/>
        </w:rPr>
        <w:t>« </w:t>
      </w:r>
      <w:r w:rsidRPr="00E9455A">
        <w:rPr>
          <w:rFonts w:ascii="Times New Roman" w:eastAsia="Times New Roman" w:hAnsi="Times New Roman" w:cs="Times New Roman"/>
          <w:bCs/>
          <w:kern w:val="24"/>
          <w:sz w:val="24"/>
          <w:szCs w:val="24"/>
          <w:lang w:eastAsia="fr-FR"/>
        </w:rPr>
        <w:t>Programme d’Appui à l’Agriculture Durable et de Résilience contre les Changements Climatiques à Yanfolila (PAADRCY)</w:t>
      </w:r>
      <w:r w:rsidR="005C6524" w:rsidRPr="00606A60">
        <w:rPr>
          <w:rFonts w:ascii="Times New Roman" w:hAnsi="Times New Roman" w:cs="Times New Roman"/>
          <w:bCs/>
          <w:sz w:val="24"/>
          <w:szCs w:val="24"/>
        </w:rPr>
        <w:t xml:space="preserve">». </w:t>
      </w:r>
      <w:r w:rsidR="0037295B">
        <w:rPr>
          <w:rFonts w:ascii="Times New Roman" w:hAnsi="Times New Roman" w:cs="Times New Roman"/>
          <w:bCs/>
          <w:sz w:val="24"/>
          <w:szCs w:val="24"/>
        </w:rPr>
        <w:t>L’équipe de mission</w:t>
      </w:r>
      <w:r w:rsidR="00CC76F1">
        <w:rPr>
          <w:rFonts w:ascii="Times New Roman" w:hAnsi="Times New Roman" w:cs="Times New Roman"/>
          <w:bCs/>
          <w:sz w:val="24"/>
          <w:szCs w:val="24"/>
        </w:rPr>
        <w:t xml:space="preserve"> est composé</w:t>
      </w:r>
      <w:r w:rsidR="0037295B">
        <w:rPr>
          <w:rFonts w:ascii="Times New Roman" w:hAnsi="Times New Roman" w:cs="Times New Roman"/>
          <w:bCs/>
          <w:sz w:val="24"/>
          <w:szCs w:val="24"/>
        </w:rPr>
        <w:t>e</w:t>
      </w:r>
      <w:r w:rsidR="00CC76F1">
        <w:rPr>
          <w:rFonts w:ascii="Times New Roman" w:hAnsi="Times New Roman" w:cs="Times New Roman"/>
          <w:bCs/>
          <w:sz w:val="24"/>
          <w:szCs w:val="24"/>
        </w:rPr>
        <w:t xml:space="preserve"> de deux membres du Comité de pilotage</w:t>
      </w:r>
      <w:r w:rsidR="0037295B">
        <w:rPr>
          <w:rFonts w:ascii="Times New Roman" w:hAnsi="Times New Roman" w:cs="Times New Roman"/>
          <w:bCs/>
          <w:sz w:val="24"/>
          <w:szCs w:val="24"/>
        </w:rPr>
        <w:t xml:space="preserve"> Messieurs Daniel Tiveau et Souleymane Guindo, du coordinateur du ST Monsieur Abdoul Aziz Dicko, </w:t>
      </w:r>
      <w:r w:rsidR="00F36D78">
        <w:rPr>
          <w:rFonts w:ascii="Times New Roman" w:hAnsi="Times New Roman" w:cs="Times New Roman"/>
          <w:bCs/>
          <w:sz w:val="24"/>
          <w:szCs w:val="24"/>
        </w:rPr>
        <w:t xml:space="preserve">et </w:t>
      </w:r>
      <w:r w:rsidR="0037295B">
        <w:rPr>
          <w:rFonts w:ascii="Times New Roman" w:hAnsi="Times New Roman" w:cs="Times New Roman"/>
          <w:bCs/>
          <w:sz w:val="24"/>
          <w:szCs w:val="24"/>
        </w:rPr>
        <w:t>des responsables du consortium APVEN-GUAMINA-AGIR</w:t>
      </w:r>
      <w:r w:rsidR="00F36D78">
        <w:rPr>
          <w:rFonts w:ascii="Times New Roman" w:hAnsi="Times New Roman" w:cs="Times New Roman"/>
          <w:bCs/>
          <w:sz w:val="24"/>
          <w:szCs w:val="24"/>
        </w:rPr>
        <w:t>, Madame Koné Assitan et Messieurs Mamadou Sissoko et Mohamed Lamine Koné.</w:t>
      </w:r>
      <w:r w:rsidR="0037295B">
        <w:rPr>
          <w:rFonts w:ascii="Times New Roman" w:hAnsi="Times New Roman" w:cs="Times New Roman"/>
          <w:bCs/>
          <w:sz w:val="24"/>
          <w:szCs w:val="24"/>
        </w:rPr>
        <w:t xml:space="preserve"> </w:t>
      </w:r>
      <w:r w:rsidR="005C6524" w:rsidRPr="00606A60">
        <w:rPr>
          <w:rFonts w:ascii="Times New Roman" w:hAnsi="Times New Roman" w:cs="Times New Roman"/>
          <w:iCs/>
          <w:color w:val="000000"/>
          <w:sz w:val="24"/>
          <w:szCs w:val="24"/>
          <w:lang w:eastAsia="fr-FR"/>
        </w:rPr>
        <w:t>Compte tenu de l’étendu</w:t>
      </w:r>
      <w:r w:rsidR="00D03709">
        <w:rPr>
          <w:rFonts w:ascii="Times New Roman" w:hAnsi="Times New Roman" w:cs="Times New Roman"/>
          <w:iCs/>
          <w:color w:val="000000"/>
          <w:sz w:val="24"/>
          <w:szCs w:val="24"/>
          <w:lang w:eastAsia="fr-FR"/>
        </w:rPr>
        <w:t xml:space="preserve"> </w:t>
      </w:r>
      <w:r w:rsidR="005C6524" w:rsidRPr="00606A60">
        <w:rPr>
          <w:rFonts w:ascii="Times New Roman" w:hAnsi="Times New Roman" w:cs="Times New Roman"/>
          <w:iCs/>
          <w:color w:val="000000"/>
          <w:sz w:val="24"/>
          <w:szCs w:val="24"/>
          <w:lang w:eastAsia="fr-FR"/>
        </w:rPr>
        <w:t>de la zone couverte par le programme</w:t>
      </w:r>
      <w:r>
        <w:rPr>
          <w:rFonts w:ascii="Times New Roman" w:hAnsi="Times New Roman" w:cs="Times New Roman"/>
          <w:iCs/>
          <w:color w:val="000000"/>
          <w:sz w:val="24"/>
          <w:szCs w:val="24"/>
          <w:lang w:eastAsia="fr-FR"/>
        </w:rPr>
        <w:t xml:space="preserve"> (5</w:t>
      </w:r>
      <w:r w:rsidR="005C6524">
        <w:rPr>
          <w:rFonts w:ascii="Times New Roman" w:hAnsi="Times New Roman" w:cs="Times New Roman"/>
          <w:iCs/>
          <w:color w:val="000000"/>
          <w:sz w:val="24"/>
          <w:szCs w:val="24"/>
          <w:lang w:eastAsia="fr-FR"/>
        </w:rPr>
        <w:t xml:space="preserve">3 villages </w:t>
      </w:r>
      <w:r w:rsidR="005C6524" w:rsidRPr="00606A60">
        <w:rPr>
          <w:rFonts w:ascii="Times New Roman" w:hAnsi="Times New Roman" w:cs="Times New Roman"/>
          <w:iCs/>
          <w:color w:val="000000"/>
          <w:sz w:val="24"/>
          <w:szCs w:val="24"/>
          <w:lang w:eastAsia="fr-FR"/>
        </w:rPr>
        <w:t xml:space="preserve"> reparti</w:t>
      </w:r>
      <w:r w:rsidR="00D03709">
        <w:rPr>
          <w:rFonts w:ascii="Times New Roman" w:hAnsi="Times New Roman" w:cs="Times New Roman"/>
          <w:iCs/>
          <w:color w:val="000000"/>
          <w:sz w:val="24"/>
          <w:szCs w:val="24"/>
          <w:lang w:eastAsia="fr-FR"/>
        </w:rPr>
        <w:t>s dans trois communes</w:t>
      </w:r>
      <w:r w:rsidR="005C6524" w:rsidRPr="00606A60">
        <w:rPr>
          <w:rFonts w:ascii="Times New Roman" w:hAnsi="Times New Roman" w:cs="Times New Roman"/>
          <w:iCs/>
          <w:color w:val="000000"/>
          <w:sz w:val="24"/>
          <w:szCs w:val="24"/>
          <w:lang w:eastAsia="fr-FR"/>
        </w:rPr>
        <w:t xml:space="preserve">) </w:t>
      </w:r>
      <w:r w:rsidR="005C6524" w:rsidRPr="00D03709">
        <w:rPr>
          <w:rFonts w:ascii="Times New Roman" w:hAnsi="Times New Roman" w:cs="Times New Roman"/>
          <w:iCs/>
          <w:color w:val="000000"/>
          <w:sz w:val="24"/>
          <w:szCs w:val="24"/>
          <w:lang w:eastAsia="fr-FR"/>
        </w:rPr>
        <w:t>et des impératifs de temps</w:t>
      </w:r>
      <w:r w:rsidR="00D03709">
        <w:rPr>
          <w:rFonts w:ascii="Times New Roman" w:hAnsi="Times New Roman" w:cs="Times New Roman"/>
          <w:iCs/>
          <w:color w:val="000000"/>
          <w:sz w:val="24"/>
          <w:szCs w:val="24"/>
          <w:lang w:eastAsia="fr-FR"/>
        </w:rPr>
        <w:t>,</w:t>
      </w:r>
      <w:r w:rsidR="00033639">
        <w:rPr>
          <w:rFonts w:ascii="Times New Roman" w:hAnsi="Times New Roman" w:cs="Times New Roman"/>
          <w:iCs/>
          <w:color w:val="000000"/>
          <w:sz w:val="24"/>
          <w:szCs w:val="24"/>
          <w:lang w:eastAsia="fr-FR"/>
        </w:rPr>
        <w:t xml:space="preserve"> la mission a visité les </w:t>
      </w:r>
      <w:r w:rsidR="008062C2">
        <w:rPr>
          <w:rFonts w:ascii="Times New Roman" w:hAnsi="Times New Roman" w:cs="Times New Roman"/>
          <w:iCs/>
          <w:color w:val="000000"/>
          <w:sz w:val="24"/>
          <w:szCs w:val="24"/>
          <w:lang w:eastAsia="fr-FR"/>
        </w:rPr>
        <w:t>7</w:t>
      </w:r>
      <w:r w:rsidR="00F36D78">
        <w:rPr>
          <w:rFonts w:ascii="Times New Roman" w:hAnsi="Times New Roman" w:cs="Times New Roman"/>
          <w:iCs/>
          <w:color w:val="000000"/>
          <w:sz w:val="24"/>
          <w:szCs w:val="24"/>
          <w:lang w:eastAsia="fr-FR"/>
        </w:rPr>
        <w:t xml:space="preserve"> </w:t>
      </w:r>
      <w:r w:rsidR="00033639">
        <w:rPr>
          <w:rFonts w:ascii="Times New Roman" w:hAnsi="Times New Roman" w:cs="Times New Roman"/>
          <w:iCs/>
          <w:color w:val="000000"/>
          <w:sz w:val="24"/>
          <w:szCs w:val="24"/>
          <w:lang w:eastAsia="fr-FR"/>
        </w:rPr>
        <w:t>sites suivants</w:t>
      </w:r>
      <w:r w:rsidR="00F36D78">
        <w:rPr>
          <w:rFonts w:ascii="Times New Roman" w:hAnsi="Times New Roman" w:cs="Times New Roman"/>
          <w:iCs/>
          <w:color w:val="000000"/>
          <w:sz w:val="24"/>
          <w:szCs w:val="24"/>
          <w:lang w:eastAsia="fr-FR"/>
        </w:rPr>
        <w:t> :</w:t>
      </w:r>
    </w:p>
    <w:p w:rsidR="002F4CB7" w:rsidRDefault="00F36D78" w:rsidP="00BD0B07">
      <w:pPr>
        <w:pStyle w:val="ListParagraph"/>
        <w:numPr>
          <w:ilvl w:val="0"/>
          <w:numId w:val="7"/>
        </w:numPr>
        <w:autoSpaceDE w:val="0"/>
        <w:autoSpaceDN w:val="0"/>
        <w:adjustRightInd w:val="0"/>
        <w:spacing w:after="0"/>
        <w:jc w:val="both"/>
        <w:rPr>
          <w:rFonts w:ascii="Times New Roman" w:hAnsi="Times New Roman" w:cs="Times New Roman"/>
          <w:iCs/>
          <w:color w:val="000000"/>
          <w:sz w:val="24"/>
          <w:szCs w:val="24"/>
          <w:lang w:eastAsia="fr-FR"/>
        </w:rPr>
      </w:pPr>
      <w:r>
        <w:rPr>
          <w:rFonts w:ascii="Times New Roman" w:hAnsi="Times New Roman" w:cs="Times New Roman"/>
          <w:iCs/>
          <w:color w:val="000000"/>
          <w:sz w:val="24"/>
          <w:szCs w:val="24"/>
          <w:lang w:eastAsia="fr-FR"/>
        </w:rPr>
        <w:t>Yanfolila : visites de courtoisie au commandant de cercle, et au président du Co</w:t>
      </w:r>
      <w:r w:rsidR="002F4CB7">
        <w:rPr>
          <w:rFonts w:ascii="Times New Roman" w:hAnsi="Times New Roman" w:cs="Times New Roman"/>
          <w:iCs/>
          <w:color w:val="000000"/>
          <w:sz w:val="24"/>
          <w:szCs w:val="24"/>
          <w:lang w:eastAsia="fr-FR"/>
        </w:rPr>
        <w:t xml:space="preserve">nseil de cercle </w:t>
      </w:r>
      <w:r>
        <w:rPr>
          <w:rFonts w:ascii="Times New Roman" w:hAnsi="Times New Roman" w:cs="Times New Roman"/>
          <w:iCs/>
          <w:color w:val="000000"/>
          <w:sz w:val="24"/>
          <w:szCs w:val="24"/>
          <w:lang w:eastAsia="fr-FR"/>
        </w:rPr>
        <w:t>et échange</w:t>
      </w:r>
      <w:r w:rsidR="002F4CB7">
        <w:rPr>
          <w:rFonts w:ascii="Times New Roman" w:hAnsi="Times New Roman" w:cs="Times New Roman"/>
          <w:iCs/>
          <w:color w:val="000000"/>
          <w:sz w:val="24"/>
          <w:szCs w:val="24"/>
          <w:lang w:eastAsia="fr-FR"/>
        </w:rPr>
        <w:t>s</w:t>
      </w:r>
      <w:r>
        <w:rPr>
          <w:rFonts w:ascii="Times New Roman" w:hAnsi="Times New Roman" w:cs="Times New Roman"/>
          <w:iCs/>
          <w:color w:val="000000"/>
          <w:sz w:val="24"/>
          <w:szCs w:val="24"/>
          <w:lang w:eastAsia="fr-FR"/>
        </w:rPr>
        <w:t xml:space="preserve"> sur leur perception des </w:t>
      </w:r>
      <w:r w:rsidR="002F4CB7">
        <w:rPr>
          <w:rFonts w:ascii="Times New Roman" w:hAnsi="Times New Roman" w:cs="Times New Roman"/>
          <w:iCs/>
          <w:color w:val="000000"/>
          <w:sz w:val="24"/>
          <w:szCs w:val="24"/>
          <w:lang w:eastAsia="fr-FR"/>
        </w:rPr>
        <w:t xml:space="preserve">effets et des résultats du projet ; séance de travail avec le staff du programme sur le terrain </w:t>
      </w:r>
      <w:r w:rsidR="002F4CB7" w:rsidRPr="002F4CB7">
        <w:rPr>
          <w:rFonts w:ascii="Times New Roman" w:hAnsi="Times New Roman" w:cs="Times New Roman"/>
          <w:sz w:val="24"/>
          <w:szCs w:val="24"/>
        </w:rPr>
        <w:t>(prise d’information, finalisation du programme de la mission)</w:t>
      </w:r>
      <w:r w:rsidR="002F4CB7">
        <w:rPr>
          <w:rFonts w:ascii="Times New Roman" w:hAnsi="Times New Roman" w:cs="Times New Roman"/>
          <w:iCs/>
          <w:color w:val="000000"/>
          <w:sz w:val="24"/>
          <w:szCs w:val="24"/>
          <w:lang w:eastAsia="fr-FR"/>
        </w:rPr>
        <w:t> ;</w:t>
      </w:r>
    </w:p>
    <w:p w:rsidR="002F4CB7" w:rsidRDefault="002F4CB7" w:rsidP="00BD0B07">
      <w:pPr>
        <w:pStyle w:val="ListParagraph"/>
        <w:numPr>
          <w:ilvl w:val="0"/>
          <w:numId w:val="7"/>
        </w:numPr>
        <w:spacing w:after="160"/>
        <w:jc w:val="both"/>
        <w:rPr>
          <w:sz w:val="24"/>
          <w:szCs w:val="24"/>
        </w:rPr>
      </w:pPr>
      <w:r>
        <w:rPr>
          <w:rFonts w:ascii="Times New Roman" w:hAnsi="Times New Roman" w:cs="Times New Roman"/>
          <w:iCs/>
          <w:color w:val="000000"/>
          <w:sz w:val="24"/>
          <w:szCs w:val="24"/>
          <w:lang w:eastAsia="fr-FR"/>
        </w:rPr>
        <w:t>Sindo </w:t>
      </w:r>
      <w:r w:rsidR="00CC5FDB">
        <w:rPr>
          <w:rFonts w:ascii="Times New Roman" w:hAnsi="Times New Roman" w:cs="Times New Roman"/>
          <w:iCs/>
          <w:color w:val="000000"/>
          <w:sz w:val="24"/>
          <w:szCs w:val="24"/>
          <w:lang w:eastAsia="fr-FR"/>
        </w:rPr>
        <w:t>(</w:t>
      </w:r>
      <w:r w:rsidRPr="002F4CB7">
        <w:rPr>
          <w:rFonts w:ascii="Times New Roman" w:hAnsi="Times New Roman" w:cs="Times New Roman"/>
          <w:sz w:val="24"/>
          <w:szCs w:val="24"/>
        </w:rPr>
        <w:t>34 km de Yanfolila</w:t>
      </w:r>
      <w:r w:rsidR="00CC5FDB">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iCs/>
          <w:color w:val="000000"/>
          <w:sz w:val="24"/>
          <w:szCs w:val="24"/>
          <w:lang w:eastAsia="fr-FR"/>
        </w:rPr>
        <w:t xml:space="preserve"> </w:t>
      </w:r>
      <w:r>
        <w:rPr>
          <w:rFonts w:ascii="Times New Roman" w:hAnsi="Times New Roman" w:cs="Times New Roman"/>
          <w:sz w:val="24"/>
          <w:szCs w:val="24"/>
        </w:rPr>
        <w:t>visite des puits pastora</w:t>
      </w:r>
      <w:r w:rsidR="008062C2">
        <w:rPr>
          <w:rFonts w:ascii="Times New Roman" w:hAnsi="Times New Roman" w:cs="Times New Roman"/>
          <w:sz w:val="24"/>
          <w:szCs w:val="24"/>
        </w:rPr>
        <w:t xml:space="preserve">ux, </w:t>
      </w:r>
      <w:r>
        <w:rPr>
          <w:rFonts w:ascii="Times New Roman" w:hAnsi="Times New Roman" w:cs="Times New Roman"/>
          <w:sz w:val="24"/>
          <w:szCs w:val="24"/>
        </w:rPr>
        <w:t>des ruches kényanes</w:t>
      </w:r>
      <w:r w:rsidR="00CC5FDB">
        <w:rPr>
          <w:rFonts w:ascii="Times New Roman" w:hAnsi="Times New Roman" w:cs="Times New Roman"/>
          <w:sz w:val="24"/>
          <w:szCs w:val="24"/>
        </w:rPr>
        <w:t xml:space="preserve"> (</w:t>
      </w:r>
      <w:r>
        <w:rPr>
          <w:rFonts w:ascii="Times New Roman" w:hAnsi="Times New Roman" w:cs="Times New Roman"/>
          <w:sz w:val="24"/>
          <w:szCs w:val="24"/>
        </w:rPr>
        <w:t>ruches améliorées) </w:t>
      </w:r>
      <w:r w:rsidR="008062C2">
        <w:rPr>
          <w:rFonts w:ascii="Times New Roman" w:hAnsi="Times New Roman" w:cs="Times New Roman"/>
          <w:sz w:val="24"/>
          <w:szCs w:val="24"/>
        </w:rPr>
        <w:t>et des fosses compostières</w:t>
      </w:r>
      <w:r>
        <w:rPr>
          <w:sz w:val="24"/>
          <w:szCs w:val="24"/>
        </w:rPr>
        <w:t>;</w:t>
      </w:r>
    </w:p>
    <w:p w:rsidR="002F4CB7" w:rsidRPr="002F4CB7" w:rsidRDefault="002F4CB7" w:rsidP="00BD0B07">
      <w:pPr>
        <w:pStyle w:val="ListParagraph"/>
        <w:numPr>
          <w:ilvl w:val="0"/>
          <w:numId w:val="7"/>
        </w:numPr>
        <w:spacing w:after="160"/>
        <w:jc w:val="both"/>
        <w:rPr>
          <w:rFonts w:ascii="Times New Roman" w:hAnsi="Times New Roman" w:cs="Times New Roman"/>
          <w:sz w:val="24"/>
          <w:szCs w:val="24"/>
        </w:rPr>
      </w:pPr>
      <w:r w:rsidRPr="002F4CB7">
        <w:rPr>
          <w:rFonts w:ascii="Times New Roman" w:hAnsi="Times New Roman" w:cs="Times New Roman"/>
          <w:sz w:val="24"/>
          <w:szCs w:val="24"/>
        </w:rPr>
        <w:t>Sié</w:t>
      </w:r>
      <w:r w:rsidR="007E6D20">
        <w:rPr>
          <w:rFonts w:ascii="Times New Roman" w:hAnsi="Times New Roman" w:cs="Times New Roman"/>
          <w:sz w:val="24"/>
          <w:szCs w:val="24"/>
        </w:rPr>
        <w:t>korolé</w:t>
      </w:r>
      <w:r w:rsidR="008062C2">
        <w:rPr>
          <w:rFonts w:ascii="Times New Roman" w:hAnsi="Times New Roman" w:cs="Times New Roman"/>
          <w:sz w:val="24"/>
          <w:szCs w:val="24"/>
        </w:rPr>
        <w:t xml:space="preserve"> (</w:t>
      </w:r>
      <w:r w:rsidR="007E6D20">
        <w:rPr>
          <w:rFonts w:ascii="Times New Roman" w:hAnsi="Times New Roman" w:cs="Times New Roman"/>
          <w:sz w:val="24"/>
          <w:szCs w:val="24"/>
        </w:rPr>
        <w:t>à 1</w:t>
      </w:r>
      <w:r>
        <w:rPr>
          <w:rFonts w:ascii="Times New Roman" w:hAnsi="Times New Roman" w:cs="Times New Roman"/>
          <w:sz w:val="24"/>
          <w:szCs w:val="24"/>
        </w:rPr>
        <w:t xml:space="preserve"> Km</w:t>
      </w:r>
      <w:r w:rsidR="007E6D20">
        <w:rPr>
          <w:rFonts w:ascii="Times New Roman" w:hAnsi="Times New Roman" w:cs="Times New Roman"/>
          <w:sz w:val="24"/>
          <w:szCs w:val="24"/>
        </w:rPr>
        <w:t>)</w:t>
      </w:r>
      <w:r>
        <w:rPr>
          <w:rFonts w:ascii="Times New Roman" w:hAnsi="Times New Roman" w:cs="Times New Roman"/>
          <w:sz w:val="24"/>
          <w:szCs w:val="24"/>
        </w:rPr>
        <w:t xml:space="preserve"> de Sindo: </w:t>
      </w:r>
      <w:r w:rsidR="008062C2">
        <w:rPr>
          <w:rFonts w:ascii="Times New Roman" w:hAnsi="Times New Roman" w:cs="Times New Roman"/>
          <w:sz w:val="24"/>
          <w:szCs w:val="24"/>
        </w:rPr>
        <w:t xml:space="preserve">visite des </w:t>
      </w:r>
      <w:r>
        <w:rPr>
          <w:rFonts w:ascii="Times New Roman" w:hAnsi="Times New Roman" w:cs="Times New Roman"/>
          <w:sz w:val="24"/>
          <w:szCs w:val="24"/>
        </w:rPr>
        <w:t>étang</w:t>
      </w:r>
      <w:r w:rsidR="008062C2">
        <w:rPr>
          <w:rFonts w:ascii="Times New Roman" w:hAnsi="Times New Roman" w:cs="Times New Roman"/>
          <w:sz w:val="24"/>
          <w:szCs w:val="24"/>
        </w:rPr>
        <w:t>s</w:t>
      </w:r>
      <w:r>
        <w:rPr>
          <w:rFonts w:ascii="Times New Roman" w:hAnsi="Times New Roman" w:cs="Times New Roman"/>
          <w:sz w:val="24"/>
          <w:szCs w:val="24"/>
        </w:rPr>
        <w:t xml:space="preserve"> piscicole et des vaches</w:t>
      </w:r>
      <w:r w:rsidR="00CC5FDB">
        <w:rPr>
          <w:rFonts w:ascii="Times New Roman" w:hAnsi="Times New Roman" w:cs="Times New Roman"/>
          <w:sz w:val="24"/>
          <w:szCs w:val="24"/>
        </w:rPr>
        <w:t xml:space="preserve"> inséminées ;</w:t>
      </w:r>
    </w:p>
    <w:p w:rsidR="00033639" w:rsidRDefault="00CC5FDB" w:rsidP="00BD0B07">
      <w:pPr>
        <w:pStyle w:val="ListParagraph"/>
        <w:numPr>
          <w:ilvl w:val="0"/>
          <w:numId w:val="7"/>
        </w:numPr>
        <w:autoSpaceDE w:val="0"/>
        <w:autoSpaceDN w:val="0"/>
        <w:adjustRightInd w:val="0"/>
        <w:spacing w:after="0"/>
        <w:jc w:val="both"/>
        <w:rPr>
          <w:rFonts w:ascii="Times New Roman" w:hAnsi="Times New Roman" w:cs="Times New Roman"/>
          <w:iCs/>
          <w:color w:val="000000"/>
          <w:sz w:val="24"/>
          <w:szCs w:val="24"/>
          <w:lang w:eastAsia="fr-FR"/>
        </w:rPr>
      </w:pPr>
      <w:r w:rsidRPr="00CC5FDB">
        <w:rPr>
          <w:rFonts w:ascii="Times New Roman" w:hAnsi="Times New Roman" w:cs="Times New Roman"/>
          <w:sz w:val="24"/>
          <w:szCs w:val="24"/>
        </w:rPr>
        <w:t>Djélefing</w:t>
      </w:r>
      <w:r>
        <w:rPr>
          <w:rFonts w:ascii="Times New Roman" w:hAnsi="Times New Roman" w:cs="Times New Roman"/>
          <w:sz w:val="24"/>
          <w:szCs w:val="24"/>
        </w:rPr>
        <w:t xml:space="preserve"> (</w:t>
      </w:r>
      <w:r w:rsidRPr="00CC5FDB">
        <w:rPr>
          <w:rFonts w:ascii="Times New Roman" w:hAnsi="Times New Roman" w:cs="Times New Roman"/>
          <w:sz w:val="24"/>
          <w:szCs w:val="24"/>
        </w:rPr>
        <w:t>22km de Siékorolé</w:t>
      </w:r>
      <w:r>
        <w:rPr>
          <w:rFonts w:ascii="Times New Roman" w:hAnsi="Times New Roman" w:cs="Times New Roman"/>
          <w:sz w:val="24"/>
          <w:szCs w:val="24"/>
        </w:rPr>
        <w:t>)</w:t>
      </w:r>
      <w:r w:rsidRPr="00CC5FDB">
        <w:rPr>
          <w:rFonts w:ascii="Times New Roman" w:hAnsi="Times New Roman" w:cs="Times New Roman"/>
          <w:sz w:val="24"/>
          <w:szCs w:val="24"/>
        </w:rPr>
        <w:t xml:space="preserve"> : </w:t>
      </w:r>
      <w:r w:rsidR="008062C2">
        <w:rPr>
          <w:rFonts w:ascii="Times New Roman" w:hAnsi="Times New Roman" w:cs="Times New Roman"/>
          <w:sz w:val="24"/>
          <w:szCs w:val="24"/>
        </w:rPr>
        <w:t>v</w:t>
      </w:r>
      <w:r w:rsidRPr="00CC5FDB">
        <w:rPr>
          <w:rFonts w:ascii="Times New Roman" w:hAnsi="Times New Roman" w:cs="Times New Roman"/>
          <w:sz w:val="24"/>
          <w:szCs w:val="24"/>
        </w:rPr>
        <w:t>isite d’un puits pastoral, des coqs améliorateurs et du dalla sur creusé et empoisonné de  Dialafara ;</w:t>
      </w:r>
      <w:r w:rsidR="00033639" w:rsidRPr="00CC5FDB">
        <w:rPr>
          <w:rFonts w:ascii="Times New Roman" w:hAnsi="Times New Roman" w:cs="Times New Roman"/>
          <w:iCs/>
          <w:color w:val="000000"/>
          <w:sz w:val="24"/>
          <w:szCs w:val="24"/>
          <w:lang w:eastAsia="fr-FR"/>
        </w:rPr>
        <w:t> </w:t>
      </w:r>
    </w:p>
    <w:p w:rsidR="007E6D20" w:rsidRPr="007E6D20" w:rsidRDefault="00CC5FDB" w:rsidP="00BD0B07">
      <w:pPr>
        <w:pStyle w:val="ListParagraph"/>
        <w:numPr>
          <w:ilvl w:val="0"/>
          <w:numId w:val="7"/>
        </w:numPr>
        <w:autoSpaceDE w:val="0"/>
        <w:autoSpaceDN w:val="0"/>
        <w:adjustRightInd w:val="0"/>
        <w:spacing w:after="0"/>
        <w:jc w:val="both"/>
        <w:rPr>
          <w:rFonts w:ascii="Times New Roman" w:hAnsi="Times New Roman" w:cs="Times New Roman"/>
          <w:iCs/>
          <w:color w:val="000000"/>
          <w:sz w:val="24"/>
          <w:szCs w:val="24"/>
          <w:lang w:eastAsia="fr-FR"/>
        </w:rPr>
      </w:pPr>
      <w:r w:rsidRPr="007E6D20">
        <w:rPr>
          <w:rFonts w:ascii="Times New Roman" w:hAnsi="Times New Roman" w:cs="Times New Roman"/>
          <w:sz w:val="24"/>
          <w:szCs w:val="24"/>
        </w:rPr>
        <w:t xml:space="preserve">Goualafara (16 Km de Yanfolila) : visite de quatre trous à poissons </w:t>
      </w:r>
      <w:r w:rsidR="007E6D20" w:rsidRPr="007E6D20">
        <w:rPr>
          <w:rFonts w:ascii="Times New Roman" w:hAnsi="Times New Roman" w:cs="Times New Roman"/>
          <w:sz w:val="24"/>
          <w:szCs w:val="24"/>
        </w:rPr>
        <w:t xml:space="preserve">au bord du Wassoulouballé, en faveur du campement bozo </w:t>
      </w:r>
      <w:r w:rsidRPr="007E6D20">
        <w:rPr>
          <w:rFonts w:ascii="Times New Roman" w:hAnsi="Times New Roman" w:cs="Times New Roman"/>
          <w:sz w:val="24"/>
          <w:szCs w:val="24"/>
        </w:rPr>
        <w:t>du Dalakan</w:t>
      </w:r>
      <w:r w:rsidR="007E6D20" w:rsidRPr="007E6D20">
        <w:rPr>
          <w:rFonts w:ascii="Times New Roman" w:hAnsi="Times New Roman" w:cs="Times New Roman"/>
          <w:sz w:val="24"/>
          <w:szCs w:val="24"/>
        </w:rPr>
        <w:t> ;</w:t>
      </w:r>
    </w:p>
    <w:p w:rsidR="007E6D20" w:rsidRPr="007E6D20" w:rsidRDefault="007E6D20" w:rsidP="00BD0B07">
      <w:pPr>
        <w:pStyle w:val="ListParagraph"/>
        <w:numPr>
          <w:ilvl w:val="0"/>
          <w:numId w:val="7"/>
        </w:numPr>
        <w:spacing w:after="160"/>
        <w:jc w:val="both"/>
        <w:rPr>
          <w:rFonts w:ascii="Times New Roman" w:hAnsi="Times New Roman" w:cs="Times New Roman"/>
          <w:sz w:val="24"/>
          <w:szCs w:val="24"/>
        </w:rPr>
      </w:pPr>
      <w:r w:rsidRPr="007E6D20">
        <w:rPr>
          <w:rFonts w:ascii="Times New Roman" w:hAnsi="Times New Roman" w:cs="Times New Roman"/>
          <w:sz w:val="24"/>
          <w:szCs w:val="24"/>
        </w:rPr>
        <w:t xml:space="preserve">Belena (à 21Km de Yanfolila) : visites des coqs améliorateurs, des ruches améliorées et des terres restaurées par la technique des cordons pierreux ; </w:t>
      </w:r>
    </w:p>
    <w:p w:rsidR="00BF219C" w:rsidRDefault="008062C2" w:rsidP="00BD0B07">
      <w:pPr>
        <w:pStyle w:val="ListParagraph"/>
        <w:numPr>
          <w:ilvl w:val="0"/>
          <w:numId w:val="7"/>
        </w:numPr>
        <w:spacing w:after="0"/>
        <w:jc w:val="both"/>
        <w:rPr>
          <w:rFonts w:ascii="Times New Roman" w:hAnsi="Times New Roman" w:cs="Times New Roman"/>
          <w:sz w:val="24"/>
          <w:szCs w:val="24"/>
        </w:rPr>
      </w:pPr>
      <w:r w:rsidRPr="008062C2">
        <w:rPr>
          <w:rFonts w:ascii="Times New Roman" w:hAnsi="Times New Roman" w:cs="Times New Roman"/>
          <w:sz w:val="24"/>
          <w:szCs w:val="24"/>
        </w:rPr>
        <w:t xml:space="preserve">à Barila : </w:t>
      </w:r>
      <w:r w:rsidR="007E6D20" w:rsidRPr="008062C2">
        <w:rPr>
          <w:rFonts w:ascii="Times New Roman" w:hAnsi="Times New Roman" w:cs="Times New Roman"/>
          <w:sz w:val="24"/>
          <w:szCs w:val="24"/>
        </w:rPr>
        <w:t>Visite du puits pastoral,</w:t>
      </w:r>
      <w:r>
        <w:rPr>
          <w:rFonts w:ascii="Times New Roman" w:hAnsi="Times New Roman" w:cs="Times New Roman"/>
          <w:sz w:val="24"/>
          <w:szCs w:val="24"/>
        </w:rPr>
        <w:t xml:space="preserve"> des fosses comp</w:t>
      </w:r>
      <w:r w:rsidR="00BF219C">
        <w:rPr>
          <w:rFonts w:ascii="Times New Roman" w:hAnsi="Times New Roman" w:cs="Times New Roman"/>
          <w:sz w:val="24"/>
          <w:szCs w:val="24"/>
        </w:rPr>
        <w:t>o</w:t>
      </w:r>
      <w:r>
        <w:rPr>
          <w:rFonts w:ascii="Times New Roman" w:hAnsi="Times New Roman" w:cs="Times New Roman"/>
          <w:sz w:val="24"/>
          <w:szCs w:val="24"/>
        </w:rPr>
        <w:t>stières,</w:t>
      </w:r>
      <w:r w:rsidR="007E6D20" w:rsidRPr="008062C2">
        <w:rPr>
          <w:rFonts w:ascii="Times New Roman" w:hAnsi="Times New Roman" w:cs="Times New Roman"/>
          <w:sz w:val="24"/>
          <w:szCs w:val="24"/>
        </w:rPr>
        <w:t xml:space="preserve"> de quelques ruches</w:t>
      </w:r>
      <w:r>
        <w:rPr>
          <w:rFonts w:ascii="Times New Roman" w:hAnsi="Times New Roman" w:cs="Times New Roman"/>
          <w:sz w:val="24"/>
          <w:szCs w:val="24"/>
        </w:rPr>
        <w:t xml:space="preserve"> améliorées</w:t>
      </w:r>
      <w:r w:rsidR="007E6D20" w:rsidRPr="008062C2">
        <w:rPr>
          <w:rFonts w:ascii="Times New Roman" w:hAnsi="Times New Roman" w:cs="Times New Roman"/>
          <w:sz w:val="24"/>
          <w:szCs w:val="24"/>
        </w:rPr>
        <w:t xml:space="preserve"> et de</w:t>
      </w:r>
      <w:r>
        <w:rPr>
          <w:rFonts w:ascii="Times New Roman" w:hAnsi="Times New Roman" w:cs="Times New Roman"/>
          <w:sz w:val="24"/>
          <w:szCs w:val="24"/>
        </w:rPr>
        <w:t xml:space="preserve">s terres restaurées par le système des </w:t>
      </w:r>
      <w:r w:rsidR="007E6D20" w:rsidRPr="008062C2">
        <w:rPr>
          <w:rFonts w:ascii="Times New Roman" w:hAnsi="Times New Roman" w:cs="Times New Roman"/>
          <w:sz w:val="24"/>
          <w:szCs w:val="24"/>
        </w:rPr>
        <w:t>cordons pierreux</w:t>
      </w:r>
      <w:r w:rsidR="00BF219C">
        <w:rPr>
          <w:rFonts w:ascii="Times New Roman" w:hAnsi="Times New Roman" w:cs="Times New Roman"/>
          <w:sz w:val="24"/>
          <w:szCs w:val="24"/>
        </w:rPr>
        <w:t>.</w:t>
      </w:r>
    </w:p>
    <w:p w:rsidR="00BF219C" w:rsidRDefault="00BF219C" w:rsidP="00BD0B07">
      <w:pPr>
        <w:spacing w:after="0"/>
        <w:jc w:val="both"/>
        <w:rPr>
          <w:rFonts w:ascii="Times New Roman" w:hAnsi="Times New Roman" w:cs="Times New Roman"/>
          <w:sz w:val="24"/>
          <w:szCs w:val="24"/>
        </w:rPr>
      </w:pPr>
    </w:p>
    <w:p w:rsidR="00BF219C" w:rsidRDefault="00BF219C" w:rsidP="00BD0B07">
      <w:pPr>
        <w:spacing w:after="0"/>
        <w:jc w:val="both"/>
        <w:rPr>
          <w:rFonts w:ascii="Times New Roman" w:hAnsi="Times New Roman" w:cs="Times New Roman"/>
          <w:iCs/>
          <w:color w:val="000000"/>
          <w:sz w:val="24"/>
          <w:szCs w:val="24"/>
          <w:lang w:eastAsia="fr-FR"/>
        </w:rPr>
      </w:pPr>
      <w:r w:rsidRPr="00BF219C">
        <w:rPr>
          <w:rFonts w:ascii="Times New Roman" w:hAnsi="Times New Roman" w:cs="Times New Roman"/>
          <w:sz w:val="24"/>
          <w:szCs w:val="24"/>
        </w:rPr>
        <w:t>La mission a mis l’accent sur l’échange et la concertation avec les différents acteurs en vue d’avoir une vision partagée sur l’état de mise en œuvre des activités. Ainsi, à chaque étape, la visite des réalisations a été suivie de séance d’échange</w:t>
      </w:r>
      <w:r>
        <w:rPr>
          <w:rFonts w:ascii="Times New Roman" w:hAnsi="Times New Roman" w:cs="Times New Roman"/>
          <w:sz w:val="24"/>
          <w:szCs w:val="24"/>
        </w:rPr>
        <w:t>s</w:t>
      </w:r>
      <w:r w:rsidRPr="00BF219C">
        <w:rPr>
          <w:rFonts w:ascii="Times New Roman" w:hAnsi="Times New Roman" w:cs="Times New Roman"/>
          <w:sz w:val="24"/>
          <w:szCs w:val="24"/>
        </w:rPr>
        <w:t xml:space="preserve"> avec les bénéficiaires.</w:t>
      </w:r>
      <w:r w:rsidRPr="00BF219C">
        <w:rPr>
          <w:rFonts w:ascii="Times New Roman" w:hAnsi="Times New Roman" w:cs="Times New Roman"/>
          <w:iCs/>
          <w:color w:val="000000"/>
          <w:sz w:val="24"/>
          <w:szCs w:val="24"/>
          <w:lang w:eastAsia="fr-FR"/>
        </w:rPr>
        <w:t xml:space="preserve"> </w:t>
      </w:r>
      <w:r>
        <w:rPr>
          <w:rFonts w:ascii="Times New Roman" w:hAnsi="Times New Roman" w:cs="Times New Roman"/>
          <w:iCs/>
          <w:color w:val="000000"/>
          <w:sz w:val="24"/>
          <w:szCs w:val="24"/>
          <w:lang w:eastAsia="fr-FR"/>
        </w:rPr>
        <w:t>Elle a permis de réactualiser le cadre de résultat et d’apprécier le niveau d’avancement des activités sur le terrain (cf. annexe 5).</w:t>
      </w:r>
    </w:p>
    <w:p w:rsidR="001C4D14" w:rsidRDefault="001C4D14" w:rsidP="00BD0B07">
      <w:pPr>
        <w:spacing w:after="0"/>
        <w:jc w:val="both"/>
        <w:rPr>
          <w:rFonts w:ascii="Times New Roman" w:hAnsi="Times New Roman" w:cs="Times New Roman"/>
          <w:iCs/>
          <w:color w:val="000000"/>
          <w:sz w:val="24"/>
          <w:szCs w:val="24"/>
          <w:lang w:eastAsia="fr-FR"/>
        </w:rPr>
      </w:pPr>
    </w:p>
    <w:p w:rsidR="001C4D14" w:rsidRPr="00BF219C" w:rsidRDefault="001C4D14" w:rsidP="00BF219C">
      <w:pPr>
        <w:spacing w:after="0"/>
        <w:jc w:val="both"/>
        <w:rPr>
          <w:rFonts w:ascii="Times New Roman" w:hAnsi="Times New Roman" w:cs="Times New Roman"/>
          <w:sz w:val="24"/>
          <w:szCs w:val="24"/>
        </w:rPr>
      </w:pPr>
    </w:p>
    <w:p w:rsidR="00841EC8" w:rsidRPr="00BF219C" w:rsidRDefault="007E6D20" w:rsidP="00BF219C">
      <w:pPr>
        <w:spacing w:after="0"/>
        <w:jc w:val="both"/>
        <w:rPr>
          <w:rFonts w:ascii="Times New Roman" w:hAnsi="Times New Roman" w:cs="Times New Roman"/>
          <w:sz w:val="24"/>
          <w:szCs w:val="24"/>
        </w:rPr>
      </w:pPr>
      <w:r w:rsidRPr="00BF219C">
        <w:rPr>
          <w:rFonts w:ascii="Times New Roman" w:hAnsi="Times New Roman" w:cs="Times New Roman"/>
          <w:sz w:val="24"/>
          <w:szCs w:val="24"/>
        </w:rPr>
        <w:t xml:space="preserve"> </w:t>
      </w:r>
    </w:p>
    <w:p w:rsidR="001C4D14" w:rsidRPr="001C4D14" w:rsidRDefault="00905195" w:rsidP="001C4D14">
      <w:pPr>
        <w:pStyle w:val="ListParagraph"/>
        <w:numPr>
          <w:ilvl w:val="0"/>
          <w:numId w:val="1"/>
        </w:numPr>
        <w:rPr>
          <w:rFonts w:ascii="Times New Roman" w:hAnsi="Times New Roman" w:cs="Times New Roman"/>
          <w:sz w:val="24"/>
          <w:szCs w:val="24"/>
          <w:lang w:val="fr-ML"/>
        </w:rPr>
      </w:pPr>
      <w:r w:rsidRPr="00841EC8">
        <w:rPr>
          <w:rFonts w:ascii="Times New Roman" w:hAnsi="Times New Roman" w:cs="Times New Roman"/>
          <w:b/>
          <w:sz w:val="24"/>
          <w:szCs w:val="24"/>
          <w:u w:val="single"/>
          <w:lang w:val="fr-ML"/>
        </w:rPr>
        <w:t>Les réunions du Comité de Pilotage</w:t>
      </w:r>
    </w:p>
    <w:p w:rsidR="001C4D14" w:rsidRDefault="001C4D14" w:rsidP="00BB5AD6">
      <w:pPr>
        <w:ind w:left="360"/>
        <w:jc w:val="both"/>
        <w:rPr>
          <w:rFonts w:ascii="Times New Roman" w:hAnsi="Times New Roman" w:cs="Times New Roman"/>
          <w:sz w:val="24"/>
          <w:szCs w:val="24"/>
          <w:lang w:val="fr-ML"/>
        </w:rPr>
      </w:pPr>
      <w:r w:rsidRPr="001C4D14">
        <w:rPr>
          <w:rFonts w:ascii="Times New Roman" w:hAnsi="Times New Roman" w:cs="Times New Roman"/>
          <w:sz w:val="24"/>
          <w:szCs w:val="24"/>
          <w:lang w:val="fr-ML"/>
        </w:rPr>
        <w:t>Au cours de l’année 2016, le Comité de pilotage a tenu deux réunions ordinaires, le 12 février et le 04 novembre 2016.</w:t>
      </w:r>
      <w:r>
        <w:rPr>
          <w:rFonts w:ascii="Times New Roman" w:hAnsi="Times New Roman" w:cs="Times New Roman"/>
          <w:sz w:val="24"/>
          <w:szCs w:val="24"/>
          <w:lang w:val="fr-ML"/>
        </w:rPr>
        <w:t xml:space="preserve"> Ces deux réunions ont permis au Comité de pilotage du Fonds Climat Mali, d’adopter ses outils de gouvernance, d’approuver le financement de quatre nouveaux projets et programmes, d’adopter  les termes de référence de son Plan d’Investissement Stratégique, de demander la prolongation du mandat d’agent administratif du Bureau</w:t>
      </w:r>
      <w:r w:rsidR="00645839">
        <w:rPr>
          <w:rFonts w:ascii="Times New Roman" w:hAnsi="Times New Roman" w:cs="Times New Roman"/>
          <w:sz w:val="24"/>
          <w:szCs w:val="24"/>
          <w:lang w:val="fr-ML"/>
        </w:rPr>
        <w:t xml:space="preserve"> MPTF du PNUD et de résoudre le problème conflit d’intérêt potentiel dans son fonctionnement (cf </w:t>
      </w:r>
      <w:r>
        <w:rPr>
          <w:rFonts w:ascii="Times New Roman" w:hAnsi="Times New Roman" w:cs="Times New Roman"/>
          <w:sz w:val="24"/>
          <w:szCs w:val="24"/>
          <w:lang w:val="fr-ML"/>
        </w:rPr>
        <w:t xml:space="preserve"> </w:t>
      </w:r>
      <w:r w:rsidR="008A6052">
        <w:rPr>
          <w:rFonts w:ascii="Times New Roman" w:hAnsi="Times New Roman" w:cs="Times New Roman"/>
          <w:sz w:val="24"/>
          <w:szCs w:val="24"/>
          <w:lang w:val="fr-ML"/>
        </w:rPr>
        <w:t xml:space="preserve">compte rendu de réunion </w:t>
      </w:r>
      <w:r w:rsidR="00645839">
        <w:rPr>
          <w:rFonts w:ascii="Times New Roman" w:hAnsi="Times New Roman" w:cs="Times New Roman"/>
          <w:sz w:val="24"/>
          <w:szCs w:val="24"/>
          <w:lang w:val="fr-ML"/>
        </w:rPr>
        <w:t>annexe 6</w:t>
      </w:r>
      <w:r w:rsidR="008A6052">
        <w:rPr>
          <w:rFonts w:ascii="Times New Roman" w:hAnsi="Times New Roman" w:cs="Times New Roman"/>
          <w:sz w:val="24"/>
          <w:szCs w:val="24"/>
          <w:lang w:val="fr-ML"/>
        </w:rPr>
        <w:t xml:space="preserve"> et 7</w:t>
      </w:r>
      <w:r w:rsidR="00645839">
        <w:rPr>
          <w:rFonts w:ascii="Times New Roman" w:hAnsi="Times New Roman" w:cs="Times New Roman"/>
          <w:sz w:val="24"/>
          <w:szCs w:val="24"/>
          <w:lang w:val="fr-ML"/>
        </w:rPr>
        <w:t xml:space="preserve">). </w:t>
      </w:r>
    </w:p>
    <w:p w:rsidR="00940875" w:rsidRPr="006618B9" w:rsidRDefault="006618B9" w:rsidP="001C4D14">
      <w:pPr>
        <w:ind w:left="360"/>
        <w:rPr>
          <w:rFonts w:ascii="Times New Roman" w:hAnsi="Times New Roman" w:cs="Times New Roman"/>
          <w:b/>
          <w:sz w:val="24"/>
          <w:szCs w:val="24"/>
          <w:lang w:val="fr-ML"/>
        </w:rPr>
      </w:pPr>
      <w:r w:rsidRPr="006618B9">
        <w:rPr>
          <w:rFonts w:ascii="Times New Roman" w:hAnsi="Times New Roman" w:cs="Times New Roman"/>
          <w:b/>
          <w:sz w:val="24"/>
          <w:szCs w:val="24"/>
          <w:u w:val="single"/>
          <w:lang w:val="fr-ML"/>
        </w:rPr>
        <w:t>Une illustration narrative spécifique</w:t>
      </w:r>
      <w:r>
        <w:rPr>
          <w:rFonts w:ascii="Times New Roman" w:hAnsi="Times New Roman" w:cs="Times New Roman"/>
          <w:b/>
          <w:sz w:val="24"/>
          <w:szCs w:val="24"/>
          <w:lang w:val="fr-ML"/>
        </w:rPr>
        <w:t> :</w:t>
      </w:r>
    </w:p>
    <w:p w:rsidR="004A363E" w:rsidRDefault="00940875" w:rsidP="004A363E">
      <w:pPr>
        <w:keepNext/>
      </w:pPr>
      <w:r>
        <w:rPr>
          <w:rFonts w:ascii="Times New Roman" w:hAnsi="Times New Roman" w:cs="Times New Roman"/>
          <w:noProof/>
          <w:sz w:val="24"/>
          <w:szCs w:val="24"/>
          <w:lang w:val="en-US"/>
        </w:rPr>
        <w:drawing>
          <wp:inline distT="0" distB="0" distL="0" distR="0">
            <wp:extent cx="5284470" cy="2880877"/>
            <wp:effectExtent l="19050" t="0" r="0" b="0"/>
            <wp:docPr id="2" name="Image 1" descr="C:\Users\Dicko\Pictures\Photos Fana-Segou Sept 2016\DSC_7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ko\Pictures\Photos Fana-Segou Sept 2016\DSC_7327.JPG"/>
                    <pic:cNvPicPr>
                      <a:picLocks noChangeAspect="1" noChangeArrowheads="1"/>
                    </pic:cNvPicPr>
                  </pic:nvPicPr>
                  <pic:blipFill>
                    <a:blip r:embed="rId8" cstate="print"/>
                    <a:srcRect/>
                    <a:stretch>
                      <a:fillRect/>
                    </a:stretch>
                  </pic:blipFill>
                  <pic:spPr bwMode="auto">
                    <a:xfrm>
                      <a:off x="0" y="0"/>
                      <a:ext cx="5297954" cy="2888228"/>
                    </a:xfrm>
                    <a:prstGeom prst="rect">
                      <a:avLst/>
                    </a:prstGeom>
                    <a:noFill/>
                    <a:ln w="9525">
                      <a:noFill/>
                      <a:miter lim="800000"/>
                      <a:headEnd/>
                      <a:tailEnd/>
                    </a:ln>
                  </pic:spPr>
                </pic:pic>
              </a:graphicData>
            </a:graphic>
          </wp:inline>
        </w:drawing>
      </w:r>
    </w:p>
    <w:p w:rsidR="00940875" w:rsidRDefault="004A363E" w:rsidP="004A363E">
      <w:pPr>
        <w:pStyle w:val="Caption"/>
        <w:rPr>
          <w:rFonts w:ascii="Times New Roman" w:hAnsi="Times New Roman" w:cs="Times New Roman"/>
          <w:sz w:val="24"/>
          <w:szCs w:val="24"/>
          <w:lang w:val="fr-ML"/>
        </w:rPr>
      </w:pPr>
      <w:r>
        <w:t xml:space="preserve">Figure </w:t>
      </w:r>
      <w:r w:rsidR="00BB2C25">
        <w:fldChar w:fldCharType="begin"/>
      </w:r>
      <w:r w:rsidR="00BB2C25">
        <w:instrText xml:space="preserve"> SEQ Figure \* ARABIC </w:instrText>
      </w:r>
      <w:r w:rsidR="00BB2C25">
        <w:fldChar w:fldCharType="separate"/>
      </w:r>
      <w:r w:rsidR="00BB5AD6">
        <w:rPr>
          <w:noProof/>
        </w:rPr>
        <w:t>1</w:t>
      </w:r>
      <w:r w:rsidR="00BB2C25">
        <w:rPr>
          <w:noProof/>
        </w:rPr>
        <w:fldChar w:fldCharType="end"/>
      </w:r>
      <w:r>
        <w:t>: Visite d'un champ affecté par l'érosion hydrique à Djougani Mabo dans le Cercle de Barouéli par la mission. Ici le chef de village avec le représentant du PAM, le coordinateur du ST et le représentant de CAEB</w:t>
      </w:r>
    </w:p>
    <w:p w:rsidR="0080781C" w:rsidRDefault="0080781C" w:rsidP="0080781C">
      <w:pPr>
        <w:pStyle w:val="ListParagraph"/>
        <w:numPr>
          <w:ilvl w:val="0"/>
          <w:numId w:val="10"/>
        </w:numPr>
        <w:jc w:val="both"/>
        <w:rPr>
          <w:rFonts w:ascii="Times New Roman" w:hAnsi="Times New Roman" w:cs="Times New Roman"/>
          <w:sz w:val="24"/>
          <w:szCs w:val="24"/>
          <w:lang w:val="fr-ML"/>
        </w:rPr>
      </w:pPr>
      <w:r w:rsidRPr="0080781C">
        <w:rPr>
          <w:rFonts w:ascii="Times New Roman" w:hAnsi="Times New Roman" w:cs="Times New Roman"/>
          <w:b/>
          <w:sz w:val="24"/>
          <w:szCs w:val="24"/>
          <w:lang w:val="fr-ML"/>
        </w:rPr>
        <w:t>Cas du projet RTPA à Barouéli</w:t>
      </w:r>
      <w:r>
        <w:rPr>
          <w:rFonts w:ascii="Times New Roman" w:hAnsi="Times New Roman" w:cs="Times New Roman"/>
          <w:sz w:val="24"/>
          <w:szCs w:val="24"/>
          <w:lang w:val="fr-ML"/>
        </w:rPr>
        <w:t> : les cordons pierreux</w:t>
      </w:r>
    </w:p>
    <w:p w:rsidR="00E97D91" w:rsidRDefault="006618B9" w:rsidP="0080781C">
      <w:pPr>
        <w:jc w:val="both"/>
        <w:rPr>
          <w:rFonts w:ascii="Times New Roman" w:hAnsi="Times New Roman" w:cs="Times New Roman"/>
          <w:sz w:val="24"/>
          <w:szCs w:val="24"/>
          <w:lang w:val="fr-ML"/>
        </w:rPr>
      </w:pPr>
      <w:r w:rsidRPr="0080781C">
        <w:rPr>
          <w:rFonts w:ascii="Times New Roman" w:hAnsi="Times New Roman" w:cs="Times New Roman"/>
          <w:sz w:val="24"/>
          <w:szCs w:val="24"/>
          <w:lang w:val="fr-ML"/>
        </w:rPr>
        <w:t xml:space="preserve">La visite de terrain a permis de </w:t>
      </w:r>
      <w:r w:rsidR="00F40B71" w:rsidRPr="0080781C">
        <w:rPr>
          <w:rFonts w:ascii="Times New Roman" w:hAnsi="Times New Roman" w:cs="Times New Roman"/>
          <w:sz w:val="24"/>
          <w:szCs w:val="24"/>
          <w:lang w:val="fr-ML"/>
        </w:rPr>
        <w:t xml:space="preserve">se </w:t>
      </w:r>
      <w:r w:rsidR="00BB5AD6" w:rsidRPr="0080781C">
        <w:rPr>
          <w:rFonts w:ascii="Times New Roman" w:hAnsi="Times New Roman" w:cs="Times New Roman"/>
          <w:sz w:val="24"/>
          <w:szCs w:val="24"/>
          <w:lang w:val="fr-ML"/>
        </w:rPr>
        <w:t>rendre compte</w:t>
      </w:r>
      <w:r w:rsidR="00F40B71" w:rsidRPr="0080781C">
        <w:rPr>
          <w:rFonts w:ascii="Times New Roman" w:hAnsi="Times New Roman" w:cs="Times New Roman"/>
          <w:sz w:val="24"/>
          <w:szCs w:val="24"/>
          <w:lang w:val="fr-ML"/>
        </w:rPr>
        <w:t xml:space="preserve"> de</w:t>
      </w:r>
      <w:r w:rsidRPr="0080781C">
        <w:rPr>
          <w:rFonts w:ascii="Times New Roman" w:hAnsi="Times New Roman" w:cs="Times New Roman"/>
          <w:sz w:val="24"/>
          <w:szCs w:val="24"/>
          <w:lang w:val="fr-ML"/>
        </w:rPr>
        <w:t xml:space="preserve"> certaines difficultés, dues aux faiblesses dans le montage initial du document de projet</w:t>
      </w:r>
      <w:r w:rsidR="00510FD0" w:rsidRPr="0080781C">
        <w:rPr>
          <w:rFonts w:ascii="Times New Roman" w:hAnsi="Times New Roman" w:cs="Times New Roman"/>
          <w:sz w:val="24"/>
          <w:szCs w:val="24"/>
          <w:lang w:val="fr-ML"/>
        </w:rPr>
        <w:t xml:space="preserve"> (RTPA)</w:t>
      </w:r>
      <w:r w:rsidRPr="0080781C">
        <w:rPr>
          <w:rFonts w:ascii="Times New Roman" w:hAnsi="Times New Roman" w:cs="Times New Roman"/>
          <w:sz w:val="24"/>
          <w:szCs w:val="24"/>
          <w:lang w:val="fr-ML"/>
        </w:rPr>
        <w:t>. Les objec</w:t>
      </w:r>
      <w:r w:rsidR="00F40B71" w:rsidRPr="0080781C">
        <w:rPr>
          <w:rFonts w:ascii="Times New Roman" w:hAnsi="Times New Roman" w:cs="Times New Roman"/>
          <w:sz w:val="24"/>
          <w:szCs w:val="24"/>
          <w:lang w:val="fr-ML"/>
        </w:rPr>
        <w:t>tifs du projet en matière</w:t>
      </w:r>
      <w:r w:rsidRPr="0080781C">
        <w:rPr>
          <w:rFonts w:ascii="Times New Roman" w:hAnsi="Times New Roman" w:cs="Times New Roman"/>
          <w:sz w:val="24"/>
          <w:szCs w:val="24"/>
          <w:lang w:val="fr-ML"/>
        </w:rPr>
        <w:t xml:space="preserve"> de métrages des cordons pierreux à faire seront difficilement atteints du fait que dans cert</w:t>
      </w:r>
      <w:r w:rsidR="00F40B71" w:rsidRPr="0080781C">
        <w:rPr>
          <w:rFonts w:ascii="Times New Roman" w:hAnsi="Times New Roman" w:cs="Times New Roman"/>
          <w:sz w:val="24"/>
          <w:szCs w:val="24"/>
          <w:lang w:val="fr-ML"/>
        </w:rPr>
        <w:t>aines zones du cercle</w:t>
      </w:r>
      <w:r w:rsidRPr="0080781C">
        <w:rPr>
          <w:rFonts w:ascii="Times New Roman" w:hAnsi="Times New Roman" w:cs="Times New Roman"/>
          <w:sz w:val="24"/>
          <w:szCs w:val="24"/>
          <w:lang w:val="fr-ML"/>
        </w:rPr>
        <w:t xml:space="preserve"> de Barouéli, il n’y a pas de disponibilité de</w:t>
      </w:r>
      <w:r w:rsidR="00F40B71" w:rsidRPr="0080781C">
        <w:rPr>
          <w:rFonts w:ascii="Times New Roman" w:hAnsi="Times New Roman" w:cs="Times New Roman"/>
          <w:sz w:val="24"/>
          <w:szCs w:val="24"/>
          <w:lang w:val="fr-ML"/>
        </w:rPr>
        <w:t xml:space="preserve"> pierre</w:t>
      </w:r>
      <w:r w:rsidR="00510FD0" w:rsidRPr="0080781C">
        <w:rPr>
          <w:rFonts w:ascii="Times New Roman" w:hAnsi="Times New Roman" w:cs="Times New Roman"/>
          <w:sz w:val="24"/>
          <w:szCs w:val="24"/>
          <w:lang w:val="fr-ML"/>
        </w:rPr>
        <w:t>s</w:t>
      </w:r>
      <w:r w:rsidR="00F40B71" w:rsidRPr="0080781C">
        <w:rPr>
          <w:rFonts w:ascii="Times New Roman" w:hAnsi="Times New Roman" w:cs="Times New Roman"/>
          <w:sz w:val="24"/>
          <w:szCs w:val="24"/>
          <w:lang w:val="fr-ML"/>
        </w:rPr>
        <w:t>.</w:t>
      </w:r>
      <w:r w:rsidRPr="0080781C">
        <w:rPr>
          <w:rFonts w:ascii="Times New Roman" w:hAnsi="Times New Roman" w:cs="Times New Roman"/>
          <w:sz w:val="24"/>
          <w:szCs w:val="24"/>
          <w:lang w:val="fr-ML"/>
        </w:rPr>
        <w:t xml:space="preserve"> </w:t>
      </w:r>
      <w:r w:rsidR="00F40B71" w:rsidRPr="0080781C">
        <w:rPr>
          <w:rFonts w:ascii="Times New Roman" w:hAnsi="Times New Roman" w:cs="Times New Roman"/>
          <w:sz w:val="24"/>
          <w:szCs w:val="24"/>
          <w:lang w:val="fr-ML"/>
        </w:rPr>
        <w:t>Donc la confection de cordon pierreux s’avère fastidieux et très couteux. Après l’entretien avec les partenaires de mise en œuvre du projet il a été suggéré de remplacer les cordons pierreux par d’autres techniques de restauration, et d’écrire au Fonds Climat Mali</w:t>
      </w:r>
      <w:r w:rsidR="003F60FB" w:rsidRPr="0080781C">
        <w:rPr>
          <w:rFonts w:ascii="Times New Roman" w:hAnsi="Times New Roman" w:cs="Times New Roman"/>
          <w:sz w:val="24"/>
          <w:szCs w:val="24"/>
          <w:lang w:val="fr-ML"/>
        </w:rPr>
        <w:t xml:space="preserve"> pour demander la</w:t>
      </w:r>
      <w:r w:rsidR="00F40B71" w:rsidRPr="0080781C">
        <w:rPr>
          <w:rFonts w:ascii="Times New Roman" w:hAnsi="Times New Roman" w:cs="Times New Roman"/>
          <w:sz w:val="24"/>
          <w:szCs w:val="24"/>
          <w:lang w:val="fr-ML"/>
        </w:rPr>
        <w:t xml:space="preserve"> révision subséquente au niveau  du cadre de résultat. </w:t>
      </w:r>
    </w:p>
    <w:p w:rsidR="009711D3" w:rsidRDefault="009711D3" w:rsidP="0080781C">
      <w:pPr>
        <w:jc w:val="both"/>
        <w:rPr>
          <w:rFonts w:ascii="Times New Roman" w:hAnsi="Times New Roman" w:cs="Times New Roman"/>
          <w:sz w:val="24"/>
          <w:szCs w:val="24"/>
          <w:lang w:val="fr-ML"/>
        </w:rPr>
      </w:pPr>
    </w:p>
    <w:p w:rsidR="009711D3" w:rsidRDefault="009711D3" w:rsidP="0080781C">
      <w:pPr>
        <w:jc w:val="both"/>
        <w:rPr>
          <w:rFonts w:ascii="Times New Roman" w:hAnsi="Times New Roman" w:cs="Times New Roman"/>
          <w:sz w:val="24"/>
          <w:szCs w:val="24"/>
          <w:lang w:val="fr-ML"/>
        </w:rPr>
      </w:pPr>
    </w:p>
    <w:p w:rsidR="009711D3" w:rsidRDefault="009711D3" w:rsidP="0080781C">
      <w:pPr>
        <w:jc w:val="both"/>
        <w:rPr>
          <w:rFonts w:ascii="Times New Roman" w:hAnsi="Times New Roman" w:cs="Times New Roman"/>
          <w:sz w:val="24"/>
          <w:szCs w:val="24"/>
          <w:lang w:val="fr-ML"/>
        </w:rPr>
      </w:pPr>
    </w:p>
    <w:p w:rsidR="009711D3" w:rsidRPr="0080781C" w:rsidRDefault="009711D3" w:rsidP="0080781C">
      <w:pPr>
        <w:jc w:val="both"/>
        <w:rPr>
          <w:rFonts w:ascii="Times New Roman" w:hAnsi="Times New Roman" w:cs="Times New Roman"/>
          <w:sz w:val="24"/>
          <w:szCs w:val="24"/>
          <w:lang w:val="fr-ML"/>
        </w:rPr>
      </w:pPr>
    </w:p>
    <w:p w:rsidR="0080781C" w:rsidRPr="0080781C" w:rsidRDefault="0080781C" w:rsidP="0080781C">
      <w:pPr>
        <w:pStyle w:val="ListParagraph"/>
        <w:numPr>
          <w:ilvl w:val="0"/>
          <w:numId w:val="10"/>
        </w:numPr>
        <w:jc w:val="both"/>
        <w:rPr>
          <w:rFonts w:ascii="Times New Roman" w:hAnsi="Times New Roman" w:cs="Times New Roman"/>
          <w:sz w:val="24"/>
          <w:szCs w:val="24"/>
          <w:lang w:val="fr-ML"/>
        </w:rPr>
      </w:pPr>
      <w:r w:rsidRPr="0080781C">
        <w:rPr>
          <w:rFonts w:ascii="Times New Roman" w:hAnsi="Times New Roman" w:cs="Times New Roman"/>
          <w:b/>
          <w:sz w:val="24"/>
          <w:szCs w:val="24"/>
          <w:lang w:val="fr-ML"/>
        </w:rPr>
        <w:t>Cas du PAADRCY</w:t>
      </w:r>
      <w:r>
        <w:rPr>
          <w:rFonts w:ascii="Times New Roman" w:hAnsi="Times New Roman" w:cs="Times New Roman"/>
          <w:sz w:val="24"/>
          <w:szCs w:val="24"/>
          <w:lang w:val="fr-ML"/>
        </w:rPr>
        <w:t> : la participation des femmes comme bénéficiaires des activités</w:t>
      </w:r>
    </w:p>
    <w:p w:rsidR="00E97D91" w:rsidRDefault="0080781C" w:rsidP="0080781C">
      <w:pPr>
        <w:jc w:val="both"/>
        <w:rPr>
          <w:rFonts w:ascii="Times New Roman" w:hAnsi="Times New Roman" w:cs="Times New Roman"/>
          <w:sz w:val="24"/>
          <w:szCs w:val="24"/>
          <w:lang w:val="fr-ML"/>
        </w:rPr>
      </w:pPr>
      <w:r>
        <w:rPr>
          <w:rFonts w:ascii="Times New Roman" w:hAnsi="Times New Roman" w:cs="Times New Roman"/>
          <w:sz w:val="24"/>
          <w:szCs w:val="24"/>
          <w:lang w:val="fr-ML"/>
        </w:rPr>
        <w:t xml:space="preserve">La visite de terrain de la consultante de l’ASDI et du coordinateur du ST en 2015, a emmené le projet PAADRCY à faire bénéficier davantage les femmes des activités du projet. Ainsi les activités d’avicultures et pisciculture ont beaucoup bénéficié aux femmes. </w:t>
      </w:r>
    </w:p>
    <w:p w:rsidR="00BB5AD6" w:rsidRDefault="00E97D91" w:rsidP="00BB5AD6">
      <w:pPr>
        <w:keepNext/>
        <w:ind w:left="360"/>
      </w:pPr>
      <w:r>
        <w:rPr>
          <w:rFonts w:ascii="Times New Roman" w:hAnsi="Times New Roman" w:cs="Times New Roman"/>
          <w:noProof/>
          <w:sz w:val="24"/>
          <w:szCs w:val="24"/>
          <w:lang w:val="en-US"/>
        </w:rPr>
        <w:drawing>
          <wp:inline distT="0" distB="0" distL="0" distR="0">
            <wp:extent cx="5252669" cy="3078115"/>
            <wp:effectExtent l="19050" t="0" r="5131" b="0"/>
            <wp:docPr id="4" name="Image 3" descr="C:\Users\Dicko\Pictures\Yanfolila 06-09102016\DSC_7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o\Pictures\Yanfolila 06-09102016\DSC_7509.JPG"/>
                    <pic:cNvPicPr>
                      <a:picLocks noChangeAspect="1" noChangeArrowheads="1"/>
                    </pic:cNvPicPr>
                  </pic:nvPicPr>
                  <pic:blipFill>
                    <a:blip r:embed="rId9" cstate="print"/>
                    <a:srcRect/>
                    <a:stretch>
                      <a:fillRect/>
                    </a:stretch>
                  </pic:blipFill>
                  <pic:spPr bwMode="auto">
                    <a:xfrm>
                      <a:off x="0" y="0"/>
                      <a:ext cx="5255953" cy="3080039"/>
                    </a:xfrm>
                    <a:prstGeom prst="rect">
                      <a:avLst/>
                    </a:prstGeom>
                    <a:noFill/>
                    <a:ln w="9525">
                      <a:noFill/>
                      <a:miter lim="800000"/>
                      <a:headEnd/>
                      <a:tailEnd/>
                    </a:ln>
                  </pic:spPr>
                </pic:pic>
              </a:graphicData>
            </a:graphic>
          </wp:inline>
        </w:drawing>
      </w:r>
    </w:p>
    <w:p w:rsidR="00510FD0" w:rsidRDefault="00BB5AD6" w:rsidP="00BB5AD6">
      <w:pPr>
        <w:pStyle w:val="Caption"/>
      </w:pPr>
      <w:r>
        <w:t xml:space="preserve">Figure </w:t>
      </w:r>
      <w:r w:rsidR="00BB2C25">
        <w:fldChar w:fldCharType="begin"/>
      </w:r>
      <w:r w:rsidR="00BB2C25">
        <w:instrText xml:space="preserve"> SEQ Figure \* ARABIC </w:instrText>
      </w:r>
      <w:r w:rsidR="00BB2C25">
        <w:fldChar w:fldCharType="separate"/>
      </w:r>
      <w:r>
        <w:rPr>
          <w:noProof/>
        </w:rPr>
        <w:t>2</w:t>
      </w:r>
      <w:r w:rsidR="00BB2C25">
        <w:rPr>
          <w:noProof/>
        </w:rPr>
        <w:fldChar w:fldCharType="end"/>
      </w:r>
      <w:r>
        <w:t xml:space="preserve"> : Deux membre du comité de Pilotage M. Tiveau et M. Guindo en compagnie des femmes de Goualafara bénéficiaire d'un dalla sur creusé et empoissonné</w:t>
      </w:r>
    </w:p>
    <w:p w:rsidR="009711D3" w:rsidRDefault="009711D3" w:rsidP="009711D3"/>
    <w:p w:rsidR="009711D3" w:rsidRPr="00594518" w:rsidRDefault="009711D3" w:rsidP="009711D3">
      <w:pPr>
        <w:spacing w:after="0" w:line="240" w:lineRule="auto"/>
        <w:ind w:firstLine="360"/>
        <w:contextualSpacing/>
        <w:rPr>
          <w:rFonts w:eastAsiaTheme="minorEastAsia" w:cs="Arial"/>
          <w:b/>
          <w:color w:val="FF0000"/>
          <w:lang w:eastAsia="fr-FR"/>
        </w:rPr>
      </w:pPr>
      <w:r w:rsidRPr="00594518">
        <w:rPr>
          <w:rFonts w:eastAsiaTheme="minorEastAsia" w:cs="Arial"/>
          <w:b/>
          <w:color w:val="FF0000"/>
          <w:lang w:eastAsia="fr-FR"/>
        </w:rPr>
        <w:t>III. Exécutions budgétaires</w:t>
      </w:r>
    </w:p>
    <w:p w:rsidR="009711D3" w:rsidRPr="009711D3" w:rsidRDefault="009711D3" w:rsidP="009711D3"/>
    <w:p w:rsidR="00510FD0" w:rsidRDefault="00510FD0" w:rsidP="00510FD0">
      <w:pPr>
        <w:rPr>
          <w:rFonts w:ascii="Times New Roman" w:hAnsi="Times New Roman" w:cs="Times New Roman"/>
          <w:sz w:val="24"/>
          <w:szCs w:val="24"/>
          <w:lang w:val="fr-ML"/>
        </w:rPr>
      </w:pPr>
    </w:p>
    <w:p w:rsidR="00E97D91" w:rsidRPr="00510FD0" w:rsidRDefault="00E97D91" w:rsidP="00510FD0">
      <w:pPr>
        <w:jc w:val="right"/>
        <w:rPr>
          <w:rFonts w:ascii="Times New Roman" w:hAnsi="Times New Roman" w:cs="Times New Roman"/>
          <w:sz w:val="24"/>
          <w:szCs w:val="24"/>
          <w:lang w:val="fr-ML"/>
        </w:rPr>
      </w:pPr>
    </w:p>
    <w:sectPr w:rsidR="00E97D91" w:rsidRPr="00510FD0" w:rsidSect="00427D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36" w:rsidRDefault="000C1A36" w:rsidP="00126FBF">
      <w:pPr>
        <w:spacing w:after="0" w:line="240" w:lineRule="auto"/>
      </w:pPr>
      <w:r>
        <w:separator/>
      </w:r>
    </w:p>
  </w:endnote>
  <w:endnote w:type="continuationSeparator" w:id="0">
    <w:p w:rsidR="000C1A36" w:rsidRDefault="000C1A36" w:rsidP="0012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367516"/>
      <w:docPartObj>
        <w:docPartGallery w:val="Page Numbers (Bottom of Page)"/>
        <w:docPartUnique/>
      </w:docPartObj>
    </w:sdtPr>
    <w:sdtEndPr/>
    <w:sdtContent>
      <w:p w:rsidR="003A37A2" w:rsidRDefault="00BB2C25">
        <w:pPr>
          <w:pStyle w:val="Footer"/>
        </w:pPr>
        <w:r>
          <w:rPr>
            <w:noProof/>
            <w:lang w:val="en-US"/>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3A37A2" w:rsidRDefault="00BB2C25">
                              <w:pPr>
                                <w:jc w:val="center"/>
                              </w:pPr>
                              <w:r>
                                <w:fldChar w:fldCharType="begin"/>
                              </w:r>
                              <w:r>
                                <w:instrText xml:space="preserve"> PAGE    \* MERGEFORMAT </w:instrText>
                              </w:r>
                              <w:r>
                                <w:fldChar w:fldCharType="separate"/>
                              </w:r>
                              <w:r w:rsidRPr="00BB2C25">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DJ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Z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LWa&#10;YMlOAgAApwQAAA4AAAAAAAAAAAAAAAAALgIAAGRycy9lMm9Eb2MueG1sUEsBAi0AFAAGAAgAAAAh&#10;AN+jWFfbAAAAAwEAAA8AAAAAAAAAAAAAAAAAqAQAAGRycy9kb3ducmV2LnhtbFBLBQYAAAAABAAE&#10;APMAAACwBQAAAAA=&#10;" o:allowincell="f" adj="14135" strokecolor="gray [1629]" strokeweight=".25pt">
                  <v:textbox>
                    <w:txbxContent>
                      <w:p w:rsidR="003A37A2" w:rsidRDefault="00BB2C25">
                        <w:pPr>
                          <w:jc w:val="center"/>
                        </w:pPr>
                        <w:r>
                          <w:fldChar w:fldCharType="begin"/>
                        </w:r>
                        <w:r>
                          <w:instrText xml:space="preserve"> PAGE    \* MERGEFORMAT </w:instrText>
                        </w:r>
                        <w:r>
                          <w:fldChar w:fldCharType="separate"/>
                        </w:r>
                        <w:r w:rsidRPr="00BB2C25">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36" w:rsidRDefault="000C1A36" w:rsidP="00126FBF">
      <w:pPr>
        <w:spacing w:after="0" w:line="240" w:lineRule="auto"/>
      </w:pPr>
      <w:r>
        <w:separator/>
      </w:r>
    </w:p>
  </w:footnote>
  <w:footnote w:type="continuationSeparator" w:id="0">
    <w:p w:rsidR="000C1A36" w:rsidRDefault="000C1A36" w:rsidP="00126FBF">
      <w:pPr>
        <w:spacing w:after="0" w:line="240" w:lineRule="auto"/>
      </w:pPr>
      <w:r>
        <w:continuationSeparator/>
      </w:r>
    </w:p>
  </w:footnote>
  <w:footnote w:id="1">
    <w:p w:rsidR="003A37A2" w:rsidRPr="0020099C" w:rsidRDefault="003A37A2" w:rsidP="00126FBF">
      <w:pPr>
        <w:pStyle w:val="FootnoteText"/>
        <w:rPr>
          <w:sz w:val="16"/>
          <w:szCs w:val="16"/>
        </w:rPr>
      </w:pPr>
      <w:r w:rsidRPr="0020099C">
        <w:rPr>
          <w:rStyle w:val="FootnoteReference"/>
          <w:sz w:val="16"/>
          <w:szCs w:val="16"/>
        </w:rPr>
        <w:footnoteRef/>
      </w:r>
      <w:r w:rsidRPr="0020099C">
        <w:rPr>
          <w:sz w:val="16"/>
          <w:szCs w:val="16"/>
        </w:rPr>
        <w:t xml:space="preserve"> Le terme “</w:t>
      </w:r>
      <w:r>
        <w:rPr>
          <w:sz w:val="16"/>
          <w:szCs w:val="16"/>
        </w:rPr>
        <w:t xml:space="preserve">programme </w:t>
      </w:r>
      <w:r w:rsidRPr="0020099C">
        <w:rPr>
          <w:sz w:val="16"/>
          <w:szCs w:val="16"/>
        </w:rPr>
        <w:t xml:space="preserve">” est </w:t>
      </w:r>
      <w:r>
        <w:rPr>
          <w:sz w:val="16"/>
          <w:szCs w:val="16"/>
        </w:rPr>
        <w:t xml:space="preserve">aussi </w:t>
      </w:r>
      <w:r w:rsidRPr="0020099C">
        <w:rPr>
          <w:sz w:val="16"/>
          <w:szCs w:val="16"/>
        </w:rPr>
        <w:t xml:space="preserve">utilisé </w:t>
      </w:r>
      <w:r>
        <w:rPr>
          <w:sz w:val="16"/>
          <w:szCs w:val="16"/>
        </w:rPr>
        <w:t xml:space="preserve">dans le rapport </w:t>
      </w:r>
      <w:r w:rsidRPr="0020099C">
        <w:rPr>
          <w:sz w:val="16"/>
          <w:szCs w:val="16"/>
        </w:rPr>
        <w:t xml:space="preserve">pour les </w:t>
      </w:r>
      <w:r>
        <w:rPr>
          <w:sz w:val="16"/>
          <w:szCs w:val="16"/>
        </w:rPr>
        <w:t>propositions d’appui</w:t>
      </w:r>
      <w:r w:rsidRPr="0020099C">
        <w:rPr>
          <w:i/>
          <w:sz w:val="16"/>
          <w:szCs w:val="16"/>
        </w:rPr>
        <w:t>.</w:t>
      </w:r>
    </w:p>
  </w:footnote>
  <w:footnote w:id="2">
    <w:p w:rsidR="003A37A2" w:rsidRPr="0020099C" w:rsidRDefault="003A37A2" w:rsidP="00126FBF">
      <w:pPr>
        <w:pStyle w:val="FootnoteText"/>
        <w:rPr>
          <w:sz w:val="16"/>
          <w:szCs w:val="16"/>
        </w:rPr>
      </w:pPr>
      <w:r w:rsidRPr="0020099C">
        <w:rPr>
          <w:rStyle w:val="FootnoteReference"/>
          <w:sz w:val="16"/>
          <w:szCs w:val="16"/>
        </w:rPr>
        <w:footnoteRef/>
      </w:r>
      <w:r>
        <w:rPr>
          <w:sz w:val="16"/>
          <w:szCs w:val="16"/>
        </w:rPr>
        <w:t xml:space="preserve">Le numéro de référence du programme </w:t>
      </w:r>
      <w:r w:rsidRPr="0020099C">
        <w:rPr>
          <w:sz w:val="16"/>
          <w:szCs w:val="16"/>
        </w:rPr>
        <w:t xml:space="preserve">est le même que celui sur le message de notification, aussi appelé “Project ID” sur le </w:t>
      </w:r>
      <w:hyperlink r:id="rId1" w:history="1">
        <w:r w:rsidRPr="006C4C8B">
          <w:rPr>
            <w:rStyle w:val="Hyperlink"/>
            <w:sz w:val="16"/>
            <w:szCs w:val="16"/>
          </w:rPr>
          <w:t>MPTF Office GATEWAY</w:t>
        </w:r>
      </w:hyperlink>
      <w:r w:rsidRPr="0020099C">
        <w:rPr>
          <w:sz w:val="16"/>
          <w:szCs w:val="16"/>
        </w:rPr>
        <w:t>.</w:t>
      </w:r>
    </w:p>
  </w:footnote>
  <w:footnote w:id="3">
    <w:p w:rsidR="003A37A2" w:rsidRPr="0020099C" w:rsidRDefault="003A37A2" w:rsidP="00126FBF">
      <w:pPr>
        <w:pStyle w:val="FootnoteText"/>
        <w:ind w:left="90" w:hanging="90"/>
        <w:rPr>
          <w:sz w:val="16"/>
          <w:szCs w:val="16"/>
        </w:rPr>
      </w:pPr>
      <w:r w:rsidRPr="0020099C">
        <w:rPr>
          <w:rStyle w:val="FootnoteReference"/>
          <w:sz w:val="16"/>
          <w:szCs w:val="16"/>
        </w:rPr>
        <w:footnoteRef/>
      </w:r>
      <w:r w:rsidRPr="0020099C">
        <w:rPr>
          <w:sz w:val="16"/>
          <w:szCs w:val="16"/>
        </w:rPr>
        <w:t xml:space="preserve"> La date de démarrage est la date du premier transfert de fonds du MPTF Office en tant qu’Agent Administratif. Cette date est disponible sur le portail du MPTF Office (</w:t>
      </w:r>
      <w:hyperlink r:id="rId2" w:history="1">
        <w:r w:rsidRPr="006C4C8B">
          <w:rPr>
            <w:rStyle w:val="Hyperlink"/>
            <w:sz w:val="16"/>
            <w:szCs w:val="16"/>
          </w:rPr>
          <w:t>MPTF Office GATEWAY</w:t>
        </w:r>
      </w:hyperlink>
      <w:r w:rsidRPr="0020099C">
        <w:rPr>
          <w:sz w:val="16"/>
          <w:szCs w:val="16"/>
        </w:rPr>
        <w:t>).</w:t>
      </w:r>
    </w:p>
  </w:footnote>
  <w:footnote w:id="4">
    <w:p w:rsidR="003A37A2" w:rsidRPr="0020099C" w:rsidRDefault="003A37A2" w:rsidP="00126FBF">
      <w:pPr>
        <w:pStyle w:val="FootnoteText"/>
        <w:rPr>
          <w:sz w:val="16"/>
          <w:szCs w:val="16"/>
        </w:rPr>
      </w:pPr>
      <w:r w:rsidRPr="0020099C">
        <w:rPr>
          <w:rStyle w:val="FootnoteReference"/>
          <w:sz w:val="16"/>
          <w:szCs w:val="16"/>
        </w:rPr>
        <w:footnoteRef/>
      </w:r>
      <w:r w:rsidRPr="0020099C">
        <w:rPr>
          <w:sz w:val="16"/>
          <w:szCs w:val="16"/>
        </w:rPr>
        <w:t xml:space="preserve"> Tel qu’approuvé sur le document de </w:t>
      </w:r>
      <w:r>
        <w:rPr>
          <w:sz w:val="16"/>
          <w:szCs w:val="16"/>
        </w:rPr>
        <w:t>programme</w:t>
      </w:r>
      <w:r w:rsidRPr="0020099C">
        <w:rPr>
          <w:sz w:val="16"/>
          <w:szCs w:val="16"/>
        </w:rPr>
        <w:t xml:space="preserve"> originale par l’organisme de prise de décisions pertinent/comité de pilotage.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BA2"/>
    <w:multiLevelType w:val="hybridMultilevel"/>
    <w:tmpl w:val="45845368"/>
    <w:lvl w:ilvl="0" w:tplc="55F62E52">
      <w:start w:val="1"/>
      <w:numFmt w:val="upperRoman"/>
      <w:lvlText w:val="%1."/>
      <w:lvlJc w:val="left"/>
      <w:pPr>
        <w:ind w:left="1080" w:hanging="72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E76F2"/>
    <w:multiLevelType w:val="hybridMultilevel"/>
    <w:tmpl w:val="F17264EA"/>
    <w:lvl w:ilvl="0" w:tplc="AC2EF4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646D3"/>
    <w:multiLevelType w:val="hybridMultilevel"/>
    <w:tmpl w:val="9244B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D83476"/>
    <w:multiLevelType w:val="hybridMultilevel"/>
    <w:tmpl w:val="FDA07E40"/>
    <w:lvl w:ilvl="0" w:tplc="E7BEF0BC">
      <w:start w:val="2"/>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EE296C"/>
    <w:multiLevelType w:val="hybridMultilevel"/>
    <w:tmpl w:val="92E4C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B23F1"/>
    <w:multiLevelType w:val="hybridMultilevel"/>
    <w:tmpl w:val="23C0E43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492F610A"/>
    <w:multiLevelType w:val="hybridMultilevel"/>
    <w:tmpl w:val="AFB425B6"/>
    <w:lvl w:ilvl="0" w:tplc="EC4CC1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9949F6"/>
    <w:multiLevelType w:val="hybridMultilevel"/>
    <w:tmpl w:val="2DF69FC0"/>
    <w:lvl w:ilvl="0" w:tplc="BDE456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25297B"/>
    <w:multiLevelType w:val="hybridMultilevel"/>
    <w:tmpl w:val="95D0EFB4"/>
    <w:lvl w:ilvl="0" w:tplc="040C0001">
      <w:start w:val="1"/>
      <w:numFmt w:val="bullet"/>
      <w:lvlText w:val=""/>
      <w:lvlJc w:val="left"/>
      <w:pPr>
        <w:ind w:left="394"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7D602D17"/>
    <w:multiLevelType w:val="hybridMultilevel"/>
    <w:tmpl w:val="E5E87EAE"/>
    <w:lvl w:ilvl="0" w:tplc="18A847E0">
      <w:start w:val="1"/>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3"/>
  </w:num>
  <w:num w:numId="6">
    <w:abstractNumId w:val="0"/>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BF"/>
    <w:rsid w:val="00033639"/>
    <w:rsid w:val="000A2344"/>
    <w:rsid w:val="000B22B0"/>
    <w:rsid w:val="000C1A36"/>
    <w:rsid w:val="000E5EDE"/>
    <w:rsid w:val="00126FBF"/>
    <w:rsid w:val="00195141"/>
    <w:rsid w:val="001A6EAB"/>
    <w:rsid w:val="001C4D14"/>
    <w:rsid w:val="0021320A"/>
    <w:rsid w:val="002150C1"/>
    <w:rsid w:val="00293659"/>
    <w:rsid w:val="002B689E"/>
    <w:rsid w:val="002D2B0B"/>
    <w:rsid w:val="002F3C93"/>
    <w:rsid w:val="002F4CB7"/>
    <w:rsid w:val="00322140"/>
    <w:rsid w:val="00370CFE"/>
    <w:rsid w:val="0037295B"/>
    <w:rsid w:val="00374A51"/>
    <w:rsid w:val="003A37A2"/>
    <w:rsid w:val="003A45A2"/>
    <w:rsid w:val="003D005E"/>
    <w:rsid w:val="003D0E6C"/>
    <w:rsid w:val="003F60FB"/>
    <w:rsid w:val="0042021F"/>
    <w:rsid w:val="00427D32"/>
    <w:rsid w:val="00464F42"/>
    <w:rsid w:val="00483DA5"/>
    <w:rsid w:val="004A363E"/>
    <w:rsid w:val="00510FD0"/>
    <w:rsid w:val="00584820"/>
    <w:rsid w:val="005A343E"/>
    <w:rsid w:val="005C6524"/>
    <w:rsid w:val="005C7453"/>
    <w:rsid w:val="006014B8"/>
    <w:rsid w:val="00606A60"/>
    <w:rsid w:val="00645839"/>
    <w:rsid w:val="006618B9"/>
    <w:rsid w:val="00675BDC"/>
    <w:rsid w:val="00746BAB"/>
    <w:rsid w:val="00746F3F"/>
    <w:rsid w:val="0076267A"/>
    <w:rsid w:val="00777FE9"/>
    <w:rsid w:val="00786187"/>
    <w:rsid w:val="007E6D20"/>
    <w:rsid w:val="008062C2"/>
    <w:rsid w:val="0080781C"/>
    <w:rsid w:val="00841EC8"/>
    <w:rsid w:val="008A045A"/>
    <w:rsid w:val="008A6052"/>
    <w:rsid w:val="00905195"/>
    <w:rsid w:val="00915299"/>
    <w:rsid w:val="00936401"/>
    <w:rsid w:val="00940875"/>
    <w:rsid w:val="009711D3"/>
    <w:rsid w:val="009C1F21"/>
    <w:rsid w:val="00A03FDB"/>
    <w:rsid w:val="00A13307"/>
    <w:rsid w:val="00A23DC2"/>
    <w:rsid w:val="00AB0199"/>
    <w:rsid w:val="00AB5999"/>
    <w:rsid w:val="00B97069"/>
    <w:rsid w:val="00BB0E1F"/>
    <w:rsid w:val="00BB2C25"/>
    <w:rsid w:val="00BB5AD6"/>
    <w:rsid w:val="00BD0B07"/>
    <w:rsid w:val="00BD28DF"/>
    <w:rsid w:val="00BF219C"/>
    <w:rsid w:val="00C244B3"/>
    <w:rsid w:val="00C936D1"/>
    <w:rsid w:val="00CA0C32"/>
    <w:rsid w:val="00CC5FDB"/>
    <w:rsid w:val="00CC76F1"/>
    <w:rsid w:val="00CD1E94"/>
    <w:rsid w:val="00CE2E1C"/>
    <w:rsid w:val="00CF4DC8"/>
    <w:rsid w:val="00D03709"/>
    <w:rsid w:val="00DD78BC"/>
    <w:rsid w:val="00E466AA"/>
    <w:rsid w:val="00E55EB2"/>
    <w:rsid w:val="00E60D44"/>
    <w:rsid w:val="00E90E83"/>
    <w:rsid w:val="00E9455A"/>
    <w:rsid w:val="00E97D91"/>
    <w:rsid w:val="00EA419C"/>
    <w:rsid w:val="00EC30D9"/>
    <w:rsid w:val="00F1497A"/>
    <w:rsid w:val="00F20D7E"/>
    <w:rsid w:val="00F36D78"/>
    <w:rsid w:val="00F40B71"/>
    <w:rsid w:val="00F62094"/>
    <w:rsid w:val="00F84183"/>
    <w:rsid w:val="00F859B7"/>
    <w:rsid w:val="00F90531"/>
    <w:rsid w:val="00FA4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0EF127D5-E165-4995-A402-40AAC1F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
    <w:basedOn w:val="Normal"/>
    <w:link w:val="FootnoteTextChar"/>
    <w:uiPriority w:val="99"/>
    <w:unhideWhenUsed/>
    <w:rsid w:val="00126FBF"/>
    <w:pPr>
      <w:spacing w:after="0" w:line="240" w:lineRule="auto"/>
    </w:pPr>
    <w:rPr>
      <w:rFonts w:eastAsiaTheme="minorEastAsia"/>
      <w:sz w:val="20"/>
      <w:szCs w:val="20"/>
      <w:lang w:eastAsia="fr-FR"/>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
    <w:basedOn w:val="DefaultParagraphFont"/>
    <w:link w:val="FootnoteText"/>
    <w:uiPriority w:val="99"/>
    <w:rsid w:val="00126FBF"/>
    <w:rPr>
      <w:rFonts w:eastAsiaTheme="minorEastAsia"/>
      <w:sz w:val="20"/>
      <w:szCs w:val="20"/>
      <w:lang w:eastAsia="fr-FR"/>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basedOn w:val="DefaultParagraphFont"/>
    <w:unhideWhenUsed/>
    <w:rsid w:val="00126FBF"/>
    <w:rPr>
      <w:vertAlign w:val="superscript"/>
    </w:rPr>
  </w:style>
  <w:style w:type="character" w:styleId="Hyperlink">
    <w:name w:val="Hyperlink"/>
    <w:basedOn w:val="DefaultParagraphFont"/>
    <w:uiPriority w:val="99"/>
    <w:unhideWhenUsed/>
    <w:rsid w:val="00126FBF"/>
    <w:rPr>
      <w:color w:val="0000FF" w:themeColor="hyperlink"/>
      <w:u w:val="single"/>
    </w:rPr>
  </w:style>
  <w:style w:type="paragraph" w:styleId="ListParagraph">
    <w:name w:val="List Paragraph"/>
    <w:basedOn w:val="Normal"/>
    <w:link w:val="ListParagraphChar"/>
    <w:uiPriority w:val="34"/>
    <w:qFormat/>
    <w:rsid w:val="00126FBF"/>
    <w:pPr>
      <w:ind w:left="720"/>
      <w:contextualSpacing/>
    </w:pPr>
  </w:style>
  <w:style w:type="paragraph" w:styleId="Header">
    <w:name w:val="header"/>
    <w:basedOn w:val="Normal"/>
    <w:link w:val="HeaderChar"/>
    <w:uiPriority w:val="99"/>
    <w:semiHidden/>
    <w:unhideWhenUsed/>
    <w:rsid w:val="00CF4DC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F4DC8"/>
  </w:style>
  <w:style w:type="paragraph" w:styleId="Footer">
    <w:name w:val="footer"/>
    <w:basedOn w:val="Normal"/>
    <w:link w:val="FooterChar"/>
    <w:uiPriority w:val="99"/>
    <w:semiHidden/>
    <w:unhideWhenUsed/>
    <w:rsid w:val="00CF4DC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F4DC8"/>
  </w:style>
  <w:style w:type="character" w:customStyle="1" w:styleId="ListParagraphChar">
    <w:name w:val="List Paragraph Char"/>
    <w:basedOn w:val="DefaultParagraphFont"/>
    <w:link w:val="ListParagraph"/>
    <w:uiPriority w:val="34"/>
    <w:rsid w:val="00195141"/>
  </w:style>
  <w:style w:type="table" w:styleId="TableGrid">
    <w:name w:val="Table Grid"/>
    <w:basedOn w:val="TableNormal"/>
    <w:uiPriority w:val="59"/>
    <w:rsid w:val="00322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77FE9"/>
    <w:pPr>
      <w:spacing w:after="0"/>
    </w:pPr>
    <w:rPr>
      <w:rFonts w:ascii="Calibri" w:eastAsia="Calibri" w:hAnsi="Calibri" w:cs="Times New Roman"/>
    </w:rPr>
  </w:style>
  <w:style w:type="character" w:customStyle="1" w:styleId="NoSpacingChar">
    <w:name w:val="No Spacing Char"/>
    <w:basedOn w:val="DefaultParagraphFont"/>
    <w:link w:val="NoSpacing"/>
    <w:uiPriority w:val="1"/>
    <w:locked/>
    <w:rsid w:val="00777FE9"/>
    <w:rPr>
      <w:rFonts w:ascii="Calibri" w:eastAsia="Calibri" w:hAnsi="Calibri" w:cs="Times New Roman"/>
    </w:rPr>
  </w:style>
  <w:style w:type="paragraph" w:styleId="Caption">
    <w:name w:val="caption"/>
    <w:basedOn w:val="Normal"/>
    <w:next w:val="Normal"/>
    <w:uiPriority w:val="35"/>
    <w:unhideWhenUsed/>
    <w:qFormat/>
    <w:rsid w:val="004A363E"/>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BD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13330</Characters>
  <Application>Microsoft Office Word</Application>
  <DocSecurity>4</DocSecurity>
  <Lines>111</Lines>
  <Paragraphs>31</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
      <vt:lpstr/>
      <vt:lpstr>    </vt:lpstr>
    </vt:vector>
  </TitlesOfParts>
  <Company>Hewlett-Packard</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Dicko</dc:creator>
  <cp:lastModifiedBy>Mitsy Jean-Louis</cp:lastModifiedBy>
  <cp:revision>2</cp:revision>
  <dcterms:created xsi:type="dcterms:W3CDTF">2017-03-30T20:41:00Z</dcterms:created>
  <dcterms:modified xsi:type="dcterms:W3CDTF">2017-03-30T20:41:00Z</dcterms:modified>
</cp:coreProperties>
</file>