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8898A" w14:textId="19A0DDD1" w:rsidR="00642D63" w:rsidRDefault="00761080">
      <w:pPr>
        <w:pStyle w:val="Normal1"/>
        <w:jc w:val="both"/>
        <w:rPr>
          <w:rFonts w:ascii="Calibri" w:eastAsia="Calibri" w:hAnsi="Calibri" w:cs="Calibri"/>
          <w:b/>
          <w:color w:val="5B9BD5"/>
        </w:rPr>
      </w:pPr>
      <w:r>
        <w:rPr>
          <w:rFonts w:ascii="Calibri" w:eastAsia="Calibri" w:hAnsi="Calibri" w:cs="Calibri"/>
          <w:b/>
          <w:color w:val="5B9BD5"/>
        </w:rPr>
        <w:t>DOCUMENTO DE PROYECTO</w:t>
      </w:r>
    </w:p>
    <w:p w14:paraId="3891579D" w14:textId="77777777" w:rsidR="00642D63" w:rsidRDefault="00761080">
      <w:pPr>
        <w:pStyle w:val="Normal1"/>
        <w:jc w:val="both"/>
        <w:rPr>
          <w:rFonts w:ascii="Calibri" w:eastAsia="Calibri" w:hAnsi="Calibri" w:cs="Calibri"/>
          <w:b/>
          <w:color w:val="222222"/>
        </w:rPr>
      </w:pPr>
      <w:r>
        <w:rPr>
          <w:rFonts w:ascii="Calibri" w:eastAsia="Calibri" w:hAnsi="Calibri" w:cs="Calibri"/>
          <w:b/>
          <w:color w:val="222222"/>
        </w:rPr>
        <w:t>Convocatoria Organizaciones de la Sociedad Civil</w:t>
      </w:r>
    </w:p>
    <w:p w14:paraId="3ADAF73B" w14:textId="77777777" w:rsidR="00642D63" w:rsidRDefault="00642D63">
      <w:pPr>
        <w:pStyle w:val="Normal1"/>
        <w:jc w:val="both"/>
        <w:rPr>
          <w:rFonts w:ascii="Calibri" w:eastAsia="Calibri" w:hAnsi="Calibri" w:cs="Calibri"/>
          <w:b/>
          <w:color w:val="222222"/>
        </w:rPr>
      </w:pPr>
    </w:p>
    <w:tbl>
      <w:tblPr>
        <w:tblStyle w:val="a"/>
        <w:tblW w:w="87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40"/>
        <w:gridCol w:w="4875"/>
      </w:tblGrid>
      <w:tr w:rsidR="00642D63" w14:paraId="5E5FBA7A" w14:textId="77777777">
        <w:trPr>
          <w:trHeight w:val="760"/>
        </w:trPr>
        <w:tc>
          <w:tcPr>
            <w:tcW w:w="3840"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7D4B5A10"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Nombre de la organización:</w:t>
            </w:r>
          </w:p>
        </w:tc>
        <w:tc>
          <w:tcPr>
            <w:tcW w:w="48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CB0A87" w14:textId="77777777" w:rsidR="00642D63" w:rsidRDefault="00761080">
            <w:pPr>
              <w:pStyle w:val="Normal1"/>
              <w:widowControl w:val="0"/>
              <w:spacing w:line="276" w:lineRule="auto"/>
              <w:jc w:val="both"/>
              <w:rPr>
                <w:rFonts w:ascii="Calibri" w:eastAsia="Calibri" w:hAnsi="Calibri" w:cs="Calibri"/>
                <w:b/>
                <w:i/>
              </w:rPr>
            </w:pPr>
            <w:r>
              <w:rPr>
                <w:rFonts w:ascii="Calibri" w:eastAsia="Calibri" w:hAnsi="Calibri" w:cs="Calibri"/>
                <w:i/>
              </w:rPr>
              <w:t xml:space="preserve">Fundación </w:t>
            </w:r>
            <w:r>
              <w:rPr>
                <w:rFonts w:ascii="Calibri" w:eastAsia="Calibri" w:hAnsi="Calibri" w:cs="Calibri"/>
                <w:b/>
                <w:i/>
              </w:rPr>
              <w:t>Centro de Investigación y Educación Popular CINEP</w:t>
            </w:r>
          </w:p>
        </w:tc>
      </w:tr>
      <w:tr w:rsidR="00642D63" w14:paraId="678167BF" w14:textId="77777777">
        <w:trPr>
          <w:trHeight w:val="44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1981C792"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Tipo de organización</w:t>
            </w:r>
          </w:p>
        </w:tc>
        <w:tc>
          <w:tcPr>
            <w:tcW w:w="4875" w:type="dxa"/>
            <w:tcBorders>
              <w:bottom w:val="single" w:sz="8" w:space="0" w:color="000000"/>
              <w:right w:val="single" w:sz="8" w:space="0" w:color="000000"/>
            </w:tcBorders>
            <w:tcMar>
              <w:top w:w="100" w:type="dxa"/>
              <w:left w:w="100" w:type="dxa"/>
              <w:bottom w:w="100" w:type="dxa"/>
              <w:right w:w="100" w:type="dxa"/>
            </w:tcMar>
          </w:tcPr>
          <w:p w14:paraId="22D1D913"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xml:space="preserve">Sin ánimo de lucro </w:t>
            </w:r>
          </w:p>
        </w:tc>
      </w:tr>
      <w:tr w:rsidR="00642D63" w14:paraId="572A5841" w14:textId="77777777">
        <w:trPr>
          <w:trHeight w:val="50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6A75ECEA"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Lugar y fecha de constitución y registro</w:t>
            </w:r>
          </w:p>
        </w:tc>
        <w:tc>
          <w:tcPr>
            <w:tcW w:w="4875" w:type="dxa"/>
            <w:tcBorders>
              <w:bottom w:val="single" w:sz="8" w:space="0" w:color="000000"/>
              <w:right w:val="single" w:sz="8" w:space="0" w:color="000000"/>
            </w:tcBorders>
            <w:tcMar>
              <w:top w:w="100" w:type="dxa"/>
              <w:left w:w="100" w:type="dxa"/>
              <w:bottom w:w="100" w:type="dxa"/>
              <w:right w:w="100" w:type="dxa"/>
            </w:tcMar>
          </w:tcPr>
          <w:p w14:paraId="490EC7BD"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Constituída en Bogotá, Colombia</w:t>
            </w:r>
          </w:p>
          <w:p w14:paraId="57118BBB"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Número de inscripción No:1960, 30 de mayo de   1972</w:t>
            </w:r>
          </w:p>
        </w:tc>
      </w:tr>
      <w:tr w:rsidR="00642D63" w14:paraId="35EBA041" w14:textId="77777777">
        <w:trPr>
          <w:trHeight w:val="100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E888EDB"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Estructura y funcionamiento de la organización</w:t>
            </w:r>
          </w:p>
        </w:tc>
        <w:tc>
          <w:tcPr>
            <w:tcW w:w="4875" w:type="dxa"/>
            <w:tcBorders>
              <w:bottom w:val="single" w:sz="8" w:space="0" w:color="000000"/>
              <w:right w:val="single" w:sz="8" w:space="0" w:color="000000"/>
            </w:tcBorders>
            <w:tcMar>
              <w:top w:w="100" w:type="dxa"/>
              <w:left w:w="100" w:type="dxa"/>
              <w:bottom w:w="100" w:type="dxa"/>
              <w:right w:w="100" w:type="dxa"/>
            </w:tcMar>
          </w:tcPr>
          <w:p w14:paraId="27DD27D9"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xml:space="preserve">Contamos con un Consejo Directivo Social lo conforman cinco (5) personas. Dos (2) jesuitas y tres (3) no jesuitas que se reúnen cada 2 meses. </w:t>
            </w:r>
          </w:p>
          <w:p w14:paraId="6A4E83D3" w14:textId="77777777" w:rsidR="00642D63" w:rsidRDefault="00642D63">
            <w:pPr>
              <w:pStyle w:val="Normal1"/>
              <w:widowControl w:val="0"/>
              <w:spacing w:line="276" w:lineRule="auto"/>
              <w:jc w:val="both"/>
              <w:rPr>
                <w:rFonts w:ascii="Calibri" w:eastAsia="Calibri" w:hAnsi="Calibri" w:cs="Calibri"/>
                <w:i/>
              </w:rPr>
            </w:pPr>
          </w:p>
          <w:p w14:paraId="6124273E"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Organigrama</w:t>
            </w:r>
          </w:p>
          <w:p w14:paraId="43025D73"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Dirección General</w:t>
            </w:r>
          </w:p>
          <w:p w14:paraId="4CC7DC25"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Subdirección: la subdirección tiene a cargo los siguientes equipos. 1. Conflicto Estado y Desarrollo, 2. Movilización, Tierra y Territorio 3. Derechos Humanos, 4.  Ciudadanía y Paz, 5.  Coordinador SIG, 6. Coordinadora Comunicaciones.</w:t>
            </w:r>
          </w:p>
          <w:p w14:paraId="2A554957"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Gerencia Administrativa y Financiera se encuentra: Contabilidad, Gestión humana, Tesorería, Recursos Físicos, Archivo y Correspondencia</w:t>
            </w:r>
          </w:p>
          <w:p w14:paraId="24EB568A"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Gerencia de Proyectos</w:t>
            </w:r>
          </w:p>
          <w:p w14:paraId="7363ADFE"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Contamos con unos comités que permiten articular todos los equipos</w:t>
            </w:r>
          </w:p>
          <w:p w14:paraId="5216DC83"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Comité de Dirección: Director, Subdirector, Gerente de Proyectos y Gerente Administrativa. Reunión semanal.</w:t>
            </w:r>
          </w:p>
          <w:p w14:paraId="52167584"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Comité Estratégico: Director, Subdirector, Gerente de Proyectos, Gerente Administrativa y Financiera, Coordinadores/as de equipos. Reunión mensual.</w:t>
            </w:r>
          </w:p>
          <w:p w14:paraId="42A72052"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xml:space="preserve">- Comité de Administración: Director, Subdirector, </w:t>
            </w:r>
            <w:r>
              <w:rPr>
                <w:rFonts w:ascii="Calibri" w:eastAsia="Calibri" w:hAnsi="Calibri" w:cs="Calibri"/>
                <w:i/>
              </w:rPr>
              <w:lastRenderedPageBreak/>
              <w:t>Gerente de Proyectos, Gerente Administrativa y Financiera y Asesor Financiero. Reunión mensual.</w:t>
            </w:r>
          </w:p>
          <w:p w14:paraId="208FBBB0"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Comité de Comunicaciones: Director, Subdirector, Coordinadores de Equipos, un representante de investigación, un representante de investigación y director de la revista Controversia. Reunión mensual.</w:t>
            </w:r>
          </w:p>
          <w:p w14:paraId="452016DE"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xml:space="preserve"> Número de empleados: 112</w:t>
            </w:r>
          </w:p>
          <w:p w14:paraId="7B1A2ADF"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xml:space="preserve">Presupuesto anual: $ 9.025.661.000 COP aproximadamente </w:t>
            </w:r>
            <w:r>
              <w:rPr>
                <w:rFonts w:ascii="Georgia" w:eastAsia="Georgia" w:hAnsi="Georgia" w:cs="Georgia"/>
                <w:i/>
                <w:sz w:val="20"/>
                <w:szCs w:val="20"/>
              </w:rPr>
              <w:t>US$3.007.841.81</w:t>
            </w:r>
          </w:p>
        </w:tc>
      </w:tr>
      <w:tr w:rsidR="00642D63" w14:paraId="7D6A3660" w14:textId="77777777">
        <w:trPr>
          <w:trHeight w:val="28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2B6F9F2D"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lastRenderedPageBreak/>
              <w:t>Sector de trabajo de la organización</w:t>
            </w:r>
          </w:p>
        </w:tc>
        <w:tc>
          <w:tcPr>
            <w:tcW w:w="4875" w:type="dxa"/>
            <w:tcBorders>
              <w:bottom w:val="single" w:sz="8" w:space="0" w:color="000000"/>
              <w:right w:val="single" w:sz="8" w:space="0" w:color="000000"/>
            </w:tcBorders>
            <w:tcMar>
              <w:top w:w="100" w:type="dxa"/>
              <w:left w:w="100" w:type="dxa"/>
              <w:bottom w:w="100" w:type="dxa"/>
              <w:right w:w="100" w:type="dxa"/>
            </w:tcMar>
          </w:tcPr>
          <w:p w14:paraId="743A58B6"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 Social </w:t>
            </w:r>
          </w:p>
        </w:tc>
      </w:tr>
      <w:tr w:rsidR="00642D63" w14:paraId="1036978C" w14:textId="77777777">
        <w:trPr>
          <w:trHeight w:val="60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6EB4EF3E"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Forma parte de otras organizaciones y/o redes de su sector</w:t>
            </w:r>
          </w:p>
        </w:tc>
        <w:tc>
          <w:tcPr>
            <w:tcW w:w="4875" w:type="dxa"/>
            <w:tcBorders>
              <w:bottom w:val="single" w:sz="8" w:space="0" w:color="000000"/>
              <w:right w:val="single" w:sz="8" w:space="0" w:color="000000"/>
            </w:tcBorders>
            <w:tcMar>
              <w:top w:w="100" w:type="dxa"/>
              <w:left w:w="100" w:type="dxa"/>
              <w:bottom w:w="100" w:type="dxa"/>
              <w:right w:w="100" w:type="dxa"/>
            </w:tcMar>
          </w:tcPr>
          <w:p w14:paraId="2E4B0CCB"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 Hace parte de la Compañía de Jesús </w:t>
            </w:r>
          </w:p>
        </w:tc>
      </w:tr>
      <w:tr w:rsidR="00642D63" w14:paraId="6D80D8B6" w14:textId="77777777">
        <w:trPr>
          <w:trHeight w:val="126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19609A7F"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Posee alianzas con el Gobierno/Agencias de Naciones Unidas/ sector privado/fundaciones/otros</w:t>
            </w:r>
          </w:p>
        </w:tc>
        <w:tc>
          <w:tcPr>
            <w:tcW w:w="4875" w:type="dxa"/>
            <w:tcBorders>
              <w:bottom w:val="single" w:sz="8" w:space="0" w:color="000000"/>
              <w:right w:val="single" w:sz="8" w:space="0" w:color="000000"/>
            </w:tcBorders>
            <w:tcMar>
              <w:top w:w="100" w:type="dxa"/>
              <w:left w:w="100" w:type="dxa"/>
              <w:bottom w:w="100" w:type="dxa"/>
              <w:right w:w="100" w:type="dxa"/>
            </w:tcMar>
          </w:tcPr>
          <w:p w14:paraId="2A13BC4D"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Principales alianzas y redes: </w:t>
            </w:r>
            <w:r>
              <w:rPr>
                <w:rFonts w:ascii="Calibri" w:eastAsia="Calibri" w:hAnsi="Calibri" w:cs="Calibri"/>
                <w:b/>
              </w:rPr>
              <w:t>Internacionales</w:t>
            </w:r>
            <w:r>
              <w:rPr>
                <w:rFonts w:ascii="Calibri" w:eastAsia="Calibri" w:hAnsi="Calibri" w:cs="Calibri"/>
              </w:rPr>
              <w:t>: Red Organizaciones Sociales ALOP, Red jesuita GIAN, OIDHACO-Oficina Internacional Derechos Humanos para Colombia, Red Académica LASA, Red Académica CLACSO, International Land Coalition.</w:t>
            </w:r>
          </w:p>
          <w:p w14:paraId="522B985C"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b/>
              </w:rPr>
              <w:t>Nacionales:</w:t>
            </w:r>
            <w:r>
              <w:rPr>
                <w:rFonts w:ascii="Calibri" w:eastAsia="Calibri" w:hAnsi="Calibri" w:cs="Calibri"/>
              </w:rPr>
              <w:t xml:space="preserve"> MOE-MISIÓN OBSERVACIÓN ELECTORAL, REDPRODEPAZ, VIVA LA CIUDADANÍA, COORDINACIÓN COLOMBIA EUROPA ESTADOS UNIDOS, UNIDOS, CLACSO.</w:t>
            </w:r>
          </w:p>
        </w:tc>
      </w:tr>
      <w:tr w:rsidR="00642D63" w14:paraId="12EBF2B8" w14:textId="77777777">
        <w:trPr>
          <w:trHeight w:val="100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306AF6A"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Posee un sistema contable estructurado, cuenta bancaria y estados financieros auditados</w:t>
            </w:r>
          </w:p>
        </w:tc>
        <w:tc>
          <w:tcPr>
            <w:tcW w:w="4875" w:type="dxa"/>
            <w:tcBorders>
              <w:bottom w:val="single" w:sz="8" w:space="0" w:color="000000"/>
              <w:right w:val="single" w:sz="8" w:space="0" w:color="000000"/>
            </w:tcBorders>
            <w:tcMar>
              <w:top w:w="100" w:type="dxa"/>
              <w:left w:w="100" w:type="dxa"/>
              <w:bottom w:w="100" w:type="dxa"/>
              <w:right w:w="100" w:type="dxa"/>
            </w:tcMar>
          </w:tcPr>
          <w:p w14:paraId="32841B33"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 • El ciclo contable va de enero a diciembre; igual que del ciclo de auditoría</w:t>
            </w:r>
          </w:p>
          <w:p w14:paraId="11143505"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Cada acuerdo de donación sigue las políticas específicas de los donantes/ hacemos informes para cada donante y cada proyecto según lo establecido.</w:t>
            </w:r>
          </w:p>
          <w:p w14:paraId="4F42C1DB"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•Normas de contabilidad y de información financiera aceptadas en Colombia, establecidas en la Ley 1314 de 2009 que corresponden a las Normas Internacionales de Información Financiera NIIF para PYMES traducidas de manera oficial y autorizadas por el Consejo de Normas Internacionales de Contabilidad (IASB, por sus siglas en inglés), </w:t>
            </w:r>
            <w:r>
              <w:rPr>
                <w:rFonts w:ascii="Calibri" w:eastAsia="Calibri" w:hAnsi="Calibri" w:cs="Calibri"/>
              </w:rPr>
              <w:lastRenderedPageBreak/>
              <w:t>reglamentadas en Colombia por el Decreto Reglamentario 2420 de 2015, “Decreto Único Reglamentario de las normas de contabilidad, de información financiera y de aseguramiento de la información” modificado el 23 diciembre de 2015 por el Decreto Reglamentario 2496, sin realizar la aplicación anticipada del marco técnico normativo NIIF para PYMES versión 2015, vigente a partir del 1° de enero del 2017.</w:t>
            </w:r>
          </w:p>
          <w:p w14:paraId="4F13BB82"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Cuenta un sistema de información financiera llamado NOVASOFT.  La fundación se encuentra certificada por la norma ISSO 9001 de 2008, los cuales se tienen procedimientos de contabilidad inmersos. Las copias en formato electrónico/en papel de los registros se conservan durante 10 años, de conformidad con la legislación/el acuerdo con lo establecido con el donante.</w:t>
            </w:r>
          </w:p>
          <w:p w14:paraId="430D58F9"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En promedio, nuestro sistema financiero gestiona anualmente un monto que equivale a USD 3.007.842</w:t>
            </w:r>
          </w:p>
          <w:p w14:paraId="721B0DC3"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Cuenta Bancaria: GNB Sudameris 90060000670   </w:t>
            </w:r>
          </w:p>
        </w:tc>
      </w:tr>
      <w:tr w:rsidR="00642D63" w14:paraId="3030DAEE" w14:textId="77777777">
        <w:trPr>
          <w:trHeight w:val="176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0CB4082"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lastRenderedPageBreak/>
              <w:t>Experiencia específica relacionada a la convocatoria (Número de años y proyectos ejecutados por montos iguales o superiores al presupuesto de la convocatoria)</w:t>
            </w:r>
          </w:p>
        </w:tc>
        <w:tc>
          <w:tcPr>
            <w:tcW w:w="4875" w:type="dxa"/>
            <w:tcBorders>
              <w:bottom w:val="single" w:sz="8" w:space="0" w:color="000000"/>
              <w:right w:val="single" w:sz="8" w:space="0" w:color="000000"/>
            </w:tcBorders>
            <w:tcMar>
              <w:top w:w="100" w:type="dxa"/>
              <w:left w:w="100" w:type="dxa"/>
              <w:bottom w:w="100" w:type="dxa"/>
              <w:right w:w="100" w:type="dxa"/>
            </w:tcMar>
          </w:tcPr>
          <w:p w14:paraId="10766F88"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 45 años </w:t>
            </w:r>
          </w:p>
          <w:p w14:paraId="2AA15FA5" w14:textId="77777777" w:rsidR="00642D63" w:rsidRDefault="00761080">
            <w:pPr>
              <w:pStyle w:val="Normal1"/>
              <w:widowControl w:val="0"/>
              <w:numPr>
                <w:ilvl w:val="0"/>
                <w:numId w:val="11"/>
              </w:numPr>
              <w:spacing w:line="276" w:lineRule="auto"/>
              <w:contextualSpacing/>
              <w:jc w:val="both"/>
            </w:pPr>
            <w:r>
              <w:rPr>
                <w:rFonts w:ascii="Calibri" w:eastAsia="Calibri" w:hAnsi="Calibri" w:cs="Calibri"/>
              </w:rPr>
              <w:t>Educapaz, Porticus $435.000 Euros</w:t>
            </w:r>
          </w:p>
          <w:p w14:paraId="0BDEF481" w14:textId="77777777" w:rsidR="00642D63" w:rsidRDefault="00761080">
            <w:pPr>
              <w:pStyle w:val="Normal1"/>
              <w:widowControl w:val="0"/>
              <w:numPr>
                <w:ilvl w:val="0"/>
                <w:numId w:val="11"/>
              </w:numPr>
              <w:spacing w:line="276" w:lineRule="auto"/>
              <w:contextualSpacing/>
              <w:jc w:val="both"/>
            </w:pPr>
            <w:r>
              <w:rPr>
                <w:rFonts w:ascii="Calibri" w:eastAsia="Calibri" w:hAnsi="Calibri" w:cs="Calibri"/>
              </w:rPr>
              <w:t xml:space="preserve">Cuando tengamos la tierra crecerá la semilla, Unión Europea  $668.404 Euros </w:t>
            </w:r>
          </w:p>
          <w:p w14:paraId="0356B380" w14:textId="77777777" w:rsidR="00642D63" w:rsidRDefault="00761080">
            <w:pPr>
              <w:pStyle w:val="Normal1"/>
              <w:widowControl w:val="0"/>
              <w:numPr>
                <w:ilvl w:val="0"/>
                <w:numId w:val="11"/>
              </w:numPr>
              <w:spacing w:line="276" w:lineRule="auto"/>
              <w:contextualSpacing/>
              <w:jc w:val="both"/>
            </w:pPr>
            <w:r>
              <w:rPr>
                <w:rFonts w:ascii="Calibri" w:eastAsia="Calibri" w:hAnsi="Calibri" w:cs="Calibri"/>
              </w:rPr>
              <w:t>Evitar la recaída del conflicto a través de acuerdos políticos inclusivos, IDRC $667.600 CAD</w:t>
            </w:r>
          </w:p>
        </w:tc>
      </w:tr>
      <w:tr w:rsidR="00642D63" w14:paraId="10CE5A6E" w14:textId="77777777">
        <w:trPr>
          <w:trHeight w:val="50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D4B98BD"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Nombre del representante legal de la organización</w:t>
            </w:r>
          </w:p>
        </w:tc>
        <w:tc>
          <w:tcPr>
            <w:tcW w:w="4875" w:type="dxa"/>
            <w:tcBorders>
              <w:bottom w:val="single" w:sz="8" w:space="0" w:color="000000"/>
              <w:right w:val="single" w:sz="8" w:space="0" w:color="000000"/>
            </w:tcBorders>
            <w:tcMar>
              <w:top w:w="100" w:type="dxa"/>
              <w:left w:w="100" w:type="dxa"/>
              <w:bottom w:w="100" w:type="dxa"/>
              <w:right w:w="100" w:type="dxa"/>
            </w:tcMar>
          </w:tcPr>
          <w:p w14:paraId="382F7CAA"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xml:space="preserve">Luis Guillermo Guerrera Guevara </w:t>
            </w:r>
          </w:p>
        </w:tc>
      </w:tr>
      <w:tr w:rsidR="00642D63" w14:paraId="2F8CDD39" w14:textId="77777777">
        <w:trPr>
          <w:trHeight w:val="44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76FEB2D"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Dirección de la organización</w:t>
            </w:r>
          </w:p>
          <w:p w14:paraId="7B9E068B" w14:textId="77777777" w:rsidR="00642D63" w:rsidRDefault="00642D63">
            <w:pPr>
              <w:pStyle w:val="Normal1"/>
              <w:widowControl w:val="0"/>
              <w:spacing w:line="276" w:lineRule="auto"/>
              <w:jc w:val="both"/>
              <w:rPr>
                <w:rFonts w:ascii="Calibri" w:eastAsia="Calibri" w:hAnsi="Calibri" w:cs="Calibri"/>
              </w:rPr>
            </w:pPr>
          </w:p>
        </w:tc>
        <w:tc>
          <w:tcPr>
            <w:tcW w:w="4875" w:type="dxa"/>
            <w:tcBorders>
              <w:bottom w:val="single" w:sz="8" w:space="0" w:color="000000"/>
              <w:right w:val="single" w:sz="8" w:space="0" w:color="000000"/>
            </w:tcBorders>
            <w:tcMar>
              <w:top w:w="100" w:type="dxa"/>
              <w:left w:w="100" w:type="dxa"/>
              <w:bottom w:w="100" w:type="dxa"/>
              <w:right w:w="100" w:type="dxa"/>
            </w:tcMar>
          </w:tcPr>
          <w:p w14:paraId="786E0398"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Carrera  5 #33b-02, Bogotá</w:t>
            </w:r>
          </w:p>
        </w:tc>
      </w:tr>
      <w:tr w:rsidR="00642D63" w14:paraId="6E375A5A" w14:textId="77777777">
        <w:trPr>
          <w:trHeight w:val="76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4A0FA90D"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Nombre/cargo de otra persona responsable del proyecto propuesto</w:t>
            </w:r>
          </w:p>
        </w:tc>
        <w:tc>
          <w:tcPr>
            <w:tcW w:w="48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5D52D4A"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Marcela Salazar Posada</w:t>
            </w:r>
          </w:p>
        </w:tc>
      </w:tr>
      <w:tr w:rsidR="00642D63" w14:paraId="053BB1CE" w14:textId="77777777">
        <w:trPr>
          <w:trHeight w:val="68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C92332B"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lastRenderedPageBreak/>
              <w:t>Correos electrónicos de contacto (2 de ser posible):</w:t>
            </w:r>
          </w:p>
        </w:tc>
        <w:tc>
          <w:tcPr>
            <w:tcW w:w="48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C1D7DA" w14:textId="77777777" w:rsidR="00642D63" w:rsidRDefault="00FB1624">
            <w:pPr>
              <w:pStyle w:val="Normal1"/>
              <w:widowControl w:val="0"/>
              <w:spacing w:line="276" w:lineRule="auto"/>
              <w:jc w:val="both"/>
              <w:rPr>
                <w:rFonts w:ascii="Calibri" w:eastAsia="Calibri" w:hAnsi="Calibri" w:cs="Calibri"/>
                <w:i/>
              </w:rPr>
            </w:pPr>
            <w:hyperlink r:id="rId7">
              <w:r w:rsidR="00761080">
                <w:rPr>
                  <w:rFonts w:ascii="Calibri" w:eastAsia="Calibri" w:hAnsi="Calibri" w:cs="Calibri"/>
                  <w:color w:val="0000FF"/>
                  <w:u w:val="single"/>
                </w:rPr>
                <w:t>dirección@cinep.org.co</w:t>
              </w:r>
            </w:hyperlink>
          </w:p>
          <w:p w14:paraId="7A82C139" w14:textId="77777777" w:rsidR="00642D63" w:rsidRDefault="00FB1624">
            <w:pPr>
              <w:pStyle w:val="Normal1"/>
              <w:widowControl w:val="0"/>
              <w:spacing w:line="276" w:lineRule="auto"/>
              <w:jc w:val="both"/>
              <w:rPr>
                <w:rFonts w:ascii="Calibri" w:eastAsia="Calibri" w:hAnsi="Calibri" w:cs="Calibri"/>
                <w:i/>
              </w:rPr>
            </w:pPr>
            <w:hyperlink r:id="rId8">
              <w:r w:rsidR="00761080">
                <w:rPr>
                  <w:rFonts w:ascii="Calibri" w:eastAsia="Calibri" w:hAnsi="Calibri" w:cs="Calibri"/>
                  <w:color w:val="0000FF"/>
                  <w:u w:val="single"/>
                </w:rPr>
                <w:t>gerenciaproyectos@cinep.org.co</w:t>
              </w:r>
            </w:hyperlink>
          </w:p>
        </w:tc>
      </w:tr>
      <w:tr w:rsidR="00642D63" w14:paraId="7E304FCE" w14:textId="77777777">
        <w:trPr>
          <w:trHeight w:val="46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E20D652"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Teléfono(s) fijo(s):</w:t>
            </w:r>
          </w:p>
        </w:tc>
        <w:tc>
          <w:tcPr>
            <w:tcW w:w="48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CCAE141"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2456181 Ext 797 / 767</w:t>
            </w:r>
          </w:p>
        </w:tc>
      </w:tr>
      <w:tr w:rsidR="00642D63" w14:paraId="254FC486" w14:textId="77777777">
        <w:trPr>
          <w:trHeight w:val="74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1E727FD5"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Celulares de contacto (2 de ser posible):</w:t>
            </w:r>
          </w:p>
        </w:tc>
        <w:tc>
          <w:tcPr>
            <w:tcW w:w="4875" w:type="dxa"/>
            <w:tcBorders>
              <w:bottom w:val="single" w:sz="8" w:space="0" w:color="000000"/>
              <w:right w:val="single" w:sz="8" w:space="0" w:color="000000"/>
            </w:tcBorders>
            <w:tcMar>
              <w:top w:w="100" w:type="dxa"/>
              <w:left w:w="100" w:type="dxa"/>
              <w:bottom w:w="100" w:type="dxa"/>
              <w:right w:w="100" w:type="dxa"/>
            </w:tcMar>
          </w:tcPr>
          <w:p w14:paraId="299EDABC"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 Luis Guillermo Guerrero 310-202.71.76</w:t>
            </w:r>
          </w:p>
          <w:p w14:paraId="4E3A154B"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Marcela Salazar P. 315-305.35.88</w:t>
            </w:r>
          </w:p>
        </w:tc>
      </w:tr>
      <w:tr w:rsidR="00642D63" w14:paraId="3E2B05B1" w14:textId="77777777">
        <w:trPr>
          <w:trHeight w:val="48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0332033"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Página web (si tiene):</w:t>
            </w:r>
          </w:p>
        </w:tc>
        <w:tc>
          <w:tcPr>
            <w:tcW w:w="4875" w:type="dxa"/>
            <w:tcBorders>
              <w:bottom w:val="single" w:sz="8" w:space="0" w:color="000000"/>
              <w:right w:val="single" w:sz="8" w:space="0" w:color="000000"/>
            </w:tcBorders>
            <w:tcMar>
              <w:top w:w="100" w:type="dxa"/>
              <w:left w:w="100" w:type="dxa"/>
              <w:bottom w:w="100" w:type="dxa"/>
              <w:right w:w="100" w:type="dxa"/>
            </w:tcMar>
          </w:tcPr>
          <w:p w14:paraId="4466FDFF" w14:textId="77777777" w:rsidR="00642D63" w:rsidRDefault="00FB1624">
            <w:pPr>
              <w:pStyle w:val="Normal1"/>
              <w:widowControl w:val="0"/>
              <w:spacing w:line="276" w:lineRule="auto"/>
              <w:jc w:val="both"/>
              <w:rPr>
                <w:rFonts w:ascii="Calibri" w:eastAsia="Calibri" w:hAnsi="Calibri" w:cs="Calibri"/>
              </w:rPr>
            </w:pPr>
            <w:hyperlink r:id="rId9">
              <w:r w:rsidR="00761080">
                <w:rPr>
                  <w:rFonts w:ascii="Calibri" w:eastAsia="Calibri" w:hAnsi="Calibri" w:cs="Calibri"/>
                  <w:color w:val="0000FF"/>
                  <w:u w:val="single"/>
                </w:rPr>
                <w:t>http://www.cinep.org.co/</w:t>
              </w:r>
            </w:hyperlink>
          </w:p>
        </w:tc>
      </w:tr>
    </w:tbl>
    <w:p w14:paraId="1386284D" w14:textId="77777777" w:rsidR="00642D63" w:rsidRDefault="00642D63">
      <w:pPr>
        <w:pStyle w:val="Normal1"/>
        <w:jc w:val="both"/>
        <w:rPr>
          <w:rFonts w:ascii="Calibri" w:eastAsia="Calibri" w:hAnsi="Calibri" w:cs="Calibri"/>
          <w:b/>
          <w:color w:val="222222"/>
        </w:rPr>
      </w:pPr>
    </w:p>
    <w:p w14:paraId="1CC4D303" w14:textId="77777777" w:rsidR="00642D63" w:rsidRDefault="00642D63">
      <w:pPr>
        <w:pStyle w:val="Normal1"/>
        <w:jc w:val="both"/>
        <w:rPr>
          <w:rFonts w:ascii="Calibri" w:eastAsia="Calibri" w:hAnsi="Calibri" w:cs="Calibri"/>
        </w:rPr>
      </w:pPr>
    </w:p>
    <w:p w14:paraId="45DFE70B" w14:textId="77777777" w:rsidR="00642D63" w:rsidRDefault="00761080">
      <w:pPr>
        <w:pStyle w:val="Normal1"/>
        <w:rPr>
          <w:rFonts w:ascii="Calibri" w:eastAsia="Calibri" w:hAnsi="Calibri" w:cs="Calibri"/>
        </w:rPr>
      </w:pPr>
      <w:r>
        <w:br w:type="page"/>
      </w:r>
    </w:p>
    <w:tbl>
      <w:tblPr>
        <w:tblStyle w:val="a0"/>
        <w:tblW w:w="87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40"/>
        <w:gridCol w:w="4875"/>
      </w:tblGrid>
      <w:tr w:rsidR="00642D63" w14:paraId="28030C60" w14:textId="77777777">
        <w:trPr>
          <w:trHeight w:val="760"/>
        </w:trPr>
        <w:tc>
          <w:tcPr>
            <w:tcW w:w="3840"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9AF5961"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lastRenderedPageBreak/>
              <w:t>Nombre de la organización:</w:t>
            </w:r>
          </w:p>
        </w:tc>
        <w:tc>
          <w:tcPr>
            <w:tcW w:w="48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04A38D" w14:textId="77777777" w:rsidR="00642D63" w:rsidRDefault="00761080">
            <w:pPr>
              <w:pStyle w:val="Normal1"/>
              <w:widowControl w:val="0"/>
              <w:spacing w:line="276" w:lineRule="auto"/>
              <w:jc w:val="both"/>
              <w:rPr>
                <w:rFonts w:ascii="Calibri" w:eastAsia="Calibri" w:hAnsi="Calibri" w:cs="Calibri"/>
                <w:b/>
                <w:i/>
              </w:rPr>
            </w:pPr>
            <w:r>
              <w:rPr>
                <w:rFonts w:ascii="Calibri" w:eastAsia="Calibri" w:hAnsi="Calibri" w:cs="Calibri"/>
                <w:b/>
                <w:i/>
              </w:rPr>
              <w:t>Centro de Recursos para el Análisis de Conflictos (CERAC)</w:t>
            </w:r>
          </w:p>
        </w:tc>
      </w:tr>
      <w:tr w:rsidR="00642D63" w14:paraId="25981FEC" w14:textId="77777777">
        <w:trPr>
          <w:trHeight w:val="58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17FE828A"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Tipo de organización</w:t>
            </w:r>
          </w:p>
        </w:tc>
        <w:tc>
          <w:tcPr>
            <w:tcW w:w="4875" w:type="dxa"/>
            <w:tcBorders>
              <w:bottom w:val="single" w:sz="8" w:space="0" w:color="000000"/>
              <w:right w:val="single" w:sz="8" w:space="0" w:color="000000"/>
            </w:tcBorders>
            <w:tcMar>
              <w:top w:w="100" w:type="dxa"/>
              <w:left w:w="100" w:type="dxa"/>
              <w:bottom w:w="100" w:type="dxa"/>
              <w:right w:w="100" w:type="dxa"/>
            </w:tcMar>
          </w:tcPr>
          <w:p w14:paraId="19E29C6F"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Centro de estudios en ciencias sociales, especializado en análisis de conflictos internos, desarrollo económico, e investigación sobre violencia armada, así como en la evaluación de intervenciones para su superación. Institución privada e independiente</w:t>
            </w:r>
          </w:p>
        </w:tc>
      </w:tr>
      <w:tr w:rsidR="00642D63" w14:paraId="195A5E1E" w14:textId="77777777">
        <w:trPr>
          <w:trHeight w:val="76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80D7328"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Lugar y fecha de constitución y registro</w:t>
            </w:r>
          </w:p>
        </w:tc>
        <w:tc>
          <w:tcPr>
            <w:tcW w:w="4875" w:type="dxa"/>
            <w:tcBorders>
              <w:bottom w:val="single" w:sz="8" w:space="0" w:color="000000"/>
              <w:right w:val="single" w:sz="8" w:space="0" w:color="000000"/>
            </w:tcBorders>
            <w:tcMar>
              <w:top w:w="100" w:type="dxa"/>
              <w:left w:w="100" w:type="dxa"/>
              <w:bottom w:w="100" w:type="dxa"/>
              <w:right w:w="100" w:type="dxa"/>
            </w:tcMar>
          </w:tcPr>
          <w:p w14:paraId="170797E1"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xml:space="preserve">Constituída en Bogotá, Colombia. NIT 830504087-5 en 2005. Registro (matrícula) en la Cámara de Comercio de Bogotá número </w:t>
            </w:r>
            <w:r>
              <w:rPr>
                <w:i/>
                <w:color w:val="263238"/>
                <w:sz w:val="20"/>
                <w:szCs w:val="20"/>
              </w:rPr>
              <w:t xml:space="preserve">01424422 </w:t>
            </w:r>
            <w:r>
              <w:rPr>
                <w:rFonts w:ascii="Calibri" w:eastAsia="Calibri" w:hAnsi="Calibri" w:cs="Calibri"/>
                <w:i/>
              </w:rPr>
              <w:t xml:space="preserve">de </w:t>
            </w:r>
            <w:r>
              <w:rPr>
                <w:i/>
                <w:sz w:val="20"/>
                <w:szCs w:val="20"/>
              </w:rPr>
              <w:t>19 de octubre de 2004. CERAC cuenta con una Junta Directiva y una Junta Asesora.</w:t>
            </w:r>
          </w:p>
        </w:tc>
      </w:tr>
      <w:tr w:rsidR="00642D63" w14:paraId="6B3F75B9" w14:textId="77777777">
        <w:trPr>
          <w:trHeight w:val="100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AD97466"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Estructura y funcionamiento de la organización</w:t>
            </w:r>
          </w:p>
        </w:tc>
        <w:tc>
          <w:tcPr>
            <w:tcW w:w="4875" w:type="dxa"/>
            <w:tcBorders>
              <w:bottom w:val="single" w:sz="8" w:space="0" w:color="000000"/>
              <w:right w:val="single" w:sz="8" w:space="0" w:color="000000"/>
            </w:tcBorders>
            <w:tcMar>
              <w:top w:w="100" w:type="dxa"/>
              <w:left w:w="100" w:type="dxa"/>
              <w:bottom w:w="100" w:type="dxa"/>
              <w:right w:w="100" w:type="dxa"/>
            </w:tcMar>
          </w:tcPr>
          <w:p w14:paraId="43533C2E"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CERAC es un centro de estudios privado e independiente, con una trayectoria de doce años en el estudio de conflictos armados, la violencia y las estrategias para superarlo. </w:t>
            </w:r>
          </w:p>
          <w:p w14:paraId="6B38835B" w14:textId="77777777" w:rsidR="00642D63" w:rsidRDefault="00642D63">
            <w:pPr>
              <w:pStyle w:val="Normal1"/>
              <w:widowControl w:val="0"/>
              <w:spacing w:line="276" w:lineRule="auto"/>
              <w:jc w:val="both"/>
              <w:rPr>
                <w:rFonts w:ascii="Calibri" w:eastAsia="Calibri" w:hAnsi="Calibri" w:cs="Calibri"/>
              </w:rPr>
            </w:pPr>
          </w:p>
          <w:p w14:paraId="7214214F"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Hace parte del Sistema Nacional de Ciencia y Tecnología, y su grupo de investigación está calificado y reconocido por Colciencias. </w:t>
            </w:r>
          </w:p>
          <w:p w14:paraId="094EB93B" w14:textId="77777777" w:rsidR="00642D63" w:rsidRDefault="00642D63">
            <w:pPr>
              <w:pStyle w:val="Normal1"/>
              <w:widowControl w:val="0"/>
              <w:spacing w:line="276" w:lineRule="auto"/>
              <w:jc w:val="both"/>
              <w:rPr>
                <w:rFonts w:ascii="Calibri" w:eastAsia="Calibri" w:hAnsi="Calibri" w:cs="Calibri"/>
              </w:rPr>
            </w:pPr>
          </w:p>
          <w:p w14:paraId="2C24C4B5"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Su presupuesto anual es de mil millones de pesos y se financia principalmente con la venta de servicios de análisis y procesamiento de información. </w:t>
            </w:r>
          </w:p>
          <w:p w14:paraId="199B170B" w14:textId="77777777" w:rsidR="00642D63" w:rsidRDefault="00642D63">
            <w:pPr>
              <w:pStyle w:val="Normal1"/>
              <w:widowControl w:val="0"/>
              <w:spacing w:line="276" w:lineRule="auto"/>
              <w:jc w:val="both"/>
              <w:rPr>
                <w:rFonts w:ascii="Calibri" w:eastAsia="Calibri" w:hAnsi="Calibri" w:cs="Calibri"/>
              </w:rPr>
            </w:pPr>
          </w:p>
          <w:p w14:paraId="6DCFB8D1"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CERAC no recibe recursos del gobierno nacional para la conducción de sus tareas de análisis de conflictos y seguimiento del conflicto armado interno.</w:t>
            </w:r>
          </w:p>
          <w:p w14:paraId="54F21021" w14:textId="77777777" w:rsidR="00642D63" w:rsidRDefault="00642D63">
            <w:pPr>
              <w:pStyle w:val="Normal1"/>
              <w:widowControl w:val="0"/>
              <w:spacing w:line="276" w:lineRule="auto"/>
              <w:jc w:val="both"/>
              <w:rPr>
                <w:rFonts w:ascii="Calibri" w:eastAsia="Calibri" w:hAnsi="Calibri" w:cs="Calibri"/>
              </w:rPr>
            </w:pPr>
          </w:p>
          <w:p w14:paraId="65619289"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CERAC realiza investigaciones en cuatro líneas de trabajo: análisis de conflictos y violencia; medición de la violencia; superación del conflicto; violencia armada y desarrollo. </w:t>
            </w:r>
          </w:p>
        </w:tc>
      </w:tr>
      <w:tr w:rsidR="00642D63" w14:paraId="395160F8" w14:textId="77777777">
        <w:trPr>
          <w:trHeight w:val="32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7C941FE2"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lastRenderedPageBreak/>
              <w:t>Sector de trabajo de la organización</w:t>
            </w:r>
          </w:p>
        </w:tc>
        <w:tc>
          <w:tcPr>
            <w:tcW w:w="4875" w:type="dxa"/>
            <w:tcBorders>
              <w:bottom w:val="single" w:sz="8" w:space="0" w:color="000000"/>
              <w:right w:val="single" w:sz="8" w:space="0" w:color="000000"/>
            </w:tcBorders>
            <w:tcMar>
              <w:top w:w="100" w:type="dxa"/>
              <w:left w:w="100" w:type="dxa"/>
              <w:bottom w:w="100" w:type="dxa"/>
              <w:right w:w="100" w:type="dxa"/>
            </w:tcMar>
          </w:tcPr>
          <w:p w14:paraId="59980DAC"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 Investigación en ciencias sociales</w:t>
            </w:r>
          </w:p>
        </w:tc>
      </w:tr>
      <w:tr w:rsidR="00642D63" w14:paraId="565DC6E8" w14:textId="77777777">
        <w:trPr>
          <w:trHeight w:val="100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201C9A3"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Forma parte de otras organizaciones y/o redes de su sector</w:t>
            </w:r>
          </w:p>
        </w:tc>
        <w:tc>
          <w:tcPr>
            <w:tcW w:w="4875" w:type="dxa"/>
            <w:tcBorders>
              <w:bottom w:val="single" w:sz="8" w:space="0" w:color="000000"/>
              <w:right w:val="single" w:sz="8" w:space="0" w:color="000000"/>
            </w:tcBorders>
            <w:tcMar>
              <w:top w:w="100" w:type="dxa"/>
              <w:left w:w="100" w:type="dxa"/>
              <w:bottom w:w="100" w:type="dxa"/>
              <w:right w:w="100" w:type="dxa"/>
            </w:tcMar>
          </w:tcPr>
          <w:p w14:paraId="19A126E4"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Hace parte del Sistema Nacional de Ciencia y Tecnología. Cuenta con relaciones de trabajo con otras organizaciones académicas, universitarias y de investigación tanto del exterior como de Colombia.</w:t>
            </w:r>
          </w:p>
        </w:tc>
      </w:tr>
      <w:tr w:rsidR="00642D63" w14:paraId="322CBD8A" w14:textId="77777777">
        <w:trPr>
          <w:trHeight w:val="126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66A48719"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Posee alianzas con el Gobierno/Agencias de Naciones Unidas/ sector privado/fundaciones/otros</w:t>
            </w:r>
          </w:p>
        </w:tc>
        <w:tc>
          <w:tcPr>
            <w:tcW w:w="4875" w:type="dxa"/>
            <w:tcBorders>
              <w:bottom w:val="single" w:sz="8" w:space="0" w:color="000000"/>
              <w:right w:val="single" w:sz="8" w:space="0" w:color="000000"/>
            </w:tcBorders>
            <w:tcMar>
              <w:top w:w="100" w:type="dxa"/>
              <w:left w:w="100" w:type="dxa"/>
              <w:bottom w:w="100" w:type="dxa"/>
              <w:right w:w="100" w:type="dxa"/>
            </w:tcMar>
          </w:tcPr>
          <w:p w14:paraId="50DFBB99"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 No.</w:t>
            </w:r>
          </w:p>
        </w:tc>
      </w:tr>
      <w:tr w:rsidR="00642D63" w14:paraId="6937E777" w14:textId="77777777">
        <w:trPr>
          <w:trHeight w:val="100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7970329E"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Posee un sistema contable estructurado, cuenta bancaria y estados financieros auditados</w:t>
            </w:r>
          </w:p>
        </w:tc>
        <w:tc>
          <w:tcPr>
            <w:tcW w:w="4875" w:type="dxa"/>
            <w:tcBorders>
              <w:bottom w:val="single" w:sz="8" w:space="0" w:color="000000"/>
              <w:right w:val="single" w:sz="8" w:space="0" w:color="000000"/>
            </w:tcBorders>
            <w:tcMar>
              <w:top w:w="100" w:type="dxa"/>
              <w:left w:w="100" w:type="dxa"/>
              <w:bottom w:w="100" w:type="dxa"/>
              <w:right w:w="100" w:type="dxa"/>
            </w:tcMar>
          </w:tcPr>
          <w:p w14:paraId="6052CF48"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CERAC cuenta con un sistema de información contable y con las auditorías requeridas por la Ley colombiana. Cumple con todos los estándares requeridos por la Ley colombiana en materia fiscal, laboral, financiera y de auditoría. Cuenta con relaciones estables con dos instituciones financieras colombianas, Bancolombia y BBVA.</w:t>
            </w:r>
          </w:p>
          <w:p w14:paraId="63E6EEF8"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Los reportes financieros y de proyecto se adecúan a las políticas de cada organización contratante o aportante de fondos.</w:t>
            </w:r>
          </w:p>
          <w:p w14:paraId="2D6A9CED"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El sistema de información contable se adecúa a las exigencias legales colombianas. CERAC gestiona fondos por cerca de mil millones de pesos al año.</w:t>
            </w:r>
          </w:p>
          <w:p w14:paraId="6E12FB19"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En el pasado CERAC ha recibido múltiples visitas de auditoría y evaluaciones de capacidad de organizaciones contratantes.</w:t>
            </w:r>
          </w:p>
        </w:tc>
      </w:tr>
      <w:tr w:rsidR="00642D63" w14:paraId="3CF6A743" w14:textId="77777777">
        <w:trPr>
          <w:trHeight w:val="414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20B7A3F6"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lastRenderedPageBreak/>
              <w:t>Experiencia específica relacionada a la convocatoria (Número de años y proyectos ejecutados por montos iguales o superiores al presupuesto de la convocatoria)</w:t>
            </w:r>
          </w:p>
        </w:tc>
        <w:tc>
          <w:tcPr>
            <w:tcW w:w="4875" w:type="dxa"/>
            <w:tcBorders>
              <w:bottom w:val="single" w:sz="8" w:space="0" w:color="000000"/>
              <w:right w:val="single" w:sz="8" w:space="0" w:color="000000"/>
            </w:tcBorders>
            <w:tcMar>
              <w:top w:w="100" w:type="dxa"/>
              <w:left w:w="100" w:type="dxa"/>
              <w:bottom w:w="100" w:type="dxa"/>
              <w:right w:w="100" w:type="dxa"/>
            </w:tcMar>
          </w:tcPr>
          <w:p w14:paraId="4019E524"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Doce años de experiencia, en la cual CERAC ha iniciado y terminado con éxito más de 60 proyectos en áreas de investigación relacionadas con el análisis de conflictos y políticas públicas para la construcción de paz. Mencionamos algunos:</w:t>
            </w:r>
          </w:p>
          <w:p w14:paraId="3C786893" w14:textId="77777777" w:rsidR="00642D63" w:rsidRDefault="00761080">
            <w:pPr>
              <w:pStyle w:val="Normal1"/>
              <w:widowControl w:val="0"/>
              <w:numPr>
                <w:ilvl w:val="0"/>
                <w:numId w:val="23"/>
              </w:numPr>
              <w:spacing w:line="276" w:lineRule="auto"/>
              <w:contextualSpacing/>
              <w:jc w:val="both"/>
            </w:pPr>
            <w:r>
              <w:rPr>
                <w:rFonts w:ascii="Calibri" w:eastAsia="Calibri" w:hAnsi="Calibri" w:cs="Calibri"/>
                <w:highlight w:val="white"/>
              </w:rPr>
              <w:t>ODECOFI "Observatorio Colombiano para el Desarrollo Integral, la Convivencia Ciudadana y el Fortalecimiento Institucional" con financiación de Colciencias.</w:t>
            </w:r>
          </w:p>
          <w:p w14:paraId="7250A8B7" w14:textId="77777777" w:rsidR="00642D63" w:rsidRDefault="00761080">
            <w:pPr>
              <w:pStyle w:val="Normal1"/>
              <w:widowControl w:val="0"/>
              <w:numPr>
                <w:ilvl w:val="0"/>
                <w:numId w:val="23"/>
              </w:numPr>
              <w:spacing w:line="276" w:lineRule="auto"/>
              <w:contextualSpacing/>
              <w:jc w:val="both"/>
            </w:pPr>
            <w:r>
              <w:rPr>
                <w:rFonts w:ascii="Calibri" w:eastAsia="Calibri" w:hAnsi="Calibri" w:cs="Calibri"/>
                <w:highlight w:val="white"/>
              </w:rPr>
              <w:t>Desarrollar un instrumento adecuado de información georeferenciada sobre iniciativas locales de paz y proyectos de desarrollo que permitan nutrir políticas públicas con financiación de GIZ</w:t>
            </w:r>
          </w:p>
          <w:p w14:paraId="1B65621A" w14:textId="77777777" w:rsidR="00642D63" w:rsidRDefault="00761080">
            <w:pPr>
              <w:pStyle w:val="Normal1"/>
              <w:widowControl w:val="0"/>
              <w:numPr>
                <w:ilvl w:val="0"/>
                <w:numId w:val="23"/>
              </w:numPr>
              <w:spacing w:line="276" w:lineRule="auto"/>
              <w:contextualSpacing/>
              <w:jc w:val="both"/>
            </w:pPr>
            <w:r>
              <w:rPr>
                <w:rFonts w:ascii="Calibri" w:eastAsia="Calibri" w:hAnsi="Calibri" w:cs="Calibri"/>
                <w:highlight w:val="white"/>
              </w:rPr>
              <w:t>Evaluación de desempeño de la Misión de Apoyo al Proceso de Paz de la OEA (MAPP/OEA). SIPU-Swede Peace</w:t>
            </w:r>
          </w:p>
          <w:p w14:paraId="1B714F65" w14:textId="77777777" w:rsidR="00642D63" w:rsidRDefault="00761080">
            <w:pPr>
              <w:pStyle w:val="Normal1"/>
              <w:widowControl w:val="0"/>
              <w:numPr>
                <w:ilvl w:val="0"/>
                <w:numId w:val="23"/>
              </w:numPr>
              <w:spacing w:line="276" w:lineRule="auto"/>
              <w:contextualSpacing/>
              <w:jc w:val="both"/>
            </w:pPr>
            <w:r>
              <w:rPr>
                <w:rFonts w:ascii="Calibri" w:eastAsia="Calibri" w:hAnsi="Calibri" w:cs="Calibri"/>
                <w:highlight w:val="white"/>
              </w:rPr>
              <w:t>Gran empresa en Colombia: Diseñar un sistema de indicadores para medir el impacto y/o resultado de las capacitaciones realizadas por el Programa de Derechos Humanos de la empresa.</w:t>
            </w:r>
          </w:p>
          <w:p w14:paraId="64FFA843" w14:textId="77777777" w:rsidR="00642D63" w:rsidRDefault="00761080">
            <w:pPr>
              <w:pStyle w:val="Normal1"/>
              <w:widowControl w:val="0"/>
              <w:numPr>
                <w:ilvl w:val="0"/>
                <w:numId w:val="23"/>
              </w:numPr>
              <w:spacing w:line="276" w:lineRule="auto"/>
              <w:contextualSpacing/>
              <w:jc w:val="both"/>
            </w:pPr>
            <w:r>
              <w:rPr>
                <w:rFonts w:ascii="Calibri" w:eastAsia="Calibri" w:hAnsi="Calibri" w:cs="Calibri"/>
                <w:highlight w:val="white"/>
              </w:rPr>
              <w:t>Elaborar un diagnóstico que contenga la identificación de las necesidades de protección de individuos, comunidades, organizaciones, y pueblos que participan en procesos de reclamación de tierras; las capacidades institucionales locales para brindar protección, así como proponer una reforma normativa o de ajuste institucional para la protección eficaz de esta población.</w:t>
            </w:r>
          </w:p>
          <w:p w14:paraId="3EE6F2A0" w14:textId="77777777" w:rsidR="00642D63" w:rsidRDefault="00761080">
            <w:pPr>
              <w:pStyle w:val="Normal1"/>
              <w:widowControl w:val="0"/>
              <w:spacing w:line="276" w:lineRule="auto"/>
              <w:jc w:val="both"/>
              <w:rPr>
                <w:rFonts w:ascii="Calibri" w:eastAsia="Calibri" w:hAnsi="Calibri" w:cs="Calibri"/>
                <w:highlight w:val="white"/>
              </w:rPr>
            </w:pPr>
            <w:r>
              <w:rPr>
                <w:rFonts w:ascii="Calibri" w:eastAsia="Calibri" w:hAnsi="Calibri" w:cs="Calibri"/>
                <w:highlight w:val="white"/>
              </w:rPr>
              <w:t>Montos y detalles de algunos estudios como así de sus contratantes podrán ser provistos posteriormente.</w:t>
            </w:r>
          </w:p>
        </w:tc>
      </w:tr>
      <w:tr w:rsidR="00642D63" w14:paraId="0AA9FBFD" w14:textId="77777777">
        <w:trPr>
          <w:trHeight w:val="62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D7B8596"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lastRenderedPageBreak/>
              <w:t>Nombre del representante legal de la organización</w:t>
            </w:r>
          </w:p>
        </w:tc>
        <w:tc>
          <w:tcPr>
            <w:tcW w:w="4875" w:type="dxa"/>
            <w:tcBorders>
              <w:bottom w:val="single" w:sz="8" w:space="0" w:color="000000"/>
              <w:right w:val="single" w:sz="8" w:space="0" w:color="000000"/>
            </w:tcBorders>
            <w:tcMar>
              <w:top w:w="100" w:type="dxa"/>
              <w:left w:w="100" w:type="dxa"/>
              <w:bottom w:w="100" w:type="dxa"/>
              <w:right w:w="100" w:type="dxa"/>
            </w:tcMar>
          </w:tcPr>
          <w:p w14:paraId="66C0B9EF"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xml:space="preserve"> Jorge Alberto Restrepo</w:t>
            </w:r>
          </w:p>
        </w:tc>
      </w:tr>
      <w:tr w:rsidR="00642D63" w14:paraId="7207D690" w14:textId="77777777">
        <w:trPr>
          <w:trHeight w:val="32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634DD8C"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Dirección de la organización</w:t>
            </w:r>
          </w:p>
        </w:tc>
        <w:tc>
          <w:tcPr>
            <w:tcW w:w="4875" w:type="dxa"/>
            <w:tcBorders>
              <w:bottom w:val="single" w:sz="8" w:space="0" w:color="000000"/>
              <w:right w:val="single" w:sz="8" w:space="0" w:color="000000"/>
            </w:tcBorders>
            <w:tcMar>
              <w:top w:w="100" w:type="dxa"/>
              <w:left w:w="100" w:type="dxa"/>
              <w:bottom w:w="100" w:type="dxa"/>
              <w:right w:w="100" w:type="dxa"/>
            </w:tcMar>
          </w:tcPr>
          <w:p w14:paraId="25240606"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xml:space="preserve"> Calle 55 #5-22, Bogotá</w:t>
            </w:r>
          </w:p>
        </w:tc>
      </w:tr>
      <w:tr w:rsidR="00642D63" w14:paraId="241C9A1B" w14:textId="77777777">
        <w:trPr>
          <w:trHeight w:val="72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1BF4FF8"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Nombre/cargo de otra persona responsable del proyecto propuesto</w:t>
            </w:r>
          </w:p>
        </w:tc>
        <w:tc>
          <w:tcPr>
            <w:tcW w:w="4875" w:type="dxa"/>
            <w:tcBorders>
              <w:bottom w:val="single" w:sz="8" w:space="0" w:color="000000"/>
              <w:right w:val="single" w:sz="8" w:space="0" w:color="000000"/>
            </w:tcBorders>
            <w:tcMar>
              <w:top w:w="100" w:type="dxa"/>
              <w:left w:w="100" w:type="dxa"/>
              <w:bottom w:w="100" w:type="dxa"/>
              <w:right w:w="100" w:type="dxa"/>
            </w:tcMar>
          </w:tcPr>
          <w:p w14:paraId="136BA81A" w14:textId="77777777" w:rsidR="00642D63" w:rsidRDefault="00FB1624">
            <w:pPr>
              <w:pStyle w:val="Normal1"/>
              <w:widowControl w:val="0"/>
              <w:spacing w:line="276" w:lineRule="auto"/>
              <w:jc w:val="both"/>
              <w:rPr>
                <w:rFonts w:ascii="Calibri" w:eastAsia="Calibri" w:hAnsi="Calibri" w:cs="Calibri"/>
              </w:rPr>
            </w:pPr>
            <w:hyperlink r:id="rId10">
              <w:r w:rsidR="00761080">
                <w:rPr>
                  <w:rFonts w:ascii="Calibri" w:eastAsia="Calibri" w:hAnsi="Calibri" w:cs="Calibri"/>
                  <w:color w:val="0000FF"/>
                  <w:u w:val="single"/>
                </w:rPr>
                <w:t>maria.arocha@cerac.org.co</w:t>
              </w:r>
            </w:hyperlink>
          </w:p>
        </w:tc>
      </w:tr>
      <w:tr w:rsidR="00642D63" w14:paraId="78CBD488" w14:textId="77777777">
        <w:trPr>
          <w:trHeight w:val="68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7850BB2C"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Correos electrónicos de contacto (2 de ser posible):</w:t>
            </w:r>
          </w:p>
        </w:tc>
        <w:tc>
          <w:tcPr>
            <w:tcW w:w="4875" w:type="dxa"/>
            <w:tcBorders>
              <w:bottom w:val="single" w:sz="8" w:space="0" w:color="000000"/>
              <w:right w:val="single" w:sz="8" w:space="0" w:color="000000"/>
            </w:tcBorders>
            <w:tcMar>
              <w:top w:w="100" w:type="dxa"/>
              <w:left w:w="100" w:type="dxa"/>
              <w:bottom w:w="100" w:type="dxa"/>
              <w:right w:w="100" w:type="dxa"/>
            </w:tcMar>
          </w:tcPr>
          <w:p w14:paraId="4C297E1F" w14:textId="77777777" w:rsidR="00642D63" w:rsidRDefault="00FB1624">
            <w:pPr>
              <w:pStyle w:val="Normal1"/>
              <w:widowControl w:val="0"/>
              <w:spacing w:line="276" w:lineRule="auto"/>
              <w:jc w:val="both"/>
              <w:rPr>
                <w:rFonts w:ascii="Calibri" w:eastAsia="Calibri" w:hAnsi="Calibri" w:cs="Calibri"/>
                <w:i/>
              </w:rPr>
            </w:pPr>
            <w:hyperlink r:id="rId11">
              <w:r w:rsidR="00761080">
                <w:rPr>
                  <w:rFonts w:ascii="Calibri" w:eastAsia="Calibri" w:hAnsi="Calibri" w:cs="Calibri"/>
                  <w:i/>
                  <w:color w:val="1155CC"/>
                  <w:u w:val="single"/>
                </w:rPr>
                <w:t>jorge.restrepo@cerac.org.co</w:t>
              </w:r>
            </w:hyperlink>
          </w:p>
          <w:p w14:paraId="6ED83DE8" w14:textId="77777777" w:rsidR="00642D63" w:rsidRDefault="00FB1624">
            <w:pPr>
              <w:pStyle w:val="Normal1"/>
              <w:widowControl w:val="0"/>
              <w:spacing w:line="276" w:lineRule="auto"/>
              <w:jc w:val="both"/>
              <w:rPr>
                <w:rFonts w:ascii="Calibri" w:eastAsia="Calibri" w:hAnsi="Calibri" w:cs="Calibri"/>
                <w:i/>
              </w:rPr>
            </w:pPr>
            <w:hyperlink r:id="rId12">
              <w:r w:rsidR="00761080">
                <w:rPr>
                  <w:rFonts w:ascii="Calibri" w:eastAsia="Calibri" w:hAnsi="Calibri" w:cs="Calibri"/>
                  <w:color w:val="0000FF"/>
                  <w:u w:val="single"/>
                </w:rPr>
                <w:t>victoria.rios@cerac.org.co</w:t>
              </w:r>
            </w:hyperlink>
          </w:p>
        </w:tc>
      </w:tr>
      <w:tr w:rsidR="00642D63" w14:paraId="23311F28" w14:textId="77777777">
        <w:trPr>
          <w:trHeight w:val="34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EA54AEF"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Teléfono(s) fijo(s):</w:t>
            </w:r>
          </w:p>
        </w:tc>
        <w:tc>
          <w:tcPr>
            <w:tcW w:w="4875" w:type="dxa"/>
            <w:tcBorders>
              <w:bottom w:val="single" w:sz="8" w:space="0" w:color="000000"/>
              <w:right w:val="single" w:sz="8" w:space="0" w:color="000000"/>
            </w:tcBorders>
            <w:tcMar>
              <w:top w:w="100" w:type="dxa"/>
              <w:left w:w="100" w:type="dxa"/>
              <w:bottom w:w="100" w:type="dxa"/>
              <w:right w:w="100" w:type="dxa"/>
            </w:tcMar>
          </w:tcPr>
          <w:p w14:paraId="66389175" w14:textId="77777777" w:rsidR="00642D63" w:rsidRDefault="00761080">
            <w:pPr>
              <w:pStyle w:val="Normal1"/>
              <w:widowControl w:val="0"/>
              <w:spacing w:line="276" w:lineRule="auto"/>
              <w:jc w:val="both"/>
              <w:rPr>
                <w:rFonts w:ascii="Calibri" w:eastAsia="Calibri" w:hAnsi="Calibri" w:cs="Calibri"/>
                <w:i/>
              </w:rPr>
            </w:pPr>
            <w:r>
              <w:rPr>
                <w:rFonts w:ascii="Calibri" w:eastAsia="Calibri" w:hAnsi="Calibri" w:cs="Calibri"/>
                <w:i/>
              </w:rPr>
              <w:t xml:space="preserve"> 2170200</w:t>
            </w:r>
          </w:p>
        </w:tc>
      </w:tr>
      <w:tr w:rsidR="00642D63" w14:paraId="578D631A" w14:textId="77777777">
        <w:trPr>
          <w:trHeight w:val="34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2E84F95B"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Celulares de contacto (2 de ser posible):</w:t>
            </w:r>
          </w:p>
        </w:tc>
        <w:tc>
          <w:tcPr>
            <w:tcW w:w="4875" w:type="dxa"/>
            <w:tcBorders>
              <w:bottom w:val="single" w:sz="8" w:space="0" w:color="000000"/>
              <w:right w:val="single" w:sz="8" w:space="0" w:color="000000"/>
            </w:tcBorders>
            <w:tcMar>
              <w:top w:w="100" w:type="dxa"/>
              <w:left w:w="100" w:type="dxa"/>
              <w:bottom w:w="100" w:type="dxa"/>
              <w:right w:w="100" w:type="dxa"/>
            </w:tcMar>
          </w:tcPr>
          <w:p w14:paraId="3E5ED7E6"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 xml:space="preserve"> Jorge Restrepo 3153567869</w:t>
            </w:r>
          </w:p>
        </w:tc>
      </w:tr>
      <w:tr w:rsidR="00642D63" w14:paraId="02E7686F" w14:textId="77777777">
        <w:trPr>
          <w:trHeight w:val="480"/>
        </w:trPr>
        <w:tc>
          <w:tcPr>
            <w:tcW w:w="3840" w:type="dxa"/>
            <w:tcBorders>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661FC066" w14:textId="77777777" w:rsidR="00642D63" w:rsidRDefault="00761080">
            <w:pPr>
              <w:pStyle w:val="Normal1"/>
              <w:widowControl w:val="0"/>
              <w:spacing w:line="276" w:lineRule="auto"/>
              <w:jc w:val="both"/>
              <w:rPr>
                <w:rFonts w:ascii="Calibri" w:eastAsia="Calibri" w:hAnsi="Calibri" w:cs="Calibri"/>
              </w:rPr>
            </w:pPr>
            <w:r>
              <w:rPr>
                <w:rFonts w:ascii="Calibri" w:eastAsia="Calibri" w:hAnsi="Calibri" w:cs="Calibri"/>
              </w:rPr>
              <w:t>Página web (si tiene):</w:t>
            </w:r>
          </w:p>
        </w:tc>
        <w:tc>
          <w:tcPr>
            <w:tcW w:w="4875" w:type="dxa"/>
            <w:tcBorders>
              <w:bottom w:val="single" w:sz="8" w:space="0" w:color="000000"/>
              <w:right w:val="single" w:sz="8" w:space="0" w:color="000000"/>
            </w:tcBorders>
            <w:tcMar>
              <w:top w:w="100" w:type="dxa"/>
              <w:left w:w="100" w:type="dxa"/>
              <w:bottom w:w="100" w:type="dxa"/>
              <w:right w:w="100" w:type="dxa"/>
            </w:tcMar>
          </w:tcPr>
          <w:p w14:paraId="6B24EEBB" w14:textId="77777777" w:rsidR="00642D63" w:rsidRDefault="00FB1624">
            <w:pPr>
              <w:pStyle w:val="Normal1"/>
              <w:widowControl w:val="0"/>
              <w:spacing w:line="276" w:lineRule="auto"/>
              <w:jc w:val="both"/>
              <w:rPr>
                <w:rFonts w:ascii="Calibri" w:eastAsia="Calibri" w:hAnsi="Calibri" w:cs="Calibri"/>
              </w:rPr>
            </w:pPr>
            <w:hyperlink r:id="rId13">
              <w:r w:rsidR="00761080">
                <w:rPr>
                  <w:rFonts w:ascii="Calibri" w:eastAsia="Calibri" w:hAnsi="Calibri" w:cs="Calibri"/>
                  <w:color w:val="0000FF"/>
                  <w:u w:val="single"/>
                </w:rPr>
                <w:t>http://www.cerac.org.co/es/</w:t>
              </w:r>
            </w:hyperlink>
          </w:p>
        </w:tc>
      </w:tr>
    </w:tbl>
    <w:p w14:paraId="029E1E67" w14:textId="77777777" w:rsidR="00642D63" w:rsidRDefault="00642D63">
      <w:pPr>
        <w:pStyle w:val="Normal1"/>
        <w:jc w:val="both"/>
        <w:rPr>
          <w:rFonts w:ascii="Calibri" w:eastAsia="Calibri" w:hAnsi="Calibri" w:cs="Calibri"/>
          <w:b/>
        </w:rPr>
      </w:pPr>
    </w:p>
    <w:p w14:paraId="0701121E" w14:textId="77777777" w:rsidR="00642D63" w:rsidRDefault="00761080">
      <w:pPr>
        <w:pStyle w:val="Normal1"/>
        <w:jc w:val="both"/>
        <w:rPr>
          <w:rFonts w:ascii="Calibri" w:eastAsia="Calibri" w:hAnsi="Calibri" w:cs="Calibri"/>
          <w:b/>
        </w:rPr>
      </w:pPr>
      <w:r>
        <w:br w:type="page"/>
      </w:r>
    </w:p>
    <w:p w14:paraId="4F20B1F4" w14:textId="77777777" w:rsidR="00642D63" w:rsidRDefault="00761080">
      <w:pPr>
        <w:pStyle w:val="Normal1"/>
        <w:jc w:val="both"/>
        <w:rPr>
          <w:rFonts w:ascii="Calibri" w:eastAsia="Calibri" w:hAnsi="Calibri" w:cs="Calibri"/>
          <w:b/>
          <w:color w:val="FF0000"/>
        </w:rPr>
      </w:pPr>
      <w:r>
        <w:rPr>
          <w:rFonts w:ascii="Calibri" w:eastAsia="Calibri" w:hAnsi="Calibri" w:cs="Calibri"/>
          <w:b/>
        </w:rPr>
        <w:lastRenderedPageBreak/>
        <w:t>DOCUMENTO DE PROYECTO</w:t>
      </w:r>
    </w:p>
    <w:p w14:paraId="3457C489" w14:textId="77777777" w:rsidR="00642D63" w:rsidRDefault="00642D63">
      <w:pPr>
        <w:pStyle w:val="Normal1"/>
        <w:jc w:val="both"/>
        <w:rPr>
          <w:rFonts w:ascii="Calibri" w:eastAsia="Calibri" w:hAnsi="Calibri" w:cs="Calibri"/>
          <w:b/>
          <w:color w:val="FF0000"/>
        </w:rPr>
      </w:pPr>
    </w:p>
    <w:p w14:paraId="261B9CCE" w14:textId="77777777" w:rsidR="00642D63" w:rsidRDefault="00761080">
      <w:pPr>
        <w:pStyle w:val="Normal1"/>
        <w:numPr>
          <w:ilvl w:val="0"/>
          <w:numId w:val="14"/>
        </w:numPr>
        <w:contextualSpacing/>
        <w:jc w:val="both"/>
        <w:rPr>
          <w:rFonts w:ascii="Calibri" w:eastAsia="Calibri" w:hAnsi="Calibri" w:cs="Calibri"/>
          <w:b/>
        </w:rPr>
      </w:pPr>
      <w:r>
        <w:rPr>
          <w:rFonts w:ascii="Calibri" w:eastAsia="Calibri" w:hAnsi="Calibri" w:cs="Calibri"/>
          <w:b/>
        </w:rPr>
        <w:t xml:space="preserve">Nombre del proyecto: </w:t>
      </w:r>
      <w:r>
        <w:rPr>
          <w:rFonts w:ascii="Calibri" w:eastAsia="Calibri" w:hAnsi="Calibri" w:cs="Calibri"/>
          <w:i/>
        </w:rPr>
        <w:t>Secretaría Técnica de los Notables del Componente Internacional de Verificación del Acuerdo Final de Paz</w:t>
      </w:r>
    </w:p>
    <w:p w14:paraId="0C5B46EF" w14:textId="77777777" w:rsidR="00642D63" w:rsidRDefault="00642D63">
      <w:pPr>
        <w:pStyle w:val="Normal1"/>
        <w:jc w:val="both"/>
        <w:rPr>
          <w:rFonts w:ascii="Calibri" w:eastAsia="Calibri" w:hAnsi="Calibri" w:cs="Calibri"/>
        </w:rPr>
      </w:pPr>
    </w:p>
    <w:p w14:paraId="24BCE5DD" w14:textId="77777777" w:rsidR="00642D63" w:rsidRDefault="00761080">
      <w:pPr>
        <w:pStyle w:val="Normal1"/>
        <w:numPr>
          <w:ilvl w:val="0"/>
          <w:numId w:val="25"/>
        </w:numPr>
        <w:contextualSpacing/>
        <w:jc w:val="both"/>
        <w:rPr>
          <w:rFonts w:ascii="Calibri" w:eastAsia="Calibri" w:hAnsi="Calibri" w:cs="Calibri"/>
          <w:b/>
        </w:rPr>
      </w:pPr>
      <w:r>
        <w:rPr>
          <w:rFonts w:ascii="Calibri" w:eastAsia="Calibri" w:hAnsi="Calibri" w:cs="Calibri"/>
          <w:b/>
        </w:rPr>
        <w:t xml:space="preserve">Línea de tiempo: </w:t>
      </w:r>
      <w:r>
        <w:rPr>
          <w:rFonts w:ascii="Calibri" w:eastAsia="Calibri" w:hAnsi="Calibri" w:cs="Calibri"/>
        </w:rPr>
        <w:t>18 meses</w:t>
      </w:r>
      <w:r>
        <w:rPr>
          <w:rFonts w:ascii="Calibri" w:eastAsia="Calibri" w:hAnsi="Calibri" w:cs="Calibri"/>
          <w:vertAlign w:val="superscript"/>
        </w:rPr>
        <w:footnoteReference w:id="1"/>
      </w:r>
    </w:p>
    <w:p w14:paraId="7DCB1B1C" w14:textId="77777777" w:rsidR="00642D63" w:rsidRDefault="00642D63">
      <w:pPr>
        <w:pStyle w:val="Normal1"/>
        <w:ind w:left="720" w:hanging="360"/>
        <w:jc w:val="both"/>
        <w:rPr>
          <w:rFonts w:ascii="Calibri" w:eastAsia="Calibri" w:hAnsi="Calibri" w:cs="Calibri"/>
          <w:b/>
        </w:rPr>
      </w:pPr>
    </w:p>
    <w:p w14:paraId="73DBFA7A" w14:textId="77777777" w:rsidR="00642D63" w:rsidRDefault="00761080">
      <w:pPr>
        <w:pStyle w:val="Normal1"/>
        <w:widowControl w:val="0"/>
        <w:numPr>
          <w:ilvl w:val="0"/>
          <w:numId w:val="13"/>
        </w:numPr>
        <w:contextualSpacing/>
        <w:jc w:val="both"/>
        <w:rPr>
          <w:rFonts w:ascii="Calibri" w:eastAsia="Calibri" w:hAnsi="Calibri" w:cs="Calibri"/>
          <w:b/>
        </w:rPr>
      </w:pPr>
      <w:r>
        <w:rPr>
          <w:rFonts w:ascii="Calibri" w:eastAsia="Calibri" w:hAnsi="Calibri" w:cs="Calibri"/>
          <w:b/>
        </w:rPr>
        <w:t>Resumen ejecutivo (máximo una página):</w:t>
      </w:r>
    </w:p>
    <w:p w14:paraId="59251D8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right="140"/>
        <w:jc w:val="both"/>
        <w:rPr>
          <w:rFonts w:ascii="Times New Roman" w:eastAsia="Times New Roman" w:hAnsi="Times New Roman" w:cs="Times New Roman"/>
          <w:sz w:val="24"/>
          <w:szCs w:val="24"/>
        </w:rPr>
      </w:pPr>
      <w:r>
        <w:rPr>
          <w:rFonts w:ascii="Calibri" w:eastAsia="Calibri" w:hAnsi="Calibri" w:cs="Calibri"/>
          <w:b/>
        </w:rPr>
        <w:t>Antecedentes y contexto</w:t>
      </w:r>
    </w:p>
    <w:p w14:paraId="7FEA5340"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El Acuerdo Final entre el Gobierno de Colombia y las FARC-EP para la Terminación del Conflicto y la Construcción de una Paz Estable y Duradera se encuentra en su fase de implementación desde diciembre de 2016. El Acuerdo Final establece en su punto sexto y final, una serie de disposiciones para la verificación de su cumplimiento e impulso a la implementación y la solución de diferencias, con el ánimo de contribuir a la construcción de una paz estable y duradera, sobre bases sólidas.</w:t>
      </w:r>
    </w:p>
    <w:p w14:paraId="5B88B995"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2744625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Una de tales disposiciones es la creación de un </w:t>
      </w:r>
      <w:r>
        <w:rPr>
          <w:rFonts w:ascii="Calibri" w:eastAsia="Calibri" w:hAnsi="Calibri" w:cs="Calibri"/>
          <w:b/>
        </w:rPr>
        <w:t xml:space="preserve">“mecanismo de verificación </w:t>
      </w:r>
      <w:r>
        <w:rPr>
          <w:rFonts w:ascii="Calibri" w:eastAsia="Calibri" w:hAnsi="Calibri" w:cs="Calibri"/>
        </w:rPr>
        <w:t xml:space="preserve">de los acuerdos que tendrá un componente internacional… y [que] tendrá como propósito comprobar el estado y avances de la implementación, identificar retrasos o deficiencias, brindar oportunidades de mejoramiento continuo, así como contribuir a fortalecer su implementación” (Acuerdo Final, punto 6, pp.210). Además, dice el Acuerdo que, “en este mecanismo la verificación consistirá en el análisis de la información recolectada durante el proceso de monitoreo, con el fin de </w:t>
      </w:r>
      <w:r>
        <w:rPr>
          <w:rFonts w:ascii="Calibri" w:eastAsia="Calibri" w:hAnsi="Calibri" w:cs="Calibri"/>
          <w:b/>
        </w:rPr>
        <w:t>constatar el cumplimiento o no</w:t>
      </w:r>
      <w:r>
        <w:rPr>
          <w:rFonts w:ascii="Calibri" w:eastAsia="Calibri" w:hAnsi="Calibri" w:cs="Calibri"/>
        </w:rPr>
        <w:t xml:space="preserve"> de los acuerdos” (Acuerdo Final, numeral 6.3, pp.210).</w:t>
      </w:r>
    </w:p>
    <w:p w14:paraId="057E96CE"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646C0A77"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Tal </w:t>
      </w:r>
      <w:r>
        <w:rPr>
          <w:rFonts w:ascii="Calibri" w:eastAsia="Calibri" w:hAnsi="Calibri" w:cs="Calibri"/>
          <w:b/>
        </w:rPr>
        <w:t>Componente Internacional del Mecanismo de Verificación</w:t>
      </w:r>
      <w:r>
        <w:rPr>
          <w:rFonts w:ascii="Calibri" w:eastAsia="Calibri" w:hAnsi="Calibri" w:cs="Calibri"/>
        </w:rPr>
        <w:t xml:space="preserve"> está compuesto por dos notables quienes contarán con una</w:t>
      </w:r>
      <w:r>
        <w:rPr>
          <w:rFonts w:ascii="Calibri" w:eastAsia="Calibri" w:hAnsi="Calibri" w:cs="Calibri"/>
          <w:b/>
        </w:rPr>
        <w:t xml:space="preserve"> Secretaría Técnica</w:t>
      </w:r>
      <w:r>
        <w:rPr>
          <w:rFonts w:ascii="Calibri" w:eastAsia="Calibri" w:hAnsi="Calibri" w:cs="Calibri"/>
        </w:rPr>
        <w:t xml:space="preserve">. Las FARC-EP y el Gobierno designaron como los dos Notables para encabezar esta Verificación, a José Mujica, expresidente de la República de Uruguay, y Felipe González, expresidente del Gobierno de España. </w:t>
      </w:r>
    </w:p>
    <w:p w14:paraId="1FDA68D3"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18F4283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Estos Notables harán </w:t>
      </w:r>
      <w:r>
        <w:rPr>
          <w:rFonts w:ascii="Calibri" w:eastAsia="Calibri" w:hAnsi="Calibri" w:cs="Calibri"/>
          <w:b/>
        </w:rPr>
        <w:t>pronunciamientos e informes públicos</w:t>
      </w:r>
      <w:r>
        <w:rPr>
          <w:rFonts w:ascii="Calibri" w:eastAsia="Calibri" w:hAnsi="Calibri" w:cs="Calibri"/>
        </w:rPr>
        <w:t xml:space="preserve">, preparados por su Secretaría Técnica, en relación con los avances en la implementación de todos los acuerdos y con los puntos de discusión y </w:t>
      </w:r>
      <w:r>
        <w:rPr>
          <w:rFonts w:ascii="Calibri" w:eastAsia="Calibri" w:hAnsi="Calibri" w:cs="Calibri"/>
          <w:b/>
        </w:rPr>
        <w:t>controversia</w:t>
      </w:r>
      <w:r>
        <w:rPr>
          <w:rFonts w:ascii="Calibri" w:eastAsia="Calibri" w:hAnsi="Calibri" w:cs="Calibri"/>
        </w:rPr>
        <w:t xml:space="preserve">, sobre los que podrán hacer </w:t>
      </w:r>
      <w:r>
        <w:rPr>
          <w:rFonts w:ascii="Calibri" w:eastAsia="Calibri" w:hAnsi="Calibri" w:cs="Calibri"/>
          <w:b/>
        </w:rPr>
        <w:t xml:space="preserve">recomendaciones </w:t>
      </w:r>
      <w:r>
        <w:rPr>
          <w:rFonts w:ascii="Calibri" w:eastAsia="Calibri" w:hAnsi="Calibri" w:cs="Calibri"/>
        </w:rPr>
        <w:t>de solución. Si bien sus labores son coordinadas con la CSIVI (Acuerdo Final, p. 212), no están sujetos en sus reportes a su aprobación.</w:t>
      </w:r>
    </w:p>
    <w:p w14:paraId="69B79D58"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441C313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lastRenderedPageBreak/>
        <w:t>Como una única Secretaría Técnica del Componente Internacional de Verificación fueron designados por las FARC-EP y el Gobierno, en el marco de la CSIVI, el Centro de Recursos para el Análisis de Conflictos (</w:t>
      </w:r>
      <w:r>
        <w:rPr>
          <w:rFonts w:ascii="Calibri" w:eastAsia="Calibri" w:hAnsi="Calibri" w:cs="Calibri"/>
          <w:b/>
        </w:rPr>
        <w:t>CERAC</w:t>
      </w:r>
      <w:r>
        <w:rPr>
          <w:rFonts w:ascii="Calibri" w:eastAsia="Calibri" w:hAnsi="Calibri" w:cs="Calibri"/>
        </w:rPr>
        <w:t>) y el Centro de Investigación y Educación Popular (</w:t>
      </w:r>
      <w:r>
        <w:rPr>
          <w:rFonts w:ascii="Calibri" w:eastAsia="Calibri" w:hAnsi="Calibri" w:cs="Calibri"/>
          <w:b/>
        </w:rPr>
        <w:t>CINEP</w:t>
      </w:r>
      <w:r>
        <w:rPr>
          <w:rFonts w:ascii="Calibri" w:eastAsia="Calibri" w:hAnsi="Calibri" w:cs="Calibri"/>
        </w:rPr>
        <w:t>). Este encargo, se hizo, inicialmente por un término de 18 meses (Acuerdo Final p. 211). En el último comunicado conjunto de las partes (número 19), se acordó que la Secretaría Técnica estaría en funcionamiento a más tardar el pasado 30 de junio.</w:t>
      </w:r>
    </w:p>
    <w:p w14:paraId="08996C5E"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0DF140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Si bien el Acuerdo Final (p. 212) compromete al gobierno en la gestión de recursos para la Secretaría Técnica ante la cooperación internacional, por solicitud de la CSIVI, del Gobierno de Colombia (Alto Consejero para el PosConflicto y Oficina del Alto Comisionado para la Paz), CERAC y CINEP presentan este documento en gestión de tales recursos, con el ánimo de iniciar cuanto antes el cumplimiento de su encargo.</w:t>
      </w:r>
    </w:p>
    <w:p w14:paraId="090F83F8"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33468282"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b/>
        </w:rPr>
        <w:t>El propósito y necesidad de la Verificación independiente y pública</w:t>
      </w:r>
    </w:p>
    <w:p w14:paraId="33098A29"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right="140"/>
        <w:jc w:val="both"/>
        <w:rPr>
          <w:rFonts w:ascii="Times New Roman" w:eastAsia="Times New Roman" w:hAnsi="Times New Roman" w:cs="Times New Roman"/>
          <w:sz w:val="24"/>
          <w:szCs w:val="24"/>
        </w:rPr>
      </w:pPr>
      <w:r>
        <w:rPr>
          <w:rFonts w:ascii="Calibri" w:eastAsia="Calibri" w:hAnsi="Calibri" w:cs="Calibri"/>
        </w:rPr>
        <w:t xml:space="preserve">Las funciones y alcances de la Secretaría Técnica están definidos por el Acuerdo Final y su protocolo, no siendo otorgados a ningún otro mecanismo o instancia. Con base en estos documentos, la Secretaría Técnica cumple en particular, con </w:t>
      </w:r>
      <w:r>
        <w:rPr>
          <w:rFonts w:ascii="Calibri" w:eastAsia="Calibri" w:hAnsi="Calibri" w:cs="Calibri"/>
          <w:b/>
        </w:rPr>
        <w:t>funciones de verificación</w:t>
      </w:r>
      <w:r>
        <w:rPr>
          <w:rFonts w:ascii="Calibri" w:eastAsia="Calibri" w:hAnsi="Calibri" w:cs="Calibri"/>
        </w:rPr>
        <w:t>, la cual es definida como la “rigurosa comprobación del estado de la implementación y puntos de discusión y controversia” (Acuerdo Final, numeral 6.3.1, pp. 210). La Secretaría Técnica no generará duplicidad de reportes o información, de lo contrario sus funciones y alcances incluyen recolectar, revisar y analizar toda la información disponible sobre el estado de implementación del Acuerdo, incluyendo aquella producida por organizaciones como el proyecto del Instituto KROC de seguimiento a la implementación del Acuerdo en Colombia, para preparar los insumos e informes sobre los cuales los notables ejercerán su labor de verificación y apoyo a la solución de  controversias.</w:t>
      </w:r>
    </w:p>
    <w:p w14:paraId="10060952"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52A05662"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Para adelantar esta verificación, el Acuerdo Final establece los </w:t>
      </w:r>
      <w:r>
        <w:rPr>
          <w:rFonts w:ascii="Calibri" w:eastAsia="Calibri" w:hAnsi="Calibri" w:cs="Calibri"/>
          <w:b/>
        </w:rPr>
        <w:t xml:space="preserve">criterios y principios </w:t>
      </w:r>
      <w:r>
        <w:rPr>
          <w:rFonts w:ascii="Calibri" w:eastAsia="Calibri" w:hAnsi="Calibri" w:cs="Calibri"/>
        </w:rPr>
        <w:t xml:space="preserve">bajo los cuales se debe guiar la tarea de la Secretaría Técnica y de actuación de los Verificadores Internacionales o Notables. Dentro de estos principios se destaca la </w:t>
      </w:r>
      <w:r>
        <w:rPr>
          <w:rFonts w:ascii="Calibri" w:eastAsia="Calibri" w:hAnsi="Calibri" w:cs="Calibri"/>
          <w:b/>
        </w:rPr>
        <w:t>independencia</w:t>
      </w:r>
      <w:r>
        <w:rPr>
          <w:rFonts w:ascii="Calibri" w:eastAsia="Calibri" w:hAnsi="Calibri" w:cs="Calibri"/>
        </w:rPr>
        <w:t xml:space="preserve"> (Protocolo de funcionamiento Secretaría Técnica, sección Alcance), la </w:t>
      </w:r>
      <w:r>
        <w:rPr>
          <w:rFonts w:ascii="Calibri" w:eastAsia="Calibri" w:hAnsi="Calibri" w:cs="Calibri"/>
          <w:b/>
        </w:rPr>
        <w:t xml:space="preserve">objetividad </w:t>
      </w:r>
      <w:r>
        <w:rPr>
          <w:rFonts w:ascii="Calibri" w:eastAsia="Calibri" w:hAnsi="Calibri" w:cs="Calibri"/>
        </w:rPr>
        <w:t xml:space="preserve">(Acuerdo Final, numeral 6.3.1, p.210 &amp; Protocolo de funcionamiento Secretaría Técnica, sección Alcance), el recurso a una </w:t>
      </w:r>
      <w:r>
        <w:rPr>
          <w:rFonts w:ascii="Calibri" w:eastAsia="Calibri" w:hAnsi="Calibri" w:cs="Calibri"/>
          <w:b/>
        </w:rPr>
        <w:t xml:space="preserve">diversidad </w:t>
      </w:r>
      <w:r>
        <w:rPr>
          <w:rFonts w:ascii="Calibri" w:eastAsia="Calibri" w:hAnsi="Calibri" w:cs="Calibri"/>
        </w:rPr>
        <w:t xml:space="preserve">de fuentes de información (Acuerdo Final, numeral 6.3.1, pp.210) y el </w:t>
      </w:r>
      <w:r>
        <w:rPr>
          <w:rFonts w:ascii="Calibri" w:eastAsia="Calibri" w:hAnsi="Calibri" w:cs="Calibri"/>
          <w:b/>
        </w:rPr>
        <w:t xml:space="preserve">compromiso político </w:t>
      </w:r>
      <w:r>
        <w:rPr>
          <w:rFonts w:ascii="Calibri" w:eastAsia="Calibri" w:hAnsi="Calibri" w:cs="Calibri"/>
        </w:rPr>
        <w:t xml:space="preserve">con el impulso del acuerdo y la solución de </w:t>
      </w:r>
      <w:r>
        <w:rPr>
          <w:rFonts w:ascii="Calibri" w:eastAsia="Calibri" w:hAnsi="Calibri" w:cs="Calibri"/>
          <w:b/>
        </w:rPr>
        <w:t xml:space="preserve">controversias </w:t>
      </w:r>
      <w:r>
        <w:rPr>
          <w:rFonts w:ascii="Calibri" w:eastAsia="Calibri" w:hAnsi="Calibri" w:cs="Calibri"/>
        </w:rPr>
        <w:t xml:space="preserve">(Acuerdo Final, numeral 6.3.2, pp.211). </w:t>
      </w:r>
    </w:p>
    <w:p w14:paraId="6C1EC9A6"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42AD7F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right="140"/>
        <w:jc w:val="both"/>
        <w:rPr>
          <w:rFonts w:ascii="Times New Roman" w:eastAsia="Times New Roman" w:hAnsi="Times New Roman" w:cs="Times New Roman"/>
          <w:sz w:val="24"/>
          <w:szCs w:val="24"/>
        </w:rPr>
      </w:pPr>
      <w:r>
        <w:rPr>
          <w:rFonts w:ascii="Calibri" w:eastAsia="Calibri" w:hAnsi="Calibri" w:cs="Calibri"/>
        </w:rPr>
        <w:t xml:space="preserve">Según el Acuerdo Final, la Secretaría Técnica tiene el </w:t>
      </w:r>
      <w:r>
        <w:rPr>
          <w:rFonts w:ascii="Calibri" w:eastAsia="Calibri" w:hAnsi="Calibri" w:cs="Calibri"/>
          <w:b/>
        </w:rPr>
        <w:t xml:space="preserve">mandato </w:t>
      </w:r>
      <w:r>
        <w:rPr>
          <w:rFonts w:ascii="Calibri" w:eastAsia="Calibri" w:hAnsi="Calibri" w:cs="Calibri"/>
        </w:rPr>
        <w:t xml:space="preserve">de “recolectar, analizar y preparar” (Acuerdo Final, numeral 6.3.2, pp. 211) la </w:t>
      </w:r>
      <w:r>
        <w:rPr>
          <w:rFonts w:ascii="Calibri" w:eastAsia="Calibri" w:hAnsi="Calibri" w:cs="Calibri"/>
          <w:b/>
        </w:rPr>
        <w:t xml:space="preserve">información </w:t>
      </w:r>
      <w:r>
        <w:rPr>
          <w:rFonts w:ascii="Calibri" w:eastAsia="Calibri" w:hAnsi="Calibri" w:cs="Calibri"/>
        </w:rPr>
        <w:t xml:space="preserve">necesaria para los pronunciamientos </w:t>
      </w:r>
      <w:r>
        <w:rPr>
          <w:rFonts w:ascii="Calibri" w:eastAsia="Calibri" w:hAnsi="Calibri" w:cs="Calibri"/>
          <w:b/>
        </w:rPr>
        <w:t xml:space="preserve">públicos </w:t>
      </w:r>
      <w:r>
        <w:rPr>
          <w:rFonts w:ascii="Calibri" w:eastAsia="Calibri" w:hAnsi="Calibri" w:cs="Calibri"/>
        </w:rPr>
        <w:t xml:space="preserve">que los Notables deben hacer en función de su rol de verificadores internacionales. </w:t>
      </w:r>
    </w:p>
    <w:p w14:paraId="2AAB3575"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52E9B8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Para reglar el funcionamiento de esta Secretaría Técnica, la CSIVI estableció un “</w:t>
      </w:r>
      <w:r>
        <w:rPr>
          <w:rFonts w:ascii="Calibri" w:eastAsia="Calibri" w:hAnsi="Calibri" w:cs="Calibri"/>
          <w:b/>
        </w:rPr>
        <w:t>Protocolo</w:t>
      </w:r>
      <w:r>
        <w:rPr>
          <w:rFonts w:ascii="Calibri" w:eastAsia="Calibri" w:hAnsi="Calibri" w:cs="Calibri"/>
        </w:rPr>
        <w:t xml:space="preserve"> de </w:t>
      </w:r>
      <w:r>
        <w:rPr>
          <w:rFonts w:ascii="Calibri" w:eastAsia="Calibri" w:hAnsi="Calibri" w:cs="Calibri"/>
          <w:b/>
        </w:rPr>
        <w:t xml:space="preserve">Funcionamiento </w:t>
      </w:r>
      <w:r>
        <w:rPr>
          <w:rFonts w:ascii="Calibri" w:eastAsia="Calibri" w:hAnsi="Calibri" w:cs="Calibri"/>
        </w:rPr>
        <w:t>de la Secretaría Técnica del Componente Internacional de Verificación de la Comisión de Impulso, Seguimiento y Verificación del Acuerdo Final”.</w:t>
      </w:r>
    </w:p>
    <w:p w14:paraId="6812461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2017C057"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right="140"/>
        <w:jc w:val="both"/>
        <w:rPr>
          <w:rFonts w:ascii="Times New Roman" w:eastAsia="Times New Roman" w:hAnsi="Times New Roman" w:cs="Times New Roman"/>
          <w:sz w:val="24"/>
          <w:szCs w:val="24"/>
        </w:rPr>
      </w:pPr>
      <w:r>
        <w:rPr>
          <w:rFonts w:ascii="Calibri" w:eastAsia="Calibri" w:hAnsi="Calibri" w:cs="Calibri"/>
        </w:rPr>
        <w:t xml:space="preserve">La verificación que hará la Secretaría Técnica es </w:t>
      </w:r>
      <w:r>
        <w:rPr>
          <w:rFonts w:ascii="Calibri" w:eastAsia="Calibri" w:hAnsi="Calibri" w:cs="Calibri"/>
          <w:b/>
        </w:rPr>
        <w:t xml:space="preserve">integral </w:t>
      </w:r>
      <w:r>
        <w:rPr>
          <w:rFonts w:ascii="Calibri" w:eastAsia="Calibri" w:hAnsi="Calibri" w:cs="Calibri"/>
        </w:rPr>
        <w:t xml:space="preserve">en tanto se hace en relación con todo el Acuerdo Final teniendo en cuenta las distintas articulaciones y relaciones que hay entre los puntos del (Acuerdo </w:t>
      </w:r>
      <w:r>
        <w:rPr>
          <w:rFonts w:ascii="Calibri" w:eastAsia="Calibri" w:hAnsi="Calibri" w:cs="Calibri"/>
        </w:rPr>
        <w:lastRenderedPageBreak/>
        <w:t>Final, numeral 6.3.2, pp. 211), sin perjuicio de los que son objeto de verificación de la Misión Política Especial de Verificación de Naciones Unidas en sus respectivos subpuntos (Garantías de seguridad y Reincorporación).  La integralidad también hace referencia a que la verificación tendrá en cuenta los enfoques transversales del Acuerdo Final (étnico, territorial, género).</w:t>
      </w:r>
    </w:p>
    <w:p w14:paraId="4A3A973B"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44C8932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La Secretaría Técnica debe diseñar su propia </w:t>
      </w:r>
      <w:r>
        <w:rPr>
          <w:rFonts w:ascii="Calibri" w:eastAsia="Calibri" w:hAnsi="Calibri" w:cs="Calibri"/>
          <w:b/>
        </w:rPr>
        <w:t>metodología</w:t>
      </w:r>
      <w:r>
        <w:rPr>
          <w:rFonts w:ascii="Calibri" w:eastAsia="Calibri" w:hAnsi="Calibri" w:cs="Calibri"/>
        </w:rPr>
        <w:t>. En el momento, la Secretaría Técnica ha avanzado en el diseño de su metodología e instrumentos para la verificación, la cual ha sido aprobada por los Notables.</w:t>
      </w:r>
    </w:p>
    <w:p w14:paraId="5DC29F34"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E626BC7"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right="140"/>
        <w:jc w:val="both"/>
        <w:rPr>
          <w:rFonts w:ascii="Times New Roman" w:eastAsia="Times New Roman" w:hAnsi="Times New Roman" w:cs="Times New Roman"/>
          <w:sz w:val="24"/>
          <w:szCs w:val="24"/>
        </w:rPr>
      </w:pPr>
      <w:r>
        <w:rPr>
          <w:rFonts w:ascii="Calibri" w:eastAsia="Calibri" w:hAnsi="Calibri" w:cs="Calibri"/>
        </w:rPr>
        <w:t xml:space="preserve">En términos de </w:t>
      </w:r>
      <w:r>
        <w:rPr>
          <w:rFonts w:ascii="Calibri" w:eastAsia="Calibri" w:hAnsi="Calibri" w:cs="Calibri"/>
          <w:b/>
        </w:rPr>
        <w:t>información y articulación</w:t>
      </w:r>
      <w:r>
        <w:rPr>
          <w:rFonts w:ascii="Calibri" w:eastAsia="Calibri" w:hAnsi="Calibri" w:cs="Calibri"/>
        </w:rPr>
        <w:t>, las labores de verificación que adelantará la Secretaría Técnica, “se apoyarán en la información suministrada por el componente internacional de acompañamiento, el componente técnico y la que suministren los representantes del Gobierno Nacional y las FARC-EP, y los voceros de las organizaciones sociales" (Acuerdo Final numeral 6.3.1, pp. 210). La principal fuente de información con la que contará la Secretaría Técnica es el instituto Kroc, cuyos informes, y productos tendrán como principal destinatario la Secretaría Técnica y la CSIVI. La información que provee el Instituto Kroc será analizada por la Secretaría Técnica. Además, la Secretaría Técnica tiene prevista la articulación con el SIIPO (Sistema Integrado de Información para el Posconflicto), así como con el Plan Marco de Implementación, una vez estén activos y aprobados. Dado que el SIIPO es una herramienta de gestión interna que utilizará el Gobierno para su propias acciones y seguimiento, servirá para incorporar la información del Gobierno sobre la implementación cuando éste la produzca. En ese sentido, la Secretaría Técnica contará con ésta, como una de las “fuentes de gobierno” para la verificación de la implementación.  De esta forma, la Secretaría Técnica trabajará mayoritariamente sobre la base de información de fuentes secundarias sin perjuicio que pueda recabar e incorporar información de fuentes primarias.</w:t>
      </w:r>
    </w:p>
    <w:p w14:paraId="70CD7B9F"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160C63CC"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Otras fuentes de información incluyen aquellas que hacen parte del Componente de Acompañamiento Internacional (países y entidades internacionales punto 6.4.2), que también hace parte del Mecanismo de Seguimiento, Verificación e Impulso. Igualmente, la Secretaría Técnica podrá consultar otras fuentes en terreno, así como instituciones y organizaciones que puedan aportar información. </w:t>
      </w:r>
    </w:p>
    <w:p w14:paraId="745D4546"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3937892A"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En el desarrollo de sus actividades, la Secretaría Técnica seguirá todas las prácticas a su alcance para la mitigación del </w:t>
      </w:r>
      <w:r>
        <w:rPr>
          <w:rFonts w:ascii="Calibri" w:eastAsia="Calibri" w:hAnsi="Calibri" w:cs="Calibri"/>
          <w:b/>
        </w:rPr>
        <w:t xml:space="preserve">impacto </w:t>
      </w:r>
      <w:r>
        <w:rPr>
          <w:rFonts w:ascii="Calibri" w:eastAsia="Calibri" w:hAnsi="Calibri" w:cs="Calibri"/>
        </w:rPr>
        <w:t>ambiental de sus actividades, a través de prácticas de reducción de consumo de energía, de reuso y de promoción del reciclaje, muchas de las cuales ya desarrollan las organizaciones que hacen parte de la Secretaría Técnica</w:t>
      </w:r>
      <w:r>
        <w:rPr>
          <w:color w:val="263238"/>
        </w:rPr>
        <w:t xml:space="preserve">. </w:t>
      </w:r>
      <w:r w:rsidR="00642D63" w:rsidRPr="00B62C3C">
        <w:rPr>
          <w:rFonts w:ascii="Calibri" w:eastAsia="Calibri" w:hAnsi="Calibri" w:cs="Calibri"/>
          <w:color w:val="263238"/>
        </w:rPr>
        <w:t>Por último, se señala que en caso de realizar desplazamientos, se garantizará la eficiencia de éstos para disminuir la huella de carbono</w:t>
      </w:r>
      <w:r>
        <w:rPr>
          <w:rFonts w:ascii="Calibri" w:eastAsia="Calibri" w:hAnsi="Calibri" w:cs="Calibri"/>
        </w:rPr>
        <w:t>.</w:t>
      </w:r>
    </w:p>
    <w:p w14:paraId="2295D81E"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6990B1CA" w14:textId="77777777" w:rsidR="00642D63" w:rsidRDefault="00761080">
      <w:pPr>
        <w:pStyle w:val="Normal1"/>
        <w:numPr>
          <w:ilvl w:val="0"/>
          <w:numId w:val="18"/>
        </w:numPr>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rPr>
          <w:rFonts w:ascii="Calibri" w:eastAsia="Calibri" w:hAnsi="Calibri" w:cs="Calibri"/>
          <w:b/>
        </w:rPr>
      </w:pPr>
      <w:r>
        <w:rPr>
          <w:rFonts w:ascii="Calibri" w:eastAsia="Calibri" w:hAnsi="Calibri" w:cs="Calibri"/>
          <w:b/>
        </w:rPr>
        <w:t>Objetivo del proyecto:</w:t>
      </w:r>
    </w:p>
    <w:p w14:paraId="6F0189BE"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290E256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El objetivo del proyecto es poner en marcha el componente internacional de Verificación de la Implementación del Acuerdo Final, asegurando que los </w:t>
      </w:r>
      <w:r>
        <w:rPr>
          <w:rFonts w:ascii="Calibri" w:eastAsia="Calibri" w:hAnsi="Calibri" w:cs="Calibri"/>
          <w:i/>
        </w:rPr>
        <w:t xml:space="preserve">Notables o Verificadores Internacionales cuentan con la información y el análisis provisto por su Secretaría Técnica, sobre el cumplimiento verificado o comprobado de la implementación de todos los puntos del Acuerdo Final, así como sobre las controversias </w:t>
      </w:r>
      <w:r>
        <w:rPr>
          <w:rFonts w:ascii="Calibri" w:eastAsia="Calibri" w:hAnsi="Calibri" w:cs="Calibri"/>
          <w:i/>
        </w:rPr>
        <w:lastRenderedPageBreak/>
        <w:t xml:space="preserve">que surjan en la fase de implementación. </w:t>
      </w:r>
      <w:r>
        <w:rPr>
          <w:rFonts w:ascii="Calibri" w:eastAsia="Calibri" w:hAnsi="Calibri" w:cs="Calibri"/>
        </w:rPr>
        <w:t>De esta manera los Notables podrán ejercer su función y a garantizar que la implementación de los Acuerdos apoye a una construcción de paz estable y duradera.</w:t>
      </w:r>
    </w:p>
    <w:p w14:paraId="1EBE938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Para dar cumplimiento a sus objetivos, la Secretaría Técnica proveerá a los Notables de reportes analíticos sobre el avance del cumplimiento verificado del Acuerdo Final. También deberá preparar </w:t>
      </w:r>
      <w:r>
        <w:rPr>
          <w:rFonts w:ascii="Calibri" w:eastAsia="Calibri" w:hAnsi="Calibri" w:cs="Calibri"/>
          <w:b/>
        </w:rPr>
        <w:t xml:space="preserve">propuestas </w:t>
      </w:r>
      <w:r>
        <w:rPr>
          <w:rFonts w:ascii="Calibri" w:eastAsia="Calibri" w:hAnsi="Calibri" w:cs="Calibri"/>
        </w:rPr>
        <w:t>dirigidas a la solución de dificultades para la implementación de los acuerdos y la resolución de controversias identificadas.</w:t>
      </w:r>
    </w:p>
    <w:p w14:paraId="102F509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b/>
        </w:rPr>
        <w:t>4.1 Objetivos específicos</w:t>
      </w:r>
    </w:p>
    <w:p w14:paraId="02340F9F" w14:textId="77777777" w:rsidR="00642D63" w:rsidRDefault="00761080">
      <w:pPr>
        <w:pStyle w:val="Normal1"/>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“Comprobar” y verificar “el estado y avances de la implementación” (Acuerdo Final, numeral 6.3, pp.210)</w:t>
      </w:r>
    </w:p>
    <w:p w14:paraId="2247FAEA" w14:textId="77777777" w:rsidR="00642D63" w:rsidRDefault="00761080">
      <w:pPr>
        <w:pStyle w:val="Normal1"/>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“recolectar, analizar y preparar la información necesaria para los pronunciamientos públicos de los notables” sobre el cumplimiento del Acuerdo Final</w:t>
      </w:r>
    </w:p>
    <w:p w14:paraId="3E71A6AC" w14:textId="77777777" w:rsidR="00642D63" w:rsidRDefault="00761080">
      <w:pPr>
        <w:pStyle w:val="Normal1"/>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“Identificar retrasos y deficiencias” en la implementación del Acuerdo Final (Acuerdo Final, numeral 6.3, pp.210)</w:t>
      </w:r>
    </w:p>
    <w:p w14:paraId="2913DFCA" w14:textId="77777777" w:rsidR="00642D63" w:rsidRDefault="00761080">
      <w:pPr>
        <w:pStyle w:val="Normal1"/>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Identificar “puntos de controversia” que representen una dificultad para la implementación de los acuerdos y propuestas de solución para ellos (Acuerdo Final, numeral 6.3, pp. 210)</w:t>
      </w:r>
    </w:p>
    <w:p w14:paraId="7A7D10E9" w14:textId="77777777" w:rsidR="00642D63" w:rsidRDefault="00761080">
      <w:pPr>
        <w:pStyle w:val="Normal1"/>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“Brindar oportunidades de mejoramiento continuo” (Acuerdo Final, numeral 6.3, pp.210).</w:t>
      </w:r>
    </w:p>
    <w:p w14:paraId="2AFEB441" w14:textId="77777777" w:rsidR="00642D63" w:rsidRDefault="00761080">
      <w:pPr>
        <w:pStyle w:val="Normal1"/>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Presentar “recomendaciones de solución”(Protocolo de funcionamiento de la Secretaría Técnica del Componente Internacional de Verificación) (Acuerdo Final, numeral 6.3.2, pp.211).</w:t>
      </w:r>
    </w:p>
    <w:p w14:paraId="0855F3F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647CEFBE" w14:textId="77777777" w:rsidR="00642D63" w:rsidRDefault="00761080">
      <w:pPr>
        <w:pStyle w:val="Normal1"/>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rPr>
      </w:pPr>
      <w:r>
        <w:rPr>
          <w:rFonts w:ascii="Calibri" w:eastAsia="Calibri" w:hAnsi="Calibri" w:cs="Calibri"/>
          <w:b/>
        </w:rPr>
        <w:t>Teoría del cambio</w:t>
      </w:r>
    </w:p>
    <w:p w14:paraId="280641E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b/>
        </w:rPr>
        <w:t>Análisis de la situación de la verificación a la implementación del Acuerdo Final (Planteamiento del problema)</w:t>
      </w:r>
    </w:p>
    <w:p w14:paraId="131A709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Diversos estudios de Naciones Unidas y organizaciones internacionales interesadas en la consolidación de la paz han advertido que es común que los esfuerzos por elaborar estrategias eficaces de transición se vean obstaculizados por factores como la falta de claridad de qué significa una paz consolidada, la ausencia de una metodología de monitoreo del país que sea amplia e integradora, dificultades para realizar evaluaciones comparativas, así como problemas en apoyar la secuenciación y transición de las operaciones que permiten la consolidación de paz. Igualmente, estos estudios han advertido que los esfuerzos de recopilación de datos para medir las tendencias de consolidación de la paz todavía están en su infancia y se deben desarrollar indicadores cuantitativos y cualitativos fiables de cuán estable es la paz </w:t>
      </w:r>
    </w:p>
    <w:p w14:paraId="785E2380"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4E84CCC0"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En experiencias anteriores de acuerdos de paz con grupos armados del conflicto colombiano, no se establecieron mecanismos de verificación del cumplimiento de los compromisos robustos, que estuvieran basados en evidencia y asociados a la resolución de controversias que naturalmente surgen en la implementación de un acuerdo de paz. En el mejor de los casos se obtuvo el apoyo de la Comunidad Internacional a importantes labores de acompañamiento y apoyo, más no de verificación del cumplimiento. </w:t>
      </w:r>
    </w:p>
    <w:p w14:paraId="57AFC74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D7CCD5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El Acuerdo Final entre el Gobierno de Colombia y las FARC-EP para la Terminación del Conflicto y la Construcción de una Paz Estable y Duradera se encuentra en su fase de implementación desde diciembre de 2016. El Acuerdo Final establece en su punto sexto y final, una serie de disposiciones para el </w:t>
      </w:r>
      <w:r>
        <w:rPr>
          <w:rFonts w:ascii="Calibri" w:eastAsia="Calibri" w:hAnsi="Calibri" w:cs="Calibri"/>
        </w:rPr>
        <w:lastRenderedPageBreak/>
        <w:t>seguimiento y verificación de su cumplimiento e impulso y la solución de diferencias, con el ánimo de contribuir a la construcción de una paz estable y duradera.</w:t>
      </w:r>
    </w:p>
    <w:p w14:paraId="07DED861"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B1FBD2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Una de tales disposiciones es la creación de un “mecanismo de verificación de los acuerdos que tendrá un componente internacional (…) y [que] tendrá como propósito comprobar el estado y avances de la implementación, identificar retrasos o deficiencias, brindar oportunidades de mejoramiento continuo, así como contribuir a fortalecer su implementación” (Acuerdo Final, punto 6, pp.210). El Acuerdo establece que dicho mecanismo de verificación estará integrado por tres instancias: los notables o verificadores internacionales, quienes “encabezarán el mecanismo”; la Secretaría Técnica, que brindará apoyo a los Verificadores; y un componente de apoyo técnico, a cargo del Instituto Kroc. </w:t>
      </w:r>
    </w:p>
    <w:p w14:paraId="5BA9738A"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EC2493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A partir de lo dispuesto en el Acuerdo, las FARC-EP y el Gobierno designaron como Notables a José Mujica, expresidente de la República de Uruguay y Felipe González, expresidente del Gobierno de España. En cuanto a la Secretaría Técnica, fueron designadas, por ambas partes, el Centro de Recursos para el Análisis de Conflictos (CERAC) y el Centro de Investigación y Educación Popular (CINEP). Ambas organizaciones deben llevar a cabo la labor de “recolectar, analizar y preparar la información para los pronunciamientos públicos de los Notables (...) a partir de los criterios de funcionamiento y alcance que la Comisión de Seguimiento, Impulso y Verificación a la Implementación del Acuerdo Final (CSIVI) le haya asignado” (Protocolo de funcionamiento de la Secretaría Técnica del Componente Internacional de Verificación, pp. 1).</w:t>
      </w:r>
    </w:p>
    <w:p w14:paraId="4E7F2216"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E4B89C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Según el comunicado conjunto nº 19 de la CSIVI, “antes del 30 de junio de 2017 se deberá activar el componente de verificación internacional en todos sus aspectos, lo que supone: (...) el inicio de la actividad de verificación de los Notables, activación de la Secretaría Técnica”. </w:t>
      </w:r>
    </w:p>
    <w:p w14:paraId="32F22EDA"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FFC2FA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El Acuerdo Final incluye la responsabilidad de gestionar los recursos para la Secretaría Técnica al Gobierno Nacional (Acuerdo Final, numeral 6.3.2, pp. 212).</w:t>
      </w:r>
    </w:p>
    <w:p w14:paraId="58BCAD99"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595CAC8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Teniendo en cuenta el plazo establecido, y el momento en la implementación, a punto de completarse la fase de dejación de armas e inicio del proceso de reincorporación, la puesta en marcha del Componente Internacional de Verificación es urgente y crucial para construir garantías sobre el cumplimiento del acuerdo. El inicio de labores del Componente Internacional de Verificación necesita de la iniciación de labores de su Secretaría Técnica, sin la cual no puede operar. Incluso, el inicio de labores de la Secretaría Técnica está retrasado frente al cumplimiento del Acuerdo y frente al plazo establecido en la hoja de ruta establecida el 29 de mayo.</w:t>
      </w:r>
    </w:p>
    <w:p w14:paraId="5354CBF4"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7213FF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En el caso particular de la Secretaría Técnica, la labor de brindar apoyo y suministrar información constante a los Notables es necesaria para garantizar que estos verificadores, puedan cumplir con sus funciones de realizar “pronunciamientos e informes públicos con los avances que se registren en la implementación”, presentar “recomendaciones de solución” a los puntos de discusión y controversia que se presenten y “rendir sus observaciones de cumplimiento” a la CSIVI (Acuerdo Final, punto 6.3.2, pp. 211). </w:t>
      </w:r>
      <w:r>
        <w:rPr>
          <w:rFonts w:ascii="Calibri" w:eastAsia="Calibri" w:hAnsi="Calibri" w:cs="Calibri"/>
          <w:b/>
        </w:rPr>
        <w:t xml:space="preserve">Sin una </w:t>
      </w:r>
      <w:r>
        <w:rPr>
          <w:rFonts w:ascii="Calibri" w:eastAsia="Calibri" w:hAnsi="Calibri" w:cs="Calibri"/>
          <w:b/>
        </w:rPr>
        <w:lastRenderedPageBreak/>
        <w:t>Secretaría Técnica operando, el Componente de Verificación Internacional no puede cumplir sus funciones ni podrá alcanzar sus objetivos.</w:t>
      </w:r>
    </w:p>
    <w:p w14:paraId="519F7E8F"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6EC704C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Hoy día, los Notables o verificadores internacionales no cuentan con la información o análisis que les permita cumplir con sus funciones y no existe por tanto verificación con la credibilidad suficiente acerca del cumplimiento de los acuerdos, ni un mecanismo permanente de resolución de controversias. Tal carencia de un mecanismo de verificación imparcial sobre el cumplimiento verificado ha generado un vacío de información e incertidumbre en la ciudadanía acerca del estado del proceso de paz. Esta incertidumbre ha sido utilizada por los opositores al Acuerdo para amplificar y darle sustento a los mensajes opuestos a él. </w:t>
      </w:r>
    </w:p>
    <w:p w14:paraId="640FDF92"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5000DFB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La construcción de una paz estable y duradera depende de la implementación integral del Acuerdo final. En la actualidad en Colombia sólo se cuenta con verificación del cumplimiento en la implementación relacionado con el punto sobre el fin del conflicto, a cargo de la Misión de Naciones Unidas en Colombia y del Mecanismo de Monitoreo y Verificación tripartito, y próximamente sobre los puntos 3.2 (reincorporación) y 3.4 (garantías de seguridad), a cargo de la segunda Misión de Verificación de las Naciones Unidas. </w:t>
      </w:r>
      <w:r>
        <w:rPr>
          <w:rFonts w:ascii="Calibri" w:eastAsia="Calibri" w:hAnsi="Calibri" w:cs="Calibri"/>
          <w:b/>
        </w:rPr>
        <w:t xml:space="preserve">La Secretaría Técnica del Componente Internacional de Verificación al operar contribuirá a llenar los vacíos de verificación existentes mediante el seguimiento al cumplimiento verificado integral de los acuerdos, y así impulsar la implementación del mismo. </w:t>
      </w:r>
    </w:p>
    <w:p w14:paraId="4C9477F4"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6CAB61C"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b/>
        </w:rPr>
        <w:t>Cambio buscado:</w:t>
      </w:r>
    </w:p>
    <w:p w14:paraId="59B954A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La Secretaría Técnica, como parte del mecanismo de verificación del Componente Internacional de Verificación, busca fortalecer la implementación del Acuerdo Final (numeral 6.3, pp. 210), lo que contribuirá a la construcción de una paz estable y duradera. Para reglar el funcionamiento de la Secretaría Técnica, la CSIVI estableció un “Protocolo de Funcionamiento de la Secretaría Técnica del Componente Internacional de Verificación de la Comisión de Impulso, Seguimiento y Verificación del Acuerdo Final.” </w:t>
      </w:r>
    </w:p>
    <w:p w14:paraId="35F11D2D"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DF91C0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En respuesta al protocolo y por solicitud expresa de la CSIVI y de los Notables, las dos organizaciones a las que se les asignó este mandato constituirán una </w:t>
      </w:r>
      <w:r>
        <w:rPr>
          <w:rFonts w:ascii="Calibri" w:eastAsia="Calibri" w:hAnsi="Calibri" w:cs="Calibri"/>
          <w:b/>
        </w:rPr>
        <w:t>única</w:t>
      </w:r>
      <w:r>
        <w:rPr>
          <w:rFonts w:ascii="Calibri" w:eastAsia="Calibri" w:hAnsi="Calibri" w:cs="Calibri"/>
        </w:rPr>
        <w:t xml:space="preserve"> Secretaría Técnica que trabajará de forma integral y tendrá como valor agregado el aprovechamiento de las fortalezas y experticia de las dos organizaciones que la componen. De esta forma, CERAC y CINEP trabajarán en cooperación, con responsabilidades compartidas y bajo una única metodología cuyos principios han sido definidos en concordancia con las solicitudes de los Notables.</w:t>
      </w:r>
    </w:p>
    <w:p w14:paraId="58B4A908"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25C5812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Se acordó entre el CERAC y el CINEP, que la Secretaría Técnica de los Notables contará con </w:t>
      </w:r>
      <w:r>
        <w:rPr>
          <w:rFonts w:ascii="Calibri" w:eastAsia="Calibri" w:hAnsi="Calibri" w:cs="Calibri"/>
          <w:b/>
        </w:rPr>
        <w:t>protocolos de funcionamiento interno</w:t>
      </w:r>
      <w:r>
        <w:rPr>
          <w:rFonts w:ascii="Calibri" w:eastAsia="Calibri" w:hAnsi="Calibri" w:cs="Calibri"/>
        </w:rPr>
        <w:t>, de operación y relacionamiento entre CERAC y CINEP; y con protocolos de relación con organizaciones proveedoras de información, incluyendo el Instituto Kroc que debe proveer al Componente de Verificación información y documentación sobre el avance en el cumplimiento de los compromisos.</w:t>
      </w:r>
    </w:p>
    <w:p w14:paraId="24F9A36B"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17FF145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En el Acuerdo Final se establece que la Secretaría Técnica se relacionará directamente con los Notables, a quienes “apoyará en todos los aspectos técnicos, logísticos, presupuestales, administrativos y de </w:t>
      </w:r>
      <w:r>
        <w:rPr>
          <w:rFonts w:ascii="Calibri" w:eastAsia="Calibri" w:hAnsi="Calibri" w:cs="Calibri"/>
        </w:rPr>
        <w:lastRenderedPageBreak/>
        <w:t>interlocución con los diferentes actores a nivel nacional e internacional” (Protocolo de funcionamiento de la Secretaría Técnica del Componente Internacional de Verificación, pp. 1). Así mismo, la Secretaría Técnica “coordinará todas sus funciones con la CSIVI” (Acuerdo Final, numeral 6.3.2, pp.212) , y gestionará información de diversas  fuentes de  información, incluyendo la que reciba del Instituto Kroc que le brindará apoyo técnico (Acuerdo Final, numeral 6.3.2,literal a, b y c pp. 211). Los Notables realizarán pronunciamientos e informes públicos (Acuerdo Final, numeral 6.3.2, literal a, notables, p. 211) por lo que podrán comunicar a la sociedad sus hallazgos y darán a conocer sus reportes,  para lo cual la Secretaría Técnica podrá representar a los Notables, si ellos así lo solicitan (Protocolo de funcionamiento de la Secretaría Técnica del Componente Internacional de Verificación, pp. 1) El Gobierno Nacional está a cargo de gestionar los recursos ante la comunidad internacional para la Secretaría Técnica (Acuerdo Final, numeral 6.3.2, pp.212).</w:t>
      </w:r>
    </w:p>
    <w:p w14:paraId="2FBB361A"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3C1752A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Así mismo, la Secretaría Técnica respetará los criterios y orientaciones de comunicación establecidos por el Acuerdo Final y dados por la CSIVI en los protocolos, manteniendo la confidencialidad de la información que conozca y de los productos que genere, en caso de que la CSIVI no autorice su difusión. Adicionalmente, estará por fuera de la controversia y opinión pública, buscando en todo caso propender por encontrar soluciones a las dificultades e identificando oportunidades de mejoramiento continuo en la implementación de los acuerdos para la construcción de paz (Acuerdo Final, numeral 6.3.4, pp. 213). Por lo tanto, es probable que los reportes que produzca la Secretaría Técnica sean en su totalidad divulgados al público, con la excepción de los reportes de controversia y alertas de implementación (ver sección de productos). </w:t>
      </w:r>
    </w:p>
    <w:p w14:paraId="65CA5D8E"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1F73F3B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t xml:space="preserve">La recolección de información, análisis y preparación de informes y otros documentos que elaborará la Secretaría Técnica incluirán planteamientos para la resolución de controversias que se presenten durante el proceso de implementación, así como para brindar oportunidades de mejoramiento continuo en la implementación y para comunicar a la ciudadanía sobre el avance en la implementación y el cumplimiento. Por lo tanto, los productos de la Secretaría Técnica contribuirán a: </w:t>
      </w:r>
    </w:p>
    <w:p w14:paraId="3E59993C"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0E585FE7" w14:textId="77777777" w:rsidR="00642D63" w:rsidRDefault="00761080">
      <w:pPr>
        <w:pStyle w:val="Normal1"/>
        <w:numPr>
          <w:ilvl w:val="0"/>
          <w:numId w:val="2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t>Lograr la construcción de una paz estable y duradera como principal objetivo del Acuerdo Final, teniendo en cuenta que la labor de la Secretaría iría más allá de una medición del cumplimiento de los acuerdos, buscando mejorar la sostenibilidad del Acuerdo y la credibilidad frente al proceso de paz.</w:t>
      </w:r>
    </w:p>
    <w:p w14:paraId="6F63D0DF" w14:textId="77777777" w:rsidR="00642D63" w:rsidRDefault="00761080">
      <w:pPr>
        <w:pStyle w:val="Normal1"/>
        <w:numPr>
          <w:ilvl w:val="0"/>
          <w:numId w:val="2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t xml:space="preserve">Asegurar una verificación objetiva, soportada en datos y hechos (Acuerdo Final, numeral 6.3.1, pp. 210). La Secretaría Técnica utilizará </w:t>
      </w:r>
      <w:r>
        <w:rPr>
          <w:rFonts w:ascii="Calibri" w:eastAsia="Calibri" w:hAnsi="Calibri" w:cs="Calibri"/>
          <w:b/>
        </w:rPr>
        <w:t>diversas fuentes de información</w:t>
      </w:r>
      <w:r>
        <w:rPr>
          <w:rFonts w:ascii="Calibri" w:eastAsia="Calibri" w:hAnsi="Calibri" w:cs="Calibri"/>
        </w:rPr>
        <w:t xml:space="preserve"> para apoyar a los Notables, para que brinden observaciones de cumplimiento, con los avances y retrasos de la implementación para fortalecer la estabilidad del Acuerdo Final e impulsar la continuidad de su implementación.</w:t>
      </w:r>
    </w:p>
    <w:p w14:paraId="6350DE71" w14:textId="77777777" w:rsidR="00642D63" w:rsidRDefault="00761080">
      <w:pPr>
        <w:pStyle w:val="Normal1"/>
        <w:numPr>
          <w:ilvl w:val="0"/>
          <w:numId w:val="2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t xml:space="preserve">Garantizar la transparencia en la “implementación de los acuerdos en lo que corresponde a la destinación e inversión de los recursos públicos para la implementación”(Acuerdo Final, numeral 6.3.1, pp. 210). </w:t>
      </w:r>
    </w:p>
    <w:p w14:paraId="30727064" w14:textId="77777777" w:rsidR="00642D63" w:rsidRDefault="00761080">
      <w:pPr>
        <w:pStyle w:val="Normal1"/>
        <w:numPr>
          <w:ilvl w:val="0"/>
          <w:numId w:val="2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t>Asegurar que se cumpla el enfoque de género tal y como está definido en los principios generales para la implementación (Acuerdo Final, punto 6, pp. 193-194).</w:t>
      </w:r>
    </w:p>
    <w:p w14:paraId="314E6FEA"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p>
    <w:p w14:paraId="292837B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b/>
        </w:rPr>
        <w:t>Papel de Otras organizaciones y Socios</w:t>
      </w:r>
      <w:r>
        <w:t>:</w:t>
      </w:r>
    </w:p>
    <w:p w14:paraId="06EDCA1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La complejidad e interrelación entre los diversos aspectos a verificar, hacen imperativa una coordinación y flujo de información entre los Componentes de Verificación Internacional y el de Acompañamiento Internacional, siempre con la colaboración y coordinación permanente de la CSIVI.</w:t>
      </w:r>
    </w:p>
    <w:p w14:paraId="6B6F663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2BB14837"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En cuanto al papel integrador con otras organizaciones, el Acuerdo Final establece que el Componente Internacional de Verificación contará con el apoyo técnico del Instituto Kroc, que será la principal fuente de información para la CSIVI y para la Secretaría Técnica, por medio de sus reportes que contenga información validada y sus narrativas.</w:t>
      </w:r>
    </w:p>
    <w:p w14:paraId="4B2C1FC0"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6CAE44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Así mismo, el protocolo de funcionamiento de la Secretaría Técnica señala que ésta también “podrá solicitar información sobre avances en la implementación a cualquiera de las organizaciones que conforman el componente internacional de verificación” (Acuerdo Final, numeral 6.3.2, pp.212).  Igualmente, dentro de los criterios orientadores del mecanismo de verificación establecidos en el Acuerdo Final se dispone: “para realizar la labor de verificación, el mecanismo de verificación tendrá acceso a la información requerida en materia de implementación de los acuerdos, que se encuentren en las agencias, entidades del Estado y mecanismos técnicos de recolección de información” (Acuerdo Final, punto 6.3.1, pp. 210). Así mismo, el Acuerdo Final establece que “el proceso de verificación se apoyará en la información suministrada por el componente internacional de acompañamiento, el componente técnico y la que suministren los representantes del Gobierno Nacional y las FARC-EP, y los voceros de las organizaciones sociales" (Acuerdo Final numeral 6.3.1, pp. 210). De esta forma dentro de las fuentes de información contempladas por la Secretaría Técnica del Componente Internacional de Verificación en su metodología, se encuentran las entidades de Gobierno y el Sistema Integrado de Información para el Posconflicto (SIIPO). De esta forma, la Secretaría Técnica del Componente de Verificación Internacional –STCVI- tendrá como uno de sus referentes el PMI y el SIIPO, en tanto permitirá hacer seguimiento y monitoreo a los compromisos del Acuerdo Final, con información veraz y oportuna. Dado que el SIIPO es una herramienta de gestión interna que utilizará el Gobierno para su propias acciones y seguimiento, servirá para incorporar la información del gobierno sobre la implementación cuando este la produzca. </w:t>
      </w:r>
    </w:p>
    <w:p w14:paraId="60A5A98D"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4E6673F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En ese sentido, la Secretaría Técnica contará con pluralidad de fuentes de información para la verificación. La Secretaría Técnica podrá consultar otras fuentes en terreno, así como instituciones y organizaciones que puedan aportar a la verificación. La Secretaría Técnica no realizará recolección de fuentes primarias original, diferente a aquella con la que las dos organizaciones de la Secretaría Técnica provean directamente para alimentar los reportes. </w:t>
      </w:r>
    </w:p>
    <w:p w14:paraId="4B7CB515"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A3BD05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Una segunda fuente de gran importancia es la proporcionada por los países y entidades que conforman el Componente de Acompañamiento Internacional (numeral 6.4.2, pp.215).  “Cada componente temático elaborará informes periódicos que serán compartidos a la CSIVI (...)Los informes producidos por los componentes temáticos de acompañamiento alimentarán de manera sistemática al Instituto Kroc (…)” (Acuerdo Final, numeral 6.4.2, pp.215). Éstos, aportarán informes temáticos periódicos a la CSIVI, como al </w:t>
      </w:r>
      <w:r>
        <w:rPr>
          <w:rFonts w:ascii="Calibri" w:eastAsia="Calibri" w:hAnsi="Calibri" w:cs="Calibri"/>
        </w:rPr>
        <w:lastRenderedPageBreak/>
        <w:t xml:space="preserve">Instituto Kroc, y que serán de gran utilidad para la Secretaría Técnica en tanto pueden aportar de manera importante a enriquecer el contexto y la valoración cualitativa del cumplimiento de los compromisos. Así mismo, la Secretaría Técnica se apoyará especialmente en los informes temáticos que aporten organizaciones como ONU Mujeres </w:t>
      </w:r>
      <w:r w:rsidR="00642D63">
        <w:rPr>
          <w:rFonts w:ascii="Calibri" w:eastAsia="Calibri" w:hAnsi="Calibri" w:cs="Calibri"/>
        </w:rPr>
        <w:t>-la cual tienen una herramienta para el seguimiento de este enfoque-</w:t>
      </w:r>
      <w:r>
        <w:rPr>
          <w:rFonts w:ascii="Calibri" w:eastAsia="Calibri" w:hAnsi="Calibri" w:cs="Calibri"/>
        </w:rPr>
        <w:t xml:space="preserve"> y la Federación Democrática Internacional de Mujeres (Acuerdo Final, numeral 6.4.2, pp.216) para realizar la verificación correspondiente a la implementación del enfoque de género. </w:t>
      </w:r>
      <w:r w:rsidR="00642D63">
        <w:rPr>
          <w:rFonts w:ascii="Calibri" w:eastAsia="Calibri" w:hAnsi="Calibri" w:cs="Calibri"/>
        </w:rPr>
        <w:t>Igualmente se utilizará los análisis que el Instituto Kroc ha adelantará con relación al seguimiento de las provisiones de género incluidas en el acuerdo (el cual cuenta con una matriz de monitoreo y cumplimiento de las provisiones de género), buscando con esto garantizar un alto nivel de rigurosidad en el seguimiento del enfoque de género de los Acuerdos.</w:t>
      </w:r>
    </w:p>
    <w:p w14:paraId="33B4F1D9"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3FAEF3EA"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Si bien el Alto Comisionado de las Naciones Unidas para los Derechos Humanos hace parte de del Componente de Acompañamiento Internacional a la implementación temática del Acuerdo Final, se establecerá una estrecha coordinación con éste, por la importante labor que cumple en Colombia y porque ante la renovación de su mandato en Colombia se le asignó la labor de “incluir dentro de su informe anual sobre Colombia un capítulo especial en relación con la implementación de los acuerdos en materia de DDHH” (Acuerdo Final, numeral 6.3.4, pp.214) </w:t>
      </w:r>
    </w:p>
    <w:p w14:paraId="35D028EE"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DBF12E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Igualmente importante es la interlocución y colaboración con la Misión de Verificación de Naciones Unidas establecida mediante la resolución 2366 de 2017 del Consejo de Seguridad, que si bien tiene claramente definidos los aspectos a verificar (Acuerdo Final, numeral 6.3.3, pp.213), el carácter integral del Acuerdo Final y la apuesta por la observancia plena de los DDHH, exigen esta interlocución para aunar esfuerzos en la tarea de verificación internacional. </w:t>
      </w:r>
    </w:p>
    <w:p w14:paraId="7644AC43"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439174B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after="200" w:line="240" w:lineRule="auto"/>
        <w:ind w:right="49"/>
        <w:jc w:val="both"/>
        <w:rPr>
          <w:rFonts w:ascii="Times New Roman" w:eastAsia="Times New Roman" w:hAnsi="Times New Roman" w:cs="Times New Roman"/>
          <w:sz w:val="24"/>
          <w:szCs w:val="24"/>
        </w:rPr>
      </w:pPr>
      <w:r>
        <w:rPr>
          <w:rFonts w:ascii="Calibri" w:eastAsia="Calibri" w:hAnsi="Calibri" w:cs="Calibri"/>
        </w:rPr>
        <w:t>Esta Segunda Misión de Naciones Unidas fue aprobada el pasado 10 de julio e iniciará actividades el 26 de septiembre próximo. Como afirma la Resolución 2366 (2017) del Consejo de Seguridad del 10 de julio de 2017, esta Misión responde a la solicitud que hace el Gobierno colombiano, que en nombre del gobierno y las FARC-EP solicitan el establecimiento de una segunda misión política especial por un período de tres años, renovable si fuera necesario, de conformidad con lo dispuesto en el punto 6.3.3 del Acuerdo Final. Esta misión política en Colombia, denominada Misión de Verificación de las Naciones Unidas en Colombia, de acuerdo a la Resolución tendrá un período inicial de 12 meses, bajo la dirección de un Representante Especial del Secretario General de las Naciones Unidas y “se encargará de verificar la implementación por el Gobierno de Colombia y las FARC-EP de los puntos 3.2 y 3.4 del Acuerdo Final, de conformidad con lo dispuesto en el punto 6.3.3 del Acuerdo Final, en particular la reincorporación política, económica y social de las FARC-EP y la implementación de garantías de seguridad personal y colectiva y de programas integrales de seguridad y protección para las comunidades y organizaciones en los territorios, y deberá incluir la verificación necesaria a nivel regional y local” (Resolución 2366 de 2017 parr. 2).</w:t>
      </w:r>
    </w:p>
    <w:p w14:paraId="3E37330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after="200" w:line="240" w:lineRule="auto"/>
        <w:ind w:right="49"/>
        <w:jc w:val="both"/>
        <w:rPr>
          <w:rFonts w:ascii="Times New Roman" w:eastAsia="Times New Roman" w:hAnsi="Times New Roman" w:cs="Times New Roman"/>
          <w:sz w:val="24"/>
          <w:szCs w:val="24"/>
        </w:rPr>
      </w:pPr>
      <w:r>
        <w:rPr>
          <w:rFonts w:ascii="Calibri" w:eastAsia="Calibri" w:hAnsi="Calibri" w:cs="Calibri"/>
        </w:rPr>
        <w:t xml:space="preserve">La Resolución afirma que la Misión de Verificación “trabajará también en estrecha colaboración con los órganos de verificación pertinentes establecidos en el Acuerdo Final, en particular la Comisión de Seguimiento, Impulso y Verificación a la Implementación del Acuerdo Final, el Consejo Nacional de </w:t>
      </w:r>
      <w:r>
        <w:rPr>
          <w:rFonts w:ascii="Calibri" w:eastAsia="Calibri" w:hAnsi="Calibri" w:cs="Calibri"/>
        </w:rPr>
        <w:lastRenderedPageBreak/>
        <w:t xml:space="preserve">Reincorporación y la Comisión Nacional de Garantías de Seguridad”. En ese sentido, se destaca que la Secretaría Técnica de los Notables, en cuanto perteneciente al componente internacional de verificación de la CSIVI, sería una de las instancias con las que se debe establecer un trabajo en estrecha colaboración. </w:t>
      </w:r>
    </w:p>
    <w:p w14:paraId="66AD3CE7"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after="200" w:line="240" w:lineRule="auto"/>
        <w:ind w:right="49"/>
        <w:jc w:val="both"/>
        <w:rPr>
          <w:rFonts w:ascii="Times New Roman" w:eastAsia="Times New Roman" w:hAnsi="Times New Roman" w:cs="Times New Roman"/>
          <w:sz w:val="24"/>
          <w:szCs w:val="24"/>
        </w:rPr>
      </w:pPr>
      <w:r>
        <w:rPr>
          <w:rFonts w:ascii="Calibri" w:eastAsia="Calibri" w:hAnsi="Calibri" w:cs="Calibri"/>
        </w:rPr>
        <w:t>Debe resaltarse que sobre la relación de los Notables y la Misión de la ONU ya se había pronunciado el Acuerdo Final y pese a que se refería a la primera misión, este es un principio de trabajo que seguramente se mantendrá. El Acuerdo Final aclara que los Notables ““Realizarán pronunciamientos e informes públicos, en relación con los avances que se registren en la implementación de todos los acuerdos,</w:t>
      </w:r>
      <w:r>
        <w:rPr>
          <w:rFonts w:ascii="Calibri" w:eastAsia="Calibri" w:hAnsi="Calibri" w:cs="Calibri"/>
          <w:b/>
          <w:i/>
        </w:rPr>
        <w:t xml:space="preserve"> sin perjuicio de los que son</w:t>
      </w:r>
      <w:r>
        <w:rPr>
          <w:rFonts w:ascii="Calibri" w:eastAsia="Calibri" w:hAnsi="Calibri" w:cs="Calibri"/>
          <w:b/>
          <w:i/>
        </w:rPr>
        <w:tab/>
        <w:t>objeto de verificación de la Misión Política Especial de Verificación de Naciones Unidas</w:t>
      </w:r>
      <w:r>
        <w:rPr>
          <w:rFonts w:ascii="Calibri" w:eastAsia="Calibri" w:hAnsi="Calibri" w:cs="Calibri"/>
        </w:rPr>
        <w:t xml:space="preserve">, y con los puntos de discusión y controversia, todo ello en coordinación con la Comisión de Seguimiento, Impulso y Verificación a la Implementación del Acuerdo Final (CSIVI)”. (Acuerdo Final punto 6.3.2, p. 211). Esto destaca entonces un enfoque de complementariedad con la Misión de Verificación. </w:t>
      </w:r>
    </w:p>
    <w:p w14:paraId="1F064DF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Por último, de especial relevancia será la relación y el diálogo permanentes que se establecerá con la Instancia Especial para garantizar el enfoque de género en la implementación del acuerdo de paz, y con la Instancia de alto nivel de los pueblos étnicos para el seguimiento de la implementación del Acuerdo Final, capítulo étnico, encargadas de hacer seguimiento a los respectivos enfoques y de hacer recomendaciones a la CSIVI.</w:t>
      </w:r>
    </w:p>
    <w:p w14:paraId="4FE9298F"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3EEC3B5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b/>
        </w:rPr>
        <w:t>Sostenibilidad</w:t>
      </w:r>
    </w:p>
    <w:p w14:paraId="07ACB9F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Dado que en Colombia no ha habido un proceso de paz similar al que se realizó con las FARC, ni tampoco hay experiencias en otros acuerdos de paz que establezcan un mecanismo de verificación internacional no existen las herramientas o referentes que permitan adelantar esta labor.  Adicionalmente, las experiencias y metodologías de monitoreo y verificación implementadas en el exterior, no responden a las necesidades de la experiencia colombiana, en la que la verificación se hará en tiempo real. </w:t>
      </w:r>
    </w:p>
    <w:p w14:paraId="08671845"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61AB2E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Sí existe al interior de las dos organizaciones suficiente experiencia metodológica y práctica en el análisis de conflictos y construcción de paz, en el análisis y evaluación de políticas públicas y en el análisis de proyectos de desarrollo para la superación de la conflictividad, incluyendo experiencia en el montaje de sistemas de información y monitoreo del cumplimiento de los compromisos de un acuerdo de paz. igualmente, ambas instituciones cuentan con la suficiente credibilidad y una reputación positiva y la aceptación de las partes firmantes del Acuerdo.</w:t>
      </w:r>
    </w:p>
    <w:p w14:paraId="794D5B32"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27B077F0"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Por lo tanto, la metodología establecida por las organizaciones que componen la Secretaría Técnica pretende contribuir en el desarrollo de nuevas herramientas para adelantar la labor de verificar la implementación de los acuerdos de paz. La metodología desarrollada, integra algunos referentes internacionales, en los que se ha realizado algún tipo de verificación de la implementación, esto principalmente de experiencias de verificación posterior a la implementación. A partir de este tipo de experiencias y considerando el contexto específico colombiano, se han incluido las definiciones de cumplimiento, validación y verificación, y variables como la priorización y secuencia en la verificación de los compromisos.  </w:t>
      </w:r>
    </w:p>
    <w:p w14:paraId="37F605E2"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44C84D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lastRenderedPageBreak/>
        <w:t xml:space="preserve">La Secretaría Técnica contribuirá así a la </w:t>
      </w:r>
      <w:r>
        <w:rPr>
          <w:rFonts w:ascii="Calibri" w:eastAsia="Calibri" w:hAnsi="Calibri" w:cs="Calibri"/>
          <w:b/>
        </w:rPr>
        <w:t xml:space="preserve">sostenibilidad </w:t>
      </w:r>
      <w:r>
        <w:rPr>
          <w:rFonts w:ascii="Calibri" w:eastAsia="Calibri" w:hAnsi="Calibri" w:cs="Calibri"/>
        </w:rPr>
        <w:t xml:space="preserve">del Acuerdo Final y, a través de esta tarea, contribuirá a mantener el fin del conflicto y la construcción de una paz sostenible. Si bien, la Secretaría Técnica inicialmente estará en funcionamiento durante los primeros 18 meses del proceso de implementación, hay compromisos en el Acuerdo que se extienden, incluso a diez años. </w:t>
      </w:r>
    </w:p>
    <w:p w14:paraId="36903E56"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56B43F2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El enfoque metodológico de la Secretaría Técnica establece un referente que puede seguir siendo utilizado o adaptado para producir información sobre la verificación de la implementación del Acuerdo en los períodos subsiguientes.</w:t>
      </w:r>
    </w:p>
    <w:p w14:paraId="5BE8D506"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E41370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La continuidad de la verificación a la implementación a cargo de la Secretaría Técnica después de haber ejecutado el proyecto, depende de lo que establezca la CSIVI. No obstante, la metodología e instrumentos de verificación estará diseñada para ser usada continuamente con la labor de verificar el cumplimiento de los compromisos que excedan el plazo inicial de 18 meses. </w:t>
      </w:r>
    </w:p>
    <w:p w14:paraId="76E9A87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CF0C6A7" w14:textId="77777777" w:rsidR="00642D63" w:rsidRDefault="00761080">
      <w:pPr>
        <w:pStyle w:val="Normal1"/>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Calibri" w:eastAsia="Calibri" w:hAnsi="Calibri" w:cs="Calibri"/>
          <w:b/>
        </w:rPr>
      </w:pPr>
      <w:r>
        <w:rPr>
          <w:rFonts w:ascii="Calibri" w:eastAsia="Calibri" w:hAnsi="Calibri" w:cs="Calibri"/>
          <w:b/>
        </w:rPr>
        <w:t>Entidades de ejecución:</w:t>
      </w:r>
    </w:p>
    <w:p w14:paraId="3C01E463"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2FA37D3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t>La Secretaría Técnica ha sido delegada por la CSIVI a y está compuesta de forma paritaria por la Fundación Centro de Investigación y Educación Popular CINEP y el Centro de Recursos para el Análisis de Conflictos (CERAC). Por solicitud expresa de la CSIVI así como de los Verificadores Internacionales, se ha conformado un equipo de trabajo con suficiente dedicación y especialidad para cumplir con la tarea encomendada.</w:t>
      </w:r>
    </w:p>
    <w:p w14:paraId="2E0752E4"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6A03B93C" w14:textId="77777777" w:rsidR="00642D63" w:rsidRDefault="00761080">
      <w:pPr>
        <w:pStyle w:val="Normal1"/>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rPr>
          <w:rFonts w:ascii="Calibri" w:eastAsia="Calibri" w:hAnsi="Calibri" w:cs="Calibri"/>
          <w:b/>
        </w:rPr>
      </w:pPr>
      <w:r>
        <w:rPr>
          <w:rFonts w:ascii="Calibri" w:eastAsia="Calibri" w:hAnsi="Calibri" w:cs="Calibri"/>
          <w:b/>
        </w:rPr>
        <w:t>Cobertura geográfica:</w:t>
      </w:r>
    </w:p>
    <w:p w14:paraId="2BE62CC8"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3850C36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La tarea principal que se le asigna a la Secretaría Técnica de “recolectar, analizar y preparar la información necesaria para los pronunciamientos públicos de los notables” (Acuerdo Final, numeral  6.3.2, pp. 211) tendrá un alcance geográfico nacional en términos de la recolección de información y cobertura del análisis,. Sin embargo, considerará el nivel territorial en su enfoque metodológico.</w:t>
      </w:r>
    </w:p>
    <w:p w14:paraId="0D6542F4"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0C639C6" w14:textId="77777777" w:rsidR="00642D63" w:rsidRDefault="00761080">
      <w:pPr>
        <w:pStyle w:val="Normal1"/>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rPr>
          <w:rFonts w:ascii="Calibri" w:eastAsia="Calibri" w:hAnsi="Calibri" w:cs="Calibri"/>
          <w:b/>
        </w:rPr>
      </w:pPr>
      <w:r>
        <w:rPr>
          <w:rFonts w:ascii="Calibri" w:eastAsia="Calibri" w:hAnsi="Calibri" w:cs="Calibri"/>
          <w:b/>
        </w:rPr>
        <w:t>Beneficiarios:</w:t>
      </w:r>
    </w:p>
    <w:p w14:paraId="4FA31E12"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Los beneficiarios directos de la Secretaría Técnica serán los Verificadores Internacionales o Notables y la CSIVI que se encuentran integrados al mecanismo de verificación del Componente Internacional de Verificación. Así mismo, serán beneficiarios indirectos de la Secretaría Técnica, el Gobierno, especialmente las instituciones encargadas de la implementación, así como la población civil, ya que la labor realizada por la Secretaría Técnica beneficiará la integralidad y sostenibilidad del Acuerdo Final de Paz. </w:t>
      </w:r>
    </w:p>
    <w:p w14:paraId="3FC57AC6"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p>
    <w:p w14:paraId="1603C1E4" w14:textId="77777777" w:rsidR="00642D63" w:rsidRDefault="00761080">
      <w:pPr>
        <w:pStyle w:val="Normal1"/>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rPr>
          <w:rFonts w:ascii="Calibri" w:eastAsia="Calibri" w:hAnsi="Calibri" w:cs="Calibri"/>
          <w:b/>
        </w:rPr>
      </w:pPr>
      <w:r>
        <w:rPr>
          <w:rFonts w:ascii="Calibri" w:eastAsia="Calibri" w:hAnsi="Calibri" w:cs="Calibri"/>
          <w:b/>
        </w:rPr>
        <w:t xml:space="preserve">Marco de resultados </w:t>
      </w:r>
    </w:p>
    <w:p w14:paraId="29321801"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1CF9F7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La labor que desarrollará la Secretaría Técnica del Componente de Verificación Internacional contribuirá a cumplir con el efecto 8 del Fondo Multidonante: </w:t>
      </w:r>
      <w:r>
        <w:rPr>
          <w:rFonts w:ascii="Calibri" w:eastAsia="Calibri" w:hAnsi="Calibri" w:cs="Calibri"/>
          <w:i/>
        </w:rPr>
        <w:t xml:space="preserve">“Comunicados de forma eficaz y transparente los acuerdos del fin del conflicto, los avances en su implementación, las dinámicas de construcción de paz y las </w:t>
      </w:r>
      <w:r>
        <w:rPr>
          <w:rFonts w:ascii="Calibri" w:eastAsia="Calibri" w:hAnsi="Calibri" w:cs="Calibri"/>
          <w:i/>
        </w:rPr>
        <w:lastRenderedPageBreak/>
        <w:t>situaciones de los territorios, reduciendo así el impacto de mensajes interesados y/o desestabilizadores y fomentando una cultura de paz y reconciliación”.</w:t>
      </w:r>
    </w:p>
    <w:p w14:paraId="1525DF3E"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68F211C9"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De acuerdo con este efecto, el proyecto espera alcanzar el siguiente sub-resultado: </w:t>
      </w:r>
    </w:p>
    <w:p w14:paraId="29A128B5"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26A375A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708"/>
        <w:jc w:val="both"/>
        <w:rPr>
          <w:rFonts w:ascii="Times New Roman" w:eastAsia="Times New Roman" w:hAnsi="Times New Roman" w:cs="Times New Roman"/>
          <w:sz w:val="24"/>
          <w:szCs w:val="24"/>
        </w:rPr>
      </w:pPr>
      <w:r>
        <w:rPr>
          <w:rFonts w:ascii="Calibri" w:eastAsia="Calibri" w:hAnsi="Calibri" w:cs="Calibri"/>
          <w:b/>
        </w:rPr>
        <w:t>La Secretaría Técnica del Componente Internacional de Verificación, proveerá a los Verificadores Internacionales (Notables) productos que les permitan “comprobar” y verificar “el estado y avances de la implementación”, “identificar retrasos y deficiencias” que ocurran durante el proceso de implementación", identificar “puntos de controversia” que representen una dificultad para la implementación de los acuerdos y proponer solución a ellos (Acuerdo Final, numeral 6.3, pp. 210).</w:t>
      </w:r>
    </w:p>
    <w:p w14:paraId="67E66A74"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D8EC09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Este sub-resultado, además de responder a las demandas puntuales que el Acuerdo Final establece para la Secretaría Técnica, también busca contribuir con la comunicación eficaz y transparente del Acuerdo Final al público Colombiano. Los productos de la Secretaría contendrán información transparente y rigurosa sobre el cumplimiento verificado o comprobado de la implementación para reducir el impacto de las controversias que puedan surgir, y contribuir a la construcción de una paz estable y duradera, así como a garantizar la sostenibilidad de su implementación.</w:t>
      </w:r>
    </w:p>
    <w:p w14:paraId="387FB354"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160F8020"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Para lograr el resultado, la Secretaria Técnica producirá los siguientes productos:</w:t>
      </w:r>
    </w:p>
    <w:p w14:paraId="6BB30099"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4D2AD788"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rPr>
      </w:pPr>
    </w:p>
    <w:p w14:paraId="7F9B503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b/>
        </w:rPr>
        <w:t>Producto 1.1. Elaboración de 6 Grandes memorias cubriendo cada uno de los seis puntos del acuerdo.</w:t>
      </w:r>
    </w:p>
    <w:p w14:paraId="04628AE9"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5377B03C"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Principales Actividades:</w:t>
      </w:r>
    </w:p>
    <w:p w14:paraId="31B0D25A"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67829764" w14:textId="77777777" w:rsidR="00642D63" w:rsidRDefault="00761080">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Recolección y procesamiento de información en las fuentes establecidas en la metodología, sobre los compromisos de los seis puntos del Acuerdo</w:t>
      </w:r>
    </w:p>
    <w:p w14:paraId="17F6C939" w14:textId="77777777" w:rsidR="00642D63" w:rsidRDefault="00761080">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Escritura y edición de las memorias de cada punto del Acuerdo, por parte de la entidad que tenga responsabilidad primaria (ver tabla de responsabilidades)</w:t>
      </w:r>
    </w:p>
    <w:p w14:paraId="719246C7" w14:textId="77777777" w:rsidR="00642D63" w:rsidRDefault="00761080">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Revisión y comentarios a las memorias escritas, por parte de la entidad que tiene responsabilidades secundarias (ver tablas de responsabilidades)</w:t>
      </w:r>
    </w:p>
    <w:p w14:paraId="13B22D8B" w14:textId="77777777" w:rsidR="00642D63" w:rsidRDefault="00761080">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Envío de la gran memoria a los Notables o Verificadores internacionales y reunión de discusión con los Verificadores Internacionales</w:t>
      </w:r>
    </w:p>
    <w:p w14:paraId="3589DAAE"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4970CFF" w14:textId="77777777" w:rsidR="00127A71" w:rsidRDefault="00127A7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31DA4690" w14:textId="77777777" w:rsidR="00127A71" w:rsidRDefault="00127A7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1DD1D76F" w14:textId="77777777" w:rsidR="00642D63" w:rsidRDefault="00127A7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Estas Memorias</w:t>
      </w:r>
    </w:p>
    <w:p w14:paraId="16427DFD"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FE82363" w14:textId="7580DA18" w:rsidR="00642D63" w:rsidRDefault="00761080">
      <w:pPr>
        <w:pStyle w:val="Normal1"/>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Se presentarán una cada tres meses</w:t>
      </w:r>
    </w:p>
    <w:p w14:paraId="57A24396" w14:textId="77777777" w:rsidR="00642D63" w:rsidRDefault="00761080">
      <w:pPr>
        <w:pStyle w:val="Normal1"/>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Contendrán reportes analíticos sobre cada uno de los temas identificados al interior de los seis puntos del Acuerdo Final.</w:t>
      </w:r>
    </w:p>
    <w:p w14:paraId="0707BB4B" w14:textId="77777777" w:rsidR="00642D63" w:rsidRDefault="00761080">
      <w:pPr>
        <w:pStyle w:val="Normal1"/>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lastRenderedPageBreak/>
        <w:t xml:space="preserve">Contendrán reportes analíticos sobre el avance en la implementación de cada uno de los enfoques transversales (étnico, género y territorial) en cada punto del Acuerdo, con especial énfasis en el enfoque de género. </w:t>
      </w:r>
    </w:p>
    <w:p w14:paraId="4EA8F201" w14:textId="77777777" w:rsidR="00642D63" w:rsidRDefault="00761080">
      <w:pPr>
        <w:pStyle w:val="Normal1"/>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Estará dividida en seis memorias correspondientes a cada punto del Acuerdo y al interior de cada una de ellas se abordarán los 18 temas identificados en la metodología de Kroc, estos temas y las disposiciones que se encuentran asociados, serán priorizados de acuerdo con el contexto y las necesidades de los notables</w:t>
      </w:r>
    </w:p>
    <w:p w14:paraId="4258EE53"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68BBB77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Cada Gran Memoria tendrá un resumen ejecutivo con las principales ideas de cada una de las 18 memorias que la integran</w:t>
      </w:r>
    </w:p>
    <w:p w14:paraId="047993B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noProof/>
        </w:rPr>
        <w:drawing>
          <wp:inline distT="0" distB="0" distL="0" distR="0" wp14:anchorId="3B5B15F3" wp14:editId="3065E14C">
            <wp:extent cx="5399405" cy="3570605"/>
            <wp:effectExtent l="0" t="0" r="0" b="0"/>
            <wp:docPr id="1" name="image3.jpg" descr="https://lh5.googleusercontent.com/3SVdK4Vgm3lMl_EKgc0LjQH7UmxtaNx5nN94X9_qmkwAozDfPLoNjkOINsLi-afwKy5tnc52uGlfngXY8tVxtmw8w6yf17abp9FPscsBe1PUQOajzGMWoLUaiEyeP0rb7a51ZGlMpUzq5qqMxw"/>
            <wp:cNvGraphicFramePr/>
            <a:graphic xmlns:a="http://schemas.openxmlformats.org/drawingml/2006/main">
              <a:graphicData uri="http://schemas.openxmlformats.org/drawingml/2006/picture">
                <pic:pic xmlns:pic="http://schemas.openxmlformats.org/drawingml/2006/picture">
                  <pic:nvPicPr>
                    <pic:cNvPr id="0" name="image3.jpg" descr="https://lh5.googleusercontent.com/3SVdK4Vgm3lMl_EKgc0LjQH7UmxtaNx5nN94X9_qmkwAozDfPLoNjkOINsLi-afwKy5tnc52uGlfngXY8tVxtmw8w6yf17abp9FPscsBe1PUQOajzGMWoLUaiEyeP0rb7a51ZGlMpUzq5qqMxw"/>
                    <pic:cNvPicPr preferRelativeResize="0"/>
                  </pic:nvPicPr>
                  <pic:blipFill>
                    <a:blip r:embed="rId14"/>
                    <a:srcRect/>
                    <a:stretch>
                      <a:fillRect/>
                    </a:stretch>
                  </pic:blipFill>
                  <pic:spPr>
                    <a:xfrm>
                      <a:off x="0" y="0"/>
                      <a:ext cx="5399405" cy="3570605"/>
                    </a:xfrm>
                    <a:prstGeom prst="rect">
                      <a:avLst/>
                    </a:prstGeom>
                    <a:ln/>
                  </pic:spPr>
                </pic:pic>
              </a:graphicData>
            </a:graphic>
          </wp:inline>
        </w:drawing>
      </w:r>
    </w:p>
    <w:p w14:paraId="4723A9C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E34B472" w14:textId="6B3BBD48"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b/>
        </w:rPr>
        <w:t>Producto 1.2. Elaboración y entrega de reportes de actualización mensual</w:t>
      </w:r>
    </w:p>
    <w:p w14:paraId="06FB5701"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3456FD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Principales Actividades:</w:t>
      </w:r>
    </w:p>
    <w:p w14:paraId="49DF9671"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219B4E16" w14:textId="77777777" w:rsidR="00642D63" w:rsidRDefault="00761080">
      <w:pPr>
        <w:pStyle w:val="Normal1"/>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Recolección y procesamiento de información en las fuentes establecidas en la metodología, sobre los compromisos de los seis puntos del Acuerdo</w:t>
      </w:r>
    </w:p>
    <w:p w14:paraId="5E0F5E15" w14:textId="77777777" w:rsidR="00642D63" w:rsidRDefault="00761080">
      <w:pPr>
        <w:pStyle w:val="Normal1"/>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Escritura y edición de las memorias de cada punto del Acuerdo, por parte de la entidad que tenga responsabilidad primaria (ver tabla de responsabilidades)</w:t>
      </w:r>
    </w:p>
    <w:p w14:paraId="0E993F65" w14:textId="77777777" w:rsidR="00642D63" w:rsidRDefault="00761080">
      <w:pPr>
        <w:pStyle w:val="Normal1"/>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lastRenderedPageBreak/>
        <w:t>Revisión y comentarios a las memorias escritas, por parte de la entidad que tiene responsabilidades secundarias (ver tablas de responsabilidades)</w:t>
      </w:r>
    </w:p>
    <w:p w14:paraId="2821D185" w14:textId="77777777" w:rsidR="00642D63" w:rsidRDefault="00761080">
      <w:pPr>
        <w:pStyle w:val="Normal1"/>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Envío de la gran memoria a los Notables o Verificadores internacionales</w:t>
      </w:r>
    </w:p>
    <w:p w14:paraId="346FAE43"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3B7D1D1A"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Estas actualizaciones:</w:t>
      </w:r>
    </w:p>
    <w:p w14:paraId="49D2435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226E32BB" w14:textId="6DD96904" w:rsidR="00642D63" w:rsidRDefault="00761080">
      <w:pPr>
        <w:pStyle w:val="Normal1"/>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 xml:space="preserve">Se elaborarán de forma mensual </w:t>
      </w:r>
    </w:p>
    <w:p w14:paraId="789CE667" w14:textId="77777777" w:rsidR="00642D63" w:rsidRDefault="00761080">
      <w:pPr>
        <w:pStyle w:val="Normal1"/>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Contendrán reportes analíticos sobre cada uno de los temas identificados al interior de los seis puntos del Acuerdo Final, con nuevos avances, dificultades y actualización de la situación, teniendo en cuenta lo último que se haya incorporado en la gran memoria.</w:t>
      </w:r>
    </w:p>
    <w:p w14:paraId="363FFFA5" w14:textId="489EB404" w:rsidR="00642D63" w:rsidRDefault="00761080">
      <w:pPr>
        <w:pStyle w:val="Normal1"/>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Contendrán reportes analíticos sobre el avance en la implementación de cada uno de los enfoques transversales (étnico, género y territorial) en cada punto del Acuerdo, con especial énfasis en el enfoque de género. Contendrán nuevos avances, dificultades y actualización de la situación, teniendo en cuenta lo último que se haya incorporado en la gran memoria.</w:t>
      </w:r>
    </w:p>
    <w:p w14:paraId="503F2B1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2264FC8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b/>
        </w:rPr>
        <w:t>Producto 1.3. Elaboración y entrega de reportes de controversias identificadas en el proceso de implementación.</w:t>
      </w:r>
    </w:p>
    <w:p w14:paraId="1737B0F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4E8CADE0"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Principales Actividades:</w:t>
      </w:r>
    </w:p>
    <w:p w14:paraId="05F7426B" w14:textId="77777777" w:rsidR="00642D63" w:rsidRDefault="00761080">
      <w:pPr>
        <w:pStyle w:val="Normal1"/>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Recopilación de información en fuentes establecidas, sobre las controversias que surjan en el proceso de implementación de los compromisos de los seis puntos del Acuerdo</w:t>
      </w:r>
    </w:p>
    <w:p w14:paraId="79BBC6C1" w14:textId="77777777" w:rsidR="00642D63" w:rsidRDefault="00761080">
      <w:pPr>
        <w:pStyle w:val="Normal1"/>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Identificación de controversias a partir de la información recolectada en las fuentes establecidas</w:t>
      </w:r>
    </w:p>
    <w:p w14:paraId="33C4C9AF" w14:textId="77777777" w:rsidR="00642D63" w:rsidRDefault="00761080">
      <w:pPr>
        <w:pStyle w:val="Normal1"/>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Escritura y edición de los reportes de actualización, la entidad que tenga responsabilidad primaria escribirá y editará las controversias identificadas en los puntos del Acuerdo correspondientes (ver tabla de responsabilidades)</w:t>
      </w:r>
    </w:p>
    <w:p w14:paraId="1F7A03E3" w14:textId="77777777" w:rsidR="00642D63" w:rsidRDefault="00761080">
      <w:pPr>
        <w:pStyle w:val="Normal1"/>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Revisión y comentarios a los reportes escritos, por parte de la entidad que tiene responsabilidades secundarias (ver tablas de responsabilidades)</w:t>
      </w:r>
    </w:p>
    <w:p w14:paraId="26F3CF9E" w14:textId="77777777" w:rsidR="00642D63" w:rsidRDefault="00761080">
      <w:pPr>
        <w:pStyle w:val="Normal1"/>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Envío del reporte de controversia a los Notables o Verificadores internacionales</w:t>
      </w:r>
    </w:p>
    <w:p w14:paraId="7270A40E"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p>
    <w:p w14:paraId="6652AE1C"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highlight w:val="white"/>
        </w:rPr>
        <w:t>El número de reportes de controversias que se realizarán depende de las controversias que sean identificadas en el desarrollo del proceso de implementación.</w:t>
      </w:r>
      <w:r>
        <w:rPr>
          <w:rFonts w:ascii="Calibri" w:eastAsia="Calibri" w:hAnsi="Calibri" w:cs="Calibri"/>
        </w:rPr>
        <w:t xml:space="preserve"> Estos reportes contendrán las controversias identificadas, buenas prácticas, oportunidades de mejoramiento continuo y recomendaciones de solución. </w:t>
      </w:r>
    </w:p>
    <w:p w14:paraId="0CEE6049"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2FF08A8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b/>
        </w:rPr>
        <w:t>Producto 1.4. Preparación de pronunciamientos por los notables</w:t>
      </w:r>
    </w:p>
    <w:p w14:paraId="39FEB40F"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B4E6F9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Principales Actividades:</w:t>
      </w:r>
    </w:p>
    <w:p w14:paraId="0B1B493A" w14:textId="77777777" w:rsidR="00642D63" w:rsidRDefault="00761080">
      <w:pPr>
        <w:pStyle w:val="Normal1"/>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Discusión de los equipos de ambas organizaciones sobre el contenido de los pronunciamientos públicos</w:t>
      </w:r>
    </w:p>
    <w:p w14:paraId="30D4DC0F" w14:textId="77777777" w:rsidR="00642D63" w:rsidRDefault="00761080">
      <w:pPr>
        <w:pStyle w:val="Normal1"/>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Redacción de los pronunciamientos públicos que realizarán los Verificadores Internacionales o Notables</w:t>
      </w:r>
    </w:p>
    <w:p w14:paraId="710B08CF" w14:textId="77777777" w:rsidR="00642D63" w:rsidRDefault="00761080">
      <w:pPr>
        <w:pStyle w:val="Normal1"/>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lastRenderedPageBreak/>
        <w:t>Envío del pronunciamiento a los Notables o Verificadores internacionales y reunión de discusión con los Verificadores Internacionales</w:t>
      </w:r>
    </w:p>
    <w:p w14:paraId="4F5DD37A"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5D86C6E9"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Los pronunciamientos de los Notables(Acuerdo Final, numeral 6.3.2 a, pp. 2011 / protocolo de funcionamiento de la Secretaría Técnica del Componente Internacional de Verificación) se realizarán:</w:t>
      </w:r>
    </w:p>
    <w:p w14:paraId="1689BF73" w14:textId="77777777" w:rsidR="00642D63" w:rsidRDefault="00761080">
      <w:pPr>
        <w:pStyle w:val="Normal1"/>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 xml:space="preserve">Bimestrales </w:t>
      </w:r>
    </w:p>
    <w:p w14:paraId="3D825A59" w14:textId="77777777" w:rsidR="00642D63" w:rsidRDefault="00761080">
      <w:pPr>
        <w:pStyle w:val="Normal1"/>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 xml:space="preserve">A petición de los notables </w:t>
      </w:r>
    </w:p>
    <w:p w14:paraId="4CD0CB51"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p>
    <w:p w14:paraId="0114CB1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rPr>
      </w:pPr>
      <w:r>
        <w:rPr>
          <w:rFonts w:ascii="Calibri" w:eastAsia="Calibri" w:hAnsi="Calibri" w:cs="Calibri"/>
          <w:b/>
        </w:rPr>
        <w:t>Producto 1.5. Elaboración de reportes semestrales del estado de implementación del Enfoque de Género</w:t>
      </w:r>
    </w:p>
    <w:p w14:paraId="15C074C5"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rPr>
      </w:pPr>
    </w:p>
    <w:p w14:paraId="134C789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t>Principales Actividades:</w:t>
      </w:r>
    </w:p>
    <w:p w14:paraId="77BC1C93" w14:textId="77777777" w:rsidR="00642D63" w:rsidRDefault="00642D63">
      <w:pPr>
        <w:pStyle w:val="Normal1"/>
        <w:numPr>
          <w:ilvl w:val="0"/>
          <w:numId w:val="2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Calibri" w:eastAsia="Calibri" w:hAnsi="Calibri" w:cs="Calibri"/>
        </w:rPr>
      </w:pPr>
      <w:r>
        <w:rPr>
          <w:rFonts w:ascii="Calibri" w:eastAsia="Calibri" w:hAnsi="Calibri" w:cs="Calibri"/>
        </w:rPr>
        <w:t>Recolección de información en las fuentes establecidas en la metodología, sobre la implementación del enfoque de género</w:t>
      </w:r>
    </w:p>
    <w:p w14:paraId="06A12D6D" w14:textId="77777777" w:rsidR="00642D63" w:rsidRDefault="00642D63">
      <w:pPr>
        <w:pStyle w:val="Normal1"/>
        <w:numPr>
          <w:ilvl w:val="0"/>
          <w:numId w:val="2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Calibri" w:eastAsia="Calibri" w:hAnsi="Calibri" w:cs="Calibri"/>
        </w:rPr>
      </w:pPr>
      <w:r>
        <w:rPr>
          <w:rFonts w:ascii="Calibri" w:eastAsia="Calibri" w:hAnsi="Calibri" w:cs="Calibri"/>
        </w:rPr>
        <w:t>Procesamiento de la información recolectada en las fuentes de información.</w:t>
      </w:r>
    </w:p>
    <w:p w14:paraId="70586DC2" w14:textId="77777777" w:rsidR="00642D63" w:rsidRDefault="00642D63">
      <w:pPr>
        <w:pStyle w:val="Normal1"/>
        <w:numPr>
          <w:ilvl w:val="0"/>
          <w:numId w:val="2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Calibri" w:eastAsia="Calibri" w:hAnsi="Calibri" w:cs="Calibri"/>
        </w:rPr>
      </w:pPr>
      <w:r>
        <w:rPr>
          <w:rFonts w:ascii="Calibri" w:eastAsia="Calibri" w:hAnsi="Calibri" w:cs="Calibri"/>
        </w:rPr>
        <w:t>Discusión de los equipos de ambas organizaciones, sobre el contenido de los reportes</w:t>
      </w:r>
    </w:p>
    <w:p w14:paraId="0B77B067" w14:textId="77777777" w:rsidR="00642D63" w:rsidRDefault="00642D63">
      <w:pPr>
        <w:pStyle w:val="Normal1"/>
        <w:numPr>
          <w:ilvl w:val="0"/>
          <w:numId w:val="2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Calibri" w:eastAsia="Calibri" w:hAnsi="Calibri" w:cs="Calibri"/>
        </w:rPr>
      </w:pPr>
      <w:r>
        <w:rPr>
          <w:rFonts w:ascii="Calibri" w:eastAsia="Calibri" w:hAnsi="Calibri" w:cs="Calibri"/>
        </w:rPr>
        <w:t>Redacción de los reportes.</w:t>
      </w:r>
    </w:p>
    <w:p w14:paraId="09B71BE4" w14:textId="77777777" w:rsidR="00642D63" w:rsidRDefault="00642D63">
      <w:pPr>
        <w:pStyle w:val="Normal1"/>
        <w:numPr>
          <w:ilvl w:val="0"/>
          <w:numId w:val="2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Calibri" w:eastAsia="Calibri" w:hAnsi="Calibri" w:cs="Calibri"/>
        </w:rPr>
      </w:pPr>
      <w:r>
        <w:rPr>
          <w:rFonts w:ascii="Calibri" w:eastAsia="Calibri" w:hAnsi="Calibri" w:cs="Calibri"/>
        </w:rPr>
        <w:t>Envío de los reportes del estado de implementación del enfoque de género a los Notables o Verificadores internacionales.</w:t>
      </w:r>
    </w:p>
    <w:p w14:paraId="50B59D58" w14:textId="77777777" w:rsidR="00642D63" w:rsidRDefault="00642D63" w:rsidP="00B62C3C">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Los reportes sobre el estado de implementación del enfoque de género serán semestrales.</w:t>
      </w:r>
    </w:p>
    <w:p w14:paraId="6262168D" w14:textId="77777777" w:rsidR="00642D63" w:rsidRDefault="00761080">
      <w:pPr>
        <w:pStyle w:val="Normal1"/>
        <w:rPr>
          <w:rFonts w:ascii="Calibri" w:eastAsia="Calibri" w:hAnsi="Calibri" w:cs="Calibri"/>
        </w:rPr>
      </w:pPr>
      <w:r>
        <w:br w:type="page"/>
      </w:r>
    </w:p>
    <w:tbl>
      <w:tblPr>
        <w:tblStyle w:val="a1"/>
        <w:tblW w:w="9046" w:type="dxa"/>
        <w:tblInd w:w="0" w:type="dxa"/>
        <w:tblLayout w:type="fixed"/>
        <w:tblLook w:val="0400" w:firstRow="0" w:lastRow="0" w:firstColumn="0" w:lastColumn="0" w:noHBand="0" w:noVBand="1"/>
      </w:tblPr>
      <w:tblGrid>
        <w:gridCol w:w="1095"/>
        <w:gridCol w:w="1095"/>
        <w:gridCol w:w="3345"/>
        <w:gridCol w:w="3511"/>
      </w:tblGrid>
      <w:tr w:rsidR="00642D63" w14:paraId="5CC10324" w14:textId="77777777">
        <w:trPr>
          <w:trHeight w:val="360"/>
        </w:trPr>
        <w:tc>
          <w:tcPr>
            <w:tcW w:w="21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81A67"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b/>
                <w:sz w:val="20"/>
                <w:szCs w:val="20"/>
              </w:rPr>
              <w:lastRenderedPageBreak/>
              <w:t>Productos</w:t>
            </w:r>
          </w:p>
        </w:tc>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9D2F0"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b/>
                <w:sz w:val="20"/>
                <w:szCs w:val="20"/>
              </w:rPr>
              <w:t>Responsables primarios</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DFBC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b/>
                <w:sz w:val="20"/>
                <w:szCs w:val="20"/>
              </w:rPr>
              <w:t>Número de reportes para los 18 meses</w:t>
            </w:r>
          </w:p>
        </w:tc>
      </w:tr>
      <w:tr w:rsidR="00642D63" w14:paraId="6385C569" w14:textId="77777777">
        <w:trPr>
          <w:trHeight w:val="340"/>
        </w:trPr>
        <w:tc>
          <w:tcPr>
            <w:tcW w:w="10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273F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 xml:space="preserve">Gran memoria </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7962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Memoria Acuerdo 1</w:t>
            </w:r>
          </w:p>
        </w:tc>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95F9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Calibri" w:eastAsia="Calibri" w:hAnsi="Calibri" w:cs="Calibri"/>
                <w:sz w:val="20"/>
                <w:szCs w:val="20"/>
              </w:rPr>
              <w:t>CINEP</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6025E" w14:textId="0B6CD725"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Calibri" w:eastAsia="Calibri" w:hAnsi="Calibri" w:cs="Calibri"/>
                <w:sz w:val="20"/>
                <w:szCs w:val="20"/>
              </w:rPr>
              <w:t>6</w:t>
            </w:r>
          </w:p>
        </w:tc>
      </w:tr>
      <w:tr w:rsidR="00642D63" w14:paraId="7219C7FB" w14:textId="77777777">
        <w:trPr>
          <w:trHeight w:val="320"/>
        </w:trPr>
        <w:tc>
          <w:tcPr>
            <w:tcW w:w="10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33140"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5318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Memoria Acuerdo 2</w:t>
            </w:r>
          </w:p>
        </w:tc>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8DFC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Calibri" w:eastAsia="Calibri" w:hAnsi="Calibri" w:cs="Calibri"/>
                <w:sz w:val="20"/>
                <w:szCs w:val="20"/>
              </w:rPr>
              <w:t>CINEP</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CCA4E" w14:textId="64A421FA"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sidRPr="00B62C3C">
              <w:rPr>
                <w:rFonts w:ascii="Calibri" w:eastAsia="Calibri" w:hAnsi="Calibri" w:cs="Calibri"/>
                <w:sz w:val="20"/>
                <w:szCs w:val="20"/>
              </w:rPr>
              <w:t>6</w:t>
            </w:r>
          </w:p>
        </w:tc>
      </w:tr>
      <w:tr w:rsidR="00642D63" w14:paraId="66BEBB0E" w14:textId="77777777">
        <w:trPr>
          <w:trHeight w:val="200"/>
        </w:trPr>
        <w:tc>
          <w:tcPr>
            <w:tcW w:w="10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9EA7B"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56C1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Memoria Acuerdo 3</w:t>
            </w:r>
          </w:p>
        </w:tc>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08E69"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24"/>
                <w:szCs w:val="24"/>
              </w:rPr>
            </w:pPr>
            <w:r>
              <w:rPr>
                <w:rFonts w:ascii="Calibri" w:eastAsia="Calibri" w:hAnsi="Calibri" w:cs="Calibri"/>
                <w:sz w:val="20"/>
                <w:szCs w:val="20"/>
              </w:rPr>
              <w:t>CERAC</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44D19" w14:textId="07B867AA"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24"/>
                <w:szCs w:val="24"/>
              </w:rPr>
            </w:pPr>
            <w:r w:rsidRPr="00B62C3C">
              <w:rPr>
                <w:rFonts w:ascii="Calibri" w:eastAsia="Calibri" w:hAnsi="Calibri" w:cs="Calibri"/>
                <w:sz w:val="20"/>
                <w:szCs w:val="20"/>
              </w:rPr>
              <w:t>6</w:t>
            </w:r>
          </w:p>
        </w:tc>
      </w:tr>
      <w:tr w:rsidR="00642D63" w14:paraId="4CA7D820" w14:textId="77777777">
        <w:trPr>
          <w:trHeight w:val="260"/>
        </w:trPr>
        <w:tc>
          <w:tcPr>
            <w:tcW w:w="10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AF568"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5712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Memoria Acuerdo 4</w:t>
            </w:r>
          </w:p>
        </w:tc>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2748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Calibri" w:eastAsia="Calibri" w:hAnsi="Calibri" w:cs="Calibri"/>
                <w:sz w:val="20"/>
                <w:szCs w:val="20"/>
              </w:rPr>
              <w:t>CERAC</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D41F3" w14:textId="486D9131"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sidRPr="00B62C3C">
              <w:rPr>
                <w:rFonts w:ascii="Calibri" w:eastAsia="Calibri" w:hAnsi="Calibri" w:cs="Calibri"/>
                <w:sz w:val="20"/>
                <w:szCs w:val="20"/>
              </w:rPr>
              <w:t>6</w:t>
            </w:r>
          </w:p>
        </w:tc>
      </w:tr>
      <w:tr w:rsidR="00642D63" w14:paraId="4E8E0901" w14:textId="77777777">
        <w:trPr>
          <w:trHeight w:val="200"/>
        </w:trPr>
        <w:tc>
          <w:tcPr>
            <w:tcW w:w="10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B1D16"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7D08C"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Memoria Acuerdo 5</w:t>
            </w:r>
          </w:p>
        </w:tc>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878DA"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24"/>
                <w:szCs w:val="24"/>
              </w:rPr>
            </w:pPr>
            <w:r>
              <w:rPr>
                <w:rFonts w:ascii="Calibri" w:eastAsia="Calibri" w:hAnsi="Calibri" w:cs="Calibri"/>
                <w:sz w:val="20"/>
                <w:szCs w:val="20"/>
              </w:rPr>
              <w:t>CINEP</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135EA" w14:textId="2E67D3A0"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24"/>
                <w:szCs w:val="24"/>
              </w:rPr>
            </w:pPr>
            <w:r w:rsidRPr="00B62C3C">
              <w:rPr>
                <w:rFonts w:ascii="Calibri" w:eastAsia="Calibri" w:hAnsi="Calibri" w:cs="Calibri"/>
                <w:sz w:val="20"/>
                <w:szCs w:val="20"/>
              </w:rPr>
              <w:t>6</w:t>
            </w:r>
          </w:p>
        </w:tc>
      </w:tr>
      <w:tr w:rsidR="00642D63" w14:paraId="63EC6167" w14:textId="77777777">
        <w:trPr>
          <w:trHeight w:val="260"/>
        </w:trPr>
        <w:tc>
          <w:tcPr>
            <w:tcW w:w="10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51A4"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4D819"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Memoria Acuerdo 6</w:t>
            </w:r>
          </w:p>
        </w:tc>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2F08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Calibri" w:eastAsia="Calibri" w:hAnsi="Calibri" w:cs="Calibri"/>
                <w:sz w:val="20"/>
                <w:szCs w:val="20"/>
              </w:rPr>
              <w:t>CERAC</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33747" w14:textId="602E7E42"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sidRPr="00B62C3C">
              <w:rPr>
                <w:rFonts w:ascii="Calibri" w:eastAsia="Calibri" w:hAnsi="Calibri" w:cs="Calibri"/>
                <w:sz w:val="20"/>
                <w:szCs w:val="20"/>
              </w:rPr>
              <w:t>6</w:t>
            </w:r>
          </w:p>
        </w:tc>
      </w:tr>
      <w:tr w:rsidR="00642D63" w14:paraId="4DFD4C93" w14:textId="77777777">
        <w:trPr>
          <w:trHeight w:val="420"/>
        </w:trPr>
        <w:tc>
          <w:tcPr>
            <w:tcW w:w="21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1989C"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128A3F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Actualizaciones</w:t>
            </w:r>
          </w:p>
        </w:tc>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707FC" w14:textId="72AEA1B6"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-CINEP estará a cargo de 9 actualizaciones</w:t>
            </w:r>
          </w:p>
          <w:p w14:paraId="676A0C70" w14:textId="307EA6FF"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 xml:space="preserve">-CERAC estará a cargo de 9 actualizaciones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C0B60" w14:textId="05D9636D"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sidRPr="00B62C3C">
              <w:rPr>
                <w:rFonts w:ascii="Calibri" w:eastAsia="Calibri" w:hAnsi="Calibri" w:cs="Calibri"/>
                <w:sz w:val="20"/>
                <w:szCs w:val="20"/>
              </w:rPr>
              <w:t>18</w:t>
            </w:r>
            <w:r w:rsidR="00761080">
              <w:rPr>
                <w:rFonts w:ascii="Calibri" w:eastAsia="Calibri" w:hAnsi="Calibri" w:cs="Calibri"/>
                <w:sz w:val="20"/>
                <w:szCs w:val="20"/>
              </w:rPr>
              <w:t xml:space="preserve"> actualizaciones de la Gran Memoria </w:t>
            </w:r>
          </w:p>
        </w:tc>
      </w:tr>
      <w:tr w:rsidR="00642D63" w14:paraId="086D67FD" w14:textId="77777777">
        <w:trPr>
          <w:trHeight w:val="420"/>
        </w:trPr>
        <w:tc>
          <w:tcPr>
            <w:tcW w:w="21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F700F"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132A9BF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Reportes de Controversia</w:t>
            </w:r>
          </w:p>
        </w:tc>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DDBC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 xml:space="preserve">-CINEP estará a cargo de los reportes de controversia que correspondan a los puntos del Acuerdo en que tengan responsabilidad primaria. </w:t>
            </w:r>
          </w:p>
          <w:p w14:paraId="7CD5FA1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 xml:space="preserve">-CERAC estará a cargo de los reportes de controversia que correspondan a los puntos del Acuerdo en que tengan responsabilidad primaria.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96F5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highlight w:val="white"/>
              </w:rPr>
              <w:t>El número de reportes de controversias que se realizarán depende de las controversias que sean identificadas en el desarrollo del proceso de implementación</w:t>
            </w:r>
          </w:p>
          <w:p w14:paraId="11626FF3"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tc>
      </w:tr>
      <w:tr w:rsidR="00642D63" w14:paraId="09EEC8C4" w14:textId="77777777">
        <w:trPr>
          <w:trHeight w:val="420"/>
        </w:trPr>
        <w:tc>
          <w:tcPr>
            <w:tcW w:w="21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B1CEA"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3ED12C3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 xml:space="preserve">Pronunciamientos </w:t>
            </w:r>
          </w:p>
        </w:tc>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98FA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 xml:space="preserve">-CINEP estará a cargo de 5 pronunciamientos. </w:t>
            </w:r>
          </w:p>
          <w:p w14:paraId="1328951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-CERAC estará a cargo de 4 pronunciamientos</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C7FC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Calibri" w:eastAsia="Calibri" w:hAnsi="Calibri" w:cs="Calibri"/>
                <w:sz w:val="20"/>
                <w:szCs w:val="20"/>
              </w:rPr>
              <w:t>9 (más los que pidan los verificadores internacionales)</w:t>
            </w:r>
          </w:p>
        </w:tc>
      </w:tr>
      <w:tr w:rsidR="00642D63" w14:paraId="437A9517" w14:textId="77777777">
        <w:trPr>
          <w:trHeight w:val="420"/>
        </w:trPr>
        <w:tc>
          <w:tcPr>
            <w:tcW w:w="21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8C805" w14:textId="77777777" w:rsidR="00642D63" w:rsidRPr="00B62C3C" w:rsidRDefault="00642D63">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360" w:after="80" w:line="240" w:lineRule="auto"/>
              <w:rPr>
                <w:rFonts w:ascii="Calibri" w:eastAsia="Calibri" w:hAnsi="Calibri" w:cs="Calibri"/>
              </w:rPr>
            </w:pPr>
            <w:r w:rsidRPr="00B62C3C">
              <w:rPr>
                <w:rFonts w:ascii="Calibri" w:eastAsia="Calibri" w:hAnsi="Calibri" w:cs="Calibri"/>
              </w:rPr>
              <w:lastRenderedPageBreak/>
              <w:t>Reportes sobre el estado de implementación del enfoque de género.</w:t>
            </w:r>
          </w:p>
        </w:tc>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E1FDE" w14:textId="77777777" w:rsidR="00642D63" w:rsidRPr="00B62C3C" w:rsidRDefault="00642D63">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360" w:after="80" w:line="240" w:lineRule="auto"/>
              <w:rPr>
                <w:rFonts w:ascii="Calibri" w:eastAsia="Calibri" w:hAnsi="Calibri" w:cs="Calibri"/>
                <w:sz w:val="20"/>
                <w:szCs w:val="20"/>
              </w:rPr>
            </w:pPr>
            <w:r w:rsidRPr="00B62C3C">
              <w:rPr>
                <w:rFonts w:ascii="Calibri" w:eastAsia="Calibri" w:hAnsi="Calibri" w:cs="Calibri"/>
                <w:sz w:val="20"/>
                <w:szCs w:val="20"/>
              </w:rPr>
              <w:t>CINEP y CERAC estarán a cargo de los reportes sobre el estado de implementación del enfoque de género.</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93607" w14:textId="77777777" w:rsidR="00642D63" w:rsidRPr="00B62C3C" w:rsidRDefault="00642D63">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360" w:after="80" w:line="240" w:lineRule="auto"/>
              <w:jc w:val="center"/>
              <w:rPr>
                <w:rFonts w:ascii="Calibri" w:eastAsia="Calibri" w:hAnsi="Calibri" w:cs="Calibri"/>
                <w:sz w:val="20"/>
                <w:szCs w:val="20"/>
              </w:rPr>
            </w:pPr>
            <w:r w:rsidRPr="00B62C3C">
              <w:rPr>
                <w:rFonts w:ascii="Calibri" w:eastAsia="Calibri" w:hAnsi="Calibri" w:cs="Calibri"/>
                <w:sz w:val="20"/>
                <w:szCs w:val="20"/>
              </w:rPr>
              <w:t>3</w:t>
            </w:r>
          </w:p>
        </w:tc>
      </w:tr>
    </w:tbl>
    <w:p w14:paraId="50B6786F"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3371571"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sidRPr="00B62C3C">
        <w:rPr>
          <w:rFonts w:ascii="Calibri" w:eastAsia="Calibri" w:hAnsi="Calibri" w:cs="Calibri"/>
        </w:rPr>
        <w:t>Para el desarrollo de las actividades contempladas en el proyecto se desarrollarán labores de mitigación del impacto ambiental, a través de prácticas de consumo de energía reducido y de promoción del reciclaje.</w:t>
      </w:r>
    </w:p>
    <w:p w14:paraId="733E3EBA" w14:textId="77777777" w:rsidR="00642D63" w:rsidRPr="00B62C3C"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p>
    <w:p w14:paraId="35F96BF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b/>
        </w:rPr>
        <w:t>Metodología de trabajo:</w:t>
      </w:r>
    </w:p>
    <w:p w14:paraId="3CB0DAF2"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67CC506D" w14:textId="3289ADAB"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La Secretaría Técnica tendrá un </w:t>
      </w:r>
      <w:r>
        <w:rPr>
          <w:rFonts w:ascii="Calibri" w:eastAsia="Calibri" w:hAnsi="Calibri" w:cs="Calibri"/>
          <w:b/>
        </w:rPr>
        <w:t xml:space="preserve">enfoque metodológico </w:t>
      </w:r>
      <w:r>
        <w:rPr>
          <w:rFonts w:ascii="Calibri" w:eastAsia="Calibri" w:hAnsi="Calibri" w:cs="Calibri"/>
        </w:rPr>
        <w:t xml:space="preserve">construido sobre la experiencia que cuentan las dos organizaciones en monitoreo y análisis de conflictos y la implementación de políticas y programas para la construcción de paz. Esta metodología estará diseñada para alcanzar el mayor grado de cumplimiento de los acuerdos, como lo requiere el Acuerdo Final en términos de la provisión de garantías para su implementación, además de atender a los criterios de priorización, secuencia, impacto y verificación requeridos por los Verificadores Internacionales y el Acuerdo Final y sus protocolos. La metodología para realizar el análisis del cumplimiento verificado de lo acordado y la identificación de controversias y propuestas de solución, será diseñada respetando los criterios orientadores del mecanismo de verificación establecidos en el Acuerdo Final en términos de la </w:t>
      </w:r>
      <w:r>
        <w:rPr>
          <w:rFonts w:ascii="Calibri" w:eastAsia="Calibri" w:hAnsi="Calibri" w:cs="Calibri"/>
          <w:b/>
        </w:rPr>
        <w:t>naturaleza técnica, independiente y objetiva</w:t>
      </w:r>
      <w:r>
        <w:rPr>
          <w:rFonts w:ascii="Calibri" w:eastAsia="Calibri" w:hAnsi="Calibri" w:cs="Calibri"/>
        </w:rPr>
        <w:t xml:space="preserve"> que tendrá la Secretaría(Acuerdo Final, numeral 6.3.2, pp.211 /Protocolo de funcionamiento de la Secretaría Técnica del Componente Internacional de Verificación, pp. 1). Igualmente, la metodología </w:t>
      </w:r>
      <w:r>
        <w:rPr>
          <w:rFonts w:ascii="Calibri" w:eastAsia="Calibri" w:hAnsi="Calibri" w:cs="Calibri"/>
          <w:b/>
        </w:rPr>
        <w:t>integra los cinco enfoques transversales</w:t>
      </w:r>
      <w:r>
        <w:rPr>
          <w:rFonts w:ascii="Calibri" w:eastAsia="Calibri" w:hAnsi="Calibri" w:cs="Calibri"/>
        </w:rPr>
        <w:t xml:space="preserve"> incluidos en los compromisos del Acuerdo Final, </w:t>
      </w:r>
      <w:r>
        <w:rPr>
          <w:rFonts w:ascii="Calibri" w:eastAsia="Calibri" w:hAnsi="Calibri" w:cs="Calibri"/>
          <w:b/>
        </w:rPr>
        <w:t>prestando especial atención al enfoque étnico, territorial y de género</w:t>
      </w:r>
      <w:r>
        <w:rPr>
          <w:rFonts w:ascii="Calibri" w:eastAsia="Calibri" w:hAnsi="Calibri" w:cs="Calibri"/>
        </w:rPr>
        <w:t>. Para este último, la metodología que ha desarrollado la Secretaría Técnica se integrará a los esfuerzos de seguimiento al cumplimiento de los acuerdos que con una perspectiva específica de enfoque de género han venido realizando por organizaciones como ONU mujeres, SISMA Mujer, y</w:t>
      </w:r>
    </w:p>
    <w:p w14:paraId="24364FA0"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5299616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También, debe tenerse en cuenta que el Acuerdo Final contempla una serie de indicadores de impacto "que permitan identificar el avance de la implementación que tengan en cuenta las particularidades de las mujeres" (Acuerdo Final, Punto 6, pp.197), de tal forma que la Secretaría Técnica hará especial énfasis en esta batería de indicadores.  </w:t>
      </w:r>
    </w:p>
    <w:p w14:paraId="613B6431"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3E7FA496" w14:textId="66D83C8E"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Los </w:t>
      </w:r>
      <w:r>
        <w:rPr>
          <w:rFonts w:ascii="Calibri" w:eastAsia="Calibri" w:hAnsi="Calibri" w:cs="Calibri"/>
          <w:b/>
        </w:rPr>
        <w:t xml:space="preserve">productos </w:t>
      </w:r>
      <w:r>
        <w:rPr>
          <w:rFonts w:ascii="Calibri" w:eastAsia="Calibri" w:hAnsi="Calibri" w:cs="Calibri"/>
        </w:rPr>
        <w:t>que entregará la Secretaría Técnica, no sólo responden a la labor encomendada en el Acuerdo frente a las partes y los Verificadores Internacionales, sino que estarán diseñados para contribuir a cumplir con unos de los efectos esperados del fondo, ya que dichos productos permitirán brindar información que comunique “de forma eficaz y transparente los acuerdos del fin del conflicto, los avances en su implementación, las dinámicas de construcción de paz y las situaciones de los territorios, reduciendo así el impacto de mensajes interesados y/o desestabilizadores y fomentando una cultura de paz y reconciliación” (efecto 8 del Fondo Multidonante de las Naciones Unidas para el Posconflicto). Finalmente,</w:t>
      </w:r>
      <w:r w:rsidR="00642D63">
        <w:rPr>
          <w:rFonts w:ascii="Calibri" w:eastAsia="Calibri" w:hAnsi="Calibri" w:cs="Calibri"/>
        </w:rPr>
        <w:t xml:space="preserve"> </w:t>
      </w:r>
      <w:r w:rsidR="00642D63">
        <w:rPr>
          <w:rFonts w:ascii="Calibri" w:eastAsia="Calibri" w:hAnsi="Calibri" w:cs="Calibri"/>
        </w:rPr>
        <w:lastRenderedPageBreak/>
        <w:t xml:space="preserve">Secretaría Técnica seguirá todas las prácticas a su alcance para la mitigación del impacto ambiental de sus actividades, a través de prácticas de reducción de consumo de energía, de reuso y de promoción del reciclaje, muchas de las cuales ya desarrollan las organizaciones que hacen parte de la Secretaría Técnica. Por último, se señala que en caso de realizar desplazamientos, se garantizará la eficiencia de éstos para disminuir la huella de carbono. </w:t>
      </w:r>
    </w:p>
    <w:p w14:paraId="41D9E0D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5E93637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b/>
        </w:rPr>
        <w:t>División de responsabilidades:</w:t>
      </w:r>
    </w:p>
    <w:p w14:paraId="575C5B8B"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D30D8F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Para la elaboración de los productos, CERAC y CINEP acordaron una distribución de las áreas temáticas identificadas anteriormente que representan áreas de especialización. De acuerdo con estas áreas se asignó la entidad que será la responsable primaria y la que tendrá responsabilidades secundarias en la elaboración de los productos. Esto con el propósito de garantizar una relación que permita el trabajo de ambas entidades en todas las áreas temáticas y una elaboración en conjunto de los productos, a pesar de que cada una tenga un nivel de responsabilidad diferente.</w:t>
      </w:r>
    </w:p>
    <w:p w14:paraId="26010E32"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118A550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La entidad que esté asignada como la responsable primaria estará encargada de liderar los procesos de recopilación, procesamiento, discusión, análisis y escritura para la elaboración de las memorias y las actualizaciones. La entidad que tenga responsabilidades secundarias deberá brindar apoyo para todas estas actividades, participará activamente en las discusiones y será responsable de comentar y revisar los productos. El responsable primario en cada área temática, será el encargado de liderar la verificación de la implementación de los </w:t>
      </w:r>
      <w:r>
        <w:rPr>
          <w:rFonts w:ascii="Calibri" w:eastAsia="Calibri" w:hAnsi="Calibri" w:cs="Calibri"/>
          <w:b/>
        </w:rPr>
        <w:t>enfoques transversales</w:t>
      </w:r>
      <w:r>
        <w:rPr>
          <w:rFonts w:ascii="Calibri" w:eastAsia="Calibri" w:hAnsi="Calibri" w:cs="Calibri"/>
        </w:rPr>
        <w:t xml:space="preserve"> y la realización del reporte analítico al respecto. </w:t>
      </w:r>
    </w:p>
    <w:p w14:paraId="02EDB91B"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4E2EB1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La siguiente tabla muestra la distribución de las áreas temáticas y la responsabilidad de cada entidad:</w:t>
      </w:r>
    </w:p>
    <w:p w14:paraId="4060D61A"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tbl>
      <w:tblPr>
        <w:tblStyle w:val="a2"/>
        <w:tblW w:w="9038" w:type="dxa"/>
        <w:tblInd w:w="0" w:type="dxa"/>
        <w:tblLayout w:type="fixed"/>
        <w:tblLook w:val="0400" w:firstRow="0" w:lastRow="0" w:firstColumn="0" w:lastColumn="0" w:noHBand="0" w:noVBand="1"/>
      </w:tblPr>
      <w:tblGrid>
        <w:gridCol w:w="4950"/>
        <w:gridCol w:w="2044"/>
        <w:gridCol w:w="2044"/>
      </w:tblGrid>
      <w:tr w:rsidR="00642D63" w14:paraId="72B09F57" w14:textId="77777777">
        <w:trPr>
          <w:trHeight w:val="320"/>
        </w:trPr>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275A4"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tc>
        <w:tc>
          <w:tcPr>
            <w:tcW w:w="40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7F86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b/>
                <w:sz w:val="20"/>
                <w:szCs w:val="20"/>
              </w:rPr>
              <w:t>Nivel de responsabilidad por entidad</w:t>
            </w:r>
          </w:p>
        </w:tc>
      </w:tr>
      <w:tr w:rsidR="00642D63" w14:paraId="7514B845" w14:textId="77777777">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DC157"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b/>
                <w:sz w:val="20"/>
                <w:szCs w:val="20"/>
              </w:rPr>
              <w:t>Áreas temáticas</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F26C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b/>
                <w:sz w:val="20"/>
                <w:szCs w:val="20"/>
              </w:rPr>
              <w:t>CINEP</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0A4F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b/>
                <w:sz w:val="20"/>
                <w:szCs w:val="20"/>
              </w:rPr>
              <w:t>CERAC</w:t>
            </w:r>
          </w:p>
        </w:tc>
      </w:tr>
      <w:tr w:rsidR="00642D63" w14:paraId="694DAF41" w14:textId="77777777">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E1F89"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Hacia un nuevo campo colombiano: Reforma Rural Integral</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C96F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Responsable primario</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9DE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Responsable secundario</w:t>
            </w:r>
          </w:p>
        </w:tc>
      </w:tr>
      <w:tr w:rsidR="00642D63" w14:paraId="77158FA5" w14:textId="77777777">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94DD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Participación política: apertura democrática para construir la paz</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B38C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Responsable primario</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DC25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Responsable secundario</w:t>
            </w:r>
          </w:p>
        </w:tc>
      </w:tr>
      <w:tr w:rsidR="00642D63" w14:paraId="61921FFE" w14:textId="77777777">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4997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Fin del conflicto</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F382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Responsable secundario</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906A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Responsable primario</w:t>
            </w:r>
          </w:p>
        </w:tc>
      </w:tr>
      <w:tr w:rsidR="00642D63" w14:paraId="671625AA" w14:textId="77777777">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24ADC"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Solución al problema de las drogas ilícitas</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EAFD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Responsable secundario</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D983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Responsable primario</w:t>
            </w:r>
          </w:p>
        </w:tc>
      </w:tr>
      <w:tr w:rsidR="00642D63" w14:paraId="5438FE41" w14:textId="77777777">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FCBD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Víctimas (derechos de las víctimas)</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CC6B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Responsable primario</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FFD6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Responsable secundario</w:t>
            </w:r>
          </w:p>
        </w:tc>
      </w:tr>
      <w:tr w:rsidR="00642D63" w14:paraId="07770A80" w14:textId="77777777">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EF967"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lastRenderedPageBreak/>
              <w:t>Implementación, verificación y refrendación</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2AC9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Responsable secundario</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35A2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Calibri" w:eastAsia="Calibri" w:hAnsi="Calibri" w:cs="Calibri"/>
                <w:sz w:val="20"/>
                <w:szCs w:val="20"/>
              </w:rPr>
              <w:t>Responsable primario</w:t>
            </w:r>
          </w:p>
        </w:tc>
      </w:tr>
    </w:tbl>
    <w:p w14:paraId="7CDA9308"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6847A57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Para la elaboración de los pronunciamientos y reportes de controversia la responsabilidad será compartida entre las entidades, respetando los protocolos establecidos para el relacionamiento interno de la Secretaría Técnica.</w:t>
      </w:r>
    </w:p>
    <w:p w14:paraId="1FA4E243"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1388F81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noProof/>
        </w:rPr>
        <w:drawing>
          <wp:inline distT="0" distB="0" distL="0" distR="0" wp14:anchorId="4F80E82A" wp14:editId="1F577F02">
            <wp:extent cx="4731385" cy="3338195"/>
            <wp:effectExtent l="0" t="0" r="0" b="0"/>
            <wp:docPr id="3" name="image6.png" descr="https://lh6.googleusercontent.com/yhtP7r6lPzZK3waK6yGbdNH_3ORSCSuFUbTuX_jTlDQnAiJcLAKyK_iVREw_SfYq8X1FBHSEgrDjoXHi-Hg4p0mFL4Kk1o-oloFAvTz4XEmeAOJEuFR4rAmWqf0WkLebJV3dL2LsKSpXRQGytA"/>
            <wp:cNvGraphicFramePr/>
            <a:graphic xmlns:a="http://schemas.openxmlformats.org/drawingml/2006/main">
              <a:graphicData uri="http://schemas.openxmlformats.org/drawingml/2006/picture">
                <pic:pic xmlns:pic="http://schemas.openxmlformats.org/drawingml/2006/picture">
                  <pic:nvPicPr>
                    <pic:cNvPr id="0" name="image6.png" descr="https://lh6.googleusercontent.com/yhtP7r6lPzZK3waK6yGbdNH_3ORSCSuFUbTuX_jTlDQnAiJcLAKyK_iVREw_SfYq8X1FBHSEgrDjoXHi-Hg4p0mFL4Kk1o-oloFAvTz4XEmeAOJEuFR4rAmWqf0WkLebJV3dL2LsKSpXRQGytA"/>
                    <pic:cNvPicPr preferRelativeResize="0"/>
                  </pic:nvPicPr>
                  <pic:blipFill>
                    <a:blip r:embed="rId15"/>
                    <a:srcRect/>
                    <a:stretch>
                      <a:fillRect/>
                    </a:stretch>
                  </pic:blipFill>
                  <pic:spPr>
                    <a:xfrm>
                      <a:off x="0" y="0"/>
                      <a:ext cx="4731385" cy="3338195"/>
                    </a:xfrm>
                    <a:prstGeom prst="rect">
                      <a:avLst/>
                    </a:prstGeom>
                    <a:ln/>
                  </pic:spPr>
                </pic:pic>
              </a:graphicData>
            </a:graphic>
          </wp:inline>
        </w:drawing>
      </w:r>
    </w:p>
    <w:p w14:paraId="08A326DD"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61693D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rPr>
      </w:pPr>
      <w:r>
        <w:rPr>
          <w:rFonts w:ascii="Calibri" w:eastAsia="Calibri" w:hAnsi="Calibri" w:cs="Calibri"/>
        </w:rPr>
        <w:t xml:space="preserve">La descripción de las actividades, resultados y productos correspondientes se detallan en el Anexo 1: </w:t>
      </w:r>
      <w:r>
        <w:rPr>
          <w:rFonts w:ascii="Calibri" w:eastAsia="Calibri" w:hAnsi="Calibri" w:cs="Calibri"/>
          <w:b/>
        </w:rPr>
        <w:t xml:space="preserve">Cuadro 1, Marco de resultados. </w:t>
      </w:r>
    </w:p>
    <w:p w14:paraId="5B32C213"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454C2F70"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16C4C20B" w14:textId="77777777" w:rsidR="00642D63" w:rsidRDefault="00761080">
      <w:pPr>
        <w:pStyle w:val="Normal1"/>
        <w:numPr>
          <w:ilvl w:val="0"/>
          <w:numId w:val="2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rPr>
      </w:pPr>
      <w:r>
        <w:rPr>
          <w:rFonts w:ascii="Calibri" w:eastAsia="Calibri" w:hAnsi="Calibri" w:cs="Calibri"/>
          <w:b/>
        </w:rPr>
        <w:t>Análisis de riesgos</w:t>
      </w:r>
    </w:p>
    <w:p w14:paraId="1554D81F"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2F3D29C"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Este proyecto no supone una reducción de capacidades para enfrentar el riesgo, como tampoco genera nuevas amenazas o un agravamiento de amenazas existentes para las dos entidades que componen la Secretaría Técnica, por lo tanto, estimamos que </w:t>
      </w:r>
      <w:r>
        <w:rPr>
          <w:rFonts w:ascii="Calibri" w:eastAsia="Calibri" w:hAnsi="Calibri" w:cs="Calibri"/>
          <w:b/>
        </w:rPr>
        <w:t>no genera nuevos riesgos ni un aumento de riesgos existentes</w:t>
      </w:r>
      <w:r>
        <w:rPr>
          <w:rFonts w:ascii="Calibri" w:eastAsia="Calibri" w:hAnsi="Calibri" w:cs="Calibri"/>
        </w:rPr>
        <w:t>.</w:t>
      </w:r>
    </w:p>
    <w:p w14:paraId="0EE3911A"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4B42519C"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A nivel institucional tampoco genera nuevos riesgos o un aumento del riesgo existente para las personas, comunidades organizaciones o instituciones, con las que la Secretaría Técnica tendrá contacto en el marco </w:t>
      </w:r>
      <w:r>
        <w:rPr>
          <w:rFonts w:ascii="Calibri" w:eastAsia="Calibri" w:hAnsi="Calibri" w:cs="Calibri"/>
        </w:rPr>
        <w:lastRenderedPageBreak/>
        <w:t>del desarrollo de sus funciones. La Secretaría Técnica contará con prácticas de reducción de consumo energético, así como de reciclaje, mitigando el impacto ambiental en el desarrollo de sus funciones.</w:t>
      </w:r>
    </w:p>
    <w:p w14:paraId="4A41AC3B"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5479361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En términos de riesgo existente, tanto CERAC como CINEP están sujetos a riesgos de robo de información, riesgos informáticos e infidelidad de sus trabajadores en el uso de sus recursos.  Tanto CINEP como CERAC cuentan con medios para reducir la materialización de estos riesgos, como para mitigar el impacto de tales siniestros.</w:t>
      </w:r>
    </w:p>
    <w:p w14:paraId="491DD8D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191495F0"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Ambas organizaciones cuentan con medios físicos e informáticos de neutralización del riesgo de seguridad asociado a sus instalaciones físicas como frente a sus depósitos de información. Igualmente cuentan con procedimientos establecidos para la protección de su información, para la guarda de información con restricciones de difusión o reservada, para el rechazo de intentos de robos de información y penetración de sus sistemas informáticos y completos protocolos de seguridad para adelantar trabajo de campo e investigación cualitativa.</w:t>
      </w:r>
    </w:p>
    <w:p w14:paraId="45C8C5E5"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425CB46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Desde 2006 CERAC no ha registrado ningún incidente relacionado con robo de información, cuando tales protocolos fueron puestos en práctica. En 2005 CERAC registró un incidente de robo de información sensible; en esa ocasión las medidas de protección de identidad establecidas en los protocolos de investigación permitieron proteger la identidad y neutralizar el riesgo para las personas involucradas, tanto en CERAC como externas a CERAC. Estos protocolos y medidas cuentan con actualización continua y por lo menos una vez al año se realiza una completa evaluación de seguridad.  Sólo en una ocasión CERAC ha registrado una amenaza grave para uno de sus investigadores en el pasado. En esa ocasión las autoridades de policía y judiciales no actuaron, pero la amenaza fue neutralizada sobre la base de acciones puestas en práctica por la institución y no se volvieron a presentar. Ante dos amenazas genéricas hechas a través de los medios de comunicación, CERAC ha actuado buscando la protección de sus investigadores e instalaciones por las autoridades, casos en los que sí se ha contado con la protección de las autoridades. Finalmente, en múltiples ocasiones se han registrado amenazas a través de las redes sociales, las cuales se han tramitado mediante los procedimientos establecidos por los proveedores de tales servicios y las autoridades, con respuesta de neutralización del riesgo satisfactoria en todos los casos.</w:t>
      </w:r>
    </w:p>
    <w:p w14:paraId="79811DC4"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695FE64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 xml:space="preserve">El CINEP en repetidas ocasiones ha recibido amenazas dirigidas a sus investigadores. Este año un investigador del Banco de Datos del CINEP (radicado en Barranquilla), recibió una amenaza de muerte la cual no se materializó. No obstante, sufrió una agresión por parte de sujetos con armas de fuego los cuales se llevaron  su computador y grabadora con entrevistas de víctimas, llaves de la oficina y una publicación sobre víctimas de la región (Atlántico) y otros objetos personales, el material sustraído y el modo de interceptación, intimidación y requisa, lo valoramos como una agresión relacionada con su trabajo. Una medida de mitigación con la que cuenta el CINEP es con un fondo de protección que permite brindar una atención primaria a personas que se encuentran amenazadas, como lo fue para el caso de nuestro investigador. Por otro lado, el pasado 03 mayo en el lanzamiento de la revista Noche y Niebla elaborada por el Banco de Datos del CINEP, se presentó el robo de un computador institucional, este incidente para el Banco de Datos es clasificado como un ataque a defensores de derechos humanos. Sin embargo, el sistema de protección de información del CINEP impide tener acceso a información institucional fuera de </w:t>
      </w:r>
      <w:r>
        <w:rPr>
          <w:rFonts w:ascii="Calibri" w:eastAsia="Calibri" w:hAnsi="Calibri" w:cs="Calibri"/>
        </w:rPr>
        <w:lastRenderedPageBreak/>
        <w:t>nuestras instalaciones. Lo anterior, nos ha permitido fortalecer nuestros protocolos de seguridad, protección de información y uso de datos. Recibimos asesoría y capacitación de protocolos de seguridad para todo el personal del CINEP.</w:t>
      </w:r>
    </w:p>
    <w:p w14:paraId="1F13332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3E9E197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Ambas organizaciones mantienen las mejores prácticas para el manejo de recursos financieros, para el control del gasto y para el registro contable de manera que se neutralicen los riesgos de malversación o infidelidad de sus administradores. Nunca CERAC ha encontrado en ocasión alguna malversación del gasto o infidelidad de sus administradores. Además, CERAC cuenta con una póliza de seguro de todo riesgo y con un sistema de seguridad ocupacional funcional y certificado por la Administradora del Riesgo Profesional, según la normatividad vigente en Colombia.</w:t>
      </w:r>
    </w:p>
    <w:p w14:paraId="5243A9D8"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8D7A57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El CINEP cuenta con manuales de procedimientos financieros y un software que facilitan el control de gastos. El CINEP cuenta con un sistema de gestión de calidad Certificado por ICONTEC ISO 9001 del 2008, es el instrumento de medición que permite medir la eficacia y eficiencia de los procesos y en general del SGC de la organización con el propósito de mejorar continuamente y lograr la satisfacción de donantes y/o clientes</w:t>
      </w:r>
      <w:r>
        <w:rPr>
          <w:color w:val="FF0000"/>
          <w:sz w:val="19"/>
          <w:szCs w:val="19"/>
          <w:highlight w:val="white"/>
        </w:rPr>
        <w:t>.</w:t>
      </w:r>
    </w:p>
    <w:p w14:paraId="53F40346"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532E78FC" w14:textId="77777777" w:rsidR="00642D63" w:rsidRDefault="00761080">
      <w:pPr>
        <w:pStyle w:val="Normal1"/>
        <w:numPr>
          <w:ilvl w:val="0"/>
          <w:numId w:val="26"/>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rPr>
      </w:pPr>
      <w:r>
        <w:rPr>
          <w:rFonts w:ascii="Calibri" w:eastAsia="Calibri" w:hAnsi="Calibri" w:cs="Calibri"/>
          <w:b/>
        </w:rPr>
        <w:t xml:space="preserve">Plan de trabajo y presupuesto </w:t>
      </w:r>
      <w:r>
        <w:rPr>
          <w:rFonts w:ascii="Calibri" w:eastAsia="Calibri" w:hAnsi="Calibri" w:cs="Calibri"/>
          <w:i/>
          <w:highlight w:val="lightGray"/>
        </w:rPr>
        <w:t>Ver Anexo 2 “Plan de trabajo y presupuesto del programa”.</w:t>
      </w:r>
    </w:p>
    <w:p w14:paraId="38E42C3F"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2482386B" w14:textId="77777777" w:rsidR="00642D63" w:rsidRDefault="00761080">
      <w:pPr>
        <w:pStyle w:val="Normal1"/>
        <w:numPr>
          <w:ilvl w:val="0"/>
          <w:numId w:val="2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rPr>
      </w:pPr>
      <w:r>
        <w:rPr>
          <w:rFonts w:ascii="Calibri" w:eastAsia="Calibri" w:hAnsi="Calibri" w:cs="Calibri"/>
          <w:b/>
        </w:rPr>
        <w:t>Calendario y forma de pago</w:t>
      </w:r>
    </w:p>
    <w:p w14:paraId="32BB17F2"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4E9265CC"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Calibri" w:eastAsia="Calibri" w:hAnsi="Calibri" w:cs="Calibri"/>
        </w:rPr>
        <w:t>CINEP y CERAC proponen que el pago se realice en tres desembolsos, correspondientes al 40%, 30% y 30% del monto total del proyecto a ejecutar por cada organización, siendo el primero de tales desembolsos una vez se hayan perfeccionado los contratos, el segundo 11 meses después, y el tercero y último, 15 meses después de la firma.</w:t>
      </w:r>
    </w:p>
    <w:p w14:paraId="61581681" w14:textId="77777777" w:rsidR="00642D63" w:rsidRDefault="00642D63">
      <w:pPr>
        <w:pStyle w:val="Normal1"/>
        <w:jc w:val="both"/>
        <w:rPr>
          <w:rFonts w:ascii="Calibri" w:eastAsia="Calibri" w:hAnsi="Calibri" w:cs="Calibri"/>
        </w:rPr>
      </w:pPr>
    </w:p>
    <w:p w14:paraId="0B643313" w14:textId="77777777" w:rsidR="00642D63" w:rsidRDefault="00761080">
      <w:pPr>
        <w:pStyle w:val="Normal1"/>
        <w:numPr>
          <w:ilvl w:val="0"/>
          <w:numId w:val="10"/>
        </w:numPr>
        <w:contextualSpacing/>
        <w:jc w:val="both"/>
        <w:rPr>
          <w:rFonts w:ascii="Calibri" w:eastAsia="Calibri" w:hAnsi="Calibri" w:cs="Calibri"/>
          <w:b/>
        </w:rPr>
      </w:pPr>
      <w:r>
        <w:rPr>
          <w:rFonts w:ascii="Calibri" w:eastAsia="Calibri" w:hAnsi="Calibri" w:cs="Calibri"/>
          <w:b/>
        </w:rPr>
        <w:t>Enfoques transversales diferenciados</w:t>
      </w:r>
    </w:p>
    <w:p w14:paraId="1E081C12" w14:textId="77777777" w:rsidR="00642D63" w:rsidRDefault="00642D63">
      <w:pPr>
        <w:pStyle w:val="Normal1"/>
        <w:jc w:val="both"/>
        <w:rPr>
          <w:rFonts w:ascii="Calibri" w:eastAsia="Calibri" w:hAnsi="Calibri" w:cs="Calibri"/>
          <w:i/>
        </w:rPr>
      </w:pPr>
    </w:p>
    <w:p w14:paraId="3829B2E9" w14:textId="77777777" w:rsidR="00642D63" w:rsidRDefault="00761080">
      <w:pPr>
        <w:pStyle w:val="Normal1"/>
        <w:widowControl w:val="0"/>
        <w:tabs>
          <w:tab w:val="center" w:pos="4252"/>
          <w:tab w:val="right" w:pos="8504"/>
        </w:tabs>
        <w:jc w:val="both"/>
        <w:rPr>
          <w:rFonts w:ascii="Calibri" w:eastAsia="Calibri" w:hAnsi="Calibri" w:cs="Calibri"/>
        </w:rPr>
      </w:pPr>
      <w:r>
        <w:rPr>
          <w:rFonts w:ascii="Calibri" w:eastAsia="Calibri" w:hAnsi="Calibri" w:cs="Calibri"/>
        </w:rPr>
        <w:t>El Acuerdo Final tiene cinco enfoques transversales que serán referente permanente para los propósitos de la verificación internacional y en particular para las tareas de seguimiento y verificación de la implementación de la Secretaría Técnica:</w:t>
      </w:r>
    </w:p>
    <w:p w14:paraId="32C15C5A" w14:textId="77777777" w:rsidR="00642D63" w:rsidRDefault="00642D63">
      <w:pPr>
        <w:pStyle w:val="Normal1"/>
        <w:widowControl w:val="0"/>
        <w:tabs>
          <w:tab w:val="center" w:pos="4252"/>
          <w:tab w:val="right" w:pos="8504"/>
        </w:tabs>
        <w:jc w:val="both"/>
        <w:rPr>
          <w:rFonts w:ascii="Calibri" w:eastAsia="Calibri" w:hAnsi="Calibri" w:cs="Calibri"/>
        </w:rPr>
      </w:pPr>
    </w:p>
    <w:p w14:paraId="3F00BC04" w14:textId="77777777" w:rsidR="00642D63" w:rsidRDefault="00761080">
      <w:pPr>
        <w:pStyle w:val="Normal1"/>
        <w:widowControl w:val="0"/>
        <w:numPr>
          <w:ilvl w:val="0"/>
          <w:numId w:val="1"/>
        </w:numPr>
        <w:tabs>
          <w:tab w:val="center" w:pos="4252"/>
          <w:tab w:val="right" w:pos="8504"/>
        </w:tabs>
        <w:contextualSpacing/>
        <w:jc w:val="both"/>
      </w:pPr>
      <w:r>
        <w:rPr>
          <w:rFonts w:ascii="Calibri" w:eastAsia="Calibri" w:hAnsi="Calibri" w:cs="Calibri"/>
        </w:rPr>
        <w:t xml:space="preserve">Para su implementación pone el énfasis en el </w:t>
      </w:r>
      <w:r>
        <w:rPr>
          <w:rFonts w:ascii="Calibri" w:eastAsia="Calibri" w:hAnsi="Calibri" w:cs="Calibri"/>
          <w:b/>
        </w:rPr>
        <w:t xml:space="preserve">enfoque territorial </w:t>
      </w:r>
      <w:r>
        <w:rPr>
          <w:rFonts w:ascii="Calibri" w:eastAsia="Calibri" w:hAnsi="Calibri" w:cs="Calibri"/>
        </w:rPr>
        <w:t>“que supone tener en cuenta las necesidades y características y particularidades económicas, culturales y sociales de los territorios” (Acuerdo Final, introducción, pp.6), en el entendido de que es en los territorios donde se ha desarrollado el conflicto armado y por tanto deben ser los principales escenarios de la construcción de una paz estable y duradera.</w:t>
      </w:r>
    </w:p>
    <w:p w14:paraId="1A39BEB2" w14:textId="77777777" w:rsidR="00642D63" w:rsidRDefault="00761080">
      <w:pPr>
        <w:pStyle w:val="Normal1"/>
        <w:widowControl w:val="0"/>
        <w:numPr>
          <w:ilvl w:val="0"/>
          <w:numId w:val="1"/>
        </w:numPr>
        <w:tabs>
          <w:tab w:val="center" w:pos="4252"/>
          <w:tab w:val="right" w:pos="8504"/>
        </w:tabs>
        <w:contextualSpacing/>
        <w:jc w:val="both"/>
      </w:pPr>
      <w:r>
        <w:rPr>
          <w:rFonts w:ascii="Calibri" w:eastAsia="Calibri" w:hAnsi="Calibri" w:cs="Calibri"/>
        </w:rPr>
        <w:t xml:space="preserve">En el centro del Acuerdo Final están las </w:t>
      </w:r>
      <w:r>
        <w:rPr>
          <w:rFonts w:ascii="Calibri" w:eastAsia="Calibri" w:hAnsi="Calibri" w:cs="Calibri"/>
          <w:b/>
        </w:rPr>
        <w:t xml:space="preserve">víctimas </w:t>
      </w:r>
      <w:r>
        <w:rPr>
          <w:rFonts w:ascii="Calibri" w:eastAsia="Calibri" w:hAnsi="Calibri" w:cs="Calibri"/>
        </w:rPr>
        <w:t xml:space="preserve">y los compromisos con la verdad, la justicia, la reparación y la no repetición. </w:t>
      </w:r>
    </w:p>
    <w:p w14:paraId="345572F4" w14:textId="77777777" w:rsidR="00642D63" w:rsidRDefault="00761080">
      <w:pPr>
        <w:pStyle w:val="Normal1"/>
        <w:widowControl w:val="0"/>
        <w:numPr>
          <w:ilvl w:val="0"/>
          <w:numId w:val="1"/>
        </w:numPr>
        <w:tabs>
          <w:tab w:val="center" w:pos="4252"/>
          <w:tab w:val="right" w:pos="8504"/>
        </w:tabs>
        <w:contextualSpacing/>
        <w:jc w:val="both"/>
      </w:pPr>
      <w:r>
        <w:rPr>
          <w:rFonts w:ascii="Calibri" w:eastAsia="Calibri" w:hAnsi="Calibri" w:cs="Calibri"/>
        </w:rPr>
        <w:t xml:space="preserve">Su propósito es crear las condiciones para que se garantice el </w:t>
      </w:r>
      <w:r>
        <w:rPr>
          <w:rFonts w:ascii="Calibri" w:eastAsia="Calibri" w:hAnsi="Calibri" w:cs="Calibri"/>
          <w:b/>
        </w:rPr>
        <w:t>goce de los DDHH</w:t>
      </w:r>
      <w:r>
        <w:rPr>
          <w:rFonts w:ascii="Calibri" w:eastAsia="Calibri" w:hAnsi="Calibri" w:cs="Calibri"/>
        </w:rPr>
        <w:t xml:space="preserve"> para todas las </w:t>
      </w:r>
      <w:r>
        <w:rPr>
          <w:rFonts w:ascii="Calibri" w:eastAsia="Calibri" w:hAnsi="Calibri" w:cs="Calibri"/>
        </w:rPr>
        <w:lastRenderedPageBreak/>
        <w:t>personas sin distinción alguna y que su ejercicio sea efectivo y no pueda ser objeto de limitación.</w:t>
      </w:r>
    </w:p>
    <w:p w14:paraId="4D27CEA2" w14:textId="77777777" w:rsidR="00642D63" w:rsidRDefault="00761080">
      <w:pPr>
        <w:pStyle w:val="Normal1"/>
        <w:widowControl w:val="0"/>
        <w:numPr>
          <w:ilvl w:val="0"/>
          <w:numId w:val="1"/>
        </w:numPr>
        <w:tabs>
          <w:tab w:val="center" w:pos="4252"/>
          <w:tab w:val="right" w:pos="8504"/>
        </w:tabs>
        <w:contextualSpacing/>
        <w:jc w:val="both"/>
      </w:pPr>
      <w:r>
        <w:rPr>
          <w:rFonts w:ascii="Calibri" w:eastAsia="Calibri" w:hAnsi="Calibri" w:cs="Calibri"/>
        </w:rPr>
        <w:t xml:space="preserve">Se reconocerá el </w:t>
      </w:r>
      <w:r>
        <w:rPr>
          <w:rFonts w:ascii="Calibri" w:eastAsia="Calibri" w:hAnsi="Calibri" w:cs="Calibri"/>
          <w:b/>
        </w:rPr>
        <w:t xml:space="preserve">enfoque diferencial </w:t>
      </w:r>
      <w:r>
        <w:rPr>
          <w:rFonts w:ascii="Calibri" w:eastAsia="Calibri" w:hAnsi="Calibri" w:cs="Calibri"/>
        </w:rPr>
        <w:t xml:space="preserve">que se refiere a las necesidades, características, particularidades y experiencias de las personas en su diversidad (Acuerdo Final, 3.4.1, pp.79); teniendo en cuenta los </w:t>
      </w:r>
      <w:r>
        <w:rPr>
          <w:rFonts w:ascii="Calibri" w:eastAsia="Calibri" w:hAnsi="Calibri" w:cs="Calibri"/>
          <w:b/>
        </w:rPr>
        <w:t>diferentes grupos poblacionales</w:t>
      </w:r>
      <w:r>
        <w:rPr>
          <w:rFonts w:ascii="Calibri" w:eastAsia="Calibri" w:hAnsi="Calibri" w:cs="Calibri"/>
        </w:rPr>
        <w:t xml:space="preserve"> (mujeres, niños, niñas, grupos étnicos, personas en discapacidad, adultos mayores).</w:t>
      </w:r>
    </w:p>
    <w:p w14:paraId="0B2F0E72" w14:textId="77777777" w:rsidR="00642D63" w:rsidRDefault="00642D63">
      <w:pPr>
        <w:pStyle w:val="Normal1"/>
        <w:widowControl w:val="0"/>
        <w:tabs>
          <w:tab w:val="center" w:pos="4252"/>
          <w:tab w:val="right" w:pos="8504"/>
        </w:tabs>
        <w:ind w:left="720"/>
        <w:jc w:val="both"/>
      </w:pPr>
    </w:p>
    <w:p w14:paraId="2749ECFA" w14:textId="77777777" w:rsidR="00642D63" w:rsidRDefault="00761080">
      <w:pPr>
        <w:pStyle w:val="Normal1"/>
        <w:jc w:val="both"/>
        <w:rPr>
          <w:rFonts w:ascii="Calibri" w:eastAsia="Calibri" w:hAnsi="Calibri" w:cs="Calibri"/>
        </w:rPr>
      </w:pPr>
      <w:r>
        <w:rPr>
          <w:rFonts w:ascii="Calibri" w:eastAsia="Calibri" w:hAnsi="Calibri" w:cs="Calibri"/>
        </w:rPr>
        <w:t xml:space="preserve">Se reconocerá el </w:t>
      </w:r>
      <w:r>
        <w:rPr>
          <w:rFonts w:ascii="Calibri" w:eastAsia="Calibri" w:hAnsi="Calibri" w:cs="Calibri"/>
          <w:b/>
        </w:rPr>
        <w:t>enfoque de género</w:t>
      </w:r>
      <w:r>
        <w:rPr>
          <w:rFonts w:ascii="Calibri" w:eastAsia="Calibri" w:hAnsi="Calibri" w:cs="Calibri"/>
        </w:rPr>
        <w:t>, definido en el Acuerdo Final como el reconocimiento a “la igualdad de derechos entre hombres y mujeres y las circunstancias especiales de cada uno, especialmente de las mujeres. De esta forma, el Acuerdo Final recalca la necesidad de adelantar medidas afirmativas que promuevan la igualdad, la participación de las mujeres y que respondan a los impactos desproporcionados que ha tenido el conflicto armado sobre ellas” (Acuerdo Final, punto 6, pp.193). Igualmente, uno de los principios del Punto 6 del Acuerdo Final, dentro de los cuales se incluye la Secretaría Técnica como parte del Componente Internacional de Verificación, afirma que "el enfoque de género deberá ser entendido y aplicado de manera transversal en la implementación de la totalidad del Acuerdo" (Acuerdo Final, punto 6, pp.194).</w:t>
      </w:r>
    </w:p>
    <w:p w14:paraId="5A150A2F" w14:textId="77777777" w:rsidR="00642D63" w:rsidRDefault="00761080">
      <w:pPr>
        <w:pStyle w:val="Normal1"/>
        <w:rPr>
          <w:rFonts w:ascii="Calibri" w:eastAsia="Calibri" w:hAnsi="Calibri" w:cs="Calibri"/>
        </w:rPr>
      </w:pPr>
      <w:r>
        <w:br w:type="page"/>
      </w:r>
    </w:p>
    <w:p w14:paraId="7434A555" w14:textId="77777777" w:rsidR="00642D63" w:rsidRDefault="00761080">
      <w:pPr>
        <w:pStyle w:val="Normal1"/>
        <w:widowControl w:val="0"/>
        <w:tabs>
          <w:tab w:val="center" w:pos="4252"/>
          <w:tab w:val="right" w:pos="8504"/>
        </w:tabs>
        <w:spacing w:line="240" w:lineRule="auto"/>
        <w:ind w:left="760" w:hanging="380"/>
        <w:jc w:val="both"/>
        <w:rPr>
          <w:rFonts w:ascii="Calibri" w:eastAsia="Calibri" w:hAnsi="Calibri" w:cs="Calibri"/>
          <w:b/>
        </w:rPr>
      </w:pPr>
      <w:r>
        <w:rPr>
          <w:rFonts w:ascii="Calibri" w:eastAsia="Calibri" w:hAnsi="Calibri" w:cs="Calibri"/>
          <w:b/>
        </w:rPr>
        <w:lastRenderedPageBreak/>
        <w:t>13.1 Igualdad de Género</w:t>
      </w:r>
    </w:p>
    <w:p w14:paraId="22B79C2D" w14:textId="77777777" w:rsidR="00642D63" w:rsidRDefault="00642D63">
      <w:pPr>
        <w:pStyle w:val="Normal1"/>
        <w:widowControl w:val="0"/>
        <w:tabs>
          <w:tab w:val="center" w:pos="4252"/>
          <w:tab w:val="right" w:pos="8504"/>
        </w:tabs>
        <w:spacing w:line="240" w:lineRule="auto"/>
        <w:ind w:left="360"/>
        <w:jc w:val="both"/>
        <w:rPr>
          <w:rFonts w:ascii="Calibri" w:eastAsia="Calibri" w:hAnsi="Calibri" w:cs="Calibri"/>
          <w:i/>
        </w:rPr>
      </w:pPr>
      <w:bookmarkStart w:id="0" w:name="_gjdgxs" w:colFirst="0" w:colLast="0"/>
      <w:bookmarkEnd w:id="0"/>
    </w:p>
    <w:p w14:paraId="78EF2C35" w14:textId="77777777" w:rsidR="00642D63" w:rsidRDefault="00761080">
      <w:pPr>
        <w:pStyle w:val="Normal1"/>
        <w:widowControl w:val="0"/>
        <w:tabs>
          <w:tab w:val="center" w:pos="4252"/>
          <w:tab w:val="right" w:pos="8504"/>
        </w:tabs>
        <w:spacing w:line="240" w:lineRule="auto"/>
        <w:jc w:val="both"/>
        <w:rPr>
          <w:rFonts w:ascii="Calibri" w:eastAsia="Calibri" w:hAnsi="Calibri" w:cs="Calibri"/>
        </w:rPr>
      </w:pPr>
      <w:r>
        <w:rPr>
          <w:rFonts w:ascii="Calibri" w:eastAsia="Calibri" w:hAnsi="Calibri" w:cs="Calibri"/>
          <w:sz w:val="40"/>
          <w:szCs w:val="40"/>
        </w:rPr>
        <w:t xml:space="preserve">X </w:t>
      </w:r>
      <w:r>
        <w:rPr>
          <w:rFonts w:ascii="Calibri" w:eastAsia="Calibri" w:hAnsi="Calibri" w:cs="Calibri"/>
        </w:rPr>
        <w:t>La teoría del cambio promueve la igualdad de género en la población a abordar</w:t>
      </w:r>
    </w:p>
    <w:p w14:paraId="0A7FE07F" w14:textId="77777777" w:rsidR="00642D63" w:rsidRDefault="00642D63">
      <w:pPr>
        <w:pStyle w:val="Normal1"/>
        <w:widowControl w:val="0"/>
        <w:tabs>
          <w:tab w:val="center" w:pos="4252"/>
          <w:tab w:val="right" w:pos="8504"/>
        </w:tabs>
        <w:spacing w:line="240" w:lineRule="auto"/>
        <w:jc w:val="both"/>
        <w:rPr>
          <w:rFonts w:ascii="Calibri" w:eastAsia="Calibri" w:hAnsi="Calibri" w:cs="Calibri"/>
        </w:rPr>
      </w:pPr>
    </w:p>
    <w:p w14:paraId="66D429B2" w14:textId="77777777" w:rsidR="00642D63" w:rsidRDefault="00761080">
      <w:pPr>
        <w:pStyle w:val="Normal1"/>
        <w:widowControl w:val="0"/>
        <w:tabs>
          <w:tab w:val="center" w:pos="4252"/>
          <w:tab w:val="right" w:pos="8504"/>
        </w:tabs>
        <w:spacing w:line="240" w:lineRule="auto"/>
        <w:jc w:val="both"/>
        <w:rPr>
          <w:rFonts w:ascii="Calibri" w:eastAsia="Calibri" w:hAnsi="Calibri" w:cs="Calibri"/>
        </w:rPr>
      </w:pPr>
      <w:r>
        <w:rPr>
          <w:rFonts w:ascii="Calibri" w:eastAsia="Calibri" w:hAnsi="Calibri" w:cs="Calibri"/>
        </w:rPr>
        <w:tab/>
      </w:r>
      <w:r>
        <w:rPr>
          <w:rFonts w:ascii="Calibri" w:eastAsia="Calibri" w:hAnsi="Calibri" w:cs="Calibri"/>
          <w:sz w:val="40"/>
          <w:szCs w:val="40"/>
        </w:rPr>
        <w:t xml:space="preserve">X </w:t>
      </w:r>
      <w:r>
        <w:rPr>
          <w:rFonts w:ascii="Calibri" w:eastAsia="Calibri" w:hAnsi="Calibri" w:cs="Calibri"/>
        </w:rPr>
        <w:t>El análisis de situación incluye información diferencial de las afectaciones a mujeres y hombres.</w:t>
      </w:r>
    </w:p>
    <w:p w14:paraId="74508F64" w14:textId="77777777" w:rsidR="00642D63" w:rsidRDefault="00642D63">
      <w:pPr>
        <w:pStyle w:val="Normal1"/>
        <w:widowControl w:val="0"/>
        <w:tabs>
          <w:tab w:val="center" w:pos="4252"/>
          <w:tab w:val="right" w:pos="8504"/>
        </w:tabs>
        <w:spacing w:line="240" w:lineRule="auto"/>
        <w:jc w:val="both"/>
        <w:rPr>
          <w:rFonts w:ascii="Calibri" w:eastAsia="Calibri" w:hAnsi="Calibri" w:cs="Calibri"/>
        </w:rPr>
      </w:pPr>
    </w:p>
    <w:p w14:paraId="5199E796" w14:textId="77777777" w:rsidR="00642D63" w:rsidRDefault="00761080">
      <w:pPr>
        <w:pStyle w:val="Normal1"/>
        <w:widowControl w:val="0"/>
        <w:tabs>
          <w:tab w:val="center" w:pos="4252"/>
          <w:tab w:val="right" w:pos="8504"/>
        </w:tabs>
        <w:spacing w:line="240" w:lineRule="auto"/>
        <w:jc w:val="both"/>
        <w:rPr>
          <w:rFonts w:ascii="Calibri" w:eastAsia="Calibri" w:hAnsi="Calibri" w:cs="Calibri"/>
        </w:rPr>
      </w:pPr>
      <w:r>
        <w:rPr>
          <w:rFonts w:ascii="Calibri" w:eastAsia="Calibri" w:hAnsi="Calibri" w:cs="Calibri"/>
          <w:sz w:val="40"/>
          <w:szCs w:val="40"/>
        </w:rPr>
        <w:t xml:space="preserve">X </w:t>
      </w:r>
      <w:r>
        <w:rPr>
          <w:rFonts w:ascii="Calibri" w:eastAsia="Calibri" w:hAnsi="Calibri" w:cs="Calibri"/>
        </w:rPr>
        <w:t>El marco de lógica de intervención promueve de manera positiva la igualdad de género en sus resultados e impacto esperado.</w:t>
      </w:r>
    </w:p>
    <w:p w14:paraId="185653DD" w14:textId="77777777" w:rsidR="00642D63" w:rsidRDefault="00642D63">
      <w:pPr>
        <w:pStyle w:val="Normal1"/>
        <w:widowControl w:val="0"/>
        <w:tabs>
          <w:tab w:val="center" w:pos="4252"/>
          <w:tab w:val="right" w:pos="8504"/>
        </w:tabs>
        <w:spacing w:line="240" w:lineRule="auto"/>
        <w:jc w:val="both"/>
        <w:rPr>
          <w:rFonts w:ascii="Calibri" w:eastAsia="Calibri" w:hAnsi="Calibri" w:cs="Calibri"/>
        </w:rPr>
      </w:pPr>
    </w:p>
    <w:p w14:paraId="42DC0E1E" w14:textId="77777777" w:rsidR="00642D63" w:rsidRDefault="00761080">
      <w:pPr>
        <w:pStyle w:val="Normal1"/>
        <w:widowControl w:val="0"/>
        <w:tabs>
          <w:tab w:val="center" w:pos="4252"/>
          <w:tab w:val="right" w:pos="8504"/>
        </w:tabs>
        <w:spacing w:line="240" w:lineRule="auto"/>
        <w:jc w:val="both"/>
        <w:rPr>
          <w:rFonts w:ascii="Calibri" w:eastAsia="Calibri" w:hAnsi="Calibri" w:cs="Calibri"/>
        </w:rPr>
      </w:pPr>
      <w:r>
        <w:rPr>
          <w:rFonts w:ascii="Calibri" w:eastAsia="Calibri" w:hAnsi="Calibri" w:cs="Calibri"/>
          <w:sz w:val="40"/>
          <w:szCs w:val="40"/>
        </w:rPr>
        <w:t xml:space="preserve">X </w:t>
      </w:r>
      <w:r>
        <w:rPr>
          <w:rFonts w:ascii="Calibri" w:eastAsia="Calibri" w:hAnsi="Calibri" w:cs="Calibri"/>
        </w:rPr>
        <w:t>Los indicadores y monitoreo miden el impacto diferencial en mujeres y hombres</w:t>
      </w:r>
      <w:r>
        <w:rPr>
          <w:rFonts w:ascii="Calibri" w:eastAsia="Calibri" w:hAnsi="Calibri" w:cs="Calibri"/>
          <w:sz w:val="40"/>
          <w:szCs w:val="40"/>
        </w:rPr>
        <w:tab/>
      </w:r>
    </w:p>
    <w:p w14:paraId="0F165DA8" w14:textId="77777777" w:rsidR="00642D63" w:rsidRDefault="00642D63">
      <w:pPr>
        <w:pStyle w:val="Normal1"/>
        <w:widowControl w:val="0"/>
        <w:tabs>
          <w:tab w:val="center" w:pos="4252"/>
          <w:tab w:val="right" w:pos="8504"/>
        </w:tabs>
        <w:spacing w:line="240" w:lineRule="auto"/>
        <w:jc w:val="both"/>
        <w:rPr>
          <w:rFonts w:ascii="Calibri" w:eastAsia="Calibri" w:hAnsi="Calibri" w:cs="Calibri"/>
        </w:rPr>
      </w:pPr>
    </w:p>
    <w:p w14:paraId="6813B7D1" w14:textId="77777777" w:rsidR="00642D63" w:rsidRDefault="00761080">
      <w:pPr>
        <w:pStyle w:val="Normal1"/>
        <w:widowControl w:val="0"/>
        <w:tabs>
          <w:tab w:val="center" w:pos="4252"/>
          <w:tab w:val="right" w:pos="8504"/>
        </w:tabs>
        <w:spacing w:line="240" w:lineRule="auto"/>
        <w:jc w:val="both"/>
        <w:rPr>
          <w:rFonts w:ascii="Calibri" w:eastAsia="Calibri" w:hAnsi="Calibri" w:cs="Calibri"/>
          <w:sz w:val="40"/>
          <w:szCs w:val="40"/>
        </w:rPr>
      </w:pPr>
      <w:r>
        <w:rPr>
          <w:rFonts w:ascii="Calibri" w:eastAsia="Calibri" w:hAnsi="Calibri" w:cs="Calibri"/>
          <w:sz w:val="40"/>
          <w:szCs w:val="40"/>
        </w:rPr>
        <w:t xml:space="preserve">X </w:t>
      </w:r>
      <w:r>
        <w:rPr>
          <w:rFonts w:ascii="Calibri" w:eastAsia="Calibri" w:hAnsi="Calibri" w:cs="Calibri"/>
        </w:rPr>
        <w:t>El presupuesto planteado tiene componentes específicos para promover la igualdad entre mujeres y hombres.</w:t>
      </w:r>
    </w:p>
    <w:p w14:paraId="577FB932" w14:textId="77777777" w:rsidR="00642D63" w:rsidRDefault="00642D63">
      <w:pPr>
        <w:pStyle w:val="Normal1"/>
        <w:widowControl w:val="0"/>
        <w:tabs>
          <w:tab w:val="center" w:pos="4252"/>
          <w:tab w:val="right" w:pos="8504"/>
        </w:tabs>
        <w:spacing w:line="240" w:lineRule="auto"/>
        <w:jc w:val="both"/>
        <w:rPr>
          <w:rFonts w:ascii="Calibri" w:eastAsia="Calibri" w:hAnsi="Calibri" w:cs="Calibri"/>
        </w:rPr>
      </w:pPr>
    </w:p>
    <w:p w14:paraId="59F09F0F" w14:textId="77777777" w:rsidR="00642D63" w:rsidRDefault="00761080">
      <w:pPr>
        <w:pStyle w:val="Normal1"/>
        <w:widowControl w:val="0"/>
        <w:tabs>
          <w:tab w:val="center" w:pos="4252"/>
          <w:tab w:val="right" w:pos="8504"/>
        </w:tabs>
        <w:spacing w:line="240" w:lineRule="auto"/>
        <w:jc w:val="both"/>
        <w:rPr>
          <w:rFonts w:ascii="Calibri" w:eastAsia="Calibri" w:hAnsi="Calibri" w:cs="Calibri"/>
        </w:rPr>
      </w:pPr>
      <w:r>
        <w:rPr>
          <w:rFonts w:ascii="Calibri" w:eastAsia="Calibri" w:hAnsi="Calibri" w:cs="Calibri"/>
        </w:rPr>
        <w:t>Marcador de Género del proyecto:</w:t>
      </w:r>
    </w:p>
    <w:p w14:paraId="7F12F1DD" w14:textId="77777777" w:rsidR="00642D63" w:rsidRDefault="00761080">
      <w:pPr>
        <w:pStyle w:val="Normal1"/>
        <w:widowControl w:val="0"/>
        <w:tabs>
          <w:tab w:val="center" w:pos="4252"/>
          <w:tab w:val="right" w:pos="8504"/>
        </w:tabs>
        <w:spacing w:line="240" w:lineRule="auto"/>
        <w:jc w:val="both"/>
        <w:rPr>
          <w:rFonts w:ascii="Calibri" w:eastAsia="Calibri" w:hAnsi="Calibri" w:cs="Calibri"/>
          <w:sz w:val="40"/>
          <w:szCs w:val="40"/>
        </w:rPr>
      </w:pPr>
      <w:r>
        <w:rPr>
          <w:rFonts w:ascii="Calibri" w:eastAsia="Calibri" w:hAnsi="Calibri" w:cs="Calibri"/>
          <w:sz w:val="28"/>
          <w:szCs w:val="28"/>
        </w:rPr>
        <w:t>0                 1                2ª</w:t>
      </w:r>
      <w:r>
        <w:rPr>
          <w:rFonts w:ascii="Calibri" w:eastAsia="Calibri" w:hAnsi="Calibri" w:cs="Calibri"/>
          <w:sz w:val="40"/>
          <w:szCs w:val="40"/>
        </w:rPr>
        <w:t xml:space="preserve">x      </w:t>
      </w:r>
      <w:r>
        <w:rPr>
          <w:rFonts w:ascii="Calibri" w:eastAsia="Calibri" w:hAnsi="Calibri" w:cs="Calibri"/>
          <w:sz w:val="28"/>
          <w:szCs w:val="28"/>
        </w:rPr>
        <w:t>2b</w:t>
      </w:r>
    </w:p>
    <w:p w14:paraId="14D5AF50" w14:textId="77777777" w:rsidR="00642D63" w:rsidRDefault="00761080">
      <w:pPr>
        <w:pStyle w:val="Normal1"/>
        <w:widowControl w:val="0"/>
        <w:tabs>
          <w:tab w:val="center" w:pos="4252"/>
          <w:tab w:val="right" w:pos="8504"/>
        </w:tabs>
        <w:spacing w:line="240" w:lineRule="auto"/>
        <w:jc w:val="both"/>
        <w:rPr>
          <w:rFonts w:ascii="Calibri" w:eastAsia="Calibri" w:hAnsi="Calibri" w:cs="Calibri"/>
          <w:sz w:val="40"/>
          <w:szCs w:val="40"/>
        </w:rPr>
      </w:pPr>
      <w:r>
        <w:rPr>
          <w:rFonts w:ascii="Calibri" w:eastAsia="Calibri" w:hAnsi="Calibri" w:cs="Calibri"/>
        </w:rPr>
        <w:t xml:space="preserve">Los sistemas de información que servirán de herramienta para el seguimiento y verificación del cumplimiento del acuerdo en todos los casos tendrán dimensiones de género tanto en la recolección, como en el procesamiento y análisis de la información. En cuanto a los análisis en todos los casos se hará referencia a la dimensión de género. </w:t>
      </w:r>
    </w:p>
    <w:p w14:paraId="64B345A2" w14:textId="77777777" w:rsidR="00642D63" w:rsidRDefault="00761080">
      <w:pPr>
        <w:pStyle w:val="Normal1"/>
        <w:widowControl w:val="0"/>
        <w:tabs>
          <w:tab w:val="left" w:pos="1515"/>
        </w:tabs>
        <w:jc w:val="both"/>
        <w:rPr>
          <w:rFonts w:ascii="Calibri" w:eastAsia="Calibri" w:hAnsi="Calibri" w:cs="Calibri"/>
          <w:i/>
        </w:rPr>
      </w:pPr>
      <w:r>
        <w:rPr>
          <w:rFonts w:ascii="Calibri" w:eastAsia="Calibri" w:hAnsi="Calibri" w:cs="Calibri"/>
          <w:i/>
        </w:rPr>
        <w:tab/>
      </w:r>
    </w:p>
    <w:p w14:paraId="4C83532F" w14:textId="77777777" w:rsidR="00642D63" w:rsidRDefault="00761080">
      <w:pPr>
        <w:pStyle w:val="Normal1"/>
        <w:widowControl w:val="0"/>
        <w:tabs>
          <w:tab w:val="center" w:pos="4252"/>
          <w:tab w:val="right" w:pos="8504"/>
        </w:tabs>
        <w:jc w:val="both"/>
        <w:rPr>
          <w:rFonts w:ascii="Calibri" w:eastAsia="Calibri" w:hAnsi="Calibri" w:cs="Calibri"/>
          <w:i/>
        </w:rPr>
      </w:pPr>
      <w:r>
        <w:rPr>
          <w:rFonts w:ascii="Calibri" w:eastAsia="Calibri" w:hAnsi="Calibri" w:cs="Calibri"/>
        </w:rPr>
        <w:t xml:space="preserve">Tal y como lo establece la metodología desarrollada por la Secretaría Técnica, ésta “reconocerá el </w:t>
      </w:r>
      <w:r>
        <w:rPr>
          <w:rFonts w:ascii="Calibri" w:eastAsia="Calibri" w:hAnsi="Calibri" w:cs="Calibri"/>
          <w:b/>
        </w:rPr>
        <w:t>enfoque de género</w:t>
      </w:r>
      <w:r>
        <w:rPr>
          <w:rFonts w:ascii="Calibri" w:eastAsia="Calibri" w:hAnsi="Calibri" w:cs="Calibri"/>
        </w:rPr>
        <w:t>, definido en el Acuerdo Final como el reconocimiento a “la igualdad de derechos entre hombres y mujeres y las circunstancias especiales de cada uno, especialmente de las mujeres. De esta forma, el Acuerdo Final recalca la necesidad de adelantar medidas afirmativas que promuevan la igualdad, la participación de las mujeres y que respondan a los impactos desproporcionados que ha tenido el conflicto armado sobre ellas” (Acuerdo Final, punto 6, pp.193). Teniendo en cuenta que garantizar el</w:t>
      </w:r>
      <w:r>
        <w:rPr>
          <w:rFonts w:ascii="Calibri" w:eastAsia="Calibri" w:hAnsi="Calibri" w:cs="Calibri"/>
          <w:b/>
        </w:rPr>
        <w:t xml:space="preserve"> enfoque de género</w:t>
      </w:r>
      <w:r>
        <w:rPr>
          <w:rFonts w:ascii="Calibri" w:eastAsia="Calibri" w:hAnsi="Calibri" w:cs="Calibri"/>
        </w:rPr>
        <w:t xml:space="preserve"> es uno de los compromisos explícitamente considerados e incluidos en todo el Acuerdo Final , la Secretaría Técnica hará seguimiento y verificación del cumplimiento de tal componente del acuerdo y hará especial énfasis en los indicadores de impacto establecidos en el Plan Marco de Implementación que permitirán " identificar el avance de la implementación que tengan en cuenta las particularidades de las mujeres" (Acuerdo Final, Punto 6, pp.197). Es decir, la equidad de género no sólo como una dimensión transversal para el análisis, sino como parte de los compromisos de los cuales debe recolectar, procesar y analizar información para establecer la situación, avances y dificultades en el cumplimiento del mismo.</w:t>
      </w:r>
    </w:p>
    <w:p w14:paraId="651B0B29" w14:textId="77777777" w:rsidR="00642D63" w:rsidRDefault="00642D63">
      <w:pPr>
        <w:pStyle w:val="Normal1"/>
        <w:widowControl w:val="0"/>
        <w:tabs>
          <w:tab w:val="center" w:pos="4252"/>
          <w:tab w:val="right" w:pos="8504"/>
        </w:tabs>
        <w:jc w:val="both"/>
        <w:rPr>
          <w:rFonts w:ascii="Calibri" w:eastAsia="Calibri" w:hAnsi="Calibri" w:cs="Calibri"/>
        </w:rPr>
      </w:pPr>
    </w:p>
    <w:p w14:paraId="598822F9" w14:textId="77777777" w:rsidR="00642D63" w:rsidRDefault="00642D63">
      <w:pPr>
        <w:pStyle w:val="Normal1"/>
        <w:widowControl w:val="0"/>
        <w:tabs>
          <w:tab w:val="center" w:pos="4252"/>
          <w:tab w:val="right" w:pos="8504"/>
        </w:tabs>
        <w:jc w:val="both"/>
        <w:rPr>
          <w:rFonts w:ascii="Calibri" w:eastAsia="Calibri" w:hAnsi="Calibri" w:cs="Calibri"/>
        </w:rPr>
      </w:pPr>
    </w:p>
    <w:p w14:paraId="56B286B1" w14:textId="77777777" w:rsidR="00642D63" w:rsidRDefault="00761080">
      <w:pPr>
        <w:pStyle w:val="Normal1"/>
        <w:widowControl w:val="0"/>
        <w:tabs>
          <w:tab w:val="center" w:pos="4252"/>
          <w:tab w:val="right" w:pos="8504"/>
        </w:tabs>
        <w:jc w:val="both"/>
        <w:rPr>
          <w:rFonts w:ascii="Calibri" w:eastAsia="Calibri" w:hAnsi="Calibri" w:cs="Calibri"/>
        </w:rPr>
      </w:pPr>
      <w:r>
        <w:rPr>
          <w:rFonts w:ascii="Calibri" w:eastAsia="Calibri" w:hAnsi="Calibri" w:cs="Calibri"/>
        </w:rPr>
        <w:t>Finalmente, los sistemas de información tanto del CINEP como de CERAC han incorporado el enfoque de género en la recolección registro y análisis de la información. Igualmente será de gran utilidad al trabajo adelantado por ONU MUJERES y el de SISMA MUJER que agrupa muchas organizaciones.</w:t>
      </w:r>
    </w:p>
    <w:p w14:paraId="19E62525" w14:textId="77777777" w:rsidR="00642D63" w:rsidRDefault="00642D63">
      <w:pPr>
        <w:pStyle w:val="Normal1"/>
        <w:widowControl w:val="0"/>
        <w:tabs>
          <w:tab w:val="center" w:pos="4252"/>
          <w:tab w:val="right" w:pos="8504"/>
        </w:tabs>
        <w:jc w:val="both"/>
        <w:rPr>
          <w:rFonts w:ascii="Calibri" w:eastAsia="Calibri" w:hAnsi="Calibri" w:cs="Calibri"/>
        </w:rPr>
      </w:pPr>
    </w:p>
    <w:p w14:paraId="2D2BC50C" w14:textId="77777777" w:rsidR="00642D63" w:rsidRDefault="00761080">
      <w:pPr>
        <w:pStyle w:val="Normal1"/>
        <w:widowControl w:val="0"/>
        <w:tabs>
          <w:tab w:val="center" w:pos="4252"/>
          <w:tab w:val="right" w:pos="8504"/>
        </w:tabs>
        <w:jc w:val="both"/>
        <w:rPr>
          <w:rFonts w:ascii="Calibri" w:eastAsia="Calibri" w:hAnsi="Calibri" w:cs="Calibri"/>
        </w:rPr>
      </w:pPr>
      <w:r>
        <w:rPr>
          <w:rFonts w:ascii="Calibri" w:eastAsia="Calibri" w:hAnsi="Calibri" w:cs="Calibri"/>
        </w:rPr>
        <w:t>Además, dentro de las fuentes de información que serán consultadas, se recurrirá a información suministrada por organizaciones de la sociedad civil que especialmente le hacen seguimiento a los compromisos del Acuerdo que tienen un especial énfasis en las condiciones de las mujeres y niñas</w:t>
      </w:r>
    </w:p>
    <w:p w14:paraId="03333794" w14:textId="77777777" w:rsidR="00642D63" w:rsidRDefault="00642D63">
      <w:pPr>
        <w:pStyle w:val="Normal1"/>
        <w:spacing w:after="200" w:line="240" w:lineRule="auto"/>
        <w:ind w:left="360" w:firstLine="349"/>
        <w:jc w:val="both"/>
        <w:rPr>
          <w:rFonts w:ascii="Calibri" w:eastAsia="Calibri" w:hAnsi="Calibri" w:cs="Calibri"/>
          <w:b/>
        </w:rPr>
      </w:pPr>
    </w:p>
    <w:p w14:paraId="5EE7D08D" w14:textId="77777777" w:rsidR="00642D63" w:rsidRDefault="00761080">
      <w:pPr>
        <w:pStyle w:val="Normal1"/>
        <w:numPr>
          <w:ilvl w:val="0"/>
          <w:numId w:val="10"/>
        </w:numPr>
        <w:contextualSpacing/>
        <w:jc w:val="both"/>
        <w:rPr>
          <w:rFonts w:ascii="Calibri" w:eastAsia="Calibri" w:hAnsi="Calibri" w:cs="Calibri"/>
          <w:b/>
        </w:rPr>
      </w:pPr>
      <w:r>
        <w:rPr>
          <w:rFonts w:ascii="Calibri" w:eastAsia="Calibri" w:hAnsi="Calibri" w:cs="Calibri"/>
          <w:b/>
        </w:rPr>
        <w:t>Medio ambiente</w:t>
      </w:r>
    </w:p>
    <w:p w14:paraId="7E389C5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t>Las actividades que serán llevadas a cabo por CERAC y CINEP en el desarrollo del proyecto de la Secretaría Técnica del Componente Internacional de Verificación, no suponen un impacto ambiental importante. No obstante, en el desarrollo de las actividades, las organizaciones tendrán el cuidado de desarrollar labores de mitigación del impacto ambiental, a través de prácticas de consumo de energía reducido y de promoción del reciclaje.</w:t>
      </w:r>
    </w:p>
    <w:p w14:paraId="5CD3CF9D"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p>
    <w:p w14:paraId="44D0917A"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t>En particular CERAC, cuenta con una política ambiental que busca reducir el impacto ambiental de su gestión a través de la utilización de tecnologías energéticas de bajo consumo. CERAC ha reemplazado todas sus fuentes lumínicas con bombillas tipo led, así como todos sus computadores y equipos electrónicos, con aparatos de bajo consumo. CERAC también cuenta con una política de reciclaje en el que se incentiva el uso de materiales de oficina 100% reciclados, siempre que sea posible y se realiza la separación de la totalidad de desperdicio en cada puesto de trabajo como reciclaje en la fuente. Por último, CERAC cuenta con una política de incentivos para minimizar el uso de vehículos de transporte individual y el fomento de vehículos que no consumen combustibles fósiles.</w:t>
      </w:r>
    </w:p>
    <w:p w14:paraId="1069CE30"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p>
    <w:p w14:paraId="4617CB3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t>CINEP por su parte, cuenta con una política ambiental como parte de su gestión de calidad y sostenibilidad.</w:t>
      </w:r>
    </w:p>
    <w:p w14:paraId="19DD187D"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p>
    <w:p w14:paraId="52013CC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r>
        <w:rPr>
          <w:rFonts w:ascii="Calibri" w:eastAsia="Calibri" w:hAnsi="Calibri" w:cs="Calibri"/>
        </w:rPr>
        <w:t>Dado que el desarrollo del proyecto se llevará a cabo principalmente en las oficinas de ambas organizaciones, las prácticas implementadas por las organizaciones permitirán que el impacto ambiental del proyecto sea mínimo. Así mismo, en caso de realizar desplazamientos, se garantizará la eficiencia de éstos para disminuir la huella de carbono.</w:t>
      </w:r>
    </w:p>
    <w:p w14:paraId="1484FE60"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rPr>
      </w:pPr>
    </w:p>
    <w:p w14:paraId="4D1F742D" w14:textId="77777777" w:rsidR="00642D63" w:rsidRDefault="00642D63">
      <w:pPr>
        <w:pStyle w:val="Normal1"/>
        <w:widowControl w:val="0"/>
        <w:rPr>
          <w:rFonts w:ascii="Calibri" w:eastAsia="Calibri" w:hAnsi="Calibri" w:cs="Calibri"/>
        </w:rPr>
      </w:pPr>
    </w:p>
    <w:p w14:paraId="4AB8D13E" w14:textId="77777777" w:rsidR="00642D63" w:rsidRDefault="00761080">
      <w:pPr>
        <w:pStyle w:val="Normal1"/>
        <w:widowControl w:val="0"/>
        <w:rPr>
          <w:rFonts w:ascii="Calibri" w:eastAsia="Calibri" w:hAnsi="Calibri" w:cs="Calibri"/>
        </w:rPr>
        <w:sectPr w:rsidR="00642D63">
          <w:headerReference w:type="even" r:id="rId16"/>
          <w:headerReference w:type="default" r:id="rId17"/>
          <w:footerReference w:type="even" r:id="rId18"/>
          <w:footerReference w:type="default" r:id="rId19"/>
          <w:headerReference w:type="first" r:id="rId20"/>
          <w:footerReference w:type="first" r:id="rId21"/>
          <w:pgSz w:w="12240" w:h="15840"/>
          <w:pgMar w:top="1700" w:right="1417" w:bottom="1700" w:left="1417" w:header="0" w:footer="720" w:gutter="0"/>
          <w:pgNumType w:start="1"/>
          <w:cols w:space="720"/>
        </w:sectPr>
      </w:pPr>
      <w:r>
        <w:br w:type="page"/>
      </w:r>
    </w:p>
    <w:p w14:paraId="2F400AC5" w14:textId="77777777" w:rsidR="00642D63" w:rsidRDefault="00761080">
      <w:pPr>
        <w:pStyle w:val="Normal1"/>
        <w:spacing w:after="200" w:line="240" w:lineRule="auto"/>
        <w:ind w:left="360"/>
        <w:jc w:val="both"/>
        <w:rPr>
          <w:rFonts w:ascii="Calibri" w:eastAsia="Calibri" w:hAnsi="Calibri" w:cs="Calibri"/>
          <w:b/>
          <w:color w:val="4F81BD"/>
        </w:rPr>
      </w:pPr>
      <w:r>
        <w:rPr>
          <w:rFonts w:ascii="Calibri" w:eastAsia="Calibri" w:hAnsi="Calibri" w:cs="Calibri"/>
          <w:b/>
          <w:color w:val="4F81BD"/>
        </w:rPr>
        <w:lastRenderedPageBreak/>
        <w:t xml:space="preserve">Integración de los principios generales para fortalecer la sostenibilidad social y ambiental </w:t>
      </w:r>
    </w:p>
    <w:tbl>
      <w:tblPr>
        <w:tblStyle w:val="a3"/>
        <w:tblW w:w="131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49"/>
      </w:tblGrid>
      <w:tr w:rsidR="00642D63" w14:paraId="19227185" w14:textId="77777777">
        <w:trPr>
          <w:trHeight w:val="360"/>
        </w:trPr>
        <w:tc>
          <w:tcPr>
            <w:tcW w:w="13149" w:type="dxa"/>
            <w:shd w:val="clear" w:color="auto" w:fill="548DD4"/>
          </w:tcPr>
          <w:p w14:paraId="46E9F9D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b/>
              </w:rPr>
              <w:t>PREGUNTA 1: ¿Cómo integra el proyecto los principios globales de manera tal de fortalecer la sostenibilidad ambiental?</w:t>
            </w:r>
          </w:p>
        </w:tc>
      </w:tr>
      <w:tr w:rsidR="00642D63" w14:paraId="4574DE27" w14:textId="77777777">
        <w:trPr>
          <w:trHeight w:val="340"/>
        </w:trPr>
        <w:tc>
          <w:tcPr>
            <w:tcW w:w="13149" w:type="dxa"/>
            <w:shd w:val="clear" w:color="auto" w:fill="C6D9F1"/>
          </w:tcPr>
          <w:p w14:paraId="5969A892"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i/>
                <w:color w:val="4F81BD"/>
              </w:rPr>
            </w:pPr>
            <w:r>
              <w:rPr>
                <w:rFonts w:ascii="Calibri" w:eastAsia="Calibri" w:hAnsi="Calibri" w:cs="Calibri"/>
                <w:i/>
              </w:rPr>
              <w:t>Describa brevemente en el espacio a continuación la manera en que el proyecto incorpora la sostenibilidad ambiental</w:t>
            </w:r>
          </w:p>
        </w:tc>
      </w:tr>
      <w:tr w:rsidR="00642D63" w14:paraId="295F3CBD" w14:textId="77777777">
        <w:trPr>
          <w:trHeight w:val="320"/>
        </w:trPr>
        <w:tc>
          <w:tcPr>
            <w:tcW w:w="13149" w:type="dxa"/>
          </w:tcPr>
          <w:p w14:paraId="2F7B545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rPr>
            </w:pPr>
            <w:r>
              <w:rPr>
                <w:sz w:val="20"/>
                <w:szCs w:val="20"/>
              </w:rPr>
              <w:t>El proyecto no tiene impacto ambiental directo, de manera que no incorpora como tal criterios de sostenibilidad ambiental</w:t>
            </w:r>
          </w:p>
        </w:tc>
      </w:tr>
    </w:tbl>
    <w:p w14:paraId="45A9DBCD" w14:textId="77777777" w:rsidR="00642D63" w:rsidRDefault="00642D63">
      <w:pPr>
        <w:pStyle w:val="Normal1"/>
        <w:spacing w:line="240" w:lineRule="auto"/>
        <w:jc w:val="both"/>
        <w:rPr>
          <w:rFonts w:ascii="Calibri" w:eastAsia="Calibri" w:hAnsi="Calibri" w:cs="Calibri"/>
          <w:b/>
          <w:color w:val="4F81BD"/>
        </w:rPr>
      </w:pPr>
    </w:p>
    <w:p w14:paraId="206229B5" w14:textId="77777777" w:rsidR="00642D63" w:rsidRDefault="00761080">
      <w:pPr>
        <w:pStyle w:val="Normal1"/>
        <w:spacing w:line="240" w:lineRule="auto"/>
        <w:jc w:val="both"/>
        <w:rPr>
          <w:rFonts w:ascii="Calibri" w:eastAsia="Calibri" w:hAnsi="Calibri" w:cs="Calibri"/>
          <w:b/>
          <w:color w:val="4F81BD"/>
        </w:rPr>
      </w:pPr>
      <w:r>
        <w:rPr>
          <w:rFonts w:ascii="Calibri" w:eastAsia="Calibri" w:hAnsi="Calibri" w:cs="Calibri"/>
          <w:b/>
          <w:color w:val="4F81BD"/>
        </w:rPr>
        <w:t>Identificación y gestión de los riesgos ambientales</w:t>
      </w:r>
    </w:p>
    <w:p w14:paraId="70E6BD3F" w14:textId="77777777" w:rsidR="00642D63" w:rsidRDefault="00642D63">
      <w:pPr>
        <w:pStyle w:val="Normal1"/>
        <w:spacing w:line="240" w:lineRule="auto"/>
        <w:jc w:val="both"/>
        <w:rPr>
          <w:rFonts w:ascii="Calibri" w:eastAsia="Calibri" w:hAnsi="Calibri" w:cs="Calibri"/>
          <w:b/>
          <w:color w:val="4F81BD"/>
        </w:rPr>
      </w:pPr>
    </w:p>
    <w:tbl>
      <w:tblPr>
        <w:tblStyle w:val="a4"/>
        <w:tblW w:w="129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9"/>
        <w:gridCol w:w="1508"/>
        <w:gridCol w:w="1505"/>
        <w:gridCol w:w="1018"/>
        <w:gridCol w:w="489"/>
        <w:gridCol w:w="4235"/>
      </w:tblGrid>
      <w:tr w:rsidR="00642D63" w14:paraId="1FC117E1" w14:textId="77777777">
        <w:tc>
          <w:tcPr>
            <w:tcW w:w="4239" w:type="dxa"/>
            <w:shd w:val="clear" w:color="auto" w:fill="548DD4"/>
          </w:tcPr>
          <w:p w14:paraId="5EF71870" w14:textId="77777777" w:rsidR="00642D63" w:rsidRDefault="00761080">
            <w:pPr>
              <w:pStyle w:val="Normal1"/>
              <w:tabs>
                <w:tab w:val="left" w:pos="101"/>
              </w:tabs>
              <w:spacing w:line="276" w:lineRule="auto"/>
              <w:ind w:right="252" w:firstLine="11"/>
              <w:jc w:val="both"/>
              <w:rPr>
                <w:rFonts w:ascii="Calibri" w:eastAsia="Calibri" w:hAnsi="Calibri" w:cs="Calibri"/>
                <w:b/>
                <w:sz w:val="20"/>
                <w:szCs w:val="20"/>
              </w:rPr>
            </w:pPr>
            <w:r>
              <w:rPr>
                <w:rFonts w:ascii="Calibri" w:eastAsia="Calibri" w:hAnsi="Calibri" w:cs="Calibri"/>
                <w:b/>
                <w:sz w:val="20"/>
                <w:szCs w:val="20"/>
              </w:rPr>
              <w:t>PREGUNTA 2: ¿Cuáles son los posibles riesgos ambientales?</w:t>
            </w:r>
          </w:p>
          <w:p w14:paraId="487178F2"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i/>
                <w:sz w:val="18"/>
                <w:szCs w:val="18"/>
              </w:rPr>
              <w:t xml:space="preserve">Nota: </w:t>
            </w:r>
            <w:r>
              <w:rPr>
                <w:rFonts w:ascii="Calibri" w:eastAsia="Calibri" w:hAnsi="Calibri" w:cs="Calibri"/>
                <w:sz w:val="18"/>
                <w:szCs w:val="18"/>
              </w:rPr>
              <w:t>Describa brevemente los posibles riesgos ambientales identificados en el Adjunto 1 – Lista de verificación del diagnóstico de riesgos (sobre la base de las respuestas afirmativas (Sí)).</w:t>
            </w:r>
          </w:p>
        </w:tc>
        <w:tc>
          <w:tcPr>
            <w:tcW w:w="4520" w:type="dxa"/>
            <w:gridSpan w:val="4"/>
            <w:shd w:val="clear" w:color="auto" w:fill="548DD4"/>
          </w:tcPr>
          <w:p w14:paraId="4439CA35" w14:textId="77777777" w:rsidR="00642D63" w:rsidRDefault="00761080">
            <w:pPr>
              <w:pStyle w:val="Normal1"/>
              <w:tabs>
                <w:tab w:val="left" w:pos="101"/>
              </w:tabs>
              <w:spacing w:line="276" w:lineRule="auto"/>
              <w:ind w:right="252" w:firstLine="11"/>
              <w:jc w:val="both"/>
              <w:rPr>
                <w:rFonts w:ascii="Calibri" w:eastAsia="Calibri" w:hAnsi="Calibri" w:cs="Calibri"/>
                <w:b/>
                <w:sz w:val="20"/>
                <w:szCs w:val="20"/>
              </w:rPr>
            </w:pPr>
            <w:r>
              <w:rPr>
                <w:rFonts w:ascii="Calibri" w:eastAsia="Calibri" w:hAnsi="Calibri" w:cs="Calibri"/>
                <w:b/>
                <w:sz w:val="20"/>
                <w:szCs w:val="20"/>
              </w:rPr>
              <w:t>PREGUNTA 3: ¿Cuál es el nivel de importancia de los posibles riesgos ambientales?</w:t>
            </w:r>
          </w:p>
          <w:p w14:paraId="780F3B7A"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i/>
                <w:sz w:val="18"/>
                <w:szCs w:val="18"/>
              </w:rPr>
              <w:t>Nota: Responda las preguntas 4 y 5 a continuación antes de pasar a la pregunta 5</w:t>
            </w:r>
          </w:p>
        </w:tc>
        <w:tc>
          <w:tcPr>
            <w:tcW w:w="4235" w:type="dxa"/>
            <w:shd w:val="clear" w:color="auto" w:fill="548DD4"/>
          </w:tcPr>
          <w:p w14:paraId="7B69AA8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b/>
                <w:sz w:val="20"/>
                <w:szCs w:val="20"/>
              </w:rPr>
              <w:t>PREGUNTA 6: ¿Qué medidas de evaluación y gestión social y ambiental se han tomado y/o se requieren para abordar los posibles riesgos (para riesgos de importancia moderada a alta)?</w:t>
            </w:r>
          </w:p>
        </w:tc>
      </w:tr>
      <w:tr w:rsidR="00642D63" w14:paraId="60630EAC" w14:textId="77777777">
        <w:tc>
          <w:tcPr>
            <w:tcW w:w="4239" w:type="dxa"/>
            <w:shd w:val="clear" w:color="auto" w:fill="C6D9F1"/>
          </w:tcPr>
          <w:p w14:paraId="4DBDC3D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b/>
                <w:i/>
                <w:sz w:val="18"/>
                <w:szCs w:val="18"/>
              </w:rPr>
              <w:t>Descripción del riesgo</w:t>
            </w:r>
          </w:p>
        </w:tc>
        <w:tc>
          <w:tcPr>
            <w:tcW w:w="1508" w:type="dxa"/>
            <w:shd w:val="clear" w:color="auto" w:fill="C6D9F1"/>
          </w:tcPr>
          <w:p w14:paraId="040E01C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b/>
                <w:i/>
                <w:sz w:val="18"/>
                <w:szCs w:val="18"/>
              </w:rPr>
              <w:t>Impacto y probabilidad (1-5)</w:t>
            </w:r>
          </w:p>
        </w:tc>
        <w:tc>
          <w:tcPr>
            <w:tcW w:w="1505" w:type="dxa"/>
            <w:shd w:val="clear" w:color="auto" w:fill="C6D9F1"/>
          </w:tcPr>
          <w:p w14:paraId="28678C8F" w14:textId="77777777" w:rsidR="00642D63" w:rsidRDefault="00761080">
            <w:pPr>
              <w:pStyle w:val="Normal1"/>
              <w:spacing w:line="276" w:lineRule="auto"/>
              <w:jc w:val="both"/>
              <w:rPr>
                <w:rFonts w:ascii="Calibri" w:eastAsia="Calibri" w:hAnsi="Calibri" w:cs="Calibri"/>
                <w:b/>
                <w:i/>
                <w:sz w:val="18"/>
                <w:szCs w:val="18"/>
              </w:rPr>
            </w:pPr>
            <w:r>
              <w:rPr>
                <w:rFonts w:ascii="Calibri" w:eastAsia="Calibri" w:hAnsi="Calibri" w:cs="Calibri"/>
                <w:b/>
                <w:i/>
                <w:sz w:val="18"/>
                <w:szCs w:val="18"/>
              </w:rPr>
              <w:t>Importancia</w:t>
            </w:r>
          </w:p>
          <w:p w14:paraId="27880C30"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b/>
                <w:i/>
                <w:sz w:val="18"/>
                <w:szCs w:val="18"/>
              </w:rPr>
              <w:t>(baja, moderada, alta)</w:t>
            </w:r>
          </w:p>
        </w:tc>
        <w:tc>
          <w:tcPr>
            <w:tcW w:w="1507" w:type="dxa"/>
            <w:gridSpan w:val="2"/>
            <w:shd w:val="clear" w:color="auto" w:fill="C6D9F1"/>
          </w:tcPr>
          <w:p w14:paraId="294856CB"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b/>
                <w:i/>
                <w:sz w:val="18"/>
                <w:szCs w:val="18"/>
              </w:rPr>
              <w:t>Comentarios</w:t>
            </w:r>
          </w:p>
        </w:tc>
        <w:tc>
          <w:tcPr>
            <w:tcW w:w="4235" w:type="dxa"/>
            <w:shd w:val="clear" w:color="auto" w:fill="C6D9F1"/>
          </w:tcPr>
          <w:p w14:paraId="57367CEA"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b/>
                <w:i/>
                <w:sz w:val="18"/>
                <w:szCs w:val="18"/>
              </w:rPr>
              <w:t>Descripción de las medidas de evaluación y gestión según se reflejan en el diseño del proyecto. Si se requiere una ESIA o SESA, tome en cuenta que deben considerar todos los posibles impactos y riesgos.</w:t>
            </w:r>
          </w:p>
        </w:tc>
      </w:tr>
      <w:tr w:rsidR="00642D63" w14:paraId="691DF87C" w14:textId="77777777">
        <w:tc>
          <w:tcPr>
            <w:tcW w:w="4239" w:type="dxa"/>
            <w:vAlign w:val="center"/>
          </w:tcPr>
          <w:p w14:paraId="5336CB61" w14:textId="77777777" w:rsidR="00642D63" w:rsidRDefault="00761080">
            <w:pPr>
              <w:pStyle w:val="Normal1"/>
              <w:spacing w:after="200" w:line="276" w:lineRule="auto"/>
              <w:jc w:val="both"/>
              <w:rPr>
                <w:rFonts w:ascii="Calibri" w:eastAsia="Calibri" w:hAnsi="Calibri" w:cs="Calibri"/>
                <w:sz w:val="18"/>
                <w:szCs w:val="18"/>
              </w:rPr>
            </w:pPr>
            <w:r>
              <w:rPr>
                <w:rFonts w:ascii="Calibri" w:eastAsia="Calibri" w:hAnsi="Calibri" w:cs="Calibri"/>
                <w:sz w:val="18"/>
                <w:szCs w:val="18"/>
              </w:rPr>
              <w:t>No se identificaron riesgos ambientales.</w:t>
            </w:r>
          </w:p>
        </w:tc>
        <w:tc>
          <w:tcPr>
            <w:tcW w:w="1508" w:type="dxa"/>
          </w:tcPr>
          <w:p w14:paraId="78251B7B" w14:textId="77777777" w:rsidR="00642D63" w:rsidRDefault="00761080">
            <w:pPr>
              <w:pStyle w:val="Normal1"/>
              <w:spacing w:after="200" w:line="276" w:lineRule="auto"/>
              <w:jc w:val="both"/>
              <w:rPr>
                <w:rFonts w:ascii="Calibri" w:eastAsia="Calibri" w:hAnsi="Calibri" w:cs="Calibri"/>
                <w:sz w:val="18"/>
                <w:szCs w:val="18"/>
              </w:rPr>
            </w:pPr>
            <w:r>
              <w:rPr>
                <w:rFonts w:ascii="Calibri" w:eastAsia="Calibri" w:hAnsi="Calibri" w:cs="Calibri"/>
                <w:sz w:val="18"/>
                <w:szCs w:val="18"/>
              </w:rPr>
              <w:t>No aplica, ya que no se identificaron riesgos ambientales</w:t>
            </w:r>
          </w:p>
        </w:tc>
        <w:tc>
          <w:tcPr>
            <w:tcW w:w="1505" w:type="dxa"/>
          </w:tcPr>
          <w:p w14:paraId="429C3651" w14:textId="77777777" w:rsidR="00642D63" w:rsidRDefault="00761080">
            <w:pPr>
              <w:pStyle w:val="Normal1"/>
              <w:spacing w:after="200" w:line="276" w:lineRule="auto"/>
              <w:jc w:val="both"/>
              <w:rPr>
                <w:rFonts w:ascii="Calibri" w:eastAsia="Calibri" w:hAnsi="Calibri" w:cs="Calibri"/>
                <w:b/>
                <w:sz w:val="18"/>
                <w:szCs w:val="18"/>
              </w:rPr>
            </w:pPr>
            <w:r>
              <w:rPr>
                <w:rFonts w:ascii="Calibri" w:eastAsia="Calibri" w:hAnsi="Calibri" w:cs="Calibri"/>
                <w:sz w:val="18"/>
                <w:szCs w:val="18"/>
              </w:rPr>
              <w:t>No aplica, ya que no se identificaron riesgos ambientales</w:t>
            </w:r>
          </w:p>
        </w:tc>
        <w:tc>
          <w:tcPr>
            <w:tcW w:w="1507" w:type="dxa"/>
            <w:gridSpan w:val="2"/>
          </w:tcPr>
          <w:p w14:paraId="7DDCAC58" w14:textId="77777777" w:rsidR="00642D63" w:rsidRDefault="00642D63">
            <w:pPr>
              <w:pStyle w:val="Normal1"/>
              <w:spacing w:after="200" w:line="276" w:lineRule="auto"/>
              <w:jc w:val="both"/>
              <w:rPr>
                <w:rFonts w:ascii="Calibri" w:eastAsia="Calibri" w:hAnsi="Calibri" w:cs="Calibri"/>
                <w:b/>
                <w:sz w:val="18"/>
                <w:szCs w:val="18"/>
              </w:rPr>
            </w:pPr>
          </w:p>
        </w:tc>
        <w:tc>
          <w:tcPr>
            <w:tcW w:w="4235" w:type="dxa"/>
          </w:tcPr>
          <w:p w14:paraId="15CCB3E4" w14:textId="77777777" w:rsidR="00642D63" w:rsidRDefault="00761080">
            <w:pPr>
              <w:pStyle w:val="Normal1"/>
              <w:spacing w:after="200" w:line="276" w:lineRule="auto"/>
              <w:jc w:val="both"/>
              <w:rPr>
                <w:rFonts w:ascii="Calibri" w:eastAsia="Calibri" w:hAnsi="Calibri" w:cs="Calibri"/>
                <w:b/>
                <w:sz w:val="18"/>
                <w:szCs w:val="18"/>
              </w:rPr>
            </w:pPr>
            <w:r>
              <w:rPr>
                <w:rFonts w:ascii="Calibri" w:eastAsia="Calibri" w:hAnsi="Calibri" w:cs="Calibri"/>
                <w:sz w:val="18"/>
                <w:szCs w:val="18"/>
              </w:rPr>
              <w:t>No aplica, ya que no se identificaron riesgos ambientales</w:t>
            </w:r>
          </w:p>
        </w:tc>
      </w:tr>
      <w:tr w:rsidR="00642D63" w14:paraId="3281DA08" w14:textId="77777777">
        <w:tc>
          <w:tcPr>
            <w:tcW w:w="4239" w:type="dxa"/>
            <w:vMerge w:val="restart"/>
          </w:tcPr>
          <w:p w14:paraId="3DD291E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8755" w:type="dxa"/>
            <w:gridSpan w:val="5"/>
            <w:shd w:val="clear" w:color="auto" w:fill="548DD4"/>
          </w:tcPr>
          <w:p w14:paraId="52341120"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b/>
                <w:sz w:val="20"/>
                <w:szCs w:val="20"/>
              </w:rPr>
              <w:t>PREGUNTA 4: ¿Cuál es la categorización general del riesgo del proyecto?</w:t>
            </w:r>
          </w:p>
        </w:tc>
      </w:tr>
      <w:tr w:rsidR="00642D63" w14:paraId="67D3FB1E" w14:textId="77777777">
        <w:tc>
          <w:tcPr>
            <w:tcW w:w="4239" w:type="dxa"/>
            <w:vMerge/>
          </w:tcPr>
          <w:p w14:paraId="3A9643D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520" w:type="dxa"/>
            <w:gridSpan w:val="4"/>
          </w:tcPr>
          <w:p w14:paraId="31B56E44" w14:textId="77777777" w:rsidR="00642D63" w:rsidRDefault="00761080">
            <w:pPr>
              <w:pStyle w:val="Normal1"/>
              <w:spacing w:line="276" w:lineRule="auto"/>
              <w:jc w:val="both"/>
              <w:rPr>
                <w:rFonts w:ascii="Calibri" w:eastAsia="Calibri" w:hAnsi="Calibri" w:cs="Calibri"/>
                <w:b/>
                <w:sz w:val="18"/>
                <w:szCs w:val="18"/>
              </w:rPr>
            </w:pPr>
            <w:r>
              <w:rPr>
                <w:rFonts w:ascii="Calibri" w:eastAsia="Calibri" w:hAnsi="Calibri" w:cs="Calibri"/>
                <w:sz w:val="18"/>
                <w:szCs w:val="18"/>
              </w:rPr>
              <w:t>Marque el recuadro correspondiente a continuación.</w:t>
            </w:r>
          </w:p>
        </w:tc>
        <w:tc>
          <w:tcPr>
            <w:tcW w:w="4235" w:type="dxa"/>
          </w:tcPr>
          <w:p w14:paraId="1853F46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b/>
                <w:sz w:val="18"/>
                <w:szCs w:val="18"/>
              </w:rPr>
              <w:t>Comentarios</w:t>
            </w:r>
          </w:p>
        </w:tc>
      </w:tr>
      <w:tr w:rsidR="00642D63" w14:paraId="758D6CCB" w14:textId="77777777">
        <w:tc>
          <w:tcPr>
            <w:tcW w:w="4239" w:type="dxa"/>
            <w:vMerge/>
          </w:tcPr>
          <w:p w14:paraId="4A5596B9"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031" w:type="dxa"/>
            <w:gridSpan w:val="3"/>
          </w:tcPr>
          <w:p w14:paraId="50841577"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b/>
                <w:i/>
                <w:sz w:val="18"/>
                <w:szCs w:val="18"/>
              </w:rPr>
              <w:t>Riesgo bajo</w:t>
            </w:r>
          </w:p>
        </w:tc>
        <w:tc>
          <w:tcPr>
            <w:tcW w:w="489" w:type="dxa"/>
          </w:tcPr>
          <w:p w14:paraId="7638636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rPr>
            </w:pPr>
            <w:r>
              <w:rPr>
                <w:rFonts w:ascii="Calibri" w:eastAsia="Calibri" w:hAnsi="Calibri" w:cs="Calibri"/>
                <w:b/>
              </w:rPr>
              <w:t>x</w:t>
            </w:r>
          </w:p>
        </w:tc>
        <w:tc>
          <w:tcPr>
            <w:tcW w:w="4235" w:type="dxa"/>
          </w:tcPr>
          <w:p w14:paraId="6C4A32D8"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r>
      <w:tr w:rsidR="00642D63" w14:paraId="07FDBA9E" w14:textId="77777777">
        <w:tc>
          <w:tcPr>
            <w:tcW w:w="4239" w:type="dxa"/>
            <w:vMerge/>
          </w:tcPr>
          <w:p w14:paraId="4D93B05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031" w:type="dxa"/>
            <w:gridSpan w:val="3"/>
          </w:tcPr>
          <w:p w14:paraId="35E0D88A"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b/>
                <w:i/>
                <w:sz w:val="18"/>
                <w:szCs w:val="18"/>
              </w:rPr>
              <w:t>Riesgo moderado</w:t>
            </w:r>
          </w:p>
        </w:tc>
        <w:tc>
          <w:tcPr>
            <w:tcW w:w="489" w:type="dxa"/>
          </w:tcPr>
          <w:p w14:paraId="0DE0054C"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235" w:type="dxa"/>
          </w:tcPr>
          <w:p w14:paraId="6637DBF2"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r>
      <w:tr w:rsidR="00642D63" w14:paraId="4C26F95F" w14:textId="77777777">
        <w:tc>
          <w:tcPr>
            <w:tcW w:w="4239" w:type="dxa"/>
            <w:vMerge/>
          </w:tcPr>
          <w:p w14:paraId="2BED01DD"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031" w:type="dxa"/>
            <w:gridSpan w:val="3"/>
          </w:tcPr>
          <w:p w14:paraId="3E6D332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b/>
                <w:i/>
                <w:sz w:val="18"/>
                <w:szCs w:val="18"/>
              </w:rPr>
              <w:t>Riesgo alto</w:t>
            </w:r>
          </w:p>
        </w:tc>
        <w:tc>
          <w:tcPr>
            <w:tcW w:w="489" w:type="dxa"/>
          </w:tcPr>
          <w:p w14:paraId="7E5158E1"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235" w:type="dxa"/>
          </w:tcPr>
          <w:p w14:paraId="11CBA288"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r>
      <w:tr w:rsidR="00642D63" w14:paraId="07925268" w14:textId="77777777">
        <w:tc>
          <w:tcPr>
            <w:tcW w:w="4239" w:type="dxa"/>
            <w:vMerge w:val="restart"/>
          </w:tcPr>
          <w:p w14:paraId="0E3993AC"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8755" w:type="dxa"/>
            <w:gridSpan w:val="5"/>
            <w:shd w:val="clear" w:color="auto" w:fill="548DD4"/>
          </w:tcPr>
          <w:p w14:paraId="51E2DF0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b/>
                <w:sz w:val="20"/>
                <w:szCs w:val="20"/>
              </w:rPr>
              <w:t>PREGUNTA 5: Sobre la base de los riesgos identificados y su categorización, ¿cuáles son los requisitos relevantes de los siguientes estándares ambientales?</w:t>
            </w:r>
          </w:p>
        </w:tc>
      </w:tr>
      <w:tr w:rsidR="00642D63" w14:paraId="4C6C152E" w14:textId="77777777">
        <w:tc>
          <w:tcPr>
            <w:tcW w:w="4239" w:type="dxa"/>
            <w:vMerge/>
          </w:tcPr>
          <w:p w14:paraId="13700ADE"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520" w:type="dxa"/>
            <w:gridSpan w:val="4"/>
          </w:tcPr>
          <w:p w14:paraId="4C5DAB22"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sz w:val="18"/>
                <w:szCs w:val="18"/>
              </w:rPr>
              <w:t>Marque todos los que aplican.</w:t>
            </w:r>
          </w:p>
        </w:tc>
        <w:tc>
          <w:tcPr>
            <w:tcW w:w="4235" w:type="dxa"/>
          </w:tcPr>
          <w:p w14:paraId="407B11F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b/>
                <w:sz w:val="18"/>
                <w:szCs w:val="18"/>
              </w:rPr>
              <w:t>Comentarios</w:t>
            </w:r>
          </w:p>
        </w:tc>
      </w:tr>
      <w:tr w:rsidR="00642D63" w14:paraId="3F140793" w14:textId="77777777">
        <w:tc>
          <w:tcPr>
            <w:tcW w:w="4239" w:type="dxa"/>
            <w:vMerge/>
          </w:tcPr>
          <w:p w14:paraId="69755C40"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031" w:type="dxa"/>
            <w:gridSpan w:val="3"/>
          </w:tcPr>
          <w:p w14:paraId="5660FB9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i/>
                <w:sz w:val="18"/>
                <w:szCs w:val="18"/>
              </w:rPr>
            </w:pPr>
            <w:r>
              <w:rPr>
                <w:rFonts w:ascii="Calibri" w:eastAsia="Calibri" w:hAnsi="Calibri" w:cs="Calibri"/>
                <w:b/>
                <w:i/>
                <w:sz w:val="18"/>
                <w:szCs w:val="18"/>
              </w:rPr>
              <w:t>1. Conservación de la biodiversidad y gestión de los recursos naturales</w:t>
            </w:r>
          </w:p>
        </w:tc>
        <w:tc>
          <w:tcPr>
            <w:tcW w:w="489" w:type="dxa"/>
          </w:tcPr>
          <w:p w14:paraId="61A07864"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235" w:type="dxa"/>
          </w:tcPr>
          <w:p w14:paraId="6437786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sz w:val="18"/>
                <w:szCs w:val="18"/>
              </w:rPr>
              <w:t>No aplica</w:t>
            </w:r>
          </w:p>
        </w:tc>
      </w:tr>
      <w:tr w:rsidR="00642D63" w14:paraId="4B77F97F" w14:textId="77777777">
        <w:tc>
          <w:tcPr>
            <w:tcW w:w="4239" w:type="dxa"/>
            <w:vMerge/>
          </w:tcPr>
          <w:p w14:paraId="7E7376A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031" w:type="dxa"/>
            <w:gridSpan w:val="3"/>
          </w:tcPr>
          <w:p w14:paraId="2E9BE63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i/>
                <w:sz w:val="18"/>
                <w:szCs w:val="18"/>
              </w:rPr>
            </w:pPr>
            <w:r>
              <w:rPr>
                <w:rFonts w:ascii="Calibri" w:eastAsia="Calibri" w:hAnsi="Calibri" w:cs="Calibri"/>
                <w:b/>
                <w:i/>
                <w:sz w:val="18"/>
                <w:szCs w:val="18"/>
              </w:rPr>
              <w:t>2. Mitigación y adaptación al cambio climático</w:t>
            </w:r>
          </w:p>
        </w:tc>
        <w:tc>
          <w:tcPr>
            <w:tcW w:w="489" w:type="dxa"/>
          </w:tcPr>
          <w:p w14:paraId="2DDBCE6F"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235" w:type="dxa"/>
          </w:tcPr>
          <w:p w14:paraId="648B34D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sz w:val="18"/>
                <w:szCs w:val="18"/>
              </w:rPr>
              <w:t>Ambas organizaciones implementadoras, tienen una política de reducción del impacto ambiental. CERAC cuenta con una política de reciclaje y reducción de la huella hídrica y de carbono desde hace cinco años. CINEP cuenta con una política ambiental como parte de su gestión de calidad y sostenibilidad</w:t>
            </w:r>
          </w:p>
        </w:tc>
      </w:tr>
      <w:tr w:rsidR="00642D63" w14:paraId="5B50B207" w14:textId="77777777">
        <w:tc>
          <w:tcPr>
            <w:tcW w:w="4239" w:type="dxa"/>
            <w:vMerge/>
          </w:tcPr>
          <w:p w14:paraId="54AB569A"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031" w:type="dxa"/>
            <w:gridSpan w:val="3"/>
          </w:tcPr>
          <w:p w14:paraId="4C26272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i/>
                <w:sz w:val="18"/>
                <w:szCs w:val="18"/>
              </w:rPr>
            </w:pPr>
            <w:r>
              <w:rPr>
                <w:rFonts w:ascii="Calibri" w:eastAsia="Calibri" w:hAnsi="Calibri" w:cs="Calibri"/>
                <w:b/>
                <w:i/>
                <w:sz w:val="18"/>
                <w:szCs w:val="18"/>
              </w:rPr>
              <w:t>3. Patrimonio cultural</w:t>
            </w:r>
          </w:p>
        </w:tc>
        <w:tc>
          <w:tcPr>
            <w:tcW w:w="489" w:type="dxa"/>
          </w:tcPr>
          <w:p w14:paraId="6EB857B5"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235" w:type="dxa"/>
          </w:tcPr>
          <w:p w14:paraId="3109AD7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sz w:val="18"/>
                <w:szCs w:val="18"/>
              </w:rPr>
              <w:t>No aplica</w:t>
            </w:r>
          </w:p>
        </w:tc>
      </w:tr>
      <w:tr w:rsidR="00642D63" w14:paraId="78C58146" w14:textId="77777777">
        <w:tc>
          <w:tcPr>
            <w:tcW w:w="4239" w:type="dxa"/>
            <w:vMerge/>
          </w:tcPr>
          <w:p w14:paraId="41CAA3CA"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031" w:type="dxa"/>
            <w:gridSpan w:val="3"/>
          </w:tcPr>
          <w:p w14:paraId="15FA4FC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i/>
                <w:sz w:val="18"/>
                <w:szCs w:val="18"/>
              </w:rPr>
            </w:pPr>
            <w:r>
              <w:rPr>
                <w:rFonts w:ascii="Calibri" w:eastAsia="Calibri" w:hAnsi="Calibri" w:cs="Calibri"/>
                <w:b/>
                <w:i/>
                <w:sz w:val="18"/>
                <w:szCs w:val="18"/>
              </w:rPr>
              <w:t>4. Pueblos indígenas</w:t>
            </w:r>
          </w:p>
        </w:tc>
        <w:tc>
          <w:tcPr>
            <w:tcW w:w="489" w:type="dxa"/>
          </w:tcPr>
          <w:p w14:paraId="3ED36580"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235" w:type="dxa"/>
          </w:tcPr>
          <w:p w14:paraId="4EE9C20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sz w:val="18"/>
                <w:szCs w:val="18"/>
              </w:rPr>
              <w:t>No aplica</w:t>
            </w:r>
          </w:p>
        </w:tc>
      </w:tr>
      <w:tr w:rsidR="00642D63" w14:paraId="2E2333DD" w14:textId="77777777">
        <w:tc>
          <w:tcPr>
            <w:tcW w:w="4239" w:type="dxa"/>
            <w:vMerge/>
          </w:tcPr>
          <w:p w14:paraId="4BFD4880"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031" w:type="dxa"/>
            <w:gridSpan w:val="3"/>
          </w:tcPr>
          <w:p w14:paraId="4ED329E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i/>
                <w:sz w:val="18"/>
                <w:szCs w:val="18"/>
              </w:rPr>
            </w:pPr>
            <w:r>
              <w:rPr>
                <w:rFonts w:ascii="Calibri" w:eastAsia="Calibri" w:hAnsi="Calibri" w:cs="Calibri"/>
                <w:b/>
                <w:i/>
                <w:sz w:val="18"/>
                <w:szCs w:val="18"/>
              </w:rPr>
              <w:t>5. Prevención de la contaminación y uso eficiente de los recursos</w:t>
            </w:r>
          </w:p>
        </w:tc>
        <w:tc>
          <w:tcPr>
            <w:tcW w:w="489" w:type="dxa"/>
          </w:tcPr>
          <w:p w14:paraId="15FB1667"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p>
        </w:tc>
        <w:tc>
          <w:tcPr>
            <w:tcW w:w="4235" w:type="dxa"/>
          </w:tcPr>
          <w:p w14:paraId="5C97299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b/>
                <w:color w:val="4F81BD"/>
              </w:rPr>
            </w:pPr>
            <w:r>
              <w:rPr>
                <w:rFonts w:ascii="Calibri" w:eastAsia="Calibri" w:hAnsi="Calibri" w:cs="Calibri"/>
                <w:sz w:val="18"/>
                <w:szCs w:val="18"/>
              </w:rPr>
              <w:t>No aplica</w:t>
            </w:r>
          </w:p>
        </w:tc>
      </w:tr>
    </w:tbl>
    <w:p w14:paraId="17896CFF" w14:textId="77777777" w:rsidR="00642D63" w:rsidRDefault="00642D63">
      <w:pPr>
        <w:pStyle w:val="Normal1"/>
        <w:tabs>
          <w:tab w:val="left" w:pos="360"/>
        </w:tabs>
        <w:spacing w:line="240" w:lineRule="auto"/>
        <w:jc w:val="both"/>
      </w:pPr>
    </w:p>
    <w:p w14:paraId="0E271F99" w14:textId="77777777" w:rsidR="00642D63" w:rsidRDefault="00761080" w:rsidP="002631FE">
      <w:pPr>
        <w:pStyle w:val="Normal1"/>
        <w:pBdr>
          <w:top w:val="none" w:sz="0" w:space="0" w:color="000000"/>
          <w:left w:val="none" w:sz="0" w:space="0" w:color="000000"/>
          <w:bottom w:val="none" w:sz="0" w:space="0" w:color="000000"/>
          <w:right w:val="none" w:sz="0" w:space="0" w:color="000000"/>
          <w:between w:val="none" w:sz="0" w:space="0" w:color="000000"/>
        </w:pBdr>
        <w:spacing w:after="200"/>
        <w:jc w:val="both"/>
        <w:sectPr w:rsidR="00642D63" w:rsidSect="002631FE">
          <w:pgSz w:w="15840" w:h="12240" w:orient="landscape"/>
          <w:pgMar w:top="1417" w:right="1700" w:bottom="1417" w:left="1700" w:header="0" w:footer="720" w:gutter="0"/>
          <w:cols w:space="720"/>
          <w:docGrid w:linePitch="299"/>
        </w:sectPr>
      </w:pPr>
      <w:r>
        <w:br w:type="page"/>
      </w:r>
    </w:p>
    <w:p w14:paraId="0DF3E376" w14:textId="77777777" w:rsidR="00642D63" w:rsidRDefault="00642D63">
      <w:pPr>
        <w:pStyle w:val="Normal1"/>
        <w:widowControl w:val="0"/>
      </w:pPr>
    </w:p>
    <w:tbl>
      <w:tblPr>
        <w:tblStyle w:val="a5"/>
        <w:tblW w:w="8818" w:type="dxa"/>
        <w:tblInd w:w="0" w:type="dxa"/>
        <w:tblLayout w:type="fixed"/>
        <w:tblLook w:val="0400" w:firstRow="0" w:lastRow="0" w:firstColumn="0" w:lastColumn="0" w:noHBand="0" w:noVBand="1"/>
      </w:tblPr>
      <w:tblGrid>
        <w:gridCol w:w="7935"/>
        <w:gridCol w:w="883"/>
      </w:tblGrid>
      <w:tr w:rsidR="00642D63" w14:paraId="3816E646" w14:textId="77777777">
        <w:trPr>
          <w:trHeight w:val="300"/>
        </w:trPr>
        <w:tc>
          <w:tcPr>
            <w:tcW w:w="7935"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69E627"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Calibri" w:eastAsia="Calibri" w:hAnsi="Calibri" w:cs="Calibri"/>
                <w:b/>
                <w:i/>
              </w:rPr>
              <w:t xml:space="preserve">Lista de verificación de los posibles </w:t>
            </w:r>
            <w:r>
              <w:rPr>
                <w:rFonts w:ascii="Calibri" w:eastAsia="Calibri" w:hAnsi="Calibri" w:cs="Calibri"/>
                <w:b/>
                <w:i/>
                <w:u w:val="single"/>
              </w:rPr>
              <w:t>riesgos</w:t>
            </w:r>
            <w:r>
              <w:rPr>
                <w:rFonts w:ascii="Calibri" w:eastAsia="Calibri" w:hAnsi="Calibri" w:cs="Calibri"/>
                <w:b/>
                <w:i/>
              </w:rPr>
              <w:t xml:space="preserve"> ambientales</w:t>
            </w:r>
          </w:p>
        </w:tc>
        <w:tc>
          <w:tcPr>
            <w:tcW w:w="883"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AF6086"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tc>
      </w:tr>
      <w:tr w:rsidR="00642D63" w14:paraId="58551C53" w14:textId="77777777">
        <w:trPr>
          <w:trHeight w:val="640"/>
        </w:trPr>
        <w:tc>
          <w:tcPr>
            <w:tcW w:w="793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18CCCF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Times New Roman" w:eastAsia="Times New Roman" w:hAnsi="Times New Roman" w:cs="Times New Roman"/>
                <w:sz w:val="24"/>
                <w:szCs w:val="24"/>
              </w:rPr>
            </w:pPr>
            <w:r>
              <w:rPr>
                <w:rFonts w:ascii="Calibri" w:eastAsia="Calibri" w:hAnsi="Calibri" w:cs="Calibri"/>
                <w:b/>
                <w:i/>
                <w:sz w:val="18"/>
                <w:szCs w:val="18"/>
              </w:rPr>
              <w:t xml:space="preserve">Principio: Sostenibilidad ambiental: </w:t>
            </w:r>
            <w:r>
              <w:rPr>
                <w:rFonts w:ascii="Calibri" w:eastAsia="Calibri" w:hAnsi="Calibri" w:cs="Calibri"/>
                <w:i/>
                <w:sz w:val="18"/>
                <w:szCs w:val="18"/>
              </w:rPr>
              <w:t>Las preguntas referidas al diagnóstico de los riesgos ambientales se incluyen en las preguntas relacionadas con el estándar específico a continuación.</w:t>
            </w:r>
          </w:p>
        </w:tc>
        <w:tc>
          <w:tcPr>
            <w:tcW w:w="88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1A103A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Calibri" w:eastAsia="Calibri" w:hAnsi="Calibri" w:cs="Calibri"/>
                <w:b/>
                <w:i/>
                <w:sz w:val="16"/>
                <w:szCs w:val="16"/>
              </w:rPr>
              <w:t>Respuesta</w:t>
            </w:r>
          </w:p>
          <w:p w14:paraId="49157C79"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Calibri" w:eastAsia="Calibri" w:hAnsi="Calibri" w:cs="Calibri"/>
                <w:b/>
                <w:i/>
                <w:sz w:val="16"/>
                <w:szCs w:val="16"/>
              </w:rPr>
              <w:t>(Sí/No)</w:t>
            </w:r>
          </w:p>
        </w:tc>
      </w:tr>
      <w:tr w:rsidR="00642D63" w14:paraId="02BF9A26" w14:textId="77777777">
        <w:trPr>
          <w:trHeight w:val="420"/>
        </w:trPr>
        <w:tc>
          <w:tcPr>
            <w:tcW w:w="793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42C8B5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Times New Roman" w:eastAsia="Times New Roman" w:hAnsi="Times New Roman" w:cs="Times New Roman"/>
                <w:sz w:val="24"/>
                <w:szCs w:val="24"/>
              </w:rPr>
            </w:pPr>
            <w:r>
              <w:rPr>
                <w:rFonts w:ascii="Calibri" w:eastAsia="Calibri" w:hAnsi="Calibri" w:cs="Calibri"/>
                <w:b/>
                <w:i/>
                <w:sz w:val="18"/>
                <w:szCs w:val="18"/>
              </w:rPr>
              <w:t>Estándar 1: Conservación de la biodiversidad y gestión sostenible de los recursos naturales</w:t>
            </w:r>
          </w:p>
        </w:tc>
        <w:tc>
          <w:tcPr>
            <w:tcW w:w="88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BEA9E16"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tc>
      </w:tr>
      <w:tr w:rsidR="00642D63" w14:paraId="681B4B78" w14:textId="77777777">
        <w:trPr>
          <w:trHeight w:val="130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9435A"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1.1    </w:t>
            </w:r>
            <w:r>
              <w:rPr>
                <w:rFonts w:ascii="Calibri" w:eastAsia="Calibri" w:hAnsi="Calibri" w:cs="Calibri"/>
                <w:i/>
                <w:sz w:val="18"/>
                <w:szCs w:val="18"/>
              </w:rPr>
              <w:tab/>
              <w:t>¿Podría el proyecto afectar adversamente los hábitats (por ejemplo, hábitats modificados, naturales y críticos) y/o en los ecosistemas o los servicios que estos prestan?</w:t>
            </w:r>
          </w:p>
          <w:p w14:paraId="2BE9993C"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p w14:paraId="3BA84C7C"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Por ejemplo, a través de la pérdida, la conversión, la degradación o la fragmentación de los hábitats y los cambios hidrológicos.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AF66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Calibri" w:eastAsia="Calibri" w:hAnsi="Calibri" w:cs="Calibri"/>
                <w:i/>
                <w:sz w:val="18"/>
                <w:szCs w:val="18"/>
              </w:rPr>
              <w:t xml:space="preserve">No </w:t>
            </w:r>
          </w:p>
        </w:tc>
      </w:tr>
      <w:tr w:rsidR="00642D63" w14:paraId="249D4781" w14:textId="77777777">
        <w:trPr>
          <w:trHeight w:val="110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B1F12"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1.2    </w:t>
            </w:r>
            <w:r>
              <w:rPr>
                <w:rFonts w:ascii="Calibri" w:eastAsia="Calibri" w:hAnsi="Calibri" w:cs="Calibri"/>
                <w:i/>
                <w:sz w:val="18"/>
                <w:szCs w:val="18"/>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3E5A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556A807B" w14:textId="77777777">
        <w:trPr>
          <w:trHeight w:val="88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CD690"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1.3    </w:t>
            </w:r>
            <w:r>
              <w:rPr>
                <w:rFonts w:ascii="Calibri" w:eastAsia="Calibri" w:hAnsi="Calibri" w:cs="Calibri"/>
                <w:i/>
                <w:sz w:val="18"/>
                <w:szCs w:val="18"/>
              </w:rPr>
              <w:tab/>
              <w:t>¿Involucra el proyecto cambios en el uso del suelo y los recursos que podrían afectar adversamente los hábitats, los ecosistemas y/o los medios de sustento? (Nota: Si se deben aplicar restricciones y/o limitaciones de acceso a las tierras, vea el Estándar 5).</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01CB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2B7EBDAD" w14:textId="77777777">
        <w:trPr>
          <w:trHeight w:val="30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FCD0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1.4    </w:t>
            </w:r>
            <w:r>
              <w:rPr>
                <w:rFonts w:ascii="Calibri" w:eastAsia="Calibri" w:hAnsi="Calibri" w:cs="Calibri"/>
                <w:i/>
                <w:sz w:val="18"/>
                <w:szCs w:val="18"/>
              </w:rPr>
              <w:tab/>
              <w:t>¿Las actividades del proyecto plantean riesgos para especies en peligro de extinción?</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90697"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219F4FDA" w14:textId="77777777">
        <w:trPr>
          <w:trHeight w:val="42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F6220"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1.5    </w:t>
            </w:r>
            <w:r>
              <w:rPr>
                <w:rFonts w:ascii="Calibri" w:eastAsia="Calibri" w:hAnsi="Calibri" w:cs="Calibri"/>
                <w:i/>
                <w:sz w:val="18"/>
                <w:szCs w:val="18"/>
              </w:rPr>
              <w:tab/>
              <w:t>¿El proyecto plantea el riesgo de introducción de especies exóticas invasivas?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43C0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6F6E4D06" w14:textId="77777777">
        <w:trPr>
          <w:trHeight w:val="40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7355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1.6    </w:t>
            </w:r>
            <w:r>
              <w:rPr>
                <w:rFonts w:ascii="Calibri" w:eastAsia="Calibri" w:hAnsi="Calibri" w:cs="Calibri"/>
                <w:i/>
                <w:sz w:val="18"/>
                <w:szCs w:val="18"/>
              </w:rPr>
              <w:tab/>
              <w:t>¿Involucra el proyecto la cosecha de bosques naturales, desarrollo de plantaciones o reforestación?</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60799"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454C68ED" w14:textId="77777777">
        <w:trPr>
          <w:trHeight w:val="52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DD437"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1.7    </w:t>
            </w:r>
            <w:r>
              <w:rPr>
                <w:rFonts w:ascii="Calibri" w:eastAsia="Calibri" w:hAnsi="Calibri" w:cs="Calibri"/>
                <w:i/>
                <w:sz w:val="18"/>
                <w:szCs w:val="18"/>
              </w:rPr>
              <w:tab/>
              <w:t>¿Involucra el proyecto la producción y/o cosecha de poblaciones de peces u otras especies acuáticas?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337B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0670FEFD" w14:textId="77777777">
        <w:trPr>
          <w:trHeight w:val="100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22DF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1.8    </w:t>
            </w:r>
            <w:r>
              <w:rPr>
                <w:rFonts w:ascii="Calibri" w:eastAsia="Calibri" w:hAnsi="Calibri" w:cs="Calibri"/>
                <w:i/>
                <w:sz w:val="18"/>
                <w:szCs w:val="18"/>
              </w:rPr>
              <w:tab/>
              <w:t>¿Involucra el proyecto la extracción, el desvío o la acumulación significativa de aguas superficiales o subterráneas?</w:t>
            </w:r>
          </w:p>
          <w:p w14:paraId="1489CC0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 Por ejemplo, construcción de represas, embalses, desarrollo de cuencas fluviales, extracción de aguas subterráneas.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4C89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62980D35" w14:textId="77777777">
        <w:trPr>
          <w:trHeight w:val="62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2DC1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1.9    </w:t>
            </w:r>
            <w:r>
              <w:rPr>
                <w:rFonts w:ascii="Calibri" w:eastAsia="Calibri" w:hAnsi="Calibri" w:cs="Calibri"/>
                <w:i/>
                <w:sz w:val="18"/>
                <w:szCs w:val="18"/>
              </w:rPr>
              <w:tab/>
              <w:t>¿Involucra el proyecto el uso de recurso genéticos (es decir, recolección y/o cosecha, desarrollo comercial)?</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34B2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49BFD1E2" w14:textId="77777777">
        <w:trPr>
          <w:trHeight w:val="52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FA0D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lastRenderedPageBreak/>
              <w:t>1.10  </w:t>
            </w:r>
            <w:r>
              <w:rPr>
                <w:rFonts w:ascii="Calibri" w:eastAsia="Calibri" w:hAnsi="Calibri" w:cs="Calibri"/>
                <w:i/>
                <w:sz w:val="18"/>
                <w:szCs w:val="18"/>
              </w:rPr>
              <w:tab/>
              <w:t>¿Plantea el proyecto preocupaciones ambientales transfronterizas o mundiales potencialmente adversas?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B2CBA"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083458A4" w14:textId="77777777">
        <w:trPr>
          <w:trHeight w:val="236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39DAC"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bookmarkStart w:id="1" w:name="_30j0zll" w:colFirst="0" w:colLast="0"/>
            <w:bookmarkEnd w:id="1"/>
            <w:r>
              <w:rPr>
                <w:rFonts w:ascii="Calibri" w:eastAsia="Calibri" w:hAnsi="Calibri" w:cs="Calibri"/>
                <w:i/>
                <w:sz w:val="18"/>
                <w:szCs w:val="18"/>
              </w:rPr>
              <w:t>1.11  ¿Redundará el proyecto en actividades de desarrollo secundarias o relevantes que podrían desembocar en efectos sociales y ambientales adversos, o generará impactos acumulativos con otras actividades actuales o que se están planificando en la zona?</w:t>
            </w:r>
          </w:p>
          <w:p w14:paraId="5D24AFC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 Por ejemplo, un camino nuevo a través de zonas forestadas producirá impactos sociales y ambientales adversos 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se deben considerar. Además, si se planifican actividades similares en la misma área forestada, deben considerarse los impactos acumulativos de múltiples actividades (incluso si no forman parte del mismo proyecto).</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7DBB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006A24CD" w14:textId="77777777">
        <w:trPr>
          <w:trHeight w:val="460"/>
        </w:trPr>
        <w:tc>
          <w:tcPr>
            <w:tcW w:w="793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B3953A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Times New Roman" w:eastAsia="Times New Roman" w:hAnsi="Times New Roman" w:cs="Times New Roman"/>
                <w:sz w:val="24"/>
                <w:szCs w:val="24"/>
              </w:rPr>
            </w:pPr>
            <w:r>
              <w:rPr>
                <w:rFonts w:ascii="Calibri" w:eastAsia="Calibri" w:hAnsi="Calibri" w:cs="Calibri"/>
                <w:b/>
                <w:i/>
                <w:sz w:val="18"/>
                <w:szCs w:val="18"/>
              </w:rPr>
              <w:t>Estándar 2: Mitigación y adaptación al cambio climático</w:t>
            </w:r>
          </w:p>
        </w:tc>
        <w:tc>
          <w:tcPr>
            <w:tcW w:w="88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14B4A32"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tc>
      </w:tr>
      <w:tr w:rsidR="00642D63" w14:paraId="0B0787BD" w14:textId="77777777">
        <w:trPr>
          <w:trHeight w:val="50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28EA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2.1    </w:t>
            </w:r>
            <w:r>
              <w:rPr>
                <w:rFonts w:ascii="Calibri" w:eastAsia="Calibri" w:hAnsi="Calibri" w:cs="Calibri"/>
                <w:i/>
                <w:sz w:val="18"/>
                <w:szCs w:val="18"/>
              </w:rPr>
              <w:tab/>
              <w:t>¿El proyecto que se propone producirá emisiones considerables</w:t>
            </w:r>
            <w:r>
              <w:rPr>
                <w:rFonts w:ascii="Calibri" w:eastAsia="Calibri" w:hAnsi="Calibri" w:cs="Calibri"/>
                <w:i/>
                <w:sz w:val="18"/>
                <w:szCs w:val="18"/>
                <w:vertAlign w:val="superscript"/>
              </w:rPr>
              <w:t>[1]</w:t>
            </w:r>
            <w:r>
              <w:rPr>
                <w:rFonts w:ascii="Calibri" w:eastAsia="Calibri" w:hAnsi="Calibri" w:cs="Calibri"/>
                <w:i/>
                <w:sz w:val="18"/>
                <w:szCs w:val="18"/>
              </w:rPr>
              <w:t xml:space="preserve"> de gases de efecto invernadero o agravará el cambio climático?</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6C599"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16DC6645" w14:textId="77777777">
        <w:trPr>
          <w:trHeight w:val="54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F204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2.2    </w:t>
            </w:r>
            <w:r>
              <w:rPr>
                <w:rFonts w:ascii="Calibri" w:eastAsia="Calibri" w:hAnsi="Calibri" w:cs="Calibri"/>
                <w:i/>
                <w:sz w:val="18"/>
                <w:szCs w:val="18"/>
              </w:rPr>
              <w:tab/>
              <w:t>¿Los posibles resultados del proyecto serán sensibles o vulnerables a posibles impactos del cambio climático?</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5E34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 xml:space="preserve">No </w:t>
            </w:r>
          </w:p>
        </w:tc>
      </w:tr>
      <w:tr w:rsidR="00642D63" w14:paraId="5317C04C" w14:textId="77777777">
        <w:trPr>
          <w:trHeight w:val="136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C323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2.3    </w:t>
            </w:r>
            <w:r>
              <w:rPr>
                <w:rFonts w:ascii="Calibri" w:eastAsia="Calibri" w:hAnsi="Calibri" w:cs="Calibri"/>
                <w:i/>
                <w:sz w:val="18"/>
                <w:szCs w:val="18"/>
              </w:rPr>
              <w:tab/>
              <w:t>¿Es probable que el proyecto que se propone aumente directa o indirectamente la vulnerabilidad social y ambiental al cambio climático ahora o en el futuro (conocidas también como prácticas inadaptadas)?</w:t>
            </w:r>
          </w:p>
          <w:p w14:paraId="263068D0"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Por ejemplo, los cambios en la planificación del uso del suelo pueden estimular la urbanización ulterior de terrenos inundables, posiblemente aumentando la vulnerabilidad de la población al cambio climático, especialmente a las inundaciones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1C9C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66D90F13" w14:textId="77777777">
        <w:trPr>
          <w:trHeight w:val="420"/>
        </w:trPr>
        <w:tc>
          <w:tcPr>
            <w:tcW w:w="793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13902F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b/>
                <w:i/>
                <w:sz w:val="18"/>
                <w:szCs w:val="18"/>
              </w:rPr>
              <w:t>Estándar 6: Pueblos indígenas</w:t>
            </w:r>
          </w:p>
        </w:tc>
        <w:tc>
          <w:tcPr>
            <w:tcW w:w="88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334ACE2"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tc>
      </w:tr>
      <w:tr w:rsidR="00642D63" w14:paraId="4DF8638C" w14:textId="77777777">
        <w:trPr>
          <w:trHeight w:val="42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435DA"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6.1    </w:t>
            </w:r>
            <w:r>
              <w:rPr>
                <w:rFonts w:ascii="Calibri" w:eastAsia="Calibri" w:hAnsi="Calibri" w:cs="Calibri"/>
                <w:i/>
                <w:sz w:val="18"/>
                <w:szCs w:val="18"/>
              </w:rPr>
              <w:tab/>
              <w:t>¿Hay pueblos indígenas en el área del proyecto (incluida el área de influencia del proyecto)?</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2BFE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2D909ECA" w14:textId="77777777">
        <w:trPr>
          <w:trHeight w:val="52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FC3E8"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6.2    </w:t>
            </w:r>
            <w:r>
              <w:rPr>
                <w:rFonts w:ascii="Calibri" w:eastAsia="Calibri" w:hAnsi="Calibri" w:cs="Calibri"/>
                <w:i/>
                <w:sz w:val="18"/>
                <w:szCs w:val="18"/>
              </w:rPr>
              <w:tab/>
              <w:t>¿Existe la probabilidad de que el proyecto o partes de él se ubiquen en tierras y territorios reivindicados por pueblos indígenas?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B712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39F83957" w14:textId="77777777">
        <w:trPr>
          <w:trHeight w:val="72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8791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6.3    </w:t>
            </w:r>
            <w:r>
              <w:rPr>
                <w:rFonts w:ascii="Calibri" w:eastAsia="Calibri" w:hAnsi="Calibri" w:cs="Calibri"/>
                <w:i/>
                <w:sz w:val="18"/>
                <w:szCs w:val="18"/>
              </w:rPr>
              <w:tab/>
              <w:t>¿Podría el proyecto que se propone afectar los derechos, las tierras y los territorios de pueblos indígenas (independientemente de si dichos pueblos tienen títulos de propiedad legales sobre dichos terrenos)?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A025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 xml:space="preserve">No </w:t>
            </w:r>
          </w:p>
        </w:tc>
      </w:tr>
      <w:tr w:rsidR="00642D63" w14:paraId="19BCCFF0" w14:textId="77777777">
        <w:trPr>
          <w:trHeight w:val="74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C9CD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6.4    </w:t>
            </w:r>
            <w:r>
              <w:rPr>
                <w:rFonts w:ascii="Calibri" w:eastAsia="Calibri" w:hAnsi="Calibri" w:cs="Calibri"/>
                <w:i/>
                <w:sz w:val="18"/>
                <w:szCs w:val="18"/>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AB77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63673688" w14:textId="77777777">
        <w:trPr>
          <w:trHeight w:val="58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1D8CA"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lastRenderedPageBreak/>
              <w:t>6.4    </w:t>
            </w:r>
            <w:r>
              <w:rPr>
                <w:rFonts w:ascii="Calibri" w:eastAsia="Calibri" w:hAnsi="Calibri" w:cs="Calibri"/>
                <w:i/>
                <w:sz w:val="18"/>
                <w:szCs w:val="18"/>
              </w:rPr>
              <w:tab/>
              <w:t>¿Implica el proyecto que se propone el uso y/o el desarrollo comercial de recursos naturales en tierras y territorios reivindicados por pueblos indígenas?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6BCD6"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084056AD" w14:textId="77777777">
        <w:trPr>
          <w:trHeight w:val="78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3E29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6.5    </w:t>
            </w:r>
            <w:r>
              <w:rPr>
                <w:rFonts w:ascii="Calibri" w:eastAsia="Calibri" w:hAnsi="Calibri" w:cs="Calibri"/>
                <w:i/>
                <w:sz w:val="18"/>
                <w:szCs w:val="18"/>
              </w:rPr>
              <w:tab/>
              <w:t>¿Existe la posibilidad de que se produzcan desalojos forzados o el desplazamiento económico o físico total o parcial de pueblos indígenas, incluido a través de restricciones de acceso a tierras, territorios y recursos?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9676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7BE3D769" w14:textId="77777777">
        <w:trPr>
          <w:trHeight w:val="48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9DB5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6.6    </w:t>
            </w:r>
            <w:r>
              <w:rPr>
                <w:rFonts w:ascii="Calibri" w:eastAsia="Calibri" w:hAnsi="Calibri" w:cs="Calibri"/>
                <w:i/>
                <w:sz w:val="18"/>
                <w:szCs w:val="18"/>
              </w:rPr>
              <w:tab/>
              <w:t>¿Afectará el proyecto negativamente las prioridades de desarrollo de los pueblos indígenas, tal y como ellos las definen?</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ECF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5B7347A9" w14:textId="77777777">
        <w:trPr>
          <w:trHeight w:val="54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BE31C"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6.7    </w:t>
            </w:r>
            <w:r>
              <w:rPr>
                <w:rFonts w:ascii="Calibri" w:eastAsia="Calibri" w:hAnsi="Calibri" w:cs="Calibri"/>
                <w:i/>
                <w:sz w:val="18"/>
                <w:szCs w:val="18"/>
              </w:rPr>
              <w:tab/>
              <w:t>¿Podría el proyecto afectar las formas de vida tradicionales y la supervivencia física y cultural de los pueblos indígenas?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48EB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03B906FE" w14:textId="77777777">
        <w:trPr>
          <w:trHeight w:val="58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1080A"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6.8    </w:t>
            </w:r>
            <w:r>
              <w:rPr>
                <w:rFonts w:ascii="Calibri" w:eastAsia="Calibri" w:hAnsi="Calibri" w:cs="Calibri"/>
                <w:i/>
                <w:sz w:val="18"/>
                <w:szCs w:val="18"/>
              </w:rPr>
              <w:tab/>
              <w:t>¿Podría el proyecto afectar el patrimonio cultural de los pueblos indígenas, incluido a través de la comercialización o uso de sus conocimientos y prácticas tradicionales?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E6C2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2E3B4A17" w14:textId="77777777">
        <w:trPr>
          <w:trHeight w:val="500"/>
        </w:trPr>
        <w:tc>
          <w:tcPr>
            <w:tcW w:w="793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C4DEF6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120"/>
              <w:jc w:val="both"/>
              <w:rPr>
                <w:rFonts w:ascii="Times New Roman" w:eastAsia="Times New Roman" w:hAnsi="Times New Roman" w:cs="Times New Roman"/>
                <w:sz w:val="24"/>
                <w:szCs w:val="24"/>
              </w:rPr>
            </w:pPr>
            <w:r>
              <w:rPr>
                <w:rFonts w:ascii="Calibri" w:eastAsia="Calibri" w:hAnsi="Calibri" w:cs="Calibri"/>
                <w:b/>
                <w:i/>
                <w:sz w:val="18"/>
                <w:szCs w:val="18"/>
              </w:rPr>
              <w:t>Estándar 7: Prevención de la contaminación y uso eficiente de los recursos</w:t>
            </w:r>
          </w:p>
        </w:tc>
        <w:tc>
          <w:tcPr>
            <w:tcW w:w="88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4E7086F"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tc>
      </w:tr>
      <w:tr w:rsidR="00642D63" w14:paraId="2E77F9DC" w14:textId="77777777">
        <w:trPr>
          <w:trHeight w:val="74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61DF0"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7.1    </w:t>
            </w:r>
            <w:r>
              <w:rPr>
                <w:rFonts w:ascii="Calibri" w:eastAsia="Calibri" w:hAnsi="Calibri" w:cs="Calibri"/>
                <w:i/>
                <w:sz w:val="18"/>
                <w:szCs w:val="18"/>
              </w:rPr>
              <w:tab/>
              <w:t>¿Podría el proyecto redundar en la emisión de contaminantes al medioambiente debido a circunstancias rutinarias y no rutinarias, con el potencial de causar impactos adversos locales, regionales y/o transfronterizos?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741E7"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229EBA99" w14:textId="77777777">
        <w:trPr>
          <w:trHeight w:val="60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9369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7.2    </w:t>
            </w:r>
            <w:r>
              <w:rPr>
                <w:rFonts w:ascii="Calibri" w:eastAsia="Calibri" w:hAnsi="Calibri" w:cs="Calibri"/>
                <w:i/>
                <w:sz w:val="18"/>
                <w:szCs w:val="18"/>
              </w:rPr>
              <w:tab/>
              <w:t>¿Podría el proyecto que se propone redundar en la generación de desechos (tanto peligrosos como no peligrosos)?</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F9473"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68363FEC" w14:textId="77777777">
        <w:trPr>
          <w:trHeight w:val="132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9499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7.3    </w:t>
            </w:r>
            <w:r>
              <w:rPr>
                <w:rFonts w:ascii="Calibri" w:eastAsia="Calibri" w:hAnsi="Calibri" w:cs="Calibri"/>
                <w:i/>
                <w:sz w:val="18"/>
                <w:szCs w:val="18"/>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6839D131"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Por ejemplo, DDT, PCB y otros productos químicos que están incluidos en convenios internacionales como el Convenio de Estocolmo sobre Contaminantes Orgánicos Persistentes y o el Protocolo de Montreal.</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B37BF"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6FC62333" w14:textId="77777777">
        <w:trPr>
          <w:trHeight w:val="58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F4104"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7.4    </w:t>
            </w:r>
            <w:r>
              <w:rPr>
                <w:rFonts w:ascii="Calibri" w:eastAsia="Calibri" w:hAnsi="Calibri" w:cs="Calibri"/>
                <w:i/>
                <w:sz w:val="18"/>
                <w:szCs w:val="18"/>
              </w:rPr>
              <w:tab/>
              <w:t>¿Involucra el proyecto que se propone la aplicación de pesticidas que pueden tener efectos negativos sobre el medioambiente o la salud humana?</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DE8BC"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r w:rsidR="00642D63" w14:paraId="1B2475F9" w14:textId="77777777">
        <w:trPr>
          <w:trHeight w:val="480"/>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1507E"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7.5    </w:t>
            </w:r>
            <w:r>
              <w:rPr>
                <w:rFonts w:ascii="Calibri" w:eastAsia="Calibri" w:hAnsi="Calibri" w:cs="Calibri"/>
                <w:i/>
                <w:sz w:val="18"/>
                <w:szCs w:val="18"/>
              </w:rPr>
              <w:tab/>
              <w:t>¿Incluye el proyecto actividades que requieran el consumo de cantidades considerables de materias primas, energía y/o agua?</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9BA15"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sz w:val="24"/>
                <w:szCs w:val="24"/>
              </w:rPr>
            </w:pPr>
            <w:r>
              <w:rPr>
                <w:rFonts w:ascii="Calibri" w:eastAsia="Calibri" w:hAnsi="Calibri" w:cs="Calibri"/>
                <w:i/>
                <w:sz w:val="18"/>
                <w:szCs w:val="18"/>
              </w:rPr>
              <w:t>No</w:t>
            </w:r>
          </w:p>
        </w:tc>
      </w:tr>
    </w:tbl>
    <w:p w14:paraId="60CE89BA" w14:textId="77777777" w:rsidR="00642D63" w:rsidRDefault="00642D63">
      <w:pPr>
        <w:pStyle w:val="Normal1"/>
        <w:jc w:val="both"/>
      </w:pPr>
    </w:p>
    <w:p w14:paraId="6E868E37" w14:textId="77777777" w:rsidR="002631FE" w:rsidRDefault="002631FE">
      <w:pPr>
        <w:pStyle w:val="Normal1"/>
        <w:jc w:val="both"/>
      </w:pPr>
    </w:p>
    <w:p w14:paraId="3B0AD887" w14:textId="77777777" w:rsidR="002631FE" w:rsidRDefault="002631FE">
      <w:pPr>
        <w:pStyle w:val="Normal1"/>
        <w:jc w:val="both"/>
      </w:pPr>
    </w:p>
    <w:p w14:paraId="2A219952" w14:textId="77777777" w:rsidR="002631FE" w:rsidRDefault="002631FE">
      <w:pPr>
        <w:pStyle w:val="Normal1"/>
        <w:jc w:val="both"/>
      </w:pPr>
    </w:p>
    <w:p w14:paraId="6603B64E" w14:textId="77777777" w:rsidR="002631FE" w:rsidRDefault="002631FE">
      <w:pPr>
        <w:pStyle w:val="Normal1"/>
        <w:jc w:val="both"/>
      </w:pPr>
    </w:p>
    <w:p w14:paraId="3775AE2C" w14:textId="77777777" w:rsidR="00642D63" w:rsidRDefault="00761080">
      <w:pPr>
        <w:pStyle w:val="Normal1"/>
        <w:numPr>
          <w:ilvl w:val="0"/>
          <w:numId w:val="5"/>
        </w:numPr>
        <w:contextualSpacing/>
        <w:jc w:val="both"/>
        <w:rPr>
          <w:rFonts w:ascii="Calibri" w:eastAsia="Calibri" w:hAnsi="Calibri" w:cs="Calibri"/>
          <w:b/>
        </w:rPr>
      </w:pPr>
      <w:r>
        <w:rPr>
          <w:rFonts w:ascii="Calibri" w:eastAsia="Calibri" w:hAnsi="Calibri" w:cs="Calibri"/>
          <w:b/>
        </w:rPr>
        <w:lastRenderedPageBreak/>
        <w:t>Seguimiento y presentación de informes</w:t>
      </w:r>
    </w:p>
    <w:p w14:paraId="38A78DAD" w14:textId="77777777" w:rsidR="00642D63" w:rsidRDefault="00642D63">
      <w:pPr>
        <w:pStyle w:val="Normal1"/>
        <w:ind w:left="720" w:hanging="360"/>
        <w:jc w:val="both"/>
        <w:rPr>
          <w:rFonts w:ascii="Calibri" w:eastAsia="Calibri" w:hAnsi="Calibri" w:cs="Calibri"/>
          <w:b/>
        </w:rPr>
      </w:pPr>
    </w:p>
    <w:p w14:paraId="0EF2E876" w14:textId="77777777" w:rsidR="00642D63" w:rsidRDefault="00761080">
      <w:pPr>
        <w:pStyle w:val="Normal1"/>
        <w:jc w:val="both"/>
        <w:rPr>
          <w:rFonts w:ascii="Calibri" w:eastAsia="Calibri" w:hAnsi="Calibri" w:cs="Calibri"/>
        </w:rPr>
      </w:pPr>
      <w:r>
        <w:rPr>
          <w:rFonts w:ascii="Calibri" w:eastAsia="Calibri" w:hAnsi="Calibri" w:cs="Calibri"/>
        </w:rPr>
        <w:t>Se presentarán reportes de ejecución presupuestal en la periodicidad que exija Naciones Unidas.</w:t>
      </w:r>
    </w:p>
    <w:p w14:paraId="17CCBCB4" w14:textId="77777777" w:rsidR="00642D63" w:rsidRDefault="00761080">
      <w:pPr>
        <w:pStyle w:val="Normal1"/>
        <w:jc w:val="both"/>
        <w:rPr>
          <w:rFonts w:ascii="Calibri" w:eastAsia="Calibri" w:hAnsi="Calibri" w:cs="Calibri"/>
        </w:rPr>
      </w:pPr>
      <w:r>
        <w:rPr>
          <w:rFonts w:ascii="Calibri" w:eastAsia="Calibri" w:hAnsi="Calibri" w:cs="Calibri"/>
        </w:rPr>
        <w:t>Se presentarán reportes de producción de tareas que den cuenta de los compromisos de producción de reportes de la Secretaría Técnica y de ejecución de tareas asociadas, de acuerdo con el cuadro de indicadores anexo, reportes que se entregarán mensualmente</w:t>
      </w:r>
    </w:p>
    <w:p w14:paraId="247003F5" w14:textId="77777777" w:rsidR="00642D63" w:rsidRDefault="00642D63">
      <w:pPr>
        <w:pStyle w:val="Normal1"/>
        <w:jc w:val="both"/>
        <w:rPr>
          <w:rFonts w:ascii="Calibri" w:eastAsia="Calibri" w:hAnsi="Calibri" w:cs="Calibri"/>
        </w:rPr>
      </w:pPr>
    </w:p>
    <w:p w14:paraId="78549B2D" w14:textId="77777777" w:rsidR="00642D63" w:rsidRDefault="00761080">
      <w:pPr>
        <w:pStyle w:val="Normal1"/>
        <w:widowControl w:val="0"/>
        <w:rPr>
          <w:rFonts w:ascii="Calibri" w:eastAsia="Calibri" w:hAnsi="Calibri" w:cs="Calibri"/>
        </w:rPr>
        <w:sectPr w:rsidR="00642D63" w:rsidSect="002631FE">
          <w:pgSz w:w="12240" w:h="15840"/>
          <w:pgMar w:top="1700" w:right="1417" w:bottom="1700" w:left="1417" w:header="0" w:footer="720" w:gutter="0"/>
          <w:cols w:space="720"/>
        </w:sectPr>
      </w:pPr>
      <w:r>
        <w:br w:type="page"/>
      </w:r>
    </w:p>
    <w:p w14:paraId="60D210FF" w14:textId="77777777" w:rsidR="00642D63" w:rsidRDefault="00761080">
      <w:pPr>
        <w:pStyle w:val="Normal1"/>
        <w:jc w:val="both"/>
        <w:rPr>
          <w:rFonts w:ascii="Calibri" w:eastAsia="Calibri" w:hAnsi="Calibri" w:cs="Calibri"/>
          <w:b/>
        </w:rPr>
      </w:pPr>
      <w:r>
        <w:rPr>
          <w:rFonts w:ascii="Calibri" w:eastAsia="Calibri" w:hAnsi="Calibri" w:cs="Calibri"/>
          <w:b/>
        </w:rPr>
        <w:lastRenderedPageBreak/>
        <w:t>Anexos</w:t>
      </w:r>
    </w:p>
    <w:p w14:paraId="75E2E604" w14:textId="77777777" w:rsidR="00642D63" w:rsidRDefault="00761080">
      <w:pPr>
        <w:pStyle w:val="Normal1"/>
        <w:jc w:val="both"/>
        <w:rPr>
          <w:rFonts w:ascii="Calibri" w:eastAsia="Calibri" w:hAnsi="Calibri" w:cs="Calibri"/>
          <w:b/>
        </w:rPr>
      </w:pPr>
      <w:r>
        <w:rPr>
          <w:rFonts w:ascii="Calibri" w:eastAsia="Calibri" w:hAnsi="Calibri" w:cs="Calibri"/>
          <w:b/>
        </w:rPr>
        <w:t>Anexo 1. Cuadro 1: Marco de resultados</w:t>
      </w:r>
    </w:p>
    <w:p w14:paraId="1C9F306D" w14:textId="77777777" w:rsidR="002631FE" w:rsidRDefault="002631FE">
      <w:pPr>
        <w:pStyle w:val="Normal1"/>
        <w:jc w:val="both"/>
        <w:rPr>
          <w:rFonts w:ascii="Calibri" w:eastAsia="Calibri" w:hAnsi="Calibri" w:cs="Calibri"/>
          <w:b/>
        </w:rPr>
      </w:pPr>
    </w:p>
    <w:tbl>
      <w:tblPr>
        <w:tblW w:w="12584" w:type="dxa"/>
        <w:tblCellMar>
          <w:left w:w="0" w:type="dxa"/>
          <w:right w:w="0" w:type="dxa"/>
        </w:tblCellMar>
        <w:tblLook w:val="04A0" w:firstRow="1" w:lastRow="0" w:firstColumn="1" w:lastColumn="0" w:noHBand="0" w:noVBand="1"/>
      </w:tblPr>
      <w:tblGrid>
        <w:gridCol w:w="2122"/>
        <w:gridCol w:w="916"/>
        <w:gridCol w:w="1290"/>
        <w:gridCol w:w="2264"/>
        <w:gridCol w:w="2264"/>
        <w:gridCol w:w="2076"/>
        <w:gridCol w:w="1652"/>
      </w:tblGrid>
      <w:tr w:rsidR="002631FE" w:rsidRPr="00127A71" w14:paraId="4D9CE99B" w14:textId="77777777" w:rsidTr="00127A71">
        <w:trPr>
          <w:cantSplit/>
          <w:trHeight w:val="504"/>
        </w:trPr>
        <w:tc>
          <w:tcPr>
            <w:tcW w:w="0" w:type="auto"/>
            <w:tcBorders>
              <w:top w:val="single" w:sz="12" w:space="0" w:color="000000"/>
              <w:left w:val="single" w:sz="12" w:space="0" w:color="000000"/>
              <w:bottom w:val="single" w:sz="12" w:space="0" w:color="000000"/>
              <w:right w:val="single" w:sz="12" w:space="0" w:color="000000"/>
            </w:tcBorders>
            <w:shd w:val="clear" w:color="auto" w:fill="A4C2F4"/>
            <w:tcMar>
              <w:top w:w="48" w:type="dxa"/>
              <w:left w:w="72" w:type="dxa"/>
              <w:bottom w:w="48" w:type="dxa"/>
              <w:right w:w="72" w:type="dxa"/>
            </w:tcMar>
            <w:hideMark/>
          </w:tcPr>
          <w:p w14:paraId="22117A93" w14:textId="77777777" w:rsidR="002631FE" w:rsidRPr="00127A71"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Efecto del Fondo al cual el programa/proyecto contribuirá</w:t>
            </w:r>
          </w:p>
        </w:tc>
        <w:tc>
          <w:tcPr>
            <w:tcW w:w="0" w:type="auto"/>
            <w:gridSpan w:val="6"/>
            <w:tcBorders>
              <w:top w:val="single" w:sz="12" w:space="0" w:color="000000"/>
              <w:left w:val="single" w:sz="12" w:space="0" w:color="CCCCCC"/>
              <w:bottom w:val="single" w:sz="12" w:space="0" w:color="000000"/>
              <w:right w:val="single" w:sz="12" w:space="0" w:color="000000"/>
            </w:tcBorders>
            <w:shd w:val="clear" w:color="auto" w:fill="A4C2F4"/>
            <w:tcMar>
              <w:top w:w="48" w:type="dxa"/>
              <w:left w:w="72" w:type="dxa"/>
              <w:bottom w:w="48" w:type="dxa"/>
              <w:right w:w="72" w:type="dxa"/>
            </w:tcMar>
            <w:hideMark/>
          </w:tcPr>
          <w:p w14:paraId="13981CFE" w14:textId="77777777" w:rsidR="002631FE" w:rsidRPr="00127A71"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i/>
                <w:iCs/>
                <w:sz w:val="16"/>
                <w:szCs w:val="20"/>
              </w:rPr>
            </w:pPr>
            <w:r w:rsidRPr="00127A71">
              <w:rPr>
                <w:rFonts w:ascii="Calibri" w:eastAsia="Times New Roman" w:hAnsi="Calibri"/>
                <w:i/>
                <w:iCs/>
                <w:sz w:val="16"/>
                <w:szCs w:val="20"/>
              </w:rPr>
              <w:t>Efecto 8: Comunicados de forma eficaz y transparente los acuerdos del fin del conflicto, los avances en su implementación, las dinámicas de construcción de paz y las situaciones de los territorios, reduciendo así el impacto de mensajes interesados y/o desestabilizadores y fomentando una cultura de paz y reconciliación</w:t>
            </w:r>
          </w:p>
        </w:tc>
      </w:tr>
      <w:tr w:rsidR="00127A71" w:rsidRPr="00127A71" w14:paraId="3FB89BED" w14:textId="77777777" w:rsidTr="00127A71">
        <w:trPr>
          <w:cantSplit/>
          <w:trHeight w:val="504"/>
        </w:trPr>
        <w:tc>
          <w:tcPr>
            <w:tcW w:w="0" w:type="auto"/>
            <w:tcBorders>
              <w:top w:val="single" w:sz="12" w:space="0" w:color="CCCCCC"/>
              <w:left w:val="single" w:sz="12" w:space="0" w:color="000000"/>
              <w:bottom w:val="single" w:sz="12" w:space="0" w:color="000000"/>
              <w:right w:val="single" w:sz="12" w:space="0" w:color="000000"/>
            </w:tcBorders>
            <w:shd w:val="clear" w:color="auto" w:fill="A4C2F4"/>
            <w:tcMar>
              <w:top w:w="48" w:type="dxa"/>
              <w:left w:w="72" w:type="dxa"/>
              <w:bottom w:w="48" w:type="dxa"/>
              <w:right w:w="72" w:type="dxa"/>
            </w:tcMar>
            <w:hideMark/>
          </w:tcPr>
          <w:p w14:paraId="17BAB508" w14:textId="77777777" w:rsidR="002631FE" w:rsidRPr="00127A71"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Indicadores del Resultado del Fondo:</w:t>
            </w:r>
          </w:p>
        </w:tc>
        <w:tc>
          <w:tcPr>
            <w:tcW w:w="0" w:type="auto"/>
            <w:tcBorders>
              <w:top w:val="single" w:sz="12" w:space="0" w:color="CCCCCC"/>
              <w:left w:val="single" w:sz="12" w:space="0" w:color="CCCCCC"/>
              <w:bottom w:val="single" w:sz="12" w:space="0" w:color="000000"/>
              <w:right w:val="single" w:sz="12" w:space="0" w:color="000000"/>
            </w:tcBorders>
            <w:shd w:val="clear" w:color="auto" w:fill="A4C2F4"/>
            <w:tcMar>
              <w:top w:w="48" w:type="dxa"/>
              <w:left w:w="72" w:type="dxa"/>
              <w:bottom w:w="48" w:type="dxa"/>
              <w:right w:w="72" w:type="dxa"/>
            </w:tcMar>
            <w:hideMark/>
          </w:tcPr>
          <w:p w14:paraId="70BF9F96" w14:textId="77777777" w:rsidR="002631FE" w:rsidRPr="00127A71"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Áreas geográficas</w:t>
            </w:r>
          </w:p>
        </w:tc>
        <w:tc>
          <w:tcPr>
            <w:tcW w:w="0" w:type="auto"/>
            <w:tcBorders>
              <w:top w:val="single" w:sz="12" w:space="0" w:color="CCCCCC"/>
              <w:left w:val="single" w:sz="12" w:space="0" w:color="CCCCCC"/>
              <w:bottom w:val="single" w:sz="12" w:space="0" w:color="000000"/>
              <w:right w:val="single" w:sz="12" w:space="0" w:color="000000"/>
            </w:tcBorders>
            <w:shd w:val="clear" w:color="auto" w:fill="A4C2F4"/>
            <w:tcMar>
              <w:top w:w="48" w:type="dxa"/>
              <w:left w:w="72" w:type="dxa"/>
              <w:bottom w:w="48" w:type="dxa"/>
              <w:right w:w="72" w:type="dxa"/>
            </w:tcMar>
            <w:hideMark/>
          </w:tcPr>
          <w:p w14:paraId="025A39BA" w14:textId="77777777" w:rsidR="002631FE" w:rsidRPr="00127A71"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Beneficiarios (Hombres, Mujeres, Niñas y Niños)</w:t>
            </w:r>
          </w:p>
        </w:tc>
        <w:tc>
          <w:tcPr>
            <w:tcW w:w="0" w:type="auto"/>
            <w:tcBorders>
              <w:top w:val="single" w:sz="12" w:space="0" w:color="CCCCCC"/>
              <w:left w:val="single" w:sz="12" w:space="0" w:color="CCCCCC"/>
              <w:bottom w:val="single" w:sz="12" w:space="0" w:color="000000"/>
              <w:right w:val="single" w:sz="12" w:space="0" w:color="000000"/>
            </w:tcBorders>
            <w:shd w:val="clear" w:color="auto" w:fill="A4C2F4"/>
            <w:tcMar>
              <w:top w:w="48" w:type="dxa"/>
              <w:left w:w="72" w:type="dxa"/>
              <w:bottom w:w="48" w:type="dxa"/>
              <w:right w:w="72" w:type="dxa"/>
            </w:tcMar>
            <w:hideMark/>
          </w:tcPr>
          <w:p w14:paraId="5A654E57" w14:textId="77777777" w:rsidR="002631FE" w:rsidRPr="00127A71"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Información de línea de base</w:t>
            </w:r>
          </w:p>
        </w:tc>
        <w:tc>
          <w:tcPr>
            <w:tcW w:w="0" w:type="auto"/>
            <w:tcBorders>
              <w:top w:val="single" w:sz="12" w:space="0" w:color="CCCCCC"/>
              <w:left w:val="single" w:sz="12" w:space="0" w:color="CCCCCC"/>
              <w:bottom w:val="single" w:sz="12" w:space="0" w:color="000000"/>
              <w:right w:val="single" w:sz="12" w:space="0" w:color="000000"/>
            </w:tcBorders>
            <w:shd w:val="clear" w:color="auto" w:fill="A4C2F4"/>
            <w:tcMar>
              <w:top w:w="48" w:type="dxa"/>
              <w:left w:w="72" w:type="dxa"/>
              <w:bottom w:w="48" w:type="dxa"/>
              <w:right w:w="72" w:type="dxa"/>
            </w:tcMar>
            <w:hideMark/>
          </w:tcPr>
          <w:p w14:paraId="7B7B3B2B" w14:textId="77777777" w:rsidR="002631FE" w:rsidRPr="00127A71"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Metas finales</w:t>
            </w:r>
          </w:p>
        </w:tc>
        <w:tc>
          <w:tcPr>
            <w:tcW w:w="0" w:type="auto"/>
            <w:tcBorders>
              <w:top w:val="single" w:sz="12" w:space="0" w:color="CCCCCC"/>
              <w:left w:val="single" w:sz="12" w:space="0" w:color="CCCCCC"/>
              <w:bottom w:val="single" w:sz="12" w:space="0" w:color="000000"/>
              <w:right w:val="single" w:sz="12" w:space="0" w:color="000000"/>
            </w:tcBorders>
            <w:shd w:val="clear" w:color="auto" w:fill="A4C2F4"/>
            <w:tcMar>
              <w:top w:w="48" w:type="dxa"/>
              <w:left w:w="72" w:type="dxa"/>
              <w:bottom w:w="48" w:type="dxa"/>
              <w:right w:w="72" w:type="dxa"/>
            </w:tcMar>
            <w:hideMark/>
          </w:tcPr>
          <w:p w14:paraId="4199D01D" w14:textId="77777777" w:rsidR="002631FE" w:rsidRPr="00127A71"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Medios de verificación</w:t>
            </w:r>
          </w:p>
        </w:tc>
        <w:tc>
          <w:tcPr>
            <w:tcW w:w="0" w:type="auto"/>
            <w:tcBorders>
              <w:top w:val="single" w:sz="12" w:space="0" w:color="CCCCCC"/>
              <w:left w:val="single" w:sz="12" w:space="0" w:color="CCCCCC"/>
              <w:bottom w:val="single" w:sz="12" w:space="0" w:color="000000"/>
              <w:right w:val="single" w:sz="12" w:space="0" w:color="000000"/>
            </w:tcBorders>
            <w:shd w:val="clear" w:color="auto" w:fill="A4C2F4"/>
            <w:tcMar>
              <w:top w:w="48" w:type="dxa"/>
              <w:left w:w="72" w:type="dxa"/>
              <w:bottom w:w="48" w:type="dxa"/>
              <w:right w:w="72" w:type="dxa"/>
            </w:tcMar>
            <w:hideMark/>
          </w:tcPr>
          <w:p w14:paraId="44D1CD2A" w14:textId="77777777" w:rsidR="002631FE" w:rsidRPr="00127A71"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Organización responsable</w:t>
            </w:r>
          </w:p>
        </w:tc>
      </w:tr>
      <w:tr w:rsidR="008F2907" w:rsidRPr="00127A71" w14:paraId="084EE26C" w14:textId="77777777" w:rsidTr="00127A71">
        <w:trPr>
          <w:cantSplit/>
          <w:trHeight w:val="504"/>
        </w:trPr>
        <w:tc>
          <w:tcPr>
            <w:tcW w:w="0" w:type="auto"/>
            <w:tcBorders>
              <w:top w:val="single" w:sz="12" w:space="0" w:color="CCCCCC"/>
              <w:left w:val="single" w:sz="12" w:space="0" w:color="000000"/>
              <w:bottom w:val="single" w:sz="12" w:space="0" w:color="000000"/>
              <w:right w:val="single" w:sz="12" w:space="0" w:color="000000"/>
            </w:tcBorders>
            <w:shd w:val="clear" w:color="auto" w:fill="FFFFFF" w:themeFill="background1"/>
            <w:tcMar>
              <w:top w:w="48" w:type="dxa"/>
              <w:left w:w="72" w:type="dxa"/>
              <w:bottom w:w="48" w:type="dxa"/>
              <w:right w:w="72" w:type="dxa"/>
            </w:tcMar>
          </w:tcPr>
          <w:p w14:paraId="28429A82"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16"/>
              </w:rPr>
            </w:pPr>
            <w:r w:rsidRPr="00127A71">
              <w:rPr>
                <w:rFonts w:eastAsia="Times New Roman"/>
                <w:color w:val="auto"/>
                <w:sz w:val="16"/>
                <w:szCs w:val="16"/>
              </w:rPr>
              <w:lastRenderedPageBreak/>
              <w:t>- Número de propuestas para la solución de controversias y dificultades entregadas a los Notables o Verificadores Internacionales, que son transmitidas efectivamente por ellos a sus destinatarios.</w:t>
            </w:r>
            <w:r w:rsidRPr="00127A71">
              <w:rPr>
                <w:rFonts w:eastAsia="Times New Roman"/>
                <w:color w:val="auto"/>
                <w:sz w:val="16"/>
                <w:szCs w:val="16"/>
              </w:rPr>
              <w:br/>
            </w:r>
            <w:r w:rsidRPr="00127A71">
              <w:rPr>
                <w:rFonts w:eastAsia="Times New Roman"/>
                <w:color w:val="auto"/>
                <w:sz w:val="16"/>
                <w:szCs w:val="16"/>
              </w:rPr>
              <w:br/>
              <w:t>- Número de propuestas para la solución de controversias y dificultades que contribuyen a la resolución de problemas en la implementación.</w:t>
            </w:r>
            <w:r w:rsidRPr="00127A71">
              <w:rPr>
                <w:rFonts w:eastAsia="Times New Roman"/>
                <w:color w:val="auto"/>
                <w:sz w:val="16"/>
                <w:szCs w:val="16"/>
              </w:rPr>
              <w:br/>
            </w:r>
            <w:r w:rsidRPr="00127A71">
              <w:rPr>
                <w:rFonts w:eastAsia="Times New Roman"/>
                <w:color w:val="auto"/>
                <w:sz w:val="16"/>
                <w:szCs w:val="16"/>
              </w:rPr>
              <w:br/>
              <w:t>- Número de iniciativas, disposiciones o compromisos de comprobación exitosa del estado de la implementación del Acuerdo Final.</w:t>
            </w:r>
            <w:r w:rsidRPr="00127A71">
              <w:rPr>
                <w:rFonts w:eastAsia="Times New Roman"/>
                <w:color w:val="auto"/>
                <w:sz w:val="16"/>
                <w:szCs w:val="16"/>
              </w:rPr>
              <w:br/>
            </w:r>
            <w:r w:rsidRPr="00127A71">
              <w:rPr>
                <w:rFonts w:eastAsia="Times New Roman"/>
                <w:color w:val="auto"/>
                <w:sz w:val="16"/>
                <w:szCs w:val="16"/>
              </w:rPr>
              <w:br/>
              <w:t>-Número de iniciativas, disposiciones o compromisos de comprobación exitosa del estado de la implementación del Acuerdo Final en materia de género.</w:t>
            </w:r>
          </w:p>
        </w:tc>
        <w:tc>
          <w:tcPr>
            <w:tcW w:w="0" w:type="auto"/>
            <w:tcBorders>
              <w:top w:val="single" w:sz="12" w:space="0" w:color="CCCCCC"/>
              <w:left w:val="single" w:sz="12" w:space="0" w:color="CCCCCC"/>
              <w:bottom w:val="single" w:sz="12" w:space="0" w:color="000000"/>
              <w:right w:val="single" w:sz="12" w:space="0" w:color="000000"/>
            </w:tcBorders>
            <w:shd w:val="clear" w:color="auto" w:fill="FFFFFF" w:themeFill="background1"/>
            <w:tcMar>
              <w:top w:w="48" w:type="dxa"/>
              <w:left w:w="72" w:type="dxa"/>
              <w:bottom w:w="48" w:type="dxa"/>
              <w:right w:w="72" w:type="dxa"/>
            </w:tcMar>
          </w:tcPr>
          <w:p w14:paraId="1E2E24A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16"/>
              </w:rPr>
            </w:pPr>
            <w:r w:rsidRPr="00127A71">
              <w:rPr>
                <w:rFonts w:eastAsia="Times New Roman"/>
                <w:color w:val="auto"/>
                <w:sz w:val="16"/>
                <w:szCs w:val="16"/>
              </w:rPr>
              <w:t>Cobertura Nacional</w:t>
            </w:r>
          </w:p>
        </w:tc>
        <w:tc>
          <w:tcPr>
            <w:tcW w:w="0" w:type="auto"/>
            <w:tcBorders>
              <w:top w:val="single" w:sz="12" w:space="0" w:color="CCCCCC"/>
              <w:left w:val="single" w:sz="12" w:space="0" w:color="CCCCCC"/>
              <w:bottom w:val="single" w:sz="12" w:space="0" w:color="000000"/>
              <w:right w:val="single" w:sz="12" w:space="0" w:color="000000"/>
            </w:tcBorders>
            <w:shd w:val="clear" w:color="auto" w:fill="FFFFFF" w:themeFill="background1"/>
            <w:tcMar>
              <w:top w:w="48" w:type="dxa"/>
              <w:left w:w="72" w:type="dxa"/>
              <w:bottom w:w="48" w:type="dxa"/>
              <w:right w:w="72" w:type="dxa"/>
            </w:tcMar>
          </w:tcPr>
          <w:p w14:paraId="6B41C435" w14:textId="77777777" w:rsidR="008F2907" w:rsidRPr="008F2907"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2"/>
                <w:szCs w:val="12"/>
              </w:rPr>
            </w:pPr>
            <w:r w:rsidRPr="008F2907">
              <w:rPr>
                <w:rFonts w:eastAsia="Times New Roman"/>
                <w:sz w:val="12"/>
                <w:szCs w:val="12"/>
              </w:rPr>
              <w:t>CSIVI y Verificadores Internacionales</w:t>
            </w:r>
          </w:p>
        </w:tc>
        <w:tc>
          <w:tcPr>
            <w:tcW w:w="0" w:type="auto"/>
            <w:tcBorders>
              <w:top w:val="single" w:sz="12" w:space="0" w:color="CCCCCC"/>
              <w:left w:val="single" w:sz="12" w:space="0" w:color="CCCCCC"/>
              <w:bottom w:val="single" w:sz="12" w:space="0" w:color="000000"/>
              <w:right w:val="single" w:sz="12" w:space="0" w:color="000000"/>
            </w:tcBorders>
            <w:shd w:val="clear" w:color="auto" w:fill="FFFFFF" w:themeFill="background1"/>
            <w:tcMar>
              <w:top w:w="48" w:type="dxa"/>
              <w:left w:w="72" w:type="dxa"/>
              <w:bottom w:w="48" w:type="dxa"/>
              <w:right w:w="72" w:type="dxa"/>
            </w:tcMar>
          </w:tcPr>
          <w:p w14:paraId="55110A68" w14:textId="77777777" w:rsidR="008F2907" w:rsidRPr="008F2907"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2"/>
                <w:szCs w:val="12"/>
              </w:rPr>
            </w:pPr>
            <w:r w:rsidRPr="008F2907">
              <w:rPr>
                <w:sz w:val="12"/>
                <w:szCs w:val="12"/>
                <w:shd w:val="clear" w:color="auto" w:fill="FFFFFF"/>
              </w:rPr>
              <w:t>-0 propuestas para la solución de controversias y dificultades entregadas a los Notables o Verificadores Internacionales, que son transmitidas por ellos a sus destinatarios. - 0 propuestas para la solución de controversias y dificultades que contribuyen a la resolución de problemas en la implementación. - 0 iniciativas, disposiciones o compromisos de comprobación exitosa del estado de la implementación del Acuerdo Final. - Desconocimiento general de la opinión pública sobre el rol de los notables como verificadores internacionales - Desconocimiento general de la opinión pública sobre el rol de la Secretaría Técnica para la verificación internacional - Bajo reconocimiento público al grado de cumplimiento del Acuerdo, sus disposiciones y compromisos por las partes. -0 iniciativas, disposiciones o compromisos de comprobación</w:t>
            </w:r>
            <w:r>
              <w:rPr>
                <w:sz w:val="12"/>
                <w:szCs w:val="12"/>
                <w:shd w:val="clear" w:color="auto" w:fill="FFFFFF"/>
              </w:rPr>
              <w:t xml:space="preserve"> </w:t>
            </w:r>
            <w:r w:rsidRPr="008F2907">
              <w:rPr>
                <w:sz w:val="12"/>
                <w:szCs w:val="12"/>
                <w:shd w:val="clear" w:color="auto" w:fill="FFFFFF"/>
              </w:rPr>
              <w:t>exitosa del estado de la implementación del Acuerdo Final en materia de género.</w:t>
            </w:r>
          </w:p>
        </w:tc>
        <w:tc>
          <w:tcPr>
            <w:tcW w:w="0" w:type="auto"/>
            <w:tcBorders>
              <w:top w:val="single" w:sz="12" w:space="0" w:color="CCCCCC"/>
              <w:left w:val="single" w:sz="12" w:space="0" w:color="CCCCCC"/>
              <w:bottom w:val="single" w:sz="12" w:space="0" w:color="000000"/>
              <w:right w:val="single" w:sz="12" w:space="0" w:color="000000"/>
            </w:tcBorders>
            <w:shd w:val="clear" w:color="auto" w:fill="FFFFFF" w:themeFill="background1"/>
            <w:tcMar>
              <w:top w:w="48" w:type="dxa"/>
              <w:left w:w="72" w:type="dxa"/>
              <w:bottom w:w="48" w:type="dxa"/>
              <w:right w:w="72" w:type="dxa"/>
            </w:tcMar>
          </w:tcPr>
          <w:p w14:paraId="09C91A04" w14:textId="77777777" w:rsidR="008F2907" w:rsidRPr="008F2907"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4"/>
                <w:szCs w:val="14"/>
              </w:rPr>
            </w:pPr>
            <w:r w:rsidRPr="008F2907">
              <w:rPr>
                <w:sz w:val="14"/>
                <w:szCs w:val="14"/>
                <w:shd w:val="clear" w:color="auto" w:fill="FFFFFF"/>
              </w:rPr>
              <w:t>- Se logra un número plural de propuestas para la solución de controversias entregadas a los Notables superior al 50%. -Se logra un porcentaje superior al 90% de iniciativas, disposiciones o compromisos comprobadas exitosamente por la Secretaría Técnica. -Se logra un número alto de intervenciones temáticas realizadas por los Notables basados en los análisis de verificación de la Secretaría Técnica. -Se logra posicionar a los Notables públicamente como verificadores internacionales sobre la implementación del Acuerdo Final. -Se logra posicionar a la Secretaría Técnica como un soporte eficaz, objetivo y sólido en la consolidación y análisis de la información y elaboración de productos para beneficiarios. -Se contribuye a consolidar una estrategia para la visibilidad del enfoque de género en el cumplimiento de las disposiciones del Acuerdo Final.</w:t>
            </w:r>
          </w:p>
        </w:tc>
        <w:tc>
          <w:tcPr>
            <w:tcW w:w="0" w:type="auto"/>
            <w:tcBorders>
              <w:top w:val="single" w:sz="12" w:space="0" w:color="CCCCCC"/>
              <w:left w:val="single" w:sz="12" w:space="0" w:color="CCCCCC"/>
              <w:bottom w:val="single" w:sz="12" w:space="0" w:color="000000"/>
              <w:right w:val="single" w:sz="12" w:space="0" w:color="000000"/>
            </w:tcBorders>
            <w:shd w:val="clear" w:color="auto" w:fill="FFFFFF" w:themeFill="background1"/>
            <w:tcMar>
              <w:top w:w="48" w:type="dxa"/>
              <w:left w:w="72" w:type="dxa"/>
              <w:bottom w:w="48" w:type="dxa"/>
              <w:right w:w="72" w:type="dxa"/>
            </w:tcMar>
          </w:tcPr>
          <w:p w14:paraId="02F7C3F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16"/>
              </w:rPr>
            </w:pPr>
            <w:r w:rsidRPr="00127A71">
              <w:rPr>
                <w:rFonts w:eastAsia="Times New Roman"/>
                <w:color w:val="auto"/>
                <w:sz w:val="16"/>
                <w:szCs w:val="16"/>
              </w:rPr>
              <w:t xml:space="preserve">- Notas de prensa e información sobre pronunciamientos públicos de los Notables o Verificadores Internacionales. </w:t>
            </w:r>
            <w:r w:rsidRPr="00127A71">
              <w:rPr>
                <w:rFonts w:eastAsia="Times New Roman"/>
                <w:color w:val="auto"/>
                <w:sz w:val="16"/>
                <w:szCs w:val="16"/>
              </w:rPr>
              <w:br/>
            </w:r>
            <w:r w:rsidRPr="00127A71">
              <w:rPr>
                <w:rFonts w:eastAsia="Times New Roman"/>
                <w:color w:val="auto"/>
                <w:sz w:val="16"/>
                <w:szCs w:val="16"/>
              </w:rPr>
              <w:br/>
              <w:t>-Certificación de la Secretaría Técnica sobre envío de reportes y propuestas a los Notables</w:t>
            </w:r>
            <w:r w:rsidRPr="00127A71">
              <w:rPr>
                <w:rFonts w:eastAsia="Times New Roman"/>
                <w:color w:val="auto"/>
                <w:sz w:val="16"/>
                <w:szCs w:val="16"/>
              </w:rPr>
              <w:br/>
            </w:r>
            <w:r w:rsidRPr="00127A71">
              <w:rPr>
                <w:rFonts w:eastAsia="Times New Roman"/>
                <w:color w:val="auto"/>
                <w:sz w:val="16"/>
                <w:szCs w:val="16"/>
              </w:rPr>
              <w:br/>
              <w:t>-Encuesta de percepción públicas que midan la percepción sobre los verificadores internacionales y sobre el proceso de implementación en general</w:t>
            </w:r>
          </w:p>
        </w:tc>
        <w:tc>
          <w:tcPr>
            <w:tcW w:w="0" w:type="auto"/>
            <w:tcBorders>
              <w:top w:val="single" w:sz="12" w:space="0" w:color="CCCCCC"/>
              <w:left w:val="single" w:sz="12" w:space="0" w:color="CCCCCC"/>
              <w:bottom w:val="single" w:sz="12" w:space="0" w:color="000000"/>
              <w:right w:val="single" w:sz="12" w:space="0" w:color="000000"/>
            </w:tcBorders>
            <w:shd w:val="clear" w:color="auto" w:fill="FFFFFF" w:themeFill="background1"/>
            <w:tcMar>
              <w:top w:w="48" w:type="dxa"/>
              <w:left w:w="72" w:type="dxa"/>
              <w:bottom w:w="48" w:type="dxa"/>
              <w:right w:w="72" w:type="dxa"/>
            </w:tcMar>
          </w:tcPr>
          <w:p w14:paraId="76251977"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eastAsia="Times New Roman"/>
                <w:sz w:val="16"/>
                <w:szCs w:val="16"/>
              </w:rPr>
              <w:t>Secretaría Técnica del Componente de Verificación Internacional, a cargo de CERAC y CINEP</w:t>
            </w:r>
          </w:p>
        </w:tc>
      </w:tr>
      <w:tr w:rsidR="008F2907" w:rsidRPr="00127A71" w14:paraId="4F18DC2F" w14:textId="77777777" w:rsidTr="008F2907">
        <w:trPr>
          <w:cantSplit/>
          <w:trHeight w:val="16992"/>
        </w:trPr>
        <w:tc>
          <w:tcPr>
            <w:tcW w:w="0" w:type="auto"/>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tcPr>
          <w:p w14:paraId="5550FAE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2"/>
                <w:szCs w:val="12"/>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tcPr>
          <w:p w14:paraId="1EB6A6E5"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16"/>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tcPr>
          <w:p w14:paraId="602D6865"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tcPr>
          <w:p w14:paraId="490AD64A"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16"/>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tcPr>
          <w:p w14:paraId="3FCBA86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16"/>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tcPr>
          <w:p w14:paraId="03094BBF"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16"/>
              </w:rPr>
            </w:pPr>
          </w:p>
        </w:tc>
        <w:tc>
          <w:tcPr>
            <w:tcW w:w="0" w:type="auto"/>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tcPr>
          <w:p w14:paraId="16AB9251"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rPr>
            </w:pPr>
          </w:p>
        </w:tc>
      </w:tr>
      <w:tr w:rsidR="008F2907" w:rsidRPr="00127A71" w14:paraId="726C57C5" w14:textId="77777777" w:rsidTr="008F2907">
        <w:trPr>
          <w:cantSplit/>
          <w:trHeight w:val="504"/>
        </w:trPr>
        <w:tc>
          <w:tcPr>
            <w:tcW w:w="0" w:type="auto"/>
            <w:tcBorders>
              <w:top w:val="single" w:sz="12" w:space="0" w:color="CCCCCC"/>
              <w:left w:val="single" w:sz="12" w:space="0" w:color="000000"/>
              <w:bottom w:val="single" w:sz="12" w:space="0" w:color="000000"/>
              <w:right w:val="single" w:sz="12" w:space="0" w:color="000000"/>
            </w:tcBorders>
            <w:shd w:val="clear" w:color="auto" w:fill="A4C2F4"/>
            <w:tcMar>
              <w:top w:w="48" w:type="dxa"/>
              <w:left w:w="72" w:type="dxa"/>
              <w:bottom w:w="48" w:type="dxa"/>
              <w:right w:w="72" w:type="dxa"/>
            </w:tcMar>
            <w:hideMark/>
          </w:tcPr>
          <w:p w14:paraId="07C3CEB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lastRenderedPageBreak/>
              <w:t>Sub-Resultado 1:</w:t>
            </w:r>
          </w:p>
        </w:tc>
        <w:tc>
          <w:tcPr>
            <w:tcW w:w="0" w:type="auto"/>
            <w:gridSpan w:val="6"/>
            <w:tcBorders>
              <w:top w:val="single" w:sz="12" w:space="0" w:color="CCCCCC"/>
              <w:left w:val="single" w:sz="12" w:space="0" w:color="CCCCCC"/>
              <w:bottom w:val="single" w:sz="12" w:space="0" w:color="000000"/>
              <w:right w:val="single" w:sz="12" w:space="0" w:color="000000"/>
            </w:tcBorders>
            <w:shd w:val="clear" w:color="auto" w:fill="A4C2F4"/>
            <w:tcMar>
              <w:top w:w="48" w:type="dxa"/>
              <w:left w:w="72" w:type="dxa"/>
              <w:bottom w:w="48" w:type="dxa"/>
              <w:right w:w="72" w:type="dxa"/>
            </w:tcMar>
          </w:tcPr>
          <w:p w14:paraId="7DDF166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i/>
                <w:iCs/>
                <w:sz w:val="16"/>
                <w:szCs w:val="20"/>
              </w:rPr>
            </w:pPr>
          </w:p>
        </w:tc>
      </w:tr>
      <w:tr w:rsidR="008F2907" w:rsidRPr="00127A71" w14:paraId="3AF9F20A" w14:textId="77777777" w:rsidTr="008F2907">
        <w:trPr>
          <w:cantSplit/>
          <w:trHeight w:val="504"/>
        </w:trPr>
        <w:tc>
          <w:tcPr>
            <w:tcW w:w="0" w:type="auto"/>
            <w:tcBorders>
              <w:top w:val="single" w:sz="12" w:space="0" w:color="CCCCCC"/>
              <w:left w:val="single" w:sz="12" w:space="0" w:color="000000"/>
              <w:bottom w:val="single" w:sz="12" w:space="0" w:color="000000"/>
              <w:right w:val="single" w:sz="12" w:space="0" w:color="000000"/>
            </w:tcBorders>
            <w:shd w:val="clear" w:color="auto" w:fill="A4C2F4"/>
            <w:tcMar>
              <w:top w:w="48" w:type="dxa"/>
              <w:left w:w="72" w:type="dxa"/>
              <w:bottom w:w="48" w:type="dxa"/>
              <w:right w:w="72" w:type="dxa"/>
            </w:tcMar>
            <w:hideMark/>
          </w:tcPr>
          <w:p w14:paraId="41700A4A"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Indicadores del sub-resultado 1 del Fondo</w:t>
            </w:r>
          </w:p>
        </w:tc>
        <w:tc>
          <w:tcPr>
            <w:tcW w:w="0" w:type="auto"/>
            <w:tcBorders>
              <w:top w:val="single" w:sz="12" w:space="0" w:color="CCCCCC"/>
              <w:left w:val="single" w:sz="12" w:space="0" w:color="CCCCCC"/>
              <w:bottom w:val="single" w:sz="12" w:space="0" w:color="000000"/>
              <w:right w:val="single" w:sz="12" w:space="0" w:color="000000"/>
            </w:tcBorders>
            <w:shd w:val="clear" w:color="auto" w:fill="A4C2F4"/>
            <w:tcMar>
              <w:top w:w="48" w:type="dxa"/>
              <w:left w:w="72" w:type="dxa"/>
              <w:bottom w:w="48" w:type="dxa"/>
              <w:right w:w="72" w:type="dxa"/>
            </w:tcMar>
            <w:hideMark/>
          </w:tcPr>
          <w:p w14:paraId="02479E1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Áreas geográficas</w:t>
            </w:r>
          </w:p>
        </w:tc>
        <w:tc>
          <w:tcPr>
            <w:tcW w:w="0" w:type="auto"/>
            <w:tcBorders>
              <w:top w:val="single" w:sz="12" w:space="0" w:color="CCCCCC"/>
              <w:left w:val="single" w:sz="12" w:space="0" w:color="CCCCCC"/>
              <w:bottom w:val="single" w:sz="12" w:space="0" w:color="000000"/>
              <w:right w:val="single" w:sz="12" w:space="0" w:color="000000"/>
            </w:tcBorders>
            <w:shd w:val="clear" w:color="auto" w:fill="A4C2F4"/>
            <w:tcMar>
              <w:top w:w="48" w:type="dxa"/>
              <w:left w:w="72" w:type="dxa"/>
              <w:bottom w:w="48" w:type="dxa"/>
              <w:right w:w="72" w:type="dxa"/>
            </w:tcMar>
            <w:hideMark/>
          </w:tcPr>
          <w:p w14:paraId="1089813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Beneficiarios (Hombres, Mujeres, Niñas y Niños)</w:t>
            </w:r>
          </w:p>
        </w:tc>
        <w:tc>
          <w:tcPr>
            <w:tcW w:w="0" w:type="auto"/>
            <w:tcBorders>
              <w:top w:val="single" w:sz="12" w:space="0" w:color="CCCCCC"/>
              <w:left w:val="single" w:sz="12" w:space="0" w:color="CCCCCC"/>
              <w:bottom w:val="single" w:sz="12" w:space="0" w:color="000000"/>
              <w:right w:val="single" w:sz="12" w:space="0" w:color="000000"/>
            </w:tcBorders>
            <w:shd w:val="clear" w:color="auto" w:fill="A4C2F4"/>
            <w:tcMar>
              <w:top w:w="48" w:type="dxa"/>
              <w:left w:w="72" w:type="dxa"/>
              <w:bottom w:w="48" w:type="dxa"/>
              <w:right w:w="72" w:type="dxa"/>
            </w:tcMar>
            <w:hideMark/>
          </w:tcPr>
          <w:p w14:paraId="062F348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Información de línea de base</w:t>
            </w:r>
          </w:p>
        </w:tc>
        <w:tc>
          <w:tcPr>
            <w:tcW w:w="0" w:type="auto"/>
            <w:tcBorders>
              <w:top w:val="single" w:sz="12" w:space="0" w:color="CCCCCC"/>
              <w:left w:val="single" w:sz="12" w:space="0" w:color="CCCCCC"/>
              <w:bottom w:val="single" w:sz="12" w:space="0" w:color="000000"/>
              <w:right w:val="single" w:sz="12" w:space="0" w:color="000000"/>
            </w:tcBorders>
            <w:shd w:val="clear" w:color="auto" w:fill="A4C2F4"/>
            <w:tcMar>
              <w:top w:w="48" w:type="dxa"/>
              <w:left w:w="72" w:type="dxa"/>
              <w:bottom w:w="48" w:type="dxa"/>
              <w:right w:w="72" w:type="dxa"/>
            </w:tcMar>
          </w:tcPr>
          <w:p w14:paraId="5BFE570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p>
        </w:tc>
        <w:tc>
          <w:tcPr>
            <w:tcW w:w="0" w:type="auto"/>
            <w:tcBorders>
              <w:top w:val="single" w:sz="12" w:space="0" w:color="CCCCCC"/>
              <w:left w:val="single" w:sz="12" w:space="0" w:color="CCCCCC"/>
              <w:bottom w:val="single" w:sz="12" w:space="0" w:color="000000"/>
              <w:right w:val="single" w:sz="12" w:space="0" w:color="000000"/>
            </w:tcBorders>
            <w:shd w:val="clear" w:color="auto" w:fill="A4C2F4"/>
            <w:tcMar>
              <w:top w:w="48" w:type="dxa"/>
              <w:left w:w="72" w:type="dxa"/>
              <w:bottom w:w="48" w:type="dxa"/>
              <w:right w:w="72" w:type="dxa"/>
            </w:tcMar>
            <w:hideMark/>
          </w:tcPr>
          <w:p w14:paraId="475DDF1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Medios de verificación</w:t>
            </w:r>
          </w:p>
        </w:tc>
        <w:tc>
          <w:tcPr>
            <w:tcW w:w="0" w:type="auto"/>
            <w:tcBorders>
              <w:top w:val="single" w:sz="12" w:space="0" w:color="CCCCCC"/>
              <w:left w:val="single" w:sz="12" w:space="0" w:color="CCCCCC"/>
              <w:bottom w:val="single" w:sz="12" w:space="0" w:color="000000"/>
              <w:right w:val="single" w:sz="12" w:space="0" w:color="000000"/>
            </w:tcBorders>
            <w:shd w:val="clear" w:color="auto" w:fill="A4C2F4"/>
            <w:tcMar>
              <w:top w:w="48" w:type="dxa"/>
              <w:left w:w="72" w:type="dxa"/>
              <w:bottom w:w="48" w:type="dxa"/>
              <w:right w:w="72" w:type="dxa"/>
            </w:tcMar>
            <w:hideMark/>
          </w:tcPr>
          <w:p w14:paraId="77455C7C"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Organización responsable</w:t>
            </w:r>
          </w:p>
        </w:tc>
      </w:tr>
      <w:tr w:rsidR="008F2907" w:rsidRPr="00127A71" w14:paraId="5A8A2C15" w14:textId="77777777" w:rsidTr="00127A71">
        <w:trPr>
          <w:cantSplit/>
          <w:trHeight w:val="1872"/>
        </w:trPr>
        <w:tc>
          <w:tcPr>
            <w:tcW w:w="0" w:type="auto"/>
            <w:vMerge w:val="restart"/>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21C7402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-Número de iniciativas, acciones, proyectos, programas y disposiciones del Acuerdo Final analizadas y verificadas por la Secretaría Técnica.</w:t>
            </w:r>
            <w:r w:rsidRPr="00127A71">
              <w:rPr>
                <w:rFonts w:eastAsia="Times New Roman"/>
                <w:color w:val="auto"/>
                <w:sz w:val="16"/>
                <w:szCs w:val="20"/>
              </w:rPr>
              <w:br/>
            </w:r>
            <w:r w:rsidRPr="00127A71">
              <w:rPr>
                <w:rFonts w:eastAsia="Times New Roman"/>
                <w:color w:val="auto"/>
                <w:sz w:val="16"/>
                <w:szCs w:val="20"/>
              </w:rPr>
              <w:br/>
              <w:t>-Número de productos elaborados por la Secretaría Técnica recibidos por la CSIVI.</w:t>
            </w:r>
            <w:r w:rsidRPr="00127A71">
              <w:rPr>
                <w:rFonts w:eastAsia="Times New Roman"/>
                <w:color w:val="auto"/>
                <w:sz w:val="16"/>
                <w:szCs w:val="20"/>
              </w:rPr>
              <w:br/>
            </w:r>
            <w:r w:rsidRPr="00127A71">
              <w:rPr>
                <w:rFonts w:eastAsia="Times New Roman"/>
                <w:color w:val="auto"/>
                <w:sz w:val="16"/>
                <w:szCs w:val="20"/>
              </w:rPr>
              <w:br/>
              <w:t xml:space="preserve">-Número de productos elaborados por la Secretaría Técnica </w:t>
            </w:r>
            <w:r w:rsidRPr="00127A71">
              <w:rPr>
                <w:rFonts w:eastAsia="Times New Roman"/>
                <w:color w:val="auto"/>
                <w:sz w:val="16"/>
                <w:szCs w:val="20"/>
              </w:rPr>
              <w:lastRenderedPageBreak/>
              <w:t>utilizados por la CSIVI para resolver controversias y dificultades en la implementación.</w:t>
            </w:r>
            <w:r w:rsidRPr="00127A71">
              <w:rPr>
                <w:rFonts w:eastAsia="Times New Roman"/>
                <w:color w:val="auto"/>
                <w:sz w:val="16"/>
                <w:szCs w:val="20"/>
              </w:rPr>
              <w:br/>
            </w:r>
            <w:r w:rsidRPr="00127A71">
              <w:rPr>
                <w:rFonts w:eastAsia="Times New Roman"/>
                <w:color w:val="auto"/>
                <w:sz w:val="16"/>
                <w:szCs w:val="20"/>
              </w:rPr>
              <w:br/>
              <w:t>-Número y porcentaje de productos elaborados por la Secretaría Técnica para el análisis y verificación del enfoque de género.</w:t>
            </w:r>
            <w:r w:rsidRPr="00127A71">
              <w:rPr>
                <w:rFonts w:eastAsia="Times New Roman"/>
                <w:color w:val="auto"/>
                <w:sz w:val="16"/>
                <w:szCs w:val="20"/>
              </w:rPr>
              <w:br/>
            </w:r>
            <w:r w:rsidRPr="00127A71">
              <w:rPr>
                <w:rFonts w:eastAsia="Times New Roman"/>
                <w:color w:val="auto"/>
                <w:sz w:val="16"/>
                <w:szCs w:val="20"/>
              </w:rPr>
              <w:br/>
              <w:t>-Número y porcentaje de productos elaborados por la Secretaría Técnica utilizados en pronunciamientos públicos por los Notables.</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73F5D051"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lastRenderedPageBreak/>
              <w:t>Cobertura Nacional</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845A8B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CSIVI y Verificadores Internacionales</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63654C1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after="240" w:line="240" w:lineRule="auto"/>
              <w:rPr>
                <w:rFonts w:eastAsia="Times New Roman"/>
                <w:color w:val="auto"/>
                <w:sz w:val="16"/>
                <w:szCs w:val="20"/>
              </w:rPr>
            </w:pPr>
            <w:r w:rsidRPr="00127A71">
              <w:rPr>
                <w:rFonts w:eastAsia="Times New Roman"/>
                <w:color w:val="auto"/>
                <w:sz w:val="16"/>
                <w:szCs w:val="20"/>
              </w:rPr>
              <w:t>-0 iniciativas, acciones, proyectos, programas y disposiciones del Acuerdo Final analizadas y verificadas por la Secretaría Técnica.</w:t>
            </w:r>
            <w:r w:rsidRPr="00127A71">
              <w:rPr>
                <w:rFonts w:eastAsia="Times New Roman"/>
                <w:color w:val="auto"/>
                <w:sz w:val="16"/>
                <w:szCs w:val="20"/>
              </w:rPr>
              <w:br/>
            </w:r>
            <w:r w:rsidRPr="00127A71">
              <w:rPr>
                <w:rFonts w:eastAsia="Times New Roman"/>
                <w:color w:val="auto"/>
                <w:sz w:val="16"/>
                <w:szCs w:val="20"/>
              </w:rPr>
              <w:br/>
              <w:t>-0 productos elaborados por la Secretaría Técnica recibidos por la CSIVI.</w:t>
            </w:r>
            <w:r w:rsidRPr="00127A71">
              <w:rPr>
                <w:rFonts w:eastAsia="Times New Roman"/>
                <w:color w:val="auto"/>
                <w:sz w:val="16"/>
                <w:szCs w:val="20"/>
              </w:rPr>
              <w:br/>
            </w:r>
            <w:r w:rsidRPr="00127A71">
              <w:rPr>
                <w:rFonts w:eastAsia="Times New Roman"/>
                <w:color w:val="auto"/>
                <w:sz w:val="16"/>
                <w:szCs w:val="20"/>
              </w:rPr>
              <w:br/>
              <w:t xml:space="preserve">-0 productos elaborados por la Secretaría Técnica utilizados por la CSIVI para resolver controversias y dificultades en la </w:t>
            </w:r>
            <w:r w:rsidRPr="00127A71">
              <w:rPr>
                <w:rFonts w:eastAsia="Times New Roman"/>
                <w:color w:val="auto"/>
                <w:sz w:val="16"/>
                <w:szCs w:val="20"/>
              </w:rPr>
              <w:lastRenderedPageBreak/>
              <w:t>implementación.</w:t>
            </w:r>
            <w:r w:rsidRPr="00127A71">
              <w:rPr>
                <w:rFonts w:eastAsia="Times New Roman"/>
                <w:color w:val="auto"/>
                <w:sz w:val="16"/>
                <w:szCs w:val="20"/>
              </w:rPr>
              <w:br/>
            </w:r>
            <w:r w:rsidRPr="00127A71">
              <w:rPr>
                <w:rFonts w:eastAsia="Times New Roman"/>
                <w:color w:val="auto"/>
                <w:sz w:val="16"/>
                <w:szCs w:val="20"/>
              </w:rPr>
              <w:br/>
              <w:t>-0 productos elaborados por la Secretaría Técnica para el análisis y verificación de la implementación del enfoque de género.</w:t>
            </w:r>
            <w:r w:rsidRPr="00127A71">
              <w:rPr>
                <w:rFonts w:eastAsia="Times New Roman"/>
                <w:color w:val="auto"/>
                <w:sz w:val="16"/>
                <w:szCs w:val="20"/>
              </w:rPr>
              <w:br/>
            </w:r>
            <w:r w:rsidRPr="00127A71">
              <w:rPr>
                <w:rFonts w:eastAsia="Times New Roman"/>
                <w:color w:val="auto"/>
                <w:sz w:val="16"/>
                <w:szCs w:val="20"/>
              </w:rPr>
              <w:br/>
              <w:t>-0 productos elaborados por la Secretaría Técnica utilizados en pronunciamientos públicos por los Notables.</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4025EF1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lastRenderedPageBreak/>
              <w:t>- 6 Grandes Memorias y 18 reportes de actualización con información sobre acciones, proyectos, programas y disposiciones del Acuerdo Final analizadas y verificadas por la Secretaría Técnica, así como con recomendaciones frente a las retrasos y deficiencias que sean identificados.</w:t>
            </w:r>
            <w:r w:rsidRPr="00127A71">
              <w:rPr>
                <w:rFonts w:eastAsia="Times New Roman"/>
                <w:color w:val="auto"/>
                <w:sz w:val="16"/>
                <w:szCs w:val="20"/>
              </w:rPr>
              <w:br/>
            </w:r>
            <w:r w:rsidRPr="00127A71">
              <w:rPr>
                <w:rFonts w:eastAsia="Times New Roman"/>
                <w:color w:val="auto"/>
                <w:sz w:val="16"/>
                <w:szCs w:val="20"/>
              </w:rPr>
              <w:br/>
              <w:t>- Productos recibidos por la CSIVI.</w:t>
            </w:r>
            <w:r w:rsidRPr="00127A71">
              <w:rPr>
                <w:rFonts w:eastAsia="Times New Roman"/>
                <w:color w:val="auto"/>
                <w:sz w:val="16"/>
                <w:szCs w:val="20"/>
              </w:rPr>
              <w:br/>
            </w:r>
            <w:r w:rsidRPr="00127A71">
              <w:rPr>
                <w:rFonts w:eastAsia="Times New Roman"/>
                <w:color w:val="auto"/>
                <w:sz w:val="16"/>
                <w:szCs w:val="20"/>
              </w:rPr>
              <w:br/>
            </w:r>
            <w:r w:rsidRPr="00127A71">
              <w:rPr>
                <w:rFonts w:eastAsia="Times New Roman"/>
                <w:color w:val="auto"/>
                <w:sz w:val="16"/>
                <w:szCs w:val="20"/>
              </w:rPr>
              <w:lastRenderedPageBreak/>
              <w:t>-Los productos elaborados por la Secretaría Técnica son utilizados por la CSIVI para resolver controversias y dificultades en la implementación.</w:t>
            </w:r>
            <w:r w:rsidRPr="00127A71">
              <w:rPr>
                <w:rFonts w:eastAsia="Times New Roman"/>
                <w:color w:val="auto"/>
                <w:sz w:val="16"/>
                <w:szCs w:val="20"/>
              </w:rPr>
              <w:br/>
            </w:r>
            <w:r w:rsidRPr="00127A71">
              <w:rPr>
                <w:rFonts w:eastAsia="Times New Roman"/>
                <w:color w:val="auto"/>
                <w:sz w:val="16"/>
                <w:szCs w:val="20"/>
              </w:rPr>
              <w:br/>
              <w:t xml:space="preserve">- Tres reportes (uno por semestre) analíticos sobre la verificación de la aplicación del enfoque de género en la implementación del Acuerdo Final. </w:t>
            </w:r>
            <w:r w:rsidRPr="00127A71">
              <w:rPr>
                <w:rFonts w:eastAsia="Times New Roman"/>
                <w:color w:val="auto"/>
                <w:sz w:val="16"/>
                <w:szCs w:val="20"/>
              </w:rPr>
              <w:br/>
            </w:r>
            <w:r w:rsidRPr="00127A71">
              <w:rPr>
                <w:rFonts w:eastAsia="Times New Roman"/>
                <w:color w:val="auto"/>
                <w:sz w:val="16"/>
                <w:szCs w:val="20"/>
              </w:rPr>
              <w:br/>
              <w:t>- Los Notables o Verificadores Internacionales hacen uso de los productos elaborados por la Secretaría Técnica en sus pronunciamientos públicos.</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0A53320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lastRenderedPageBreak/>
              <w:t>- Certificado semestral, por parte de Felipe González y/o José Mujica, sobre la recepción y suficiencia de contenido de las Grandes Memorias y reportes de actualización. En caso de que los Notables o Verificadores, hagan público la Gran Memoria o los reportes de actualización, estos documentos serán el medio de verificación.</w:t>
            </w:r>
            <w:r w:rsidRPr="00127A71">
              <w:rPr>
                <w:rFonts w:eastAsia="Times New Roman"/>
                <w:color w:val="auto"/>
                <w:sz w:val="16"/>
                <w:szCs w:val="20"/>
              </w:rPr>
              <w:br/>
              <w:t xml:space="preserve">-Certificado por parte de </w:t>
            </w:r>
            <w:r w:rsidRPr="00127A71">
              <w:rPr>
                <w:rFonts w:eastAsia="Times New Roman"/>
                <w:color w:val="auto"/>
                <w:sz w:val="16"/>
                <w:szCs w:val="20"/>
              </w:rPr>
              <w:lastRenderedPageBreak/>
              <w:t>Felipe González y/o José Mujica, sobre la recepción y suficiencia de contenido de los reportes de controversia cada vez que se realicen.</w:t>
            </w:r>
            <w:r w:rsidRPr="00127A71">
              <w:rPr>
                <w:rFonts w:eastAsia="Times New Roman"/>
                <w:color w:val="auto"/>
                <w:sz w:val="16"/>
                <w:szCs w:val="20"/>
              </w:rPr>
              <w:br/>
              <w:t>-Certificación de la Secretaría Técnica sobre productos enviados a los Notables</w:t>
            </w:r>
            <w:r w:rsidRPr="00127A71">
              <w:rPr>
                <w:rFonts w:eastAsia="Times New Roman"/>
                <w:color w:val="auto"/>
                <w:sz w:val="16"/>
                <w:szCs w:val="20"/>
              </w:rPr>
              <w:br/>
              <w:t>- Notas de prensa e información sobre pronunciamientos públicos de los Notables o Verificadores Internacionales</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4B33878"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lastRenderedPageBreak/>
              <w:t>Secretaría Técnica del Componente de Verificación Internacional, a cargo de CERAC y CINEP</w:t>
            </w:r>
          </w:p>
        </w:tc>
      </w:tr>
      <w:tr w:rsidR="008F2907" w:rsidRPr="00127A71" w14:paraId="5C7E8731" w14:textId="77777777" w:rsidTr="00127A71">
        <w:trPr>
          <w:cantSplit/>
          <w:trHeight w:val="816"/>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01CA0F5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FBAB9FF"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97E331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97C01A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5594CC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6DE221D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17380E05"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r>
      <w:tr w:rsidR="008F2907" w:rsidRPr="00127A71" w14:paraId="4BC68529" w14:textId="77777777" w:rsidTr="00127A71">
        <w:trPr>
          <w:cantSplit/>
          <w:trHeight w:val="12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7D15578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6CC22D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060BC76"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A2AE378"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4A653BF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8B9AC7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619831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r>
      <w:tr w:rsidR="008F2907" w:rsidRPr="00127A71" w14:paraId="21A78D1B" w14:textId="77777777" w:rsidTr="00127A71">
        <w:trPr>
          <w:cantSplit/>
          <w:trHeight w:val="504"/>
        </w:trPr>
        <w:tc>
          <w:tcPr>
            <w:tcW w:w="0" w:type="auto"/>
            <w:tcBorders>
              <w:top w:val="single" w:sz="12" w:space="0" w:color="CCCCCC"/>
              <w:left w:val="single" w:sz="12" w:space="0" w:color="000000"/>
              <w:bottom w:val="single" w:sz="12" w:space="0" w:color="000000"/>
              <w:right w:val="single" w:sz="12" w:space="0" w:color="000000"/>
            </w:tcBorders>
            <w:shd w:val="clear" w:color="auto" w:fill="F9CB9C"/>
            <w:tcMar>
              <w:top w:w="48" w:type="dxa"/>
              <w:left w:w="72" w:type="dxa"/>
              <w:bottom w:w="48" w:type="dxa"/>
              <w:right w:w="72" w:type="dxa"/>
            </w:tcMar>
            <w:hideMark/>
          </w:tcPr>
          <w:p w14:paraId="19EF492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lastRenderedPageBreak/>
              <w:t>Producto 1.1. 6 Grandes memorias, que contienen en total 36 memorias (nueve para cada uno de los seis puntos del acuerdo)</w:t>
            </w:r>
          </w:p>
        </w:tc>
        <w:tc>
          <w:tcPr>
            <w:tcW w:w="0" w:type="auto"/>
            <w:gridSpan w:val="6"/>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0BD5BC5A"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i/>
                <w:iCs/>
                <w:sz w:val="16"/>
                <w:szCs w:val="20"/>
              </w:rPr>
            </w:pPr>
            <w:r w:rsidRPr="00127A71">
              <w:rPr>
                <w:rFonts w:ascii="Calibri" w:eastAsia="Times New Roman" w:hAnsi="Calibri"/>
                <w:i/>
                <w:iCs/>
                <w:sz w:val="16"/>
                <w:szCs w:val="20"/>
              </w:rPr>
              <w:t>Organización/es responsable/s del Producto: CERAC y CINEP</w:t>
            </w:r>
          </w:p>
        </w:tc>
      </w:tr>
      <w:tr w:rsidR="008F2907" w:rsidRPr="00127A71" w14:paraId="6A73E5DE" w14:textId="77777777" w:rsidTr="00127A71">
        <w:trPr>
          <w:cantSplit/>
          <w:trHeight w:val="504"/>
        </w:trPr>
        <w:tc>
          <w:tcPr>
            <w:tcW w:w="0" w:type="auto"/>
            <w:tcBorders>
              <w:top w:val="single" w:sz="12" w:space="0" w:color="CCCCCC"/>
              <w:left w:val="single" w:sz="12" w:space="0" w:color="000000"/>
              <w:bottom w:val="single" w:sz="12" w:space="0" w:color="000000"/>
              <w:right w:val="single" w:sz="12" w:space="0" w:color="000000"/>
            </w:tcBorders>
            <w:shd w:val="clear" w:color="auto" w:fill="F9CB9C"/>
            <w:tcMar>
              <w:top w:w="48" w:type="dxa"/>
              <w:left w:w="72" w:type="dxa"/>
              <w:bottom w:w="48" w:type="dxa"/>
              <w:right w:w="72" w:type="dxa"/>
            </w:tcMar>
            <w:hideMark/>
          </w:tcPr>
          <w:p w14:paraId="33DD186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Indicadores de resultados inmediatos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43FF02B6"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Áreas geográficas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2917D64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Beneficiarios (Hombres, Mujeres, Niñas y Niños)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1284840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Información de línea de base</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00C94A9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Metas finales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453F8B7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Medios de verificación</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31D599A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Organización responsable</w:t>
            </w:r>
          </w:p>
        </w:tc>
      </w:tr>
      <w:tr w:rsidR="008F2907" w:rsidRPr="00127A71" w14:paraId="4CFB90BE" w14:textId="77777777" w:rsidTr="00127A71">
        <w:trPr>
          <w:cantSplit/>
          <w:trHeight w:val="1080"/>
        </w:trPr>
        <w:tc>
          <w:tcPr>
            <w:tcW w:w="0" w:type="auto"/>
            <w:vMerge w:val="restart"/>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7B4665D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 Número de Grandes Memorias que incluyen la identificación y comprobación de los avances en la implementación de los 6 puntos del acuerdo, con referencia específica a los enfoques transversales (étnico, género y territorial) elaboradas y entregadas a los Verificadores Internacionales (Notables).</w:t>
            </w:r>
            <w:r w:rsidRPr="00127A71">
              <w:rPr>
                <w:rFonts w:eastAsia="Times New Roman"/>
                <w:color w:val="auto"/>
                <w:sz w:val="16"/>
                <w:szCs w:val="20"/>
              </w:rPr>
              <w:br/>
            </w:r>
            <w:r w:rsidRPr="00127A71">
              <w:rPr>
                <w:rFonts w:eastAsia="Times New Roman"/>
                <w:color w:val="auto"/>
                <w:sz w:val="16"/>
                <w:szCs w:val="20"/>
              </w:rPr>
              <w:br/>
              <w:t xml:space="preserve">- Número de Grandes Memorias que contengan recomendaciones que atiendan los retrasos y deficiencias que se presenten en el proceso de implementación elaboradas y entregadas a los Verificadores Internacionales (Notables). </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56BCD98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Cobertura nacional</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5F2827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CSIVI y Verificadores Internacionales</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6382CD77"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0 Grandes memorias</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2C1132B6"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6 Grandes memorias que incluyen 36 memorias (nueve para cada una de las seis áreas temáticas del acuerdo).</w:t>
            </w:r>
            <w:r w:rsidRPr="00127A71">
              <w:rPr>
                <w:rFonts w:eastAsia="Times New Roman"/>
                <w:color w:val="auto"/>
                <w:sz w:val="16"/>
                <w:szCs w:val="20"/>
              </w:rPr>
              <w:br/>
            </w:r>
            <w:r w:rsidRPr="00127A71">
              <w:rPr>
                <w:rFonts w:eastAsia="Times New Roman"/>
                <w:color w:val="auto"/>
                <w:sz w:val="16"/>
                <w:szCs w:val="20"/>
              </w:rPr>
              <w:br/>
              <w:t>Cada memoria incluirá explícitamente el análisis de los enfoques transversales (étnico, de género y territorial)</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2AD339D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 Certificado semestral, por parte de los Notables sobre la recepción y suficiencia de contenido de las Grandes Memorias. (En caso de que los Notables o Verificadores, hagan público estos reportes, éstos documentos serán el medio de verificación)</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045F097C"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CINEP (responsable de18 de las 36 memorias)</w:t>
            </w:r>
            <w:r w:rsidRPr="00127A71">
              <w:rPr>
                <w:rFonts w:eastAsia="Times New Roman"/>
                <w:color w:val="auto"/>
                <w:sz w:val="16"/>
                <w:szCs w:val="20"/>
              </w:rPr>
              <w:br/>
              <w:t>CERAC (responsable de 18 de las 36 memorias)</w:t>
            </w:r>
          </w:p>
        </w:tc>
      </w:tr>
      <w:tr w:rsidR="008F2907" w:rsidRPr="00127A71" w14:paraId="1CD86F02" w14:textId="77777777" w:rsidTr="00127A71">
        <w:trPr>
          <w:cantSplit/>
          <w:trHeight w:val="840"/>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69ECB9CA"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9A06262"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8EB27EF"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067EFF6"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E6D9F0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0E7B00FA"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1FE12F18"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r>
      <w:tr w:rsidR="008F2907" w:rsidRPr="00127A71" w14:paraId="63FCDA9D" w14:textId="77777777" w:rsidTr="00127A71">
        <w:trPr>
          <w:cantSplit/>
          <w:trHeight w:val="29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3627578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1E567C1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6E2425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6118A76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09D9F3B5"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09671477"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288C51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r>
      <w:tr w:rsidR="008F2907" w:rsidRPr="00127A71" w14:paraId="516A71FB" w14:textId="77777777" w:rsidTr="00127A71">
        <w:trPr>
          <w:cantSplit/>
          <w:trHeight w:val="504"/>
        </w:trPr>
        <w:tc>
          <w:tcPr>
            <w:tcW w:w="0" w:type="auto"/>
            <w:tcBorders>
              <w:top w:val="single" w:sz="12" w:space="0" w:color="CCCCCC"/>
              <w:left w:val="single" w:sz="12" w:space="0" w:color="000000"/>
              <w:bottom w:val="single" w:sz="12" w:space="0" w:color="000000"/>
              <w:right w:val="single" w:sz="12" w:space="0" w:color="000000"/>
            </w:tcBorders>
            <w:shd w:val="clear" w:color="auto" w:fill="F9CB9C"/>
            <w:tcMar>
              <w:top w:w="48" w:type="dxa"/>
              <w:left w:w="72" w:type="dxa"/>
              <w:bottom w:w="48" w:type="dxa"/>
              <w:right w:w="72" w:type="dxa"/>
            </w:tcMar>
            <w:hideMark/>
          </w:tcPr>
          <w:p w14:paraId="765BB72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Producto 1.2. Actualizaciones (una actualización mensual)</w:t>
            </w:r>
          </w:p>
        </w:tc>
        <w:tc>
          <w:tcPr>
            <w:tcW w:w="0" w:type="auto"/>
            <w:gridSpan w:val="6"/>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378DAE7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i/>
                <w:iCs/>
                <w:sz w:val="16"/>
                <w:szCs w:val="20"/>
              </w:rPr>
            </w:pPr>
            <w:r w:rsidRPr="00127A71">
              <w:rPr>
                <w:rFonts w:ascii="Calibri" w:eastAsia="Times New Roman" w:hAnsi="Calibri"/>
                <w:i/>
                <w:iCs/>
                <w:sz w:val="16"/>
                <w:szCs w:val="20"/>
              </w:rPr>
              <w:t>Organización/es responsable/s del Producto: CERAC y CINEP</w:t>
            </w:r>
          </w:p>
        </w:tc>
      </w:tr>
      <w:tr w:rsidR="008F2907" w:rsidRPr="00127A71" w14:paraId="3FD17E30" w14:textId="77777777" w:rsidTr="00127A71">
        <w:trPr>
          <w:cantSplit/>
          <w:trHeight w:val="504"/>
        </w:trPr>
        <w:tc>
          <w:tcPr>
            <w:tcW w:w="0" w:type="auto"/>
            <w:tcBorders>
              <w:top w:val="single" w:sz="12" w:space="0" w:color="CCCCCC"/>
              <w:left w:val="single" w:sz="12" w:space="0" w:color="000000"/>
              <w:bottom w:val="single" w:sz="12" w:space="0" w:color="000000"/>
              <w:right w:val="single" w:sz="12" w:space="0" w:color="000000"/>
            </w:tcBorders>
            <w:shd w:val="clear" w:color="auto" w:fill="F9CB9C"/>
            <w:tcMar>
              <w:top w:w="48" w:type="dxa"/>
              <w:left w:w="72" w:type="dxa"/>
              <w:bottom w:w="48" w:type="dxa"/>
              <w:right w:w="72" w:type="dxa"/>
            </w:tcMar>
            <w:hideMark/>
          </w:tcPr>
          <w:p w14:paraId="7BA37BDA"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lastRenderedPageBreak/>
              <w:t>Indicadores de resultados inmediatos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49D359F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Áreas geográficas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4C2E8D9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Beneficiarios (Hombres, Mujeres, Niñas y Niños)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30FA397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Información de línea de base</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0A7C3845"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Metas finales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5A8769F5"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Medios de verificación</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17F8D35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Organización responsable</w:t>
            </w:r>
          </w:p>
        </w:tc>
      </w:tr>
      <w:tr w:rsidR="008F2907" w:rsidRPr="00127A71" w14:paraId="5B3D04C8" w14:textId="77777777" w:rsidTr="00127A71">
        <w:trPr>
          <w:cantSplit/>
          <w:trHeight w:val="744"/>
        </w:trPr>
        <w:tc>
          <w:tcPr>
            <w:tcW w:w="0" w:type="auto"/>
            <w:vMerge w:val="restart"/>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62E2C46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after="240" w:line="240" w:lineRule="auto"/>
              <w:rPr>
                <w:rFonts w:eastAsia="Times New Roman"/>
                <w:color w:val="auto"/>
                <w:sz w:val="16"/>
                <w:szCs w:val="20"/>
              </w:rPr>
            </w:pPr>
            <w:r w:rsidRPr="00127A71">
              <w:rPr>
                <w:rFonts w:eastAsia="Times New Roman"/>
                <w:color w:val="auto"/>
                <w:sz w:val="16"/>
                <w:szCs w:val="20"/>
              </w:rPr>
              <w:t xml:space="preserve">- Número de reportes de actualización que incluyen la identificación y comprobación de los avances en la implementación de los 6 puntos del acuerdo, con referencia específica a los enfoques transversales (étnico, género y territorial) elaborados y entregados a los Verificadores Internacionales (Notables). </w:t>
            </w:r>
            <w:r w:rsidRPr="00127A71">
              <w:rPr>
                <w:rFonts w:eastAsia="Times New Roman"/>
                <w:color w:val="auto"/>
                <w:sz w:val="16"/>
                <w:szCs w:val="20"/>
              </w:rPr>
              <w:br/>
            </w:r>
            <w:r w:rsidRPr="00127A71">
              <w:rPr>
                <w:rFonts w:eastAsia="Times New Roman"/>
                <w:color w:val="auto"/>
                <w:sz w:val="16"/>
                <w:szCs w:val="20"/>
              </w:rPr>
              <w:br/>
              <w:t xml:space="preserve">- Número de reportes de actualización que contengan recomendaciones que atiendan los retrasos y deficiencias que se presenten en el proceso de implementación elaborados y entregados a los Verificadores Internacionales (Notables). </w:t>
            </w:r>
          </w:p>
          <w:p w14:paraId="3094F8B6"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after="240" w:line="240" w:lineRule="auto"/>
              <w:rPr>
                <w:rFonts w:eastAsia="Times New Roman"/>
                <w:color w:val="auto"/>
                <w:sz w:val="16"/>
                <w:szCs w:val="20"/>
              </w:rPr>
            </w:pPr>
          </w:p>
          <w:p w14:paraId="5E16236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after="240" w:line="240" w:lineRule="auto"/>
              <w:rPr>
                <w:rFonts w:eastAsia="Times New Roman"/>
                <w:color w:val="auto"/>
                <w:sz w:val="16"/>
                <w:szCs w:val="20"/>
              </w:rPr>
            </w:pPr>
          </w:p>
          <w:p w14:paraId="1259E71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after="240" w:line="240" w:lineRule="auto"/>
              <w:rPr>
                <w:rFonts w:eastAsia="Times New Roman"/>
                <w:color w:val="auto"/>
                <w:sz w:val="16"/>
                <w:szCs w:val="20"/>
              </w:rPr>
            </w:pPr>
          </w:p>
          <w:p w14:paraId="1E04073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after="240" w:line="240" w:lineRule="auto"/>
              <w:rPr>
                <w:rFonts w:eastAsia="Times New Roman"/>
                <w:color w:val="auto"/>
                <w:sz w:val="16"/>
                <w:szCs w:val="20"/>
              </w:rPr>
            </w:pP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B94E3D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Cobertura nacional</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9F50D9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CSIVI y Verificadores Internacionales</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9181276"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0 actualizaciones</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7B88E4D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18 actualizaciones las cuales incluyen</w:t>
            </w:r>
            <w:r w:rsidRPr="00127A71">
              <w:rPr>
                <w:rFonts w:eastAsia="Times New Roman"/>
                <w:color w:val="auto"/>
                <w:sz w:val="16"/>
                <w:szCs w:val="20"/>
              </w:rPr>
              <w:br/>
              <w:t>referencia específica</w:t>
            </w:r>
            <w:r w:rsidRPr="00127A71">
              <w:rPr>
                <w:rFonts w:eastAsia="Times New Roman"/>
                <w:color w:val="auto"/>
                <w:sz w:val="16"/>
                <w:szCs w:val="20"/>
              </w:rPr>
              <w:br/>
              <w:t>a los enfoques</w:t>
            </w:r>
            <w:r w:rsidRPr="00127A71">
              <w:rPr>
                <w:rFonts w:eastAsia="Times New Roman"/>
                <w:color w:val="auto"/>
                <w:sz w:val="16"/>
                <w:szCs w:val="20"/>
              </w:rPr>
              <w:br/>
              <w:t>transversales (étnico,</w:t>
            </w:r>
            <w:r w:rsidRPr="00127A71">
              <w:rPr>
                <w:rFonts w:eastAsia="Times New Roman"/>
                <w:color w:val="auto"/>
                <w:sz w:val="16"/>
                <w:szCs w:val="20"/>
              </w:rPr>
              <w:br/>
              <w:t>género y territorial).</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4DC04A9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 Certificado semestral por parte de los Notables sobre la recepción y suficiencia de contenido de los reportes. En caso de que los Notables o Verificadores, hagan público estos reportes, éstos documentos serán el medio de verificación.</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64F9B90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CINEP (responsable de 9 de las 18 actualizaciones)</w:t>
            </w:r>
            <w:r w:rsidRPr="00127A71">
              <w:rPr>
                <w:rFonts w:eastAsia="Times New Roman"/>
                <w:color w:val="auto"/>
                <w:sz w:val="16"/>
                <w:szCs w:val="20"/>
              </w:rPr>
              <w:br/>
              <w:t>CERAC (responsable de 9 de las 18 actualizaciones)</w:t>
            </w:r>
          </w:p>
        </w:tc>
      </w:tr>
      <w:tr w:rsidR="008F2907" w:rsidRPr="00127A71" w14:paraId="4FEBE76A" w14:textId="77777777" w:rsidTr="00127A71">
        <w:trPr>
          <w:cantSplit/>
          <w:trHeight w:val="1152"/>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4EED5D6C"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0325E03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F183C21"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FC7B221"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6B097B4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65CBEE3F"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B7FC66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r>
      <w:tr w:rsidR="008F2907" w:rsidRPr="00127A71" w14:paraId="1F4D6B00" w14:textId="77777777" w:rsidTr="00127A71">
        <w:trPr>
          <w:cantSplit/>
          <w:trHeight w:val="2976"/>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2819A09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A331EA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162B6C9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1AF1D62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4AB1E605"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5D222B6"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098A723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r>
      <w:tr w:rsidR="008F2907" w:rsidRPr="00127A71" w14:paraId="27DCCBCA" w14:textId="77777777" w:rsidTr="00127A71">
        <w:trPr>
          <w:cantSplit/>
          <w:trHeight w:val="504"/>
        </w:trPr>
        <w:tc>
          <w:tcPr>
            <w:tcW w:w="0" w:type="auto"/>
            <w:tcBorders>
              <w:top w:val="single" w:sz="12" w:space="0" w:color="CCCCCC"/>
              <w:left w:val="single" w:sz="12" w:space="0" w:color="000000"/>
              <w:bottom w:val="single" w:sz="12" w:space="0" w:color="000000"/>
              <w:right w:val="single" w:sz="12" w:space="0" w:color="000000"/>
            </w:tcBorders>
            <w:shd w:val="clear" w:color="auto" w:fill="F9CB9C"/>
            <w:tcMar>
              <w:top w:w="48" w:type="dxa"/>
              <w:left w:w="72" w:type="dxa"/>
              <w:bottom w:w="48" w:type="dxa"/>
              <w:right w:w="72" w:type="dxa"/>
            </w:tcMar>
            <w:hideMark/>
          </w:tcPr>
          <w:p w14:paraId="780E947F"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lastRenderedPageBreak/>
              <w:t>Producto 1.3. : Reportes de controversias, más los reportes que sean solicitados por los Notables</w:t>
            </w:r>
          </w:p>
        </w:tc>
        <w:tc>
          <w:tcPr>
            <w:tcW w:w="0" w:type="auto"/>
            <w:gridSpan w:val="6"/>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6263C08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i/>
                <w:iCs/>
                <w:sz w:val="16"/>
                <w:szCs w:val="20"/>
              </w:rPr>
            </w:pPr>
            <w:r w:rsidRPr="00127A71">
              <w:rPr>
                <w:rFonts w:ascii="Calibri" w:eastAsia="Times New Roman" w:hAnsi="Calibri"/>
                <w:i/>
                <w:iCs/>
                <w:sz w:val="16"/>
                <w:szCs w:val="20"/>
              </w:rPr>
              <w:t>Organización/es responsable/s del Producto: CERAC y CINEP</w:t>
            </w:r>
          </w:p>
        </w:tc>
      </w:tr>
      <w:tr w:rsidR="008F2907" w:rsidRPr="00127A71" w14:paraId="58DE75FD" w14:textId="77777777" w:rsidTr="00127A71">
        <w:trPr>
          <w:cantSplit/>
          <w:trHeight w:val="504"/>
        </w:trPr>
        <w:tc>
          <w:tcPr>
            <w:tcW w:w="0" w:type="auto"/>
            <w:tcBorders>
              <w:top w:val="single" w:sz="12" w:space="0" w:color="CCCCCC"/>
              <w:left w:val="single" w:sz="12" w:space="0" w:color="000000"/>
              <w:bottom w:val="single" w:sz="12" w:space="0" w:color="000000"/>
              <w:right w:val="single" w:sz="12" w:space="0" w:color="000000"/>
            </w:tcBorders>
            <w:shd w:val="clear" w:color="auto" w:fill="F9CB9C"/>
            <w:tcMar>
              <w:top w:w="48" w:type="dxa"/>
              <w:left w:w="72" w:type="dxa"/>
              <w:bottom w:w="48" w:type="dxa"/>
              <w:right w:w="72" w:type="dxa"/>
            </w:tcMar>
            <w:hideMark/>
          </w:tcPr>
          <w:p w14:paraId="5C82BD5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Indicadores de resultados inmediatos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1EA61B28"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Áreas geográficas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656C86A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Beneficiarios (Hombres, Mujeres, Niñas y Niños)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0F7591B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Información de línea de base</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2C63573F"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Metas finales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7A16CFD8"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Medios de verificación</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58308801"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Organización responsable</w:t>
            </w:r>
          </w:p>
        </w:tc>
      </w:tr>
      <w:tr w:rsidR="008F2907" w:rsidRPr="00127A71" w14:paraId="5F3C2BB5" w14:textId="77777777" w:rsidTr="00127A71">
        <w:trPr>
          <w:cantSplit/>
          <w:trHeight w:val="1248"/>
        </w:trPr>
        <w:tc>
          <w:tcPr>
            <w:tcW w:w="0" w:type="auto"/>
            <w:vMerge w:val="restart"/>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69614CC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 Número de reportes de controversia que contengan recomendaciones de solución enviados a los Verificadores Internacionales (Notables) que contribuyan a la solución de controversias y dificultades.</w:t>
            </w:r>
            <w:r w:rsidRPr="00127A71">
              <w:rPr>
                <w:rFonts w:eastAsia="Times New Roman"/>
                <w:color w:val="auto"/>
                <w:sz w:val="16"/>
                <w:szCs w:val="20"/>
              </w:rPr>
              <w:br/>
            </w:r>
            <w:r w:rsidRPr="00127A71">
              <w:rPr>
                <w:rFonts w:eastAsia="Times New Roman"/>
                <w:color w:val="auto"/>
                <w:sz w:val="16"/>
                <w:szCs w:val="20"/>
              </w:rPr>
              <w:br/>
              <w:t xml:space="preserve">-Número de reportes de controversia que contengan recomendaciones de solución enviados a los </w:t>
            </w:r>
            <w:r w:rsidRPr="00127A71">
              <w:rPr>
                <w:rFonts w:eastAsia="Times New Roman"/>
                <w:color w:val="auto"/>
                <w:sz w:val="16"/>
                <w:szCs w:val="20"/>
              </w:rPr>
              <w:lastRenderedPageBreak/>
              <w:t xml:space="preserve">Verificadores Internacionales (Notables) que contribuyan a la solución de controversias relacionadas con los enfoques diferenciales (étnico, género y territorial). </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54CADD95"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lastRenderedPageBreak/>
              <w:t>Cobertura nacional</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5A389E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CSIVI y Verificadores Internacionales</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6DEF190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0 reportes de controversias</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8A0B3EF"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No es posible establecer cuantos reportes de controversias se realizarán, ya que esto depende de las controversias que sean identificadas en el desarrollo del proceso de implementación</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182391E5"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 Certificado semestral, por parte de los Notables, sobre la recepción y suficiencia de contenido de los reportes de controversias. En caso de que los Notables o Verificadores, hagan público estos reportes, éstos documentos serán el medio de verificación.</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27A0CF4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CINEP (responsable de los reportes de controversia que correspondan a los puntos del Acuerdo en los que tiene responsabilidad primaria)</w:t>
            </w:r>
            <w:r w:rsidRPr="00127A71">
              <w:rPr>
                <w:rFonts w:eastAsia="Times New Roman"/>
                <w:color w:val="auto"/>
                <w:sz w:val="16"/>
                <w:szCs w:val="20"/>
              </w:rPr>
              <w:br/>
              <w:t xml:space="preserve">CERAC (responsable de los reportes de controversia que correspondan a los puntos del Acuerdo </w:t>
            </w:r>
            <w:r w:rsidRPr="00127A71">
              <w:rPr>
                <w:rFonts w:eastAsia="Times New Roman"/>
                <w:color w:val="auto"/>
                <w:sz w:val="16"/>
                <w:szCs w:val="20"/>
              </w:rPr>
              <w:lastRenderedPageBreak/>
              <w:t>en los que tiene responsabilidad primaria)</w:t>
            </w:r>
          </w:p>
        </w:tc>
      </w:tr>
      <w:tr w:rsidR="008F2907" w:rsidRPr="00127A71" w14:paraId="2C62D70E" w14:textId="77777777" w:rsidTr="00127A71">
        <w:trPr>
          <w:cantSplit/>
          <w:trHeight w:val="1416"/>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2265ADF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1CF0C0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6F0D770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29D405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15BACF08"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AA53601"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6F15A4D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r>
      <w:tr w:rsidR="008F2907" w:rsidRPr="00127A71" w14:paraId="2E670C5A" w14:textId="77777777" w:rsidTr="00127A71">
        <w:trPr>
          <w:cantSplit/>
          <w:trHeight w:val="3600"/>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66E0F80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F98B488"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0052ACE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EBF2E05"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07556072"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161A331"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49BE8E5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r>
      <w:tr w:rsidR="008F2907" w:rsidRPr="00127A71" w14:paraId="44018399" w14:textId="77777777" w:rsidTr="00127A71">
        <w:trPr>
          <w:cantSplit/>
          <w:trHeight w:val="504"/>
        </w:trPr>
        <w:tc>
          <w:tcPr>
            <w:tcW w:w="0" w:type="auto"/>
            <w:tcBorders>
              <w:top w:val="single" w:sz="12" w:space="0" w:color="CCCCCC"/>
              <w:left w:val="single" w:sz="12" w:space="0" w:color="000000"/>
              <w:bottom w:val="single" w:sz="12" w:space="0" w:color="000000"/>
              <w:right w:val="single" w:sz="12" w:space="0" w:color="000000"/>
            </w:tcBorders>
            <w:shd w:val="clear" w:color="auto" w:fill="F9CB9C"/>
            <w:tcMar>
              <w:top w:w="48" w:type="dxa"/>
              <w:left w:w="72" w:type="dxa"/>
              <w:bottom w:w="48" w:type="dxa"/>
              <w:right w:w="72" w:type="dxa"/>
            </w:tcMar>
            <w:hideMark/>
          </w:tcPr>
          <w:p w14:paraId="42519862"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Producto 1.4. 9 Pronunciamientos de los Notables o Verificadores Internacionales, más los pronunciamientos que sean solicitados por los notables</w:t>
            </w:r>
          </w:p>
        </w:tc>
        <w:tc>
          <w:tcPr>
            <w:tcW w:w="0" w:type="auto"/>
            <w:gridSpan w:val="6"/>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4F4FD09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i/>
                <w:iCs/>
                <w:sz w:val="16"/>
                <w:szCs w:val="20"/>
              </w:rPr>
            </w:pPr>
            <w:r w:rsidRPr="00127A71">
              <w:rPr>
                <w:rFonts w:ascii="Calibri" w:eastAsia="Times New Roman" w:hAnsi="Calibri"/>
                <w:i/>
                <w:iCs/>
                <w:sz w:val="16"/>
                <w:szCs w:val="20"/>
              </w:rPr>
              <w:t>Organización/es responsable/s del Producto: CERAC y CINEP</w:t>
            </w:r>
          </w:p>
        </w:tc>
      </w:tr>
      <w:tr w:rsidR="008F2907" w:rsidRPr="00127A71" w14:paraId="1BF538E3" w14:textId="77777777" w:rsidTr="00127A71">
        <w:trPr>
          <w:cantSplit/>
          <w:trHeight w:val="504"/>
        </w:trPr>
        <w:tc>
          <w:tcPr>
            <w:tcW w:w="0" w:type="auto"/>
            <w:tcBorders>
              <w:top w:val="single" w:sz="12" w:space="0" w:color="CCCCCC"/>
              <w:left w:val="single" w:sz="12" w:space="0" w:color="000000"/>
              <w:bottom w:val="single" w:sz="12" w:space="0" w:color="000000"/>
              <w:right w:val="single" w:sz="12" w:space="0" w:color="000000"/>
            </w:tcBorders>
            <w:shd w:val="clear" w:color="auto" w:fill="F9CB9C"/>
            <w:tcMar>
              <w:top w:w="48" w:type="dxa"/>
              <w:left w:w="72" w:type="dxa"/>
              <w:bottom w:w="48" w:type="dxa"/>
              <w:right w:w="72" w:type="dxa"/>
            </w:tcMar>
            <w:hideMark/>
          </w:tcPr>
          <w:p w14:paraId="0922698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Indicadores de resultados inmediatos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083693C5"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Áreas geográficas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30CFA37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Beneficiarios (Hombres, Mujeres, Niñas y Niños)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28BFD1B8"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Información de línea de base</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61DD5B7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Metas finales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040B5D25"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Medios de verificación</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430117A7"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Organización responsable</w:t>
            </w:r>
          </w:p>
        </w:tc>
      </w:tr>
      <w:tr w:rsidR="008F2907" w:rsidRPr="00127A71" w14:paraId="17ED926D" w14:textId="77777777" w:rsidTr="00127A71">
        <w:trPr>
          <w:cantSplit/>
          <w:trHeight w:val="768"/>
        </w:trPr>
        <w:tc>
          <w:tcPr>
            <w:tcW w:w="0" w:type="auto"/>
            <w:vMerge w:val="restart"/>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2994206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 xml:space="preserve">- Número de pronunciamientos que incluyen información sobre los avances del proceso de implementación del Acuerdo e información sobre sus recomendaciones para </w:t>
            </w:r>
            <w:r w:rsidRPr="00127A71">
              <w:rPr>
                <w:rFonts w:eastAsia="Times New Roman"/>
                <w:color w:val="auto"/>
                <w:sz w:val="16"/>
                <w:szCs w:val="20"/>
              </w:rPr>
              <w:lastRenderedPageBreak/>
              <w:t>superar retrasos, deficiencias y controversias enviados a los Verificadores Internacionales (Notables) y hechos públicos por los Notables.</w:t>
            </w:r>
            <w:r w:rsidRPr="00127A71">
              <w:rPr>
                <w:rFonts w:eastAsia="Times New Roman"/>
                <w:color w:val="auto"/>
                <w:sz w:val="16"/>
                <w:szCs w:val="20"/>
              </w:rPr>
              <w:br/>
            </w:r>
            <w:r w:rsidRPr="00127A71">
              <w:rPr>
                <w:rFonts w:eastAsia="Times New Roman"/>
                <w:color w:val="auto"/>
                <w:sz w:val="16"/>
                <w:szCs w:val="20"/>
              </w:rPr>
              <w:br/>
              <w:t>- Número de pronunciamientos que incluyen información sobre los avances en materia diferencial (género, étnico, territorial) del proceso de implementación del Acuerdo e información sobre recomendaciones para superar retrasos, deficiencias y controversias enviados a los Verificadores Internacionales (Notables) y hechos públicos por los Notables</w:t>
            </w:r>
          </w:p>
          <w:p w14:paraId="32ACC5C6"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p w14:paraId="292BFE0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p w14:paraId="17BDBFE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p w14:paraId="65785EA1"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p w14:paraId="55D3328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p w14:paraId="224688C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6F9764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lastRenderedPageBreak/>
              <w:t>Cobertura nacional</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B3A9E8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CSIVI y Verificadores Internacionales</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2DFEDF2"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0 pronunciamientos</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63B8150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Al menos 9 pronunciamientos</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280BD5FC"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 xml:space="preserve">- Certificado semestral parte de los Notables sobre la recepción y suficiencia de contenido de los pronunciamientos que prepare la Secretaría Técnica. En caso de que los Notables o </w:t>
            </w:r>
            <w:r w:rsidRPr="00127A71">
              <w:rPr>
                <w:rFonts w:eastAsia="Times New Roman"/>
                <w:color w:val="auto"/>
                <w:sz w:val="16"/>
                <w:szCs w:val="20"/>
              </w:rPr>
              <w:lastRenderedPageBreak/>
              <w:t>Verificadores, hagan público estos pronunciamientos, éstos documentos serán el medio de verificación.</w:t>
            </w:r>
            <w:r w:rsidRPr="00127A71">
              <w:rPr>
                <w:rFonts w:eastAsia="Times New Roman"/>
                <w:color w:val="auto"/>
                <w:sz w:val="16"/>
                <w:szCs w:val="20"/>
              </w:rPr>
              <w:br/>
            </w:r>
            <w:r w:rsidRPr="00127A71">
              <w:rPr>
                <w:rFonts w:eastAsia="Times New Roman"/>
                <w:color w:val="auto"/>
                <w:sz w:val="16"/>
                <w:szCs w:val="20"/>
              </w:rPr>
              <w:br/>
              <w:t>- Notas de prensa y documentos de los pronunciamientos públicos de los Notables.</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691CFB9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lastRenderedPageBreak/>
              <w:t>Los pronunciamientos serán realizados en conjunto por CERAC y CINEP.</w:t>
            </w:r>
          </w:p>
        </w:tc>
      </w:tr>
      <w:tr w:rsidR="008F2907" w:rsidRPr="00127A71" w14:paraId="505A15A1" w14:textId="77777777" w:rsidTr="00127A71">
        <w:trPr>
          <w:cantSplit/>
          <w:trHeight w:val="74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101711A7"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600CF408"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6BFAB1D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0B867F1F"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41C78A46"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1F107A3F"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62E7C0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r>
      <w:tr w:rsidR="008F2907" w:rsidRPr="00127A71" w14:paraId="0F150C38" w14:textId="77777777" w:rsidTr="00127A71">
        <w:trPr>
          <w:cantSplit/>
          <w:trHeight w:val="5832"/>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2AFC9496"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6DD02D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7C24BA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3DDB1F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B02331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1E6DEC31"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A0AE58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r>
      <w:tr w:rsidR="008F2907" w:rsidRPr="00127A71" w14:paraId="200F4585" w14:textId="77777777" w:rsidTr="00127A71">
        <w:trPr>
          <w:cantSplit/>
          <w:trHeight w:val="504"/>
        </w:trPr>
        <w:tc>
          <w:tcPr>
            <w:tcW w:w="0" w:type="auto"/>
            <w:tcBorders>
              <w:top w:val="single" w:sz="12" w:space="0" w:color="CCCCCC"/>
              <w:left w:val="single" w:sz="12" w:space="0" w:color="000000"/>
              <w:bottom w:val="single" w:sz="12" w:space="0" w:color="000000"/>
              <w:right w:val="single" w:sz="12" w:space="0" w:color="000000"/>
            </w:tcBorders>
            <w:shd w:val="clear" w:color="auto" w:fill="F9CB9C"/>
            <w:tcMar>
              <w:top w:w="48" w:type="dxa"/>
              <w:left w:w="72" w:type="dxa"/>
              <w:bottom w:w="48" w:type="dxa"/>
              <w:right w:w="72" w:type="dxa"/>
            </w:tcMar>
            <w:hideMark/>
          </w:tcPr>
          <w:p w14:paraId="35828A9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Producto 1.5. 3 Reportes semestrales sobre el estado de implementación del enfoque de género</w:t>
            </w:r>
          </w:p>
        </w:tc>
        <w:tc>
          <w:tcPr>
            <w:tcW w:w="0" w:type="auto"/>
            <w:gridSpan w:val="6"/>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6C0BE9A5"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i/>
                <w:iCs/>
                <w:sz w:val="16"/>
                <w:szCs w:val="20"/>
              </w:rPr>
            </w:pPr>
            <w:r w:rsidRPr="00127A71">
              <w:rPr>
                <w:rFonts w:ascii="Calibri" w:eastAsia="Times New Roman" w:hAnsi="Calibri"/>
                <w:i/>
                <w:iCs/>
                <w:sz w:val="16"/>
                <w:szCs w:val="20"/>
              </w:rPr>
              <w:t>Organización/es responsable/s del Producto: CERAC y CINEP</w:t>
            </w:r>
          </w:p>
        </w:tc>
      </w:tr>
      <w:tr w:rsidR="008F2907" w:rsidRPr="00127A71" w14:paraId="5DCE80C2" w14:textId="77777777" w:rsidTr="00127A71">
        <w:trPr>
          <w:cantSplit/>
          <w:trHeight w:val="504"/>
        </w:trPr>
        <w:tc>
          <w:tcPr>
            <w:tcW w:w="0" w:type="auto"/>
            <w:tcBorders>
              <w:top w:val="single" w:sz="12" w:space="0" w:color="CCCCCC"/>
              <w:left w:val="single" w:sz="12" w:space="0" w:color="000000"/>
              <w:bottom w:val="single" w:sz="12" w:space="0" w:color="000000"/>
              <w:right w:val="single" w:sz="12" w:space="0" w:color="000000"/>
            </w:tcBorders>
            <w:shd w:val="clear" w:color="auto" w:fill="F9CB9C"/>
            <w:tcMar>
              <w:top w:w="48" w:type="dxa"/>
              <w:left w:w="72" w:type="dxa"/>
              <w:bottom w:w="48" w:type="dxa"/>
              <w:right w:w="72" w:type="dxa"/>
            </w:tcMar>
            <w:hideMark/>
          </w:tcPr>
          <w:p w14:paraId="04EACC6C"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Indicadores de resultados inmediatos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3EB0FB3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Áreas geográficas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26A143DF"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Beneficiarios (Hombres, Mujeres, Niñas y Niños)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13B576EA"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Información de línea de base</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339FABA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Metas finales</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0F87F0F2"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Medios de verificación</w:t>
            </w:r>
          </w:p>
        </w:tc>
        <w:tc>
          <w:tcPr>
            <w:tcW w:w="0" w:type="auto"/>
            <w:tcBorders>
              <w:top w:val="single" w:sz="12" w:space="0" w:color="CCCCCC"/>
              <w:left w:val="single" w:sz="12" w:space="0" w:color="CCCCCC"/>
              <w:bottom w:val="single" w:sz="12" w:space="0" w:color="000000"/>
              <w:right w:val="single" w:sz="12" w:space="0" w:color="000000"/>
            </w:tcBorders>
            <w:shd w:val="clear" w:color="auto" w:fill="F9CB9C"/>
            <w:tcMar>
              <w:top w:w="48" w:type="dxa"/>
              <w:left w:w="72" w:type="dxa"/>
              <w:bottom w:w="48" w:type="dxa"/>
              <w:right w:w="72" w:type="dxa"/>
            </w:tcMar>
            <w:hideMark/>
          </w:tcPr>
          <w:p w14:paraId="6D3322E4"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6"/>
                <w:szCs w:val="20"/>
              </w:rPr>
            </w:pPr>
            <w:r w:rsidRPr="00127A71">
              <w:rPr>
                <w:rFonts w:ascii="Calibri" w:eastAsia="Times New Roman" w:hAnsi="Calibri"/>
                <w:b/>
                <w:bCs/>
                <w:sz w:val="16"/>
                <w:szCs w:val="20"/>
              </w:rPr>
              <w:t>Organización responsable</w:t>
            </w:r>
          </w:p>
        </w:tc>
      </w:tr>
      <w:tr w:rsidR="008F2907" w:rsidRPr="00127A71" w14:paraId="0E635DD4" w14:textId="77777777" w:rsidTr="00127A71">
        <w:trPr>
          <w:cantSplit/>
          <w:trHeight w:val="1752"/>
        </w:trPr>
        <w:tc>
          <w:tcPr>
            <w:tcW w:w="0" w:type="auto"/>
            <w:vMerge w:val="restart"/>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562E7D1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lastRenderedPageBreak/>
              <w:t>- Número de reportes que incluyen información sobre los avances del proceso de implementación del enfoque de género elaborados y entregados a los Verificadores Internacionales (Notables) y hechos públicos por los Notables.</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50821421"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Cobertura nacional</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94B0CF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CSIVI y Verificadores Internacionales</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F3DCE9A"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0 reportes sobre el estado de implementación del enfoque de género</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12BC67B"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3 reportes sobre el estado de implementación del enfoque de género</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476A430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 Certificado semestral por parte de los Notables sobre la recepción y suficiencia de contenido de los reportes que prepare la Secretaría Técnica. En caso de que los Notables o Verificadores, hagan público estos reportes, éstos documentos serán el medio de verificación.</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529A8EC1"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r w:rsidRPr="00127A71">
              <w:rPr>
                <w:rFonts w:eastAsia="Times New Roman"/>
                <w:color w:val="auto"/>
                <w:sz w:val="16"/>
                <w:szCs w:val="20"/>
              </w:rPr>
              <w:t>Los reportes sobre el estado de la implementación del enfoque de género serán realizados en conjunto por CERAC y CINEP.</w:t>
            </w:r>
          </w:p>
        </w:tc>
      </w:tr>
      <w:tr w:rsidR="008F2907" w:rsidRPr="00127A71" w14:paraId="3503E9D3" w14:textId="77777777" w:rsidTr="00127A71">
        <w:trPr>
          <w:cantSplit/>
          <w:trHeight w:val="2736"/>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15134E15"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0A73AB9"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4A847C6F"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7A6952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CB3CE8F"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090806F0"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13FEE781"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r>
      <w:tr w:rsidR="008F2907" w:rsidRPr="00127A71" w14:paraId="30014D17" w14:textId="77777777" w:rsidTr="00127A71">
        <w:trPr>
          <w:cantSplit/>
          <w:trHeight w:val="408"/>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722E12B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6C904F11"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7362AB2"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410E1AD"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46AEA328"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4B6125E"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47EB7C03" w14:textId="77777777" w:rsidR="008F2907" w:rsidRPr="00127A71" w:rsidRDefault="008F2907" w:rsidP="008F290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20"/>
              </w:rPr>
            </w:pPr>
          </w:p>
        </w:tc>
      </w:tr>
    </w:tbl>
    <w:p w14:paraId="3CF74891" w14:textId="77777777" w:rsidR="002631FE" w:rsidRDefault="002631FE">
      <w:pPr>
        <w:pStyle w:val="Normal1"/>
        <w:jc w:val="both"/>
        <w:rPr>
          <w:rFonts w:ascii="Calibri" w:eastAsia="Calibri" w:hAnsi="Calibri" w:cs="Calibri"/>
          <w:b/>
        </w:rPr>
      </w:pPr>
    </w:p>
    <w:p w14:paraId="75A7BB03" w14:textId="77777777" w:rsidR="002631FE" w:rsidRDefault="002631FE">
      <w:pPr>
        <w:pStyle w:val="Normal1"/>
        <w:jc w:val="both"/>
        <w:rPr>
          <w:rFonts w:ascii="Calibri" w:eastAsia="Calibri" w:hAnsi="Calibri" w:cs="Calibri"/>
          <w:b/>
        </w:rPr>
      </w:pPr>
    </w:p>
    <w:p w14:paraId="3EBE6836" w14:textId="77777777" w:rsidR="002631FE" w:rsidRDefault="002631FE">
      <w:pPr>
        <w:pStyle w:val="Normal1"/>
        <w:jc w:val="both"/>
        <w:rPr>
          <w:rFonts w:ascii="Calibri" w:eastAsia="Calibri" w:hAnsi="Calibri" w:cs="Calibri"/>
          <w:b/>
        </w:rPr>
      </w:pPr>
    </w:p>
    <w:p w14:paraId="29B0BEDA" w14:textId="77777777" w:rsidR="002631FE" w:rsidRDefault="002631FE">
      <w:pPr>
        <w:pStyle w:val="Normal1"/>
        <w:jc w:val="both"/>
        <w:rPr>
          <w:rFonts w:ascii="Calibri" w:eastAsia="Calibri" w:hAnsi="Calibri" w:cs="Calibri"/>
          <w:b/>
        </w:rPr>
      </w:pPr>
    </w:p>
    <w:p w14:paraId="7C9685DC" w14:textId="02AE0AA3" w:rsidR="002631FE" w:rsidRDefault="002631FE">
      <w:pPr>
        <w:pStyle w:val="Normal1"/>
        <w:jc w:val="both"/>
        <w:rPr>
          <w:rFonts w:ascii="Calibri" w:eastAsia="Calibri" w:hAnsi="Calibri" w:cs="Calibri"/>
          <w:b/>
        </w:rPr>
      </w:pPr>
    </w:p>
    <w:p w14:paraId="69DACC94" w14:textId="5C6750C5" w:rsidR="00475B3E" w:rsidRDefault="00475B3E">
      <w:pPr>
        <w:pStyle w:val="Normal1"/>
        <w:jc w:val="both"/>
        <w:rPr>
          <w:rFonts w:ascii="Calibri" w:eastAsia="Calibri" w:hAnsi="Calibri" w:cs="Calibri"/>
          <w:b/>
        </w:rPr>
      </w:pPr>
    </w:p>
    <w:p w14:paraId="02927D92" w14:textId="4AC6BC29" w:rsidR="00475B3E" w:rsidRDefault="00475B3E">
      <w:pPr>
        <w:pStyle w:val="Normal1"/>
        <w:jc w:val="both"/>
        <w:rPr>
          <w:rFonts w:ascii="Calibri" w:eastAsia="Calibri" w:hAnsi="Calibri" w:cs="Calibri"/>
          <w:b/>
        </w:rPr>
      </w:pPr>
    </w:p>
    <w:p w14:paraId="452D6110" w14:textId="77777777" w:rsidR="00475B3E" w:rsidRDefault="00475B3E">
      <w:pPr>
        <w:pStyle w:val="Normal1"/>
        <w:jc w:val="both"/>
        <w:rPr>
          <w:rFonts w:ascii="Calibri" w:eastAsia="Calibri" w:hAnsi="Calibri" w:cs="Calibri"/>
          <w:b/>
        </w:rPr>
      </w:pPr>
    </w:p>
    <w:p w14:paraId="359A52DE" w14:textId="77777777" w:rsidR="00642D63" w:rsidRDefault="00642D63">
      <w:pPr>
        <w:pStyle w:val="Normal1"/>
        <w:jc w:val="both"/>
        <w:rPr>
          <w:rFonts w:ascii="Calibri" w:eastAsia="Calibri" w:hAnsi="Calibri" w:cs="Calibri"/>
          <w:b/>
        </w:rPr>
      </w:pPr>
    </w:p>
    <w:p w14:paraId="7C69D18E" w14:textId="77777777" w:rsidR="002631FE" w:rsidRDefault="002631FE">
      <w:pPr>
        <w:pStyle w:val="Normal1"/>
        <w:pBdr>
          <w:top w:val="none" w:sz="0" w:space="0" w:color="000000"/>
          <w:left w:val="none" w:sz="0" w:space="0" w:color="000000"/>
          <w:bottom w:val="none" w:sz="0" w:space="0" w:color="000000"/>
          <w:right w:val="none" w:sz="0" w:space="0" w:color="000000"/>
          <w:between w:val="none" w:sz="0" w:space="0" w:color="000000"/>
        </w:pBdr>
        <w:spacing w:after="200"/>
        <w:jc w:val="both"/>
      </w:pPr>
    </w:p>
    <w:p w14:paraId="02993CA9"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spacing w:after="200"/>
        <w:jc w:val="both"/>
        <w:rPr>
          <w:rFonts w:ascii="Calibri" w:eastAsia="Calibri" w:hAnsi="Calibri" w:cs="Calibri"/>
          <w:b/>
        </w:rPr>
      </w:pPr>
      <w:r>
        <w:rPr>
          <w:rFonts w:ascii="Calibri" w:eastAsia="Calibri" w:hAnsi="Calibri" w:cs="Calibri"/>
          <w:b/>
        </w:rPr>
        <w:lastRenderedPageBreak/>
        <w:t xml:space="preserve">Anexo 2. Cuadro 2: Plan de trabajo </w:t>
      </w:r>
    </w:p>
    <w:tbl>
      <w:tblPr>
        <w:tblW w:w="0" w:type="dxa"/>
        <w:tblCellMar>
          <w:left w:w="0" w:type="dxa"/>
          <w:right w:w="0" w:type="dxa"/>
        </w:tblCellMar>
        <w:tblLook w:val="04A0" w:firstRow="1" w:lastRow="0" w:firstColumn="1" w:lastColumn="0" w:noHBand="0" w:noVBand="1"/>
      </w:tblPr>
      <w:tblGrid>
        <w:gridCol w:w="2182"/>
        <w:gridCol w:w="2310"/>
        <w:gridCol w:w="2311"/>
        <w:gridCol w:w="256"/>
        <w:gridCol w:w="256"/>
        <w:gridCol w:w="256"/>
        <w:gridCol w:w="256"/>
        <w:gridCol w:w="256"/>
        <w:gridCol w:w="256"/>
        <w:gridCol w:w="256"/>
        <w:gridCol w:w="256"/>
        <w:gridCol w:w="256"/>
        <w:gridCol w:w="367"/>
        <w:gridCol w:w="367"/>
        <w:gridCol w:w="367"/>
        <w:gridCol w:w="367"/>
        <w:gridCol w:w="367"/>
        <w:gridCol w:w="367"/>
        <w:gridCol w:w="367"/>
        <w:gridCol w:w="367"/>
        <w:gridCol w:w="367"/>
      </w:tblGrid>
      <w:tr w:rsidR="002631FE" w:rsidRPr="002631FE" w14:paraId="0BAF9000" w14:textId="77777777" w:rsidTr="002631FE">
        <w:trPr>
          <w:trHeight w:val="504"/>
        </w:trPr>
        <w:tc>
          <w:tcPr>
            <w:tcW w:w="0" w:type="auto"/>
            <w:gridSpan w:val="21"/>
            <w:tcBorders>
              <w:top w:val="single" w:sz="12" w:space="0" w:color="CCCCCC"/>
              <w:left w:val="single" w:sz="12" w:space="0" w:color="CCCCCC"/>
              <w:bottom w:val="single" w:sz="12" w:space="0" w:color="CCCCCC"/>
              <w:right w:val="single" w:sz="12" w:space="0" w:color="CCCCCC"/>
            </w:tcBorders>
            <w:shd w:val="clear" w:color="auto" w:fill="6D9EEB"/>
            <w:tcMar>
              <w:top w:w="48" w:type="dxa"/>
              <w:left w:w="72" w:type="dxa"/>
              <w:bottom w:w="48" w:type="dxa"/>
              <w:right w:w="72" w:type="dxa"/>
            </w:tcMar>
            <w:hideMark/>
          </w:tcPr>
          <w:p w14:paraId="4BB8CD7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r w:rsidRPr="002631FE">
              <w:rPr>
                <w:rFonts w:eastAsia="Times New Roman"/>
                <w:b/>
                <w:bCs/>
                <w:color w:val="auto"/>
                <w:sz w:val="20"/>
                <w:szCs w:val="20"/>
              </w:rPr>
              <w:t>Objetivos específicos del fondo</w:t>
            </w:r>
          </w:p>
        </w:tc>
      </w:tr>
      <w:tr w:rsidR="002631FE" w:rsidRPr="002631FE" w14:paraId="531C0B2F" w14:textId="77777777" w:rsidTr="002631FE">
        <w:trPr>
          <w:trHeight w:val="501"/>
        </w:trPr>
        <w:tc>
          <w:tcPr>
            <w:tcW w:w="0" w:type="auto"/>
            <w:vMerge w:val="restart"/>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9340FD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Productos</w:t>
            </w:r>
          </w:p>
        </w:tc>
        <w:tc>
          <w:tcPr>
            <w:tcW w:w="0" w:type="auto"/>
            <w:vMerge w:val="restart"/>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D507BA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Actividades clave</w:t>
            </w:r>
          </w:p>
        </w:tc>
        <w:tc>
          <w:tcPr>
            <w:tcW w:w="0" w:type="auto"/>
            <w:vMerge w:val="restart"/>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3A4999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Organización responsable</w:t>
            </w:r>
          </w:p>
        </w:tc>
        <w:tc>
          <w:tcPr>
            <w:tcW w:w="0" w:type="auto"/>
            <w:gridSpan w:val="18"/>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CA64E7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Calendario por actividad (por mes)</w:t>
            </w:r>
          </w:p>
        </w:tc>
      </w:tr>
      <w:tr w:rsidR="002631FE" w:rsidRPr="002631FE" w14:paraId="69E7F63C" w14:textId="77777777" w:rsidTr="002631FE">
        <w:trPr>
          <w:trHeight w:val="268"/>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75E5E48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0F7C58A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306190E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9FFC08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1</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38A157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2</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366844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3</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EEE1A1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4</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F6B02E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5</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75A192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6</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683B57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7</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5D5C7A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8</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5597D0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9</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51E5F4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10</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93998D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11</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1A9EBC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12</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EC7833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13</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702B9B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14</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E9B734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15</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CA3384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16</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CB3A7F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17</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33F2E8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18</w:t>
            </w:r>
          </w:p>
        </w:tc>
      </w:tr>
      <w:tr w:rsidR="002631FE" w:rsidRPr="002631FE" w14:paraId="2368CC9F" w14:textId="77777777" w:rsidTr="002631FE">
        <w:trPr>
          <w:trHeight w:val="504"/>
        </w:trPr>
        <w:tc>
          <w:tcPr>
            <w:tcW w:w="0" w:type="auto"/>
            <w:gridSpan w:val="21"/>
            <w:tcBorders>
              <w:top w:val="single" w:sz="12" w:space="0" w:color="CCCCCC"/>
              <w:left w:val="single" w:sz="12" w:space="0" w:color="CCCCCC"/>
              <w:bottom w:val="single" w:sz="12" w:space="0" w:color="CCCCCC"/>
              <w:right w:val="single" w:sz="12" w:space="0" w:color="CCCCCC"/>
            </w:tcBorders>
            <w:shd w:val="clear" w:color="auto" w:fill="F9CB9C"/>
            <w:tcMar>
              <w:top w:w="48" w:type="dxa"/>
              <w:left w:w="72" w:type="dxa"/>
              <w:bottom w:w="48" w:type="dxa"/>
              <w:right w:w="72" w:type="dxa"/>
            </w:tcMar>
            <w:hideMark/>
          </w:tcPr>
          <w:p w14:paraId="02DE40C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r w:rsidRPr="002631FE">
              <w:rPr>
                <w:rFonts w:eastAsia="Times New Roman"/>
                <w:b/>
                <w:bCs/>
                <w:color w:val="auto"/>
                <w:sz w:val="20"/>
                <w:szCs w:val="20"/>
              </w:rPr>
              <w:t>Producto 1.1.</w:t>
            </w:r>
          </w:p>
        </w:tc>
      </w:tr>
      <w:tr w:rsidR="002631FE" w:rsidRPr="002631FE" w14:paraId="4E848FEF" w14:textId="77777777" w:rsidTr="002631FE">
        <w:trPr>
          <w:trHeight w:val="504"/>
        </w:trPr>
        <w:tc>
          <w:tcPr>
            <w:tcW w:w="0" w:type="auto"/>
            <w:vMerge w:val="restart"/>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67EA29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6 Grandes memorias, que contienen en total 36 memorias (nueve para cada uno de los seis puntos del acuerdo)</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32F650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Recolección de información en las fuentes establecidas en la metodología, sobre los compromisos de los seis puntos del Acuerdo</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C42800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CINEP realizará el proceso de recolección de información para 18 memorias</w:t>
            </w:r>
            <w:r w:rsidRPr="002631FE">
              <w:rPr>
                <w:rFonts w:eastAsia="Times New Roman"/>
                <w:color w:val="auto"/>
                <w:sz w:val="20"/>
                <w:szCs w:val="20"/>
              </w:rPr>
              <w:br/>
              <w:t>- CERAC realizará el proceso de recolección de información para 18 memorias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E373E6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861BA6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839CCA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C6DE3F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ECF296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C74813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C8D7C7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AED7DA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3FA835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C8DEE0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BF291B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3CBD77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E16CC5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BAA486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EA94C3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FDD08C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DA5D83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E64725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1B45FB89"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4E92B37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CFBCEC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Procesamiento de la información recolectada en las fuentes de información sobre los compromisos de los seis puntos del Acuerdo</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339378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CINEP realizará el procesamiento de información para 18 memorias</w:t>
            </w:r>
            <w:r w:rsidRPr="002631FE">
              <w:rPr>
                <w:rFonts w:eastAsia="Times New Roman"/>
                <w:color w:val="auto"/>
                <w:sz w:val="20"/>
                <w:szCs w:val="20"/>
              </w:rPr>
              <w:br/>
              <w:t>- CERAC realizará el procesamiento de información para 18 memorias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5144AE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68B3CD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6AAD12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226FAC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C7022F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4FA938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BF9AF2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4C2401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B219E0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3B84D2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073DBF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7CB02B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2346B8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00E826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7AD40C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C9BB65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CAFE8F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389747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5C4EA30C"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66CF655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D70ECF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xml:space="preserve">Discusión de los equipos de ambas organizaciones, sobre el contenido de las </w:t>
            </w:r>
            <w:r w:rsidRPr="002631FE">
              <w:rPr>
                <w:rFonts w:eastAsia="Times New Roman"/>
                <w:color w:val="auto"/>
                <w:sz w:val="20"/>
                <w:szCs w:val="20"/>
              </w:rPr>
              <w:lastRenderedPageBreak/>
              <w:t>memorias de cada punto del Acuerdo</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03F987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lastRenderedPageBreak/>
              <w:t xml:space="preserve">CERAC y CINEP realizarán reuniones para la discusión de la información que se </w:t>
            </w:r>
            <w:r w:rsidRPr="002631FE">
              <w:rPr>
                <w:rFonts w:eastAsia="Times New Roman"/>
                <w:color w:val="auto"/>
                <w:sz w:val="20"/>
                <w:szCs w:val="20"/>
              </w:rPr>
              <w:lastRenderedPageBreak/>
              <w:t>incorporará en las 36 memorias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2C829A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lastRenderedPageBreak/>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3F2B62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142986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2DDCE5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2426D9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972652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4A0B2B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3F3D21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BCFB97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B0BB0E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A8F36A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32FCA1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B684A5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AF7D26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04E9B9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2B4E81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137D50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5F53DB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r>
      <w:tr w:rsidR="002631FE" w:rsidRPr="002631FE" w14:paraId="015FA2F9" w14:textId="77777777" w:rsidTr="002631FE">
        <w:trPr>
          <w:trHeight w:val="1296"/>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4FD1FB7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5A90AF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Escritura y edición de las memorias de cada punto del Acuerdo, por parte de la entidad que tenga responsabilidad primaria (ver tabla de responsabilidades)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115FCC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CINEP escribirá y editará 18 memorias</w:t>
            </w:r>
            <w:r w:rsidRPr="002631FE">
              <w:rPr>
                <w:rFonts w:eastAsia="Times New Roman"/>
                <w:color w:val="auto"/>
                <w:sz w:val="20"/>
                <w:szCs w:val="20"/>
              </w:rPr>
              <w:br/>
              <w:t>- CERAC escribirá y editará 18 memorias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38DF78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85D4B6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E22D2E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9011CD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ABC3DF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2A13E9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EEAD9E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2B5815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82F3F4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79B060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143B4E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D7EF04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9D3E99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1B643D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855691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FAD9D6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27C509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62D429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140B4AEC"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4CFBEC5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7A5D2A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Revisión y comentarios a las memorias escritas, por parte de la entidad que tiene responsabilidades secundarias (ver tablas de responsabilidades)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F8FB70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CINEP realizará la revisión y hará comentarios escritos de las 18 memorias que elabore CERAC</w:t>
            </w:r>
            <w:r w:rsidRPr="002631FE">
              <w:rPr>
                <w:rFonts w:eastAsia="Times New Roman"/>
                <w:color w:val="auto"/>
                <w:sz w:val="20"/>
                <w:szCs w:val="20"/>
              </w:rPr>
              <w:br/>
              <w:t>- CERAC realizará la revisión y hará comentarios escritos de las 18 memorias que elabore CINEP</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76C3C9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E5C37A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2D0E01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2325A1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0B77FA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AA9B65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BC5CF3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EAAA0F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2EDB12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3B19F9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045860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633B0A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80BF48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DB0589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143CDF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1410AD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748D37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FE5200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55BCF95A"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1045FC3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7E920C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Envío de la gran memoria a los Notables o Verificadores internacionales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59B032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CERAC y CINEP harán entrega de 6 grandes memorias a los Notables o Verificadores internacionales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6D4C3F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B6F8C1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15D22C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D0BBB0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613D99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290012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987FF1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15206B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2D8BA3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F6D26C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976573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BFDDE6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5492EF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39C948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8F9BE4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0048F9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A0574B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E5C4B2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56B20D14"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4DB6E32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C348FB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Reunión de discusión con los Verificadores Internacionales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779CC0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xml:space="preserve">CERAC y CINEP realizarán reuniones para la discusión de las Grandes Memorias con los Verificadores Internacionales, estas se harán de acuerdo a </w:t>
            </w:r>
            <w:r w:rsidRPr="002631FE">
              <w:rPr>
                <w:rFonts w:eastAsia="Times New Roman"/>
                <w:color w:val="auto"/>
                <w:sz w:val="20"/>
                <w:szCs w:val="20"/>
              </w:rPr>
              <w:lastRenderedPageBreak/>
              <w:t>la disponibilidad de los Verificadores, por lo cual no es posible establecer el número de reuniones que se realizarán</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693ED2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3FD99C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301525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4C1A94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487ED6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DAC1FE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F50A85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45655F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F2CA81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F395F8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711E04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3D707A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B4C3F3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721323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F91162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C0C388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BE162C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096DD3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049B8E65" w14:textId="77777777" w:rsidTr="002631FE">
        <w:trPr>
          <w:trHeight w:val="504"/>
        </w:trPr>
        <w:tc>
          <w:tcPr>
            <w:tcW w:w="0" w:type="auto"/>
            <w:gridSpan w:val="21"/>
            <w:tcBorders>
              <w:top w:val="single" w:sz="12" w:space="0" w:color="CCCCCC"/>
              <w:left w:val="single" w:sz="12" w:space="0" w:color="CCCCCC"/>
              <w:bottom w:val="single" w:sz="12" w:space="0" w:color="CCCCCC"/>
              <w:right w:val="single" w:sz="12" w:space="0" w:color="CCCCCC"/>
            </w:tcBorders>
            <w:shd w:val="clear" w:color="auto" w:fill="F9CB9C"/>
            <w:tcMar>
              <w:top w:w="48" w:type="dxa"/>
              <w:left w:w="72" w:type="dxa"/>
              <w:bottom w:w="48" w:type="dxa"/>
              <w:right w:w="72" w:type="dxa"/>
            </w:tcMar>
            <w:hideMark/>
          </w:tcPr>
          <w:p w14:paraId="07ACA0A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r w:rsidRPr="002631FE">
              <w:rPr>
                <w:rFonts w:eastAsia="Times New Roman"/>
                <w:b/>
                <w:bCs/>
                <w:color w:val="auto"/>
                <w:sz w:val="20"/>
                <w:szCs w:val="20"/>
              </w:rPr>
              <w:t>Producto 1.2</w:t>
            </w:r>
          </w:p>
        </w:tc>
      </w:tr>
      <w:tr w:rsidR="002631FE" w:rsidRPr="002631FE" w14:paraId="2FFE6A35" w14:textId="77777777" w:rsidTr="002631FE">
        <w:trPr>
          <w:trHeight w:val="504"/>
        </w:trPr>
        <w:tc>
          <w:tcPr>
            <w:tcW w:w="0" w:type="auto"/>
            <w:vMerge w:val="restart"/>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EB271D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18 Actualizaciones (una actualización mensual)</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EC6F57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Recolección de información en las fuentes establecidas en la metodología, sobre los compromisos de los seis puntos del Acuerdo</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1C3A95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CINEP realizará el proceso de recolección de información para 9 actualizaciones</w:t>
            </w:r>
            <w:r w:rsidRPr="002631FE">
              <w:rPr>
                <w:rFonts w:eastAsia="Times New Roman"/>
                <w:color w:val="auto"/>
                <w:sz w:val="20"/>
                <w:szCs w:val="20"/>
              </w:rPr>
              <w:br/>
              <w:t>- CERAC realizará el proceso de recolección de información para 9 actualizaciones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A43BFE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426BAB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CD5F39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6EEE46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5BC7F9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B784EC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171F5E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BF2F30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26182F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1EB406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913CD5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7B8AB5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29104C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07276D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2467A9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4D8B95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94AD59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6F1A97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64905107"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4E3D4D6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0CEE2E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Procesamiento de la información recolectada en las fuentes de información sobre los compromisos de los seis puntos del Acuerdo</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BE2744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CINEP realizará el procesamiento de información para 9 actualizaciones</w:t>
            </w:r>
            <w:r w:rsidRPr="002631FE">
              <w:rPr>
                <w:rFonts w:eastAsia="Times New Roman"/>
                <w:color w:val="auto"/>
                <w:sz w:val="20"/>
                <w:szCs w:val="20"/>
              </w:rPr>
              <w:br/>
              <w:t>- CERAC realizará el procesamiento de información para 9 actualizaciones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993BDE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3E844C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0A2FFE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840F01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E47061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5C227A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478167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E01F91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CBDD3D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9752CA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F3E25E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E41141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1ABA17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05E7BD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3C2D67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4AAF69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DC1CFE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F517F6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4BC692D6"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0F815A8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079BBF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Discusión de los equipos de ambas organizaciones, sobre el contenido de los reportes de actualización</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92DAA7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CERAC y CINEP realizarán reuniones para la discusión de la información que se incorporará en las 18 actualizaciones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7F02FC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465BBC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DE0F2D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9D11B7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6186E2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2462BD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90D1CB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7128B9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D82F3A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3CA43E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19BE6E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4F5508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21E4DF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FA2B6A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0470DE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0ECFE7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EEB8AE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D3D828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7E37D647"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1BFBE6A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9CD208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Escritura y edición de los reportes de actualización, la entidad que tenga responsabilidad primaria escribirá y editará las secciones correspondientes a sus puntos del Acuerdo (ver tabla de responsabilidades)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D660F9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CINEP escribirá y editará 9 actualizaciones</w:t>
            </w:r>
            <w:r w:rsidRPr="002631FE">
              <w:rPr>
                <w:rFonts w:eastAsia="Times New Roman"/>
                <w:color w:val="auto"/>
                <w:sz w:val="20"/>
                <w:szCs w:val="20"/>
              </w:rPr>
              <w:br/>
              <w:t>- CERAC escribirá y editará 9 actualizaciones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F72172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6EF55E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6BFB99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43EB50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4B4E1E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A4C4D5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C40C3D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BA543B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E241AE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A28CBB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A1BDD2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A0031D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4856EB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DF5E36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D22071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D75DB7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D701D6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1239C8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6879BD7C"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3F2464B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237C0B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Revisión y comentarios a los reportes escritos, por parte de la entidad que tiene responsabilidades secundarias (ver tablas de responsabilidades)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FE9850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CINEP realizará la revisión y hará comentarios escritos de las 9 actualizaciones que elabore CERAC</w:t>
            </w:r>
            <w:r w:rsidRPr="002631FE">
              <w:rPr>
                <w:rFonts w:eastAsia="Times New Roman"/>
                <w:color w:val="auto"/>
                <w:sz w:val="20"/>
                <w:szCs w:val="20"/>
              </w:rPr>
              <w:br/>
              <w:t>- CERAC realizará la revisión y hará comentarios escritos de las 9 actualizaciones que elabore CINEP</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CA10EE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9C6421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5E305D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164B30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F34A87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22F114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2B5BD6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13033F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1468E3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ACB3EC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235543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2ECAF7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D13B71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8634E1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4B86BD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20D6DD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83AE7E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6DF883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5780E0BF"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2167228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CA45EC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Envío de los reportes de actualización a los Notables o Verificadores internacionales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8D4A19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CERAC y CINEP harán entrega de 18 actualizaciones a los Notables o Verificadores internacionales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04787D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3329A6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75AE2E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4BE635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6F61B1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A7AC97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390320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DDBEED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9658B3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79A74C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B7FC2A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F5C376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FC601A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A39FC9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D9D25F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0C67C8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9A3196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113967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1CC01FD2" w14:textId="77777777" w:rsidTr="002631FE">
        <w:trPr>
          <w:trHeight w:val="504"/>
        </w:trPr>
        <w:tc>
          <w:tcPr>
            <w:tcW w:w="0" w:type="auto"/>
            <w:gridSpan w:val="21"/>
            <w:tcBorders>
              <w:top w:val="single" w:sz="12" w:space="0" w:color="CCCCCC"/>
              <w:left w:val="single" w:sz="12" w:space="0" w:color="CCCCCC"/>
              <w:bottom w:val="single" w:sz="12" w:space="0" w:color="CCCCCC"/>
              <w:right w:val="single" w:sz="12" w:space="0" w:color="CCCCCC"/>
            </w:tcBorders>
            <w:shd w:val="clear" w:color="auto" w:fill="F9CB9C"/>
            <w:tcMar>
              <w:top w:w="48" w:type="dxa"/>
              <w:left w:w="72" w:type="dxa"/>
              <w:bottom w:w="48" w:type="dxa"/>
              <w:right w:w="72" w:type="dxa"/>
            </w:tcMar>
            <w:hideMark/>
          </w:tcPr>
          <w:p w14:paraId="063AE71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r w:rsidRPr="002631FE">
              <w:rPr>
                <w:rFonts w:eastAsia="Times New Roman"/>
                <w:b/>
                <w:bCs/>
                <w:color w:val="auto"/>
                <w:sz w:val="20"/>
                <w:szCs w:val="20"/>
              </w:rPr>
              <w:t>Producto 1.3</w:t>
            </w:r>
          </w:p>
        </w:tc>
      </w:tr>
      <w:tr w:rsidR="002631FE" w:rsidRPr="002631FE" w14:paraId="75F88F71" w14:textId="77777777" w:rsidTr="002631FE">
        <w:trPr>
          <w:trHeight w:val="504"/>
        </w:trPr>
        <w:tc>
          <w:tcPr>
            <w:tcW w:w="0" w:type="auto"/>
            <w:vMerge w:val="restart"/>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191733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 xml:space="preserve">Reportes de controversias, más los reportes que </w:t>
            </w:r>
            <w:r w:rsidRPr="002631FE">
              <w:rPr>
                <w:rFonts w:eastAsia="Times New Roman"/>
                <w:b/>
                <w:bCs/>
                <w:color w:val="auto"/>
                <w:sz w:val="20"/>
                <w:szCs w:val="20"/>
              </w:rPr>
              <w:lastRenderedPageBreak/>
              <w:t>sean solicitados por los notables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3FCBF3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lastRenderedPageBreak/>
              <w:t xml:space="preserve">Recopilación de información en fuentes establecidas, sobre las </w:t>
            </w:r>
            <w:r w:rsidRPr="002631FE">
              <w:rPr>
                <w:rFonts w:eastAsia="Times New Roman"/>
                <w:color w:val="auto"/>
                <w:sz w:val="20"/>
                <w:szCs w:val="20"/>
              </w:rPr>
              <w:lastRenderedPageBreak/>
              <w:t>controversias que surjan en el proceso de implementación de los compromisos de los seis puntos del Acuerdo</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241A05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lastRenderedPageBreak/>
              <w:t xml:space="preserve">- CINEP realizará la recopilación de información, cuando </w:t>
            </w:r>
            <w:r w:rsidRPr="002631FE">
              <w:rPr>
                <w:rFonts w:eastAsia="Times New Roman"/>
                <w:color w:val="auto"/>
                <w:sz w:val="20"/>
                <w:szCs w:val="20"/>
              </w:rPr>
              <w:lastRenderedPageBreak/>
              <w:t>identifique controversias que correspondan a los puntos del Acuerdo en los que tiene responsabilidad primaria</w:t>
            </w:r>
            <w:r w:rsidRPr="002631FE">
              <w:rPr>
                <w:rFonts w:eastAsia="Times New Roman"/>
                <w:color w:val="auto"/>
                <w:sz w:val="20"/>
                <w:szCs w:val="20"/>
              </w:rPr>
              <w:br/>
              <w:t>- CERAC realizará la recopilación de información, cuando identifique controversias que correspondan a los puntos del Acuerdo en los que tiene responsabilidad primaria</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AB0016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lastRenderedPageBreak/>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D323B7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B20DBF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6A2628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EA999F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B83C3C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8F9EA6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6A3489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1249F6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503DE0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069817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A97B02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84DBBC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929CBE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38084D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474BB6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D45C74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8FA50B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20ED7CD1"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5BA3DD0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862726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Identificación de controversias a partir de la información recolectada en las fuentes establecidas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3CC1A6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CINEP identificará controversias en aquellos puntos del Acuerdo en los que tiene responsabilidad primaria</w:t>
            </w:r>
            <w:r w:rsidRPr="002631FE">
              <w:rPr>
                <w:rFonts w:eastAsia="Times New Roman"/>
                <w:color w:val="auto"/>
                <w:sz w:val="20"/>
                <w:szCs w:val="20"/>
              </w:rPr>
              <w:br/>
              <w:t>- CERAC identificará controversias en aquellos puntos del Acuerdo en los que tiene responsabilidad primaria</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81EEA9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519992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214B31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F27A8B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F7F434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044BE6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848631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C0E004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02DC8B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779BFF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4C5418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E6F396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BF9CCB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92FF14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F483EB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19A80C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F4BB9D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724917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31491C77"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51DA17B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6CBE33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Discusión de los equipos de ambas organizaciones sobre el contenido y el análisis de los reportes de controversia</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6D9008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CERAC y CINEP realizarán reuniones para la discusión de las controversias que se identifiquen</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DF75BA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5839FC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595A98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994784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FD7216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B29053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FBA13E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09A67C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E8AFAA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4BDD01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0E43DC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F238D3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1EDED4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FB44C0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2D4975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0BE711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50672A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3683F1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5CF3E3B5"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5CD5C32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FAD1C7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Escritura y edición de los reportes de actualización, la entidad que tenga responsabilidad primaria escribirá y editará las controversias identificadas en los puntos del Acuerdo correspondientes (ver tabla de responsabilidades)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F29E4E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CINEP escribirá y editará los reportes de controversias que correspondan a los puntos del Acuerdo en los que tiene responsabilidad primaria</w:t>
            </w:r>
            <w:r w:rsidRPr="002631FE">
              <w:rPr>
                <w:rFonts w:eastAsia="Times New Roman"/>
                <w:color w:val="auto"/>
                <w:sz w:val="20"/>
                <w:szCs w:val="20"/>
              </w:rPr>
              <w:br/>
              <w:t>- CERAC escribirá y editará los reportes de controversias que correspondan a los puntos del Acuerdo en los que tiene responsabilidad primaria</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53EA24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EE407C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D0A7D6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67905A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BD9899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381389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F6573B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215126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D704BA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813ACD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5D9F2F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54BDA0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9F843F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4552E0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2D2C83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B569B8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499457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70A9B4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5E73A828"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13738CB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2E9386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Revisión y comentarios a los reportes escritos, por parte de la entidad que tiene responsabilidades secundarias (ver tablas de responsabilidades)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825493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CINEP realizará la revisión y hará comentarios escritos a los reportes de controversias que elabore CERAC</w:t>
            </w:r>
            <w:r w:rsidRPr="002631FE">
              <w:rPr>
                <w:rFonts w:eastAsia="Times New Roman"/>
                <w:color w:val="auto"/>
                <w:sz w:val="20"/>
                <w:szCs w:val="20"/>
              </w:rPr>
              <w:br/>
              <w:t>- CERAC realizará la revisión y hará comentarios escritos a los reportes de controversias que elabore CINEP</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976AA9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87BDE2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306D3A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7F2010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A1DA00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D91723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FD7152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954227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BBBBF4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CA68EB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CBCEC1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6BA661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7EAF5C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BE42F2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BF102A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7FF3EE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61BBD1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130F6A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39A60BD4"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1606DC8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047D4C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Envío del reporte de controversia a los Notables o Verificadores internacionales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EBAC20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xml:space="preserve">CERAC y CINEP harán de reportes de controversias a los Notables o </w:t>
            </w:r>
            <w:r w:rsidRPr="002631FE">
              <w:rPr>
                <w:rFonts w:eastAsia="Times New Roman"/>
                <w:color w:val="auto"/>
                <w:sz w:val="20"/>
                <w:szCs w:val="20"/>
              </w:rPr>
              <w:lastRenderedPageBreak/>
              <w:t>Verificadores internacionales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DB2DB1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18CCD8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1B4FC9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74B438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D6AC35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3D42ED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E164A0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822801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E98461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2C5136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D8641B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293E78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F258B3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E5ABC2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9F0478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1F5FF5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55042A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31AE3E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29D8D1C7" w14:textId="77777777" w:rsidTr="002631FE">
        <w:trPr>
          <w:trHeight w:val="504"/>
        </w:trPr>
        <w:tc>
          <w:tcPr>
            <w:tcW w:w="0" w:type="auto"/>
            <w:gridSpan w:val="21"/>
            <w:tcBorders>
              <w:top w:val="single" w:sz="12" w:space="0" w:color="CCCCCC"/>
              <w:left w:val="single" w:sz="12" w:space="0" w:color="CCCCCC"/>
              <w:bottom w:val="single" w:sz="12" w:space="0" w:color="CCCCCC"/>
              <w:right w:val="single" w:sz="12" w:space="0" w:color="CCCCCC"/>
            </w:tcBorders>
            <w:shd w:val="clear" w:color="auto" w:fill="F9CB9C"/>
            <w:tcMar>
              <w:top w:w="48" w:type="dxa"/>
              <w:left w:w="72" w:type="dxa"/>
              <w:bottom w:w="48" w:type="dxa"/>
              <w:right w:w="72" w:type="dxa"/>
            </w:tcMar>
            <w:hideMark/>
          </w:tcPr>
          <w:p w14:paraId="3220A7F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r w:rsidRPr="002631FE">
              <w:rPr>
                <w:rFonts w:eastAsia="Times New Roman"/>
                <w:b/>
                <w:bCs/>
                <w:color w:val="auto"/>
                <w:sz w:val="20"/>
                <w:szCs w:val="20"/>
              </w:rPr>
              <w:t>Producto 1.4</w:t>
            </w:r>
          </w:p>
        </w:tc>
      </w:tr>
      <w:tr w:rsidR="002631FE" w:rsidRPr="002631FE" w14:paraId="5DC03BC3" w14:textId="77777777" w:rsidTr="002631FE">
        <w:trPr>
          <w:trHeight w:val="504"/>
        </w:trPr>
        <w:tc>
          <w:tcPr>
            <w:tcW w:w="0" w:type="auto"/>
            <w:vMerge w:val="restart"/>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DF47C5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t>9 Pronunciamientos, más los pronunciamientos que sean solicitados por los notables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753B0B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Discusión de los equipos de ambas organizaciones sobre el contenido de los pronunciamientos públicos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0AE0CB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CERAC y CINEP realizarán reuniones para la discusión de los al menos 9 pronunciamientos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02A3B2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F2BC78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D92F5D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9ED0FF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68B5E8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BB690C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5DBED9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135A90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2A1FA6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B0F6C1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9B1F30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AC4995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33AD9D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3C330D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2369DE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455487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6C8EB7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4FF35C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58434880"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32C1817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490224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Redacción de los pronunciamientos públicos que realizarán los Verificadores Internacionales o Notables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87F96D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-CINEP redactará al menos 5 pronunciamientos</w:t>
            </w:r>
            <w:r w:rsidRPr="002631FE">
              <w:rPr>
                <w:rFonts w:eastAsia="Times New Roman"/>
                <w:color w:val="auto"/>
                <w:sz w:val="20"/>
                <w:szCs w:val="20"/>
              </w:rPr>
              <w:br/>
              <w:t xml:space="preserve">- CERAC redactará al menos 4 pronunciamientos </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1C9C36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459A9A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ECE025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03DE8C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217F44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C034DD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5CE093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C449A9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EEA4B6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D5B4DA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2BF42C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E71CC3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EB3765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5CF380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9A5315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162DDC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8E2E8D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40B803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4F21D627"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2841340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87524F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Envío del pronunciamiento a los Notables o Verificadores internacionales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11700D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CERAC y CINEP harán entrega de al menos 9 pronunciamientos a los Notables o Verificadores internacionales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A877F3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B28FFE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EED47D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FE9A23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10066F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77B66C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421BD1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D6050C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306F2C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C9D718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F18ED6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A59876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7AB55C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30770D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F80BA0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86C804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582A57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012DFD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6B94CF4F"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602185F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11D088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Reunión de discusión con los Verificadores Internacionales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1DC2A6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CERAC y CINEP realizarán reuniones para la discusión de las Grandes Memorias con los Verificadores Internacionales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653C70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70818E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CB07EA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9F7CEF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2CBD52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0BC7FC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A7EA38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754284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29A8C3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E01814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AC876B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77E93E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DFE08A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59F87F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42F4A7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548CB9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4B72C3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227CA9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68499899" w14:textId="77777777" w:rsidTr="002631FE">
        <w:trPr>
          <w:trHeight w:val="504"/>
        </w:trPr>
        <w:tc>
          <w:tcPr>
            <w:tcW w:w="0" w:type="auto"/>
            <w:gridSpan w:val="21"/>
            <w:tcBorders>
              <w:top w:val="single" w:sz="12" w:space="0" w:color="CCCCCC"/>
              <w:left w:val="single" w:sz="12" w:space="0" w:color="CCCCCC"/>
              <w:bottom w:val="single" w:sz="12" w:space="0" w:color="CCCCCC"/>
              <w:right w:val="single" w:sz="12" w:space="0" w:color="CCCCCC"/>
            </w:tcBorders>
            <w:shd w:val="clear" w:color="auto" w:fill="F9CB9C"/>
            <w:tcMar>
              <w:top w:w="48" w:type="dxa"/>
              <w:left w:w="72" w:type="dxa"/>
              <w:bottom w:w="48" w:type="dxa"/>
              <w:right w:w="72" w:type="dxa"/>
            </w:tcMar>
            <w:hideMark/>
          </w:tcPr>
          <w:p w14:paraId="46E2079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r w:rsidRPr="002631FE">
              <w:rPr>
                <w:rFonts w:eastAsia="Times New Roman"/>
                <w:b/>
                <w:bCs/>
                <w:color w:val="auto"/>
                <w:sz w:val="20"/>
                <w:szCs w:val="20"/>
              </w:rPr>
              <w:t>Producto 1.5</w:t>
            </w:r>
          </w:p>
        </w:tc>
      </w:tr>
      <w:tr w:rsidR="002631FE" w:rsidRPr="002631FE" w14:paraId="35A1CD4C" w14:textId="77777777" w:rsidTr="002631FE">
        <w:trPr>
          <w:trHeight w:val="504"/>
        </w:trPr>
        <w:tc>
          <w:tcPr>
            <w:tcW w:w="0" w:type="auto"/>
            <w:vMerge w:val="restart"/>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A700BA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sz w:val="20"/>
                <w:szCs w:val="20"/>
              </w:rPr>
            </w:pPr>
            <w:r w:rsidRPr="002631FE">
              <w:rPr>
                <w:rFonts w:eastAsia="Times New Roman"/>
                <w:b/>
                <w:bCs/>
                <w:color w:val="auto"/>
                <w:sz w:val="20"/>
                <w:szCs w:val="20"/>
              </w:rPr>
              <w:lastRenderedPageBreak/>
              <w:t>3 Reportes semestrales sobre el estado de implementación del enfoque de género</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77B2ED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Recolección de información en las fuentes establecidas en la metodología, sobre la implementación del enfoque de género</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BC040D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CERAC y CINEP realizarán el proceso de recolección de información</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984A9C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1716B1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726359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FE37CD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539DFE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850AFC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A73A0E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0EFDE2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D2A9F7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7355B0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4F1BC2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8CB651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DF18C5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6A23B9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8D553C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AFC6C3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0D028F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CC03AF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7B332841"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1B4DBAB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001041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xml:space="preserve">Procesamiento de la información recolectada en las fuentes de información </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20647F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CERAC y CINEP realizarán el procesamiento de la información</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6027F6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8DE7B9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A39372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005125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D9E025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1CC1F1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ED28A3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E0CD19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CD192D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EFB9ED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609A2C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AB7869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DB3FD5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D0AD74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3F2D05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52F369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F4E971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5077C2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791D5A76"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749C2D0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677BF6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xml:space="preserve">Discusión de los equipos de ambas organizaciones, sobre el contenido de los reportes </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AF6C13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CERAC y CINEP realizarán reuniones para la discusión de los 3 reportes sobre el estado de implementación del enfoque de género</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7600D7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AF0581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16FE1A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C310DE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0EF13E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EDBB16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D319B8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3276A9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A31350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CCCA91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27F6C6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D6ED38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FB6DF8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5A9276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55AC9C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6FBCC2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4D4E85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6E20D1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06577E58"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76244DA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9C442B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 xml:space="preserve">Redacción de los reportes </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93FEC6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CERAC y CINEP redactarán los reportes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45CEC4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BE251B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465AA1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B3B925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76B01B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F2D434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67A384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9CD0A6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A15D85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318FB7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4073BBC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2F6A57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B35C11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83D251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CC48A6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AFE108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FCC914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5ED941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r w:rsidR="002631FE" w:rsidRPr="002631FE" w14:paraId="798B0988" w14:textId="77777777" w:rsidTr="002631FE">
        <w:trPr>
          <w:trHeight w:val="504"/>
        </w:trPr>
        <w:tc>
          <w:tcPr>
            <w:tcW w:w="0" w:type="auto"/>
            <w:vMerge/>
            <w:tcBorders>
              <w:top w:val="single" w:sz="12" w:space="0" w:color="CCCCCC"/>
              <w:left w:val="single" w:sz="12" w:space="0" w:color="CCCCCC"/>
              <w:bottom w:val="single" w:sz="12" w:space="0" w:color="CCCCCC"/>
              <w:right w:val="single" w:sz="12" w:space="0" w:color="CCCCCC"/>
            </w:tcBorders>
            <w:vAlign w:val="center"/>
            <w:hideMark/>
          </w:tcPr>
          <w:p w14:paraId="6596A1B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EC7396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Envío de los reportes del estado de implementación del enfoque de género a los Notables o Verificadores internacionales</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BF226A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CERAC y CINEP harán entrega de 3 reportes semestrales sobre el estado de implementación del enfoque de género</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3C155F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B0ADBC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A9DA02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C16E47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547AEA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A050FF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F417C6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E4D30F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25C2F2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589A03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7BD44EE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1AE39D2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90FD13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5EDAA0E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045B509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3E2EFA0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2B39FA1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0" w:type="auto"/>
            <w:tcBorders>
              <w:top w:val="single" w:sz="12" w:space="0" w:color="CCCCCC"/>
              <w:left w:val="single" w:sz="12" w:space="0" w:color="CCCCCC"/>
              <w:bottom w:val="single" w:sz="12" w:space="0" w:color="CCCCCC"/>
              <w:right w:val="single" w:sz="12" w:space="0" w:color="CCCCCC"/>
            </w:tcBorders>
            <w:tcMar>
              <w:top w:w="48" w:type="dxa"/>
              <w:left w:w="72" w:type="dxa"/>
              <w:bottom w:w="48" w:type="dxa"/>
              <w:right w:w="72" w:type="dxa"/>
            </w:tcMar>
            <w:hideMark/>
          </w:tcPr>
          <w:p w14:paraId="6A3B21C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2631FE">
              <w:rPr>
                <w:rFonts w:eastAsia="Times New Roman"/>
                <w:color w:val="auto"/>
                <w:sz w:val="20"/>
                <w:szCs w:val="20"/>
              </w:rPr>
              <w:t>x</w:t>
            </w:r>
          </w:p>
        </w:tc>
      </w:tr>
    </w:tbl>
    <w:p w14:paraId="65F9A27C" w14:textId="77777777" w:rsidR="002631FE" w:rsidRDefault="002631FE">
      <w:pPr>
        <w:pStyle w:val="Normal1"/>
        <w:pBdr>
          <w:top w:val="none" w:sz="0" w:space="0" w:color="000000"/>
          <w:left w:val="none" w:sz="0" w:space="0" w:color="000000"/>
          <w:bottom w:val="none" w:sz="0" w:space="0" w:color="000000"/>
          <w:right w:val="none" w:sz="0" w:space="0" w:color="000000"/>
          <w:between w:val="none" w:sz="0" w:space="0" w:color="000000"/>
        </w:pBdr>
        <w:spacing w:after="200"/>
        <w:jc w:val="both"/>
        <w:rPr>
          <w:rFonts w:ascii="Calibri" w:eastAsia="Calibri" w:hAnsi="Calibri" w:cs="Calibri"/>
          <w:b/>
        </w:rPr>
      </w:pPr>
    </w:p>
    <w:p w14:paraId="34DB6775" w14:textId="77777777" w:rsidR="00642D63" w:rsidRDefault="00642D63">
      <w:pPr>
        <w:pStyle w:val="Normal1"/>
        <w:jc w:val="both"/>
        <w:rPr>
          <w:rFonts w:ascii="Calibri" w:eastAsia="Calibri" w:hAnsi="Calibri" w:cs="Calibri"/>
          <w:b/>
        </w:rPr>
      </w:pPr>
    </w:p>
    <w:p w14:paraId="601CC95F" w14:textId="77777777" w:rsidR="00642D63" w:rsidRDefault="00642D63">
      <w:pPr>
        <w:pStyle w:val="Normal1"/>
        <w:jc w:val="both"/>
        <w:rPr>
          <w:rFonts w:ascii="Calibri" w:eastAsia="Calibri" w:hAnsi="Calibri" w:cs="Calibri"/>
          <w:b/>
        </w:rPr>
      </w:pPr>
    </w:p>
    <w:p w14:paraId="4B66217F"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after="200"/>
        <w:jc w:val="both"/>
      </w:pPr>
    </w:p>
    <w:p w14:paraId="281FD2C4" w14:textId="77777777" w:rsidR="008F2907" w:rsidRDefault="008F2907">
      <w:pPr>
        <w:pStyle w:val="Normal1"/>
        <w:pBdr>
          <w:top w:val="none" w:sz="0" w:space="0" w:color="000000"/>
          <w:left w:val="none" w:sz="0" w:space="0" w:color="000000"/>
          <w:bottom w:val="none" w:sz="0" w:space="0" w:color="000000"/>
          <w:right w:val="none" w:sz="0" w:space="0" w:color="000000"/>
          <w:between w:val="none" w:sz="0" w:space="0" w:color="000000"/>
        </w:pBdr>
        <w:spacing w:after="200"/>
        <w:jc w:val="both"/>
      </w:pPr>
    </w:p>
    <w:p w14:paraId="58537BB0" w14:textId="77777777" w:rsidR="00642D63" w:rsidRDefault="00761080">
      <w:pPr>
        <w:pStyle w:val="Normal1"/>
        <w:rPr>
          <w:rFonts w:ascii="Calibri" w:eastAsia="Calibri" w:hAnsi="Calibri" w:cs="Calibri"/>
          <w:b/>
        </w:rPr>
      </w:pPr>
      <w:r>
        <w:rPr>
          <w:rFonts w:ascii="Calibri" w:eastAsia="Calibri" w:hAnsi="Calibri" w:cs="Calibri"/>
          <w:b/>
        </w:rPr>
        <w:t>Anexo 3. Presupuesto por categoría</w:t>
      </w:r>
    </w:p>
    <w:p w14:paraId="15BCEBC7" w14:textId="1BBC3704" w:rsidR="008F2907" w:rsidRDefault="008F2907">
      <w:pPr>
        <w:pStyle w:val="Normal1"/>
        <w:rPr>
          <w:rFonts w:ascii="Calibri" w:eastAsia="Calibri" w:hAnsi="Calibri" w:cs="Calibri"/>
          <w:b/>
        </w:rPr>
      </w:pPr>
    </w:p>
    <w:tbl>
      <w:tblPr>
        <w:tblW w:w="12798" w:type="dxa"/>
        <w:tblCellMar>
          <w:left w:w="0" w:type="dxa"/>
          <w:right w:w="0" w:type="dxa"/>
        </w:tblCellMar>
        <w:tblLook w:val="04A0" w:firstRow="1" w:lastRow="0" w:firstColumn="1" w:lastColumn="0" w:noHBand="0" w:noVBand="1"/>
      </w:tblPr>
      <w:tblGrid>
        <w:gridCol w:w="5958"/>
        <w:gridCol w:w="2430"/>
        <w:gridCol w:w="2250"/>
        <w:gridCol w:w="2160"/>
      </w:tblGrid>
      <w:tr w:rsidR="00BB1E64" w:rsidRPr="00436E80" w14:paraId="27F65B22" w14:textId="77777777" w:rsidTr="006A0E4A">
        <w:trPr>
          <w:trHeight w:val="710"/>
        </w:trPr>
        <w:tc>
          <w:tcPr>
            <w:tcW w:w="12798" w:type="dxa"/>
            <w:gridSpan w:val="4"/>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hideMark/>
          </w:tcPr>
          <w:p w14:paraId="4D7F4E94" w14:textId="4F15780D" w:rsidR="00BB1E64" w:rsidRPr="00436E80" w:rsidRDefault="008F2907" w:rsidP="006A0E4A">
            <w:pPr>
              <w:spacing w:line="240" w:lineRule="auto"/>
              <w:jc w:val="center"/>
              <w:rPr>
                <w:rFonts w:asciiTheme="minorHAnsi" w:eastAsia="Calibri" w:hAnsiTheme="minorHAnsi"/>
                <w:szCs w:val="24"/>
                <w:lang w:eastAsia="en-US"/>
              </w:rPr>
            </w:pPr>
            <w:r>
              <w:br w:type="page"/>
            </w:r>
            <w:r w:rsidR="00BB1E64" w:rsidRPr="00436E80">
              <w:rPr>
                <w:rFonts w:asciiTheme="minorHAnsi" w:eastAsia="Times New Roman" w:hAnsiTheme="minorHAnsi"/>
                <w:b/>
                <w:bCs/>
                <w:spacing w:val="-6"/>
                <w:lang w:eastAsia="en-US"/>
              </w:rPr>
              <w:t>PRESUPUESTO DEL MPTF *</w:t>
            </w:r>
          </w:p>
        </w:tc>
      </w:tr>
      <w:tr w:rsidR="00BB1E64" w:rsidRPr="00436E80" w14:paraId="6E59D196" w14:textId="77777777" w:rsidTr="006A0E4A">
        <w:trPr>
          <w:trHeight w:val="467"/>
        </w:trPr>
        <w:tc>
          <w:tcPr>
            <w:tcW w:w="5958" w:type="dxa"/>
            <w:tcBorders>
              <w:top w:val="nil"/>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hideMark/>
          </w:tcPr>
          <w:p w14:paraId="3112F940" w14:textId="77777777" w:rsidR="00BB1E64" w:rsidRPr="00436E80" w:rsidRDefault="00BB1E64" w:rsidP="006A0E4A">
            <w:pPr>
              <w:spacing w:line="240" w:lineRule="auto"/>
              <w:jc w:val="center"/>
              <w:rPr>
                <w:rFonts w:asciiTheme="minorHAnsi" w:eastAsia="Calibri" w:hAnsiTheme="minorHAnsi"/>
                <w:szCs w:val="24"/>
                <w:lang w:eastAsia="en-US"/>
              </w:rPr>
            </w:pPr>
            <w:r w:rsidRPr="00436E80">
              <w:rPr>
                <w:rFonts w:asciiTheme="minorHAnsi" w:eastAsia="Times New Roman" w:hAnsiTheme="minorHAnsi"/>
                <w:b/>
                <w:bCs/>
                <w:spacing w:val="-3"/>
                <w:lang w:eastAsia="en-US"/>
              </w:rPr>
              <w:t>CATEGORÍAS</w:t>
            </w:r>
          </w:p>
        </w:tc>
        <w:tc>
          <w:tcPr>
            <w:tcW w:w="2430" w:type="dxa"/>
            <w:tcBorders>
              <w:top w:val="nil"/>
              <w:left w:val="nil"/>
              <w:bottom w:val="single" w:sz="8" w:space="0" w:color="000000"/>
              <w:right w:val="single" w:sz="8" w:space="0" w:color="000000"/>
            </w:tcBorders>
            <w:shd w:val="clear" w:color="auto" w:fill="B3B3B3"/>
            <w:tcMar>
              <w:top w:w="0" w:type="dxa"/>
              <w:left w:w="108" w:type="dxa"/>
              <w:bottom w:w="0" w:type="dxa"/>
              <w:right w:w="108" w:type="dxa"/>
            </w:tcMar>
            <w:vAlign w:val="center"/>
            <w:hideMark/>
          </w:tcPr>
          <w:p w14:paraId="3FF0D42E" w14:textId="76E8DF0B" w:rsidR="00BB1E64" w:rsidRPr="00436E80" w:rsidRDefault="00BB1E64" w:rsidP="006A0E4A">
            <w:pPr>
              <w:spacing w:line="240" w:lineRule="auto"/>
              <w:jc w:val="center"/>
              <w:rPr>
                <w:rFonts w:asciiTheme="minorHAnsi" w:eastAsia="Calibri" w:hAnsiTheme="minorHAnsi"/>
                <w:szCs w:val="24"/>
                <w:lang w:eastAsia="en-US"/>
              </w:rPr>
            </w:pPr>
            <w:r>
              <w:rPr>
                <w:rFonts w:asciiTheme="minorHAnsi" w:eastAsia="Times New Roman" w:hAnsiTheme="minorHAnsi"/>
                <w:b/>
                <w:bCs/>
                <w:i/>
                <w:iCs/>
                <w:spacing w:val="-3"/>
                <w:lang w:eastAsia="en-US"/>
              </w:rPr>
              <w:t>CINEP</w:t>
            </w:r>
          </w:p>
        </w:tc>
        <w:tc>
          <w:tcPr>
            <w:tcW w:w="2250" w:type="dxa"/>
            <w:tcBorders>
              <w:top w:val="nil"/>
              <w:left w:val="nil"/>
              <w:bottom w:val="single" w:sz="8" w:space="0" w:color="000000"/>
              <w:right w:val="single" w:sz="8" w:space="0" w:color="000000"/>
            </w:tcBorders>
            <w:shd w:val="clear" w:color="auto" w:fill="B3B3B3"/>
            <w:vAlign w:val="center"/>
            <w:hideMark/>
          </w:tcPr>
          <w:p w14:paraId="1508D0F0" w14:textId="2CC91400" w:rsidR="00BB1E64" w:rsidRPr="00436E80" w:rsidRDefault="00BB1E64" w:rsidP="006A0E4A">
            <w:pPr>
              <w:spacing w:line="240" w:lineRule="auto"/>
              <w:jc w:val="center"/>
              <w:rPr>
                <w:rFonts w:asciiTheme="minorHAnsi" w:eastAsia="Calibri" w:hAnsiTheme="minorHAnsi"/>
                <w:szCs w:val="24"/>
                <w:lang w:eastAsia="en-US"/>
              </w:rPr>
            </w:pPr>
            <w:r>
              <w:rPr>
                <w:rFonts w:asciiTheme="minorHAnsi" w:eastAsia="Times New Roman" w:hAnsiTheme="minorHAnsi"/>
                <w:b/>
                <w:bCs/>
                <w:i/>
                <w:iCs/>
                <w:spacing w:val="-3"/>
                <w:lang w:eastAsia="en-US"/>
              </w:rPr>
              <w:t>CERAC</w:t>
            </w:r>
          </w:p>
        </w:tc>
        <w:tc>
          <w:tcPr>
            <w:tcW w:w="2160" w:type="dxa"/>
            <w:tcBorders>
              <w:top w:val="nil"/>
              <w:left w:val="nil"/>
              <w:bottom w:val="single" w:sz="8" w:space="0" w:color="000000"/>
              <w:right w:val="single" w:sz="8" w:space="0" w:color="000000"/>
            </w:tcBorders>
            <w:shd w:val="clear" w:color="auto" w:fill="B3B3B3"/>
            <w:vAlign w:val="center"/>
            <w:hideMark/>
          </w:tcPr>
          <w:p w14:paraId="0E445411" w14:textId="6AB5E4E4" w:rsidR="00BB1E64" w:rsidRPr="00436E80" w:rsidRDefault="00BB1E64" w:rsidP="006A0E4A">
            <w:pPr>
              <w:spacing w:line="240" w:lineRule="auto"/>
              <w:jc w:val="center"/>
              <w:rPr>
                <w:rFonts w:asciiTheme="minorHAnsi" w:eastAsia="Calibri" w:hAnsiTheme="minorHAnsi"/>
                <w:szCs w:val="24"/>
                <w:lang w:eastAsia="en-US"/>
              </w:rPr>
            </w:pPr>
            <w:r>
              <w:rPr>
                <w:rFonts w:asciiTheme="minorHAnsi" w:eastAsia="Times New Roman" w:hAnsiTheme="minorHAnsi"/>
                <w:b/>
                <w:bCs/>
                <w:i/>
                <w:iCs/>
                <w:spacing w:val="-3"/>
                <w:lang w:eastAsia="en-US"/>
              </w:rPr>
              <w:t>TOTAL</w:t>
            </w:r>
          </w:p>
        </w:tc>
      </w:tr>
      <w:tr w:rsidR="00BB1E64" w:rsidRPr="00436E80" w14:paraId="6EF35735" w14:textId="77777777" w:rsidTr="006A0E4A">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CA574A" w14:textId="77777777" w:rsidR="00BB1E64" w:rsidRPr="00436E80" w:rsidRDefault="00BB1E64" w:rsidP="006A0E4A">
            <w:pPr>
              <w:spacing w:line="240" w:lineRule="auto"/>
              <w:rPr>
                <w:rFonts w:asciiTheme="minorHAnsi" w:eastAsia="Calibri" w:hAnsiTheme="minorHAnsi"/>
                <w:szCs w:val="24"/>
                <w:lang w:eastAsia="en-US"/>
              </w:rPr>
            </w:pPr>
            <w:r w:rsidRPr="00436E80">
              <w:rPr>
                <w:rFonts w:asciiTheme="minorHAnsi" w:eastAsia="Calibri" w:hAnsiTheme="minorHAnsi"/>
                <w:lang w:eastAsia="en-US"/>
              </w:rPr>
              <w:t xml:space="preserve">1. Costos de personal </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365A9" w14:textId="07F4A61A"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Times New Roman" w:hAnsiTheme="minorHAnsi"/>
                <w:spacing w:val="-3"/>
                <w:lang w:eastAsia="en-US"/>
              </w:rPr>
              <w:t>$268.455</w:t>
            </w:r>
            <w:r w:rsidRPr="00436E80">
              <w:rPr>
                <w:rFonts w:asciiTheme="minorHAnsi" w:eastAsia="Times New Roman" w:hAnsiTheme="minorHAnsi"/>
                <w:spacing w:val="-3"/>
                <w:lang w:eastAsia="en-US"/>
              </w:rPr>
              <w:t> </w:t>
            </w:r>
          </w:p>
        </w:tc>
        <w:tc>
          <w:tcPr>
            <w:tcW w:w="2250" w:type="dxa"/>
            <w:tcBorders>
              <w:top w:val="nil"/>
              <w:left w:val="nil"/>
              <w:bottom w:val="single" w:sz="8" w:space="0" w:color="000000"/>
              <w:right w:val="single" w:sz="8" w:space="0" w:color="000000"/>
            </w:tcBorders>
            <w:hideMark/>
          </w:tcPr>
          <w:p w14:paraId="1ADFCB94" w14:textId="6B27F002"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Times New Roman" w:hAnsiTheme="minorHAnsi"/>
                <w:spacing w:val="-3"/>
                <w:lang w:eastAsia="en-US"/>
              </w:rPr>
              <w:t>$230.980</w:t>
            </w:r>
          </w:p>
        </w:tc>
        <w:tc>
          <w:tcPr>
            <w:tcW w:w="2160" w:type="dxa"/>
            <w:tcBorders>
              <w:top w:val="nil"/>
              <w:left w:val="nil"/>
              <w:bottom w:val="single" w:sz="8" w:space="0" w:color="000000"/>
              <w:right w:val="single" w:sz="8" w:space="0" w:color="000000"/>
            </w:tcBorders>
            <w:hideMark/>
          </w:tcPr>
          <w:p w14:paraId="1691B5AC" w14:textId="02C920BA"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Times New Roman" w:hAnsiTheme="minorHAnsi"/>
                <w:spacing w:val="-3"/>
                <w:lang w:eastAsia="en-US"/>
              </w:rPr>
              <w:t>$499.434</w:t>
            </w:r>
          </w:p>
        </w:tc>
      </w:tr>
      <w:tr w:rsidR="00BB1E64" w:rsidRPr="00436E80" w14:paraId="5EEF0AAE" w14:textId="77777777" w:rsidTr="006A0E4A">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657049" w14:textId="77777777" w:rsidR="00BB1E64" w:rsidRPr="00436E80" w:rsidRDefault="00BB1E64" w:rsidP="006A0E4A">
            <w:pPr>
              <w:spacing w:line="240" w:lineRule="auto"/>
              <w:rPr>
                <w:rFonts w:asciiTheme="minorHAnsi" w:eastAsia="Calibri" w:hAnsiTheme="minorHAnsi"/>
                <w:szCs w:val="24"/>
                <w:lang w:eastAsia="en-US"/>
              </w:rPr>
            </w:pPr>
            <w:r w:rsidRPr="00436E80">
              <w:rPr>
                <w:rFonts w:asciiTheme="minorHAnsi" w:eastAsia="Calibri" w:hAnsiTheme="minorHAnsi"/>
                <w:lang w:eastAsia="en-US"/>
              </w:rPr>
              <w:t>2. Suministros, comodidades, materiales</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9166E1" w14:textId="369A592C"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$14.781</w:t>
            </w:r>
          </w:p>
        </w:tc>
        <w:tc>
          <w:tcPr>
            <w:tcW w:w="2250" w:type="dxa"/>
            <w:tcBorders>
              <w:top w:val="nil"/>
              <w:left w:val="nil"/>
              <w:bottom w:val="single" w:sz="8" w:space="0" w:color="000000"/>
              <w:right w:val="single" w:sz="8" w:space="0" w:color="000000"/>
            </w:tcBorders>
            <w:hideMark/>
          </w:tcPr>
          <w:p w14:paraId="03248EB9" w14:textId="4CF78A5E"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$9.900</w:t>
            </w:r>
          </w:p>
        </w:tc>
        <w:tc>
          <w:tcPr>
            <w:tcW w:w="2160" w:type="dxa"/>
            <w:tcBorders>
              <w:top w:val="nil"/>
              <w:left w:val="nil"/>
              <w:bottom w:val="single" w:sz="8" w:space="0" w:color="000000"/>
              <w:right w:val="single" w:sz="8" w:space="0" w:color="000000"/>
            </w:tcBorders>
            <w:hideMark/>
          </w:tcPr>
          <w:p w14:paraId="2C83FF8A" w14:textId="15130D5A"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$24.681</w:t>
            </w:r>
          </w:p>
        </w:tc>
      </w:tr>
      <w:tr w:rsidR="00BB1E64" w:rsidRPr="00436E80" w14:paraId="614B3B21" w14:textId="77777777" w:rsidTr="006A0E4A">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7992E0" w14:textId="77777777" w:rsidR="00BB1E64" w:rsidRPr="00436E80" w:rsidRDefault="00BB1E64" w:rsidP="006A0E4A">
            <w:pPr>
              <w:spacing w:line="240" w:lineRule="auto"/>
              <w:rPr>
                <w:rFonts w:asciiTheme="minorHAnsi" w:eastAsia="Calibri" w:hAnsiTheme="minorHAnsi"/>
                <w:szCs w:val="24"/>
                <w:lang w:eastAsia="en-US"/>
              </w:rPr>
            </w:pPr>
            <w:r w:rsidRPr="00436E80">
              <w:rPr>
                <w:rFonts w:asciiTheme="minorHAnsi" w:eastAsia="Calibri" w:hAnsiTheme="minorHAnsi"/>
                <w:lang w:eastAsia="en-US"/>
              </w:rPr>
              <w:t xml:space="preserve">3. Equipo, vehículo y muebles, incluyendo su depreciación  </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0450CD" w14:textId="6BAC8B71"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$847</w:t>
            </w:r>
          </w:p>
        </w:tc>
        <w:tc>
          <w:tcPr>
            <w:tcW w:w="2250" w:type="dxa"/>
            <w:tcBorders>
              <w:top w:val="nil"/>
              <w:left w:val="nil"/>
              <w:bottom w:val="single" w:sz="8" w:space="0" w:color="000000"/>
              <w:right w:val="single" w:sz="8" w:space="0" w:color="000000"/>
            </w:tcBorders>
            <w:hideMark/>
          </w:tcPr>
          <w:p w14:paraId="529C8F81" w14:textId="5396C39B"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$847</w:t>
            </w:r>
          </w:p>
        </w:tc>
        <w:tc>
          <w:tcPr>
            <w:tcW w:w="2160" w:type="dxa"/>
            <w:tcBorders>
              <w:top w:val="nil"/>
              <w:left w:val="nil"/>
              <w:bottom w:val="single" w:sz="8" w:space="0" w:color="000000"/>
              <w:right w:val="single" w:sz="8" w:space="0" w:color="000000"/>
            </w:tcBorders>
            <w:hideMark/>
          </w:tcPr>
          <w:p w14:paraId="5B3A2932" w14:textId="3020CE0B"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$1.695</w:t>
            </w:r>
          </w:p>
        </w:tc>
      </w:tr>
      <w:tr w:rsidR="00BB1E64" w:rsidRPr="00436E80" w14:paraId="5681A245" w14:textId="77777777" w:rsidTr="006A0E4A">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284445" w14:textId="77777777" w:rsidR="00BB1E64" w:rsidRPr="00436E80" w:rsidRDefault="00BB1E64" w:rsidP="006A0E4A">
            <w:pPr>
              <w:spacing w:line="240" w:lineRule="auto"/>
              <w:rPr>
                <w:rFonts w:asciiTheme="minorHAnsi" w:eastAsia="Calibri" w:hAnsiTheme="minorHAnsi"/>
                <w:szCs w:val="24"/>
                <w:lang w:eastAsia="en-US"/>
              </w:rPr>
            </w:pPr>
            <w:r w:rsidRPr="00436E80">
              <w:rPr>
                <w:rFonts w:asciiTheme="minorHAnsi" w:eastAsia="Calibri" w:hAnsiTheme="minorHAnsi"/>
                <w:lang w:eastAsia="en-US"/>
              </w:rPr>
              <w:t xml:space="preserve">4. Servicios contractuales </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CFD865" w14:textId="4B1C4C9A"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w:t>
            </w:r>
          </w:p>
        </w:tc>
        <w:tc>
          <w:tcPr>
            <w:tcW w:w="2250" w:type="dxa"/>
            <w:tcBorders>
              <w:top w:val="nil"/>
              <w:left w:val="nil"/>
              <w:bottom w:val="single" w:sz="8" w:space="0" w:color="000000"/>
              <w:right w:val="single" w:sz="8" w:space="0" w:color="000000"/>
            </w:tcBorders>
            <w:hideMark/>
          </w:tcPr>
          <w:p w14:paraId="05AD5F8E" w14:textId="41AFDAAE"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w:t>
            </w:r>
          </w:p>
        </w:tc>
        <w:tc>
          <w:tcPr>
            <w:tcW w:w="2160" w:type="dxa"/>
            <w:tcBorders>
              <w:top w:val="nil"/>
              <w:left w:val="nil"/>
              <w:bottom w:val="single" w:sz="8" w:space="0" w:color="000000"/>
              <w:right w:val="single" w:sz="8" w:space="0" w:color="000000"/>
            </w:tcBorders>
            <w:hideMark/>
          </w:tcPr>
          <w:p w14:paraId="67377B4A" w14:textId="77793CF8"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w:t>
            </w:r>
          </w:p>
        </w:tc>
      </w:tr>
      <w:tr w:rsidR="00BB1E64" w:rsidRPr="00436E80" w14:paraId="4AFB9218" w14:textId="77777777" w:rsidTr="006A0E4A">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3B097B" w14:textId="77777777" w:rsidR="00BB1E64" w:rsidRPr="00436E80" w:rsidRDefault="00BB1E64" w:rsidP="006A0E4A">
            <w:pPr>
              <w:spacing w:line="240" w:lineRule="auto"/>
              <w:rPr>
                <w:rFonts w:asciiTheme="minorHAnsi" w:eastAsia="Calibri" w:hAnsiTheme="minorHAnsi"/>
                <w:szCs w:val="24"/>
                <w:lang w:eastAsia="en-US"/>
              </w:rPr>
            </w:pPr>
            <w:r w:rsidRPr="00436E80">
              <w:rPr>
                <w:rFonts w:asciiTheme="minorHAnsi" w:eastAsia="Calibri" w:hAnsiTheme="minorHAnsi"/>
                <w:lang w:eastAsia="en-US"/>
              </w:rPr>
              <w:t>5. Viajes</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E79A69" w14:textId="47CDAE15"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$6.780</w:t>
            </w:r>
          </w:p>
        </w:tc>
        <w:tc>
          <w:tcPr>
            <w:tcW w:w="2250" w:type="dxa"/>
            <w:tcBorders>
              <w:top w:val="nil"/>
              <w:left w:val="nil"/>
              <w:bottom w:val="single" w:sz="8" w:space="0" w:color="000000"/>
              <w:right w:val="single" w:sz="8" w:space="0" w:color="000000"/>
            </w:tcBorders>
            <w:hideMark/>
          </w:tcPr>
          <w:p w14:paraId="0D1B891C" w14:textId="30D5EEF5"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$6.780</w:t>
            </w:r>
          </w:p>
        </w:tc>
        <w:tc>
          <w:tcPr>
            <w:tcW w:w="2160" w:type="dxa"/>
            <w:tcBorders>
              <w:top w:val="nil"/>
              <w:left w:val="nil"/>
              <w:bottom w:val="single" w:sz="8" w:space="0" w:color="000000"/>
              <w:right w:val="single" w:sz="8" w:space="0" w:color="000000"/>
            </w:tcBorders>
            <w:hideMark/>
          </w:tcPr>
          <w:p w14:paraId="7467BE47" w14:textId="6276BDFE"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$13.559</w:t>
            </w:r>
          </w:p>
        </w:tc>
      </w:tr>
      <w:tr w:rsidR="00BB1E64" w:rsidRPr="00436E80" w14:paraId="2C143AED" w14:textId="77777777" w:rsidTr="006A0E4A">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207691" w14:textId="77777777" w:rsidR="00BB1E64" w:rsidRPr="00436E80" w:rsidRDefault="00BB1E64" w:rsidP="006A0E4A">
            <w:pPr>
              <w:spacing w:line="240" w:lineRule="auto"/>
              <w:rPr>
                <w:rFonts w:asciiTheme="minorHAnsi" w:eastAsia="Calibri" w:hAnsiTheme="minorHAnsi"/>
                <w:szCs w:val="24"/>
                <w:lang w:eastAsia="en-US"/>
              </w:rPr>
            </w:pPr>
            <w:r w:rsidRPr="00436E80">
              <w:rPr>
                <w:rFonts w:asciiTheme="minorHAnsi" w:eastAsia="Calibri" w:hAnsiTheme="minorHAnsi"/>
                <w:lang w:eastAsia="en-US"/>
              </w:rPr>
              <w:t xml:space="preserve">6. Transferencias y </w:t>
            </w:r>
            <w:r w:rsidRPr="00436E80">
              <w:rPr>
                <w:rFonts w:asciiTheme="minorHAnsi" w:eastAsia="Calibri" w:hAnsiTheme="minorHAnsi"/>
                <w:i/>
                <w:lang w:eastAsia="en-US"/>
              </w:rPr>
              <w:t>grants</w:t>
            </w:r>
            <w:r w:rsidRPr="00436E80">
              <w:rPr>
                <w:rFonts w:asciiTheme="minorHAnsi" w:eastAsia="Calibri" w:hAnsiTheme="minorHAnsi"/>
                <w:lang w:eastAsia="en-US"/>
              </w:rPr>
              <w:t xml:space="preserve"> a contrapartes </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7155F7" w14:textId="1D7A7D39"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w:t>
            </w:r>
          </w:p>
        </w:tc>
        <w:tc>
          <w:tcPr>
            <w:tcW w:w="2250" w:type="dxa"/>
            <w:tcBorders>
              <w:top w:val="nil"/>
              <w:left w:val="nil"/>
              <w:bottom w:val="single" w:sz="8" w:space="0" w:color="000000"/>
              <w:right w:val="single" w:sz="8" w:space="0" w:color="000000"/>
            </w:tcBorders>
            <w:hideMark/>
          </w:tcPr>
          <w:p w14:paraId="5EFBD4E6" w14:textId="4C7D39AC"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w:t>
            </w:r>
          </w:p>
        </w:tc>
        <w:tc>
          <w:tcPr>
            <w:tcW w:w="2160" w:type="dxa"/>
            <w:tcBorders>
              <w:top w:val="nil"/>
              <w:left w:val="nil"/>
              <w:bottom w:val="single" w:sz="8" w:space="0" w:color="000000"/>
              <w:right w:val="single" w:sz="8" w:space="0" w:color="000000"/>
            </w:tcBorders>
            <w:hideMark/>
          </w:tcPr>
          <w:p w14:paraId="7E23522B" w14:textId="57AD0545"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w:t>
            </w:r>
          </w:p>
        </w:tc>
      </w:tr>
      <w:tr w:rsidR="00BB1E64" w:rsidRPr="00436E80" w14:paraId="6648DFC8" w14:textId="77777777" w:rsidTr="006A0E4A">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2560F4" w14:textId="77777777" w:rsidR="00BB1E64" w:rsidRPr="00436E80" w:rsidRDefault="00BB1E64" w:rsidP="006A0E4A">
            <w:pPr>
              <w:spacing w:line="240" w:lineRule="auto"/>
              <w:rPr>
                <w:rFonts w:asciiTheme="minorHAnsi" w:eastAsia="Calibri" w:hAnsiTheme="minorHAnsi"/>
                <w:szCs w:val="24"/>
                <w:lang w:eastAsia="en-US"/>
              </w:rPr>
            </w:pPr>
            <w:r w:rsidRPr="00436E80">
              <w:rPr>
                <w:rFonts w:asciiTheme="minorHAnsi" w:eastAsia="Calibri" w:hAnsiTheme="minorHAnsi"/>
                <w:lang w:eastAsia="en-US"/>
              </w:rPr>
              <w:t>7. Costos generales de operación y otros costos directos</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0535B9" w14:textId="6EF92D0D"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$10.678</w:t>
            </w:r>
          </w:p>
        </w:tc>
        <w:tc>
          <w:tcPr>
            <w:tcW w:w="2250" w:type="dxa"/>
            <w:tcBorders>
              <w:top w:val="nil"/>
              <w:left w:val="nil"/>
              <w:bottom w:val="single" w:sz="8" w:space="0" w:color="000000"/>
              <w:right w:val="single" w:sz="8" w:space="0" w:color="000000"/>
            </w:tcBorders>
            <w:hideMark/>
          </w:tcPr>
          <w:p w14:paraId="7AEAE62D" w14:textId="2AB1D8B7"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$10.678</w:t>
            </w:r>
          </w:p>
        </w:tc>
        <w:tc>
          <w:tcPr>
            <w:tcW w:w="2160" w:type="dxa"/>
            <w:tcBorders>
              <w:top w:val="nil"/>
              <w:left w:val="nil"/>
              <w:bottom w:val="single" w:sz="8" w:space="0" w:color="000000"/>
              <w:right w:val="single" w:sz="8" w:space="0" w:color="000000"/>
            </w:tcBorders>
            <w:hideMark/>
          </w:tcPr>
          <w:p w14:paraId="208D42D0" w14:textId="2D9573EA"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$21.356</w:t>
            </w:r>
          </w:p>
        </w:tc>
      </w:tr>
      <w:tr w:rsidR="00BB1E64" w:rsidRPr="00436E80" w14:paraId="10EFC0D8" w14:textId="77777777" w:rsidTr="006A0E4A">
        <w:trPr>
          <w:trHeight w:val="377"/>
        </w:trPr>
        <w:tc>
          <w:tcPr>
            <w:tcW w:w="595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4BDDAAB" w14:textId="77777777" w:rsidR="00BB1E64" w:rsidRPr="00436E80" w:rsidRDefault="00BB1E64" w:rsidP="006A0E4A">
            <w:pPr>
              <w:spacing w:line="240" w:lineRule="auto"/>
              <w:rPr>
                <w:rFonts w:asciiTheme="minorHAnsi" w:eastAsia="Calibri" w:hAnsiTheme="minorHAnsi"/>
                <w:szCs w:val="24"/>
                <w:lang w:eastAsia="en-US"/>
              </w:rPr>
            </w:pPr>
            <w:r w:rsidRPr="00436E80">
              <w:rPr>
                <w:rFonts w:asciiTheme="minorHAnsi" w:eastAsia="Calibri" w:hAnsiTheme="minorHAnsi"/>
                <w:b/>
                <w:bCs/>
                <w:lang w:eastAsia="en-US"/>
              </w:rPr>
              <w:t xml:space="preserve">Sub-total de costos del proyecto </w:t>
            </w:r>
          </w:p>
        </w:tc>
        <w:tc>
          <w:tcPr>
            <w:tcW w:w="243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27A91E2" w14:textId="7337E054"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$301.541</w:t>
            </w:r>
          </w:p>
        </w:tc>
        <w:tc>
          <w:tcPr>
            <w:tcW w:w="2250" w:type="dxa"/>
            <w:tcBorders>
              <w:top w:val="nil"/>
              <w:left w:val="nil"/>
              <w:bottom w:val="single" w:sz="8" w:space="0" w:color="000000"/>
              <w:right w:val="single" w:sz="8" w:space="0" w:color="000000"/>
            </w:tcBorders>
            <w:shd w:val="clear" w:color="auto" w:fill="D9D9D9"/>
            <w:hideMark/>
          </w:tcPr>
          <w:p w14:paraId="433B7B0B" w14:textId="1A7FF959"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$259.185</w:t>
            </w:r>
          </w:p>
        </w:tc>
        <w:tc>
          <w:tcPr>
            <w:tcW w:w="2160" w:type="dxa"/>
            <w:tcBorders>
              <w:top w:val="nil"/>
              <w:left w:val="nil"/>
              <w:bottom w:val="single" w:sz="8" w:space="0" w:color="000000"/>
              <w:right w:val="single" w:sz="8" w:space="0" w:color="000000"/>
            </w:tcBorders>
            <w:shd w:val="clear" w:color="auto" w:fill="D9D9D9"/>
            <w:hideMark/>
          </w:tcPr>
          <w:p w14:paraId="5BEC3D12" w14:textId="368A841A"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$560.725</w:t>
            </w:r>
          </w:p>
        </w:tc>
      </w:tr>
      <w:tr w:rsidR="00BB1E64" w:rsidRPr="00436E80" w14:paraId="4286187E" w14:textId="77777777" w:rsidTr="006A0E4A">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C5E81F" w14:textId="77777777" w:rsidR="00BB1E64" w:rsidRPr="00436E80" w:rsidRDefault="00BB1E64" w:rsidP="006A0E4A">
            <w:pPr>
              <w:spacing w:line="240" w:lineRule="auto"/>
              <w:rPr>
                <w:rFonts w:asciiTheme="minorHAnsi" w:eastAsia="Calibri" w:hAnsiTheme="minorHAnsi"/>
                <w:szCs w:val="24"/>
                <w:lang w:eastAsia="en-US"/>
              </w:rPr>
            </w:pPr>
            <w:r w:rsidRPr="00436E80">
              <w:rPr>
                <w:rFonts w:asciiTheme="minorHAnsi" w:eastAsia="Calibri" w:hAnsiTheme="minorHAnsi"/>
                <w:lang w:eastAsia="en-US"/>
              </w:rPr>
              <w:t>Costos indirectos de suporte**</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66DC4E" w14:textId="7FD195B0"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$21.108</w:t>
            </w:r>
          </w:p>
        </w:tc>
        <w:tc>
          <w:tcPr>
            <w:tcW w:w="2250" w:type="dxa"/>
            <w:tcBorders>
              <w:top w:val="nil"/>
              <w:left w:val="nil"/>
              <w:bottom w:val="single" w:sz="8" w:space="0" w:color="000000"/>
              <w:right w:val="single" w:sz="8" w:space="0" w:color="000000"/>
            </w:tcBorders>
            <w:hideMark/>
          </w:tcPr>
          <w:p w14:paraId="741E7D84" w14:textId="5122403F"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$18.143</w:t>
            </w:r>
          </w:p>
        </w:tc>
        <w:tc>
          <w:tcPr>
            <w:tcW w:w="2160" w:type="dxa"/>
            <w:tcBorders>
              <w:top w:val="nil"/>
              <w:left w:val="nil"/>
              <w:bottom w:val="single" w:sz="8" w:space="0" w:color="000000"/>
              <w:right w:val="single" w:sz="8" w:space="0" w:color="000000"/>
            </w:tcBorders>
            <w:hideMark/>
          </w:tcPr>
          <w:p w14:paraId="50C22158" w14:textId="35A33113" w:rsidR="00BB1E64" w:rsidRPr="00436E80" w:rsidRDefault="00BB1E64" w:rsidP="00BB1E64">
            <w:pPr>
              <w:spacing w:line="240" w:lineRule="auto"/>
              <w:jc w:val="center"/>
              <w:rPr>
                <w:rFonts w:asciiTheme="minorHAnsi" w:eastAsia="Calibri" w:hAnsiTheme="minorHAnsi"/>
                <w:szCs w:val="24"/>
                <w:lang w:eastAsia="en-US"/>
              </w:rPr>
            </w:pPr>
            <w:r>
              <w:rPr>
                <w:rFonts w:asciiTheme="minorHAnsi" w:eastAsia="Calibri" w:hAnsiTheme="minorHAnsi"/>
                <w:szCs w:val="24"/>
                <w:lang w:eastAsia="en-US"/>
              </w:rPr>
              <w:t>$39.251</w:t>
            </w:r>
          </w:p>
        </w:tc>
      </w:tr>
      <w:tr w:rsidR="00BB1E64" w:rsidRPr="00436E80" w14:paraId="4E67F490" w14:textId="77777777" w:rsidTr="006A0E4A">
        <w:trPr>
          <w:trHeight w:val="377"/>
        </w:trPr>
        <w:tc>
          <w:tcPr>
            <w:tcW w:w="595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2D66665A" w14:textId="77777777" w:rsidR="00BB1E64" w:rsidRPr="00436E80" w:rsidRDefault="00BB1E64" w:rsidP="006A0E4A">
            <w:pPr>
              <w:spacing w:line="240" w:lineRule="auto"/>
              <w:rPr>
                <w:rFonts w:asciiTheme="minorHAnsi" w:eastAsia="Calibri" w:hAnsiTheme="minorHAnsi"/>
                <w:szCs w:val="24"/>
                <w:lang w:eastAsia="en-US"/>
              </w:rPr>
            </w:pPr>
            <w:r w:rsidRPr="00436E80">
              <w:rPr>
                <w:rFonts w:asciiTheme="minorHAnsi" w:eastAsia="Calibri" w:hAnsiTheme="minorHAnsi"/>
                <w:b/>
                <w:bCs/>
                <w:lang w:eastAsia="en-US"/>
              </w:rPr>
              <w:t>TOTAL</w:t>
            </w:r>
          </w:p>
        </w:tc>
        <w:tc>
          <w:tcPr>
            <w:tcW w:w="243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C715699" w14:textId="71985774" w:rsidR="00BB1E64" w:rsidRPr="00BB1E64" w:rsidRDefault="00BB1E64" w:rsidP="00BB1E64">
            <w:pPr>
              <w:spacing w:line="240" w:lineRule="auto"/>
              <w:jc w:val="center"/>
              <w:rPr>
                <w:rFonts w:asciiTheme="minorHAnsi" w:eastAsia="Calibri" w:hAnsiTheme="minorHAnsi"/>
                <w:b/>
                <w:szCs w:val="24"/>
                <w:lang w:eastAsia="en-US"/>
              </w:rPr>
            </w:pPr>
            <w:r w:rsidRPr="00BB1E64">
              <w:rPr>
                <w:rFonts w:asciiTheme="minorHAnsi" w:eastAsia="Calibri" w:hAnsiTheme="minorHAnsi"/>
                <w:b/>
                <w:szCs w:val="24"/>
                <w:lang w:eastAsia="en-US"/>
              </w:rPr>
              <w:t>$322.649</w:t>
            </w:r>
          </w:p>
        </w:tc>
        <w:tc>
          <w:tcPr>
            <w:tcW w:w="2250" w:type="dxa"/>
            <w:tcBorders>
              <w:top w:val="nil"/>
              <w:left w:val="nil"/>
              <w:bottom w:val="single" w:sz="8" w:space="0" w:color="000000"/>
              <w:right w:val="single" w:sz="8" w:space="0" w:color="000000"/>
            </w:tcBorders>
            <w:shd w:val="clear" w:color="auto" w:fill="D9D9D9"/>
            <w:hideMark/>
          </w:tcPr>
          <w:p w14:paraId="3314057F" w14:textId="1EE3FD5A" w:rsidR="00BB1E64" w:rsidRPr="00BB1E64" w:rsidRDefault="00BB1E64" w:rsidP="00BB1E64">
            <w:pPr>
              <w:spacing w:line="240" w:lineRule="auto"/>
              <w:jc w:val="center"/>
              <w:rPr>
                <w:rFonts w:asciiTheme="minorHAnsi" w:eastAsia="Calibri" w:hAnsiTheme="minorHAnsi"/>
                <w:b/>
                <w:szCs w:val="24"/>
                <w:lang w:eastAsia="en-US"/>
              </w:rPr>
            </w:pPr>
            <w:r w:rsidRPr="00BB1E64">
              <w:rPr>
                <w:rFonts w:asciiTheme="minorHAnsi" w:eastAsia="Calibri" w:hAnsiTheme="minorHAnsi"/>
                <w:b/>
                <w:szCs w:val="24"/>
                <w:lang w:eastAsia="en-US"/>
              </w:rPr>
              <w:t>$277.328</w:t>
            </w:r>
          </w:p>
        </w:tc>
        <w:tc>
          <w:tcPr>
            <w:tcW w:w="2160" w:type="dxa"/>
            <w:tcBorders>
              <w:top w:val="nil"/>
              <w:left w:val="nil"/>
              <w:bottom w:val="single" w:sz="8" w:space="0" w:color="000000"/>
              <w:right w:val="single" w:sz="8" w:space="0" w:color="000000"/>
            </w:tcBorders>
            <w:shd w:val="clear" w:color="auto" w:fill="D9D9D9"/>
            <w:hideMark/>
          </w:tcPr>
          <w:p w14:paraId="2223B1C7" w14:textId="34650775" w:rsidR="00BB1E64" w:rsidRPr="00BB1E64" w:rsidRDefault="00BB1E64" w:rsidP="00BB1E64">
            <w:pPr>
              <w:spacing w:line="240" w:lineRule="auto"/>
              <w:jc w:val="center"/>
              <w:rPr>
                <w:rFonts w:asciiTheme="minorHAnsi" w:eastAsia="Calibri" w:hAnsiTheme="minorHAnsi"/>
                <w:b/>
                <w:szCs w:val="24"/>
                <w:lang w:eastAsia="en-US"/>
              </w:rPr>
            </w:pPr>
            <w:r w:rsidRPr="00BB1E64">
              <w:rPr>
                <w:rFonts w:asciiTheme="minorHAnsi" w:eastAsia="Calibri" w:hAnsiTheme="minorHAnsi"/>
                <w:b/>
                <w:szCs w:val="24"/>
                <w:lang w:eastAsia="en-US"/>
              </w:rPr>
              <w:t>$599.976</w:t>
            </w:r>
          </w:p>
        </w:tc>
      </w:tr>
    </w:tbl>
    <w:p w14:paraId="0BADE6CC" w14:textId="6D55EB2C" w:rsidR="008F2907" w:rsidRDefault="008F2907"/>
    <w:p w14:paraId="142BE31C" w14:textId="56DB5813" w:rsidR="00BB1E64" w:rsidRDefault="00BB1E64"/>
    <w:p w14:paraId="37CEBD66" w14:textId="1C237303" w:rsidR="00BB1E64" w:rsidRDefault="00BB1E64"/>
    <w:p w14:paraId="170003BF" w14:textId="723F7A4A" w:rsidR="00BB1E64" w:rsidRDefault="00BB1E64"/>
    <w:p w14:paraId="084354C9" w14:textId="0A1463C9" w:rsidR="00EA6505" w:rsidRDefault="00EA6505"/>
    <w:p w14:paraId="08260E5B" w14:textId="4B03A0E4" w:rsidR="00BB1E64" w:rsidRDefault="00BB1E64"/>
    <w:p w14:paraId="65401F1F" w14:textId="77777777" w:rsidR="00BB1E64" w:rsidRDefault="00BB1E64"/>
    <w:p w14:paraId="297BC7C0" w14:textId="77777777" w:rsidR="008F2907" w:rsidRDefault="008F2907">
      <w:pPr>
        <w:pStyle w:val="Normal1"/>
      </w:pPr>
    </w:p>
    <w:p w14:paraId="0CAAC79A" w14:textId="44985683" w:rsidR="00642D63" w:rsidRDefault="00761080" w:rsidP="002631FE">
      <w:pPr>
        <w:pStyle w:val="Normal1"/>
        <w:pBdr>
          <w:top w:val="none" w:sz="0" w:space="0" w:color="000000"/>
          <w:left w:val="none" w:sz="0" w:space="0" w:color="000000"/>
          <w:bottom w:val="none" w:sz="0" w:space="0" w:color="000000"/>
          <w:right w:val="none" w:sz="0" w:space="0" w:color="000000"/>
          <w:between w:val="none" w:sz="0" w:space="0" w:color="000000"/>
        </w:pBdr>
        <w:spacing w:after="200"/>
        <w:jc w:val="both"/>
        <w:rPr>
          <w:rFonts w:ascii="Calibri" w:eastAsia="Calibri" w:hAnsi="Calibri" w:cs="Calibri"/>
          <w:b/>
        </w:rPr>
      </w:pPr>
      <w:r>
        <w:rPr>
          <w:rFonts w:ascii="Calibri" w:eastAsia="Calibri" w:hAnsi="Calibri" w:cs="Calibri"/>
          <w:b/>
        </w:rPr>
        <w:t>Anexo 4: Presupuesto desagregado</w:t>
      </w:r>
    </w:p>
    <w:p w14:paraId="206FDF0A" w14:textId="655EFD71" w:rsidR="00287B36" w:rsidRDefault="00287B36" w:rsidP="002631FE">
      <w:pPr>
        <w:pStyle w:val="Normal1"/>
        <w:pBdr>
          <w:top w:val="none" w:sz="0" w:space="0" w:color="000000"/>
          <w:left w:val="none" w:sz="0" w:space="0" w:color="000000"/>
          <w:bottom w:val="none" w:sz="0" w:space="0" w:color="000000"/>
          <w:right w:val="none" w:sz="0" w:space="0" w:color="000000"/>
          <w:between w:val="none" w:sz="0" w:space="0" w:color="000000"/>
        </w:pBdr>
        <w:spacing w:after="200"/>
        <w:jc w:val="both"/>
        <w:rPr>
          <w:rFonts w:ascii="Calibri" w:eastAsia="Calibri" w:hAnsi="Calibri" w:cs="Calibri"/>
          <w:b/>
        </w:rPr>
      </w:pPr>
      <w:r w:rsidRPr="008F2907">
        <w:rPr>
          <w:noProof/>
        </w:rPr>
        <w:drawing>
          <wp:inline distT="0" distB="0" distL="0" distR="0" wp14:anchorId="082DC5AD" wp14:editId="14935F42">
            <wp:extent cx="7899400" cy="343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99400" cy="3438750"/>
                    </a:xfrm>
                    <a:prstGeom prst="rect">
                      <a:avLst/>
                    </a:prstGeom>
                    <a:noFill/>
                    <a:ln>
                      <a:noFill/>
                    </a:ln>
                  </pic:spPr>
                </pic:pic>
              </a:graphicData>
            </a:graphic>
          </wp:inline>
        </w:drawing>
      </w:r>
    </w:p>
    <w:p w14:paraId="0EB810ED" w14:textId="77777777" w:rsidR="008F2907" w:rsidRDefault="008F2907" w:rsidP="002631FE">
      <w:pPr>
        <w:pStyle w:val="Normal1"/>
        <w:pBdr>
          <w:top w:val="none" w:sz="0" w:space="0" w:color="000000"/>
          <w:left w:val="none" w:sz="0" w:space="0" w:color="000000"/>
          <w:bottom w:val="none" w:sz="0" w:space="0" w:color="000000"/>
          <w:right w:val="none" w:sz="0" w:space="0" w:color="000000"/>
          <w:between w:val="none" w:sz="0" w:space="0" w:color="000000"/>
        </w:pBdr>
        <w:spacing w:after="200"/>
        <w:jc w:val="both"/>
        <w:rPr>
          <w:rFonts w:ascii="Calibri" w:eastAsia="Calibri" w:hAnsi="Calibri" w:cs="Calibri"/>
          <w:b/>
        </w:rPr>
      </w:pPr>
      <w:r w:rsidRPr="008F2907">
        <w:rPr>
          <w:noProof/>
        </w:rPr>
        <w:lastRenderedPageBreak/>
        <w:drawing>
          <wp:inline distT="0" distB="0" distL="0" distR="0" wp14:anchorId="3A577709" wp14:editId="49E1D541">
            <wp:extent cx="7886700" cy="47207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04451" cy="4731372"/>
                    </a:xfrm>
                    <a:prstGeom prst="rect">
                      <a:avLst/>
                    </a:prstGeom>
                    <a:noFill/>
                    <a:ln>
                      <a:noFill/>
                    </a:ln>
                  </pic:spPr>
                </pic:pic>
              </a:graphicData>
            </a:graphic>
          </wp:inline>
        </w:drawing>
      </w:r>
    </w:p>
    <w:p w14:paraId="466E0D7E"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rPr>
      </w:pPr>
    </w:p>
    <w:p w14:paraId="6B37B3A7" w14:textId="3ACB90E5" w:rsidR="00642D63" w:rsidRDefault="00642D63">
      <w:pPr>
        <w:pStyle w:val="Normal1"/>
        <w:rPr>
          <w:rFonts w:ascii="Calibri" w:eastAsia="Calibri" w:hAnsi="Calibri" w:cs="Calibri"/>
          <w:b/>
        </w:rPr>
      </w:pPr>
    </w:p>
    <w:p w14:paraId="52F3F97D" w14:textId="77777777" w:rsidR="00642D63" w:rsidRDefault="0076108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rPr>
      </w:pPr>
      <w:r>
        <w:rPr>
          <w:rFonts w:ascii="Calibri" w:eastAsia="Calibri" w:hAnsi="Calibri" w:cs="Calibri"/>
          <w:b/>
        </w:rPr>
        <w:t>Anexo 5. Cuadro 3: Monitoreo y registro de riesgos</w:t>
      </w:r>
    </w:p>
    <w:tbl>
      <w:tblPr>
        <w:tblW w:w="0" w:type="dxa"/>
        <w:tblCellMar>
          <w:left w:w="0" w:type="dxa"/>
          <w:right w:w="0" w:type="dxa"/>
        </w:tblCellMar>
        <w:tblLook w:val="04A0" w:firstRow="1" w:lastRow="0" w:firstColumn="1" w:lastColumn="0" w:noHBand="0" w:noVBand="1"/>
      </w:tblPr>
      <w:tblGrid>
        <w:gridCol w:w="1153"/>
        <w:gridCol w:w="2464"/>
        <w:gridCol w:w="2062"/>
        <w:gridCol w:w="2366"/>
        <w:gridCol w:w="2409"/>
        <w:gridCol w:w="1956"/>
      </w:tblGrid>
      <w:tr w:rsidR="002631FE" w:rsidRPr="002631FE" w14:paraId="02C10C11" w14:textId="77777777" w:rsidTr="002631FE">
        <w:trPr>
          <w:trHeight w:val="504"/>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tcMar>
              <w:top w:w="48" w:type="dxa"/>
              <w:left w:w="72" w:type="dxa"/>
              <w:bottom w:w="48" w:type="dxa"/>
              <w:right w:w="72" w:type="dxa"/>
            </w:tcMar>
            <w:hideMark/>
          </w:tcPr>
          <w:p w14:paraId="74B718E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b/>
                <w:bCs/>
                <w:sz w:val="18"/>
                <w:szCs w:val="18"/>
              </w:rPr>
            </w:pPr>
            <w:r w:rsidRPr="002631FE">
              <w:rPr>
                <w:rFonts w:ascii="Calibri" w:eastAsia="Times New Roman" w:hAnsi="Calibri"/>
                <w:b/>
                <w:bCs/>
                <w:sz w:val="18"/>
                <w:szCs w:val="18"/>
              </w:rPr>
              <w:t>Productos esperados y actividades claves del Programa</w:t>
            </w:r>
          </w:p>
        </w:tc>
        <w:tc>
          <w:tcPr>
            <w:tcW w:w="0" w:type="auto"/>
            <w:tcBorders>
              <w:top w:val="single" w:sz="12" w:space="0" w:color="000000"/>
              <w:left w:val="single" w:sz="12" w:space="0" w:color="CCCCCC"/>
              <w:bottom w:val="single" w:sz="12" w:space="0" w:color="000000"/>
              <w:right w:val="single" w:sz="12" w:space="0" w:color="000000"/>
            </w:tcBorders>
            <w:shd w:val="clear" w:color="auto" w:fill="C0C0C0"/>
            <w:tcMar>
              <w:top w:w="48" w:type="dxa"/>
              <w:left w:w="72" w:type="dxa"/>
              <w:bottom w:w="48" w:type="dxa"/>
              <w:right w:w="72" w:type="dxa"/>
            </w:tcMar>
            <w:hideMark/>
          </w:tcPr>
          <w:p w14:paraId="2F44719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r w:rsidRPr="002631FE">
              <w:rPr>
                <w:rFonts w:ascii="Calibri" w:eastAsia="Times New Roman" w:hAnsi="Calibri"/>
                <w:b/>
                <w:bCs/>
                <w:sz w:val="18"/>
                <w:szCs w:val="18"/>
              </w:rPr>
              <w:t>Indicadores (con líneas de base y cronograma indicativo)</w:t>
            </w:r>
          </w:p>
        </w:tc>
        <w:tc>
          <w:tcPr>
            <w:tcW w:w="0" w:type="auto"/>
            <w:tcBorders>
              <w:top w:val="single" w:sz="12" w:space="0" w:color="000000"/>
              <w:left w:val="single" w:sz="12" w:space="0" w:color="CCCCCC"/>
              <w:bottom w:val="single" w:sz="12" w:space="0" w:color="000000"/>
              <w:right w:val="single" w:sz="12" w:space="0" w:color="000000"/>
            </w:tcBorders>
            <w:shd w:val="clear" w:color="auto" w:fill="C0C0C0"/>
            <w:tcMar>
              <w:top w:w="48" w:type="dxa"/>
              <w:left w:w="72" w:type="dxa"/>
              <w:bottom w:w="48" w:type="dxa"/>
              <w:right w:w="72" w:type="dxa"/>
            </w:tcMar>
            <w:hideMark/>
          </w:tcPr>
          <w:p w14:paraId="6FC5EBD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r w:rsidRPr="002631FE">
              <w:rPr>
                <w:rFonts w:ascii="Calibri" w:eastAsia="Times New Roman" w:hAnsi="Calibri"/>
                <w:b/>
                <w:bCs/>
                <w:sz w:val="18"/>
                <w:szCs w:val="18"/>
              </w:rPr>
              <w:t>Medios de verificación</w:t>
            </w:r>
          </w:p>
        </w:tc>
        <w:tc>
          <w:tcPr>
            <w:tcW w:w="0" w:type="auto"/>
            <w:tcBorders>
              <w:top w:val="single" w:sz="12" w:space="0" w:color="000000"/>
              <w:left w:val="single" w:sz="12" w:space="0" w:color="CCCCCC"/>
              <w:bottom w:val="single" w:sz="12" w:space="0" w:color="000000"/>
              <w:right w:val="single" w:sz="12" w:space="0" w:color="000000"/>
            </w:tcBorders>
            <w:shd w:val="clear" w:color="auto" w:fill="C0C0C0"/>
            <w:tcMar>
              <w:top w:w="48" w:type="dxa"/>
              <w:left w:w="72" w:type="dxa"/>
              <w:bottom w:w="48" w:type="dxa"/>
              <w:right w:w="72" w:type="dxa"/>
            </w:tcMar>
            <w:hideMark/>
          </w:tcPr>
          <w:p w14:paraId="16F5965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r w:rsidRPr="002631FE">
              <w:rPr>
                <w:rFonts w:ascii="Calibri" w:eastAsia="Times New Roman" w:hAnsi="Calibri"/>
                <w:b/>
                <w:bCs/>
                <w:sz w:val="18"/>
                <w:szCs w:val="18"/>
              </w:rPr>
              <w:t>Métodos de recolección (con cronograma indicativo y frecuencia)</w:t>
            </w:r>
          </w:p>
        </w:tc>
        <w:tc>
          <w:tcPr>
            <w:tcW w:w="0" w:type="auto"/>
            <w:tcBorders>
              <w:top w:val="single" w:sz="12" w:space="0" w:color="000000"/>
              <w:left w:val="single" w:sz="12" w:space="0" w:color="CCCCCC"/>
              <w:bottom w:val="single" w:sz="12" w:space="0" w:color="000000"/>
              <w:right w:val="single" w:sz="12" w:space="0" w:color="000000"/>
            </w:tcBorders>
            <w:shd w:val="clear" w:color="auto" w:fill="C0C0C0"/>
            <w:tcMar>
              <w:top w:w="48" w:type="dxa"/>
              <w:left w:w="72" w:type="dxa"/>
              <w:bottom w:w="48" w:type="dxa"/>
              <w:right w:w="72" w:type="dxa"/>
            </w:tcMar>
            <w:hideMark/>
          </w:tcPr>
          <w:p w14:paraId="6695253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r w:rsidRPr="002631FE">
              <w:rPr>
                <w:rFonts w:ascii="Calibri" w:eastAsia="Times New Roman" w:hAnsi="Calibri"/>
                <w:b/>
                <w:bCs/>
                <w:sz w:val="18"/>
                <w:szCs w:val="18"/>
              </w:rPr>
              <w:t>Responsabilidades</w:t>
            </w:r>
          </w:p>
        </w:tc>
      </w:tr>
      <w:tr w:rsidR="002631FE" w:rsidRPr="002631FE" w14:paraId="0F8C71D6" w14:textId="77777777" w:rsidTr="002631FE">
        <w:trPr>
          <w:trHeight w:val="504"/>
        </w:trPr>
        <w:tc>
          <w:tcPr>
            <w:tcW w:w="0" w:type="auto"/>
            <w:gridSpan w:val="2"/>
            <w:tcBorders>
              <w:top w:val="single" w:sz="12" w:space="0" w:color="CCCCCC"/>
              <w:left w:val="single" w:sz="12" w:space="0" w:color="000000"/>
              <w:bottom w:val="single" w:sz="12" w:space="0" w:color="000000"/>
              <w:right w:val="single" w:sz="12" w:space="0" w:color="000000"/>
            </w:tcBorders>
            <w:shd w:val="clear" w:color="auto" w:fill="EFEFEF"/>
            <w:tcMar>
              <w:top w:w="48" w:type="dxa"/>
              <w:left w:w="72" w:type="dxa"/>
              <w:bottom w:w="48" w:type="dxa"/>
              <w:right w:w="72" w:type="dxa"/>
            </w:tcMar>
            <w:hideMark/>
          </w:tcPr>
          <w:p w14:paraId="42F8A94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i/>
                <w:iCs/>
                <w:sz w:val="18"/>
                <w:szCs w:val="18"/>
              </w:rPr>
            </w:pPr>
            <w:r w:rsidRPr="002631FE">
              <w:rPr>
                <w:rFonts w:ascii="Calibri" w:eastAsia="Times New Roman" w:hAnsi="Calibri"/>
                <w:i/>
                <w:iCs/>
                <w:sz w:val="18"/>
                <w:szCs w:val="18"/>
              </w:rPr>
              <w:t>Del marco de resultados del Programa (Anexo 1)</w:t>
            </w:r>
          </w:p>
        </w:tc>
        <w:tc>
          <w:tcPr>
            <w:tcW w:w="0" w:type="auto"/>
            <w:tcBorders>
              <w:top w:val="single" w:sz="12" w:space="0" w:color="CCCCCC"/>
              <w:left w:val="single" w:sz="12" w:space="0" w:color="CCCCCC"/>
              <w:bottom w:val="single" w:sz="12" w:space="0" w:color="000000"/>
              <w:right w:val="single" w:sz="12" w:space="0" w:color="000000"/>
            </w:tcBorders>
            <w:shd w:val="clear" w:color="auto" w:fill="EFEFEF"/>
            <w:tcMar>
              <w:top w:w="48" w:type="dxa"/>
              <w:left w:w="72" w:type="dxa"/>
              <w:bottom w:w="48" w:type="dxa"/>
              <w:right w:w="72" w:type="dxa"/>
            </w:tcMar>
            <w:hideMark/>
          </w:tcPr>
          <w:p w14:paraId="58834FC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i/>
                <w:iCs/>
                <w:sz w:val="18"/>
                <w:szCs w:val="18"/>
              </w:rPr>
            </w:pPr>
            <w:r w:rsidRPr="002631FE">
              <w:rPr>
                <w:rFonts w:ascii="Calibri" w:eastAsia="Times New Roman" w:hAnsi="Calibri"/>
                <w:i/>
                <w:iCs/>
                <w:sz w:val="18"/>
                <w:szCs w:val="18"/>
              </w:rPr>
              <w:t>Del marco de resultados del Programa (Anexo 1).</w:t>
            </w:r>
            <w:r w:rsidRPr="002631FE">
              <w:rPr>
                <w:rFonts w:ascii="Calibri" w:eastAsia="Times New Roman" w:hAnsi="Calibri"/>
                <w:i/>
                <w:iCs/>
                <w:sz w:val="18"/>
                <w:szCs w:val="18"/>
              </w:rPr>
              <w:br/>
              <w:t>Líneas de base son la medida del indicador al iniciar el Programa.</w:t>
            </w:r>
          </w:p>
        </w:tc>
        <w:tc>
          <w:tcPr>
            <w:tcW w:w="0" w:type="auto"/>
            <w:tcBorders>
              <w:top w:val="single" w:sz="12" w:space="0" w:color="CCCCCC"/>
              <w:left w:val="single" w:sz="12" w:space="0" w:color="CCCCCC"/>
              <w:bottom w:val="single" w:sz="12" w:space="0" w:color="000000"/>
              <w:right w:val="single" w:sz="12" w:space="0" w:color="000000"/>
            </w:tcBorders>
            <w:shd w:val="clear" w:color="auto" w:fill="EFEFEF"/>
            <w:tcMar>
              <w:top w:w="48" w:type="dxa"/>
              <w:left w:w="72" w:type="dxa"/>
              <w:bottom w:w="48" w:type="dxa"/>
              <w:right w:w="72" w:type="dxa"/>
            </w:tcMar>
            <w:hideMark/>
          </w:tcPr>
          <w:p w14:paraId="40996D1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i/>
                <w:iCs/>
                <w:sz w:val="18"/>
                <w:szCs w:val="18"/>
              </w:rPr>
            </w:pPr>
            <w:r w:rsidRPr="002631FE">
              <w:rPr>
                <w:rFonts w:ascii="Calibri" w:eastAsia="Times New Roman" w:hAnsi="Calibri"/>
                <w:i/>
                <w:iCs/>
                <w:sz w:val="18"/>
                <w:szCs w:val="18"/>
              </w:rPr>
              <w:t>De fuentes identificadas de data e información</w:t>
            </w:r>
          </w:p>
        </w:tc>
        <w:tc>
          <w:tcPr>
            <w:tcW w:w="0" w:type="auto"/>
            <w:tcBorders>
              <w:top w:val="single" w:sz="12" w:space="0" w:color="CCCCCC"/>
              <w:left w:val="single" w:sz="12" w:space="0" w:color="CCCCCC"/>
              <w:bottom w:val="single" w:sz="12" w:space="0" w:color="000000"/>
              <w:right w:val="single" w:sz="12" w:space="0" w:color="000000"/>
            </w:tcBorders>
            <w:shd w:val="clear" w:color="auto" w:fill="EFEFEF"/>
            <w:tcMar>
              <w:top w:w="48" w:type="dxa"/>
              <w:left w:w="72" w:type="dxa"/>
              <w:bottom w:w="48" w:type="dxa"/>
              <w:right w:w="72" w:type="dxa"/>
            </w:tcMar>
            <w:hideMark/>
          </w:tcPr>
          <w:p w14:paraId="58FB3B1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i/>
                <w:iCs/>
                <w:sz w:val="18"/>
                <w:szCs w:val="18"/>
              </w:rPr>
            </w:pPr>
          </w:p>
        </w:tc>
        <w:tc>
          <w:tcPr>
            <w:tcW w:w="0" w:type="auto"/>
            <w:tcBorders>
              <w:top w:val="single" w:sz="12" w:space="0" w:color="CCCCCC"/>
              <w:left w:val="single" w:sz="12" w:space="0" w:color="CCCCCC"/>
              <w:bottom w:val="single" w:sz="12" w:space="0" w:color="000000"/>
              <w:right w:val="single" w:sz="12" w:space="0" w:color="000000"/>
            </w:tcBorders>
            <w:shd w:val="clear" w:color="auto" w:fill="EFEFEF"/>
            <w:tcMar>
              <w:top w:w="48" w:type="dxa"/>
              <w:left w:w="72" w:type="dxa"/>
              <w:bottom w:w="48" w:type="dxa"/>
              <w:right w:w="72" w:type="dxa"/>
            </w:tcMar>
            <w:hideMark/>
          </w:tcPr>
          <w:p w14:paraId="3915ACA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i/>
                <w:iCs/>
                <w:sz w:val="18"/>
                <w:szCs w:val="18"/>
              </w:rPr>
            </w:pPr>
            <w:r w:rsidRPr="002631FE">
              <w:rPr>
                <w:rFonts w:ascii="Calibri" w:eastAsia="Times New Roman" w:hAnsi="Calibri"/>
                <w:i/>
                <w:iCs/>
                <w:sz w:val="18"/>
                <w:szCs w:val="18"/>
              </w:rPr>
              <w:t>Las responsabilidades específicas de organizaciones participantes de la ONU (incluyendo en casos de resultados compartidos)</w:t>
            </w:r>
          </w:p>
        </w:tc>
      </w:tr>
      <w:tr w:rsidR="002631FE" w:rsidRPr="002631FE" w14:paraId="7F4D46E8" w14:textId="77777777" w:rsidTr="002631FE">
        <w:trPr>
          <w:trHeight w:val="504"/>
        </w:trPr>
        <w:tc>
          <w:tcPr>
            <w:tcW w:w="0" w:type="auto"/>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19F7CDF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b/>
                <w:bCs/>
                <w:sz w:val="18"/>
                <w:szCs w:val="18"/>
              </w:rPr>
            </w:pPr>
            <w:r w:rsidRPr="002631FE">
              <w:rPr>
                <w:rFonts w:ascii="Calibri" w:eastAsia="Times New Roman" w:hAnsi="Calibri"/>
                <w:b/>
                <w:bCs/>
                <w:sz w:val="18"/>
                <w:szCs w:val="18"/>
              </w:rPr>
              <w:t xml:space="preserve">PRODUCTO 1.1 </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52A4A76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6 Grandes memorias, que contienen en total 36 memorias (nueve para cada uno de los seis puntos del acuerdo). Las Memorias incluyen la identificación y comprobación de los avances en la implementación de los 6 puntos del acuerdo, con referencia específica a los enfoques transversales (étnico, género y territorial).</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1B65F1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Al finalizar el proyecto se habrá entregado 6 Grandes Memorias a los Notables o Verificadores Internacionales </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C6A3B2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Certificado semestral, por parte de Felipe González y/o José Mujica, sobre la recepción y suficiencia de contenido de las Grandes Memorias . En caso de que los Notables o Verificadores, hagan público la Gran Memoria, este documento será el medio de verificación.</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26B826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 solicitar el certificado de recepción a las organizaciones que conforman la Secretaría Técnica, sin embargo, en los casos en los que los Notables autoricen que se haga pública la Gran Memoria, este documento podrá ser consultado a través del medio por el que se publique</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6175CD2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No aplica, debido a que la Secretaría Técnica no tiene productos o actividades que incluyan responsabilidades de organizaciones participantes de la ONU</w:t>
            </w:r>
          </w:p>
        </w:tc>
      </w:tr>
      <w:tr w:rsidR="002631FE" w:rsidRPr="002631FE" w14:paraId="5EDDFB30" w14:textId="77777777" w:rsidTr="002631FE">
        <w:trPr>
          <w:trHeight w:val="4560"/>
        </w:trPr>
        <w:tc>
          <w:tcPr>
            <w:tcW w:w="0" w:type="auto"/>
            <w:vMerge w:val="restart"/>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52A6336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b/>
                <w:bCs/>
                <w:sz w:val="18"/>
                <w:szCs w:val="18"/>
              </w:rPr>
            </w:pPr>
            <w:r w:rsidRPr="002631FE">
              <w:rPr>
                <w:rFonts w:ascii="Calibri" w:eastAsia="Times New Roman" w:hAnsi="Calibri"/>
                <w:b/>
                <w:bCs/>
                <w:sz w:val="18"/>
                <w:szCs w:val="18"/>
              </w:rPr>
              <w:lastRenderedPageBreak/>
              <w:t xml:space="preserve">ACTIVIDADES </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D0E0F3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Recolección de información en las fuentes establecidas en la metodología, sobre los compromisos de los seis puntos del Acuerdo</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F6B92C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Recolección de información constante sobre la implementación de los seis puntos del acuerdo, en las fuentes establecidas en la metodología durante 18 meses </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CEB445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Certificado semestral, por parte de Felipe González y/o José Mujica, sobre la recepción y suficiencia de contenido de las Grandes Memorias . En caso de que los Notables o Verificadores, hagan público la Gran Memoria, este documento será el medio de verificación.</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78A9D28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 solicitar el certificado de recepción a las organizaciones que conforman la Secretaría Técnica, sin embargo, en los casos en los que los Notables autoricen que se haga pública la Gran Memoria, este documento podrá ser consultado a través del medio por el que se publique</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5FFBC0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13BBD75D"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04FA50A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1F600C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Procesamiento de la información recolectada en las fuentes de información sobre los compromisos de los seis puntos del Acuerdo</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58966E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Procesamiento constante de la información recolectada durante 18 meses</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33E839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04BFEF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6E8231C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3ACCBC78"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2841D63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0C4B8A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Discusión de los equipos de ambas organizaciones, sobre el contenido de las memorias de cada punto del Acuerdo</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5EBC37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Reuniones bimenstrales entre ambas organizaciones para discutir el contenido de las Grandes Memorias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0B78BC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Formatos de realización y asistencia de los equipos de CERAC y CINEP a reuniones de discusión sobre el contenido de las Grandes Memorias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6C7AD9F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 solicitar cada dos meses los formatos de asistencia a las organizaciones que conforman la Secretaría Técnica</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40092B3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76E981D9"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5B67245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EEA8BF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Escritura y edición de las memorias de cada punto del Acuerdo, por parte de la </w:t>
            </w:r>
            <w:r w:rsidRPr="002631FE">
              <w:rPr>
                <w:rFonts w:ascii="Calibri" w:eastAsia="Times New Roman" w:hAnsi="Calibri"/>
                <w:sz w:val="18"/>
                <w:szCs w:val="18"/>
              </w:rPr>
              <w:lastRenderedPageBreak/>
              <w:t>entidad que tenga responsabilidad primaria (ver tabla de responsabilidades)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707E1C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lastRenderedPageBreak/>
              <w:t xml:space="preserve">Escritura y edición de las Grandes Memorias. Cada organización realizará la </w:t>
            </w:r>
            <w:r w:rsidRPr="002631FE">
              <w:rPr>
                <w:rFonts w:ascii="Calibri" w:eastAsia="Times New Roman" w:hAnsi="Calibri"/>
                <w:sz w:val="18"/>
                <w:szCs w:val="18"/>
              </w:rPr>
              <w:lastRenderedPageBreak/>
              <w:t>memoria de los puntos del Acuerdo en el que es responsable primario</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746CD2A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lastRenderedPageBreak/>
              <w:t xml:space="preserve">Ceritficado semestral, por parte de Felipe González y/o José Mujica, sobre la </w:t>
            </w:r>
            <w:r w:rsidRPr="002631FE">
              <w:rPr>
                <w:rFonts w:ascii="Calibri" w:eastAsia="Times New Roman" w:hAnsi="Calibri"/>
                <w:sz w:val="18"/>
                <w:szCs w:val="18"/>
              </w:rPr>
              <w:lastRenderedPageBreak/>
              <w:t>recepción y suficiencia de contenido de las Grandes Memorias . En caso de que los Notables o Verificadores, hagan público la Gran Memoria, este documento será el medio de verificación.</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DDB12B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lastRenderedPageBreak/>
              <w:t xml:space="preserve">Se podrá solicitar el certificado de recepción a las organizaciones que conforman </w:t>
            </w:r>
            <w:r w:rsidRPr="002631FE">
              <w:rPr>
                <w:rFonts w:ascii="Calibri" w:eastAsia="Times New Roman" w:hAnsi="Calibri"/>
                <w:sz w:val="18"/>
                <w:szCs w:val="18"/>
              </w:rPr>
              <w:lastRenderedPageBreak/>
              <w:t>la Secretaría Técnica, sin embargo, en los casos en los que los Notables autoricen que se haga pública la Gran Memoria, este documento podrá ser consultado a través del medio por el que se publique</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8699E4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377D7179"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7727584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B7315D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Revisión y comentarios a las memorias escritas, por parte de la entidad que tiene responsabilidades secundarias (ver tablas de responsabilidades)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919451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Revisión del contenido de las Grandes Memorias. Cada organización realizará la revisión de las memorias en las que tiene responsabilidad secundaria</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697CBD2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172532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49ED811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7EDBB50E"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6276F1F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82C933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Envío de la gran memoria a los Notables o Verificadores internacionales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118E86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Envío de las Grandes Memorias a los Notables y a los verificadores internacionales </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39839B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1EBF9B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4D7336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2368B0A4"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4DBDD49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691A47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Reunión de discusión con los Verificadores Internacionales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C5F032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Reuniones, de acuerdo con la disponibilidad de los Notables o Verificadores, para discutir las Grandes Memorias entregadas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408E98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Registro de llamadas, video conferencias o formato de asistencia a reuniones entre los Notables y la Secretaría</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64F3AB4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podrán solicitar los registros de llamadas, video conferencias o los formatos de asistencia a las dos organizaciones que conforman la Secretaría Técnica</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2FE5DF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01FAF5A0" w14:textId="77777777" w:rsidTr="002631FE">
        <w:trPr>
          <w:trHeight w:val="504"/>
        </w:trPr>
        <w:tc>
          <w:tcPr>
            <w:tcW w:w="0" w:type="auto"/>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024D55A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b/>
                <w:bCs/>
                <w:sz w:val="18"/>
                <w:szCs w:val="18"/>
              </w:rPr>
            </w:pPr>
            <w:r w:rsidRPr="002631FE">
              <w:rPr>
                <w:rFonts w:ascii="Calibri" w:eastAsia="Times New Roman" w:hAnsi="Calibri"/>
                <w:b/>
                <w:bCs/>
                <w:sz w:val="18"/>
                <w:szCs w:val="18"/>
              </w:rPr>
              <w:t>PRODUCTO 1.2</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6BDAB0F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Actualizaciones (una actualización mensual). Incluyen la identificación y comprobación de los avances en la implementación de los 6 puntos del acuerdo, con referencia específica a los enfoques transversales (étnico, género y territorial).</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FC4E04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Al finalizar el proyecto se habrá entregado 18 actualizaciones a los Notables o Verificadores Internacionales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7EDC289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Certificado semestral, por parte de Felipe González y/o José Mujica, sobre la recepción y suficiencia de contenido de los reportes de actualización. En caso de que los Notables o Verificadores, hagan público los reportes de actualización, estos documentos serán el medio de verificación.</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5F0E99F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 solicitar el certificado de recepción a las organizaciones que conforman la Secretaría Técnica, sin embargo, en los casos en los que los Notables autoricen que se haga público los reportes de actualización, este documento podrá ser consultado a través del medio por el que se publique</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4E35D36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20CF0B53" w14:textId="77777777" w:rsidTr="002631FE">
        <w:trPr>
          <w:trHeight w:val="504"/>
        </w:trPr>
        <w:tc>
          <w:tcPr>
            <w:tcW w:w="0" w:type="auto"/>
            <w:vMerge w:val="restart"/>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13ADB63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b/>
                <w:bCs/>
                <w:sz w:val="18"/>
                <w:szCs w:val="18"/>
              </w:rPr>
            </w:pPr>
            <w:r w:rsidRPr="002631FE">
              <w:rPr>
                <w:rFonts w:ascii="Calibri" w:eastAsia="Times New Roman" w:hAnsi="Calibri"/>
                <w:b/>
                <w:bCs/>
                <w:sz w:val="18"/>
                <w:szCs w:val="18"/>
              </w:rPr>
              <w:t xml:space="preserve">ACTIVIDADES </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A354E6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Recolección de información en las fuentes establecidas en la </w:t>
            </w:r>
            <w:r w:rsidRPr="002631FE">
              <w:rPr>
                <w:rFonts w:ascii="Calibri" w:eastAsia="Times New Roman" w:hAnsi="Calibri"/>
                <w:sz w:val="18"/>
                <w:szCs w:val="18"/>
              </w:rPr>
              <w:lastRenderedPageBreak/>
              <w:t>metodología, sobre los compromisos de los seis puntos del Acuerdo</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A0E9DA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lastRenderedPageBreak/>
              <w:t xml:space="preserve">Recolección de información constante </w:t>
            </w:r>
            <w:r w:rsidRPr="002631FE">
              <w:rPr>
                <w:rFonts w:ascii="Calibri" w:eastAsia="Times New Roman" w:hAnsi="Calibri"/>
                <w:sz w:val="18"/>
                <w:szCs w:val="18"/>
              </w:rPr>
              <w:lastRenderedPageBreak/>
              <w:t>sobre la implementación de los seis puntos del acuerdo, en las fuentes establecidas en la metodología durante 18 meses</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5DC2619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lastRenderedPageBreak/>
              <w:t xml:space="preserve">Certificado semestral, por parte de Felipe González y/o </w:t>
            </w:r>
            <w:r w:rsidRPr="002631FE">
              <w:rPr>
                <w:rFonts w:ascii="Calibri" w:eastAsia="Times New Roman" w:hAnsi="Calibri"/>
                <w:sz w:val="18"/>
                <w:szCs w:val="18"/>
              </w:rPr>
              <w:lastRenderedPageBreak/>
              <w:t>José Mujica, sobre la recepción y suficiencia de contenido de las Grandes Memorias . En caso de que los Notables o Verificadores, hagan público la Gran Memoria, este documento será el medio de verificación.</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5269C8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lastRenderedPageBreak/>
              <w:t xml:space="preserve">Se podrá solicitar el certificado de recepción a las </w:t>
            </w:r>
            <w:r w:rsidRPr="002631FE">
              <w:rPr>
                <w:rFonts w:ascii="Calibri" w:eastAsia="Times New Roman" w:hAnsi="Calibri"/>
                <w:sz w:val="18"/>
                <w:szCs w:val="18"/>
              </w:rPr>
              <w:lastRenderedPageBreak/>
              <w:t>organizaciones que conforman la Secretaría Técnica, sin embargo, en los casos en los que los Notables autoricen que se haga público los</w:t>
            </w:r>
            <w:r>
              <w:rPr>
                <w:rFonts w:ascii="Calibri" w:eastAsia="Times New Roman" w:hAnsi="Calibri"/>
                <w:sz w:val="18"/>
                <w:szCs w:val="18"/>
              </w:rPr>
              <w:t xml:space="preserve"> </w:t>
            </w:r>
            <w:r w:rsidRPr="002631FE">
              <w:rPr>
                <w:rFonts w:ascii="Calibri" w:eastAsia="Times New Roman" w:hAnsi="Calibri"/>
                <w:sz w:val="18"/>
                <w:szCs w:val="18"/>
              </w:rPr>
              <w:t>reportes de actualización, este documento podrá ser consultado a través del medio por el que se publique</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54E884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4F4A2C57"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41F2287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207821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Procesamiento de la información recolectada en las fuentes de información sobre los compromisos de los seis puntos del Acuerdo</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7515DDC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Procesamiento constante de la información recolectada durante 18 meses</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62E9209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493110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8FFFAE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1B847707"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6B93E21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354859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Discusión de los equipos de ambas organizaciones, sobre el contenido de los reportes de actualización</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7C94A1A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realizarán de manera quincenal discusiones entre ambas organizaciones para discutir el contenido de los reportes de actualización</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6D097FC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Formatos de realización y asistencia de los equipos de CERAC y CINEP a reuniones de discusión sobre el contenido de los reportes de actualización</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078749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 solicitar quincenalmente los formatos de asistencia a las organizaciones que conforman la Secretaría Técnica</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481CFF8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5DB127C8"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43D700D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A48F66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Escritura y edición de los reportes de actualización, la entidad que tenga responsabilidad primaria escribirá y editará las secciones correspondientes a sus puntos del Acuerdo (ver tabla de responsabilidades)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C21984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Escritura y edición de los reportes de actualización. Cada organización realizará la actualización de los puntos del acuerdo en el que es responsable primario</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FDB7A8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Ceritficado semestral, por parte de Felipe González y/o José Mujica, sobre la recepción y suficiencia de contenido de las Grandes Memorias . En caso de que los Notables o Verificadores, hagan público la Gran Memoria, este documento será el medio de verificación.</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61F7DF8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 solicitar el certificado de recepción a las organizaciones que conforman la Secretaría Técnica, sin embargo, en los casos en los que los Notables autoricen que se haga público los</w:t>
            </w:r>
            <w:r>
              <w:rPr>
                <w:rFonts w:ascii="Calibri" w:eastAsia="Times New Roman" w:hAnsi="Calibri"/>
                <w:sz w:val="18"/>
                <w:szCs w:val="18"/>
              </w:rPr>
              <w:t xml:space="preserve"> </w:t>
            </w:r>
            <w:r w:rsidRPr="002631FE">
              <w:rPr>
                <w:rFonts w:ascii="Calibri" w:eastAsia="Times New Roman" w:hAnsi="Calibri"/>
                <w:sz w:val="18"/>
                <w:szCs w:val="18"/>
              </w:rPr>
              <w:t>reportes de actualización, este documento podrá ser consultado a través del medio por el que se publique</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D48675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54FB811C"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704FFFE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818BEA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Revisión y comentarios a los reportes escritos, por parte de la entidad que tiene responsabilidades secundarias (ver tablas de responsabilidades)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7857953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Revisión del contenido de los reportes de actualización. Cada organización realizará la revisión de las actualizaciones de los puntos del acuerdo los </w:t>
            </w:r>
            <w:r w:rsidRPr="002631FE">
              <w:rPr>
                <w:rFonts w:ascii="Calibri" w:eastAsia="Times New Roman" w:hAnsi="Calibri"/>
                <w:sz w:val="18"/>
                <w:szCs w:val="18"/>
              </w:rPr>
              <w:lastRenderedPageBreak/>
              <w:t>que tiene responsabilidad secundaria</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3052D4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08A81C2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44BA4B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23776CDB"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4F94ED9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F6B41E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Envío de los reportes de actualización a los Notables o Verificadores internacionales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70CAF28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Envío de los reportes de actualización a los Notables y a los verificadores internacionales </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4C83D0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00DA10B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48C0B1F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2B4B3FB8" w14:textId="77777777" w:rsidTr="002631FE">
        <w:trPr>
          <w:trHeight w:val="504"/>
        </w:trPr>
        <w:tc>
          <w:tcPr>
            <w:tcW w:w="0" w:type="auto"/>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3797C7A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b/>
                <w:bCs/>
                <w:sz w:val="18"/>
                <w:szCs w:val="18"/>
              </w:rPr>
            </w:pPr>
            <w:r w:rsidRPr="002631FE">
              <w:rPr>
                <w:rFonts w:ascii="Calibri" w:eastAsia="Times New Roman" w:hAnsi="Calibri"/>
                <w:b/>
                <w:bCs/>
                <w:sz w:val="18"/>
                <w:szCs w:val="18"/>
              </w:rPr>
              <w:t>PRODUCTO 1.3</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54D23C8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Reportes de controversias, más los reportes que sean solicitados por los Notables. Incluyen recomendaciones de solución a las controversias identificadas en el proceso de implementación de los seis puntos del acuerdo y las relacionadas con los enfoques diferenciales. </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06A285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Al finalizar el proyecto se habrán entregado reportes de controversias que cubran todas las controversias identificadas en el proceso de implementación</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3999A9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Certificado semestral, por parte de Felipe González y/o José Mujica, sobre la recepción y suficiencia de contenido de los reportes de controversia. En caso de que los Notables o Verificadores, hagan público el reporte de controversia, este documento será el medio de verificación.</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56CD8E8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 solicitar el certificado de recepción a las organizaciones que conforman la Secretaría Técnica, sin embargo, en los casos en los que los Notables autoricen que se haga público el reporte de controversia, este documento podrá ser consultado a través del medio por el que se publique</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6E1461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4398E61D" w14:textId="77777777" w:rsidTr="002631FE">
        <w:trPr>
          <w:trHeight w:val="504"/>
        </w:trPr>
        <w:tc>
          <w:tcPr>
            <w:tcW w:w="0" w:type="auto"/>
            <w:vMerge w:val="restart"/>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00D83B6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b/>
                <w:bCs/>
                <w:sz w:val="18"/>
                <w:szCs w:val="18"/>
              </w:rPr>
            </w:pPr>
            <w:r w:rsidRPr="002631FE">
              <w:rPr>
                <w:rFonts w:ascii="Calibri" w:eastAsia="Times New Roman" w:hAnsi="Calibri"/>
                <w:b/>
                <w:bCs/>
                <w:sz w:val="18"/>
                <w:szCs w:val="18"/>
              </w:rPr>
              <w:t xml:space="preserve">ACTIVIDADES </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26AC14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Recopilación de información en fuentes establecidas, sobre las controversias que surjan en el proceso de implementación de los compromisos de los seis puntos del Acuerdo</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548637E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Recolección de información constante sobre la implementación de los seis puntos del acuerdo, en las fuentes establecidas en la metodología durante 18 meses</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C1BA69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Certificado semestral, por parte de Felipe González y/o José Mujica, sobre la recepción y suficiencia de contenido de los reportes de controversia. En caso de que los Notables o Verificadores, hagan público el reporte de controversia, este documento será el medio de verificación.</w:t>
            </w:r>
          </w:p>
        </w:tc>
        <w:tc>
          <w:tcPr>
            <w:tcW w:w="0" w:type="auto"/>
            <w:vMerge w:val="restart"/>
            <w:tcBorders>
              <w:top w:val="single" w:sz="12" w:space="0" w:color="CCCCCC"/>
              <w:left w:val="single" w:sz="12" w:space="0" w:color="CCCCCC"/>
              <w:bottom w:val="single" w:sz="12" w:space="0" w:color="CCCCCC"/>
              <w:right w:val="single" w:sz="12" w:space="0" w:color="000000"/>
            </w:tcBorders>
            <w:shd w:val="clear" w:color="auto" w:fill="FFFFFF"/>
            <w:tcMar>
              <w:top w:w="48" w:type="dxa"/>
              <w:left w:w="72" w:type="dxa"/>
              <w:bottom w:w="48" w:type="dxa"/>
              <w:right w:w="72" w:type="dxa"/>
            </w:tcMar>
            <w:hideMark/>
          </w:tcPr>
          <w:p w14:paraId="0BD1EDC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 solicitar el certificado de recepción a las organizaciones que conforman la Secretaría Técnica, sin embargo, en los casos en los que los Notables autoricen que se haga público el reporte de controversia, este documento podrá ser consultado a través del medio por el que se publique</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0F9AE03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178E1E85"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5BC0C69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D8F89D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Identificación de controversias a partir de la información recolectada en las fuentes establecidas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56A6CD2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Identificación de las controversias a partir de la información recopilada </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819FE4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CCCCCC"/>
              <w:right w:val="single" w:sz="12" w:space="0" w:color="000000"/>
            </w:tcBorders>
            <w:vAlign w:val="center"/>
            <w:hideMark/>
          </w:tcPr>
          <w:p w14:paraId="783DD0B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67C3F1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4E4A8AFC"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423585D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A5C8BC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Discusión de los equipos de ambas organizaciones sobre el </w:t>
            </w:r>
            <w:r w:rsidRPr="002631FE">
              <w:rPr>
                <w:rFonts w:ascii="Calibri" w:eastAsia="Times New Roman" w:hAnsi="Calibri"/>
                <w:sz w:val="18"/>
                <w:szCs w:val="18"/>
              </w:rPr>
              <w:lastRenderedPageBreak/>
              <w:t>contenido y el análisis de los reportes de controversia</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6B6B491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lastRenderedPageBreak/>
              <w:t xml:space="preserve">Se realizarán, cada vez que se identifique la necesidad de realizar un </w:t>
            </w:r>
            <w:r w:rsidRPr="002631FE">
              <w:rPr>
                <w:rFonts w:ascii="Calibri" w:eastAsia="Times New Roman" w:hAnsi="Calibri"/>
                <w:sz w:val="18"/>
                <w:szCs w:val="18"/>
              </w:rPr>
              <w:lastRenderedPageBreak/>
              <w:t>reporte de controversia, discusiones entre ambas organizaciones para discutir el contenido de dicho reporte</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DE0554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lastRenderedPageBreak/>
              <w:t xml:space="preserve">Formatos de realización y asistencia de los equipos de CERAC y CINEP a reuniones de </w:t>
            </w:r>
            <w:r w:rsidRPr="002631FE">
              <w:rPr>
                <w:rFonts w:ascii="Calibri" w:eastAsia="Times New Roman" w:hAnsi="Calibri"/>
                <w:sz w:val="18"/>
                <w:szCs w:val="18"/>
              </w:rPr>
              <w:lastRenderedPageBreak/>
              <w:t>discusión sobre el contenido de los reportes de controversias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7234F8F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lastRenderedPageBreak/>
              <w:t xml:space="preserve">Se podrá solicitar los formatos de asistencia a las </w:t>
            </w:r>
            <w:r w:rsidRPr="002631FE">
              <w:rPr>
                <w:rFonts w:ascii="Calibri" w:eastAsia="Times New Roman" w:hAnsi="Calibri"/>
                <w:sz w:val="18"/>
                <w:szCs w:val="18"/>
              </w:rPr>
              <w:lastRenderedPageBreak/>
              <w:t>organizaciones que conforman la Secretaría Técnica</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540B41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47888754"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1CC2C64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773D7EB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Escritura y edición de los reportes de actualización, la entidad que tenga responsabilidad primaria escribirá y editará las controversias identificadas en los puntos del Acuerdo correspondientes (ver tabla de responsabilidades)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D33F68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Escritura y edición de los reportes de controversia. Cada organización realizará el reporte de los puntos del acuerdo en el que es responsable primario</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D86234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Certificado semestral, por parte de Felipe González y/o José Mujica, sobre la recepción y suficiencia de contenido de los reportes de controversia. En caso de que los Notables o Verificadores, hagan público el reporte de controversia, este documento será el medio de verificación.</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E03A95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 solicitar el certificado de recepción a las organizaciones que conforman la Secretaría Técnica, sin embargo, en los casos en los que los Notables autoricen que se haga público el reporte de controversia, este documento podrá ser consultado a través del medio por el que se publique</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D844CF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5EC45FFD"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5BBC69D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663481F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Revisión y comentarios a los reportes escritos, por parte de la entidad que tiene responsabilidades secundarias (ver tablas de responsabilidades)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76BCBE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Revisión del contenido de los reportes de controversia. Cada organización realizará la revisión del los reportes que estén relaciona</w:t>
            </w:r>
            <w:r>
              <w:rPr>
                <w:rFonts w:ascii="Calibri" w:eastAsia="Times New Roman" w:hAnsi="Calibri"/>
                <w:sz w:val="18"/>
                <w:szCs w:val="18"/>
              </w:rPr>
              <w:t>d</w:t>
            </w:r>
            <w:r w:rsidRPr="002631FE">
              <w:rPr>
                <w:rFonts w:ascii="Calibri" w:eastAsia="Times New Roman" w:hAnsi="Calibri"/>
                <w:sz w:val="18"/>
                <w:szCs w:val="18"/>
              </w:rPr>
              <w:t>o</w:t>
            </w:r>
            <w:r>
              <w:rPr>
                <w:rFonts w:ascii="Calibri" w:eastAsia="Times New Roman" w:hAnsi="Calibri"/>
                <w:sz w:val="18"/>
                <w:szCs w:val="18"/>
              </w:rPr>
              <w:t>s</w:t>
            </w:r>
            <w:r w:rsidRPr="002631FE">
              <w:rPr>
                <w:rFonts w:ascii="Calibri" w:eastAsia="Times New Roman" w:hAnsi="Calibri"/>
                <w:sz w:val="18"/>
                <w:szCs w:val="18"/>
              </w:rPr>
              <w:t xml:space="preserve"> con los puntos del acuerdo los que tiene responsabilidad secundaria</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4D7A6CE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6CB1C4A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AD1D42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08070601"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2EA350F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A64F3D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Envío del reporte de controversia a los Notables o Verificadores internacionales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DEB1AC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Envío de los reportes de controversia a los Notables y a los verificadores internacionales </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F6E38E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228ABBA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F4D000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42705EFF" w14:textId="77777777" w:rsidTr="002631FE">
        <w:trPr>
          <w:trHeight w:val="3840"/>
        </w:trPr>
        <w:tc>
          <w:tcPr>
            <w:tcW w:w="0" w:type="auto"/>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107E18B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b/>
                <w:bCs/>
                <w:sz w:val="18"/>
                <w:szCs w:val="18"/>
              </w:rPr>
            </w:pPr>
            <w:r w:rsidRPr="002631FE">
              <w:rPr>
                <w:rFonts w:ascii="Calibri" w:eastAsia="Times New Roman" w:hAnsi="Calibri"/>
                <w:b/>
                <w:bCs/>
                <w:sz w:val="18"/>
                <w:szCs w:val="18"/>
              </w:rPr>
              <w:lastRenderedPageBreak/>
              <w:t>PRODUCTO 1.4</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508657A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Pronunciamientos de los Notables o Verificadores Internacionales, más los pronunciamientos que sean solicitados por los notables. Incluyen información sobre los avances del proceso de implementación de los seis puntos del Acuerdo y avances de implementación en materia de los enfoques diferenciales. </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CDE811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Se enviarán al menos 9 pronunciamientos a los Notables y a los verificadores internacionales </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F0AD86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Certificado semestral, por parte de Felipe González y/o José Mujica, sobre la recepción y suficiencia de contenido de los pronunciamientos. En caso de que los Notables o Verificadores, hagan público el pronunciamiento, este documento será el medio de verificación.</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E1D804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Se podrá solicitar el certificado de recepción a las organizaciones que conforman la Secretaría Técnica, sin embargo, también podrán consultarse notas de prensa que reseñen el pronunciamiento público de los Notables </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CCDE8F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41C8D9B9" w14:textId="77777777" w:rsidTr="002631FE">
        <w:trPr>
          <w:trHeight w:val="504"/>
        </w:trPr>
        <w:tc>
          <w:tcPr>
            <w:tcW w:w="0" w:type="auto"/>
            <w:vMerge w:val="restart"/>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6BF926B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b/>
                <w:bCs/>
                <w:sz w:val="18"/>
                <w:szCs w:val="18"/>
              </w:rPr>
            </w:pPr>
            <w:r w:rsidRPr="002631FE">
              <w:rPr>
                <w:rFonts w:ascii="Calibri" w:eastAsia="Times New Roman" w:hAnsi="Calibri"/>
                <w:b/>
                <w:bCs/>
                <w:sz w:val="18"/>
                <w:szCs w:val="18"/>
              </w:rPr>
              <w:t xml:space="preserve">ACTIVIDADES </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5050132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Discusión de los equipos de ambas organizaciones sobre el contenido de los pronunciamientos públicos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AFB87A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realizarán, al menos cada dos meses, discusiones entre ambas organizaciones para discutir el contenido del pronunciamiento</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E8ED16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Formatos de realización y asistencia de los equipos de CERAC y CINEP a reuniones de discusión sobre el contenido de los pronunciamientos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80432D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 solicitar los formatos de asistencia a las organizaciones que conforman la Secretaría Técnica</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41E199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2A500531"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515571A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55F5557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Redacción de los pronunciamientos públicos que realizarán los Verificadores Internacionales o Notables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FDD0C4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Redacción conjunta de los pronunciamientos de los Notables</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E2DBDC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Certificado semestral, por parte de Felipe González y/o José Mujica, sobre la recepción y suficiencia de contenido de los pronunciamientos. En caso de que los Notables o Verificadores, hagan público el pronunciamiento, este documento será el medio de verificación. </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5BD6C3B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Se podrá solicitar el certificado de recepción a las organizaciones que conforman la Secretaría Técnica, sin embargo, también podrán consultarse notas de prensa que reseñen el pronunciamiento público de los Notables </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91F8C2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2227A464" w14:textId="77777777" w:rsidTr="002631FE">
        <w:trPr>
          <w:trHeight w:val="134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5AE3E08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732A3A1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Envío del pronunciamiento a los Notables o Verificadores internacionales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6037F6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Envío pronunciamientos a los Notables o Verificadores internacionales. </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F3ADCB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031697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12A6C03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44A73024"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65DA579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45EE55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Reunión de discusión con los Verificadores Internacionales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79212C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Reuniones , de acuerdo con la disponibilidad de los Notables o Verificadores, para discutir el contenido del pronunciamiento</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9E6342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Registro de llamadas, video conferencias o formato de asistencia a reuniones entre los Notables y la Secretaría Técnica </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1F6BA54B"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podrán solicitar los registros de llamadas, video conferencias o los formatos de asistencia a las dos organizaciones que conforman la Secretaría Técnica</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FB1020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5A8974CA" w14:textId="77777777" w:rsidTr="002631FE">
        <w:trPr>
          <w:trHeight w:val="504"/>
        </w:trPr>
        <w:tc>
          <w:tcPr>
            <w:tcW w:w="0" w:type="auto"/>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5CEEA31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b/>
                <w:bCs/>
                <w:sz w:val="18"/>
                <w:szCs w:val="18"/>
              </w:rPr>
            </w:pPr>
            <w:r w:rsidRPr="002631FE">
              <w:rPr>
                <w:rFonts w:ascii="Calibri" w:eastAsia="Times New Roman" w:hAnsi="Calibri"/>
                <w:b/>
                <w:bCs/>
                <w:sz w:val="18"/>
                <w:szCs w:val="18"/>
              </w:rPr>
              <w:t>PRODUCTO 1.5</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9F3137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Reportes sobre el estado de implementación del enfoque de género</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D3F07A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Al finalizar el proyecto se habrá entregado 3 reportes sobre el estado de implementación del enfoque de género</w:t>
            </w:r>
          </w:p>
        </w:tc>
        <w:tc>
          <w:tcPr>
            <w:tcW w:w="0" w:type="auto"/>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4615BE2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Certificado semestral por parte de los Notables sobre la recepción y suficiencia de contenido de los reportes que prepare la Secretaría Técnica. En caso de que los Notables o Verificadores, hagan público estos reportes, éstos documentos serán el medio de verificación.</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B2CBD4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 solicitar el certificado de recepción a las organizaciones que conforman la Secretaría Técnica, sin embargo, en los casos en los que los Notables autoricen que se haga público el reporte sobre el estado de implementación del enfoque de género, este documento podrá ser consultado a través del medio por el que se publique</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0E652D5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19E546EF" w14:textId="77777777" w:rsidTr="002631FE">
        <w:trPr>
          <w:trHeight w:val="504"/>
        </w:trPr>
        <w:tc>
          <w:tcPr>
            <w:tcW w:w="0" w:type="auto"/>
            <w:vMerge w:val="restart"/>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14:paraId="665251D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b/>
                <w:bCs/>
                <w:sz w:val="18"/>
                <w:szCs w:val="18"/>
              </w:rPr>
            </w:pPr>
            <w:r w:rsidRPr="002631FE">
              <w:rPr>
                <w:rFonts w:ascii="Calibri" w:eastAsia="Times New Roman" w:hAnsi="Calibri"/>
                <w:b/>
                <w:bCs/>
                <w:sz w:val="18"/>
                <w:szCs w:val="18"/>
              </w:rPr>
              <w:t>ACTIVIDADES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7F1A3A2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Recolección de información en las fuentes establecidas en la metodología, sobre la implementación del enfoque de género.</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C36124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Recolección de información constante sobre la implementación del enfoque de género, en las fuentes establecidas en la metodología durante 18 meses </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31692B4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Certificado semestral por parte de los Notables sobre la recepción y suficiencia de contenido de los reportes que prepare la Secretaría Técnica. En caso de que los Notables o Verificadores, hagan público estos reportes, éstos documentos serán el medio de verificación.</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AAD2C3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 solicitar el certificado de recepción a las organizaciones que conforman la Secretaría Técnica, sin embargo, en los casos en los que los Notables autoricen que se haga público el reporte sobre el estado de implementación del enfoque de género, este documento podrá ser consultado a través del medio por el que se publique</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085038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2E653E22"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0BDF001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5132DDA"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Procesamiento de la información recolectada en las fuentes de información.</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BD2C03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Procesamiento constante de la información recolectada durante 18 meses</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6F24C469"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708FE674"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B88E926"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6F66839E" w14:textId="77777777" w:rsidTr="002631FE">
        <w:trPr>
          <w:trHeight w:val="50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7D0D645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05CF03B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Discusión de los equipos de ambas organizaciones, sobre el contenido de los reportes.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71CF7B65"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Reuniones entre ambas organizaciones cada dos meses para discutir el contenido de los reportes del estado de implementación del enfoque de género</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3FBDB6B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Formatos de realización y asistencia de los equipos de CERAC y CINEP a reuniones de discusión sobre el contenido de los reportes sobre el estado de implementación del enfoque de género.</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6C169ECE"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 solicitar los formatos de asistencia a las organizaciones que conforman la Secretaría Técnica</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AD7445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13CF6B45" w14:textId="77777777" w:rsidTr="002631FE">
        <w:trPr>
          <w:trHeight w:val="768"/>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4AD42A73"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86D66E7"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Redacción de los reportes.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28117FB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Escritura y edición de los reportes sobre el estado de implementación del enfoque de género</w:t>
            </w:r>
          </w:p>
        </w:tc>
        <w:tc>
          <w:tcPr>
            <w:tcW w:w="0" w:type="auto"/>
            <w:vMerge w:val="restart"/>
            <w:tcBorders>
              <w:top w:val="single" w:sz="12" w:space="0" w:color="CCCCCC"/>
              <w:left w:val="single" w:sz="12" w:space="0" w:color="CCCCCC"/>
              <w:bottom w:val="single" w:sz="12" w:space="0" w:color="000000"/>
              <w:right w:val="single" w:sz="12" w:space="0" w:color="000000"/>
            </w:tcBorders>
            <w:shd w:val="clear" w:color="auto" w:fill="FFFFFF"/>
            <w:tcMar>
              <w:top w:w="48" w:type="dxa"/>
              <w:left w:w="72" w:type="dxa"/>
              <w:bottom w:w="48" w:type="dxa"/>
              <w:right w:w="72" w:type="dxa"/>
            </w:tcMar>
            <w:hideMark/>
          </w:tcPr>
          <w:p w14:paraId="425C5FA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Certificado semestral por parte de los Notables sobre la recepción y suficiencia de contenido de los reportes que prepare la Secretaría Técnica. En caso de que los Notables o Verificadores, hagan público estos reportes, éstos documentos serán el medio de verificación.</w:t>
            </w:r>
          </w:p>
        </w:tc>
        <w:tc>
          <w:tcPr>
            <w:tcW w:w="0" w:type="auto"/>
            <w:vMerge w:val="restart"/>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6CCD4B0C"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Se podrá solicitar el certificado de recepción a las organizaciones que conforman la Secretaría Técnica, sin embargo, en los casos en los que los Notables autoricen que se haga público el reporte sobre el estado de implementación del enfoque de género, este documento podrá ser consultado a través del medio por el que se publique</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1AC507F8"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r w:rsidR="002631FE" w:rsidRPr="002631FE" w14:paraId="346D209D" w14:textId="77777777" w:rsidTr="002631FE">
        <w:trPr>
          <w:trHeight w:val="2424"/>
        </w:trPr>
        <w:tc>
          <w:tcPr>
            <w:tcW w:w="0" w:type="auto"/>
            <w:vMerge/>
            <w:tcBorders>
              <w:top w:val="single" w:sz="12" w:space="0" w:color="CCCCCC"/>
              <w:left w:val="single" w:sz="12" w:space="0" w:color="000000"/>
              <w:bottom w:val="single" w:sz="12" w:space="0" w:color="000000"/>
              <w:right w:val="single" w:sz="12" w:space="0" w:color="000000"/>
            </w:tcBorders>
            <w:vAlign w:val="center"/>
            <w:hideMark/>
          </w:tcPr>
          <w:p w14:paraId="1752F60F"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b/>
                <w:bCs/>
                <w:sz w:val="18"/>
                <w:szCs w:val="18"/>
              </w:rPr>
            </w:pP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64B65592"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Envío de los reportes del estado de implementación del enfoque de género a los Notables o Verificadores internacionales.</w:t>
            </w:r>
          </w:p>
        </w:tc>
        <w:tc>
          <w:tcPr>
            <w:tcW w:w="0" w:type="auto"/>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14:paraId="41FD9DC0"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r w:rsidRPr="002631FE">
              <w:rPr>
                <w:rFonts w:ascii="Calibri" w:eastAsia="Times New Roman" w:hAnsi="Calibri"/>
                <w:sz w:val="18"/>
                <w:szCs w:val="18"/>
              </w:rPr>
              <w:t xml:space="preserve">Envío de reportes sobre el estado de implementación del enfoque de género a los Notables o Verificadores internacionales. </w:t>
            </w: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3999B52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58C864CD"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c>
          <w:tcPr>
            <w:tcW w:w="0" w:type="auto"/>
            <w:vMerge/>
            <w:tcBorders>
              <w:top w:val="single" w:sz="12" w:space="0" w:color="CCCCCC"/>
              <w:left w:val="single" w:sz="12" w:space="0" w:color="CCCCCC"/>
              <w:bottom w:val="single" w:sz="12" w:space="0" w:color="000000"/>
              <w:right w:val="single" w:sz="12" w:space="0" w:color="000000"/>
            </w:tcBorders>
            <w:vAlign w:val="center"/>
            <w:hideMark/>
          </w:tcPr>
          <w:p w14:paraId="1ACFE411" w14:textId="77777777" w:rsidR="002631FE" w:rsidRPr="002631FE" w:rsidRDefault="002631FE" w:rsidP="002631FE">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sz w:val="18"/>
                <w:szCs w:val="18"/>
              </w:rPr>
            </w:pPr>
          </w:p>
        </w:tc>
      </w:tr>
    </w:tbl>
    <w:p w14:paraId="598908F7" w14:textId="77777777" w:rsidR="002631FE" w:rsidRDefault="002631FE">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rPr>
      </w:pPr>
    </w:p>
    <w:p w14:paraId="7929D514" w14:textId="77777777" w:rsidR="00642D63" w:rsidRDefault="00642D63">
      <w:pPr>
        <w:pStyle w:val="Normal1"/>
        <w:jc w:val="both"/>
        <w:rPr>
          <w:rFonts w:ascii="Calibri" w:eastAsia="Calibri" w:hAnsi="Calibri" w:cs="Calibri"/>
          <w:b/>
        </w:rPr>
      </w:pPr>
    </w:p>
    <w:p w14:paraId="54E048F1" w14:textId="77777777" w:rsidR="00642D63" w:rsidRDefault="00642D63">
      <w:pPr>
        <w:pStyle w:val="Normal1"/>
        <w:pBdr>
          <w:top w:val="none" w:sz="0" w:space="0" w:color="000000"/>
          <w:left w:val="none" w:sz="0" w:space="0" w:color="000000"/>
          <w:bottom w:val="none" w:sz="0" w:space="0" w:color="000000"/>
          <w:right w:val="none" w:sz="0" w:space="0" w:color="000000"/>
          <w:between w:val="none" w:sz="0" w:space="0" w:color="000000"/>
        </w:pBdr>
        <w:spacing w:after="200"/>
        <w:jc w:val="both"/>
        <w:rPr>
          <w:rFonts w:ascii="Calibri" w:eastAsia="Calibri" w:hAnsi="Calibri" w:cs="Calibri"/>
          <w:b/>
        </w:rPr>
      </w:pPr>
      <w:bookmarkStart w:id="2" w:name="_GoBack"/>
      <w:bookmarkEnd w:id="2"/>
    </w:p>
    <w:sectPr w:rsidR="00642D63" w:rsidSect="002631FE">
      <w:pgSz w:w="15840" w:h="12240" w:orient="landscape"/>
      <w:pgMar w:top="1417" w:right="1700" w:bottom="1417" w:left="170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29BDB" w14:textId="77777777" w:rsidR="00FB1624" w:rsidRDefault="00FB1624" w:rsidP="00642D63">
      <w:pPr>
        <w:spacing w:line="240" w:lineRule="auto"/>
      </w:pPr>
      <w:r>
        <w:separator/>
      </w:r>
    </w:p>
  </w:endnote>
  <w:endnote w:type="continuationSeparator" w:id="0">
    <w:p w14:paraId="5A1C1A3F" w14:textId="77777777" w:rsidR="00FB1624" w:rsidRDefault="00FB1624" w:rsidP="00642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6BE6" w14:textId="77777777" w:rsidR="00FB1624" w:rsidRDefault="00FB1624">
    <w:pPr>
      <w:pStyle w:val="Normal1"/>
      <w:tabs>
        <w:tab w:val="center" w:pos="4419"/>
        <w:tab w:val="right" w:pos="8838"/>
      </w:tabs>
      <w:spacing w:after="1429"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5827" w14:textId="14F1E405" w:rsidR="00FB1624" w:rsidRDefault="00FB1624">
    <w:pPr>
      <w:pStyle w:val="Normal1"/>
      <w:tabs>
        <w:tab w:val="center" w:pos="4419"/>
        <w:tab w:val="right" w:pos="8838"/>
      </w:tabs>
      <w:spacing w:line="240" w:lineRule="auto"/>
      <w:jc w:val="right"/>
    </w:pPr>
    <w:r>
      <w:fldChar w:fldCharType="begin"/>
    </w:r>
    <w:r>
      <w:instrText>PAGE</w:instrText>
    </w:r>
    <w:r>
      <w:fldChar w:fldCharType="separate"/>
    </w:r>
    <w:r w:rsidR="00475B3E">
      <w:rPr>
        <w:noProof/>
      </w:rPr>
      <w:t>69</w:t>
    </w:r>
    <w:r>
      <w:fldChar w:fldCharType="end"/>
    </w:r>
  </w:p>
  <w:p w14:paraId="2A7ABD7D" w14:textId="77777777" w:rsidR="00FB1624" w:rsidRDefault="00FB1624">
    <w:pPr>
      <w:pStyle w:val="Normal1"/>
      <w:tabs>
        <w:tab w:val="center" w:pos="4419"/>
        <w:tab w:val="right" w:pos="8838"/>
      </w:tabs>
      <w:spacing w:after="1429"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F479" w14:textId="77777777" w:rsidR="00FB1624" w:rsidRDefault="00FB1624">
    <w:pPr>
      <w:pStyle w:val="Normal1"/>
      <w:tabs>
        <w:tab w:val="center" w:pos="4419"/>
        <w:tab w:val="right" w:pos="8838"/>
      </w:tabs>
      <w:spacing w:after="142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9D7AD" w14:textId="77777777" w:rsidR="00FB1624" w:rsidRDefault="00FB1624" w:rsidP="00642D63">
      <w:pPr>
        <w:spacing w:line="240" w:lineRule="auto"/>
      </w:pPr>
      <w:r>
        <w:separator/>
      </w:r>
    </w:p>
  </w:footnote>
  <w:footnote w:type="continuationSeparator" w:id="0">
    <w:p w14:paraId="63F69CA6" w14:textId="77777777" w:rsidR="00FB1624" w:rsidRDefault="00FB1624" w:rsidP="00642D63">
      <w:pPr>
        <w:spacing w:line="240" w:lineRule="auto"/>
      </w:pPr>
      <w:r>
        <w:continuationSeparator/>
      </w:r>
    </w:p>
  </w:footnote>
  <w:footnote w:id="1">
    <w:p w14:paraId="3A771DBB" w14:textId="77777777" w:rsidR="00FB1624" w:rsidRDefault="00FB1624">
      <w:pPr>
        <w:pStyle w:val="Normal1"/>
        <w:widowControl w:val="0"/>
        <w:jc w:val="both"/>
        <w:rPr>
          <w:rFonts w:ascii="Calibri" w:eastAsia="Calibri" w:hAnsi="Calibri" w:cs="Calibri"/>
        </w:rPr>
      </w:pPr>
      <w:r>
        <w:rPr>
          <w:vertAlign w:val="superscript"/>
        </w:rPr>
        <w:footnoteRef/>
      </w:r>
      <w:r>
        <w:rPr>
          <w:rFonts w:ascii="Calibri" w:eastAsia="Calibri" w:hAnsi="Calibri" w:cs="Calibri"/>
        </w:rPr>
        <w:t xml:space="preserve">La Secretaría Técnica debió iniciar sus labores el 30 de junio de 2017 por un término inicial de 18 meses (Acuerdo Final, numeral 6.3.2, pp. 211). En el Comunicado Conjunto no° 19 de la CSIVI, se establece que “antes del 30 de junio de 2017 se deberá activar el componente de verificación internacional”, de la cual la Secretaría Técnica es un componente fundamental. El término inicial de 18 meses está establecido en el numeral 6.3.2 del Acuerdo Final.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257D" w14:textId="77777777" w:rsidR="00FB1624" w:rsidRDefault="00FB1624">
    <w:pPr>
      <w:pStyle w:val="Normal1"/>
      <w:tabs>
        <w:tab w:val="center" w:pos="4252"/>
        <w:tab w:val="right" w:pos="8504"/>
      </w:tabs>
      <w:spacing w:before="709"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21D7" w14:textId="77777777" w:rsidR="00FB1624" w:rsidRDefault="00FB1624">
    <w:pPr>
      <w:pStyle w:val="Normal1"/>
      <w:tabs>
        <w:tab w:val="center" w:pos="4252"/>
        <w:tab w:val="right" w:pos="8504"/>
      </w:tabs>
      <w:spacing w:before="709"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EDE4" w14:textId="77777777" w:rsidR="00FB1624" w:rsidRDefault="00FB1624">
    <w:pPr>
      <w:pStyle w:val="Normal1"/>
      <w:tabs>
        <w:tab w:val="center" w:pos="4252"/>
        <w:tab w:val="right" w:pos="8504"/>
      </w:tabs>
      <w:spacing w:before="709"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F3A"/>
    <w:multiLevelType w:val="multilevel"/>
    <w:tmpl w:val="82FEF1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077783C"/>
    <w:multiLevelType w:val="multilevel"/>
    <w:tmpl w:val="C3F872B2"/>
    <w:lvl w:ilvl="0">
      <w:start w:val="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1F661E9"/>
    <w:multiLevelType w:val="hybridMultilevel"/>
    <w:tmpl w:val="C7A6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33186"/>
    <w:multiLevelType w:val="multilevel"/>
    <w:tmpl w:val="4F98F118"/>
    <w:lvl w:ilvl="0">
      <w:start w:val="9"/>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5484802"/>
    <w:multiLevelType w:val="hybridMultilevel"/>
    <w:tmpl w:val="9690B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7264BD"/>
    <w:multiLevelType w:val="multilevel"/>
    <w:tmpl w:val="C19CF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AE70363"/>
    <w:multiLevelType w:val="hybridMultilevel"/>
    <w:tmpl w:val="C914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1452C"/>
    <w:multiLevelType w:val="multilevel"/>
    <w:tmpl w:val="ED30F72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1617158D"/>
    <w:multiLevelType w:val="multilevel"/>
    <w:tmpl w:val="DE142A4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200D4811"/>
    <w:multiLevelType w:val="multilevel"/>
    <w:tmpl w:val="745EB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0E7D7B"/>
    <w:multiLevelType w:val="multilevel"/>
    <w:tmpl w:val="77509FD6"/>
    <w:lvl w:ilvl="0">
      <w:start w:val="1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20F75CC5"/>
    <w:multiLevelType w:val="multilevel"/>
    <w:tmpl w:val="6FE8960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236E7D86"/>
    <w:multiLevelType w:val="multilevel"/>
    <w:tmpl w:val="906AC45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248B19E5"/>
    <w:multiLevelType w:val="multilevel"/>
    <w:tmpl w:val="3BCA2FE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3B957A6B"/>
    <w:multiLevelType w:val="multilevel"/>
    <w:tmpl w:val="4E66F5CE"/>
    <w:lvl w:ilvl="0">
      <w:start w:val="7"/>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DB17FE8"/>
    <w:multiLevelType w:val="multilevel"/>
    <w:tmpl w:val="8D321ECE"/>
    <w:lvl w:ilvl="0">
      <w:start w:val="8"/>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E5053AA"/>
    <w:multiLevelType w:val="multilevel"/>
    <w:tmpl w:val="B468B256"/>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E91085C"/>
    <w:multiLevelType w:val="multilevel"/>
    <w:tmpl w:val="CA5EFD26"/>
    <w:lvl w:ilvl="0">
      <w:start w:val="1"/>
      <w:numFmt w:val="bullet"/>
      <w:lvlText w:val="-"/>
      <w:lvlJc w:val="left"/>
      <w:pPr>
        <w:ind w:left="360" w:hanging="360"/>
      </w:pPr>
      <w:rPr>
        <w:rFonts w:ascii="Arial" w:eastAsia="Arial" w:hAnsi="Arial" w:cs="Arial"/>
        <w:u w:val="none"/>
      </w:rPr>
    </w:lvl>
    <w:lvl w:ilvl="1">
      <w:start w:val="1"/>
      <w:numFmt w:val="bullet"/>
      <w:lvlText w:val="-"/>
      <w:lvlJc w:val="left"/>
      <w:pPr>
        <w:ind w:left="1080" w:hanging="360"/>
      </w:pPr>
      <w:rPr>
        <w:rFonts w:ascii="Arial" w:eastAsia="Arial" w:hAnsi="Arial" w:cs="Arial"/>
        <w:u w:val="none"/>
      </w:rPr>
    </w:lvl>
    <w:lvl w:ilvl="2">
      <w:start w:val="1"/>
      <w:numFmt w:val="bullet"/>
      <w:lvlText w:val="-"/>
      <w:lvlJc w:val="left"/>
      <w:pPr>
        <w:ind w:left="1800" w:hanging="360"/>
      </w:pPr>
      <w:rPr>
        <w:rFonts w:ascii="Arial" w:eastAsia="Arial" w:hAnsi="Arial" w:cs="Arial"/>
        <w:u w:val="none"/>
      </w:rPr>
    </w:lvl>
    <w:lvl w:ilvl="3">
      <w:start w:val="1"/>
      <w:numFmt w:val="bullet"/>
      <w:lvlText w:val="-"/>
      <w:lvlJc w:val="left"/>
      <w:pPr>
        <w:ind w:left="2520" w:hanging="360"/>
      </w:pPr>
      <w:rPr>
        <w:rFonts w:ascii="Arial" w:eastAsia="Arial" w:hAnsi="Arial" w:cs="Arial"/>
        <w:u w:val="none"/>
      </w:rPr>
    </w:lvl>
    <w:lvl w:ilvl="4">
      <w:start w:val="1"/>
      <w:numFmt w:val="bullet"/>
      <w:lvlText w:val="-"/>
      <w:lvlJc w:val="left"/>
      <w:pPr>
        <w:ind w:left="3240" w:hanging="360"/>
      </w:pPr>
      <w:rPr>
        <w:rFonts w:ascii="Arial" w:eastAsia="Arial" w:hAnsi="Arial" w:cs="Arial"/>
        <w:u w:val="none"/>
      </w:rPr>
    </w:lvl>
    <w:lvl w:ilvl="5">
      <w:start w:val="1"/>
      <w:numFmt w:val="bullet"/>
      <w:lvlText w:val="-"/>
      <w:lvlJc w:val="left"/>
      <w:pPr>
        <w:ind w:left="3960" w:hanging="360"/>
      </w:pPr>
      <w:rPr>
        <w:rFonts w:ascii="Arial" w:eastAsia="Arial" w:hAnsi="Arial" w:cs="Arial"/>
        <w:u w:val="none"/>
      </w:rPr>
    </w:lvl>
    <w:lvl w:ilvl="6">
      <w:start w:val="1"/>
      <w:numFmt w:val="bullet"/>
      <w:lvlText w:val="-"/>
      <w:lvlJc w:val="left"/>
      <w:pPr>
        <w:ind w:left="4680" w:hanging="360"/>
      </w:pPr>
      <w:rPr>
        <w:rFonts w:ascii="Arial" w:eastAsia="Arial" w:hAnsi="Arial" w:cs="Arial"/>
        <w:u w:val="none"/>
      </w:rPr>
    </w:lvl>
    <w:lvl w:ilvl="7">
      <w:start w:val="1"/>
      <w:numFmt w:val="bullet"/>
      <w:lvlText w:val="-"/>
      <w:lvlJc w:val="left"/>
      <w:pPr>
        <w:ind w:left="5400" w:hanging="360"/>
      </w:pPr>
      <w:rPr>
        <w:rFonts w:ascii="Arial" w:eastAsia="Arial" w:hAnsi="Arial" w:cs="Arial"/>
        <w:u w:val="none"/>
      </w:rPr>
    </w:lvl>
    <w:lvl w:ilvl="8">
      <w:start w:val="1"/>
      <w:numFmt w:val="bullet"/>
      <w:lvlText w:val="-"/>
      <w:lvlJc w:val="left"/>
      <w:pPr>
        <w:ind w:left="6120" w:hanging="360"/>
      </w:pPr>
      <w:rPr>
        <w:rFonts w:ascii="Arial" w:eastAsia="Arial" w:hAnsi="Arial" w:cs="Arial"/>
        <w:u w:val="none"/>
      </w:rPr>
    </w:lvl>
  </w:abstractNum>
  <w:abstractNum w:abstractNumId="18" w15:restartNumberingAfterBreak="0">
    <w:nsid w:val="40512FD0"/>
    <w:multiLevelType w:val="multilevel"/>
    <w:tmpl w:val="EC4E294C"/>
    <w:lvl w:ilvl="0">
      <w:start w:val="2"/>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495751FD"/>
    <w:multiLevelType w:val="multilevel"/>
    <w:tmpl w:val="45343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D17365"/>
    <w:multiLevelType w:val="multilevel"/>
    <w:tmpl w:val="6B50653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1" w15:restartNumberingAfterBreak="0">
    <w:nsid w:val="527771DD"/>
    <w:multiLevelType w:val="multilevel"/>
    <w:tmpl w:val="1CE4D4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5BCF6A06"/>
    <w:multiLevelType w:val="multilevel"/>
    <w:tmpl w:val="6BB68BE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3" w15:restartNumberingAfterBreak="0">
    <w:nsid w:val="5D716F65"/>
    <w:multiLevelType w:val="multilevel"/>
    <w:tmpl w:val="8406711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4" w15:restartNumberingAfterBreak="0">
    <w:nsid w:val="5F477D22"/>
    <w:multiLevelType w:val="multilevel"/>
    <w:tmpl w:val="8E14248E"/>
    <w:lvl w:ilvl="0">
      <w:start w:val="1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FC1412F"/>
    <w:multiLevelType w:val="multilevel"/>
    <w:tmpl w:val="DEC8461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4683421"/>
    <w:multiLevelType w:val="hybridMultilevel"/>
    <w:tmpl w:val="AF283BA8"/>
    <w:lvl w:ilvl="0" w:tplc="1D08393A">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EF77F0"/>
    <w:multiLevelType w:val="multilevel"/>
    <w:tmpl w:val="2922406A"/>
    <w:lvl w:ilvl="0">
      <w:start w:val="1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84C688F"/>
    <w:multiLevelType w:val="multilevel"/>
    <w:tmpl w:val="E5F6C2C8"/>
    <w:lvl w:ilvl="0">
      <w:start w:val="4"/>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C304A13"/>
    <w:multiLevelType w:val="multilevel"/>
    <w:tmpl w:val="E190FFDA"/>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FF85023"/>
    <w:multiLevelType w:val="hybridMultilevel"/>
    <w:tmpl w:val="379E32A0"/>
    <w:lvl w:ilvl="0" w:tplc="92380B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1A4EEA"/>
    <w:multiLevelType w:val="hybridMultilevel"/>
    <w:tmpl w:val="1BD893C6"/>
    <w:lvl w:ilvl="0" w:tplc="2FA2DBB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2C54842"/>
    <w:multiLevelType w:val="multilevel"/>
    <w:tmpl w:val="745EBF4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3B94082"/>
    <w:multiLevelType w:val="multilevel"/>
    <w:tmpl w:val="D79C28EE"/>
    <w:lvl w:ilvl="0">
      <w:start w:val="12"/>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58E256A"/>
    <w:multiLevelType w:val="multilevel"/>
    <w:tmpl w:val="745EBF48"/>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9"/>
  </w:num>
  <w:num w:numId="2">
    <w:abstractNumId w:val="32"/>
  </w:num>
  <w:num w:numId="3">
    <w:abstractNumId w:val="22"/>
  </w:num>
  <w:num w:numId="4">
    <w:abstractNumId w:val="20"/>
  </w:num>
  <w:num w:numId="5">
    <w:abstractNumId w:val="34"/>
  </w:num>
  <w:num w:numId="6">
    <w:abstractNumId w:val="7"/>
  </w:num>
  <w:num w:numId="7">
    <w:abstractNumId w:val="12"/>
  </w:num>
  <w:num w:numId="8">
    <w:abstractNumId w:val="23"/>
  </w:num>
  <w:num w:numId="9">
    <w:abstractNumId w:val="11"/>
  </w:num>
  <w:num w:numId="10">
    <w:abstractNumId w:val="10"/>
  </w:num>
  <w:num w:numId="11">
    <w:abstractNumId w:val="17"/>
  </w:num>
  <w:num w:numId="12">
    <w:abstractNumId w:val="13"/>
  </w:num>
  <w:num w:numId="13">
    <w:abstractNumId w:val="1"/>
  </w:num>
  <w:num w:numId="14">
    <w:abstractNumId w:val="21"/>
  </w:num>
  <w:num w:numId="15">
    <w:abstractNumId w:val="14"/>
  </w:num>
  <w:num w:numId="16">
    <w:abstractNumId w:val="15"/>
  </w:num>
  <w:num w:numId="17">
    <w:abstractNumId w:val="3"/>
  </w:num>
  <w:num w:numId="18">
    <w:abstractNumId w:val="28"/>
  </w:num>
  <w:num w:numId="19">
    <w:abstractNumId w:val="8"/>
  </w:num>
  <w:num w:numId="20">
    <w:abstractNumId w:val="16"/>
  </w:num>
  <w:num w:numId="21">
    <w:abstractNumId w:val="5"/>
  </w:num>
  <w:num w:numId="22">
    <w:abstractNumId w:val="19"/>
  </w:num>
  <w:num w:numId="23">
    <w:abstractNumId w:val="9"/>
  </w:num>
  <w:num w:numId="24">
    <w:abstractNumId w:val="27"/>
  </w:num>
  <w:num w:numId="25">
    <w:abstractNumId w:val="18"/>
  </w:num>
  <w:num w:numId="26">
    <w:abstractNumId w:val="24"/>
  </w:num>
  <w:num w:numId="27">
    <w:abstractNumId w:val="33"/>
  </w:num>
  <w:num w:numId="28">
    <w:abstractNumId w:val="25"/>
  </w:num>
  <w:num w:numId="29">
    <w:abstractNumId w:val="0"/>
  </w:num>
  <w:num w:numId="30">
    <w:abstractNumId w:val="4"/>
  </w:num>
  <w:num w:numId="31">
    <w:abstractNumId w:val="2"/>
  </w:num>
  <w:num w:numId="32">
    <w:abstractNumId w:val="30"/>
  </w:num>
  <w:num w:numId="33">
    <w:abstractNumId w:val="31"/>
  </w:num>
  <w:num w:numId="34">
    <w:abstractNumId w:val="2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63"/>
    <w:rsid w:val="00127A71"/>
    <w:rsid w:val="00174B86"/>
    <w:rsid w:val="002631FE"/>
    <w:rsid w:val="00287B36"/>
    <w:rsid w:val="00475B3E"/>
    <w:rsid w:val="00642D63"/>
    <w:rsid w:val="006A0E4A"/>
    <w:rsid w:val="00761080"/>
    <w:rsid w:val="008F2907"/>
    <w:rsid w:val="00A80CF1"/>
    <w:rsid w:val="00AD333E"/>
    <w:rsid w:val="00B62C3C"/>
    <w:rsid w:val="00BB1E64"/>
    <w:rsid w:val="00D1163D"/>
    <w:rsid w:val="00EA6505"/>
    <w:rsid w:val="00F500FE"/>
    <w:rsid w:val="00FB16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1DBC"/>
  <w15:docId w15:val="{EE2920DC-2F04-4D0A-920E-DD32585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CO"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1"/>
    <w:next w:val="Normal1"/>
    <w:rsid w:val="00642D63"/>
    <w:pPr>
      <w:keepNext/>
      <w:keepLines/>
      <w:spacing w:before="400" w:after="120"/>
      <w:outlineLvl w:val="0"/>
    </w:pPr>
    <w:rPr>
      <w:sz w:val="40"/>
      <w:szCs w:val="40"/>
    </w:rPr>
  </w:style>
  <w:style w:type="paragraph" w:styleId="Ttulo2">
    <w:name w:val="heading 2"/>
    <w:basedOn w:val="Normal1"/>
    <w:next w:val="Normal1"/>
    <w:rsid w:val="00642D63"/>
    <w:pPr>
      <w:keepNext/>
      <w:keepLines/>
      <w:spacing w:before="360" w:after="120"/>
      <w:outlineLvl w:val="1"/>
    </w:pPr>
    <w:rPr>
      <w:sz w:val="32"/>
      <w:szCs w:val="32"/>
    </w:rPr>
  </w:style>
  <w:style w:type="paragraph" w:styleId="Ttulo3">
    <w:name w:val="heading 3"/>
    <w:basedOn w:val="Normal1"/>
    <w:next w:val="Normal1"/>
    <w:rsid w:val="00642D63"/>
    <w:pPr>
      <w:keepNext/>
      <w:keepLines/>
      <w:spacing w:before="320" w:after="80"/>
      <w:outlineLvl w:val="2"/>
    </w:pPr>
    <w:rPr>
      <w:color w:val="434343"/>
      <w:sz w:val="28"/>
      <w:szCs w:val="28"/>
    </w:rPr>
  </w:style>
  <w:style w:type="paragraph" w:styleId="Ttulo4">
    <w:name w:val="heading 4"/>
    <w:basedOn w:val="Normal1"/>
    <w:next w:val="Normal1"/>
    <w:rsid w:val="00642D63"/>
    <w:pPr>
      <w:keepNext/>
      <w:keepLines/>
      <w:spacing w:before="240" w:after="40"/>
      <w:outlineLvl w:val="3"/>
    </w:pPr>
    <w:rPr>
      <w:b/>
      <w:sz w:val="24"/>
      <w:szCs w:val="24"/>
    </w:rPr>
  </w:style>
  <w:style w:type="paragraph" w:styleId="Ttulo5">
    <w:name w:val="heading 5"/>
    <w:basedOn w:val="Normal1"/>
    <w:next w:val="Normal1"/>
    <w:rsid w:val="00642D63"/>
    <w:pPr>
      <w:keepNext/>
      <w:keepLines/>
      <w:spacing w:before="220" w:after="40"/>
      <w:outlineLvl w:val="4"/>
    </w:pPr>
    <w:rPr>
      <w:b/>
    </w:rPr>
  </w:style>
  <w:style w:type="paragraph" w:styleId="Ttulo6">
    <w:name w:val="heading 6"/>
    <w:basedOn w:val="Normal1"/>
    <w:next w:val="Normal1"/>
    <w:rsid w:val="00642D6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42D63"/>
  </w:style>
  <w:style w:type="table" w:customStyle="1" w:styleId="TableNormal1">
    <w:name w:val="Table Normal1"/>
    <w:rsid w:val="00642D63"/>
    <w:tblPr>
      <w:tblCellMar>
        <w:top w:w="0" w:type="dxa"/>
        <w:left w:w="0" w:type="dxa"/>
        <w:bottom w:w="0" w:type="dxa"/>
        <w:right w:w="0" w:type="dxa"/>
      </w:tblCellMar>
    </w:tblPr>
  </w:style>
  <w:style w:type="paragraph" w:styleId="Ttulo">
    <w:name w:val="Title"/>
    <w:basedOn w:val="Normal1"/>
    <w:next w:val="Normal1"/>
    <w:rsid w:val="00642D63"/>
    <w:pPr>
      <w:keepNext/>
      <w:keepLines/>
      <w:spacing w:before="480" w:after="120"/>
    </w:pPr>
    <w:rPr>
      <w:b/>
      <w:sz w:val="72"/>
      <w:szCs w:val="72"/>
    </w:rPr>
  </w:style>
  <w:style w:type="paragraph" w:styleId="Subttulo">
    <w:name w:val="Subtitle"/>
    <w:basedOn w:val="Normal1"/>
    <w:next w:val="Normal1"/>
    <w:rsid w:val="00642D63"/>
    <w:pPr>
      <w:keepNext/>
      <w:keepLines/>
      <w:spacing w:before="360" w:after="80"/>
    </w:pPr>
    <w:rPr>
      <w:rFonts w:ascii="Georgia" w:eastAsia="Georgia" w:hAnsi="Georgia" w:cs="Georgia"/>
      <w:i/>
      <w:color w:val="666666"/>
      <w:sz w:val="48"/>
      <w:szCs w:val="48"/>
    </w:rPr>
  </w:style>
  <w:style w:type="table" w:customStyle="1" w:styleId="a">
    <w:basedOn w:val="TableNormal1"/>
    <w:rsid w:val="00642D63"/>
    <w:pPr>
      <w:spacing w:line="240" w:lineRule="auto"/>
    </w:pPr>
    <w:tblPr>
      <w:tblStyleRowBandSize w:val="1"/>
      <w:tblStyleColBandSize w:val="1"/>
    </w:tblPr>
  </w:style>
  <w:style w:type="table" w:customStyle="1" w:styleId="a0">
    <w:basedOn w:val="TableNormal1"/>
    <w:rsid w:val="00642D63"/>
    <w:pPr>
      <w:spacing w:line="240" w:lineRule="auto"/>
    </w:pPr>
    <w:tblPr>
      <w:tblStyleRowBandSize w:val="1"/>
      <w:tblStyleColBandSize w:val="1"/>
    </w:tblPr>
  </w:style>
  <w:style w:type="table" w:customStyle="1" w:styleId="a1">
    <w:basedOn w:val="TableNormal1"/>
    <w:rsid w:val="00642D63"/>
    <w:tblPr>
      <w:tblStyleRowBandSize w:val="1"/>
      <w:tblStyleColBandSize w:val="1"/>
      <w:tblCellMar>
        <w:top w:w="15" w:type="dxa"/>
        <w:left w:w="15" w:type="dxa"/>
        <w:bottom w:w="15" w:type="dxa"/>
        <w:right w:w="15" w:type="dxa"/>
      </w:tblCellMar>
    </w:tblPr>
  </w:style>
  <w:style w:type="table" w:customStyle="1" w:styleId="a2">
    <w:basedOn w:val="TableNormal1"/>
    <w:rsid w:val="00642D63"/>
    <w:tblPr>
      <w:tblStyleRowBandSize w:val="1"/>
      <w:tblStyleColBandSize w:val="1"/>
      <w:tblCellMar>
        <w:top w:w="15" w:type="dxa"/>
        <w:left w:w="15" w:type="dxa"/>
        <w:bottom w:w="15" w:type="dxa"/>
        <w:right w:w="15" w:type="dxa"/>
      </w:tblCellMar>
    </w:tblPr>
  </w:style>
  <w:style w:type="table" w:customStyle="1" w:styleId="a3">
    <w:basedOn w:val="TableNormal1"/>
    <w:rsid w:val="00642D63"/>
    <w:pPr>
      <w:spacing w:line="240" w:lineRule="auto"/>
    </w:pPr>
    <w:tblPr>
      <w:tblStyleRowBandSize w:val="1"/>
      <w:tblStyleColBandSize w:val="1"/>
    </w:tblPr>
  </w:style>
  <w:style w:type="table" w:customStyle="1" w:styleId="a4">
    <w:basedOn w:val="TableNormal1"/>
    <w:rsid w:val="00642D63"/>
    <w:pPr>
      <w:spacing w:line="240" w:lineRule="auto"/>
    </w:pPr>
    <w:tblPr>
      <w:tblStyleRowBandSize w:val="1"/>
      <w:tblStyleColBandSize w:val="1"/>
    </w:tblPr>
  </w:style>
  <w:style w:type="table" w:customStyle="1" w:styleId="a5">
    <w:basedOn w:val="TableNormal1"/>
    <w:rsid w:val="00642D63"/>
    <w:pPr>
      <w:spacing w:line="240" w:lineRule="auto"/>
    </w:pPr>
    <w:tblPr>
      <w:tblStyleRowBandSize w:val="1"/>
      <w:tblStyleColBandSize w:val="1"/>
    </w:tblPr>
  </w:style>
  <w:style w:type="table" w:customStyle="1" w:styleId="a6">
    <w:basedOn w:val="TableNormal1"/>
    <w:rsid w:val="00642D63"/>
    <w:tblPr>
      <w:tblStyleRowBandSize w:val="1"/>
      <w:tblStyleColBandSize w:val="1"/>
    </w:tblPr>
  </w:style>
  <w:style w:type="table" w:customStyle="1" w:styleId="a7">
    <w:basedOn w:val="TableNormal1"/>
    <w:rsid w:val="00642D63"/>
    <w:pPr>
      <w:spacing w:line="240" w:lineRule="auto"/>
    </w:pPr>
    <w:tblPr>
      <w:tblStyleRowBandSize w:val="1"/>
      <w:tblStyleColBandSize w:val="1"/>
    </w:tblPr>
  </w:style>
  <w:style w:type="table" w:customStyle="1" w:styleId="a8">
    <w:basedOn w:val="TableNormal1"/>
    <w:rsid w:val="00642D63"/>
    <w:tblPr>
      <w:tblStyleRowBandSize w:val="1"/>
      <w:tblStyleColBandSize w:val="1"/>
    </w:tblPr>
  </w:style>
  <w:style w:type="table" w:customStyle="1" w:styleId="a9">
    <w:basedOn w:val="TableNormal1"/>
    <w:rsid w:val="00642D63"/>
    <w:tblPr>
      <w:tblStyleRowBandSize w:val="1"/>
      <w:tblStyleColBandSize w:val="1"/>
    </w:tblPr>
  </w:style>
  <w:style w:type="table" w:customStyle="1" w:styleId="aa">
    <w:basedOn w:val="TableNormal1"/>
    <w:rsid w:val="00642D63"/>
    <w:pPr>
      <w:spacing w:line="240" w:lineRule="auto"/>
    </w:pPr>
    <w:tblPr>
      <w:tblStyleRowBandSize w:val="1"/>
      <w:tblStyleColBandSize w:val="1"/>
    </w:tblPr>
  </w:style>
  <w:style w:type="paragraph" w:styleId="Textocomentario">
    <w:name w:val="annotation text"/>
    <w:basedOn w:val="Normal"/>
    <w:link w:val="TextocomentarioCar"/>
    <w:uiPriority w:val="99"/>
    <w:semiHidden/>
    <w:unhideWhenUsed/>
    <w:rsid w:val="00642D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2D63"/>
    <w:rPr>
      <w:sz w:val="20"/>
      <w:szCs w:val="20"/>
    </w:rPr>
  </w:style>
  <w:style w:type="character" w:styleId="Refdecomentario">
    <w:name w:val="annotation reference"/>
    <w:basedOn w:val="Fuentedeprrafopredeter"/>
    <w:uiPriority w:val="99"/>
    <w:semiHidden/>
    <w:unhideWhenUsed/>
    <w:rsid w:val="00642D63"/>
    <w:rPr>
      <w:sz w:val="16"/>
      <w:szCs w:val="16"/>
    </w:rPr>
  </w:style>
  <w:style w:type="paragraph" w:styleId="Textodeglobo">
    <w:name w:val="Balloon Text"/>
    <w:basedOn w:val="Normal"/>
    <w:link w:val="TextodegloboCar"/>
    <w:uiPriority w:val="99"/>
    <w:semiHidden/>
    <w:unhideWhenUsed/>
    <w:rsid w:val="002631F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1FE"/>
    <w:rPr>
      <w:rFonts w:ascii="Tahoma" w:hAnsi="Tahoma" w:cs="Tahoma"/>
      <w:sz w:val="16"/>
      <w:szCs w:val="16"/>
    </w:rPr>
  </w:style>
  <w:style w:type="paragraph" w:styleId="Prrafodelista">
    <w:name w:val="List Paragraph"/>
    <w:aliases w:val="List Paragraph (numbered (a)),References,WB List Paragraph,Dot pt,F5 List Paragraph,List Paragraph1,No Spacing1,List Paragraph Char Char Char,Indicator Text,Numbered Para 1,Colorful List - Accent 11,Bullet 1,Bullet Points,titulo 3"/>
    <w:basedOn w:val="Normal"/>
    <w:link w:val="PrrafodelistaCar"/>
    <w:uiPriority w:val="34"/>
    <w:qFormat/>
    <w:rsid w:val="00B62C3C"/>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EastAsia" w:hAnsiTheme="minorHAnsi" w:cstheme="minorBidi"/>
      <w:color w:val="auto"/>
      <w:szCs w:val="24"/>
      <w:lang w:val="en-US" w:eastAsia="en-US"/>
    </w:rPr>
  </w:style>
  <w:style w:type="character" w:customStyle="1" w:styleId="PrrafodelistaCar">
    <w:name w:val="Párrafo de lista Car"/>
    <w:aliases w:val="List Paragraph (numbered (a)) Car,References Car,WB List Paragraph Car,Dot pt Car,F5 List Paragraph Car,List Paragraph1 Car,No Spacing1 Car,List Paragraph Char Char Char Car,Indicator Text Car,Numbered Para 1 Car,Bullet 1 Car"/>
    <w:basedOn w:val="Fuentedeprrafopredeter"/>
    <w:link w:val="Prrafodelista"/>
    <w:uiPriority w:val="34"/>
    <w:qFormat/>
    <w:rsid w:val="00B62C3C"/>
    <w:rPr>
      <w:rFonts w:asciiTheme="minorHAnsi" w:eastAsiaTheme="minorEastAsia" w:hAnsiTheme="minorHAnsi" w:cstheme="minorBidi"/>
      <w:color w:val="auto"/>
      <w:szCs w:val="24"/>
      <w:lang w:val="en-US" w:eastAsia="en-US"/>
    </w:rPr>
  </w:style>
  <w:style w:type="table" w:customStyle="1" w:styleId="Tablaconcuadrcula3">
    <w:name w:val="Tabla con cuadrícula3"/>
    <w:basedOn w:val="Tablanormal"/>
    <w:next w:val="Tablaconcuadrcula"/>
    <w:uiPriority w:val="59"/>
    <w:rsid w:val="00B62C3C"/>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C3C"/>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MS Mincho" w:hAnsi="Calibri" w:cs="Times New Roman"/>
      <w:color w:val="auto"/>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62C3C"/>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B62C3C"/>
    <w:rPr>
      <w:rFonts w:asciiTheme="minorHAnsi" w:eastAsiaTheme="minorHAnsi" w:hAnsiTheme="minorHAnsi" w:cstheme="minorBidi"/>
      <w:color w:val="auto"/>
      <w:sz w:val="20"/>
      <w:szCs w:val="20"/>
      <w:lang w:eastAsia="en-US"/>
    </w:rPr>
  </w:style>
  <w:style w:type="character" w:styleId="Refdenotaalpie">
    <w:name w:val="footnote reference"/>
    <w:basedOn w:val="Fuentedeprrafopredeter"/>
    <w:uiPriority w:val="99"/>
    <w:unhideWhenUsed/>
    <w:rsid w:val="00B62C3C"/>
    <w:rPr>
      <w:rFonts w:cs="Times New Roman"/>
      <w:vertAlign w:val="superscript"/>
    </w:rPr>
  </w:style>
  <w:style w:type="paragraph" w:styleId="Sinespaciado">
    <w:name w:val="No Spacing"/>
    <w:uiPriority w:val="1"/>
    <w:qFormat/>
    <w:rsid w:val="00B62C3C"/>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eastAsia="en-US"/>
    </w:rPr>
  </w:style>
  <w:style w:type="table" w:styleId="Tablaconcuadrcula">
    <w:name w:val="Table Grid"/>
    <w:basedOn w:val="Tablanormal"/>
    <w:uiPriority w:val="59"/>
    <w:rsid w:val="00B62C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62C3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Myriad Pro" w:eastAsia="MS Mincho" w:hAnsi="Myriad Pro" w:cs="Times New Roman"/>
      <w:color w:val="auto"/>
      <w:sz w:val="20"/>
      <w:lang w:val="es-ES_tradnl" w:bidi="es-ES"/>
    </w:rPr>
  </w:style>
  <w:style w:type="character" w:customStyle="1" w:styleId="EncabezadoCar">
    <w:name w:val="Encabezado Car"/>
    <w:basedOn w:val="Fuentedeprrafopredeter"/>
    <w:link w:val="Encabezado"/>
    <w:uiPriority w:val="99"/>
    <w:rsid w:val="00B62C3C"/>
    <w:rPr>
      <w:rFonts w:ascii="Myriad Pro" w:eastAsia="MS Mincho" w:hAnsi="Myriad Pro" w:cs="Times New Roman"/>
      <w:color w:val="auto"/>
      <w:sz w:val="20"/>
      <w:lang w:val="es-ES_tradnl"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6910">
      <w:bodyDiv w:val="1"/>
      <w:marLeft w:val="0"/>
      <w:marRight w:val="0"/>
      <w:marTop w:val="0"/>
      <w:marBottom w:val="0"/>
      <w:divBdr>
        <w:top w:val="none" w:sz="0" w:space="0" w:color="auto"/>
        <w:left w:val="none" w:sz="0" w:space="0" w:color="auto"/>
        <w:bottom w:val="none" w:sz="0" w:space="0" w:color="auto"/>
        <w:right w:val="none" w:sz="0" w:space="0" w:color="auto"/>
      </w:divBdr>
      <w:divsChild>
        <w:div w:id="508376342">
          <w:marLeft w:val="0"/>
          <w:marRight w:val="0"/>
          <w:marTop w:val="0"/>
          <w:marBottom w:val="0"/>
          <w:divBdr>
            <w:top w:val="none" w:sz="0" w:space="0" w:color="auto"/>
            <w:left w:val="none" w:sz="0" w:space="0" w:color="auto"/>
            <w:bottom w:val="none" w:sz="0" w:space="0" w:color="auto"/>
            <w:right w:val="none" w:sz="0" w:space="0" w:color="auto"/>
          </w:divBdr>
        </w:div>
        <w:div w:id="455369793">
          <w:marLeft w:val="0"/>
          <w:marRight w:val="0"/>
          <w:marTop w:val="0"/>
          <w:marBottom w:val="0"/>
          <w:divBdr>
            <w:top w:val="none" w:sz="0" w:space="0" w:color="auto"/>
            <w:left w:val="none" w:sz="0" w:space="0" w:color="auto"/>
            <w:bottom w:val="none" w:sz="0" w:space="0" w:color="auto"/>
            <w:right w:val="none" w:sz="0" w:space="0" w:color="auto"/>
          </w:divBdr>
        </w:div>
        <w:div w:id="1151482719">
          <w:marLeft w:val="0"/>
          <w:marRight w:val="0"/>
          <w:marTop w:val="0"/>
          <w:marBottom w:val="0"/>
          <w:divBdr>
            <w:top w:val="none" w:sz="0" w:space="0" w:color="auto"/>
            <w:left w:val="none" w:sz="0" w:space="0" w:color="auto"/>
            <w:bottom w:val="none" w:sz="0" w:space="0" w:color="auto"/>
            <w:right w:val="none" w:sz="0" w:space="0" w:color="auto"/>
          </w:divBdr>
        </w:div>
        <w:div w:id="1164397840">
          <w:marLeft w:val="0"/>
          <w:marRight w:val="0"/>
          <w:marTop w:val="0"/>
          <w:marBottom w:val="0"/>
          <w:divBdr>
            <w:top w:val="none" w:sz="0" w:space="0" w:color="auto"/>
            <w:left w:val="none" w:sz="0" w:space="0" w:color="auto"/>
            <w:bottom w:val="none" w:sz="0" w:space="0" w:color="auto"/>
            <w:right w:val="none" w:sz="0" w:space="0" w:color="auto"/>
          </w:divBdr>
        </w:div>
        <w:div w:id="220215302">
          <w:marLeft w:val="0"/>
          <w:marRight w:val="0"/>
          <w:marTop w:val="0"/>
          <w:marBottom w:val="0"/>
          <w:divBdr>
            <w:top w:val="none" w:sz="0" w:space="0" w:color="auto"/>
            <w:left w:val="none" w:sz="0" w:space="0" w:color="auto"/>
            <w:bottom w:val="none" w:sz="0" w:space="0" w:color="auto"/>
            <w:right w:val="none" w:sz="0" w:space="0" w:color="auto"/>
          </w:divBdr>
        </w:div>
        <w:div w:id="1422683377">
          <w:marLeft w:val="0"/>
          <w:marRight w:val="0"/>
          <w:marTop w:val="0"/>
          <w:marBottom w:val="0"/>
          <w:divBdr>
            <w:top w:val="none" w:sz="0" w:space="0" w:color="auto"/>
            <w:left w:val="none" w:sz="0" w:space="0" w:color="auto"/>
            <w:bottom w:val="none" w:sz="0" w:space="0" w:color="auto"/>
            <w:right w:val="none" w:sz="0" w:space="0" w:color="auto"/>
          </w:divBdr>
        </w:div>
        <w:div w:id="1909806539">
          <w:marLeft w:val="0"/>
          <w:marRight w:val="0"/>
          <w:marTop w:val="0"/>
          <w:marBottom w:val="0"/>
          <w:divBdr>
            <w:top w:val="none" w:sz="0" w:space="0" w:color="auto"/>
            <w:left w:val="none" w:sz="0" w:space="0" w:color="auto"/>
            <w:bottom w:val="none" w:sz="0" w:space="0" w:color="auto"/>
            <w:right w:val="none" w:sz="0" w:space="0" w:color="auto"/>
          </w:divBdr>
        </w:div>
        <w:div w:id="1810904083">
          <w:marLeft w:val="0"/>
          <w:marRight w:val="0"/>
          <w:marTop w:val="0"/>
          <w:marBottom w:val="0"/>
          <w:divBdr>
            <w:top w:val="none" w:sz="0" w:space="0" w:color="auto"/>
            <w:left w:val="none" w:sz="0" w:space="0" w:color="auto"/>
            <w:bottom w:val="none" w:sz="0" w:space="0" w:color="auto"/>
            <w:right w:val="none" w:sz="0" w:space="0" w:color="auto"/>
          </w:divBdr>
        </w:div>
        <w:div w:id="1347370311">
          <w:marLeft w:val="0"/>
          <w:marRight w:val="0"/>
          <w:marTop w:val="0"/>
          <w:marBottom w:val="0"/>
          <w:divBdr>
            <w:top w:val="none" w:sz="0" w:space="0" w:color="auto"/>
            <w:left w:val="none" w:sz="0" w:space="0" w:color="auto"/>
            <w:bottom w:val="none" w:sz="0" w:space="0" w:color="auto"/>
            <w:right w:val="none" w:sz="0" w:space="0" w:color="auto"/>
          </w:divBdr>
        </w:div>
        <w:div w:id="1875724921">
          <w:marLeft w:val="0"/>
          <w:marRight w:val="0"/>
          <w:marTop w:val="0"/>
          <w:marBottom w:val="0"/>
          <w:divBdr>
            <w:top w:val="none" w:sz="0" w:space="0" w:color="auto"/>
            <w:left w:val="none" w:sz="0" w:space="0" w:color="auto"/>
            <w:bottom w:val="none" w:sz="0" w:space="0" w:color="auto"/>
            <w:right w:val="none" w:sz="0" w:space="0" w:color="auto"/>
          </w:divBdr>
        </w:div>
        <w:div w:id="773130469">
          <w:marLeft w:val="0"/>
          <w:marRight w:val="0"/>
          <w:marTop w:val="0"/>
          <w:marBottom w:val="0"/>
          <w:divBdr>
            <w:top w:val="none" w:sz="0" w:space="0" w:color="auto"/>
            <w:left w:val="none" w:sz="0" w:space="0" w:color="auto"/>
            <w:bottom w:val="none" w:sz="0" w:space="0" w:color="auto"/>
            <w:right w:val="none" w:sz="0" w:space="0" w:color="auto"/>
          </w:divBdr>
        </w:div>
        <w:div w:id="883954289">
          <w:marLeft w:val="0"/>
          <w:marRight w:val="0"/>
          <w:marTop w:val="0"/>
          <w:marBottom w:val="0"/>
          <w:divBdr>
            <w:top w:val="none" w:sz="0" w:space="0" w:color="auto"/>
            <w:left w:val="none" w:sz="0" w:space="0" w:color="auto"/>
            <w:bottom w:val="none" w:sz="0" w:space="0" w:color="auto"/>
            <w:right w:val="none" w:sz="0" w:space="0" w:color="auto"/>
          </w:divBdr>
        </w:div>
        <w:div w:id="104352810">
          <w:marLeft w:val="0"/>
          <w:marRight w:val="0"/>
          <w:marTop w:val="0"/>
          <w:marBottom w:val="0"/>
          <w:divBdr>
            <w:top w:val="none" w:sz="0" w:space="0" w:color="auto"/>
            <w:left w:val="none" w:sz="0" w:space="0" w:color="auto"/>
            <w:bottom w:val="none" w:sz="0" w:space="0" w:color="auto"/>
            <w:right w:val="none" w:sz="0" w:space="0" w:color="auto"/>
          </w:divBdr>
        </w:div>
        <w:div w:id="2132044810">
          <w:marLeft w:val="0"/>
          <w:marRight w:val="0"/>
          <w:marTop w:val="0"/>
          <w:marBottom w:val="0"/>
          <w:divBdr>
            <w:top w:val="none" w:sz="0" w:space="0" w:color="auto"/>
            <w:left w:val="none" w:sz="0" w:space="0" w:color="auto"/>
            <w:bottom w:val="none" w:sz="0" w:space="0" w:color="auto"/>
            <w:right w:val="none" w:sz="0" w:space="0" w:color="auto"/>
          </w:divBdr>
        </w:div>
        <w:div w:id="1556508604">
          <w:marLeft w:val="0"/>
          <w:marRight w:val="0"/>
          <w:marTop w:val="0"/>
          <w:marBottom w:val="0"/>
          <w:divBdr>
            <w:top w:val="none" w:sz="0" w:space="0" w:color="auto"/>
            <w:left w:val="none" w:sz="0" w:space="0" w:color="auto"/>
            <w:bottom w:val="none" w:sz="0" w:space="0" w:color="auto"/>
            <w:right w:val="none" w:sz="0" w:space="0" w:color="auto"/>
          </w:divBdr>
        </w:div>
        <w:div w:id="476188234">
          <w:marLeft w:val="0"/>
          <w:marRight w:val="0"/>
          <w:marTop w:val="0"/>
          <w:marBottom w:val="0"/>
          <w:divBdr>
            <w:top w:val="none" w:sz="0" w:space="0" w:color="auto"/>
            <w:left w:val="none" w:sz="0" w:space="0" w:color="auto"/>
            <w:bottom w:val="none" w:sz="0" w:space="0" w:color="auto"/>
            <w:right w:val="none" w:sz="0" w:space="0" w:color="auto"/>
          </w:divBdr>
        </w:div>
        <w:div w:id="840968078">
          <w:marLeft w:val="0"/>
          <w:marRight w:val="0"/>
          <w:marTop w:val="0"/>
          <w:marBottom w:val="0"/>
          <w:divBdr>
            <w:top w:val="none" w:sz="0" w:space="0" w:color="auto"/>
            <w:left w:val="none" w:sz="0" w:space="0" w:color="auto"/>
            <w:bottom w:val="none" w:sz="0" w:space="0" w:color="auto"/>
            <w:right w:val="none" w:sz="0" w:space="0" w:color="auto"/>
          </w:divBdr>
        </w:div>
        <w:div w:id="2016104886">
          <w:marLeft w:val="0"/>
          <w:marRight w:val="0"/>
          <w:marTop w:val="0"/>
          <w:marBottom w:val="0"/>
          <w:divBdr>
            <w:top w:val="none" w:sz="0" w:space="0" w:color="auto"/>
            <w:left w:val="none" w:sz="0" w:space="0" w:color="auto"/>
            <w:bottom w:val="none" w:sz="0" w:space="0" w:color="auto"/>
            <w:right w:val="none" w:sz="0" w:space="0" w:color="auto"/>
          </w:divBdr>
        </w:div>
        <w:div w:id="1331835076">
          <w:marLeft w:val="0"/>
          <w:marRight w:val="0"/>
          <w:marTop w:val="0"/>
          <w:marBottom w:val="0"/>
          <w:divBdr>
            <w:top w:val="none" w:sz="0" w:space="0" w:color="auto"/>
            <w:left w:val="none" w:sz="0" w:space="0" w:color="auto"/>
            <w:bottom w:val="none" w:sz="0" w:space="0" w:color="auto"/>
            <w:right w:val="none" w:sz="0" w:space="0" w:color="auto"/>
          </w:divBdr>
        </w:div>
        <w:div w:id="1479303382">
          <w:marLeft w:val="0"/>
          <w:marRight w:val="0"/>
          <w:marTop w:val="0"/>
          <w:marBottom w:val="0"/>
          <w:divBdr>
            <w:top w:val="none" w:sz="0" w:space="0" w:color="auto"/>
            <w:left w:val="none" w:sz="0" w:space="0" w:color="auto"/>
            <w:bottom w:val="none" w:sz="0" w:space="0" w:color="auto"/>
            <w:right w:val="none" w:sz="0" w:space="0" w:color="auto"/>
          </w:divBdr>
        </w:div>
        <w:div w:id="584384903">
          <w:marLeft w:val="0"/>
          <w:marRight w:val="0"/>
          <w:marTop w:val="0"/>
          <w:marBottom w:val="0"/>
          <w:divBdr>
            <w:top w:val="none" w:sz="0" w:space="0" w:color="auto"/>
            <w:left w:val="none" w:sz="0" w:space="0" w:color="auto"/>
            <w:bottom w:val="none" w:sz="0" w:space="0" w:color="auto"/>
            <w:right w:val="none" w:sz="0" w:space="0" w:color="auto"/>
          </w:divBdr>
        </w:div>
        <w:div w:id="572861517">
          <w:marLeft w:val="0"/>
          <w:marRight w:val="0"/>
          <w:marTop w:val="0"/>
          <w:marBottom w:val="0"/>
          <w:divBdr>
            <w:top w:val="none" w:sz="0" w:space="0" w:color="auto"/>
            <w:left w:val="none" w:sz="0" w:space="0" w:color="auto"/>
            <w:bottom w:val="none" w:sz="0" w:space="0" w:color="auto"/>
            <w:right w:val="none" w:sz="0" w:space="0" w:color="auto"/>
          </w:divBdr>
        </w:div>
        <w:div w:id="544754330">
          <w:marLeft w:val="0"/>
          <w:marRight w:val="0"/>
          <w:marTop w:val="0"/>
          <w:marBottom w:val="0"/>
          <w:divBdr>
            <w:top w:val="none" w:sz="0" w:space="0" w:color="auto"/>
            <w:left w:val="none" w:sz="0" w:space="0" w:color="auto"/>
            <w:bottom w:val="none" w:sz="0" w:space="0" w:color="auto"/>
            <w:right w:val="none" w:sz="0" w:space="0" w:color="auto"/>
          </w:divBdr>
        </w:div>
        <w:div w:id="361562898">
          <w:marLeft w:val="0"/>
          <w:marRight w:val="0"/>
          <w:marTop w:val="0"/>
          <w:marBottom w:val="0"/>
          <w:divBdr>
            <w:top w:val="none" w:sz="0" w:space="0" w:color="auto"/>
            <w:left w:val="none" w:sz="0" w:space="0" w:color="auto"/>
            <w:bottom w:val="none" w:sz="0" w:space="0" w:color="auto"/>
            <w:right w:val="none" w:sz="0" w:space="0" w:color="auto"/>
          </w:divBdr>
        </w:div>
        <w:div w:id="1664700247">
          <w:marLeft w:val="0"/>
          <w:marRight w:val="0"/>
          <w:marTop w:val="0"/>
          <w:marBottom w:val="0"/>
          <w:divBdr>
            <w:top w:val="none" w:sz="0" w:space="0" w:color="auto"/>
            <w:left w:val="none" w:sz="0" w:space="0" w:color="auto"/>
            <w:bottom w:val="none" w:sz="0" w:space="0" w:color="auto"/>
            <w:right w:val="none" w:sz="0" w:space="0" w:color="auto"/>
          </w:divBdr>
        </w:div>
        <w:div w:id="1429080092">
          <w:marLeft w:val="0"/>
          <w:marRight w:val="0"/>
          <w:marTop w:val="0"/>
          <w:marBottom w:val="0"/>
          <w:divBdr>
            <w:top w:val="none" w:sz="0" w:space="0" w:color="auto"/>
            <w:left w:val="none" w:sz="0" w:space="0" w:color="auto"/>
            <w:bottom w:val="none" w:sz="0" w:space="0" w:color="auto"/>
            <w:right w:val="none" w:sz="0" w:space="0" w:color="auto"/>
          </w:divBdr>
        </w:div>
        <w:div w:id="892036905">
          <w:marLeft w:val="0"/>
          <w:marRight w:val="0"/>
          <w:marTop w:val="0"/>
          <w:marBottom w:val="0"/>
          <w:divBdr>
            <w:top w:val="none" w:sz="0" w:space="0" w:color="auto"/>
            <w:left w:val="none" w:sz="0" w:space="0" w:color="auto"/>
            <w:bottom w:val="none" w:sz="0" w:space="0" w:color="auto"/>
            <w:right w:val="none" w:sz="0" w:space="0" w:color="auto"/>
          </w:divBdr>
        </w:div>
        <w:div w:id="884637039">
          <w:marLeft w:val="0"/>
          <w:marRight w:val="0"/>
          <w:marTop w:val="0"/>
          <w:marBottom w:val="0"/>
          <w:divBdr>
            <w:top w:val="none" w:sz="0" w:space="0" w:color="auto"/>
            <w:left w:val="none" w:sz="0" w:space="0" w:color="auto"/>
            <w:bottom w:val="none" w:sz="0" w:space="0" w:color="auto"/>
            <w:right w:val="none" w:sz="0" w:space="0" w:color="auto"/>
          </w:divBdr>
        </w:div>
        <w:div w:id="1100223821">
          <w:marLeft w:val="0"/>
          <w:marRight w:val="0"/>
          <w:marTop w:val="0"/>
          <w:marBottom w:val="0"/>
          <w:divBdr>
            <w:top w:val="none" w:sz="0" w:space="0" w:color="auto"/>
            <w:left w:val="none" w:sz="0" w:space="0" w:color="auto"/>
            <w:bottom w:val="none" w:sz="0" w:space="0" w:color="auto"/>
            <w:right w:val="none" w:sz="0" w:space="0" w:color="auto"/>
          </w:divBdr>
        </w:div>
        <w:div w:id="1027216429">
          <w:marLeft w:val="0"/>
          <w:marRight w:val="0"/>
          <w:marTop w:val="0"/>
          <w:marBottom w:val="0"/>
          <w:divBdr>
            <w:top w:val="none" w:sz="0" w:space="0" w:color="auto"/>
            <w:left w:val="none" w:sz="0" w:space="0" w:color="auto"/>
            <w:bottom w:val="none" w:sz="0" w:space="0" w:color="auto"/>
            <w:right w:val="none" w:sz="0" w:space="0" w:color="auto"/>
          </w:divBdr>
        </w:div>
        <w:div w:id="353002742">
          <w:marLeft w:val="0"/>
          <w:marRight w:val="0"/>
          <w:marTop w:val="0"/>
          <w:marBottom w:val="0"/>
          <w:divBdr>
            <w:top w:val="none" w:sz="0" w:space="0" w:color="auto"/>
            <w:left w:val="none" w:sz="0" w:space="0" w:color="auto"/>
            <w:bottom w:val="none" w:sz="0" w:space="0" w:color="auto"/>
            <w:right w:val="none" w:sz="0" w:space="0" w:color="auto"/>
          </w:divBdr>
        </w:div>
        <w:div w:id="1771582872">
          <w:marLeft w:val="0"/>
          <w:marRight w:val="0"/>
          <w:marTop w:val="0"/>
          <w:marBottom w:val="0"/>
          <w:divBdr>
            <w:top w:val="none" w:sz="0" w:space="0" w:color="auto"/>
            <w:left w:val="none" w:sz="0" w:space="0" w:color="auto"/>
            <w:bottom w:val="none" w:sz="0" w:space="0" w:color="auto"/>
            <w:right w:val="none" w:sz="0" w:space="0" w:color="auto"/>
          </w:divBdr>
        </w:div>
        <w:div w:id="716975548">
          <w:marLeft w:val="0"/>
          <w:marRight w:val="0"/>
          <w:marTop w:val="0"/>
          <w:marBottom w:val="0"/>
          <w:divBdr>
            <w:top w:val="none" w:sz="0" w:space="0" w:color="auto"/>
            <w:left w:val="none" w:sz="0" w:space="0" w:color="auto"/>
            <w:bottom w:val="none" w:sz="0" w:space="0" w:color="auto"/>
            <w:right w:val="none" w:sz="0" w:space="0" w:color="auto"/>
          </w:divBdr>
        </w:div>
        <w:div w:id="204029312">
          <w:marLeft w:val="0"/>
          <w:marRight w:val="0"/>
          <w:marTop w:val="0"/>
          <w:marBottom w:val="0"/>
          <w:divBdr>
            <w:top w:val="none" w:sz="0" w:space="0" w:color="auto"/>
            <w:left w:val="none" w:sz="0" w:space="0" w:color="auto"/>
            <w:bottom w:val="none" w:sz="0" w:space="0" w:color="auto"/>
            <w:right w:val="none" w:sz="0" w:space="0" w:color="auto"/>
          </w:divBdr>
        </w:div>
        <w:div w:id="1710689864">
          <w:marLeft w:val="0"/>
          <w:marRight w:val="0"/>
          <w:marTop w:val="0"/>
          <w:marBottom w:val="0"/>
          <w:divBdr>
            <w:top w:val="none" w:sz="0" w:space="0" w:color="auto"/>
            <w:left w:val="none" w:sz="0" w:space="0" w:color="auto"/>
            <w:bottom w:val="none" w:sz="0" w:space="0" w:color="auto"/>
            <w:right w:val="none" w:sz="0" w:space="0" w:color="auto"/>
          </w:divBdr>
        </w:div>
        <w:div w:id="1637683830">
          <w:marLeft w:val="0"/>
          <w:marRight w:val="0"/>
          <w:marTop w:val="0"/>
          <w:marBottom w:val="0"/>
          <w:divBdr>
            <w:top w:val="none" w:sz="0" w:space="0" w:color="auto"/>
            <w:left w:val="none" w:sz="0" w:space="0" w:color="auto"/>
            <w:bottom w:val="none" w:sz="0" w:space="0" w:color="auto"/>
            <w:right w:val="none" w:sz="0" w:space="0" w:color="auto"/>
          </w:divBdr>
        </w:div>
        <w:div w:id="859470627">
          <w:marLeft w:val="0"/>
          <w:marRight w:val="0"/>
          <w:marTop w:val="0"/>
          <w:marBottom w:val="0"/>
          <w:divBdr>
            <w:top w:val="none" w:sz="0" w:space="0" w:color="auto"/>
            <w:left w:val="none" w:sz="0" w:space="0" w:color="auto"/>
            <w:bottom w:val="none" w:sz="0" w:space="0" w:color="auto"/>
            <w:right w:val="none" w:sz="0" w:space="0" w:color="auto"/>
          </w:divBdr>
        </w:div>
        <w:div w:id="496071939">
          <w:marLeft w:val="0"/>
          <w:marRight w:val="0"/>
          <w:marTop w:val="0"/>
          <w:marBottom w:val="0"/>
          <w:divBdr>
            <w:top w:val="none" w:sz="0" w:space="0" w:color="auto"/>
            <w:left w:val="none" w:sz="0" w:space="0" w:color="auto"/>
            <w:bottom w:val="none" w:sz="0" w:space="0" w:color="auto"/>
            <w:right w:val="none" w:sz="0" w:space="0" w:color="auto"/>
          </w:divBdr>
        </w:div>
        <w:div w:id="453986090">
          <w:marLeft w:val="0"/>
          <w:marRight w:val="0"/>
          <w:marTop w:val="0"/>
          <w:marBottom w:val="0"/>
          <w:divBdr>
            <w:top w:val="none" w:sz="0" w:space="0" w:color="auto"/>
            <w:left w:val="none" w:sz="0" w:space="0" w:color="auto"/>
            <w:bottom w:val="none" w:sz="0" w:space="0" w:color="auto"/>
            <w:right w:val="none" w:sz="0" w:space="0" w:color="auto"/>
          </w:divBdr>
        </w:div>
        <w:div w:id="1079594317">
          <w:marLeft w:val="0"/>
          <w:marRight w:val="0"/>
          <w:marTop w:val="0"/>
          <w:marBottom w:val="0"/>
          <w:divBdr>
            <w:top w:val="none" w:sz="0" w:space="0" w:color="auto"/>
            <w:left w:val="none" w:sz="0" w:space="0" w:color="auto"/>
            <w:bottom w:val="none" w:sz="0" w:space="0" w:color="auto"/>
            <w:right w:val="none" w:sz="0" w:space="0" w:color="auto"/>
          </w:divBdr>
        </w:div>
        <w:div w:id="439226947">
          <w:marLeft w:val="0"/>
          <w:marRight w:val="0"/>
          <w:marTop w:val="0"/>
          <w:marBottom w:val="0"/>
          <w:divBdr>
            <w:top w:val="none" w:sz="0" w:space="0" w:color="auto"/>
            <w:left w:val="none" w:sz="0" w:space="0" w:color="auto"/>
            <w:bottom w:val="none" w:sz="0" w:space="0" w:color="auto"/>
            <w:right w:val="none" w:sz="0" w:space="0" w:color="auto"/>
          </w:divBdr>
        </w:div>
        <w:div w:id="733970338">
          <w:marLeft w:val="0"/>
          <w:marRight w:val="0"/>
          <w:marTop w:val="0"/>
          <w:marBottom w:val="0"/>
          <w:divBdr>
            <w:top w:val="none" w:sz="0" w:space="0" w:color="auto"/>
            <w:left w:val="none" w:sz="0" w:space="0" w:color="auto"/>
            <w:bottom w:val="none" w:sz="0" w:space="0" w:color="auto"/>
            <w:right w:val="none" w:sz="0" w:space="0" w:color="auto"/>
          </w:divBdr>
        </w:div>
      </w:divsChild>
    </w:div>
    <w:div w:id="1544248949">
      <w:bodyDiv w:val="1"/>
      <w:marLeft w:val="0"/>
      <w:marRight w:val="0"/>
      <w:marTop w:val="0"/>
      <w:marBottom w:val="0"/>
      <w:divBdr>
        <w:top w:val="none" w:sz="0" w:space="0" w:color="auto"/>
        <w:left w:val="none" w:sz="0" w:space="0" w:color="auto"/>
        <w:bottom w:val="none" w:sz="0" w:space="0" w:color="auto"/>
        <w:right w:val="none" w:sz="0" w:space="0" w:color="auto"/>
      </w:divBdr>
      <w:divsChild>
        <w:div w:id="431828146">
          <w:marLeft w:val="0"/>
          <w:marRight w:val="0"/>
          <w:marTop w:val="0"/>
          <w:marBottom w:val="0"/>
          <w:divBdr>
            <w:top w:val="none" w:sz="0" w:space="0" w:color="auto"/>
            <w:left w:val="none" w:sz="0" w:space="0" w:color="auto"/>
            <w:bottom w:val="none" w:sz="0" w:space="0" w:color="auto"/>
            <w:right w:val="none" w:sz="0" w:space="0" w:color="auto"/>
          </w:divBdr>
        </w:div>
        <w:div w:id="877203102">
          <w:marLeft w:val="0"/>
          <w:marRight w:val="0"/>
          <w:marTop w:val="0"/>
          <w:marBottom w:val="0"/>
          <w:divBdr>
            <w:top w:val="none" w:sz="0" w:space="0" w:color="auto"/>
            <w:left w:val="none" w:sz="0" w:space="0" w:color="auto"/>
            <w:bottom w:val="none" w:sz="0" w:space="0" w:color="auto"/>
            <w:right w:val="none" w:sz="0" w:space="0" w:color="auto"/>
          </w:divBdr>
        </w:div>
        <w:div w:id="1599025827">
          <w:marLeft w:val="0"/>
          <w:marRight w:val="0"/>
          <w:marTop w:val="0"/>
          <w:marBottom w:val="0"/>
          <w:divBdr>
            <w:top w:val="none" w:sz="0" w:space="0" w:color="auto"/>
            <w:left w:val="none" w:sz="0" w:space="0" w:color="auto"/>
            <w:bottom w:val="none" w:sz="0" w:space="0" w:color="auto"/>
            <w:right w:val="none" w:sz="0" w:space="0" w:color="auto"/>
          </w:divBdr>
        </w:div>
        <w:div w:id="833374521">
          <w:marLeft w:val="0"/>
          <w:marRight w:val="0"/>
          <w:marTop w:val="0"/>
          <w:marBottom w:val="0"/>
          <w:divBdr>
            <w:top w:val="none" w:sz="0" w:space="0" w:color="auto"/>
            <w:left w:val="none" w:sz="0" w:space="0" w:color="auto"/>
            <w:bottom w:val="none" w:sz="0" w:space="0" w:color="auto"/>
            <w:right w:val="none" w:sz="0" w:space="0" w:color="auto"/>
          </w:divBdr>
        </w:div>
        <w:div w:id="967317414">
          <w:marLeft w:val="0"/>
          <w:marRight w:val="0"/>
          <w:marTop w:val="0"/>
          <w:marBottom w:val="0"/>
          <w:divBdr>
            <w:top w:val="none" w:sz="0" w:space="0" w:color="auto"/>
            <w:left w:val="none" w:sz="0" w:space="0" w:color="auto"/>
            <w:bottom w:val="none" w:sz="0" w:space="0" w:color="auto"/>
            <w:right w:val="none" w:sz="0" w:space="0" w:color="auto"/>
          </w:divBdr>
        </w:div>
        <w:div w:id="1349984814">
          <w:marLeft w:val="0"/>
          <w:marRight w:val="0"/>
          <w:marTop w:val="0"/>
          <w:marBottom w:val="0"/>
          <w:divBdr>
            <w:top w:val="none" w:sz="0" w:space="0" w:color="auto"/>
            <w:left w:val="none" w:sz="0" w:space="0" w:color="auto"/>
            <w:bottom w:val="none" w:sz="0" w:space="0" w:color="auto"/>
            <w:right w:val="none" w:sz="0" w:space="0" w:color="auto"/>
          </w:divBdr>
        </w:div>
        <w:div w:id="1514690196">
          <w:marLeft w:val="0"/>
          <w:marRight w:val="0"/>
          <w:marTop w:val="0"/>
          <w:marBottom w:val="0"/>
          <w:divBdr>
            <w:top w:val="none" w:sz="0" w:space="0" w:color="auto"/>
            <w:left w:val="none" w:sz="0" w:space="0" w:color="auto"/>
            <w:bottom w:val="none" w:sz="0" w:space="0" w:color="auto"/>
            <w:right w:val="none" w:sz="0" w:space="0" w:color="auto"/>
          </w:divBdr>
        </w:div>
        <w:div w:id="165441806">
          <w:marLeft w:val="0"/>
          <w:marRight w:val="0"/>
          <w:marTop w:val="0"/>
          <w:marBottom w:val="0"/>
          <w:divBdr>
            <w:top w:val="none" w:sz="0" w:space="0" w:color="auto"/>
            <w:left w:val="none" w:sz="0" w:space="0" w:color="auto"/>
            <w:bottom w:val="none" w:sz="0" w:space="0" w:color="auto"/>
            <w:right w:val="none" w:sz="0" w:space="0" w:color="auto"/>
          </w:divBdr>
        </w:div>
        <w:div w:id="1452549331">
          <w:marLeft w:val="0"/>
          <w:marRight w:val="0"/>
          <w:marTop w:val="0"/>
          <w:marBottom w:val="0"/>
          <w:divBdr>
            <w:top w:val="none" w:sz="0" w:space="0" w:color="auto"/>
            <w:left w:val="none" w:sz="0" w:space="0" w:color="auto"/>
            <w:bottom w:val="none" w:sz="0" w:space="0" w:color="auto"/>
            <w:right w:val="none" w:sz="0" w:space="0" w:color="auto"/>
          </w:divBdr>
        </w:div>
        <w:div w:id="1078089440">
          <w:marLeft w:val="0"/>
          <w:marRight w:val="0"/>
          <w:marTop w:val="0"/>
          <w:marBottom w:val="0"/>
          <w:divBdr>
            <w:top w:val="none" w:sz="0" w:space="0" w:color="auto"/>
            <w:left w:val="none" w:sz="0" w:space="0" w:color="auto"/>
            <w:bottom w:val="none" w:sz="0" w:space="0" w:color="auto"/>
            <w:right w:val="none" w:sz="0" w:space="0" w:color="auto"/>
          </w:divBdr>
        </w:div>
        <w:div w:id="2133478299">
          <w:marLeft w:val="0"/>
          <w:marRight w:val="0"/>
          <w:marTop w:val="0"/>
          <w:marBottom w:val="0"/>
          <w:divBdr>
            <w:top w:val="none" w:sz="0" w:space="0" w:color="auto"/>
            <w:left w:val="none" w:sz="0" w:space="0" w:color="auto"/>
            <w:bottom w:val="none" w:sz="0" w:space="0" w:color="auto"/>
            <w:right w:val="none" w:sz="0" w:space="0" w:color="auto"/>
          </w:divBdr>
        </w:div>
        <w:div w:id="467670427">
          <w:marLeft w:val="0"/>
          <w:marRight w:val="0"/>
          <w:marTop w:val="0"/>
          <w:marBottom w:val="0"/>
          <w:divBdr>
            <w:top w:val="none" w:sz="0" w:space="0" w:color="auto"/>
            <w:left w:val="none" w:sz="0" w:space="0" w:color="auto"/>
            <w:bottom w:val="none" w:sz="0" w:space="0" w:color="auto"/>
            <w:right w:val="none" w:sz="0" w:space="0" w:color="auto"/>
          </w:divBdr>
        </w:div>
        <w:div w:id="2062904661">
          <w:marLeft w:val="0"/>
          <w:marRight w:val="0"/>
          <w:marTop w:val="0"/>
          <w:marBottom w:val="0"/>
          <w:divBdr>
            <w:top w:val="none" w:sz="0" w:space="0" w:color="auto"/>
            <w:left w:val="none" w:sz="0" w:space="0" w:color="auto"/>
            <w:bottom w:val="none" w:sz="0" w:space="0" w:color="auto"/>
            <w:right w:val="none" w:sz="0" w:space="0" w:color="auto"/>
          </w:divBdr>
        </w:div>
        <w:div w:id="1939365839">
          <w:marLeft w:val="0"/>
          <w:marRight w:val="0"/>
          <w:marTop w:val="0"/>
          <w:marBottom w:val="0"/>
          <w:divBdr>
            <w:top w:val="none" w:sz="0" w:space="0" w:color="auto"/>
            <w:left w:val="none" w:sz="0" w:space="0" w:color="auto"/>
            <w:bottom w:val="none" w:sz="0" w:space="0" w:color="auto"/>
            <w:right w:val="none" w:sz="0" w:space="0" w:color="auto"/>
          </w:divBdr>
        </w:div>
        <w:div w:id="611088810">
          <w:marLeft w:val="0"/>
          <w:marRight w:val="0"/>
          <w:marTop w:val="0"/>
          <w:marBottom w:val="0"/>
          <w:divBdr>
            <w:top w:val="none" w:sz="0" w:space="0" w:color="auto"/>
            <w:left w:val="none" w:sz="0" w:space="0" w:color="auto"/>
            <w:bottom w:val="none" w:sz="0" w:space="0" w:color="auto"/>
            <w:right w:val="none" w:sz="0" w:space="0" w:color="auto"/>
          </w:divBdr>
        </w:div>
        <w:div w:id="539363564">
          <w:marLeft w:val="0"/>
          <w:marRight w:val="0"/>
          <w:marTop w:val="0"/>
          <w:marBottom w:val="0"/>
          <w:divBdr>
            <w:top w:val="none" w:sz="0" w:space="0" w:color="auto"/>
            <w:left w:val="none" w:sz="0" w:space="0" w:color="auto"/>
            <w:bottom w:val="none" w:sz="0" w:space="0" w:color="auto"/>
            <w:right w:val="none" w:sz="0" w:space="0" w:color="auto"/>
          </w:divBdr>
        </w:div>
        <w:div w:id="1065955159">
          <w:marLeft w:val="0"/>
          <w:marRight w:val="0"/>
          <w:marTop w:val="0"/>
          <w:marBottom w:val="0"/>
          <w:divBdr>
            <w:top w:val="none" w:sz="0" w:space="0" w:color="auto"/>
            <w:left w:val="none" w:sz="0" w:space="0" w:color="auto"/>
            <w:bottom w:val="none" w:sz="0" w:space="0" w:color="auto"/>
            <w:right w:val="none" w:sz="0" w:space="0" w:color="auto"/>
          </w:divBdr>
        </w:div>
        <w:div w:id="1121614328">
          <w:marLeft w:val="0"/>
          <w:marRight w:val="0"/>
          <w:marTop w:val="0"/>
          <w:marBottom w:val="0"/>
          <w:divBdr>
            <w:top w:val="none" w:sz="0" w:space="0" w:color="auto"/>
            <w:left w:val="none" w:sz="0" w:space="0" w:color="auto"/>
            <w:bottom w:val="none" w:sz="0" w:space="0" w:color="auto"/>
            <w:right w:val="none" w:sz="0" w:space="0" w:color="auto"/>
          </w:divBdr>
        </w:div>
        <w:div w:id="1579250860">
          <w:marLeft w:val="0"/>
          <w:marRight w:val="0"/>
          <w:marTop w:val="0"/>
          <w:marBottom w:val="0"/>
          <w:divBdr>
            <w:top w:val="none" w:sz="0" w:space="0" w:color="auto"/>
            <w:left w:val="none" w:sz="0" w:space="0" w:color="auto"/>
            <w:bottom w:val="none" w:sz="0" w:space="0" w:color="auto"/>
            <w:right w:val="none" w:sz="0" w:space="0" w:color="auto"/>
          </w:divBdr>
        </w:div>
        <w:div w:id="199784288">
          <w:marLeft w:val="0"/>
          <w:marRight w:val="0"/>
          <w:marTop w:val="0"/>
          <w:marBottom w:val="0"/>
          <w:divBdr>
            <w:top w:val="none" w:sz="0" w:space="0" w:color="auto"/>
            <w:left w:val="none" w:sz="0" w:space="0" w:color="auto"/>
            <w:bottom w:val="none" w:sz="0" w:space="0" w:color="auto"/>
            <w:right w:val="none" w:sz="0" w:space="0" w:color="auto"/>
          </w:divBdr>
        </w:div>
        <w:div w:id="1285386925">
          <w:marLeft w:val="0"/>
          <w:marRight w:val="0"/>
          <w:marTop w:val="0"/>
          <w:marBottom w:val="0"/>
          <w:divBdr>
            <w:top w:val="none" w:sz="0" w:space="0" w:color="auto"/>
            <w:left w:val="none" w:sz="0" w:space="0" w:color="auto"/>
            <w:bottom w:val="none" w:sz="0" w:space="0" w:color="auto"/>
            <w:right w:val="none" w:sz="0" w:space="0" w:color="auto"/>
          </w:divBdr>
        </w:div>
        <w:div w:id="314261631">
          <w:marLeft w:val="0"/>
          <w:marRight w:val="0"/>
          <w:marTop w:val="0"/>
          <w:marBottom w:val="0"/>
          <w:divBdr>
            <w:top w:val="none" w:sz="0" w:space="0" w:color="auto"/>
            <w:left w:val="none" w:sz="0" w:space="0" w:color="auto"/>
            <w:bottom w:val="none" w:sz="0" w:space="0" w:color="auto"/>
            <w:right w:val="none" w:sz="0" w:space="0" w:color="auto"/>
          </w:divBdr>
        </w:div>
        <w:div w:id="1522471004">
          <w:marLeft w:val="0"/>
          <w:marRight w:val="0"/>
          <w:marTop w:val="0"/>
          <w:marBottom w:val="0"/>
          <w:divBdr>
            <w:top w:val="none" w:sz="0" w:space="0" w:color="auto"/>
            <w:left w:val="none" w:sz="0" w:space="0" w:color="auto"/>
            <w:bottom w:val="none" w:sz="0" w:space="0" w:color="auto"/>
            <w:right w:val="none" w:sz="0" w:space="0" w:color="auto"/>
          </w:divBdr>
        </w:div>
        <w:div w:id="557015566">
          <w:marLeft w:val="0"/>
          <w:marRight w:val="0"/>
          <w:marTop w:val="0"/>
          <w:marBottom w:val="0"/>
          <w:divBdr>
            <w:top w:val="none" w:sz="0" w:space="0" w:color="auto"/>
            <w:left w:val="none" w:sz="0" w:space="0" w:color="auto"/>
            <w:bottom w:val="none" w:sz="0" w:space="0" w:color="auto"/>
            <w:right w:val="none" w:sz="0" w:space="0" w:color="auto"/>
          </w:divBdr>
        </w:div>
      </w:divsChild>
    </w:div>
    <w:div w:id="1595091098">
      <w:bodyDiv w:val="1"/>
      <w:marLeft w:val="0"/>
      <w:marRight w:val="0"/>
      <w:marTop w:val="0"/>
      <w:marBottom w:val="0"/>
      <w:divBdr>
        <w:top w:val="none" w:sz="0" w:space="0" w:color="auto"/>
        <w:left w:val="none" w:sz="0" w:space="0" w:color="auto"/>
        <w:bottom w:val="none" w:sz="0" w:space="0" w:color="auto"/>
        <w:right w:val="none" w:sz="0" w:space="0" w:color="auto"/>
      </w:divBdr>
      <w:divsChild>
        <w:div w:id="2142647991">
          <w:marLeft w:val="0"/>
          <w:marRight w:val="0"/>
          <w:marTop w:val="0"/>
          <w:marBottom w:val="0"/>
          <w:divBdr>
            <w:top w:val="none" w:sz="0" w:space="0" w:color="auto"/>
            <w:left w:val="none" w:sz="0" w:space="0" w:color="auto"/>
            <w:bottom w:val="none" w:sz="0" w:space="0" w:color="auto"/>
            <w:right w:val="none" w:sz="0" w:space="0" w:color="auto"/>
          </w:divBdr>
        </w:div>
        <w:div w:id="584073587">
          <w:marLeft w:val="0"/>
          <w:marRight w:val="0"/>
          <w:marTop w:val="0"/>
          <w:marBottom w:val="0"/>
          <w:divBdr>
            <w:top w:val="none" w:sz="0" w:space="0" w:color="auto"/>
            <w:left w:val="none" w:sz="0" w:space="0" w:color="auto"/>
            <w:bottom w:val="none" w:sz="0" w:space="0" w:color="auto"/>
            <w:right w:val="none" w:sz="0" w:space="0" w:color="auto"/>
          </w:divBdr>
        </w:div>
        <w:div w:id="71396011">
          <w:marLeft w:val="0"/>
          <w:marRight w:val="0"/>
          <w:marTop w:val="0"/>
          <w:marBottom w:val="0"/>
          <w:divBdr>
            <w:top w:val="none" w:sz="0" w:space="0" w:color="auto"/>
            <w:left w:val="none" w:sz="0" w:space="0" w:color="auto"/>
            <w:bottom w:val="none" w:sz="0" w:space="0" w:color="auto"/>
            <w:right w:val="none" w:sz="0" w:space="0" w:color="auto"/>
          </w:divBdr>
        </w:div>
        <w:div w:id="1156652352">
          <w:marLeft w:val="0"/>
          <w:marRight w:val="0"/>
          <w:marTop w:val="0"/>
          <w:marBottom w:val="0"/>
          <w:divBdr>
            <w:top w:val="none" w:sz="0" w:space="0" w:color="auto"/>
            <w:left w:val="none" w:sz="0" w:space="0" w:color="auto"/>
            <w:bottom w:val="none" w:sz="0" w:space="0" w:color="auto"/>
            <w:right w:val="none" w:sz="0" w:space="0" w:color="auto"/>
          </w:divBdr>
        </w:div>
        <w:div w:id="943003488">
          <w:marLeft w:val="0"/>
          <w:marRight w:val="0"/>
          <w:marTop w:val="0"/>
          <w:marBottom w:val="0"/>
          <w:divBdr>
            <w:top w:val="none" w:sz="0" w:space="0" w:color="auto"/>
            <w:left w:val="none" w:sz="0" w:space="0" w:color="auto"/>
            <w:bottom w:val="none" w:sz="0" w:space="0" w:color="auto"/>
            <w:right w:val="none" w:sz="0" w:space="0" w:color="auto"/>
          </w:divBdr>
        </w:div>
        <w:div w:id="1204555523">
          <w:marLeft w:val="0"/>
          <w:marRight w:val="0"/>
          <w:marTop w:val="0"/>
          <w:marBottom w:val="0"/>
          <w:divBdr>
            <w:top w:val="none" w:sz="0" w:space="0" w:color="auto"/>
            <w:left w:val="none" w:sz="0" w:space="0" w:color="auto"/>
            <w:bottom w:val="none" w:sz="0" w:space="0" w:color="auto"/>
            <w:right w:val="none" w:sz="0" w:space="0" w:color="auto"/>
          </w:divBdr>
        </w:div>
        <w:div w:id="66919779">
          <w:marLeft w:val="0"/>
          <w:marRight w:val="0"/>
          <w:marTop w:val="0"/>
          <w:marBottom w:val="0"/>
          <w:divBdr>
            <w:top w:val="none" w:sz="0" w:space="0" w:color="auto"/>
            <w:left w:val="none" w:sz="0" w:space="0" w:color="auto"/>
            <w:bottom w:val="none" w:sz="0" w:space="0" w:color="auto"/>
            <w:right w:val="none" w:sz="0" w:space="0" w:color="auto"/>
          </w:divBdr>
        </w:div>
        <w:div w:id="20779758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renciaproyectos@cinep.org.co" TargetMode="External"/><Relationship Id="rId13" Type="http://schemas.openxmlformats.org/officeDocument/2006/relationships/hyperlink" Target="http://www.cerac.org.co/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about:blank" TargetMode="External"/><Relationship Id="rId12" Type="http://schemas.openxmlformats.org/officeDocument/2006/relationships/hyperlink" Target="mailto:victoria.rios@cerac.org.co"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rge.restrepo@cerac.org.c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4.emf"/><Relationship Id="rId10" Type="http://schemas.openxmlformats.org/officeDocument/2006/relationships/hyperlink" Target="mailto:maria.arocha@cerac.org.c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inep.org.co/" TargetMode="External"/><Relationship Id="rId14" Type="http://schemas.openxmlformats.org/officeDocument/2006/relationships/image" Target="media/image1.jpeg"/><Relationship Id="rId22"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69</Pages>
  <Words>18970</Words>
  <Characters>104341</Characters>
  <Application>Microsoft Office Word</Application>
  <DocSecurity>0</DocSecurity>
  <Lines>869</Lines>
  <Paragraphs>246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Diana Heredia</cp:lastModifiedBy>
  <cp:revision>7</cp:revision>
  <dcterms:created xsi:type="dcterms:W3CDTF">2017-09-15T13:43:00Z</dcterms:created>
  <dcterms:modified xsi:type="dcterms:W3CDTF">2017-09-25T15:52:00Z</dcterms:modified>
</cp:coreProperties>
</file>