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BA37" w14:textId="77777777" w:rsidR="00BB5ACF" w:rsidRDefault="003909EB" w:rsidP="008565FB">
      <w:pPr>
        <w:rPr>
          <w:b/>
          <w:sz w:val="24"/>
          <w:szCs w:val="24"/>
        </w:rPr>
      </w:pPr>
      <w:r>
        <w:rPr>
          <w:rFonts w:ascii="Calibri" w:hAnsi="Calibri"/>
          <w:b/>
          <w:noProof/>
          <w:lang w:eastAsia="en-US"/>
        </w:rPr>
        <w:drawing>
          <wp:anchor distT="0" distB="0" distL="114300" distR="114300" simplePos="0" relativeHeight="251658240" behindDoc="0" locked="0" layoutInCell="1" allowOverlap="1" wp14:anchorId="16FA2D2E" wp14:editId="16A3FD8D">
            <wp:simplePos x="0" y="0"/>
            <wp:positionH relativeFrom="column">
              <wp:posOffset>3473450</wp:posOffset>
            </wp:positionH>
            <wp:positionV relativeFrom="paragraph">
              <wp:posOffset>-80010</wp:posOffset>
            </wp:positionV>
            <wp:extent cx="1200785" cy="1041400"/>
            <wp:effectExtent l="0" t="0" r="0" b="6350"/>
            <wp:wrapSquare wrapText="bothSides"/>
            <wp:docPr id="2" name="Picture 2" descr="UNTF_e-sig_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F_e-sig_E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041400"/>
                    </a:xfrm>
                    <a:prstGeom prst="rect">
                      <a:avLst/>
                    </a:prstGeom>
                    <a:noFill/>
                    <a:ln>
                      <a:noFill/>
                    </a:ln>
                  </pic:spPr>
                </pic:pic>
              </a:graphicData>
            </a:graphic>
          </wp:anchor>
        </w:drawing>
      </w:r>
      <w:r w:rsidR="008565FB">
        <w:rPr>
          <w:b/>
          <w:sz w:val="24"/>
          <w:szCs w:val="24"/>
        </w:rPr>
        <w:br w:type="textWrapping" w:clear="all"/>
      </w:r>
    </w:p>
    <w:p w14:paraId="3CD5AF4A" w14:textId="77777777" w:rsidR="00702BEE" w:rsidRDefault="00A332F4" w:rsidP="008376F3">
      <w:pPr>
        <w:jc w:val="center"/>
        <w:rPr>
          <w:b/>
          <w:sz w:val="28"/>
          <w:szCs w:val="28"/>
        </w:rPr>
      </w:pPr>
      <w:r>
        <w:rPr>
          <w:b/>
          <w:sz w:val="28"/>
          <w:szCs w:val="28"/>
        </w:rPr>
        <w:t>UN</w:t>
      </w:r>
      <w:r w:rsidR="00702BEE">
        <w:rPr>
          <w:b/>
          <w:sz w:val="28"/>
          <w:szCs w:val="28"/>
        </w:rPr>
        <w:t xml:space="preserve"> Trust Fund to End Violence </w:t>
      </w:r>
      <w:r w:rsidR="001E389E">
        <w:rPr>
          <w:b/>
          <w:sz w:val="28"/>
          <w:szCs w:val="28"/>
        </w:rPr>
        <w:t>a</w:t>
      </w:r>
      <w:r w:rsidR="00702BEE">
        <w:rPr>
          <w:b/>
          <w:sz w:val="28"/>
          <w:szCs w:val="28"/>
        </w:rPr>
        <w:t>gainst Women</w:t>
      </w:r>
    </w:p>
    <w:p w14:paraId="6CB28585" w14:textId="77777777" w:rsidR="00236413" w:rsidRPr="008376F3" w:rsidRDefault="005E47CD" w:rsidP="008376F3">
      <w:pPr>
        <w:jc w:val="center"/>
        <w:rPr>
          <w:b/>
          <w:sz w:val="28"/>
          <w:szCs w:val="28"/>
        </w:rPr>
      </w:pPr>
      <w:r w:rsidRPr="003302ED">
        <w:rPr>
          <w:b/>
          <w:sz w:val="28"/>
          <w:szCs w:val="28"/>
        </w:rPr>
        <w:t>Narrative</w:t>
      </w:r>
      <w:r w:rsidR="00F16764" w:rsidRPr="003302ED">
        <w:rPr>
          <w:b/>
          <w:sz w:val="28"/>
          <w:szCs w:val="28"/>
        </w:rPr>
        <w:t xml:space="preserve"> </w:t>
      </w:r>
      <w:r w:rsidR="006E4129">
        <w:rPr>
          <w:b/>
          <w:sz w:val="28"/>
          <w:szCs w:val="28"/>
        </w:rPr>
        <w:t>Report</w:t>
      </w:r>
      <w:r w:rsidR="002F4E96" w:rsidRPr="003302ED">
        <w:rPr>
          <w:b/>
          <w:sz w:val="28"/>
          <w:szCs w:val="28"/>
        </w:rPr>
        <w:t xml:space="preserve"> </w:t>
      </w:r>
      <w:r w:rsidR="009070C2" w:rsidRPr="003302ED">
        <w:rPr>
          <w:b/>
          <w:sz w:val="28"/>
          <w:szCs w:val="28"/>
        </w:rPr>
        <w:t>Template</w:t>
      </w:r>
      <w:r w:rsidR="00106D0F" w:rsidRPr="003302ED">
        <w:rPr>
          <w:b/>
          <w:sz w:val="28"/>
          <w:szCs w:val="28"/>
        </w:rPr>
        <w:t xml:space="preserve"> for</w:t>
      </w:r>
      <w:r w:rsidRPr="003302ED">
        <w:rPr>
          <w:b/>
          <w:sz w:val="28"/>
          <w:szCs w:val="28"/>
        </w:rPr>
        <w:t xml:space="preserve"> </w:t>
      </w:r>
      <w:r w:rsidR="004139A8">
        <w:rPr>
          <w:b/>
          <w:sz w:val="28"/>
          <w:szCs w:val="28"/>
        </w:rPr>
        <w:t>Civil Society Organization</w:t>
      </w:r>
      <w:r w:rsidR="00A332F4">
        <w:rPr>
          <w:b/>
          <w:sz w:val="28"/>
          <w:szCs w:val="28"/>
        </w:rPr>
        <w:t>s</w:t>
      </w:r>
      <w:r w:rsidR="008565FB">
        <w:rPr>
          <w:b/>
          <w:sz w:val="28"/>
          <w:szCs w:val="28"/>
        </w:rPr>
        <w:t xml:space="preserve"> and Government Grantees</w:t>
      </w:r>
    </w:p>
    <w:p w14:paraId="17B91EC7" w14:textId="77777777" w:rsidR="00236413" w:rsidRDefault="00236413" w:rsidP="00236413">
      <w:pPr>
        <w:spacing w:after="0" w:line="240" w:lineRule="auto"/>
      </w:pPr>
    </w:p>
    <w:p w14:paraId="33DE7BA8" w14:textId="77777777" w:rsidR="001E389E" w:rsidRPr="00800517" w:rsidRDefault="00236413" w:rsidP="00236413">
      <w:pPr>
        <w:spacing w:after="0" w:line="240" w:lineRule="auto"/>
        <w:rPr>
          <w:sz w:val="21"/>
          <w:szCs w:val="21"/>
        </w:rPr>
      </w:pPr>
      <w:r w:rsidRPr="00800517">
        <w:rPr>
          <w:sz w:val="21"/>
          <w:szCs w:val="21"/>
        </w:rPr>
        <w:t xml:space="preserve">The Narrative Report section </w:t>
      </w:r>
      <w:r w:rsidR="00211708" w:rsidRPr="00800517">
        <w:rPr>
          <w:sz w:val="21"/>
          <w:szCs w:val="21"/>
        </w:rPr>
        <w:t xml:space="preserve">of </w:t>
      </w:r>
      <w:r w:rsidR="008376F3" w:rsidRPr="00800517">
        <w:rPr>
          <w:sz w:val="21"/>
          <w:szCs w:val="21"/>
        </w:rPr>
        <w:t>Progress/</w:t>
      </w:r>
      <w:r w:rsidR="00211708" w:rsidRPr="00800517">
        <w:rPr>
          <w:sz w:val="21"/>
          <w:szCs w:val="21"/>
        </w:rPr>
        <w:t xml:space="preserve">Annual/Final Report </w:t>
      </w:r>
      <w:r w:rsidRPr="00800517">
        <w:rPr>
          <w:sz w:val="21"/>
          <w:szCs w:val="21"/>
        </w:rPr>
        <w:t xml:space="preserve">consists of fourteen (14) sub-sections listed in the table below. </w:t>
      </w:r>
    </w:p>
    <w:p w14:paraId="793A9AD1" w14:textId="77777777" w:rsidR="00236413" w:rsidRPr="00800517" w:rsidRDefault="00236413" w:rsidP="00236413">
      <w:pPr>
        <w:spacing w:after="0" w:line="240" w:lineRule="auto"/>
        <w:rPr>
          <w:sz w:val="21"/>
          <w:szCs w:val="21"/>
        </w:rPr>
      </w:pPr>
    </w:p>
    <w:tbl>
      <w:tblPr>
        <w:tblStyle w:val="TableGrid"/>
        <w:tblW w:w="0" w:type="auto"/>
        <w:tblLook w:val="04A0" w:firstRow="1" w:lastRow="0" w:firstColumn="1" w:lastColumn="0" w:noHBand="0" w:noVBand="1"/>
      </w:tblPr>
      <w:tblGrid>
        <w:gridCol w:w="1008"/>
        <w:gridCol w:w="4860"/>
        <w:gridCol w:w="1710"/>
        <w:gridCol w:w="1710"/>
        <w:gridCol w:w="1728"/>
      </w:tblGrid>
      <w:tr w:rsidR="004139A8" w:rsidRPr="00800517" w14:paraId="5D8CDAA2" w14:textId="77777777" w:rsidTr="00106234">
        <w:tc>
          <w:tcPr>
            <w:tcW w:w="1008" w:type="dxa"/>
            <w:shd w:val="clear" w:color="auto" w:fill="F2F2F2" w:themeFill="background1" w:themeFillShade="F2"/>
          </w:tcPr>
          <w:p w14:paraId="58524C5E" w14:textId="77777777" w:rsidR="004139A8" w:rsidRPr="00800517" w:rsidRDefault="004139A8" w:rsidP="00236413">
            <w:pPr>
              <w:rPr>
                <w:rFonts w:cstheme="minorHAnsi"/>
                <w:b/>
                <w:sz w:val="21"/>
                <w:szCs w:val="21"/>
              </w:rPr>
            </w:pPr>
            <w:r w:rsidRPr="00800517">
              <w:rPr>
                <w:rFonts w:cstheme="minorHAnsi"/>
                <w:b/>
                <w:sz w:val="21"/>
                <w:szCs w:val="21"/>
              </w:rPr>
              <w:t xml:space="preserve">No. </w:t>
            </w:r>
          </w:p>
        </w:tc>
        <w:tc>
          <w:tcPr>
            <w:tcW w:w="4860" w:type="dxa"/>
            <w:shd w:val="clear" w:color="auto" w:fill="F2F2F2" w:themeFill="background1" w:themeFillShade="F2"/>
          </w:tcPr>
          <w:p w14:paraId="6848A982" w14:textId="77777777" w:rsidR="004139A8" w:rsidRPr="00800517" w:rsidRDefault="004139A8" w:rsidP="00236413">
            <w:pPr>
              <w:rPr>
                <w:rFonts w:cstheme="minorHAnsi"/>
                <w:b/>
                <w:sz w:val="21"/>
                <w:szCs w:val="21"/>
              </w:rPr>
            </w:pPr>
            <w:r w:rsidRPr="00800517">
              <w:rPr>
                <w:rFonts w:cstheme="minorHAnsi"/>
                <w:b/>
                <w:sz w:val="21"/>
                <w:szCs w:val="21"/>
              </w:rPr>
              <w:t xml:space="preserve">Narrative Report Sub-sections </w:t>
            </w:r>
          </w:p>
        </w:tc>
        <w:tc>
          <w:tcPr>
            <w:tcW w:w="1710" w:type="dxa"/>
            <w:shd w:val="clear" w:color="auto" w:fill="F2F2F2" w:themeFill="background1" w:themeFillShade="F2"/>
          </w:tcPr>
          <w:p w14:paraId="469BC7A1" w14:textId="77777777" w:rsidR="004139A8" w:rsidRPr="00800517" w:rsidRDefault="004139A8" w:rsidP="00236413">
            <w:pPr>
              <w:rPr>
                <w:rFonts w:cstheme="minorHAnsi"/>
                <w:b/>
                <w:sz w:val="21"/>
                <w:szCs w:val="21"/>
              </w:rPr>
            </w:pPr>
            <w:r w:rsidRPr="00800517">
              <w:rPr>
                <w:rFonts w:cstheme="minorHAnsi"/>
                <w:b/>
                <w:sz w:val="21"/>
                <w:szCs w:val="21"/>
              </w:rPr>
              <w:t xml:space="preserve">Progress Report </w:t>
            </w:r>
          </w:p>
        </w:tc>
        <w:tc>
          <w:tcPr>
            <w:tcW w:w="1710" w:type="dxa"/>
            <w:shd w:val="clear" w:color="auto" w:fill="F2F2F2" w:themeFill="background1" w:themeFillShade="F2"/>
          </w:tcPr>
          <w:p w14:paraId="61463870" w14:textId="77777777" w:rsidR="004139A8" w:rsidRPr="00800517" w:rsidRDefault="004139A8" w:rsidP="00236413">
            <w:pPr>
              <w:rPr>
                <w:rFonts w:cstheme="minorHAnsi"/>
                <w:b/>
                <w:sz w:val="21"/>
                <w:szCs w:val="21"/>
              </w:rPr>
            </w:pPr>
            <w:r w:rsidRPr="00800517">
              <w:rPr>
                <w:rFonts w:cstheme="minorHAnsi"/>
                <w:b/>
                <w:sz w:val="21"/>
                <w:szCs w:val="21"/>
              </w:rPr>
              <w:t xml:space="preserve">Annual Report </w:t>
            </w:r>
          </w:p>
        </w:tc>
        <w:tc>
          <w:tcPr>
            <w:tcW w:w="1728" w:type="dxa"/>
            <w:shd w:val="clear" w:color="auto" w:fill="F2F2F2" w:themeFill="background1" w:themeFillShade="F2"/>
          </w:tcPr>
          <w:p w14:paraId="5DF00F6E" w14:textId="77777777" w:rsidR="004139A8" w:rsidRPr="00800517" w:rsidRDefault="004139A8" w:rsidP="00236413">
            <w:pPr>
              <w:rPr>
                <w:rFonts w:cstheme="minorHAnsi"/>
                <w:b/>
                <w:sz w:val="21"/>
                <w:szCs w:val="21"/>
              </w:rPr>
            </w:pPr>
            <w:r w:rsidRPr="00800517">
              <w:rPr>
                <w:rFonts w:cstheme="minorHAnsi"/>
                <w:b/>
                <w:sz w:val="21"/>
                <w:szCs w:val="21"/>
              </w:rPr>
              <w:t xml:space="preserve">Final Report  </w:t>
            </w:r>
          </w:p>
        </w:tc>
      </w:tr>
      <w:tr w:rsidR="004139A8" w:rsidRPr="00800517" w14:paraId="50D1293A" w14:textId="77777777" w:rsidTr="00106234">
        <w:tc>
          <w:tcPr>
            <w:tcW w:w="1008" w:type="dxa"/>
          </w:tcPr>
          <w:p w14:paraId="7FAC535D" w14:textId="77777777" w:rsidR="004139A8" w:rsidRPr="00800517" w:rsidRDefault="004139A8" w:rsidP="00236413">
            <w:pPr>
              <w:rPr>
                <w:rFonts w:cstheme="minorHAnsi"/>
                <w:sz w:val="21"/>
                <w:szCs w:val="21"/>
              </w:rPr>
            </w:pPr>
            <w:r w:rsidRPr="00800517">
              <w:rPr>
                <w:rFonts w:cstheme="minorHAnsi"/>
                <w:sz w:val="21"/>
                <w:szCs w:val="21"/>
              </w:rPr>
              <w:t>3.1</w:t>
            </w:r>
          </w:p>
        </w:tc>
        <w:tc>
          <w:tcPr>
            <w:tcW w:w="4860" w:type="dxa"/>
          </w:tcPr>
          <w:p w14:paraId="110700D0" w14:textId="77777777" w:rsidR="004139A8" w:rsidRPr="00800517" w:rsidRDefault="004139A8" w:rsidP="00236413">
            <w:pPr>
              <w:rPr>
                <w:rFonts w:cstheme="minorHAnsi"/>
                <w:sz w:val="21"/>
                <w:szCs w:val="21"/>
              </w:rPr>
            </w:pPr>
            <w:r w:rsidRPr="00800517">
              <w:rPr>
                <w:rFonts w:cstheme="minorHAnsi"/>
                <w:sz w:val="21"/>
                <w:szCs w:val="21"/>
              </w:rPr>
              <w:t xml:space="preserve">Project Context </w:t>
            </w:r>
          </w:p>
        </w:tc>
        <w:tc>
          <w:tcPr>
            <w:tcW w:w="1710" w:type="dxa"/>
            <w:vAlign w:val="center"/>
          </w:tcPr>
          <w:p w14:paraId="54B6DFF0"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06B9D2C2"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vAlign w:val="center"/>
          </w:tcPr>
          <w:p w14:paraId="21D7046A"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2383BEB3" w14:textId="77777777" w:rsidTr="00106234">
        <w:tc>
          <w:tcPr>
            <w:tcW w:w="1008" w:type="dxa"/>
          </w:tcPr>
          <w:p w14:paraId="0327844B" w14:textId="77777777" w:rsidR="004139A8" w:rsidRPr="00800517" w:rsidRDefault="004139A8" w:rsidP="00236413">
            <w:pPr>
              <w:rPr>
                <w:rFonts w:cstheme="minorHAnsi"/>
                <w:sz w:val="21"/>
                <w:szCs w:val="21"/>
              </w:rPr>
            </w:pPr>
            <w:r w:rsidRPr="00800517">
              <w:rPr>
                <w:rFonts w:cstheme="minorHAnsi"/>
                <w:sz w:val="21"/>
                <w:szCs w:val="21"/>
              </w:rPr>
              <w:t>3.2</w:t>
            </w:r>
          </w:p>
        </w:tc>
        <w:tc>
          <w:tcPr>
            <w:tcW w:w="4860" w:type="dxa"/>
          </w:tcPr>
          <w:p w14:paraId="1E0AEC24" w14:textId="77777777" w:rsidR="004139A8" w:rsidRPr="00800517" w:rsidRDefault="004139A8" w:rsidP="00236413">
            <w:pPr>
              <w:rPr>
                <w:rFonts w:cstheme="minorHAnsi"/>
                <w:sz w:val="21"/>
                <w:szCs w:val="21"/>
              </w:rPr>
            </w:pPr>
            <w:r w:rsidRPr="00800517">
              <w:rPr>
                <w:rFonts w:cstheme="minorHAnsi"/>
                <w:sz w:val="21"/>
                <w:szCs w:val="21"/>
              </w:rPr>
              <w:t xml:space="preserve">Progress Summary </w:t>
            </w:r>
          </w:p>
        </w:tc>
        <w:tc>
          <w:tcPr>
            <w:tcW w:w="1710" w:type="dxa"/>
            <w:vAlign w:val="center"/>
          </w:tcPr>
          <w:p w14:paraId="2411F214"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5F80C14E"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vAlign w:val="center"/>
          </w:tcPr>
          <w:p w14:paraId="6984B795"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7351B541" w14:textId="77777777" w:rsidTr="00106234">
        <w:tc>
          <w:tcPr>
            <w:tcW w:w="1008" w:type="dxa"/>
          </w:tcPr>
          <w:p w14:paraId="10379E44" w14:textId="77777777" w:rsidR="004139A8" w:rsidRPr="00800517" w:rsidRDefault="004139A8" w:rsidP="00236413">
            <w:pPr>
              <w:rPr>
                <w:rFonts w:cstheme="minorHAnsi"/>
                <w:sz w:val="21"/>
                <w:szCs w:val="21"/>
              </w:rPr>
            </w:pPr>
            <w:r w:rsidRPr="00800517">
              <w:rPr>
                <w:rFonts w:cstheme="minorHAnsi"/>
                <w:sz w:val="21"/>
                <w:szCs w:val="21"/>
              </w:rPr>
              <w:t>3.3</w:t>
            </w:r>
          </w:p>
        </w:tc>
        <w:tc>
          <w:tcPr>
            <w:tcW w:w="4860" w:type="dxa"/>
          </w:tcPr>
          <w:p w14:paraId="40BF43E3" w14:textId="77777777" w:rsidR="004139A8" w:rsidRPr="00800517" w:rsidRDefault="004139A8" w:rsidP="00236413">
            <w:pPr>
              <w:rPr>
                <w:rFonts w:cstheme="minorHAnsi"/>
                <w:sz w:val="21"/>
                <w:szCs w:val="21"/>
              </w:rPr>
            </w:pPr>
            <w:r w:rsidRPr="00800517">
              <w:rPr>
                <w:rFonts w:cstheme="minorHAnsi"/>
                <w:sz w:val="21"/>
                <w:szCs w:val="21"/>
              </w:rPr>
              <w:t xml:space="preserve">Lessons Learned </w:t>
            </w:r>
          </w:p>
        </w:tc>
        <w:tc>
          <w:tcPr>
            <w:tcW w:w="1710" w:type="dxa"/>
            <w:vAlign w:val="center"/>
          </w:tcPr>
          <w:p w14:paraId="049C2340"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7501022C"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vAlign w:val="center"/>
          </w:tcPr>
          <w:p w14:paraId="42BD4D77"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1C3ADBEE" w14:textId="77777777" w:rsidTr="00106234">
        <w:tc>
          <w:tcPr>
            <w:tcW w:w="1008" w:type="dxa"/>
          </w:tcPr>
          <w:p w14:paraId="20A37574" w14:textId="77777777" w:rsidR="004139A8" w:rsidRPr="00800517" w:rsidRDefault="004139A8" w:rsidP="00236413">
            <w:pPr>
              <w:rPr>
                <w:rFonts w:cstheme="minorHAnsi"/>
                <w:sz w:val="21"/>
                <w:szCs w:val="21"/>
              </w:rPr>
            </w:pPr>
            <w:r w:rsidRPr="00800517">
              <w:rPr>
                <w:rFonts w:cstheme="minorHAnsi"/>
                <w:sz w:val="21"/>
                <w:szCs w:val="21"/>
              </w:rPr>
              <w:t>3.4</w:t>
            </w:r>
          </w:p>
        </w:tc>
        <w:tc>
          <w:tcPr>
            <w:tcW w:w="4860" w:type="dxa"/>
          </w:tcPr>
          <w:p w14:paraId="39DD99EA" w14:textId="77777777" w:rsidR="004139A8" w:rsidRPr="00800517" w:rsidRDefault="004139A8" w:rsidP="00236413">
            <w:pPr>
              <w:rPr>
                <w:rFonts w:cstheme="minorHAnsi"/>
                <w:sz w:val="21"/>
                <w:szCs w:val="21"/>
              </w:rPr>
            </w:pPr>
            <w:r w:rsidRPr="00800517">
              <w:rPr>
                <w:rFonts w:cstheme="minorHAnsi"/>
                <w:sz w:val="21"/>
                <w:szCs w:val="21"/>
              </w:rPr>
              <w:t xml:space="preserve">Innovative Methodology </w:t>
            </w:r>
          </w:p>
        </w:tc>
        <w:tc>
          <w:tcPr>
            <w:tcW w:w="1710" w:type="dxa"/>
            <w:vAlign w:val="center"/>
          </w:tcPr>
          <w:p w14:paraId="05667762"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46FEA81E"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vAlign w:val="center"/>
          </w:tcPr>
          <w:p w14:paraId="3284659C"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0B2437DC" w14:textId="77777777" w:rsidTr="00106234">
        <w:tc>
          <w:tcPr>
            <w:tcW w:w="1008" w:type="dxa"/>
          </w:tcPr>
          <w:p w14:paraId="1913ED2A" w14:textId="77777777" w:rsidR="004139A8" w:rsidRPr="00800517" w:rsidRDefault="004139A8" w:rsidP="00236413">
            <w:pPr>
              <w:rPr>
                <w:rFonts w:cstheme="minorHAnsi"/>
                <w:sz w:val="21"/>
                <w:szCs w:val="21"/>
              </w:rPr>
            </w:pPr>
            <w:r w:rsidRPr="00800517">
              <w:rPr>
                <w:rFonts w:cstheme="minorHAnsi"/>
                <w:sz w:val="21"/>
                <w:szCs w:val="21"/>
              </w:rPr>
              <w:t>3.5</w:t>
            </w:r>
          </w:p>
        </w:tc>
        <w:tc>
          <w:tcPr>
            <w:tcW w:w="4860" w:type="dxa"/>
          </w:tcPr>
          <w:p w14:paraId="2C7E2479" w14:textId="77777777" w:rsidR="004139A8" w:rsidRPr="00800517" w:rsidRDefault="004139A8" w:rsidP="00236413">
            <w:pPr>
              <w:rPr>
                <w:rFonts w:cstheme="minorHAnsi"/>
                <w:sz w:val="21"/>
                <w:szCs w:val="21"/>
              </w:rPr>
            </w:pPr>
            <w:r w:rsidRPr="00800517">
              <w:rPr>
                <w:rFonts w:cstheme="minorHAnsi"/>
                <w:sz w:val="21"/>
                <w:szCs w:val="21"/>
              </w:rPr>
              <w:t xml:space="preserve">Existing Methodology </w:t>
            </w:r>
          </w:p>
        </w:tc>
        <w:tc>
          <w:tcPr>
            <w:tcW w:w="1710" w:type="dxa"/>
            <w:vAlign w:val="center"/>
          </w:tcPr>
          <w:p w14:paraId="7E4A02FB"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78614CE5"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vAlign w:val="center"/>
          </w:tcPr>
          <w:p w14:paraId="47CFD4D1"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16C00312" w14:textId="77777777" w:rsidTr="00106234">
        <w:tc>
          <w:tcPr>
            <w:tcW w:w="1008" w:type="dxa"/>
          </w:tcPr>
          <w:p w14:paraId="077FB5E9" w14:textId="77777777" w:rsidR="004139A8" w:rsidRPr="00800517" w:rsidRDefault="004139A8" w:rsidP="00236413">
            <w:pPr>
              <w:rPr>
                <w:rFonts w:cstheme="minorHAnsi"/>
                <w:sz w:val="21"/>
                <w:szCs w:val="21"/>
              </w:rPr>
            </w:pPr>
            <w:r w:rsidRPr="00800517">
              <w:rPr>
                <w:rFonts w:cstheme="minorHAnsi"/>
                <w:sz w:val="21"/>
                <w:szCs w:val="21"/>
              </w:rPr>
              <w:t>3.6</w:t>
            </w:r>
          </w:p>
        </w:tc>
        <w:tc>
          <w:tcPr>
            <w:tcW w:w="4860" w:type="dxa"/>
          </w:tcPr>
          <w:p w14:paraId="49726DF5" w14:textId="77777777" w:rsidR="004139A8" w:rsidRPr="00800517" w:rsidRDefault="004139A8" w:rsidP="00236413">
            <w:pPr>
              <w:rPr>
                <w:rFonts w:cstheme="minorHAnsi"/>
                <w:sz w:val="21"/>
                <w:szCs w:val="21"/>
              </w:rPr>
            </w:pPr>
            <w:r w:rsidRPr="00800517">
              <w:rPr>
                <w:rFonts w:cstheme="minorHAnsi"/>
                <w:sz w:val="21"/>
                <w:szCs w:val="21"/>
              </w:rPr>
              <w:t xml:space="preserve">Issues and Challenges </w:t>
            </w:r>
          </w:p>
        </w:tc>
        <w:tc>
          <w:tcPr>
            <w:tcW w:w="1710" w:type="dxa"/>
            <w:vAlign w:val="center"/>
          </w:tcPr>
          <w:p w14:paraId="45F12054"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4E720590"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tcBorders>
              <w:bottom w:val="single" w:sz="4" w:space="0" w:color="auto"/>
            </w:tcBorders>
            <w:vAlign w:val="center"/>
          </w:tcPr>
          <w:p w14:paraId="074C575B"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01F592C6" w14:textId="77777777" w:rsidTr="00106234">
        <w:tc>
          <w:tcPr>
            <w:tcW w:w="1008" w:type="dxa"/>
          </w:tcPr>
          <w:p w14:paraId="5F42882D" w14:textId="77777777" w:rsidR="004139A8" w:rsidRPr="00800517" w:rsidRDefault="004139A8" w:rsidP="00236413">
            <w:pPr>
              <w:rPr>
                <w:rFonts w:cstheme="minorHAnsi"/>
                <w:color w:val="000000" w:themeColor="text1"/>
                <w:sz w:val="21"/>
                <w:szCs w:val="21"/>
              </w:rPr>
            </w:pPr>
            <w:r w:rsidRPr="00800517">
              <w:rPr>
                <w:rFonts w:cstheme="minorHAnsi"/>
                <w:color w:val="000000" w:themeColor="text1"/>
                <w:sz w:val="21"/>
                <w:szCs w:val="21"/>
              </w:rPr>
              <w:t>3.7</w:t>
            </w:r>
          </w:p>
        </w:tc>
        <w:tc>
          <w:tcPr>
            <w:tcW w:w="4860" w:type="dxa"/>
          </w:tcPr>
          <w:p w14:paraId="166F20DC" w14:textId="77777777" w:rsidR="004139A8" w:rsidRPr="00800517" w:rsidRDefault="004139A8" w:rsidP="00236413">
            <w:pPr>
              <w:rPr>
                <w:rFonts w:cstheme="minorHAnsi"/>
                <w:color w:val="000000" w:themeColor="text1"/>
                <w:sz w:val="21"/>
                <w:szCs w:val="21"/>
              </w:rPr>
            </w:pPr>
            <w:r w:rsidRPr="00800517">
              <w:rPr>
                <w:rFonts w:cstheme="minorHAnsi"/>
                <w:color w:val="000000" w:themeColor="text1"/>
                <w:sz w:val="21"/>
                <w:szCs w:val="21"/>
              </w:rPr>
              <w:t xml:space="preserve">Next Steps </w:t>
            </w:r>
          </w:p>
        </w:tc>
        <w:tc>
          <w:tcPr>
            <w:tcW w:w="1710" w:type="dxa"/>
            <w:tcBorders>
              <w:bottom w:val="single" w:sz="4" w:space="0" w:color="auto"/>
            </w:tcBorders>
            <w:vAlign w:val="center"/>
          </w:tcPr>
          <w:p w14:paraId="404C4AB9"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49DB7AE4"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tcBorders>
              <w:tr2bl w:val="single" w:sz="4" w:space="0" w:color="auto"/>
            </w:tcBorders>
            <w:vAlign w:val="center"/>
          </w:tcPr>
          <w:p w14:paraId="040654F3" w14:textId="77777777" w:rsidR="004139A8" w:rsidRPr="00800517" w:rsidRDefault="004139A8" w:rsidP="00236413">
            <w:pPr>
              <w:jc w:val="center"/>
              <w:rPr>
                <w:rFonts w:cstheme="minorHAnsi"/>
                <w:b/>
                <w:sz w:val="21"/>
                <w:szCs w:val="21"/>
              </w:rPr>
            </w:pPr>
          </w:p>
        </w:tc>
      </w:tr>
      <w:tr w:rsidR="004139A8" w:rsidRPr="00800517" w14:paraId="11CFB374" w14:textId="77777777" w:rsidTr="004139A8">
        <w:tc>
          <w:tcPr>
            <w:tcW w:w="1008" w:type="dxa"/>
          </w:tcPr>
          <w:p w14:paraId="450C54A6" w14:textId="77777777" w:rsidR="004139A8" w:rsidRPr="00800517" w:rsidRDefault="004139A8" w:rsidP="00236413">
            <w:pPr>
              <w:rPr>
                <w:rFonts w:cstheme="minorHAnsi"/>
                <w:color w:val="000000" w:themeColor="text1"/>
                <w:sz w:val="21"/>
                <w:szCs w:val="21"/>
              </w:rPr>
            </w:pPr>
            <w:r w:rsidRPr="00800517">
              <w:rPr>
                <w:rFonts w:cstheme="minorHAnsi"/>
                <w:color w:val="000000" w:themeColor="text1"/>
                <w:sz w:val="21"/>
                <w:szCs w:val="21"/>
              </w:rPr>
              <w:t>3.8</w:t>
            </w:r>
          </w:p>
        </w:tc>
        <w:tc>
          <w:tcPr>
            <w:tcW w:w="4860" w:type="dxa"/>
          </w:tcPr>
          <w:p w14:paraId="05185048" w14:textId="77777777" w:rsidR="004139A8" w:rsidRPr="00800517" w:rsidRDefault="004139A8" w:rsidP="00236413">
            <w:pPr>
              <w:rPr>
                <w:rFonts w:cstheme="minorHAnsi"/>
                <w:color w:val="000000" w:themeColor="text1"/>
                <w:sz w:val="21"/>
                <w:szCs w:val="21"/>
              </w:rPr>
            </w:pPr>
            <w:r w:rsidRPr="00800517">
              <w:rPr>
                <w:rFonts w:cstheme="minorHAnsi"/>
                <w:color w:val="000000" w:themeColor="text1"/>
                <w:sz w:val="21"/>
                <w:szCs w:val="21"/>
              </w:rPr>
              <w:t xml:space="preserve">Sustainability </w:t>
            </w:r>
          </w:p>
        </w:tc>
        <w:tc>
          <w:tcPr>
            <w:tcW w:w="1710" w:type="dxa"/>
            <w:tcBorders>
              <w:tr2bl w:val="single" w:sz="4" w:space="0" w:color="auto"/>
            </w:tcBorders>
          </w:tcPr>
          <w:p w14:paraId="10CC9AD3" w14:textId="77777777" w:rsidR="004139A8" w:rsidRPr="00800517" w:rsidRDefault="004139A8" w:rsidP="00236413">
            <w:pPr>
              <w:jc w:val="center"/>
              <w:rPr>
                <w:rFonts w:cstheme="minorHAnsi"/>
                <w:b/>
                <w:sz w:val="21"/>
                <w:szCs w:val="21"/>
              </w:rPr>
            </w:pPr>
          </w:p>
        </w:tc>
        <w:tc>
          <w:tcPr>
            <w:tcW w:w="1710" w:type="dxa"/>
            <w:vAlign w:val="center"/>
          </w:tcPr>
          <w:p w14:paraId="145C3AC4" w14:textId="77777777" w:rsidR="004139A8" w:rsidRPr="00800517" w:rsidRDefault="004139A8" w:rsidP="00236413">
            <w:pPr>
              <w:jc w:val="center"/>
              <w:rPr>
                <w:rFonts w:cstheme="minorHAnsi"/>
                <w:b/>
                <w:sz w:val="21"/>
                <w:szCs w:val="21"/>
              </w:rPr>
            </w:pPr>
            <w:r w:rsidRPr="00800517">
              <w:rPr>
                <w:rFonts w:cstheme="minorHAnsi"/>
                <w:b/>
                <w:sz w:val="21"/>
                <w:szCs w:val="21"/>
              </w:rPr>
              <w:t>X</w:t>
            </w:r>
          </w:p>
        </w:tc>
        <w:tc>
          <w:tcPr>
            <w:tcW w:w="1728" w:type="dxa"/>
            <w:vAlign w:val="center"/>
          </w:tcPr>
          <w:p w14:paraId="314727D4"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5EAA4073" w14:textId="77777777" w:rsidTr="00106234">
        <w:tc>
          <w:tcPr>
            <w:tcW w:w="1008" w:type="dxa"/>
          </w:tcPr>
          <w:p w14:paraId="68242EE6" w14:textId="77777777" w:rsidR="004139A8" w:rsidRPr="00800517" w:rsidRDefault="004139A8" w:rsidP="00236413">
            <w:pPr>
              <w:rPr>
                <w:rFonts w:cstheme="minorHAnsi"/>
                <w:sz w:val="21"/>
                <w:szCs w:val="21"/>
              </w:rPr>
            </w:pPr>
            <w:r w:rsidRPr="00800517">
              <w:rPr>
                <w:rFonts w:cstheme="minorHAnsi"/>
                <w:sz w:val="21"/>
                <w:szCs w:val="21"/>
              </w:rPr>
              <w:t>3.9</w:t>
            </w:r>
          </w:p>
        </w:tc>
        <w:tc>
          <w:tcPr>
            <w:tcW w:w="4860" w:type="dxa"/>
          </w:tcPr>
          <w:p w14:paraId="4F280B84" w14:textId="77777777" w:rsidR="004139A8" w:rsidRPr="00800517" w:rsidRDefault="004139A8" w:rsidP="00236413">
            <w:pPr>
              <w:rPr>
                <w:rFonts w:cstheme="minorHAnsi"/>
                <w:sz w:val="21"/>
                <w:szCs w:val="21"/>
              </w:rPr>
            </w:pPr>
            <w:r w:rsidRPr="00800517">
              <w:rPr>
                <w:rFonts w:cstheme="minorHAnsi"/>
                <w:sz w:val="21"/>
                <w:szCs w:val="21"/>
              </w:rPr>
              <w:t xml:space="preserve">Voices from the field </w:t>
            </w:r>
            <w:r w:rsidR="007727AA" w:rsidRPr="00800517">
              <w:rPr>
                <w:rFonts w:cstheme="minorHAnsi"/>
                <w:sz w:val="21"/>
                <w:szCs w:val="21"/>
              </w:rPr>
              <w:t>(</w:t>
            </w:r>
            <w:r w:rsidR="007727AA" w:rsidRPr="00800517">
              <w:rPr>
                <w:rFonts w:cstheme="minorHAnsi"/>
                <w:color w:val="FF0000"/>
                <w:sz w:val="21"/>
                <w:szCs w:val="21"/>
              </w:rPr>
              <w:t>optional</w:t>
            </w:r>
            <w:r w:rsidR="007727AA" w:rsidRPr="00800517">
              <w:rPr>
                <w:rFonts w:cstheme="minorHAnsi"/>
                <w:sz w:val="21"/>
                <w:szCs w:val="21"/>
              </w:rPr>
              <w:t>)</w:t>
            </w:r>
          </w:p>
        </w:tc>
        <w:tc>
          <w:tcPr>
            <w:tcW w:w="1710" w:type="dxa"/>
            <w:vAlign w:val="center"/>
          </w:tcPr>
          <w:p w14:paraId="4E4E9840"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3833AC29"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28" w:type="dxa"/>
            <w:vAlign w:val="center"/>
          </w:tcPr>
          <w:p w14:paraId="316083BA"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56135199" w14:textId="77777777" w:rsidTr="00106234">
        <w:tc>
          <w:tcPr>
            <w:tcW w:w="1008" w:type="dxa"/>
          </w:tcPr>
          <w:p w14:paraId="4477595D" w14:textId="77777777" w:rsidR="004139A8" w:rsidRPr="00800517" w:rsidRDefault="004139A8" w:rsidP="00236413">
            <w:pPr>
              <w:rPr>
                <w:rFonts w:cstheme="minorHAnsi"/>
                <w:sz w:val="21"/>
                <w:szCs w:val="21"/>
              </w:rPr>
            </w:pPr>
            <w:r w:rsidRPr="00800517">
              <w:rPr>
                <w:rFonts w:cstheme="minorHAnsi"/>
                <w:sz w:val="21"/>
                <w:szCs w:val="21"/>
              </w:rPr>
              <w:t>3.10</w:t>
            </w:r>
          </w:p>
        </w:tc>
        <w:tc>
          <w:tcPr>
            <w:tcW w:w="4860" w:type="dxa"/>
          </w:tcPr>
          <w:p w14:paraId="31AC199B" w14:textId="77777777" w:rsidR="004139A8" w:rsidRPr="00800517" w:rsidRDefault="004139A8" w:rsidP="00236413">
            <w:pPr>
              <w:rPr>
                <w:rFonts w:cstheme="minorHAnsi"/>
                <w:sz w:val="21"/>
                <w:szCs w:val="21"/>
              </w:rPr>
            </w:pPr>
            <w:r w:rsidRPr="00800517">
              <w:rPr>
                <w:rFonts w:cstheme="minorHAnsi"/>
                <w:sz w:val="21"/>
                <w:szCs w:val="21"/>
              </w:rPr>
              <w:t xml:space="preserve">Knowledge and Communication Products </w:t>
            </w:r>
          </w:p>
        </w:tc>
        <w:tc>
          <w:tcPr>
            <w:tcW w:w="1710" w:type="dxa"/>
            <w:vAlign w:val="center"/>
          </w:tcPr>
          <w:p w14:paraId="325F1A76"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058701D4"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28" w:type="dxa"/>
            <w:vAlign w:val="center"/>
          </w:tcPr>
          <w:p w14:paraId="275DD724"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69DD6F0C" w14:textId="77777777" w:rsidTr="00106234">
        <w:tc>
          <w:tcPr>
            <w:tcW w:w="1008" w:type="dxa"/>
          </w:tcPr>
          <w:p w14:paraId="3E2E4C66" w14:textId="77777777" w:rsidR="004139A8" w:rsidRPr="00800517" w:rsidRDefault="004139A8" w:rsidP="00236413">
            <w:pPr>
              <w:rPr>
                <w:rFonts w:cstheme="minorHAnsi"/>
                <w:sz w:val="21"/>
                <w:szCs w:val="21"/>
              </w:rPr>
            </w:pPr>
            <w:r w:rsidRPr="00800517">
              <w:rPr>
                <w:rFonts w:cstheme="minorHAnsi"/>
                <w:sz w:val="21"/>
                <w:szCs w:val="21"/>
              </w:rPr>
              <w:t>3.11</w:t>
            </w:r>
          </w:p>
        </w:tc>
        <w:tc>
          <w:tcPr>
            <w:tcW w:w="4860" w:type="dxa"/>
          </w:tcPr>
          <w:p w14:paraId="1135BB86" w14:textId="77777777" w:rsidR="004139A8" w:rsidRPr="00800517" w:rsidRDefault="004139A8" w:rsidP="00236413">
            <w:pPr>
              <w:rPr>
                <w:rFonts w:cstheme="minorHAnsi"/>
                <w:sz w:val="21"/>
                <w:szCs w:val="21"/>
              </w:rPr>
            </w:pPr>
            <w:r w:rsidRPr="00800517">
              <w:rPr>
                <w:rFonts w:cstheme="minorHAnsi"/>
                <w:sz w:val="21"/>
                <w:szCs w:val="21"/>
              </w:rPr>
              <w:t xml:space="preserve">Photos </w:t>
            </w:r>
          </w:p>
        </w:tc>
        <w:tc>
          <w:tcPr>
            <w:tcW w:w="1710" w:type="dxa"/>
            <w:vAlign w:val="center"/>
          </w:tcPr>
          <w:p w14:paraId="5567CEAF"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0A70E299"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28" w:type="dxa"/>
            <w:vAlign w:val="center"/>
          </w:tcPr>
          <w:p w14:paraId="27B1C4F3"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16D3507D" w14:textId="77777777" w:rsidTr="00106234">
        <w:tc>
          <w:tcPr>
            <w:tcW w:w="1008" w:type="dxa"/>
          </w:tcPr>
          <w:p w14:paraId="6EFA1837" w14:textId="77777777" w:rsidR="004139A8" w:rsidRPr="00800517" w:rsidRDefault="004139A8" w:rsidP="00236413">
            <w:pPr>
              <w:rPr>
                <w:rFonts w:cstheme="minorHAnsi"/>
                <w:sz w:val="21"/>
                <w:szCs w:val="21"/>
              </w:rPr>
            </w:pPr>
            <w:r w:rsidRPr="00800517">
              <w:rPr>
                <w:rFonts w:cstheme="minorHAnsi"/>
                <w:sz w:val="21"/>
                <w:szCs w:val="21"/>
              </w:rPr>
              <w:t>3.12</w:t>
            </w:r>
          </w:p>
        </w:tc>
        <w:tc>
          <w:tcPr>
            <w:tcW w:w="4860" w:type="dxa"/>
          </w:tcPr>
          <w:p w14:paraId="0B7FF5A9" w14:textId="77777777" w:rsidR="004139A8" w:rsidRPr="00800517" w:rsidRDefault="004139A8" w:rsidP="00236413">
            <w:pPr>
              <w:rPr>
                <w:rFonts w:cstheme="minorHAnsi"/>
                <w:sz w:val="21"/>
                <w:szCs w:val="21"/>
              </w:rPr>
            </w:pPr>
            <w:r w:rsidRPr="00800517">
              <w:rPr>
                <w:rFonts w:cstheme="minorHAnsi"/>
                <w:sz w:val="21"/>
                <w:szCs w:val="21"/>
              </w:rPr>
              <w:t xml:space="preserve">Awards, special recognition and/or media coverage </w:t>
            </w:r>
          </w:p>
        </w:tc>
        <w:tc>
          <w:tcPr>
            <w:tcW w:w="1710" w:type="dxa"/>
            <w:vAlign w:val="center"/>
          </w:tcPr>
          <w:p w14:paraId="47001BA7"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6A31A58A"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28" w:type="dxa"/>
            <w:vAlign w:val="center"/>
          </w:tcPr>
          <w:p w14:paraId="0DA8911A"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3D4E7212" w14:textId="77777777" w:rsidTr="00106234">
        <w:tc>
          <w:tcPr>
            <w:tcW w:w="1008" w:type="dxa"/>
          </w:tcPr>
          <w:p w14:paraId="43C38E2C" w14:textId="77777777" w:rsidR="004139A8" w:rsidRPr="00800517" w:rsidRDefault="004139A8" w:rsidP="00236413">
            <w:pPr>
              <w:rPr>
                <w:rFonts w:cstheme="minorHAnsi"/>
                <w:sz w:val="21"/>
                <w:szCs w:val="21"/>
              </w:rPr>
            </w:pPr>
            <w:r w:rsidRPr="00800517">
              <w:rPr>
                <w:rFonts w:cstheme="minorHAnsi"/>
                <w:sz w:val="21"/>
                <w:szCs w:val="21"/>
              </w:rPr>
              <w:t>3.13</w:t>
            </w:r>
          </w:p>
        </w:tc>
        <w:tc>
          <w:tcPr>
            <w:tcW w:w="4860" w:type="dxa"/>
          </w:tcPr>
          <w:p w14:paraId="403201C1" w14:textId="77777777" w:rsidR="004139A8" w:rsidRPr="00800517" w:rsidRDefault="004139A8" w:rsidP="00236413">
            <w:pPr>
              <w:rPr>
                <w:rFonts w:cstheme="minorHAnsi"/>
                <w:sz w:val="21"/>
                <w:szCs w:val="21"/>
              </w:rPr>
            </w:pPr>
            <w:r w:rsidRPr="00800517">
              <w:rPr>
                <w:rFonts w:cstheme="minorHAnsi"/>
                <w:sz w:val="21"/>
                <w:szCs w:val="21"/>
              </w:rPr>
              <w:t xml:space="preserve">Annexes: supporting documents </w:t>
            </w:r>
            <w:r w:rsidR="00AD6847" w:rsidRPr="00800517">
              <w:rPr>
                <w:rFonts w:cstheme="minorHAnsi"/>
                <w:sz w:val="21"/>
                <w:szCs w:val="21"/>
              </w:rPr>
              <w:t>(</w:t>
            </w:r>
            <w:r w:rsidR="00AD6847" w:rsidRPr="00800517">
              <w:rPr>
                <w:rFonts w:cstheme="minorHAnsi"/>
                <w:color w:val="FF0000"/>
                <w:sz w:val="21"/>
                <w:szCs w:val="21"/>
              </w:rPr>
              <w:t>optional</w:t>
            </w:r>
            <w:r w:rsidR="00AD6847" w:rsidRPr="00800517">
              <w:rPr>
                <w:rFonts w:cstheme="minorHAnsi"/>
                <w:sz w:val="21"/>
                <w:szCs w:val="21"/>
              </w:rPr>
              <w:t>)</w:t>
            </w:r>
          </w:p>
        </w:tc>
        <w:tc>
          <w:tcPr>
            <w:tcW w:w="1710" w:type="dxa"/>
            <w:vAlign w:val="center"/>
          </w:tcPr>
          <w:p w14:paraId="597A25CC"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3E08F766"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28" w:type="dxa"/>
            <w:vAlign w:val="center"/>
          </w:tcPr>
          <w:p w14:paraId="7907DA4B"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r w:rsidR="004139A8" w:rsidRPr="00800517" w14:paraId="526B25B2" w14:textId="77777777" w:rsidTr="00106234">
        <w:tc>
          <w:tcPr>
            <w:tcW w:w="1008" w:type="dxa"/>
          </w:tcPr>
          <w:p w14:paraId="057AFC14" w14:textId="77777777" w:rsidR="004139A8" w:rsidRPr="00800517" w:rsidRDefault="004139A8" w:rsidP="00236413">
            <w:pPr>
              <w:rPr>
                <w:rFonts w:cstheme="minorHAnsi"/>
                <w:sz w:val="21"/>
                <w:szCs w:val="21"/>
              </w:rPr>
            </w:pPr>
            <w:r w:rsidRPr="00800517">
              <w:rPr>
                <w:rFonts w:cstheme="minorHAnsi"/>
                <w:sz w:val="21"/>
                <w:szCs w:val="21"/>
              </w:rPr>
              <w:t>3.14</w:t>
            </w:r>
          </w:p>
        </w:tc>
        <w:tc>
          <w:tcPr>
            <w:tcW w:w="4860" w:type="dxa"/>
          </w:tcPr>
          <w:p w14:paraId="5A252F15" w14:textId="77777777" w:rsidR="004139A8" w:rsidRPr="00800517" w:rsidRDefault="004139A8" w:rsidP="00236413">
            <w:pPr>
              <w:rPr>
                <w:rFonts w:cstheme="minorHAnsi"/>
                <w:sz w:val="21"/>
                <w:szCs w:val="21"/>
              </w:rPr>
            </w:pPr>
            <w:r w:rsidRPr="00800517">
              <w:rPr>
                <w:rFonts w:cstheme="minorHAnsi"/>
                <w:sz w:val="21"/>
                <w:szCs w:val="21"/>
              </w:rPr>
              <w:t>List of acronyms</w:t>
            </w:r>
          </w:p>
        </w:tc>
        <w:tc>
          <w:tcPr>
            <w:tcW w:w="1710" w:type="dxa"/>
            <w:vAlign w:val="center"/>
          </w:tcPr>
          <w:p w14:paraId="5F8C0BB9"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10" w:type="dxa"/>
            <w:vAlign w:val="center"/>
          </w:tcPr>
          <w:p w14:paraId="1AAAA2E8" w14:textId="77777777" w:rsidR="004139A8" w:rsidRPr="00800517" w:rsidRDefault="004139A8" w:rsidP="00106234">
            <w:pPr>
              <w:jc w:val="center"/>
              <w:rPr>
                <w:rFonts w:cstheme="minorHAnsi"/>
                <w:b/>
                <w:sz w:val="21"/>
                <w:szCs w:val="21"/>
              </w:rPr>
            </w:pPr>
            <w:r w:rsidRPr="00800517">
              <w:rPr>
                <w:rFonts w:cstheme="minorHAnsi"/>
                <w:b/>
                <w:sz w:val="21"/>
                <w:szCs w:val="21"/>
              </w:rPr>
              <w:t>X</w:t>
            </w:r>
          </w:p>
        </w:tc>
        <w:tc>
          <w:tcPr>
            <w:tcW w:w="1728" w:type="dxa"/>
            <w:vAlign w:val="center"/>
          </w:tcPr>
          <w:p w14:paraId="1F386AEF" w14:textId="77777777" w:rsidR="004139A8" w:rsidRPr="00800517" w:rsidRDefault="004139A8" w:rsidP="00236413">
            <w:pPr>
              <w:jc w:val="center"/>
              <w:rPr>
                <w:rFonts w:cstheme="minorHAnsi"/>
                <w:b/>
                <w:sz w:val="21"/>
                <w:szCs w:val="21"/>
              </w:rPr>
            </w:pPr>
            <w:r w:rsidRPr="00800517">
              <w:rPr>
                <w:rFonts w:cstheme="minorHAnsi"/>
                <w:b/>
                <w:sz w:val="21"/>
                <w:szCs w:val="21"/>
              </w:rPr>
              <w:t>X</w:t>
            </w:r>
          </w:p>
        </w:tc>
      </w:tr>
    </w:tbl>
    <w:p w14:paraId="7391F374" w14:textId="77777777" w:rsidR="00236413" w:rsidRPr="00800517" w:rsidRDefault="00236413" w:rsidP="00236413">
      <w:pPr>
        <w:spacing w:after="0" w:line="240" w:lineRule="auto"/>
        <w:rPr>
          <w:sz w:val="21"/>
          <w:szCs w:val="21"/>
        </w:rPr>
      </w:pPr>
    </w:p>
    <w:p w14:paraId="4135A885" w14:textId="77777777" w:rsidR="001E389E" w:rsidRPr="00800517" w:rsidRDefault="001E389E" w:rsidP="001E389E">
      <w:pPr>
        <w:spacing w:after="0" w:line="240" w:lineRule="auto"/>
        <w:rPr>
          <w:sz w:val="21"/>
          <w:szCs w:val="21"/>
        </w:rPr>
      </w:pPr>
      <w:bookmarkStart w:id="0" w:name="_Toc341089358"/>
      <w:r w:rsidRPr="00800517">
        <w:rPr>
          <w:sz w:val="21"/>
          <w:szCs w:val="21"/>
        </w:rPr>
        <w:t xml:space="preserve">Please note that </w:t>
      </w:r>
      <w:r w:rsidRPr="00800517">
        <w:rPr>
          <w:color w:val="000000" w:themeColor="text1"/>
          <w:sz w:val="21"/>
          <w:szCs w:val="21"/>
        </w:rPr>
        <w:t xml:space="preserve">section </w:t>
      </w:r>
      <w:r w:rsidRPr="00800517">
        <w:rPr>
          <w:b/>
          <w:color w:val="000000" w:themeColor="text1"/>
          <w:sz w:val="21"/>
          <w:szCs w:val="21"/>
        </w:rPr>
        <w:t>3.7 Next Steps</w:t>
      </w:r>
      <w:r w:rsidRPr="00800517">
        <w:rPr>
          <w:color w:val="000000" w:themeColor="text1"/>
          <w:sz w:val="21"/>
          <w:szCs w:val="21"/>
        </w:rPr>
        <w:t xml:space="preserve"> is applicable to Progress Report and Annual Report only, while section </w:t>
      </w:r>
      <w:r w:rsidRPr="00800517">
        <w:rPr>
          <w:b/>
          <w:color w:val="000000" w:themeColor="text1"/>
          <w:sz w:val="21"/>
          <w:szCs w:val="21"/>
        </w:rPr>
        <w:t>3.8 Sustainability</w:t>
      </w:r>
      <w:r w:rsidRPr="00800517">
        <w:rPr>
          <w:color w:val="000000" w:themeColor="text1"/>
          <w:sz w:val="21"/>
          <w:szCs w:val="21"/>
        </w:rPr>
        <w:t xml:space="preserve"> is applicable to Annual Report and Final Report only. </w:t>
      </w:r>
    </w:p>
    <w:p w14:paraId="428EC810" w14:textId="77777777" w:rsidR="00CE49EF" w:rsidRDefault="00CE49EF">
      <w:pPr>
        <w:rPr>
          <w:rFonts w:asciiTheme="majorHAnsi" w:eastAsiaTheme="majorEastAsia" w:hAnsiTheme="majorHAnsi" w:cstheme="majorBidi"/>
          <w:b/>
          <w:bCs/>
          <w:color w:val="4F81BD" w:themeColor="accent1"/>
        </w:rPr>
      </w:pPr>
      <w:r>
        <w:br w:type="page"/>
      </w:r>
    </w:p>
    <w:p w14:paraId="7A9DEE2B" w14:textId="77777777" w:rsidR="00CE49EF" w:rsidRPr="005E40C3" w:rsidRDefault="00CE49EF" w:rsidP="005E40C3">
      <w:pPr>
        <w:pStyle w:val="Heading3"/>
        <w:spacing w:before="0" w:after="120" w:line="240" w:lineRule="auto"/>
        <w:rPr>
          <w:sz w:val="21"/>
          <w:szCs w:val="21"/>
        </w:rPr>
      </w:pPr>
      <w:r w:rsidRPr="005E40C3">
        <w:rPr>
          <w:sz w:val="21"/>
          <w:szCs w:val="21"/>
        </w:rPr>
        <w:lastRenderedPageBreak/>
        <w:t xml:space="preserve">Basic </w:t>
      </w:r>
      <w:r w:rsidR="00211708" w:rsidRPr="005E40C3">
        <w:rPr>
          <w:sz w:val="21"/>
          <w:szCs w:val="21"/>
        </w:rPr>
        <w:t xml:space="preserve">Project </w:t>
      </w:r>
      <w:r w:rsidRPr="005E40C3">
        <w:rPr>
          <w:sz w:val="21"/>
          <w:szCs w:val="21"/>
        </w:rPr>
        <w:t>Information</w:t>
      </w:r>
    </w:p>
    <w:tbl>
      <w:tblPr>
        <w:tblStyle w:val="TableGrid"/>
        <w:tblW w:w="0" w:type="auto"/>
        <w:tblLook w:val="04A0" w:firstRow="1" w:lastRow="0" w:firstColumn="1" w:lastColumn="0" w:noHBand="0" w:noVBand="1"/>
      </w:tblPr>
      <w:tblGrid>
        <w:gridCol w:w="5863"/>
        <w:gridCol w:w="7087"/>
      </w:tblGrid>
      <w:tr w:rsidR="00106234" w14:paraId="79D45B5F" w14:textId="77777777" w:rsidTr="00AE1025">
        <w:tc>
          <w:tcPr>
            <w:tcW w:w="5958" w:type="dxa"/>
            <w:shd w:val="clear" w:color="auto" w:fill="F2F2F2" w:themeFill="background1" w:themeFillShade="F2"/>
          </w:tcPr>
          <w:p w14:paraId="17C6D817" w14:textId="77777777" w:rsidR="00106234" w:rsidRPr="00705EC9" w:rsidRDefault="00106234" w:rsidP="00106234">
            <w:pPr>
              <w:jc w:val="both"/>
            </w:pPr>
            <w:r w:rsidRPr="00705EC9">
              <w:t xml:space="preserve">Name of Administrative Agent </w:t>
            </w:r>
          </w:p>
        </w:tc>
        <w:tc>
          <w:tcPr>
            <w:tcW w:w="7218" w:type="dxa"/>
            <w:shd w:val="clear" w:color="auto" w:fill="auto"/>
          </w:tcPr>
          <w:p w14:paraId="425CB68F" w14:textId="77777777" w:rsidR="00106234" w:rsidRDefault="00106234" w:rsidP="00106234">
            <w:pPr>
              <w:jc w:val="both"/>
            </w:pPr>
            <w:r>
              <w:t>UNDP</w:t>
            </w:r>
          </w:p>
        </w:tc>
      </w:tr>
      <w:tr w:rsidR="00106234" w14:paraId="39EA5C3B" w14:textId="77777777" w:rsidTr="00AE1025">
        <w:tc>
          <w:tcPr>
            <w:tcW w:w="5958" w:type="dxa"/>
            <w:shd w:val="clear" w:color="auto" w:fill="F2F2F2" w:themeFill="background1" w:themeFillShade="F2"/>
          </w:tcPr>
          <w:p w14:paraId="62C23A07" w14:textId="77777777" w:rsidR="00106234" w:rsidRPr="00705EC9" w:rsidRDefault="00106234" w:rsidP="00106234">
            <w:pPr>
              <w:jc w:val="both"/>
            </w:pPr>
            <w:r w:rsidRPr="00705EC9">
              <w:t xml:space="preserve">Name of Coordinating Agent </w:t>
            </w:r>
          </w:p>
        </w:tc>
        <w:tc>
          <w:tcPr>
            <w:tcW w:w="7218" w:type="dxa"/>
            <w:shd w:val="clear" w:color="auto" w:fill="auto"/>
          </w:tcPr>
          <w:p w14:paraId="50391BBF" w14:textId="77777777" w:rsidR="00106234" w:rsidRDefault="00106234" w:rsidP="00106234">
            <w:pPr>
              <w:jc w:val="both"/>
            </w:pPr>
            <w:r>
              <w:t>UN Women</w:t>
            </w:r>
          </w:p>
        </w:tc>
      </w:tr>
      <w:tr w:rsidR="00106234" w14:paraId="30939ADF" w14:textId="77777777" w:rsidTr="00AE1025">
        <w:tc>
          <w:tcPr>
            <w:tcW w:w="5958" w:type="dxa"/>
            <w:shd w:val="clear" w:color="auto" w:fill="F2F2F2" w:themeFill="background1" w:themeFillShade="F2"/>
          </w:tcPr>
          <w:p w14:paraId="6EE12836" w14:textId="77777777" w:rsidR="00106234" w:rsidRPr="00705EC9" w:rsidRDefault="00106234" w:rsidP="00106234">
            <w:pPr>
              <w:jc w:val="both"/>
            </w:pPr>
            <w:r w:rsidRPr="00705EC9">
              <w:t xml:space="preserve">Name of Participating Agencies </w:t>
            </w:r>
          </w:p>
        </w:tc>
        <w:tc>
          <w:tcPr>
            <w:tcW w:w="7218" w:type="dxa"/>
            <w:shd w:val="clear" w:color="auto" w:fill="auto"/>
          </w:tcPr>
          <w:p w14:paraId="4ED08538" w14:textId="77777777" w:rsidR="00106234" w:rsidRDefault="00106234" w:rsidP="00106234">
            <w:pPr>
              <w:tabs>
                <w:tab w:val="left" w:pos="3150"/>
              </w:tabs>
              <w:jc w:val="both"/>
            </w:pPr>
            <w:r>
              <w:t>UNFPA (UNICEF and WHO)</w:t>
            </w:r>
            <w:r>
              <w:tab/>
            </w:r>
          </w:p>
        </w:tc>
      </w:tr>
      <w:tr w:rsidR="00106234" w14:paraId="4B299F26" w14:textId="77777777" w:rsidTr="00AE1025">
        <w:tc>
          <w:tcPr>
            <w:tcW w:w="5958" w:type="dxa"/>
            <w:shd w:val="clear" w:color="auto" w:fill="F2F2F2" w:themeFill="background1" w:themeFillShade="F2"/>
          </w:tcPr>
          <w:p w14:paraId="29A93B93" w14:textId="77777777" w:rsidR="00106234" w:rsidRPr="00705EC9" w:rsidRDefault="00106234" w:rsidP="00106234">
            <w:pPr>
              <w:jc w:val="both"/>
            </w:pPr>
            <w:r w:rsidRPr="00705EC9">
              <w:t>Project Title</w:t>
            </w:r>
          </w:p>
        </w:tc>
        <w:tc>
          <w:tcPr>
            <w:tcW w:w="7218" w:type="dxa"/>
            <w:shd w:val="clear" w:color="auto" w:fill="auto"/>
          </w:tcPr>
          <w:p w14:paraId="5C5F32B8" w14:textId="77777777" w:rsidR="00106234" w:rsidRDefault="00106234" w:rsidP="00106234">
            <w:pPr>
              <w:jc w:val="both"/>
            </w:pPr>
            <w:r w:rsidRPr="00A21357">
              <w:rPr>
                <w:rFonts w:eastAsia="Batang" w:cs="Arial"/>
                <w:bCs/>
                <w:lang w:val="en-AU" w:eastAsia="ko-KR"/>
              </w:rPr>
              <w:t>Keeping the Promise in the Solomon Islands: From Policy to Action</w:t>
            </w:r>
          </w:p>
        </w:tc>
      </w:tr>
      <w:tr w:rsidR="00106234" w14:paraId="26A24BEF" w14:textId="77777777" w:rsidTr="00AE1025">
        <w:tc>
          <w:tcPr>
            <w:tcW w:w="5958" w:type="dxa"/>
            <w:shd w:val="clear" w:color="auto" w:fill="F2F2F2" w:themeFill="background1" w:themeFillShade="F2"/>
          </w:tcPr>
          <w:p w14:paraId="16CB5AA3" w14:textId="77777777" w:rsidR="00106234" w:rsidRPr="00705EC9" w:rsidRDefault="00106234" w:rsidP="00106234">
            <w:pPr>
              <w:jc w:val="both"/>
            </w:pPr>
            <w:r w:rsidRPr="00705EC9">
              <w:t xml:space="preserve">Countries of Implementation </w:t>
            </w:r>
          </w:p>
        </w:tc>
        <w:tc>
          <w:tcPr>
            <w:tcW w:w="7218" w:type="dxa"/>
            <w:shd w:val="clear" w:color="auto" w:fill="auto"/>
          </w:tcPr>
          <w:p w14:paraId="1260CCED" w14:textId="77777777" w:rsidR="00106234" w:rsidRDefault="00106234" w:rsidP="00106234">
            <w:pPr>
              <w:jc w:val="both"/>
            </w:pPr>
            <w:r w:rsidRPr="00A21357">
              <w:rPr>
                <w:rFonts w:eastAsia="Batang" w:cs="Arial"/>
                <w:bCs/>
                <w:lang w:val="en-AU" w:eastAsia="ko-KR"/>
              </w:rPr>
              <w:t>Solomon Islands</w:t>
            </w:r>
          </w:p>
        </w:tc>
      </w:tr>
      <w:tr w:rsidR="00106234" w14:paraId="5E64C0CA" w14:textId="77777777" w:rsidTr="00AE1025">
        <w:tc>
          <w:tcPr>
            <w:tcW w:w="5958" w:type="dxa"/>
            <w:shd w:val="clear" w:color="auto" w:fill="F2F2F2" w:themeFill="background1" w:themeFillShade="F2"/>
          </w:tcPr>
          <w:p w14:paraId="3B47CD44" w14:textId="77777777" w:rsidR="00106234" w:rsidRPr="00705EC9" w:rsidRDefault="00106234" w:rsidP="00106234">
            <w:pPr>
              <w:jc w:val="both"/>
            </w:pPr>
            <w:r w:rsidRPr="00705EC9">
              <w:t>Project start date (dd/mm/yyyy)</w:t>
            </w:r>
          </w:p>
        </w:tc>
        <w:tc>
          <w:tcPr>
            <w:tcW w:w="7218" w:type="dxa"/>
            <w:shd w:val="clear" w:color="auto" w:fill="auto"/>
          </w:tcPr>
          <w:p w14:paraId="4C9A8172" w14:textId="77777777" w:rsidR="00106234" w:rsidRPr="00800517" w:rsidRDefault="00106234" w:rsidP="00106234">
            <w:pPr>
              <w:jc w:val="both"/>
              <w:rPr>
                <w:sz w:val="21"/>
                <w:szCs w:val="21"/>
              </w:rPr>
            </w:pPr>
            <w:r>
              <w:rPr>
                <w:sz w:val="21"/>
                <w:szCs w:val="21"/>
              </w:rPr>
              <w:t>01/01/2015</w:t>
            </w:r>
          </w:p>
        </w:tc>
      </w:tr>
      <w:tr w:rsidR="00106234" w14:paraId="5AAF11D8" w14:textId="77777777" w:rsidTr="00AE1025">
        <w:tc>
          <w:tcPr>
            <w:tcW w:w="5958" w:type="dxa"/>
            <w:shd w:val="clear" w:color="auto" w:fill="F2F2F2" w:themeFill="background1" w:themeFillShade="F2"/>
          </w:tcPr>
          <w:p w14:paraId="5A44DF12" w14:textId="77777777" w:rsidR="00106234" w:rsidRPr="00705EC9" w:rsidRDefault="00106234" w:rsidP="00106234">
            <w:pPr>
              <w:jc w:val="both"/>
            </w:pPr>
            <w:r w:rsidRPr="00705EC9">
              <w:t xml:space="preserve">Project end date (dd/mm/yyyy) </w:t>
            </w:r>
          </w:p>
        </w:tc>
        <w:tc>
          <w:tcPr>
            <w:tcW w:w="7218" w:type="dxa"/>
            <w:shd w:val="clear" w:color="auto" w:fill="auto"/>
          </w:tcPr>
          <w:p w14:paraId="1F2E9FA4" w14:textId="77777777" w:rsidR="00106234" w:rsidRPr="00800517" w:rsidRDefault="00106234" w:rsidP="00106234">
            <w:pPr>
              <w:jc w:val="both"/>
              <w:rPr>
                <w:sz w:val="21"/>
                <w:szCs w:val="21"/>
              </w:rPr>
            </w:pPr>
            <w:r>
              <w:rPr>
                <w:sz w:val="21"/>
                <w:szCs w:val="21"/>
              </w:rPr>
              <w:t>31/12/2017</w:t>
            </w:r>
          </w:p>
        </w:tc>
      </w:tr>
      <w:tr w:rsidR="00106234" w14:paraId="23FDF2F7" w14:textId="77777777" w:rsidTr="00AE1025">
        <w:tc>
          <w:tcPr>
            <w:tcW w:w="5958" w:type="dxa"/>
            <w:shd w:val="clear" w:color="auto" w:fill="F2F2F2" w:themeFill="background1" w:themeFillShade="F2"/>
          </w:tcPr>
          <w:p w14:paraId="094C7F50" w14:textId="77777777" w:rsidR="00106234" w:rsidRPr="00705EC9" w:rsidRDefault="00106234" w:rsidP="00106234">
            <w:pPr>
              <w:jc w:val="both"/>
            </w:pPr>
            <w:r w:rsidRPr="00705EC9">
              <w:t>Total Grant Approved (USD)</w:t>
            </w:r>
          </w:p>
        </w:tc>
        <w:tc>
          <w:tcPr>
            <w:tcW w:w="7218" w:type="dxa"/>
            <w:shd w:val="clear" w:color="auto" w:fill="auto"/>
          </w:tcPr>
          <w:p w14:paraId="56BCCC7E" w14:textId="77777777" w:rsidR="00106234" w:rsidRPr="00800517" w:rsidRDefault="00106234" w:rsidP="00106234">
            <w:pPr>
              <w:jc w:val="both"/>
              <w:rPr>
                <w:sz w:val="21"/>
                <w:szCs w:val="21"/>
              </w:rPr>
            </w:pPr>
            <w:r w:rsidRPr="00BF72B4">
              <w:rPr>
                <w:sz w:val="21"/>
                <w:szCs w:val="21"/>
              </w:rPr>
              <w:t>619,069</w:t>
            </w:r>
          </w:p>
        </w:tc>
      </w:tr>
      <w:tr w:rsidR="00106234" w14:paraId="20CA73AE" w14:textId="77777777" w:rsidTr="00AE1025">
        <w:tc>
          <w:tcPr>
            <w:tcW w:w="5958" w:type="dxa"/>
            <w:shd w:val="clear" w:color="auto" w:fill="F2F2F2" w:themeFill="background1" w:themeFillShade="F2"/>
          </w:tcPr>
          <w:p w14:paraId="605EA480" w14:textId="77777777" w:rsidR="00106234" w:rsidRPr="00705EC9" w:rsidRDefault="00106234" w:rsidP="00106234">
            <w:pPr>
              <w:jc w:val="both"/>
            </w:pPr>
            <w:r w:rsidRPr="00705EC9">
              <w:t xml:space="preserve">Total Grant Received to date (USD) </w:t>
            </w:r>
          </w:p>
        </w:tc>
        <w:tc>
          <w:tcPr>
            <w:tcW w:w="7218" w:type="dxa"/>
            <w:shd w:val="clear" w:color="auto" w:fill="auto"/>
          </w:tcPr>
          <w:p w14:paraId="29D9BA3D" w14:textId="13BFF935" w:rsidR="00106234" w:rsidRPr="00800517" w:rsidRDefault="006714F3" w:rsidP="00106234">
            <w:pPr>
              <w:jc w:val="both"/>
              <w:rPr>
                <w:sz w:val="21"/>
                <w:szCs w:val="21"/>
              </w:rPr>
            </w:pPr>
            <w:r w:rsidRPr="00BF72B4">
              <w:rPr>
                <w:sz w:val="21"/>
                <w:szCs w:val="21"/>
              </w:rPr>
              <w:t>619,069</w:t>
            </w:r>
          </w:p>
        </w:tc>
      </w:tr>
      <w:tr w:rsidR="00106234" w14:paraId="0BF39EF5" w14:textId="77777777" w:rsidTr="00AE1025">
        <w:tc>
          <w:tcPr>
            <w:tcW w:w="5958" w:type="dxa"/>
            <w:shd w:val="clear" w:color="auto" w:fill="F2F2F2" w:themeFill="background1" w:themeFillShade="F2"/>
          </w:tcPr>
          <w:p w14:paraId="11C4928F" w14:textId="77777777" w:rsidR="00106234" w:rsidRPr="00705EC9" w:rsidRDefault="00106234" w:rsidP="00106234">
            <w:pPr>
              <w:jc w:val="both"/>
            </w:pPr>
            <w:r>
              <w:t xml:space="preserve">Type of Report (Annual or Final Report) </w:t>
            </w:r>
          </w:p>
        </w:tc>
        <w:tc>
          <w:tcPr>
            <w:tcW w:w="7218" w:type="dxa"/>
            <w:shd w:val="clear" w:color="auto" w:fill="auto"/>
          </w:tcPr>
          <w:p w14:paraId="3D374234" w14:textId="77777777" w:rsidR="00106234" w:rsidRPr="00800517" w:rsidRDefault="00106234" w:rsidP="00106234">
            <w:pPr>
              <w:jc w:val="both"/>
              <w:rPr>
                <w:sz w:val="21"/>
                <w:szCs w:val="21"/>
              </w:rPr>
            </w:pPr>
            <w:r>
              <w:rPr>
                <w:sz w:val="21"/>
                <w:szCs w:val="21"/>
              </w:rPr>
              <w:t xml:space="preserve">Final Report </w:t>
            </w:r>
          </w:p>
        </w:tc>
      </w:tr>
      <w:tr w:rsidR="00106234" w14:paraId="07F75DDD" w14:textId="77777777" w:rsidTr="00AE1025">
        <w:tc>
          <w:tcPr>
            <w:tcW w:w="5958" w:type="dxa"/>
            <w:shd w:val="clear" w:color="auto" w:fill="F2F2F2" w:themeFill="background1" w:themeFillShade="F2"/>
          </w:tcPr>
          <w:p w14:paraId="1C25DD38" w14:textId="77777777" w:rsidR="00106234" w:rsidRPr="00705EC9" w:rsidRDefault="00106234" w:rsidP="00106234">
            <w:pPr>
              <w:jc w:val="both"/>
            </w:pPr>
            <w:r w:rsidRPr="00705EC9">
              <w:t xml:space="preserve">Reporting </w:t>
            </w:r>
            <w:r>
              <w:t>Period</w:t>
            </w:r>
            <w:r w:rsidRPr="00705EC9">
              <w:t xml:space="preserve"> (dd/mm/yyyy – dd/mm/yyyy) </w:t>
            </w:r>
          </w:p>
        </w:tc>
        <w:tc>
          <w:tcPr>
            <w:tcW w:w="7218" w:type="dxa"/>
            <w:shd w:val="clear" w:color="auto" w:fill="auto"/>
          </w:tcPr>
          <w:p w14:paraId="73A47A5E" w14:textId="77777777" w:rsidR="00106234" w:rsidRPr="00800517" w:rsidRDefault="00106234" w:rsidP="00106234">
            <w:pPr>
              <w:jc w:val="both"/>
              <w:rPr>
                <w:sz w:val="21"/>
                <w:szCs w:val="21"/>
              </w:rPr>
            </w:pPr>
            <w:r>
              <w:rPr>
                <w:rFonts w:eastAsia="Batang" w:cs="Arial"/>
                <w:bCs/>
                <w:lang w:val="en-AU" w:eastAsia="ko-KR"/>
              </w:rPr>
              <w:t>1/01/2015 – 31/12/2017</w:t>
            </w:r>
          </w:p>
        </w:tc>
      </w:tr>
    </w:tbl>
    <w:p w14:paraId="37D8A88C" w14:textId="77777777" w:rsidR="00702BEE" w:rsidRPr="00CE49EF" w:rsidRDefault="00702BEE" w:rsidP="00CE49EF"/>
    <w:p w14:paraId="0DC6E4B8" w14:textId="77777777" w:rsidR="00236413" w:rsidRPr="00143FEB" w:rsidRDefault="00236413" w:rsidP="00AE1025">
      <w:pPr>
        <w:pStyle w:val="Heading3"/>
        <w:pBdr>
          <w:bottom w:val="single" w:sz="4" w:space="1" w:color="auto"/>
        </w:pBdr>
        <w:spacing w:before="0" w:line="240" w:lineRule="auto"/>
        <w:rPr>
          <w:sz w:val="21"/>
          <w:szCs w:val="21"/>
        </w:rPr>
      </w:pPr>
      <w:r w:rsidRPr="00143FEB">
        <w:rPr>
          <w:sz w:val="21"/>
          <w:szCs w:val="21"/>
        </w:rPr>
        <w:t>3.1 Project context</w:t>
      </w:r>
      <w:bookmarkEnd w:id="0"/>
    </w:p>
    <w:p w14:paraId="224122DD" w14:textId="77777777" w:rsidR="00702BEE" w:rsidRPr="00143FEB" w:rsidRDefault="00236413" w:rsidP="004D5536">
      <w:pPr>
        <w:pStyle w:val="ListParagraph"/>
        <w:numPr>
          <w:ilvl w:val="1"/>
          <w:numId w:val="5"/>
        </w:numPr>
        <w:spacing w:before="120" w:after="0" w:line="240" w:lineRule="auto"/>
        <w:ind w:left="360"/>
        <w:rPr>
          <w:rFonts w:cstheme="minorHAnsi"/>
          <w:b/>
          <w:sz w:val="21"/>
          <w:szCs w:val="21"/>
        </w:rPr>
      </w:pPr>
      <w:r w:rsidRPr="00143FEB">
        <w:rPr>
          <w:rFonts w:cstheme="minorHAnsi"/>
          <w:sz w:val="21"/>
          <w:szCs w:val="21"/>
        </w:rPr>
        <w:t xml:space="preserve">Please provide a short description of any change in context during the reporting period, specifically linked to the project. </w:t>
      </w:r>
      <w:r w:rsidR="00702BEE" w:rsidRPr="00143FEB">
        <w:rPr>
          <w:sz w:val="21"/>
          <w:szCs w:val="21"/>
        </w:rPr>
        <w:t>(</w:t>
      </w:r>
      <w:r w:rsidR="00702BEE" w:rsidRPr="00143FEB">
        <w:rPr>
          <w:color w:val="FF0000"/>
          <w:sz w:val="21"/>
          <w:szCs w:val="21"/>
        </w:rPr>
        <w:t>Maximum 1,500 words</w:t>
      </w:r>
      <w:r w:rsidR="00702BEE" w:rsidRPr="00143FEB">
        <w:rPr>
          <w:sz w:val="21"/>
          <w:szCs w:val="21"/>
        </w:rPr>
        <w:t>)</w:t>
      </w:r>
    </w:p>
    <w:p w14:paraId="37E33EB8" w14:textId="77777777" w:rsidR="00BE648F" w:rsidRDefault="00BE648F" w:rsidP="00106234">
      <w:pPr>
        <w:spacing w:after="0" w:line="240" w:lineRule="auto"/>
        <w:jc w:val="both"/>
        <w:rPr>
          <w:rFonts w:cstheme="minorHAnsi"/>
          <w:sz w:val="20"/>
          <w:szCs w:val="20"/>
          <w:lang w:val="en-AU"/>
        </w:rPr>
      </w:pPr>
    </w:p>
    <w:p w14:paraId="23E9E8CB" w14:textId="01E2B4C3" w:rsidR="00106234" w:rsidRPr="00BE648F" w:rsidRDefault="00BE648F" w:rsidP="00106234">
      <w:pPr>
        <w:spacing w:after="0" w:line="240" w:lineRule="auto"/>
        <w:jc w:val="both"/>
        <w:rPr>
          <w:rFonts w:cstheme="minorHAnsi"/>
          <w:sz w:val="20"/>
          <w:szCs w:val="20"/>
          <w:lang w:val="en-AU"/>
        </w:rPr>
      </w:pPr>
      <w:r>
        <w:rPr>
          <w:rFonts w:cstheme="minorHAnsi"/>
          <w:sz w:val="20"/>
          <w:szCs w:val="20"/>
          <w:lang w:val="en-AU"/>
        </w:rPr>
        <w:t xml:space="preserve">The UNTF and UN-SIG JP on EVAWG presented a </w:t>
      </w:r>
      <w:r w:rsidR="00106234" w:rsidRPr="00BE648F">
        <w:rPr>
          <w:rFonts w:cstheme="minorHAnsi"/>
          <w:sz w:val="20"/>
          <w:szCs w:val="20"/>
          <w:lang w:val="en-AU"/>
        </w:rPr>
        <w:t>key opportunit</w:t>
      </w:r>
      <w:r>
        <w:rPr>
          <w:rFonts w:cstheme="minorHAnsi"/>
          <w:sz w:val="20"/>
          <w:szCs w:val="20"/>
          <w:lang w:val="en-AU"/>
        </w:rPr>
        <w:t>y</w:t>
      </w:r>
      <w:r w:rsidR="00106234" w:rsidRPr="00BE648F">
        <w:rPr>
          <w:rFonts w:cstheme="minorHAnsi"/>
          <w:sz w:val="20"/>
          <w:szCs w:val="20"/>
          <w:lang w:val="en-AU"/>
        </w:rPr>
        <w:t xml:space="preserve"> to build on </w:t>
      </w:r>
      <w:r>
        <w:rPr>
          <w:rFonts w:cstheme="minorHAnsi"/>
          <w:sz w:val="20"/>
          <w:szCs w:val="20"/>
          <w:lang w:val="en-AU"/>
        </w:rPr>
        <w:t xml:space="preserve">existing </w:t>
      </w:r>
      <w:r w:rsidR="00106234" w:rsidRPr="00BE648F">
        <w:rPr>
          <w:rFonts w:cstheme="minorHAnsi"/>
          <w:sz w:val="20"/>
          <w:szCs w:val="20"/>
          <w:lang w:val="en-AU"/>
        </w:rPr>
        <w:t xml:space="preserve">achievements to </w:t>
      </w:r>
      <w:r>
        <w:rPr>
          <w:rFonts w:cstheme="minorHAnsi"/>
          <w:sz w:val="20"/>
          <w:szCs w:val="20"/>
          <w:lang w:val="en-AU"/>
        </w:rPr>
        <w:t xml:space="preserve">strengthen EVAWG policies and to strengthen the multi-sectoral response to VAWG and the quality of services provided to VAWG survivors. </w:t>
      </w:r>
      <w:r w:rsidR="00106234" w:rsidRPr="00BE648F">
        <w:rPr>
          <w:rFonts w:cstheme="minorHAnsi"/>
          <w:sz w:val="20"/>
          <w:szCs w:val="20"/>
          <w:lang w:val="en-AU"/>
        </w:rPr>
        <w:t xml:space="preserve"> </w:t>
      </w:r>
      <w:r>
        <w:rPr>
          <w:rFonts w:cstheme="minorHAnsi"/>
          <w:sz w:val="20"/>
          <w:szCs w:val="20"/>
          <w:lang w:val="en-AU"/>
        </w:rPr>
        <w:t xml:space="preserve">Over the course of the three-year project period (1 January 2015 to 31 December 2017), there were numerous </w:t>
      </w:r>
      <w:r w:rsidR="00E7646A">
        <w:rPr>
          <w:rFonts w:cstheme="minorHAnsi"/>
          <w:sz w:val="20"/>
          <w:szCs w:val="20"/>
          <w:lang w:val="en-AU"/>
        </w:rPr>
        <w:t xml:space="preserve">contextual changes that impacted the project  </w:t>
      </w:r>
      <w:r>
        <w:rPr>
          <w:rFonts w:cstheme="minorHAnsi"/>
          <w:sz w:val="20"/>
          <w:szCs w:val="20"/>
          <w:lang w:val="en-AU"/>
        </w:rPr>
        <w:t xml:space="preserve"> as briefly describe below.</w:t>
      </w:r>
    </w:p>
    <w:p w14:paraId="5F948651" w14:textId="77777777" w:rsidR="00106234" w:rsidRPr="00BE648F" w:rsidRDefault="00106234" w:rsidP="00106234">
      <w:pPr>
        <w:spacing w:after="0" w:line="240" w:lineRule="auto"/>
        <w:jc w:val="both"/>
        <w:rPr>
          <w:rFonts w:cstheme="minorHAnsi"/>
          <w:b/>
          <w:sz w:val="20"/>
          <w:szCs w:val="20"/>
          <w:u w:val="single"/>
          <w:lang w:val="en-AU"/>
        </w:rPr>
      </w:pPr>
    </w:p>
    <w:p w14:paraId="7861A55D" w14:textId="77777777" w:rsidR="00106234" w:rsidRPr="00CC30E5" w:rsidRDefault="00106234" w:rsidP="00106234">
      <w:pPr>
        <w:spacing w:after="0" w:line="240" w:lineRule="auto"/>
        <w:rPr>
          <w:rFonts w:cstheme="minorHAnsi"/>
          <w:sz w:val="20"/>
          <w:szCs w:val="20"/>
          <w:lang w:val="en-AU"/>
        </w:rPr>
      </w:pPr>
    </w:p>
    <w:p w14:paraId="5511D6F2" w14:textId="252E9CC0" w:rsidR="00B951C7" w:rsidRDefault="0033150C" w:rsidP="00B951C7">
      <w:pPr>
        <w:shd w:val="clear" w:color="auto" w:fill="FFFFFF" w:themeFill="background1"/>
        <w:spacing w:after="0" w:line="240" w:lineRule="auto"/>
        <w:jc w:val="both"/>
        <w:rPr>
          <w:rFonts w:cstheme="minorHAnsi"/>
          <w:sz w:val="20"/>
          <w:szCs w:val="20"/>
          <w:lang w:val="en-AU"/>
        </w:rPr>
      </w:pPr>
      <w:r>
        <w:rPr>
          <w:rFonts w:cstheme="minorHAnsi"/>
          <w:b/>
          <w:sz w:val="20"/>
          <w:szCs w:val="20"/>
          <w:lang w:val="en-AU"/>
        </w:rPr>
        <w:t xml:space="preserve">Launch and Implementation of the </w:t>
      </w:r>
      <w:r w:rsidR="00106234" w:rsidRPr="00BE648F">
        <w:rPr>
          <w:rFonts w:cstheme="minorHAnsi"/>
          <w:b/>
          <w:sz w:val="20"/>
          <w:szCs w:val="20"/>
          <w:lang w:val="en-AU"/>
        </w:rPr>
        <w:t>Family Protection Act (FPA) 2014</w:t>
      </w:r>
      <w:r>
        <w:rPr>
          <w:rFonts w:cstheme="minorHAnsi"/>
          <w:b/>
          <w:sz w:val="20"/>
          <w:szCs w:val="20"/>
          <w:lang w:val="en-AU"/>
        </w:rPr>
        <w:t xml:space="preserve">. </w:t>
      </w:r>
      <w:r w:rsidR="00B951C7">
        <w:rPr>
          <w:rFonts w:cstheme="minorHAnsi"/>
          <w:sz w:val="20"/>
          <w:szCs w:val="20"/>
          <w:lang w:val="en-AU"/>
        </w:rPr>
        <w:t>In 2015, t</w:t>
      </w:r>
      <w:r w:rsidR="00B951C7" w:rsidRPr="00BE648F">
        <w:rPr>
          <w:rFonts w:cstheme="minorHAnsi"/>
          <w:sz w:val="20"/>
          <w:szCs w:val="20"/>
          <w:lang w:val="en-AU"/>
        </w:rPr>
        <w:t xml:space="preserve">he Ministry of Justice and Legal Affairs (MJLA) and MWYCFA established a Coordination Team </w:t>
      </w:r>
      <w:r w:rsidR="00B951C7">
        <w:rPr>
          <w:rFonts w:cstheme="minorHAnsi"/>
          <w:sz w:val="20"/>
          <w:szCs w:val="20"/>
          <w:lang w:val="en-AU"/>
        </w:rPr>
        <w:t xml:space="preserve">that </w:t>
      </w:r>
      <w:r w:rsidR="00B951C7" w:rsidRPr="00BE648F">
        <w:rPr>
          <w:rFonts w:cstheme="minorHAnsi"/>
          <w:sz w:val="20"/>
          <w:szCs w:val="20"/>
          <w:lang w:val="en-AU"/>
        </w:rPr>
        <w:t>play</w:t>
      </w:r>
      <w:r w:rsidR="00B951C7">
        <w:rPr>
          <w:rFonts w:cstheme="minorHAnsi"/>
          <w:sz w:val="20"/>
          <w:szCs w:val="20"/>
          <w:lang w:val="en-AU"/>
        </w:rPr>
        <w:t>ed a</w:t>
      </w:r>
      <w:r w:rsidR="00B951C7" w:rsidRPr="00BE648F">
        <w:rPr>
          <w:rFonts w:cstheme="minorHAnsi"/>
          <w:sz w:val="20"/>
          <w:szCs w:val="20"/>
          <w:lang w:val="en-AU"/>
        </w:rPr>
        <w:t xml:space="preserve"> role </w:t>
      </w:r>
      <w:r w:rsidR="00B951C7">
        <w:rPr>
          <w:rFonts w:cstheme="minorHAnsi"/>
          <w:sz w:val="20"/>
          <w:szCs w:val="20"/>
          <w:lang w:val="en-AU"/>
        </w:rPr>
        <w:t xml:space="preserve">in </w:t>
      </w:r>
      <w:r w:rsidR="00B951C7" w:rsidRPr="00BE648F">
        <w:rPr>
          <w:rFonts w:cstheme="minorHAnsi"/>
          <w:sz w:val="20"/>
          <w:szCs w:val="20"/>
          <w:lang w:val="en-AU"/>
        </w:rPr>
        <w:t>bringing all stakeholders and key implement</w:t>
      </w:r>
      <w:r w:rsidR="00B951C7">
        <w:rPr>
          <w:rFonts w:cstheme="minorHAnsi"/>
          <w:sz w:val="20"/>
          <w:szCs w:val="20"/>
          <w:lang w:val="en-AU"/>
        </w:rPr>
        <w:t>ing partner</w:t>
      </w:r>
      <w:r w:rsidR="002532F5">
        <w:rPr>
          <w:rFonts w:cstheme="minorHAnsi"/>
          <w:sz w:val="20"/>
          <w:szCs w:val="20"/>
          <w:lang w:val="en-AU"/>
        </w:rPr>
        <w:t>s</w:t>
      </w:r>
      <w:r w:rsidR="00B951C7" w:rsidRPr="00BE648F">
        <w:rPr>
          <w:rFonts w:cstheme="minorHAnsi"/>
          <w:sz w:val="20"/>
          <w:szCs w:val="20"/>
          <w:lang w:val="en-AU"/>
        </w:rPr>
        <w:t xml:space="preserve"> together to establish priority activities that need to take place before the FPA commences. </w:t>
      </w:r>
      <w:r w:rsidR="00B951C7">
        <w:rPr>
          <w:rFonts w:cstheme="minorHAnsi"/>
          <w:sz w:val="20"/>
          <w:szCs w:val="20"/>
          <w:lang w:val="en-AU"/>
        </w:rPr>
        <w:t>An</w:t>
      </w:r>
      <w:r w:rsidR="00B951C7" w:rsidRPr="00BE648F">
        <w:rPr>
          <w:rFonts w:cstheme="minorHAnsi"/>
          <w:sz w:val="20"/>
          <w:szCs w:val="20"/>
          <w:lang w:val="en-AU"/>
        </w:rPr>
        <w:t xml:space="preserve"> Information, Education and Communications (IEC) Committee was also set up to ensure stakeholders use accurate and consistent messaging, and families and communities are aware of and able to use the FPA for their protection and the prevention of family/domestic violence</w:t>
      </w:r>
      <w:r w:rsidR="00B951C7">
        <w:rPr>
          <w:rFonts w:cstheme="minorHAnsi"/>
          <w:sz w:val="20"/>
          <w:szCs w:val="20"/>
          <w:lang w:val="en-AU"/>
        </w:rPr>
        <w:t>; however, the degree to which it functioned is unknown</w:t>
      </w:r>
      <w:r w:rsidR="00B951C7" w:rsidRPr="00BE648F">
        <w:rPr>
          <w:rFonts w:cstheme="minorHAnsi"/>
          <w:sz w:val="20"/>
          <w:szCs w:val="20"/>
          <w:lang w:val="en-AU"/>
        </w:rPr>
        <w:t xml:space="preserve">. </w:t>
      </w:r>
    </w:p>
    <w:p w14:paraId="286FECFD" w14:textId="77777777" w:rsidR="00B951C7" w:rsidRDefault="00B951C7" w:rsidP="00B951C7">
      <w:pPr>
        <w:shd w:val="clear" w:color="auto" w:fill="FFFFFF" w:themeFill="background1"/>
        <w:spacing w:after="0" w:line="240" w:lineRule="auto"/>
        <w:jc w:val="both"/>
        <w:rPr>
          <w:rFonts w:cstheme="minorHAnsi"/>
          <w:sz w:val="20"/>
          <w:szCs w:val="20"/>
        </w:rPr>
      </w:pPr>
    </w:p>
    <w:p w14:paraId="68E36F0A" w14:textId="77777777" w:rsidR="00B951C7" w:rsidRDefault="00326D8D" w:rsidP="00B951C7">
      <w:pPr>
        <w:shd w:val="clear" w:color="auto" w:fill="FFFFFF" w:themeFill="background1"/>
        <w:spacing w:after="0" w:line="240" w:lineRule="auto"/>
        <w:jc w:val="both"/>
        <w:rPr>
          <w:rFonts w:cstheme="minorHAnsi"/>
          <w:sz w:val="20"/>
          <w:szCs w:val="20"/>
        </w:rPr>
      </w:pPr>
      <w:r>
        <w:rPr>
          <w:rFonts w:cstheme="minorHAnsi"/>
          <w:sz w:val="20"/>
          <w:szCs w:val="20"/>
        </w:rPr>
        <w:t xml:space="preserve">In April 2016, the FPA 2014 was launched and enforcement began. The </w:t>
      </w:r>
      <w:r w:rsidR="00106234" w:rsidRPr="00BE648F">
        <w:rPr>
          <w:rFonts w:cstheme="minorHAnsi"/>
          <w:sz w:val="20"/>
          <w:szCs w:val="20"/>
          <w:lang w:val="en-AU"/>
        </w:rPr>
        <w:t xml:space="preserve">FPA 2014 sets out a comprehensive framework for institutional responses to family/domestic violence in Solomon Islands. </w:t>
      </w:r>
      <w:r w:rsidR="0033150C">
        <w:rPr>
          <w:rFonts w:cstheme="minorHAnsi"/>
          <w:sz w:val="20"/>
          <w:szCs w:val="20"/>
          <w:lang w:val="en-AU"/>
        </w:rPr>
        <w:t xml:space="preserve">In 2015 and 2016, </w:t>
      </w:r>
      <w:r>
        <w:rPr>
          <w:rFonts w:cstheme="minorHAnsi"/>
          <w:sz w:val="20"/>
          <w:szCs w:val="20"/>
          <w:lang w:val="en-AU"/>
        </w:rPr>
        <w:t xml:space="preserve">all police officers in the </w:t>
      </w:r>
      <w:r w:rsidR="00106234" w:rsidRPr="00BE648F">
        <w:rPr>
          <w:rFonts w:cstheme="minorHAnsi"/>
          <w:sz w:val="20"/>
          <w:szCs w:val="20"/>
        </w:rPr>
        <w:t>Royal Solomon Islands Police Force</w:t>
      </w:r>
      <w:r>
        <w:rPr>
          <w:rFonts w:cstheme="minorHAnsi"/>
          <w:sz w:val="20"/>
          <w:szCs w:val="20"/>
        </w:rPr>
        <w:t xml:space="preserve"> (RSIPF)</w:t>
      </w:r>
      <w:r w:rsidR="00106234" w:rsidRPr="00BE648F">
        <w:rPr>
          <w:rFonts w:cstheme="minorHAnsi"/>
          <w:sz w:val="20"/>
          <w:szCs w:val="20"/>
        </w:rPr>
        <w:t xml:space="preserve"> </w:t>
      </w:r>
      <w:r>
        <w:rPr>
          <w:rFonts w:cstheme="minorHAnsi"/>
          <w:sz w:val="20"/>
          <w:szCs w:val="20"/>
        </w:rPr>
        <w:t>were trained by the RSIPF Domestic Violence Unit to understand the FPA and their roles and responsibilities under the guise of the FPA, including enforcement of the FPA</w:t>
      </w:r>
      <w:r w:rsidR="0033150C">
        <w:rPr>
          <w:rFonts w:cstheme="minorHAnsi"/>
          <w:sz w:val="20"/>
          <w:szCs w:val="20"/>
        </w:rPr>
        <w:t>. In 2015</w:t>
      </w:r>
      <w:r w:rsidR="00B951C7">
        <w:rPr>
          <w:rFonts w:cstheme="minorHAnsi"/>
          <w:sz w:val="20"/>
          <w:szCs w:val="20"/>
        </w:rPr>
        <w:t xml:space="preserve"> and 2016</w:t>
      </w:r>
      <w:r w:rsidR="0033150C">
        <w:rPr>
          <w:rFonts w:cstheme="minorHAnsi"/>
          <w:sz w:val="20"/>
          <w:szCs w:val="20"/>
        </w:rPr>
        <w:t>, th</w:t>
      </w:r>
      <w:r w:rsidR="00106234" w:rsidRPr="00BE648F">
        <w:rPr>
          <w:rFonts w:cstheme="minorHAnsi"/>
          <w:sz w:val="20"/>
          <w:szCs w:val="20"/>
        </w:rPr>
        <w:t xml:space="preserve">e Ministry of Women, Youth, Children and Family Affairs (MWYCFA) </w:t>
      </w:r>
      <w:r>
        <w:rPr>
          <w:rFonts w:cstheme="minorHAnsi"/>
          <w:sz w:val="20"/>
          <w:szCs w:val="20"/>
        </w:rPr>
        <w:t xml:space="preserve">also </w:t>
      </w:r>
      <w:r w:rsidR="00106234" w:rsidRPr="00BE648F">
        <w:rPr>
          <w:rFonts w:cstheme="minorHAnsi"/>
          <w:sz w:val="20"/>
          <w:szCs w:val="20"/>
        </w:rPr>
        <w:t>facilitated</w:t>
      </w:r>
      <w:r>
        <w:rPr>
          <w:rFonts w:cstheme="minorHAnsi"/>
          <w:sz w:val="20"/>
          <w:szCs w:val="20"/>
        </w:rPr>
        <w:t xml:space="preserve"> a</w:t>
      </w:r>
      <w:r w:rsidR="00106234" w:rsidRPr="00BE648F">
        <w:rPr>
          <w:rFonts w:cstheme="minorHAnsi"/>
          <w:sz w:val="20"/>
          <w:szCs w:val="20"/>
        </w:rPr>
        <w:t xml:space="preserve"> training </w:t>
      </w:r>
      <w:r>
        <w:rPr>
          <w:rFonts w:cstheme="minorHAnsi"/>
          <w:sz w:val="20"/>
          <w:szCs w:val="20"/>
        </w:rPr>
        <w:t xml:space="preserve">of trainers on gender and human rights with support from </w:t>
      </w:r>
      <w:r w:rsidR="0033150C">
        <w:rPr>
          <w:rFonts w:cstheme="minorHAnsi"/>
          <w:sz w:val="20"/>
          <w:szCs w:val="20"/>
        </w:rPr>
        <w:t>t</w:t>
      </w:r>
      <w:r w:rsidR="00106234" w:rsidRPr="00BE648F">
        <w:rPr>
          <w:rFonts w:cstheme="minorHAnsi"/>
          <w:sz w:val="20"/>
          <w:szCs w:val="20"/>
        </w:rPr>
        <w:t>he Secretariat of the Pacific Community Regional Rights Resource Team (SPC RRRT)</w:t>
      </w:r>
      <w:r w:rsidR="00B951C7">
        <w:rPr>
          <w:rFonts w:cstheme="minorHAnsi"/>
          <w:sz w:val="20"/>
          <w:szCs w:val="20"/>
        </w:rPr>
        <w:t xml:space="preserve">. By 2017, the majority of key stakeholders and relevant ministries had received some training on the FPA. In addition, the police were registering an increased number of domestic violence incidents and they were issuing PSNs demonstrating there was increased protection and support for VAWG survivors. The MWYCFA and RSIPF had also been conducting awareness-raising sessions on the FPA in communities, and CSO service providers were using social media to deliver awareness-raising messaging related to the FPA.  </w:t>
      </w:r>
    </w:p>
    <w:p w14:paraId="7827B742" w14:textId="77777777" w:rsidR="0033150C" w:rsidRDefault="0033150C" w:rsidP="00106234">
      <w:pPr>
        <w:spacing w:after="0" w:line="240" w:lineRule="auto"/>
        <w:jc w:val="both"/>
        <w:rPr>
          <w:rFonts w:cstheme="minorHAnsi"/>
          <w:sz w:val="20"/>
          <w:szCs w:val="20"/>
        </w:rPr>
      </w:pPr>
    </w:p>
    <w:p w14:paraId="26AE5D02" w14:textId="77777777" w:rsidR="00106234" w:rsidRPr="00BE648F" w:rsidRDefault="00106234" w:rsidP="00106234">
      <w:pPr>
        <w:spacing w:after="0" w:line="240" w:lineRule="auto"/>
        <w:jc w:val="both"/>
        <w:rPr>
          <w:rFonts w:cstheme="minorHAnsi"/>
          <w:sz w:val="20"/>
          <w:szCs w:val="20"/>
        </w:rPr>
      </w:pPr>
      <w:r w:rsidRPr="00BE648F">
        <w:rPr>
          <w:rFonts w:cstheme="minorHAnsi"/>
          <w:sz w:val="20"/>
          <w:szCs w:val="20"/>
        </w:rPr>
        <w:lastRenderedPageBreak/>
        <w:t xml:space="preserve">The 2015 </w:t>
      </w:r>
      <w:r w:rsidR="0033150C">
        <w:rPr>
          <w:rFonts w:cstheme="minorHAnsi"/>
          <w:sz w:val="20"/>
          <w:szCs w:val="20"/>
        </w:rPr>
        <w:t xml:space="preserve">and 2016 </w:t>
      </w:r>
      <w:r w:rsidRPr="00BE648F">
        <w:rPr>
          <w:rFonts w:cstheme="minorHAnsi"/>
          <w:sz w:val="20"/>
          <w:szCs w:val="20"/>
        </w:rPr>
        <w:t xml:space="preserve">16 Days of Activism Against Gender-Based Violence in Solomon Islands </w:t>
      </w:r>
      <w:r w:rsidR="0033150C">
        <w:rPr>
          <w:rFonts w:cstheme="minorHAnsi"/>
          <w:sz w:val="20"/>
          <w:szCs w:val="20"/>
        </w:rPr>
        <w:t>were also</w:t>
      </w:r>
      <w:r w:rsidRPr="00BE648F">
        <w:rPr>
          <w:rFonts w:cstheme="minorHAnsi"/>
          <w:sz w:val="20"/>
          <w:szCs w:val="20"/>
        </w:rPr>
        <w:t xml:space="preserve"> used to focus attention on the FPA 2014 </w:t>
      </w:r>
      <w:r w:rsidRPr="00BE648F">
        <w:rPr>
          <w:rFonts w:cstheme="minorHAnsi"/>
          <w:sz w:val="20"/>
          <w:szCs w:val="20"/>
          <w:lang w:val="en-AU"/>
        </w:rPr>
        <w:t xml:space="preserve">(Refer to: </w:t>
      </w:r>
      <w:hyperlink r:id="rId9" w:history="1">
        <w:r w:rsidRPr="00BE648F">
          <w:rPr>
            <w:rStyle w:val="Hyperlink"/>
            <w:rFonts w:cstheme="minorHAnsi"/>
            <w:sz w:val="20"/>
            <w:szCs w:val="20"/>
            <w:lang w:val="en-AU"/>
          </w:rPr>
          <w:t>http://www.solomonstarnews.com/features/women/9015-event-to-advocate-fpa-2014-commencement</w:t>
        </w:r>
      </w:hyperlink>
      <w:r w:rsidRPr="00BE648F">
        <w:rPr>
          <w:rStyle w:val="Hyperlink"/>
          <w:rFonts w:cstheme="minorHAnsi"/>
          <w:sz w:val="20"/>
          <w:szCs w:val="20"/>
          <w:lang w:val="en-AU"/>
        </w:rPr>
        <w:t>)</w:t>
      </w:r>
      <w:r w:rsidRPr="00BE648F">
        <w:rPr>
          <w:rFonts w:cstheme="minorHAnsi"/>
          <w:sz w:val="20"/>
          <w:szCs w:val="20"/>
          <w:lang w:val="en-AU"/>
        </w:rPr>
        <w:t xml:space="preserve">, </w:t>
      </w:r>
      <w:r w:rsidR="0033150C">
        <w:rPr>
          <w:rFonts w:cstheme="minorHAnsi"/>
          <w:sz w:val="20"/>
          <w:szCs w:val="20"/>
          <w:lang w:val="en-AU"/>
        </w:rPr>
        <w:t xml:space="preserve">and </w:t>
      </w:r>
      <w:r w:rsidRPr="00BE648F">
        <w:rPr>
          <w:rFonts w:cstheme="minorHAnsi"/>
          <w:sz w:val="20"/>
          <w:szCs w:val="20"/>
          <w:lang w:val="en-AU"/>
        </w:rPr>
        <w:t>highlight</w:t>
      </w:r>
      <w:r w:rsidR="0033150C">
        <w:rPr>
          <w:rFonts w:cstheme="minorHAnsi"/>
          <w:sz w:val="20"/>
          <w:szCs w:val="20"/>
          <w:lang w:val="en-AU"/>
        </w:rPr>
        <w:t>ed</w:t>
      </w:r>
      <w:r w:rsidRPr="00BE648F">
        <w:rPr>
          <w:rFonts w:cstheme="minorHAnsi"/>
          <w:sz w:val="20"/>
          <w:szCs w:val="20"/>
          <w:lang w:val="en-AU"/>
        </w:rPr>
        <w:t xml:space="preserve"> that the </w:t>
      </w:r>
      <w:r w:rsidR="0033150C">
        <w:rPr>
          <w:rFonts w:cstheme="minorHAnsi"/>
          <w:sz w:val="20"/>
          <w:szCs w:val="20"/>
          <w:lang w:val="en-AU"/>
        </w:rPr>
        <w:t xml:space="preserve">SIG is enforcing the </w:t>
      </w:r>
      <w:r w:rsidRPr="00BE648F">
        <w:rPr>
          <w:rFonts w:cstheme="minorHAnsi"/>
          <w:sz w:val="20"/>
          <w:szCs w:val="20"/>
          <w:lang w:val="en-AU"/>
        </w:rPr>
        <w:t>FPA and ensure</w:t>
      </w:r>
      <w:r w:rsidR="0033150C">
        <w:rPr>
          <w:rFonts w:cstheme="minorHAnsi"/>
          <w:sz w:val="20"/>
          <w:szCs w:val="20"/>
          <w:lang w:val="en-AU"/>
        </w:rPr>
        <w:t>s</w:t>
      </w:r>
      <w:r w:rsidRPr="00BE648F">
        <w:rPr>
          <w:rFonts w:cstheme="minorHAnsi"/>
          <w:sz w:val="20"/>
          <w:szCs w:val="20"/>
          <w:lang w:val="en-AU"/>
        </w:rPr>
        <w:t xml:space="preserve"> all key implementers of the FPA have the relevant training to be able to effectively respond to family/domestic violence, which includes, but is not limited to</w:t>
      </w:r>
      <w:r w:rsidR="0033150C">
        <w:rPr>
          <w:rFonts w:cstheme="minorHAnsi"/>
          <w:sz w:val="20"/>
          <w:szCs w:val="20"/>
          <w:lang w:val="en-AU"/>
        </w:rPr>
        <w:t xml:space="preserve"> VAWG</w:t>
      </w:r>
      <w:r w:rsidRPr="00BE648F">
        <w:rPr>
          <w:rFonts w:cstheme="minorHAnsi"/>
          <w:sz w:val="20"/>
          <w:szCs w:val="20"/>
          <w:lang w:val="en-AU"/>
        </w:rPr>
        <w:t>.</w:t>
      </w:r>
      <w:r w:rsidRPr="00BE648F">
        <w:rPr>
          <w:rFonts w:cstheme="minorHAnsi"/>
          <w:sz w:val="20"/>
          <w:szCs w:val="20"/>
        </w:rPr>
        <w:t xml:space="preserve"> To further maximize coverage, information on family violence and the FPA 2014 </w:t>
      </w:r>
      <w:r w:rsidR="0033150C">
        <w:rPr>
          <w:rFonts w:cstheme="minorHAnsi"/>
          <w:sz w:val="20"/>
          <w:szCs w:val="20"/>
        </w:rPr>
        <w:t xml:space="preserve">has been </w:t>
      </w:r>
      <w:r w:rsidRPr="00BE648F">
        <w:rPr>
          <w:rFonts w:cstheme="minorHAnsi"/>
          <w:sz w:val="20"/>
          <w:szCs w:val="20"/>
        </w:rPr>
        <w:t>disseminated through the Solomon Islands Broadcasting Corporation (SIBC) in the form of short messages and a talk-back show</w:t>
      </w:r>
      <w:r w:rsidR="0033150C">
        <w:rPr>
          <w:rFonts w:cstheme="minorHAnsi"/>
          <w:sz w:val="20"/>
          <w:szCs w:val="20"/>
        </w:rPr>
        <w:t>s</w:t>
      </w:r>
      <w:r w:rsidRPr="00BE648F">
        <w:rPr>
          <w:rFonts w:cstheme="minorHAnsi"/>
          <w:sz w:val="20"/>
          <w:szCs w:val="20"/>
        </w:rPr>
        <w:t xml:space="preserve">. The SIBC is the only radio station with nationwide coverage. Information on the FPA 2014 was also disseminated in Honiara and the provinces by civil society organisations (CSOs) and the SIG.  </w:t>
      </w:r>
      <w:hyperlink w:history="1"/>
    </w:p>
    <w:p w14:paraId="0A32DD49" w14:textId="77777777" w:rsidR="00106234" w:rsidRPr="00BE648F" w:rsidRDefault="00106234" w:rsidP="00106234">
      <w:pPr>
        <w:spacing w:after="0" w:line="240" w:lineRule="auto"/>
        <w:jc w:val="both"/>
        <w:rPr>
          <w:rFonts w:cstheme="minorHAnsi"/>
          <w:sz w:val="20"/>
          <w:szCs w:val="20"/>
          <w:lang w:val="en-AU"/>
        </w:rPr>
      </w:pPr>
    </w:p>
    <w:p w14:paraId="5C5FFEE7" w14:textId="77777777" w:rsidR="00106234" w:rsidRDefault="0033150C" w:rsidP="0033150C">
      <w:pPr>
        <w:spacing w:after="0" w:line="240" w:lineRule="auto"/>
        <w:jc w:val="both"/>
        <w:rPr>
          <w:rFonts w:cstheme="minorHAnsi"/>
          <w:sz w:val="20"/>
          <w:szCs w:val="20"/>
          <w:lang w:val="en-AU"/>
        </w:rPr>
      </w:pPr>
      <w:r>
        <w:rPr>
          <w:rFonts w:cstheme="minorHAnsi"/>
          <w:sz w:val="20"/>
          <w:szCs w:val="20"/>
          <w:lang w:val="en-AU"/>
        </w:rPr>
        <w:t xml:space="preserve">In 2017, the EVAWG Task Force was re-established by the MWYCFA to facilitate implementation and of EVAWG policies and monitor their implementation, including the FPA. In 2016 and 2017, to varying degrees, </w:t>
      </w:r>
      <w:r w:rsidR="00106234" w:rsidRPr="00BE648F">
        <w:rPr>
          <w:rFonts w:cstheme="minorHAnsi"/>
          <w:sz w:val="20"/>
          <w:szCs w:val="20"/>
          <w:lang w:val="en-AU"/>
        </w:rPr>
        <w:t xml:space="preserve">relevant Ministries </w:t>
      </w:r>
      <w:r>
        <w:rPr>
          <w:rFonts w:cstheme="minorHAnsi"/>
          <w:sz w:val="20"/>
          <w:szCs w:val="20"/>
          <w:lang w:val="en-AU"/>
        </w:rPr>
        <w:t xml:space="preserve">have focused on </w:t>
      </w:r>
      <w:r w:rsidR="00106234" w:rsidRPr="00BE648F">
        <w:rPr>
          <w:rFonts w:cstheme="minorHAnsi"/>
          <w:sz w:val="20"/>
          <w:szCs w:val="20"/>
          <w:lang w:val="en-AU"/>
        </w:rPr>
        <w:t xml:space="preserve">developing sectoral plans </w:t>
      </w:r>
      <w:r>
        <w:rPr>
          <w:rFonts w:cstheme="minorHAnsi"/>
          <w:sz w:val="20"/>
          <w:szCs w:val="20"/>
          <w:lang w:val="en-AU"/>
        </w:rPr>
        <w:t xml:space="preserve">that prioritize implementation of the EVAW Policy and the FPA. </w:t>
      </w:r>
    </w:p>
    <w:p w14:paraId="0B2C97B4" w14:textId="77777777" w:rsidR="00010C9E" w:rsidRDefault="00010C9E" w:rsidP="0033150C">
      <w:pPr>
        <w:spacing w:after="0" w:line="240" w:lineRule="auto"/>
        <w:jc w:val="both"/>
        <w:rPr>
          <w:rFonts w:cstheme="minorHAnsi"/>
          <w:sz w:val="20"/>
          <w:szCs w:val="20"/>
          <w:lang w:val="en-AU"/>
        </w:rPr>
      </w:pPr>
    </w:p>
    <w:p w14:paraId="69C2C566" w14:textId="77777777" w:rsidR="00106234" w:rsidRPr="00BE648F" w:rsidRDefault="00106234" w:rsidP="00106234">
      <w:pPr>
        <w:pStyle w:val="ListParagraph"/>
        <w:spacing w:after="0" w:line="240" w:lineRule="auto"/>
        <w:ind w:left="1080"/>
        <w:jc w:val="both"/>
        <w:rPr>
          <w:rFonts w:cstheme="minorHAnsi"/>
          <w:sz w:val="20"/>
          <w:szCs w:val="20"/>
          <w:lang w:val="en-AU"/>
        </w:rPr>
      </w:pPr>
    </w:p>
    <w:p w14:paraId="11C5B5BB" w14:textId="30EE6833" w:rsidR="00CC30E5" w:rsidRPr="00BE648F" w:rsidRDefault="00CC30E5" w:rsidP="00CC30E5">
      <w:pPr>
        <w:spacing w:after="0" w:line="240" w:lineRule="auto"/>
        <w:jc w:val="both"/>
        <w:rPr>
          <w:rFonts w:cstheme="minorHAnsi"/>
          <w:sz w:val="20"/>
          <w:szCs w:val="20"/>
          <w:lang w:val="en-AU"/>
        </w:rPr>
      </w:pPr>
      <w:r>
        <w:rPr>
          <w:rFonts w:cstheme="minorHAnsi"/>
          <w:b/>
          <w:sz w:val="20"/>
          <w:szCs w:val="20"/>
          <w:lang w:val="en-AU"/>
        </w:rPr>
        <w:t xml:space="preserve">A </w:t>
      </w:r>
      <w:r w:rsidRPr="00BE648F">
        <w:rPr>
          <w:rFonts w:cstheme="minorHAnsi"/>
          <w:b/>
          <w:sz w:val="20"/>
          <w:szCs w:val="20"/>
          <w:lang w:val="en-AU"/>
        </w:rPr>
        <w:t xml:space="preserve">Penal Code </w:t>
      </w:r>
      <w:r>
        <w:rPr>
          <w:rFonts w:cstheme="minorHAnsi"/>
          <w:b/>
          <w:sz w:val="20"/>
          <w:szCs w:val="20"/>
          <w:lang w:val="en-AU"/>
        </w:rPr>
        <w:t xml:space="preserve">Amendment to the Sexual Offenses Bill. </w:t>
      </w:r>
      <w:r>
        <w:rPr>
          <w:rFonts w:cstheme="minorHAnsi"/>
          <w:sz w:val="20"/>
          <w:szCs w:val="20"/>
          <w:lang w:val="en-AU"/>
        </w:rPr>
        <w:t xml:space="preserve">In May 2016, Parliament passed the </w:t>
      </w:r>
      <w:r w:rsidRPr="00BE648F">
        <w:rPr>
          <w:rFonts w:cstheme="minorHAnsi"/>
          <w:sz w:val="20"/>
          <w:szCs w:val="20"/>
          <w:lang w:val="en-AU"/>
        </w:rPr>
        <w:t xml:space="preserve">Penal Code Amendment to the Sexual Offences. The Sexual Offences Bill revises and updates the current sexual offences in the Penal Code in accordance with recommendations made by the Law Reform Commission of the MJLA in its Interim Report on Sexual Offences-Sentencing 2011, and Second Interim Report Sexual Offences in 2013. The recommendations cover the following offences: rape, sexual abuse of persons with significant disability, indecent assault, incest, sexual intercourse with a child, indecent touching of a child, sexual abuse of child age 15 to 18, persistent abuse of a child, commercial sexual exploitation of children, and child sexual exploitation material. </w:t>
      </w:r>
    </w:p>
    <w:p w14:paraId="72AC540A" w14:textId="77777777" w:rsidR="00CC30E5" w:rsidRDefault="00CC30E5" w:rsidP="00B951C7">
      <w:pPr>
        <w:spacing w:after="0" w:line="240" w:lineRule="auto"/>
        <w:jc w:val="both"/>
        <w:rPr>
          <w:rFonts w:cstheme="minorHAnsi"/>
          <w:b/>
          <w:sz w:val="20"/>
          <w:szCs w:val="20"/>
          <w:lang w:val="en-AU"/>
        </w:rPr>
      </w:pPr>
    </w:p>
    <w:p w14:paraId="5A887525" w14:textId="5432A562" w:rsidR="0033150C" w:rsidRDefault="00106234" w:rsidP="00B951C7">
      <w:pPr>
        <w:spacing w:after="0" w:line="240" w:lineRule="auto"/>
        <w:jc w:val="both"/>
        <w:rPr>
          <w:rFonts w:cstheme="minorHAnsi"/>
          <w:color w:val="000000"/>
          <w:sz w:val="20"/>
          <w:szCs w:val="20"/>
        </w:rPr>
      </w:pPr>
      <w:r w:rsidRPr="00BE648F">
        <w:rPr>
          <w:rFonts w:cstheme="minorHAnsi"/>
          <w:b/>
          <w:sz w:val="20"/>
          <w:szCs w:val="20"/>
          <w:lang w:val="en-AU"/>
        </w:rPr>
        <w:t>Review of the National Policy on Eliminating Violence against Women (EVAW Policy) and related National Action Plan (NAP)</w:t>
      </w:r>
      <w:r w:rsidR="00465A85">
        <w:rPr>
          <w:rFonts w:cstheme="minorHAnsi"/>
          <w:b/>
          <w:sz w:val="20"/>
          <w:szCs w:val="20"/>
          <w:lang w:val="en-AU"/>
        </w:rPr>
        <w:t xml:space="preserve">. </w:t>
      </w:r>
      <w:r w:rsidR="00B951C7">
        <w:rPr>
          <w:rFonts w:cstheme="minorHAnsi"/>
          <w:color w:val="000000"/>
          <w:sz w:val="20"/>
          <w:szCs w:val="20"/>
        </w:rPr>
        <w:t>T</w:t>
      </w:r>
      <w:r w:rsidR="0033150C" w:rsidRPr="00BE648F">
        <w:rPr>
          <w:rFonts w:cstheme="minorHAnsi"/>
          <w:color w:val="000000"/>
          <w:sz w:val="20"/>
          <w:szCs w:val="20"/>
        </w:rPr>
        <w:t xml:space="preserve">he EVAW Policy 2010- 2016 was reviewed and a revised EVAW Policy 2016- </w:t>
      </w:r>
      <w:r w:rsidR="00A637E7">
        <w:rPr>
          <w:rFonts w:cstheme="minorHAnsi"/>
          <w:color w:val="000000"/>
          <w:sz w:val="20"/>
          <w:szCs w:val="20"/>
        </w:rPr>
        <w:t>2020</w:t>
      </w:r>
      <w:r w:rsidR="00C1165F">
        <w:rPr>
          <w:rFonts w:cstheme="minorHAnsi"/>
          <w:color w:val="000000"/>
          <w:sz w:val="20"/>
          <w:szCs w:val="20"/>
        </w:rPr>
        <w:t xml:space="preserve"> </w:t>
      </w:r>
      <w:r w:rsidR="0033150C" w:rsidRPr="00BE648F">
        <w:rPr>
          <w:rFonts w:cstheme="minorHAnsi"/>
          <w:color w:val="000000"/>
          <w:sz w:val="20"/>
          <w:szCs w:val="20"/>
        </w:rPr>
        <w:t>was drafted</w:t>
      </w:r>
      <w:r w:rsidR="00C1165F">
        <w:rPr>
          <w:rFonts w:cstheme="minorHAnsi"/>
          <w:color w:val="000000"/>
          <w:sz w:val="20"/>
          <w:szCs w:val="20"/>
        </w:rPr>
        <w:t xml:space="preserve"> in 2</w:t>
      </w:r>
      <w:r w:rsidR="00B951C7">
        <w:rPr>
          <w:rFonts w:cstheme="minorHAnsi"/>
          <w:color w:val="000000"/>
          <w:sz w:val="20"/>
          <w:szCs w:val="20"/>
        </w:rPr>
        <w:t>016 and finalized in 2017</w:t>
      </w:r>
      <w:r w:rsidR="0033150C" w:rsidRPr="00BE648F">
        <w:rPr>
          <w:rFonts w:cstheme="minorHAnsi"/>
          <w:color w:val="000000"/>
          <w:sz w:val="20"/>
          <w:szCs w:val="20"/>
        </w:rPr>
        <w:t>. The EVAW Policy 2016-</w:t>
      </w:r>
      <w:r w:rsidR="00A637E7">
        <w:rPr>
          <w:rFonts w:cstheme="minorHAnsi"/>
          <w:color w:val="000000"/>
          <w:sz w:val="20"/>
          <w:szCs w:val="20"/>
        </w:rPr>
        <w:t xml:space="preserve"> 2020</w:t>
      </w:r>
      <w:r w:rsidR="0033150C" w:rsidRPr="00BE648F">
        <w:rPr>
          <w:rFonts w:cstheme="minorHAnsi"/>
          <w:color w:val="000000"/>
          <w:sz w:val="20"/>
          <w:szCs w:val="20"/>
        </w:rPr>
        <w:t xml:space="preserve"> focuses on ensuring multi-sectoral efforts to address VAWG </w:t>
      </w:r>
      <w:r w:rsidR="00B951C7">
        <w:rPr>
          <w:rFonts w:cstheme="minorHAnsi"/>
          <w:color w:val="000000"/>
          <w:sz w:val="20"/>
          <w:szCs w:val="20"/>
        </w:rPr>
        <w:t xml:space="preserve">that </w:t>
      </w:r>
      <w:r w:rsidR="0033150C" w:rsidRPr="00BE648F">
        <w:rPr>
          <w:rFonts w:cstheme="minorHAnsi"/>
          <w:color w:val="000000"/>
          <w:sz w:val="20"/>
          <w:szCs w:val="20"/>
        </w:rPr>
        <w:t xml:space="preserve">are in line with the Gender Equality and Women’s Development (GEWD) Policy 2016-2018; particularly, two key GEWD Policy outcomes: 1) To enhance the coordination, implementation, and monitoring of the National EVAW Policy and the FPA 2014; and 2) To enhance support for victims of sexual and gender-based violence (SGBV) and extend quality services to rural areas. </w:t>
      </w:r>
    </w:p>
    <w:p w14:paraId="4002F7AA" w14:textId="77777777" w:rsidR="00B951C7" w:rsidRPr="00BE648F" w:rsidRDefault="00B951C7" w:rsidP="00B951C7">
      <w:pPr>
        <w:spacing w:after="0" w:line="240" w:lineRule="auto"/>
        <w:jc w:val="both"/>
        <w:rPr>
          <w:rFonts w:cstheme="minorHAnsi"/>
          <w:color w:val="000000"/>
          <w:sz w:val="20"/>
          <w:szCs w:val="20"/>
        </w:rPr>
      </w:pPr>
    </w:p>
    <w:p w14:paraId="4CE40BD3" w14:textId="6878D470" w:rsidR="0033150C" w:rsidRDefault="0033150C" w:rsidP="009746D3">
      <w:pPr>
        <w:autoSpaceDE w:val="0"/>
        <w:autoSpaceDN w:val="0"/>
        <w:adjustRightInd w:val="0"/>
        <w:spacing w:after="0" w:line="240" w:lineRule="auto"/>
        <w:jc w:val="both"/>
        <w:rPr>
          <w:rFonts w:cstheme="minorHAnsi"/>
          <w:color w:val="000000"/>
          <w:sz w:val="20"/>
          <w:szCs w:val="20"/>
        </w:rPr>
      </w:pPr>
      <w:r w:rsidRPr="00BE648F">
        <w:rPr>
          <w:rFonts w:cstheme="minorHAnsi"/>
          <w:color w:val="000000"/>
          <w:sz w:val="20"/>
          <w:szCs w:val="20"/>
        </w:rPr>
        <w:t>As part of the drafting of the EVAW Policy 2016-</w:t>
      </w:r>
      <w:r w:rsidR="00A637E7">
        <w:rPr>
          <w:rFonts w:cstheme="minorHAnsi"/>
          <w:color w:val="000000"/>
          <w:sz w:val="20"/>
          <w:szCs w:val="20"/>
        </w:rPr>
        <w:t>2020</w:t>
      </w:r>
      <w:r w:rsidRPr="00BE648F">
        <w:rPr>
          <w:rFonts w:cstheme="minorHAnsi"/>
          <w:color w:val="000000"/>
          <w:sz w:val="20"/>
          <w:szCs w:val="20"/>
        </w:rPr>
        <w:t xml:space="preserve">, the MWYCFA hosted a series of consultations with Gender Focal Points (GFPs), Provincial Focal Points (PFPs), and members of the </w:t>
      </w:r>
      <w:r w:rsidR="00B951C7">
        <w:rPr>
          <w:rFonts w:cstheme="minorHAnsi"/>
          <w:color w:val="000000"/>
          <w:sz w:val="20"/>
          <w:szCs w:val="20"/>
        </w:rPr>
        <w:t xml:space="preserve">re-established </w:t>
      </w:r>
      <w:r w:rsidRPr="00BE648F">
        <w:rPr>
          <w:rFonts w:cstheme="minorHAnsi"/>
          <w:color w:val="000000"/>
          <w:sz w:val="20"/>
          <w:szCs w:val="20"/>
        </w:rPr>
        <w:t xml:space="preserve">EVAW National Task Force (i.e., the monitoring body of the EVAW Policy). </w:t>
      </w:r>
      <w:r w:rsidR="00B951C7">
        <w:rPr>
          <w:rFonts w:cstheme="minorHAnsi"/>
          <w:color w:val="000000"/>
          <w:sz w:val="20"/>
          <w:szCs w:val="20"/>
        </w:rPr>
        <w:t>UN Women supported t</w:t>
      </w:r>
      <w:r w:rsidRPr="00BE648F">
        <w:rPr>
          <w:rFonts w:cstheme="minorHAnsi"/>
          <w:color w:val="000000"/>
          <w:sz w:val="20"/>
          <w:szCs w:val="20"/>
        </w:rPr>
        <w:t xml:space="preserve">hree in-country missions </w:t>
      </w:r>
      <w:r w:rsidR="00B951C7">
        <w:rPr>
          <w:rFonts w:cstheme="minorHAnsi"/>
          <w:color w:val="000000"/>
          <w:sz w:val="20"/>
          <w:szCs w:val="20"/>
        </w:rPr>
        <w:t>in 2016 and 2017 of an international consultant to support the MWYCFA and the EVAW Task Force</w:t>
      </w:r>
      <w:r w:rsidR="00C1165F">
        <w:rPr>
          <w:rFonts w:cstheme="minorHAnsi"/>
          <w:color w:val="000000"/>
          <w:sz w:val="20"/>
          <w:szCs w:val="20"/>
        </w:rPr>
        <w:t xml:space="preserve"> to review and revise</w:t>
      </w:r>
      <w:r w:rsidR="009746D3">
        <w:rPr>
          <w:rFonts w:cstheme="minorHAnsi"/>
          <w:color w:val="000000"/>
          <w:sz w:val="20"/>
          <w:szCs w:val="20"/>
        </w:rPr>
        <w:t xml:space="preserve"> the EVAW Policy. Through the process consultations were held with </w:t>
      </w:r>
      <w:r w:rsidRPr="00BE648F">
        <w:rPr>
          <w:rFonts w:cstheme="minorHAnsi"/>
          <w:color w:val="000000"/>
          <w:sz w:val="20"/>
          <w:szCs w:val="20"/>
        </w:rPr>
        <w:t xml:space="preserve">a total of 300 government officials and representatives from the MWYCFA, Ministry of Health and Medical Services (MHMS), Ministry of Justice (MoJ), Royal Solomon Islands Police Force (RSIPF), Office of the Director of Public Prosecutions, Public Solicitors Office, and the Ministry of Education and Human Resource Development (MEHRD), as well as NGO representatives (i.e., Women’s Rights Action Network, Christian Care Centre, and Vois Blong Mere), development partners on EVAWG (i.e., UN agencies, INGOs, Australian DFAT, Secretariat of the Pacific Community, World Bank), and private sector representatives (i.e., Guadalcanal Plains Palm Oil Ltd). </w:t>
      </w:r>
    </w:p>
    <w:p w14:paraId="63A67A09" w14:textId="77777777" w:rsidR="00B951C7" w:rsidRDefault="00B951C7" w:rsidP="0033150C">
      <w:pPr>
        <w:autoSpaceDE w:val="0"/>
        <w:autoSpaceDN w:val="0"/>
        <w:adjustRightInd w:val="0"/>
        <w:spacing w:after="0" w:line="240" w:lineRule="auto"/>
        <w:rPr>
          <w:rFonts w:cstheme="minorHAnsi"/>
          <w:color w:val="000000"/>
          <w:sz w:val="20"/>
          <w:szCs w:val="20"/>
        </w:rPr>
      </w:pPr>
    </w:p>
    <w:p w14:paraId="69CCBACD" w14:textId="369AE38D" w:rsidR="00465A85" w:rsidRPr="00591F6B" w:rsidRDefault="0033150C" w:rsidP="00F95BDF">
      <w:pPr>
        <w:autoSpaceDE w:val="0"/>
        <w:autoSpaceDN w:val="0"/>
        <w:adjustRightInd w:val="0"/>
        <w:spacing w:after="0" w:line="240" w:lineRule="auto"/>
        <w:jc w:val="both"/>
        <w:rPr>
          <w:rFonts w:cstheme="minorHAnsi"/>
          <w:sz w:val="20"/>
          <w:szCs w:val="20"/>
        </w:rPr>
      </w:pPr>
      <w:r w:rsidRPr="008E15DE">
        <w:rPr>
          <w:rFonts w:cstheme="minorHAnsi"/>
          <w:b/>
          <w:bCs/>
          <w:color w:val="000000"/>
          <w:sz w:val="20"/>
          <w:szCs w:val="20"/>
        </w:rPr>
        <w:t>Ministry of Health and Medical Services (MHMS) restructuring</w:t>
      </w:r>
      <w:r w:rsidR="008E15DE" w:rsidRPr="008E15DE">
        <w:rPr>
          <w:rFonts w:cstheme="minorHAnsi"/>
          <w:b/>
          <w:bCs/>
          <w:color w:val="000000"/>
          <w:sz w:val="20"/>
          <w:szCs w:val="20"/>
        </w:rPr>
        <w:t xml:space="preserve"> to support a National Health Strategic Plan 2016-2020</w:t>
      </w:r>
      <w:r w:rsidR="00465A85" w:rsidRPr="008E15DE">
        <w:rPr>
          <w:rFonts w:cstheme="minorHAnsi"/>
          <w:b/>
          <w:bCs/>
          <w:color w:val="000000"/>
          <w:sz w:val="20"/>
          <w:szCs w:val="20"/>
        </w:rPr>
        <w:t xml:space="preserve">.  </w:t>
      </w:r>
      <w:r w:rsidR="008E15DE" w:rsidRPr="008E15DE">
        <w:rPr>
          <w:rFonts w:cstheme="minorHAnsi"/>
          <w:bCs/>
          <w:color w:val="000000"/>
          <w:sz w:val="20"/>
          <w:szCs w:val="20"/>
        </w:rPr>
        <w:t xml:space="preserve">In 2016, the </w:t>
      </w:r>
      <w:r w:rsidR="008E15DE" w:rsidRPr="008E15DE">
        <w:rPr>
          <w:rFonts w:cstheme="minorHAnsi"/>
          <w:color w:val="000000"/>
          <w:sz w:val="20"/>
          <w:szCs w:val="20"/>
        </w:rPr>
        <w:t xml:space="preserve">MHMS was in the first year of implementing the National Health Strategic Plan 2016-2020. </w:t>
      </w:r>
      <w:r w:rsidR="008E15DE">
        <w:rPr>
          <w:rFonts w:cstheme="minorHAnsi"/>
          <w:color w:val="000000"/>
          <w:sz w:val="20"/>
          <w:szCs w:val="20"/>
        </w:rPr>
        <w:t xml:space="preserve">That same year, </w:t>
      </w:r>
      <w:r w:rsidRPr="00BE648F">
        <w:rPr>
          <w:rFonts w:cstheme="minorHAnsi"/>
          <w:color w:val="000000"/>
          <w:sz w:val="20"/>
          <w:szCs w:val="20"/>
        </w:rPr>
        <w:t xml:space="preserve">the MHMS initiated restructuring of its GBV-response resources, which impacted the coordination of the SAFENET </w:t>
      </w:r>
      <w:r w:rsidR="00465A85">
        <w:rPr>
          <w:rFonts w:cstheme="minorHAnsi"/>
          <w:color w:val="000000"/>
          <w:sz w:val="20"/>
          <w:szCs w:val="20"/>
        </w:rPr>
        <w:t>R</w:t>
      </w:r>
      <w:r w:rsidRPr="00BE648F">
        <w:rPr>
          <w:rFonts w:cstheme="minorHAnsi"/>
          <w:color w:val="000000"/>
          <w:sz w:val="20"/>
          <w:szCs w:val="20"/>
        </w:rPr>
        <w:t xml:space="preserve">eferral </w:t>
      </w:r>
      <w:r w:rsidR="00465A85">
        <w:rPr>
          <w:rFonts w:cstheme="minorHAnsi"/>
          <w:color w:val="000000"/>
          <w:sz w:val="20"/>
          <w:szCs w:val="20"/>
        </w:rPr>
        <w:t>N</w:t>
      </w:r>
      <w:r w:rsidRPr="00BE648F">
        <w:rPr>
          <w:rFonts w:cstheme="minorHAnsi"/>
          <w:color w:val="000000"/>
          <w:sz w:val="20"/>
          <w:szCs w:val="20"/>
        </w:rPr>
        <w:t xml:space="preserve">etwork. The SAFENET Coordinator </w:t>
      </w:r>
      <w:r w:rsidR="00465A85">
        <w:rPr>
          <w:rFonts w:cstheme="minorHAnsi"/>
          <w:color w:val="000000"/>
          <w:sz w:val="20"/>
          <w:szCs w:val="20"/>
        </w:rPr>
        <w:t xml:space="preserve">was assigned the position of MHMS </w:t>
      </w:r>
      <w:r w:rsidRPr="00BE648F">
        <w:rPr>
          <w:rFonts w:cstheme="minorHAnsi"/>
          <w:color w:val="000000"/>
          <w:sz w:val="20"/>
          <w:szCs w:val="20"/>
        </w:rPr>
        <w:t>GBV Coordinator</w:t>
      </w:r>
      <w:r w:rsidR="00465A85">
        <w:rPr>
          <w:rFonts w:cstheme="minorHAnsi"/>
          <w:color w:val="000000"/>
          <w:sz w:val="20"/>
          <w:szCs w:val="20"/>
        </w:rPr>
        <w:t xml:space="preserve"> and </w:t>
      </w:r>
      <w:r w:rsidRPr="00BE648F">
        <w:rPr>
          <w:rFonts w:cstheme="minorHAnsi"/>
          <w:color w:val="000000"/>
          <w:sz w:val="20"/>
          <w:szCs w:val="20"/>
        </w:rPr>
        <w:t xml:space="preserve">tasked with developing a new unit to be called GBV Unit. Under this newly proposed structure, the GBV Coordinator would report directly to the MHMS Under-Secretary, affording the GBV Coordinator more influence in decision-making and most importantly, in mobilising resources for deployment across the country on planned priority EVAWG activities. </w:t>
      </w:r>
      <w:r w:rsidR="00F95BDF">
        <w:rPr>
          <w:sz w:val="20"/>
          <w:szCs w:val="20"/>
        </w:rPr>
        <w:t xml:space="preserve">This restructuring significantly eroded the Coordinator’s time to coordinate the SAFENET Referral Network. In 2017, discussions were underway within SIG Ministries to house the SAFENET Referral Network and the SAFENTE Coordinator position outside of the MHMS and in the MWYFCA; UN-SIG JP partners were </w:t>
      </w:r>
      <w:r w:rsidR="00F95BDF">
        <w:rPr>
          <w:sz w:val="20"/>
          <w:szCs w:val="20"/>
        </w:rPr>
        <w:lastRenderedPageBreak/>
        <w:t xml:space="preserve">part of this discussion. In 2017, the decision to relocate the SAFENET Referral Network was confirmed by SAFENET members, but the </w:t>
      </w:r>
      <w:r w:rsidR="00F95BDF" w:rsidRPr="00591F6B">
        <w:rPr>
          <w:rFonts w:cstheme="minorHAnsi"/>
          <w:sz w:val="20"/>
          <w:szCs w:val="20"/>
        </w:rPr>
        <w:t>decision has yet to be confirmed by the SIG.</w:t>
      </w:r>
    </w:p>
    <w:p w14:paraId="7461EBDC" w14:textId="1EF7DDCF" w:rsidR="00F95BDF" w:rsidRDefault="00F95BDF" w:rsidP="00F95BDF">
      <w:pPr>
        <w:autoSpaceDE w:val="0"/>
        <w:autoSpaceDN w:val="0"/>
        <w:adjustRightInd w:val="0"/>
        <w:spacing w:after="0" w:line="240" w:lineRule="auto"/>
        <w:jc w:val="both"/>
        <w:rPr>
          <w:rFonts w:cstheme="minorHAnsi"/>
          <w:color w:val="000000"/>
          <w:sz w:val="20"/>
          <w:szCs w:val="20"/>
        </w:rPr>
      </w:pPr>
    </w:p>
    <w:p w14:paraId="5CF78360" w14:textId="0195EB44" w:rsidR="008E15DE" w:rsidRPr="008E15DE" w:rsidRDefault="008E15DE" w:rsidP="008E15DE">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In 2016, </w:t>
      </w:r>
      <w:r w:rsidRPr="008E15DE">
        <w:rPr>
          <w:rFonts w:cstheme="minorHAnsi"/>
          <w:color w:val="000000"/>
          <w:sz w:val="20"/>
          <w:szCs w:val="20"/>
        </w:rPr>
        <w:t xml:space="preserve">Australian DFAT, under its Health Sector Improvement Program III (HISP III), supported the rollout of health services for VAWG survivors to the provinces, based upon lessons from the model piloted by Seif Ples. Seif Ples is a service provider that offers 24-hour protection and support to VAWG survivors, including rape kits and emergency contraceptives, and operates a support hotline. Seif Ples was a partnership between the Honiara City Council, the Royal Solomon Islands Police Force, and the MHMS. Priorities for Australian DFAT </w:t>
      </w:r>
      <w:r>
        <w:rPr>
          <w:rFonts w:cstheme="minorHAnsi"/>
          <w:color w:val="000000"/>
          <w:sz w:val="20"/>
          <w:szCs w:val="20"/>
        </w:rPr>
        <w:t>were</w:t>
      </w:r>
      <w:r w:rsidRPr="008E15DE">
        <w:rPr>
          <w:rFonts w:cstheme="minorHAnsi"/>
          <w:color w:val="000000"/>
          <w:sz w:val="20"/>
          <w:szCs w:val="20"/>
        </w:rPr>
        <w:t xml:space="preserve"> the WHO-supported </w:t>
      </w:r>
      <w:r w:rsidRPr="008E15DE">
        <w:rPr>
          <w:rFonts w:cstheme="minorHAnsi"/>
          <w:i/>
          <w:sz w:val="20"/>
          <w:szCs w:val="20"/>
        </w:rPr>
        <w:t>Guidelines for Minimum Standards of Management of Care for Survivors of Sexual and Gender-Based Violence</w:t>
      </w:r>
      <w:r w:rsidRPr="008E15DE">
        <w:rPr>
          <w:rFonts w:cstheme="minorHAnsi"/>
          <w:sz w:val="20"/>
          <w:szCs w:val="20"/>
        </w:rPr>
        <w:t xml:space="preserve"> </w:t>
      </w:r>
      <w:r w:rsidRPr="008E15DE">
        <w:rPr>
          <w:rFonts w:cstheme="minorHAnsi"/>
          <w:color w:val="000000"/>
          <w:sz w:val="20"/>
          <w:szCs w:val="20"/>
        </w:rPr>
        <w:t xml:space="preserve">Clinical Guidelines and early work on developing a National Counselling Framework by the MWYCFA. </w:t>
      </w:r>
    </w:p>
    <w:p w14:paraId="08552F6B" w14:textId="77777777" w:rsidR="008E15DE" w:rsidRPr="00591F6B" w:rsidRDefault="008E15DE" w:rsidP="00F95BDF">
      <w:pPr>
        <w:autoSpaceDE w:val="0"/>
        <w:autoSpaceDN w:val="0"/>
        <w:adjustRightInd w:val="0"/>
        <w:spacing w:after="0" w:line="240" w:lineRule="auto"/>
        <w:jc w:val="both"/>
        <w:rPr>
          <w:rFonts w:cstheme="minorHAnsi"/>
          <w:color w:val="000000"/>
          <w:sz w:val="20"/>
          <w:szCs w:val="20"/>
        </w:rPr>
      </w:pPr>
    </w:p>
    <w:p w14:paraId="3C1C7516" w14:textId="10E3A113" w:rsidR="0033150C" w:rsidRPr="00BE648F" w:rsidRDefault="0033150C" w:rsidP="00465A85">
      <w:pPr>
        <w:autoSpaceDE w:val="0"/>
        <w:autoSpaceDN w:val="0"/>
        <w:adjustRightInd w:val="0"/>
        <w:spacing w:after="0" w:line="240" w:lineRule="auto"/>
        <w:jc w:val="both"/>
        <w:rPr>
          <w:rFonts w:cstheme="minorHAnsi"/>
          <w:color w:val="000000"/>
          <w:sz w:val="20"/>
          <w:szCs w:val="20"/>
        </w:rPr>
      </w:pPr>
    </w:p>
    <w:p w14:paraId="2AC4A7F5" w14:textId="2763E96F" w:rsidR="0033150C" w:rsidRPr="00BE648F" w:rsidRDefault="0033150C" w:rsidP="0033150C">
      <w:pPr>
        <w:autoSpaceDE w:val="0"/>
        <w:autoSpaceDN w:val="0"/>
        <w:adjustRightInd w:val="0"/>
        <w:spacing w:after="0" w:line="240" w:lineRule="auto"/>
        <w:rPr>
          <w:rFonts w:cstheme="minorHAnsi"/>
          <w:color w:val="000000"/>
          <w:sz w:val="20"/>
          <w:szCs w:val="20"/>
        </w:rPr>
      </w:pPr>
      <w:r w:rsidRPr="00BE648F">
        <w:rPr>
          <w:rFonts w:cstheme="minorHAnsi"/>
          <w:b/>
          <w:bCs/>
          <w:color w:val="000000"/>
          <w:sz w:val="20"/>
          <w:szCs w:val="20"/>
        </w:rPr>
        <w:t>New legislative and policy developments</w:t>
      </w:r>
      <w:r w:rsidR="00591F6B">
        <w:rPr>
          <w:rFonts w:cstheme="minorHAnsi"/>
          <w:b/>
          <w:bCs/>
          <w:color w:val="000000"/>
          <w:sz w:val="20"/>
          <w:szCs w:val="20"/>
        </w:rPr>
        <w:t xml:space="preserve">.  </w:t>
      </w:r>
      <w:r w:rsidRPr="00BE648F">
        <w:rPr>
          <w:rFonts w:cstheme="minorHAnsi"/>
          <w:color w:val="000000"/>
          <w:sz w:val="20"/>
          <w:szCs w:val="20"/>
        </w:rPr>
        <w:t xml:space="preserve">There were three new legislative and policy developments in Solomon Islands </w:t>
      </w:r>
      <w:r w:rsidR="00591F6B">
        <w:rPr>
          <w:rFonts w:cstheme="minorHAnsi"/>
          <w:color w:val="000000"/>
          <w:sz w:val="20"/>
          <w:szCs w:val="20"/>
        </w:rPr>
        <w:t xml:space="preserve">in 2016; however, they were </w:t>
      </w:r>
      <w:r w:rsidRPr="00BE648F">
        <w:rPr>
          <w:rFonts w:cstheme="minorHAnsi"/>
          <w:color w:val="000000"/>
          <w:sz w:val="20"/>
          <w:szCs w:val="20"/>
        </w:rPr>
        <w:t>external to the UN</w:t>
      </w:r>
      <w:r w:rsidR="00591F6B">
        <w:rPr>
          <w:rFonts w:cstheme="minorHAnsi"/>
          <w:color w:val="000000"/>
          <w:sz w:val="20"/>
          <w:szCs w:val="20"/>
        </w:rPr>
        <w:t>-</w:t>
      </w:r>
      <w:r w:rsidRPr="00BE648F">
        <w:rPr>
          <w:rFonts w:cstheme="minorHAnsi"/>
          <w:color w:val="000000"/>
          <w:sz w:val="20"/>
          <w:szCs w:val="20"/>
        </w:rPr>
        <w:t>SIG JP</w:t>
      </w:r>
      <w:r w:rsidR="00591F6B">
        <w:rPr>
          <w:rFonts w:cstheme="minorHAnsi"/>
          <w:color w:val="000000"/>
          <w:sz w:val="20"/>
          <w:szCs w:val="20"/>
        </w:rPr>
        <w:t xml:space="preserve"> on EVAWG</w:t>
      </w:r>
      <w:r w:rsidRPr="00BE648F">
        <w:rPr>
          <w:rFonts w:cstheme="minorHAnsi"/>
          <w:color w:val="000000"/>
          <w:sz w:val="20"/>
          <w:szCs w:val="20"/>
        </w:rPr>
        <w:t xml:space="preserve">, but relevant to </w:t>
      </w:r>
      <w:r w:rsidR="00591F6B">
        <w:rPr>
          <w:rFonts w:cstheme="minorHAnsi"/>
          <w:color w:val="000000"/>
          <w:sz w:val="20"/>
          <w:szCs w:val="20"/>
        </w:rPr>
        <w:t xml:space="preserve">the </w:t>
      </w:r>
      <w:r w:rsidRPr="00BE648F">
        <w:rPr>
          <w:rFonts w:cstheme="minorHAnsi"/>
          <w:color w:val="000000"/>
          <w:sz w:val="20"/>
          <w:szCs w:val="20"/>
        </w:rPr>
        <w:t>progress of the programme goals</w:t>
      </w:r>
      <w:r w:rsidR="00591F6B">
        <w:rPr>
          <w:rFonts w:cstheme="minorHAnsi"/>
          <w:color w:val="000000"/>
          <w:sz w:val="20"/>
          <w:szCs w:val="20"/>
        </w:rPr>
        <w:t>. These include:</w:t>
      </w:r>
      <w:r w:rsidRPr="00BE648F">
        <w:rPr>
          <w:rFonts w:cstheme="minorHAnsi"/>
          <w:color w:val="000000"/>
          <w:sz w:val="20"/>
          <w:szCs w:val="20"/>
        </w:rPr>
        <w:t xml:space="preserve"> </w:t>
      </w:r>
    </w:p>
    <w:p w14:paraId="7AB1AD39" w14:textId="0B3F14A1" w:rsidR="00394531" w:rsidRDefault="0033150C" w:rsidP="006B67B7">
      <w:pPr>
        <w:autoSpaceDE w:val="0"/>
        <w:autoSpaceDN w:val="0"/>
        <w:adjustRightInd w:val="0"/>
        <w:spacing w:after="0" w:line="240" w:lineRule="auto"/>
        <w:jc w:val="both"/>
        <w:rPr>
          <w:rFonts w:cstheme="minorHAnsi"/>
          <w:b/>
          <w:bCs/>
          <w:color w:val="000000"/>
          <w:sz w:val="20"/>
          <w:szCs w:val="20"/>
        </w:rPr>
      </w:pPr>
      <w:r w:rsidRPr="00591F6B">
        <w:rPr>
          <w:rFonts w:cstheme="minorHAnsi"/>
          <w:bCs/>
          <w:color w:val="000000"/>
          <w:sz w:val="20"/>
          <w:szCs w:val="20"/>
          <w:u w:val="single"/>
        </w:rPr>
        <w:t>Child and Welfare Bill</w:t>
      </w:r>
      <w:r w:rsidRPr="00591F6B">
        <w:rPr>
          <w:rFonts w:cstheme="minorHAnsi"/>
          <w:b/>
          <w:bCs/>
          <w:color w:val="000000"/>
          <w:sz w:val="20"/>
          <w:szCs w:val="20"/>
        </w:rPr>
        <w:t xml:space="preserve"> </w:t>
      </w:r>
      <w:r w:rsidR="00591F6B" w:rsidRPr="00591F6B">
        <w:rPr>
          <w:rFonts w:cstheme="minorHAnsi"/>
          <w:color w:val="000000"/>
          <w:sz w:val="20"/>
          <w:szCs w:val="20"/>
        </w:rPr>
        <w:t>–</w:t>
      </w:r>
      <w:r w:rsidRPr="00591F6B">
        <w:rPr>
          <w:rFonts w:cstheme="minorHAnsi"/>
          <w:color w:val="000000"/>
          <w:sz w:val="20"/>
          <w:szCs w:val="20"/>
        </w:rPr>
        <w:t xml:space="preserve"> The new Child and Welfare Bill was passed by </w:t>
      </w:r>
      <w:r w:rsidR="00591F6B" w:rsidRPr="00591F6B">
        <w:rPr>
          <w:rFonts w:cstheme="minorHAnsi"/>
          <w:color w:val="000000"/>
          <w:sz w:val="20"/>
          <w:szCs w:val="20"/>
        </w:rPr>
        <w:t xml:space="preserve">SIG </w:t>
      </w:r>
      <w:r w:rsidRPr="00591F6B">
        <w:rPr>
          <w:rFonts w:cstheme="minorHAnsi"/>
          <w:color w:val="000000"/>
          <w:sz w:val="20"/>
          <w:szCs w:val="20"/>
        </w:rPr>
        <w:t>Cabinet</w:t>
      </w:r>
      <w:r w:rsidR="00591F6B" w:rsidRPr="00591F6B">
        <w:rPr>
          <w:rFonts w:cstheme="minorHAnsi"/>
          <w:color w:val="000000"/>
          <w:sz w:val="20"/>
          <w:szCs w:val="20"/>
        </w:rPr>
        <w:t xml:space="preserve"> in 2016</w:t>
      </w:r>
      <w:r w:rsidRPr="00591F6B">
        <w:rPr>
          <w:rFonts w:cstheme="minorHAnsi"/>
          <w:color w:val="000000"/>
          <w:sz w:val="20"/>
          <w:szCs w:val="20"/>
        </w:rPr>
        <w:t xml:space="preserve">, and </w:t>
      </w:r>
      <w:r w:rsidR="00591F6B" w:rsidRPr="00591F6B">
        <w:rPr>
          <w:rFonts w:cstheme="minorHAnsi"/>
          <w:color w:val="000000"/>
          <w:sz w:val="20"/>
          <w:szCs w:val="20"/>
        </w:rPr>
        <w:t xml:space="preserve">was passed by the </w:t>
      </w:r>
      <w:r w:rsidRPr="00591F6B">
        <w:rPr>
          <w:rFonts w:cstheme="minorHAnsi"/>
          <w:color w:val="000000"/>
          <w:sz w:val="20"/>
          <w:szCs w:val="20"/>
        </w:rPr>
        <w:t xml:space="preserve">Parliament in </w:t>
      </w:r>
      <w:r w:rsidR="00591F6B" w:rsidRPr="00591F6B">
        <w:rPr>
          <w:rFonts w:cstheme="minorHAnsi"/>
          <w:color w:val="000000"/>
          <w:sz w:val="20"/>
          <w:szCs w:val="20"/>
        </w:rPr>
        <w:t xml:space="preserve">February </w:t>
      </w:r>
      <w:r w:rsidRPr="00591F6B">
        <w:rPr>
          <w:rFonts w:cstheme="minorHAnsi"/>
          <w:color w:val="000000"/>
          <w:sz w:val="20"/>
          <w:szCs w:val="20"/>
        </w:rPr>
        <w:t xml:space="preserve">2017. The Child and Welfare Bill will impact the role of the SAFENET Coordinator and SAFENET </w:t>
      </w:r>
      <w:r w:rsidR="00591F6B" w:rsidRPr="00591F6B">
        <w:rPr>
          <w:rFonts w:cstheme="minorHAnsi"/>
          <w:color w:val="000000"/>
          <w:sz w:val="20"/>
          <w:szCs w:val="20"/>
        </w:rPr>
        <w:t>R</w:t>
      </w:r>
      <w:r w:rsidRPr="00591F6B">
        <w:rPr>
          <w:rFonts w:cstheme="minorHAnsi"/>
          <w:color w:val="000000"/>
          <w:sz w:val="20"/>
          <w:szCs w:val="20"/>
        </w:rPr>
        <w:t xml:space="preserve">eferral </w:t>
      </w:r>
      <w:r w:rsidR="00591F6B" w:rsidRPr="00591F6B">
        <w:rPr>
          <w:rFonts w:cstheme="minorHAnsi"/>
          <w:color w:val="000000"/>
          <w:sz w:val="20"/>
          <w:szCs w:val="20"/>
        </w:rPr>
        <w:t>N</w:t>
      </w:r>
      <w:r w:rsidRPr="00591F6B">
        <w:rPr>
          <w:rFonts w:cstheme="minorHAnsi"/>
          <w:color w:val="000000"/>
          <w:sz w:val="20"/>
          <w:szCs w:val="20"/>
        </w:rPr>
        <w:t xml:space="preserve">etwork; these implications will need to be considered in light of recent discussions to move coordination responsibilities for the SAFENET </w:t>
      </w:r>
      <w:r w:rsidR="00591F6B" w:rsidRPr="00591F6B">
        <w:rPr>
          <w:rFonts w:cstheme="minorHAnsi"/>
          <w:color w:val="000000"/>
          <w:sz w:val="20"/>
          <w:szCs w:val="20"/>
        </w:rPr>
        <w:t>R</w:t>
      </w:r>
      <w:r w:rsidRPr="00591F6B">
        <w:rPr>
          <w:rFonts w:cstheme="minorHAnsi"/>
          <w:color w:val="000000"/>
          <w:sz w:val="20"/>
          <w:szCs w:val="20"/>
        </w:rPr>
        <w:t xml:space="preserve">eferral </w:t>
      </w:r>
      <w:r w:rsidR="00591F6B" w:rsidRPr="00591F6B">
        <w:rPr>
          <w:rFonts w:cstheme="minorHAnsi"/>
          <w:color w:val="000000"/>
          <w:sz w:val="20"/>
          <w:szCs w:val="20"/>
        </w:rPr>
        <w:t>N</w:t>
      </w:r>
      <w:r w:rsidRPr="00591F6B">
        <w:rPr>
          <w:rFonts w:cstheme="minorHAnsi"/>
          <w:color w:val="000000"/>
          <w:sz w:val="20"/>
          <w:szCs w:val="20"/>
        </w:rPr>
        <w:t>etwork to the MWYCFA</w:t>
      </w:r>
      <w:r w:rsidR="00591F6B" w:rsidRPr="00591F6B">
        <w:rPr>
          <w:rFonts w:cstheme="minorHAnsi"/>
          <w:color w:val="000000"/>
          <w:sz w:val="20"/>
          <w:szCs w:val="20"/>
        </w:rPr>
        <w:t>.</w:t>
      </w:r>
      <w:r w:rsidRPr="00591F6B">
        <w:rPr>
          <w:rFonts w:cstheme="minorHAnsi"/>
          <w:color w:val="000000"/>
          <w:sz w:val="20"/>
          <w:szCs w:val="20"/>
        </w:rPr>
        <w:t xml:space="preserve"> This proposed change would benefit coordination of services for VAWG survivors as the MWYCFA can ensure alignment with new legislative and policy changes, such as the FPA 2014 and the Child and</w:t>
      </w:r>
      <w:r w:rsidR="00591F6B" w:rsidRPr="00591F6B">
        <w:rPr>
          <w:rFonts w:cstheme="minorHAnsi"/>
          <w:color w:val="000000"/>
          <w:sz w:val="20"/>
          <w:szCs w:val="20"/>
        </w:rPr>
        <w:t xml:space="preserve"> </w:t>
      </w:r>
      <w:r w:rsidRPr="00591F6B">
        <w:rPr>
          <w:rFonts w:cstheme="minorHAnsi"/>
          <w:color w:val="000000"/>
          <w:sz w:val="20"/>
          <w:szCs w:val="20"/>
        </w:rPr>
        <w:t xml:space="preserve">Welfare Bill. </w:t>
      </w:r>
    </w:p>
    <w:p w14:paraId="184D47B1" w14:textId="77777777" w:rsidR="006F2EA5" w:rsidRDefault="006F2EA5" w:rsidP="006F2EA5">
      <w:pPr>
        <w:spacing w:after="0" w:line="240" w:lineRule="auto"/>
        <w:jc w:val="both"/>
        <w:rPr>
          <w:rFonts w:cstheme="minorHAnsi"/>
          <w:sz w:val="20"/>
          <w:szCs w:val="20"/>
        </w:rPr>
      </w:pPr>
      <w:r w:rsidRPr="00BE648F">
        <w:rPr>
          <w:rFonts w:cstheme="minorHAnsi"/>
          <w:b/>
          <w:sz w:val="20"/>
          <w:szCs w:val="20"/>
          <w:lang w:val="en-AU"/>
        </w:rPr>
        <w:t>Reporting of Universal Periodic Review (UPR) and Convention on the Elimination of All Forms of Discrimination against Women (CEDAW)</w:t>
      </w:r>
      <w:r>
        <w:rPr>
          <w:rFonts w:cstheme="minorHAnsi"/>
          <w:b/>
          <w:sz w:val="20"/>
          <w:szCs w:val="20"/>
          <w:lang w:val="en-AU"/>
        </w:rPr>
        <w:t xml:space="preserve">. </w:t>
      </w:r>
      <w:r w:rsidRPr="00BE648F">
        <w:rPr>
          <w:rFonts w:cstheme="minorHAnsi"/>
          <w:sz w:val="20"/>
          <w:szCs w:val="20"/>
          <w:lang w:val="en-AU"/>
        </w:rPr>
        <w:t xml:space="preserve">In October 2015, Solomon Islands completed its second cycle reporting under the UPR. </w:t>
      </w:r>
      <w:r w:rsidRPr="00BE648F">
        <w:rPr>
          <w:rFonts w:cstheme="minorHAnsi"/>
          <w:sz w:val="20"/>
          <w:szCs w:val="20"/>
        </w:rPr>
        <w:t xml:space="preserve">An information paper together with the final draft was submitted to Cabinet in late September, 2015. </w:t>
      </w:r>
      <w:r w:rsidRPr="00BE648F">
        <w:rPr>
          <w:rFonts w:cstheme="minorHAnsi"/>
          <w:sz w:val="20"/>
          <w:szCs w:val="20"/>
          <w:lang w:val="en-AU"/>
        </w:rPr>
        <w:t>A series of consultations took place and a UPR report was drafted;</w:t>
      </w:r>
      <w:r w:rsidRPr="00BE648F">
        <w:rPr>
          <w:rFonts w:cstheme="minorHAnsi"/>
          <w:sz w:val="20"/>
          <w:szCs w:val="20"/>
        </w:rPr>
        <w:t xml:space="preserve"> key human rights issues addressed in the UPR and CEDAW reports address</w:t>
      </w:r>
      <w:r>
        <w:rPr>
          <w:rFonts w:cstheme="minorHAnsi"/>
          <w:sz w:val="20"/>
          <w:szCs w:val="20"/>
        </w:rPr>
        <w:t>ed</w:t>
      </w:r>
      <w:r w:rsidRPr="00BE648F">
        <w:rPr>
          <w:rFonts w:cstheme="minorHAnsi"/>
          <w:sz w:val="20"/>
          <w:szCs w:val="20"/>
        </w:rPr>
        <w:t xml:space="preserve"> high rates of </w:t>
      </w:r>
      <w:r>
        <w:rPr>
          <w:rFonts w:cstheme="minorHAnsi"/>
          <w:sz w:val="20"/>
          <w:szCs w:val="20"/>
        </w:rPr>
        <w:t xml:space="preserve">VAWG and </w:t>
      </w:r>
      <w:r w:rsidRPr="00BE648F">
        <w:rPr>
          <w:rFonts w:cstheme="minorHAnsi"/>
          <w:sz w:val="20"/>
          <w:szCs w:val="20"/>
        </w:rPr>
        <w:t>relate</w:t>
      </w:r>
      <w:r>
        <w:rPr>
          <w:rFonts w:cstheme="minorHAnsi"/>
          <w:sz w:val="20"/>
          <w:szCs w:val="20"/>
        </w:rPr>
        <w:t>d</w:t>
      </w:r>
      <w:r w:rsidRPr="00BE648F">
        <w:rPr>
          <w:rFonts w:cstheme="minorHAnsi"/>
          <w:sz w:val="20"/>
          <w:szCs w:val="20"/>
        </w:rPr>
        <w:t xml:space="preserve"> to the Solomon Islands Government (SIG) response. The final report was submitted by the </w:t>
      </w:r>
      <w:r>
        <w:rPr>
          <w:rFonts w:cstheme="minorHAnsi"/>
          <w:sz w:val="20"/>
          <w:szCs w:val="20"/>
        </w:rPr>
        <w:t xml:space="preserve">SIG in </w:t>
      </w:r>
      <w:r w:rsidRPr="00BE648F">
        <w:rPr>
          <w:rFonts w:cstheme="minorHAnsi"/>
          <w:sz w:val="20"/>
          <w:szCs w:val="20"/>
        </w:rPr>
        <w:t xml:space="preserve">Geneva in October 2015. A delegation </w:t>
      </w:r>
      <w:r>
        <w:rPr>
          <w:rFonts w:cstheme="minorHAnsi"/>
          <w:sz w:val="20"/>
          <w:szCs w:val="20"/>
        </w:rPr>
        <w:t xml:space="preserve">travelled to </w:t>
      </w:r>
      <w:r w:rsidRPr="00BE648F">
        <w:rPr>
          <w:rFonts w:cstheme="minorHAnsi"/>
          <w:sz w:val="20"/>
          <w:szCs w:val="20"/>
        </w:rPr>
        <w:t>Geneva in January 2016, for the 2</w:t>
      </w:r>
      <w:r w:rsidRPr="00BE648F">
        <w:rPr>
          <w:rFonts w:cstheme="minorHAnsi"/>
          <w:sz w:val="20"/>
          <w:szCs w:val="20"/>
          <w:vertAlign w:val="superscript"/>
        </w:rPr>
        <w:t>nd</w:t>
      </w:r>
      <w:r w:rsidRPr="00BE648F">
        <w:rPr>
          <w:rFonts w:cstheme="minorHAnsi"/>
          <w:sz w:val="20"/>
          <w:szCs w:val="20"/>
        </w:rPr>
        <w:t xml:space="preserve"> Cycle.</w:t>
      </w:r>
      <w:r>
        <w:rPr>
          <w:rFonts w:cstheme="minorHAnsi"/>
          <w:sz w:val="20"/>
          <w:szCs w:val="20"/>
        </w:rPr>
        <w:t xml:space="preserve"> By 2016, </w:t>
      </w:r>
      <w:r w:rsidRPr="005800F1">
        <w:rPr>
          <w:rFonts w:cstheme="minorHAnsi"/>
          <w:sz w:val="20"/>
          <w:szCs w:val="20"/>
        </w:rPr>
        <w:t xml:space="preserve">some progress </w:t>
      </w:r>
      <w:r>
        <w:rPr>
          <w:rFonts w:cstheme="minorHAnsi"/>
          <w:sz w:val="20"/>
          <w:szCs w:val="20"/>
        </w:rPr>
        <w:t xml:space="preserve">was </w:t>
      </w:r>
      <w:r w:rsidRPr="005800F1">
        <w:rPr>
          <w:rFonts w:cstheme="minorHAnsi"/>
          <w:sz w:val="20"/>
          <w:szCs w:val="20"/>
        </w:rPr>
        <w:t xml:space="preserve">made implementing </w:t>
      </w:r>
      <w:r>
        <w:rPr>
          <w:rFonts w:cstheme="minorHAnsi"/>
          <w:sz w:val="20"/>
          <w:szCs w:val="20"/>
        </w:rPr>
        <w:t>two of UPR r</w:t>
      </w:r>
      <w:r w:rsidRPr="005800F1">
        <w:rPr>
          <w:rFonts w:cstheme="minorHAnsi"/>
          <w:sz w:val="20"/>
          <w:szCs w:val="20"/>
        </w:rPr>
        <w:t>ecommendations</w:t>
      </w:r>
      <w:r>
        <w:rPr>
          <w:rFonts w:cstheme="minorHAnsi"/>
          <w:sz w:val="20"/>
          <w:szCs w:val="20"/>
        </w:rPr>
        <w:t xml:space="preserve">, particularly </w:t>
      </w:r>
      <w:r w:rsidRPr="005800F1">
        <w:rPr>
          <w:rFonts w:cstheme="minorHAnsi"/>
          <w:sz w:val="20"/>
          <w:szCs w:val="20"/>
        </w:rPr>
        <w:t>reform of the Penal Code Related to Sexual Offenses and implementation of the FPA</w:t>
      </w:r>
      <w:r>
        <w:rPr>
          <w:rFonts w:cstheme="minorHAnsi"/>
          <w:sz w:val="20"/>
          <w:szCs w:val="20"/>
        </w:rPr>
        <w:t xml:space="preserve">.  Also the collection </w:t>
      </w:r>
      <w:r w:rsidRPr="005800F1">
        <w:rPr>
          <w:rFonts w:cstheme="minorHAnsi"/>
          <w:sz w:val="20"/>
          <w:szCs w:val="20"/>
        </w:rPr>
        <w:t xml:space="preserve"> of VAWG a</w:t>
      </w:r>
      <w:r>
        <w:rPr>
          <w:rFonts w:cstheme="minorHAnsi"/>
          <w:sz w:val="20"/>
          <w:szCs w:val="20"/>
        </w:rPr>
        <w:t xml:space="preserve">dministrative data, </w:t>
      </w:r>
      <w:r w:rsidRPr="005800F1">
        <w:rPr>
          <w:rFonts w:cstheme="minorHAnsi"/>
          <w:sz w:val="20"/>
          <w:szCs w:val="20"/>
        </w:rPr>
        <w:t>a CEDAW recommendation</w:t>
      </w:r>
      <w:r>
        <w:rPr>
          <w:rFonts w:cstheme="minorHAnsi"/>
          <w:sz w:val="20"/>
          <w:szCs w:val="20"/>
        </w:rPr>
        <w:t xml:space="preserve">  was implemented with support from the UN-SIG JP on EVAWG</w:t>
      </w:r>
      <w:r w:rsidRPr="005800F1">
        <w:rPr>
          <w:rFonts w:cstheme="minorHAnsi"/>
          <w:sz w:val="20"/>
          <w:szCs w:val="20"/>
        </w:rPr>
        <w:t>.</w:t>
      </w:r>
    </w:p>
    <w:p w14:paraId="30AEB74E" w14:textId="77777777" w:rsidR="006F2EA5" w:rsidRPr="001A3DBA" w:rsidRDefault="006F2EA5" w:rsidP="006B67B7">
      <w:pPr>
        <w:autoSpaceDE w:val="0"/>
        <w:autoSpaceDN w:val="0"/>
        <w:adjustRightInd w:val="0"/>
        <w:spacing w:after="0" w:line="240" w:lineRule="auto"/>
        <w:jc w:val="both"/>
        <w:rPr>
          <w:rFonts w:cstheme="minorHAnsi"/>
          <w:b/>
          <w:bCs/>
          <w:color w:val="000000"/>
          <w:sz w:val="20"/>
          <w:szCs w:val="20"/>
        </w:rPr>
      </w:pPr>
    </w:p>
    <w:p w14:paraId="1B3A7B1D" w14:textId="7F4569CD" w:rsidR="008E15DE" w:rsidRDefault="00CC30E5" w:rsidP="008E15DE">
      <w:pPr>
        <w:spacing w:after="0" w:line="240" w:lineRule="auto"/>
        <w:jc w:val="both"/>
        <w:rPr>
          <w:rFonts w:cstheme="minorHAnsi"/>
          <w:sz w:val="20"/>
          <w:szCs w:val="20"/>
        </w:rPr>
      </w:pPr>
      <w:r>
        <w:rPr>
          <w:rFonts w:cstheme="minorHAnsi"/>
          <w:b/>
          <w:sz w:val="20"/>
          <w:szCs w:val="20"/>
          <w:lang w:val="en-AU"/>
        </w:rPr>
        <w:t>VAWG Administrative Data Collection and Reporting</w:t>
      </w:r>
      <w:r w:rsidR="008E15DE">
        <w:rPr>
          <w:rFonts w:cstheme="minorHAnsi"/>
          <w:b/>
          <w:sz w:val="20"/>
          <w:szCs w:val="20"/>
          <w:lang w:val="en-AU"/>
        </w:rPr>
        <w:t xml:space="preserve">. </w:t>
      </w:r>
      <w:r w:rsidR="008E15DE" w:rsidRPr="00A0220E">
        <w:rPr>
          <w:sz w:val="20"/>
          <w:szCs w:val="20"/>
        </w:rPr>
        <w:t xml:space="preserve">When the UNTF proposal was written it was envisioned the World Bank funded referral tracking database would be developed and utilized by SAFENET to track referrals of cases through the referral system; however, given funding challenges and other delays the referral tracking database was never developed. Given this limitation, steps were taken to develop a </w:t>
      </w:r>
      <w:r w:rsidR="008E15DE" w:rsidRPr="00A0220E">
        <w:rPr>
          <w:rFonts w:cs="CalibriRegular"/>
          <w:i/>
          <w:sz w:val="20"/>
          <w:szCs w:val="20"/>
        </w:rPr>
        <w:t xml:space="preserve">Self-Report VAWG Administrative Data Collection Form </w:t>
      </w:r>
      <w:r w:rsidR="008E15DE" w:rsidRPr="00A0220E">
        <w:rPr>
          <w:rFonts w:cs="CalibriRegular"/>
          <w:sz w:val="20"/>
          <w:szCs w:val="20"/>
        </w:rPr>
        <w:t xml:space="preserve">that SAFENET member organizations/agencies and Seif Ples would complete and submit to the SAFENET Coordinator on a regular basis. This </w:t>
      </w:r>
      <w:r w:rsidR="008E15DE" w:rsidRPr="00A0220E">
        <w:rPr>
          <w:rFonts w:cs="CalibriRegular"/>
          <w:i/>
          <w:sz w:val="20"/>
          <w:szCs w:val="20"/>
        </w:rPr>
        <w:t>Self-Report VAWG Administrative Data Collection Form</w:t>
      </w:r>
      <w:r w:rsidR="008E15DE" w:rsidRPr="00A0220E">
        <w:rPr>
          <w:rFonts w:cs="CalibriRegular"/>
          <w:sz w:val="20"/>
          <w:szCs w:val="20"/>
        </w:rPr>
        <w:t xml:space="preserve"> was an M&amp;E tool that allowed the UN-SIG JP on EVAWG to effectively collect, compile, analyse and report on monthly VAWG administrative data from </w:t>
      </w:r>
      <w:r w:rsidR="008E15DE" w:rsidRPr="00A0220E">
        <w:rPr>
          <w:rFonts w:cstheme="minorHAnsi"/>
          <w:sz w:val="20"/>
          <w:szCs w:val="20"/>
        </w:rPr>
        <w:t>multiple service providing agencies/organizations in and around Honiara, including the three CSO service providers, the SWD, the eight health clinics and IHMS, the RSIPF Domestic Violence Unit and Sexual Violence Unit, and the PSO</w:t>
      </w:r>
      <w:r w:rsidR="008E15DE" w:rsidRPr="0092173A">
        <w:rPr>
          <w:rFonts w:cstheme="minorHAnsi"/>
          <w:sz w:val="20"/>
          <w:szCs w:val="20"/>
        </w:rPr>
        <w:t>.</w:t>
      </w:r>
      <w:r w:rsidR="00A0220E">
        <w:rPr>
          <w:rFonts w:cstheme="minorHAnsi"/>
          <w:sz w:val="20"/>
          <w:szCs w:val="20"/>
        </w:rPr>
        <w:t xml:space="preserve"> </w:t>
      </w:r>
      <w:r w:rsidR="008E15DE">
        <w:rPr>
          <w:rFonts w:cstheme="minorHAnsi"/>
          <w:sz w:val="20"/>
          <w:szCs w:val="20"/>
        </w:rPr>
        <w:t>M</w:t>
      </w:r>
      <w:r w:rsidR="008E15DE" w:rsidRPr="009564FE">
        <w:rPr>
          <w:rFonts w:cstheme="minorHAnsi"/>
          <w:sz w:val="20"/>
          <w:szCs w:val="20"/>
        </w:rPr>
        <w:t xml:space="preserve">onthly VAWG administrative data that was collected was extensive, including: </w:t>
      </w:r>
    </w:p>
    <w:p w14:paraId="2D91BC10"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umber of hotline class related to VAWG and by type of caller</w:t>
      </w:r>
    </w:p>
    <w:p w14:paraId="4AE871F3"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umber of women and girls accessing VAWG services and by type of VAWG and service provider</w:t>
      </w:r>
    </w:p>
    <w:p w14:paraId="526863B3"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umber of women and girls accessing shelter for VAWG and by type of VAWG and service provider</w:t>
      </w:r>
    </w:p>
    <w:p w14:paraId="09C59D80"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umber of domestic violence incidents registered by the police in Honiara and by province</w:t>
      </w:r>
    </w:p>
    <w:p w14:paraId="7D37F84F"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umber of PSNs issued by the police in Honiara and by province</w:t>
      </w:r>
    </w:p>
    <w:p w14:paraId="673DF378"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sidRPr="009564FE">
        <w:rPr>
          <w:rFonts w:cstheme="minorHAnsi"/>
          <w:sz w:val="20"/>
          <w:szCs w:val="20"/>
        </w:rPr>
        <w:t>Number of sexual violence cases handlined by the Sexual Assault/Rape Unit and by type of sexual violence</w:t>
      </w:r>
    </w:p>
    <w:p w14:paraId="4EB23DB3"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 xml:space="preserve">Number of sexual violence victims handlined by the </w:t>
      </w:r>
      <w:r w:rsidRPr="009564FE">
        <w:rPr>
          <w:rFonts w:cstheme="minorHAnsi"/>
          <w:sz w:val="20"/>
          <w:szCs w:val="20"/>
        </w:rPr>
        <w:t>Sexual Assault/Rape Unit</w:t>
      </w:r>
      <w:r>
        <w:rPr>
          <w:rFonts w:cstheme="minorHAnsi"/>
          <w:sz w:val="20"/>
          <w:szCs w:val="20"/>
        </w:rPr>
        <w:t xml:space="preserve"> by gender and age grouping</w:t>
      </w:r>
    </w:p>
    <w:p w14:paraId="26F5E694"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lastRenderedPageBreak/>
        <w:t>N</w:t>
      </w:r>
      <w:r w:rsidRPr="009564FE">
        <w:rPr>
          <w:rFonts w:cstheme="minorHAnsi"/>
          <w:sz w:val="20"/>
          <w:szCs w:val="20"/>
        </w:rPr>
        <w:t>umber of restraining orders issued to VAWG survivors</w:t>
      </w:r>
    </w:p>
    <w:p w14:paraId="429B7A7B"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umber of women and girls who sought medical care for VAWG-related injuries by type of VAWG and health clinic</w:t>
      </w:r>
    </w:p>
    <w:p w14:paraId="61B69BCB" w14:textId="77777777" w:rsidR="008E15DE" w:rsidRPr="009564FE" w:rsidRDefault="008E15DE" w:rsidP="008E15DE">
      <w:pPr>
        <w:pStyle w:val="ListParagraph"/>
        <w:numPr>
          <w:ilvl w:val="0"/>
          <w:numId w:val="26"/>
        </w:numPr>
        <w:spacing w:after="0" w:line="240" w:lineRule="auto"/>
        <w:jc w:val="both"/>
        <w:rPr>
          <w:rFonts w:cs="CalibriRegular"/>
          <w:sz w:val="20"/>
          <w:szCs w:val="20"/>
        </w:rPr>
      </w:pPr>
      <w:r>
        <w:rPr>
          <w:rFonts w:cstheme="minorHAnsi"/>
          <w:sz w:val="20"/>
          <w:szCs w:val="20"/>
        </w:rPr>
        <w:t>N</w:t>
      </w:r>
      <w:r w:rsidRPr="009564FE">
        <w:rPr>
          <w:rFonts w:cstheme="minorHAnsi"/>
          <w:sz w:val="20"/>
          <w:szCs w:val="20"/>
        </w:rPr>
        <w:t xml:space="preserve">umber of VAWG survivors referred to/from agencies/organisations/centres. </w:t>
      </w:r>
    </w:p>
    <w:p w14:paraId="3583B627" w14:textId="77777777" w:rsidR="008E15DE" w:rsidRDefault="008E15DE" w:rsidP="008E15DE">
      <w:pPr>
        <w:pStyle w:val="Default"/>
        <w:jc w:val="both"/>
        <w:rPr>
          <w:rFonts w:asciiTheme="minorHAnsi" w:hAnsiTheme="minorHAnsi" w:cstheme="minorHAnsi"/>
          <w:sz w:val="20"/>
          <w:szCs w:val="20"/>
        </w:rPr>
      </w:pPr>
    </w:p>
    <w:p w14:paraId="734AAF26" w14:textId="030B1E36" w:rsidR="008E15DE" w:rsidRPr="00A0220E" w:rsidRDefault="008E15DE" w:rsidP="00A0220E">
      <w:pPr>
        <w:spacing w:after="0" w:line="240" w:lineRule="auto"/>
        <w:jc w:val="both"/>
        <w:rPr>
          <w:rFonts w:cstheme="minorHAnsi"/>
          <w:sz w:val="20"/>
          <w:szCs w:val="20"/>
        </w:rPr>
      </w:pPr>
      <w:r w:rsidRPr="00A0220E">
        <w:rPr>
          <w:rFonts w:cstheme="minorHAnsi"/>
          <w:sz w:val="20"/>
          <w:szCs w:val="20"/>
        </w:rPr>
        <w:t xml:space="preserve">In Solomon Islands, this was the first attempt to collect and compile VAWG administrative data from SAFENET members, and it was recognized by SAFENET members as a significant accomplishment. </w:t>
      </w:r>
      <w:r w:rsidRPr="00A0220E">
        <w:rPr>
          <w:rFonts w:cs="CalibriRegular"/>
          <w:sz w:val="20"/>
          <w:szCs w:val="20"/>
        </w:rPr>
        <w:t>All monthly longitudinal VAWG administrative data was charted and explained in the baseline, midline and endline reports</w:t>
      </w:r>
      <w:r w:rsidR="00A0220E" w:rsidRPr="00A0220E">
        <w:rPr>
          <w:rFonts w:cs="CalibriRegular"/>
          <w:sz w:val="20"/>
          <w:szCs w:val="20"/>
        </w:rPr>
        <w:t xml:space="preserve"> for the UN-SIG JP on EVAWG</w:t>
      </w:r>
      <w:r w:rsidRPr="00A0220E">
        <w:rPr>
          <w:rFonts w:cs="CalibriRegular"/>
          <w:sz w:val="20"/>
          <w:szCs w:val="20"/>
        </w:rPr>
        <w:t>. In the endline report, monthly longitudinal data was presented in charts to reveal differences in data (reporting and registration) for before and after the launch of the FPA in April 2016. The endline report also includes calculations and reporting on the increases and decreases in annual numbers</w:t>
      </w:r>
      <w:r w:rsidRPr="00A0220E">
        <w:rPr>
          <w:rFonts w:cstheme="minorHAnsi"/>
          <w:sz w:val="20"/>
          <w:szCs w:val="20"/>
        </w:rPr>
        <w:t xml:space="preserve">. </w:t>
      </w:r>
    </w:p>
    <w:p w14:paraId="132E3C78" w14:textId="77777777" w:rsidR="008E15DE" w:rsidRDefault="008E15DE" w:rsidP="008E15DE">
      <w:pPr>
        <w:spacing w:after="0" w:line="240" w:lineRule="auto"/>
        <w:jc w:val="both"/>
        <w:rPr>
          <w:rFonts w:cs="CalibriRegular"/>
          <w:sz w:val="20"/>
          <w:szCs w:val="20"/>
        </w:rPr>
      </w:pPr>
    </w:p>
    <w:p w14:paraId="55858D81" w14:textId="38D6FB64" w:rsidR="0033150C" w:rsidRPr="00BE648F" w:rsidRDefault="0033150C" w:rsidP="00710BD4">
      <w:pPr>
        <w:spacing w:after="0" w:line="240" w:lineRule="auto"/>
        <w:jc w:val="both"/>
        <w:rPr>
          <w:rFonts w:cstheme="minorHAnsi"/>
          <w:b/>
          <w:sz w:val="20"/>
          <w:szCs w:val="20"/>
        </w:rPr>
      </w:pPr>
      <w:r w:rsidRPr="00520137">
        <w:rPr>
          <w:rFonts w:cstheme="minorHAnsi"/>
          <w:b/>
          <w:bCs/>
          <w:color w:val="000000"/>
          <w:sz w:val="20"/>
          <w:szCs w:val="20"/>
        </w:rPr>
        <w:t>Essential Services Package</w:t>
      </w:r>
      <w:r w:rsidR="00710BD4" w:rsidRPr="00520137">
        <w:rPr>
          <w:rFonts w:cstheme="minorHAnsi"/>
          <w:b/>
          <w:bCs/>
          <w:color w:val="000000"/>
          <w:sz w:val="20"/>
          <w:szCs w:val="20"/>
        </w:rPr>
        <w:t xml:space="preserve"> (ESP)</w:t>
      </w:r>
      <w:r w:rsidR="00710BD4" w:rsidRPr="00710BD4">
        <w:rPr>
          <w:rFonts w:cstheme="minorHAnsi"/>
          <w:bCs/>
          <w:color w:val="000000"/>
          <w:sz w:val="20"/>
          <w:szCs w:val="20"/>
        </w:rPr>
        <w:t>.</w:t>
      </w:r>
      <w:r w:rsidR="00710BD4">
        <w:rPr>
          <w:rFonts w:cstheme="minorHAnsi"/>
          <w:b/>
          <w:bCs/>
          <w:color w:val="000000"/>
          <w:sz w:val="20"/>
          <w:szCs w:val="20"/>
        </w:rPr>
        <w:t xml:space="preserve">  </w:t>
      </w:r>
      <w:r w:rsidRPr="00BE648F">
        <w:rPr>
          <w:rFonts w:cstheme="minorHAnsi"/>
          <w:color w:val="000000"/>
          <w:sz w:val="20"/>
          <w:szCs w:val="20"/>
        </w:rPr>
        <w:t xml:space="preserve">In early 2016, UN Women obtained approval for piloting the </w:t>
      </w:r>
      <w:r w:rsidRPr="00BE648F">
        <w:rPr>
          <w:rFonts w:cstheme="minorHAnsi"/>
          <w:i/>
          <w:iCs/>
          <w:color w:val="000000"/>
          <w:sz w:val="20"/>
          <w:szCs w:val="20"/>
        </w:rPr>
        <w:t xml:space="preserve">Global Guidelines on Essential Services Package for Women and Girls Subject to Violence </w:t>
      </w:r>
      <w:r w:rsidRPr="00BE648F">
        <w:rPr>
          <w:rFonts w:cstheme="minorHAnsi"/>
          <w:color w:val="000000"/>
          <w:sz w:val="20"/>
          <w:szCs w:val="20"/>
        </w:rPr>
        <w:t xml:space="preserve">in Solomon Islands as a </w:t>
      </w:r>
      <w:r w:rsidR="00520137">
        <w:rPr>
          <w:rFonts w:cstheme="minorHAnsi"/>
          <w:color w:val="000000"/>
          <w:sz w:val="20"/>
          <w:szCs w:val="20"/>
        </w:rPr>
        <w:t>three</w:t>
      </w:r>
      <w:r w:rsidRPr="00BE648F">
        <w:rPr>
          <w:rFonts w:cstheme="minorHAnsi"/>
          <w:color w:val="000000"/>
          <w:sz w:val="20"/>
          <w:szCs w:val="20"/>
        </w:rPr>
        <w:t>-year project</w:t>
      </w:r>
      <w:r w:rsidR="00520137">
        <w:rPr>
          <w:rFonts w:cstheme="minorHAnsi"/>
          <w:color w:val="000000"/>
          <w:sz w:val="20"/>
          <w:szCs w:val="20"/>
        </w:rPr>
        <w:t xml:space="preserve"> (2017-2019)</w:t>
      </w:r>
      <w:r w:rsidRPr="00BE648F">
        <w:rPr>
          <w:rFonts w:cstheme="minorHAnsi"/>
          <w:color w:val="000000"/>
          <w:sz w:val="20"/>
          <w:szCs w:val="20"/>
        </w:rPr>
        <w:t xml:space="preserve">. The ESP pilot </w:t>
      </w:r>
      <w:r w:rsidR="00CC30E5">
        <w:rPr>
          <w:rFonts w:cstheme="minorHAnsi"/>
          <w:color w:val="000000"/>
          <w:sz w:val="20"/>
          <w:szCs w:val="20"/>
        </w:rPr>
        <w:t xml:space="preserve">project </w:t>
      </w:r>
      <w:r w:rsidR="00520137">
        <w:rPr>
          <w:rFonts w:cstheme="minorHAnsi"/>
          <w:color w:val="000000"/>
          <w:sz w:val="20"/>
          <w:szCs w:val="20"/>
        </w:rPr>
        <w:t xml:space="preserve">will be guided by a UN-SIG JP on ESP and </w:t>
      </w:r>
      <w:r w:rsidRPr="00BE648F">
        <w:rPr>
          <w:rFonts w:cstheme="minorHAnsi"/>
          <w:color w:val="000000"/>
          <w:sz w:val="20"/>
          <w:szCs w:val="20"/>
        </w:rPr>
        <w:t>will implement activities targeting critical gaps in the UN-SIG JP</w:t>
      </w:r>
      <w:r w:rsidR="00520137">
        <w:rPr>
          <w:rFonts w:cstheme="minorHAnsi"/>
          <w:color w:val="000000"/>
          <w:sz w:val="20"/>
          <w:szCs w:val="20"/>
        </w:rPr>
        <w:t xml:space="preserve"> on EVAWG</w:t>
      </w:r>
      <w:r w:rsidRPr="00BE648F">
        <w:rPr>
          <w:rFonts w:cstheme="minorHAnsi"/>
          <w:color w:val="000000"/>
          <w:sz w:val="20"/>
          <w:szCs w:val="20"/>
        </w:rPr>
        <w:t>. The ESP pilot project will aim to ensure that VAWG survivors will have greater access to protection and assistance through effective implementation of EVAWG policies and by enhancing the quality of multi-sectoral service delivery</w:t>
      </w:r>
      <w:r w:rsidR="00520137">
        <w:rPr>
          <w:rFonts w:cstheme="minorHAnsi"/>
          <w:color w:val="000000"/>
          <w:sz w:val="20"/>
          <w:szCs w:val="20"/>
        </w:rPr>
        <w:t>, including a case management framework and formal referral system</w:t>
      </w:r>
      <w:r w:rsidRPr="00BE648F">
        <w:rPr>
          <w:rFonts w:cstheme="minorHAnsi"/>
          <w:color w:val="000000"/>
          <w:sz w:val="20"/>
          <w:szCs w:val="20"/>
        </w:rPr>
        <w:t>. The priority activities of the ESP pilot project have been informed by an extensive consultation process with a broad range of government bodies and agencies, international organizations, non-government</w:t>
      </w:r>
      <w:r w:rsidR="00520137">
        <w:rPr>
          <w:rFonts w:cstheme="minorHAnsi"/>
          <w:color w:val="000000"/>
          <w:sz w:val="20"/>
          <w:szCs w:val="20"/>
        </w:rPr>
        <w:t>al</w:t>
      </w:r>
      <w:r w:rsidRPr="00BE648F">
        <w:rPr>
          <w:rFonts w:cstheme="minorHAnsi"/>
          <w:color w:val="000000"/>
          <w:sz w:val="20"/>
          <w:szCs w:val="20"/>
        </w:rPr>
        <w:t xml:space="preserve"> and civil society organizations, and development agencies. The planning process involved a gender-focused review of the health sector, a </w:t>
      </w:r>
      <w:r w:rsidR="00CC30E5">
        <w:rPr>
          <w:rFonts w:cstheme="minorHAnsi"/>
          <w:color w:val="000000"/>
          <w:sz w:val="20"/>
          <w:szCs w:val="20"/>
        </w:rPr>
        <w:t xml:space="preserve">review of the </w:t>
      </w:r>
      <w:r w:rsidRPr="00BE648F">
        <w:rPr>
          <w:rFonts w:cstheme="minorHAnsi"/>
          <w:color w:val="000000"/>
          <w:sz w:val="20"/>
          <w:szCs w:val="20"/>
        </w:rPr>
        <w:t xml:space="preserve">SAFENET </w:t>
      </w:r>
      <w:r w:rsidR="00CC30E5">
        <w:rPr>
          <w:rFonts w:cstheme="minorHAnsi"/>
          <w:color w:val="000000"/>
          <w:sz w:val="20"/>
          <w:szCs w:val="20"/>
        </w:rPr>
        <w:t>R</w:t>
      </w:r>
      <w:r w:rsidRPr="00BE648F">
        <w:rPr>
          <w:rFonts w:cstheme="minorHAnsi"/>
          <w:color w:val="000000"/>
          <w:sz w:val="20"/>
          <w:szCs w:val="20"/>
        </w:rPr>
        <w:t xml:space="preserve">eferral </w:t>
      </w:r>
      <w:r w:rsidR="00CC30E5">
        <w:rPr>
          <w:rFonts w:cstheme="minorHAnsi"/>
          <w:color w:val="000000"/>
          <w:sz w:val="20"/>
          <w:szCs w:val="20"/>
        </w:rPr>
        <w:t>N</w:t>
      </w:r>
      <w:r w:rsidRPr="00BE648F">
        <w:rPr>
          <w:rFonts w:cstheme="minorHAnsi"/>
          <w:color w:val="000000"/>
          <w:sz w:val="20"/>
          <w:szCs w:val="20"/>
        </w:rPr>
        <w:t xml:space="preserve">etwork </w:t>
      </w:r>
      <w:r w:rsidR="00CC30E5">
        <w:rPr>
          <w:rFonts w:cstheme="minorHAnsi"/>
          <w:color w:val="000000"/>
          <w:sz w:val="20"/>
          <w:szCs w:val="20"/>
        </w:rPr>
        <w:t xml:space="preserve">including </w:t>
      </w:r>
      <w:r w:rsidRPr="00BE648F">
        <w:rPr>
          <w:rFonts w:cstheme="minorHAnsi"/>
          <w:color w:val="000000"/>
          <w:sz w:val="20"/>
          <w:szCs w:val="20"/>
        </w:rPr>
        <w:t xml:space="preserve">all frontline service providers, and discussions with partners from police and justice system agencies. Some of the key activities of the ESP pilot project will include: production of improved information, education and communications (IEC) materials that will increase the SAFENET </w:t>
      </w:r>
      <w:r w:rsidR="00CC30E5">
        <w:rPr>
          <w:rFonts w:cstheme="minorHAnsi"/>
          <w:color w:val="000000"/>
          <w:sz w:val="20"/>
          <w:szCs w:val="20"/>
        </w:rPr>
        <w:t>R</w:t>
      </w:r>
      <w:r w:rsidRPr="00BE648F">
        <w:rPr>
          <w:rFonts w:cstheme="minorHAnsi"/>
          <w:color w:val="000000"/>
          <w:sz w:val="20"/>
          <w:szCs w:val="20"/>
        </w:rPr>
        <w:t xml:space="preserve">eferral </w:t>
      </w:r>
      <w:r w:rsidR="00CC30E5">
        <w:rPr>
          <w:rFonts w:cstheme="minorHAnsi"/>
          <w:color w:val="000000"/>
          <w:sz w:val="20"/>
          <w:szCs w:val="20"/>
        </w:rPr>
        <w:t>N</w:t>
      </w:r>
      <w:r w:rsidRPr="00BE648F">
        <w:rPr>
          <w:rFonts w:cstheme="minorHAnsi"/>
          <w:color w:val="000000"/>
          <w:sz w:val="20"/>
          <w:szCs w:val="20"/>
        </w:rPr>
        <w:t xml:space="preserve">etwork’s reach and accountability of delivery of services to communities; support for awareness-raising priorities of the government on the FPA 2014; and, delivery of an essential set of services </w:t>
      </w:r>
      <w:r w:rsidR="00CC30E5">
        <w:rPr>
          <w:rFonts w:cstheme="minorHAnsi"/>
          <w:color w:val="000000"/>
          <w:sz w:val="20"/>
          <w:szCs w:val="20"/>
        </w:rPr>
        <w:t>to</w:t>
      </w:r>
      <w:r w:rsidRPr="00BE648F">
        <w:rPr>
          <w:rFonts w:cstheme="minorHAnsi"/>
          <w:sz w:val="20"/>
          <w:szCs w:val="20"/>
        </w:rPr>
        <w:t xml:space="preserve"> VAWG survivors. Capacity building through the ESP pilot project will be by targeted technical support and mentoring</w:t>
      </w:r>
      <w:r w:rsidR="00CC30E5">
        <w:rPr>
          <w:rFonts w:cstheme="minorHAnsi"/>
          <w:sz w:val="20"/>
          <w:szCs w:val="20"/>
        </w:rPr>
        <w:t xml:space="preserve"> to </w:t>
      </w:r>
      <w:r w:rsidRPr="00BE648F">
        <w:rPr>
          <w:rFonts w:cstheme="minorHAnsi"/>
          <w:sz w:val="20"/>
          <w:szCs w:val="20"/>
        </w:rPr>
        <w:t>improve processes supporting the provision of coordinated</w:t>
      </w:r>
      <w:r w:rsidR="00CC30E5">
        <w:rPr>
          <w:rFonts w:cstheme="minorHAnsi"/>
          <w:sz w:val="20"/>
          <w:szCs w:val="20"/>
        </w:rPr>
        <w:t>, essential services</w:t>
      </w:r>
      <w:r w:rsidRPr="00BE648F">
        <w:rPr>
          <w:rFonts w:cstheme="minorHAnsi"/>
          <w:sz w:val="20"/>
          <w:szCs w:val="20"/>
        </w:rPr>
        <w:t xml:space="preserve"> and </w:t>
      </w:r>
      <w:r w:rsidR="00CC30E5">
        <w:rPr>
          <w:rFonts w:cstheme="minorHAnsi"/>
          <w:sz w:val="20"/>
          <w:szCs w:val="20"/>
        </w:rPr>
        <w:t xml:space="preserve">minimum </w:t>
      </w:r>
      <w:r w:rsidRPr="00BE648F">
        <w:rPr>
          <w:rFonts w:cstheme="minorHAnsi"/>
          <w:sz w:val="20"/>
          <w:szCs w:val="20"/>
        </w:rPr>
        <w:t>standard</w:t>
      </w:r>
      <w:r w:rsidR="00CC30E5">
        <w:rPr>
          <w:rFonts w:cstheme="minorHAnsi"/>
          <w:sz w:val="20"/>
          <w:szCs w:val="20"/>
        </w:rPr>
        <w:t xml:space="preserve">s and </w:t>
      </w:r>
      <w:r w:rsidRPr="00BE648F">
        <w:rPr>
          <w:rFonts w:cstheme="minorHAnsi"/>
          <w:sz w:val="20"/>
          <w:szCs w:val="20"/>
        </w:rPr>
        <w:t>quality, survivor-centred responses to VAWG.</w:t>
      </w:r>
    </w:p>
    <w:p w14:paraId="411D5313" w14:textId="77777777" w:rsidR="0033150C" w:rsidRPr="00BE648F" w:rsidRDefault="0033150C" w:rsidP="00BE648F">
      <w:pPr>
        <w:spacing w:after="0" w:line="240" w:lineRule="auto"/>
        <w:jc w:val="both"/>
        <w:rPr>
          <w:rFonts w:cstheme="minorHAnsi"/>
          <w:b/>
          <w:i/>
          <w:sz w:val="20"/>
          <w:szCs w:val="20"/>
        </w:rPr>
      </w:pPr>
    </w:p>
    <w:p w14:paraId="424F71A3" w14:textId="77777777" w:rsidR="00236413" w:rsidRPr="00143FEB" w:rsidRDefault="00236413" w:rsidP="005E40C3">
      <w:pPr>
        <w:pStyle w:val="Heading3"/>
        <w:pBdr>
          <w:bottom w:val="single" w:sz="4" w:space="1" w:color="auto"/>
        </w:pBdr>
        <w:spacing w:before="0" w:line="240" w:lineRule="auto"/>
        <w:rPr>
          <w:sz w:val="21"/>
          <w:szCs w:val="21"/>
        </w:rPr>
      </w:pPr>
      <w:bookmarkStart w:id="1" w:name="_Toc341089359"/>
      <w:r w:rsidRPr="00143FEB">
        <w:rPr>
          <w:sz w:val="21"/>
          <w:szCs w:val="21"/>
        </w:rPr>
        <w:t>3.2 Progress summary</w:t>
      </w:r>
      <w:bookmarkEnd w:id="1"/>
    </w:p>
    <w:p w14:paraId="7CC76356" w14:textId="77777777" w:rsidR="00236413" w:rsidRPr="00143FEB" w:rsidRDefault="00236413" w:rsidP="004D5536">
      <w:pPr>
        <w:pStyle w:val="ListParagraph"/>
        <w:numPr>
          <w:ilvl w:val="1"/>
          <w:numId w:val="5"/>
        </w:numPr>
        <w:spacing w:before="120" w:after="0" w:line="240" w:lineRule="auto"/>
        <w:ind w:left="360"/>
        <w:rPr>
          <w:sz w:val="21"/>
          <w:szCs w:val="21"/>
        </w:rPr>
      </w:pPr>
      <w:r w:rsidRPr="00143FEB">
        <w:rPr>
          <w:sz w:val="21"/>
          <w:szCs w:val="21"/>
        </w:rPr>
        <w:t>What progress has the project made during the reporting period towards achieving the outcome(s) and the project goal? For whom (</w:t>
      </w:r>
      <w:r w:rsidRPr="00143FEB">
        <w:rPr>
          <w:rFonts w:cstheme="minorHAnsi"/>
          <w:sz w:val="21"/>
          <w:szCs w:val="21"/>
        </w:rPr>
        <w:t>specific</w:t>
      </w:r>
      <w:r w:rsidRPr="00143FEB">
        <w:rPr>
          <w:sz w:val="21"/>
          <w:szCs w:val="21"/>
        </w:rPr>
        <w:t xml:space="preserve"> beneficiaries)? How? Provide concrete evidence if possible. Feel free to include large successes, as well as unexpected and/or incremental changes.  </w:t>
      </w:r>
      <w:r w:rsidR="00702BEE" w:rsidRPr="00143FEB">
        <w:rPr>
          <w:sz w:val="21"/>
          <w:szCs w:val="21"/>
        </w:rPr>
        <w:t>(</w:t>
      </w:r>
      <w:r w:rsidR="00702BEE" w:rsidRPr="00143FEB">
        <w:rPr>
          <w:color w:val="FF0000"/>
          <w:sz w:val="21"/>
          <w:szCs w:val="21"/>
        </w:rPr>
        <w:t>Maximum 1,500 words</w:t>
      </w:r>
      <w:r w:rsidR="00702BEE" w:rsidRPr="00143FEB">
        <w:rPr>
          <w:sz w:val="21"/>
          <w:szCs w:val="21"/>
        </w:rPr>
        <w:t>)</w:t>
      </w:r>
    </w:p>
    <w:p w14:paraId="6281BEE6" w14:textId="77777777" w:rsidR="00A0220E" w:rsidRPr="006E1B40" w:rsidRDefault="00A0220E" w:rsidP="00106234">
      <w:pPr>
        <w:spacing w:after="0" w:line="240" w:lineRule="auto"/>
        <w:jc w:val="both"/>
        <w:rPr>
          <w:rFonts w:cstheme="minorHAnsi"/>
          <w:sz w:val="20"/>
          <w:szCs w:val="20"/>
        </w:rPr>
      </w:pPr>
    </w:p>
    <w:p w14:paraId="6BE5DB0C" w14:textId="77777777" w:rsidR="00A0220E" w:rsidRPr="006E1B40" w:rsidRDefault="00A0220E" w:rsidP="00A0220E">
      <w:pPr>
        <w:autoSpaceDE w:val="0"/>
        <w:autoSpaceDN w:val="0"/>
        <w:adjustRightInd w:val="0"/>
        <w:spacing w:after="0" w:line="240" w:lineRule="auto"/>
        <w:jc w:val="both"/>
        <w:rPr>
          <w:rFonts w:cstheme="minorHAnsi"/>
          <w:color w:val="000000"/>
          <w:sz w:val="20"/>
          <w:szCs w:val="20"/>
        </w:rPr>
      </w:pPr>
      <w:r w:rsidRPr="006E1B40">
        <w:rPr>
          <w:rFonts w:cstheme="minorHAnsi"/>
          <w:color w:val="000000"/>
          <w:sz w:val="20"/>
          <w:szCs w:val="20"/>
        </w:rPr>
        <w:t>During the three-year project period, the UN-SIG JP on EVAWG focused on supporting implementation of the EVAW policies, including the launch and implementation of the FPA 2014, and implementing UN Trust Fund-supported activities under each of the two outcomes and related outputs outlined in the work plan, along with collecting monitoring and evaluation (M&amp;E) data.</w:t>
      </w:r>
    </w:p>
    <w:p w14:paraId="27C5E06B" w14:textId="658708BF" w:rsidR="00A0220E" w:rsidRPr="006E1B40" w:rsidRDefault="00A0220E" w:rsidP="00A0220E">
      <w:pPr>
        <w:autoSpaceDE w:val="0"/>
        <w:autoSpaceDN w:val="0"/>
        <w:adjustRightInd w:val="0"/>
        <w:spacing w:after="0" w:line="240" w:lineRule="auto"/>
        <w:rPr>
          <w:rFonts w:cstheme="minorHAnsi"/>
          <w:color w:val="000000"/>
          <w:sz w:val="20"/>
          <w:szCs w:val="20"/>
        </w:rPr>
      </w:pPr>
      <w:r w:rsidRPr="006E1B40">
        <w:rPr>
          <w:rFonts w:cstheme="minorHAnsi"/>
          <w:color w:val="000000"/>
          <w:sz w:val="20"/>
          <w:szCs w:val="20"/>
        </w:rPr>
        <w:t xml:space="preserve"> </w:t>
      </w:r>
    </w:p>
    <w:p w14:paraId="5A431851" w14:textId="249AE75F" w:rsidR="00A0220E" w:rsidRPr="006E1B40" w:rsidRDefault="00A0220E" w:rsidP="00A0220E">
      <w:pPr>
        <w:autoSpaceDE w:val="0"/>
        <w:autoSpaceDN w:val="0"/>
        <w:adjustRightInd w:val="0"/>
        <w:spacing w:after="0" w:line="240" w:lineRule="auto"/>
        <w:jc w:val="both"/>
        <w:rPr>
          <w:rFonts w:cstheme="minorHAnsi"/>
          <w:sz w:val="20"/>
          <w:szCs w:val="20"/>
        </w:rPr>
      </w:pPr>
      <w:r w:rsidRPr="006E1B40">
        <w:rPr>
          <w:rFonts w:cstheme="minorHAnsi"/>
          <w:b/>
          <w:sz w:val="20"/>
          <w:szCs w:val="20"/>
        </w:rPr>
        <w:t>Outcome 1 was focused on strengthening and implementing national policy frameworks on EVAWG to support a comprehensive multi-sectoral response strategy</w:t>
      </w:r>
      <w:r w:rsidRPr="006E1B40">
        <w:rPr>
          <w:rFonts w:cstheme="minorHAnsi"/>
          <w:sz w:val="20"/>
          <w:szCs w:val="20"/>
        </w:rPr>
        <w:t>.  There were also two outputs related to Outcome 1, including: Output 1.1 that more key government agencies would have implemented new and/or improved work plans or programmes for implementing key policies related to VAWG; and Output 1.2 that there would be an effective task force and results framework in place to monitor progress on EVAWG and key government agencies and partners, including Gender Foal Points (GFPs), would understand their role in monitoring progress on EVAWG and preventing and responding to VAWG.</w:t>
      </w:r>
    </w:p>
    <w:p w14:paraId="789587E4" w14:textId="77777777" w:rsidR="00A0220E" w:rsidRPr="006E1B40" w:rsidRDefault="00A0220E" w:rsidP="00A0220E">
      <w:pPr>
        <w:autoSpaceDE w:val="0"/>
        <w:autoSpaceDN w:val="0"/>
        <w:adjustRightInd w:val="0"/>
        <w:spacing w:after="0" w:line="240" w:lineRule="auto"/>
        <w:rPr>
          <w:rFonts w:cstheme="minorHAnsi"/>
          <w:sz w:val="20"/>
          <w:szCs w:val="20"/>
        </w:rPr>
      </w:pPr>
    </w:p>
    <w:p w14:paraId="256D4850" w14:textId="39B9651F" w:rsidR="00A12E1E" w:rsidRPr="006E1B40" w:rsidRDefault="00A0220E" w:rsidP="00A12E1E">
      <w:pPr>
        <w:autoSpaceDE w:val="0"/>
        <w:autoSpaceDN w:val="0"/>
        <w:adjustRightInd w:val="0"/>
        <w:spacing w:after="0" w:line="240" w:lineRule="auto"/>
        <w:jc w:val="both"/>
        <w:rPr>
          <w:rFonts w:cstheme="minorHAnsi"/>
          <w:sz w:val="20"/>
          <w:szCs w:val="20"/>
        </w:rPr>
      </w:pPr>
      <w:r w:rsidRPr="006E1B40">
        <w:rPr>
          <w:rFonts w:cstheme="minorHAnsi"/>
          <w:sz w:val="20"/>
          <w:szCs w:val="20"/>
        </w:rPr>
        <w:t xml:space="preserve">In keeping with </w:t>
      </w:r>
      <w:r w:rsidR="00A12E1E" w:rsidRPr="006E1B40">
        <w:rPr>
          <w:rFonts w:cstheme="minorHAnsi"/>
          <w:sz w:val="20"/>
          <w:szCs w:val="20"/>
        </w:rPr>
        <w:t>O</w:t>
      </w:r>
      <w:r w:rsidRPr="006E1B40">
        <w:rPr>
          <w:rFonts w:cstheme="minorHAnsi"/>
          <w:sz w:val="20"/>
          <w:szCs w:val="20"/>
        </w:rPr>
        <w:t>utput 1.1</w:t>
      </w:r>
      <w:r w:rsidR="00A12E1E" w:rsidRPr="006E1B40">
        <w:rPr>
          <w:rFonts w:cstheme="minorHAnsi"/>
          <w:sz w:val="20"/>
          <w:szCs w:val="20"/>
        </w:rPr>
        <w:t xml:space="preserve">, </w:t>
      </w:r>
      <w:r w:rsidR="002D6D79" w:rsidRPr="006E1B40">
        <w:rPr>
          <w:rFonts w:cstheme="minorHAnsi"/>
          <w:sz w:val="20"/>
          <w:szCs w:val="20"/>
        </w:rPr>
        <w:t xml:space="preserve">during the three-year project period, </w:t>
      </w:r>
      <w:r w:rsidR="00A12E1E" w:rsidRPr="006E1B40">
        <w:rPr>
          <w:rFonts w:cstheme="minorHAnsi"/>
          <w:sz w:val="20"/>
          <w:szCs w:val="20"/>
        </w:rPr>
        <w:t xml:space="preserve">UN-SIG JP members engaged in </w:t>
      </w:r>
      <w:r w:rsidR="00D32C2E" w:rsidRPr="006E1B40">
        <w:rPr>
          <w:rFonts w:cstheme="minorHAnsi"/>
          <w:sz w:val="20"/>
          <w:szCs w:val="20"/>
        </w:rPr>
        <w:t xml:space="preserve">and made progress on </w:t>
      </w:r>
      <w:r w:rsidR="00A12E1E" w:rsidRPr="006E1B40">
        <w:rPr>
          <w:rFonts w:cstheme="minorHAnsi"/>
          <w:sz w:val="20"/>
          <w:szCs w:val="20"/>
        </w:rPr>
        <w:t xml:space="preserve">three key activities: </w:t>
      </w:r>
    </w:p>
    <w:p w14:paraId="59CD7AE8" w14:textId="77777777" w:rsidR="008B1F52" w:rsidRPr="006E1B40" w:rsidRDefault="008B1F52" w:rsidP="00A12E1E">
      <w:pPr>
        <w:autoSpaceDE w:val="0"/>
        <w:autoSpaceDN w:val="0"/>
        <w:adjustRightInd w:val="0"/>
        <w:spacing w:after="0" w:line="240" w:lineRule="auto"/>
        <w:jc w:val="both"/>
        <w:rPr>
          <w:rFonts w:cstheme="minorHAnsi"/>
          <w:sz w:val="20"/>
          <w:szCs w:val="20"/>
        </w:rPr>
      </w:pPr>
    </w:p>
    <w:p w14:paraId="42376899" w14:textId="720E1BDB" w:rsidR="00117E05" w:rsidRPr="006E1B40" w:rsidRDefault="00A0220E" w:rsidP="007E3DAA">
      <w:pPr>
        <w:pStyle w:val="ListParagraph"/>
        <w:numPr>
          <w:ilvl w:val="0"/>
          <w:numId w:val="31"/>
        </w:numPr>
        <w:autoSpaceDE w:val="0"/>
        <w:autoSpaceDN w:val="0"/>
        <w:adjustRightInd w:val="0"/>
        <w:spacing w:after="0" w:line="240" w:lineRule="auto"/>
        <w:jc w:val="both"/>
        <w:rPr>
          <w:rFonts w:cstheme="minorHAnsi"/>
          <w:color w:val="000000"/>
          <w:sz w:val="20"/>
          <w:szCs w:val="20"/>
        </w:rPr>
      </w:pPr>
      <w:r w:rsidRPr="006E1B40">
        <w:rPr>
          <w:rFonts w:cstheme="minorHAnsi"/>
          <w:sz w:val="20"/>
          <w:szCs w:val="20"/>
          <w:u w:val="single"/>
        </w:rPr>
        <w:t>UN Women provided technical assistance to support the MWYCFA to review and revise the EVAW Policy and NAP</w:t>
      </w:r>
      <w:r w:rsidR="00117E05" w:rsidRPr="006E1B40">
        <w:rPr>
          <w:rFonts w:cstheme="minorHAnsi"/>
          <w:sz w:val="20"/>
          <w:szCs w:val="20"/>
          <w:u w:val="single"/>
        </w:rPr>
        <w:t xml:space="preserve"> and to improve the monitoring of the implementation of the new EVAW Policy 2016-2020 based upon lessons learned from the previous EVAW Policy</w:t>
      </w:r>
      <w:r w:rsidR="00117E05" w:rsidRPr="006E1B40">
        <w:rPr>
          <w:rFonts w:cstheme="minorHAnsi"/>
          <w:sz w:val="20"/>
          <w:szCs w:val="20"/>
        </w:rPr>
        <w:t>. As part of the review and revis</w:t>
      </w:r>
      <w:r w:rsidR="006F2EA5">
        <w:rPr>
          <w:rFonts w:cstheme="minorHAnsi"/>
          <w:sz w:val="20"/>
          <w:szCs w:val="20"/>
        </w:rPr>
        <w:t>ion</w:t>
      </w:r>
      <w:r w:rsidR="00117E05" w:rsidRPr="006E1B40">
        <w:rPr>
          <w:rFonts w:cstheme="minorHAnsi"/>
          <w:sz w:val="20"/>
          <w:szCs w:val="20"/>
        </w:rPr>
        <w:t xml:space="preserve"> process, c</w:t>
      </w:r>
      <w:r w:rsidR="00117E05" w:rsidRPr="006E1B40">
        <w:rPr>
          <w:rFonts w:cstheme="minorHAnsi"/>
          <w:color w:val="000000"/>
          <w:sz w:val="20"/>
          <w:szCs w:val="20"/>
        </w:rPr>
        <w:t>onsultations were held with stakeholders in Honiara and in two provinces to ensure a wide range of feedback. Priorities recommended for the new EVAW Policy 2016-2020, included a specific focus on women and girls living with disabilities, and improving coordination to enable access to VAWG services in rural areas and the provinces. Consultations also highlighted that consistency in messaging by EVAWG partners is important, as are activities to raise awareness on the FPA 2014, as opposed to only focusing on how provisions of the FPA 2014 are applied by the police, health workers, and social service providers. The revised EVAW Policy 2016-2020 was finalized in the 4</w:t>
      </w:r>
      <w:r w:rsidR="00117E05" w:rsidRPr="006E1B40">
        <w:rPr>
          <w:rFonts w:cstheme="minorHAnsi"/>
          <w:color w:val="000000"/>
          <w:sz w:val="20"/>
          <w:szCs w:val="20"/>
          <w:vertAlign w:val="superscript"/>
        </w:rPr>
        <w:t>th</w:t>
      </w:r>
      <w:r w:rsidR="00117E05" w:rsidRPr="006E1B40">
        <w:rPr>
          <w:rFonts w:cstheme="minorHAnsi"/>
          <w:color w:val="000000"/>
          <w:sz w:val="20"/>
          <w:szCs w:val="20"/>
        </w:rPr>
        <w:t xml:space="preserve"> Quarter of 2016, and approved by the Cabinet in 2017. The </w:t>
      </w:r>
      <w:r w:rsidR="00117E05" w:rsidRPr="006E1B40">
        <w:rPr>
          <w:rFonts w:cstheme="minorHAnsi"/>
          <w:sz w:val="20"/>
          <w:szCs w:val="20"/>
        </w:rPr>
        <w:t xml:space="preserve">EVAW Policy 2016-2020 highlights five priority outcome areas: 1) prevent VAWG; 2) strengthen legal frameworks, law enforcement, and the justice system; 3) strengthen and improve protective, social, and support services; 4) rehabilitate and hold perpetrators accountable; and, 5) develop national commitments and coordinate services. </w:t>
      </w:r>
    </w:p>
    <w:p w14:paraId="1CFA6639" w14:textId="77777777" w:rsidR="008B1F52" w:rsidRPr="006E1B40" w:rsidRDefault="008B1F52" w:rsidP="008B1F52">
      <w:pPr>
        <w:pStyle w:val="ListParagraph"/>
        <w:autoSpaceDE w:val="0"/>
        <w:autoSpaceDN w:val="0"/>
        <w:adjustRightInd w:val="0"/>
        <w:spacing w:after="0" w:line="240" w:lineRule="auto"/>
        <w:ind w:left="360"/>
        <w:jc w:val="both"/>
        <w:rPr>
          <w:rFonts w:cstheme="minorHAnsi"/>
          <w:color w:val="000000"/>
          <w:sz w:val="20"/>
          <w:szCs w:val="20"/>
        </w:rPr>
      </w:pPr>
    </w:p>
    <w:p w14:paraId="7551729F" w14:textId="1CB5C84B" w:rsidR="008B1F52" w:rsidRPr="006E1B40" w:rsidRDefault="00117E05" w:rsidP="008B1F52">
      <w:pPr>
        <w:pStyle w:val="ListParagraph"/>
        <w:numPr>
          <w:ilvl w:val="0"/>
          <w:numId w:val="31"/>
        </w:numPr>
        <w:autoSpaceDE w:val="0"/>
        <w:autoSpaceDN w:val="0"/>
        <w:adjustRightInd w:val="0"/>
        <w:spacing w:after="0" w:line="240" w:lineRule="auto"/>
        <w:jc w:val="both"/>
        <w:rPr>
          <w:rFonts w:cstheme="minorHAnsi"/>
          <w:color w:val="000000"/>
          <w:sz w:val="20"/>
          <w:szCs w:val="20"/>
        </w:rPr>
      </w:pPr>
      <w:r w:rsidRPr="006E1B40">
        <w:rPr>
          <w:rFonts w:cstheme="minorHAnsi"/>
          <w:sz w:val="20"/>
          <w:szCs w:val="20"/>
          <w:u w:val="single"/>
        </w:rPr>
        <w:t>UN women provided technical assistance for the implementation of the FPA and EVAWG policies with a focus on training key policy and decision-makers, and programme managers</w:t>
      </w:r>
      <w:r w:rsidRPr="006E1B40">
        <w:rPr>
          <w:rFonts w:cstheme="minorHAnsi"/>
          <w:sz w:val="20"/>
          <w:szCs w:val="20"/>
        </w:rPr>
        <w:t xml:space="preserve">. In August 2017, the MWYCFA trained MWYCFA staff, EVAW Task Force members, and Gender Focal Points (GFPs) on the EVAW Policy 2016-2020, including the monitoring framework for implementation of the EVAW Policy and NAP, and the FPA. </w:t>
      </w:r>
      <w:r w:rsidR="008B1F52" w:rsidRPr="006E1B40">
        <w:rPr>
          <w:rFonts w:cstheme="minorHAnsi"/>
          <w:color w:val="000000"/>
          <w:sz w:val="20"/>
          <w:szCs w:val="20"/>
        </w:rPr>
        <w:t>The MWYCFA faced significant challenges getting information from the various ministries and departments about their annual work plans in relation to implementing the EVAW Policy and related NAP, and the FPA 2014. Moreover, it was not until 2017 that the EVAW Policy 2016-</w:t>
      </w:r>
      <w:r w:rsidR="006F429F">
        <w:rPr>
          <w:rFonts w:cstheme="minorHAnsi"/>
          <w:color w:val="000000"/>
          <w:sz w:val="20"/>
          <w:szCs w:val="20"/>
        </w:rPr>
        <w:t xml:space="preserve"> 2020</w:t>
      </w:r>
      <w:r w:rsidR="008B1F52" w:rsidRPr="006E1B40">
        <w:rPr>
          <w:rFonts w:cstheme="minorHAnsi"/>
          <w:color w:val="000000"/>
          <w:sz w:val="20"/>
          <w:szCs w:val="20"/>
        </w:rPr>
        <w:t xml:space="preserve"> was endorsed by the Cabinet. At the end of the project period, relevant ministries and departments had yet to communicate to the MWYCFA their efforts to adopt or implement gender aware or gender mainstreaming policies, as gender mainstreaming and gender budgeting was not fully understood, nor were resources adequately allocated for it to happen at meaningful levels. </w:t>
      </w:r>
    </w:p>
    <w:p w14:paraId="398C0BA2" w14:textId="0986EEF3" w:rsidR="007E3DAA" w:rsidRPr="006E1B40" w:rsidRDefault="00A12E1E" w:rsidP="00327084">
      <w:pPr>
        <w:pStyle w:val="ListParagraph"/>
        <w:numPr>
          <w:ilvl w:val="0"/>
          <w:numId w:val="31"/>
        </w:numPr>
        <w:shd w:val="clear" w:color="auto" w:fill="FFFFFF" w:themeFill="background1"/>
        <w:autoSpaceDE w:val="0"/>
        <w:autoSpaceDN w:val="0"/>
        <w:adjustRightInd w:val="0"/>
        <w:spacing w:after="0" w:line="240" w:lineRule="auto"/>
        <w:jc w:val="both"/>
        <w:rPr>
          <w:rFonts w:cstheme="minorHAnsi"/>
          <w:color w:val="000000"/>
          <w:sz w:val="20"/>
          <w:szCs w:val="20"/>
        </w:rPr>
      </w:pPr>
      <w:r w:rsidRPr="006E1B40">
        <w:rPr>
          <w:rFonts w:cstheme="minorHAnsi"/>
          <w:sz w:val="20"/>
          <w:szCs w:val="20"/>
          <w:u w:val="single"/>
        </w:rPr>
        <w:t xml:space="preserve">UN Women provided technical assistance to support the SIG for the </w:t>
      </w:r>
      <w:r w:rsidR="00A0220E" w:rsidRPr="006E1B40">
        <w:rPr>
          <w:rFonts w:cstheme="minorHAnsi"/>
          <w:sz w:val="20"/>
          <w:szCs w:val="20"/>
          <w:u w:val="single"/>
        </w:rPr>
        <w:t>advancement of implementing UPR and CEDAW recommendations related to EVAWG and monitoring their implementation</w:t>
      </w:r>
      <w:r w:rsidR="007E3DAA" w:rsidRPr="006E1B40">
        <w:rPr>
          <w:rFonts w:cstheme="minorHAnsi"/>
          <w:sz w:val="20"/>
          <w:szCs w:val="20"/>
        </w:rPr>
        <w:t>. In 2016, t</w:t>
      </w:r>
      <w:r w:rsidR="007E3DAA" w:rsidRPr="006E1B40">
        <w:rPr>
          <w:rFonts w:cstheme="minorHAnsi"/>
          <w:color w:val="000000"/>
          <w:sz w:val="20"/>
          <w:szCs w:val="20"/>
        </w:rPr>
        <w:t xml:space="preserve">he Solomon Islands National Advisory Committee on CEDAW (SINACC) was hosted by the MWYCFA with support of a UN-SIG JP on EVAWG-funded local technical consultant. The meeting was funded by the UN-SIG JP on EVAWG. The SINACC was attended by 16 government officials from the Prime Minister’s Office, Ministry of Foreign Affairs (MFA), Ministry of Home Affairs (MHA), MHMS, Ministry of Lands and Housing (MLH), MEHRD, and the Office of Commissioner of the RSIFP. The SINACC endorsed reporting the following progress: </w:t>
      </w:r>
    </w:p>
    <w:p w14:paraId="79C03865" w14:textId="77777777" w:rsidR="007E3DAA" w:rsidRPr="006E1B40" w:rsidRDefault="007E3DAA" w:rsidP="00327084">
      <w:pPr>
        <w:pStyle w:val="ListParagraph"/>
        <w:numPr>
          <w:ilvl w:val="0"/>
          <w:numId w:val="5"/>
        </w:numPr>
        <w:autoSpaceDE w:val="0"/>
        <w:autoSpaceDN w:val="0"/>
        <w:adjustRightInd w:val="0"/>
        <w:spacing w:after="0" w:line="240" w:lineRule="auto"/>
        <w:jc w:val="both"/>
        <w:rPr>
          <w:rFonts w:cstheme="minorHAnsi"/>
          <w:color w:val="000000"/>
          <w:sz w:val="20"/>
          <w:szCs w:val="20"/>
        </w:rPr>
      </w:pPr>
      <w:r w:rsidRPr="006E1B40">
        <w:rPr>
          <w:rFonts w:cstheme="minorHAnsi"/>
          <w:color w:val="000000"/>
          <w:sz w:val="20"/>
          <w:szCs w:val="20"/>
        </w:rPr>
        <w:t xml:space="preserve">Adoption of a new Federal Constitution, including provisions of equality between men and women; there is a 2017 projected time frame for the final draft with ratification and adoption by 2018). Worthy of specific mention is Clause 19 (1) and (2) which provide for equality between men and women, and a specific prohibition of ‘direct and ‘indirect’ discrimination. Also, Clause 19 (3) prohibits multiple and intersecting discrimination, and sanctions for discrimination. Finally, Clause 49 (5) and (6) outlines to protect or advance the National Human Rights Commission, and Clause 198 (3) outlines investigation for government and persons in other spheres that discriminate. </w:t>
      </w:r>
    </w:p>
    <w:p w14:paraId="5E65C8C3" w14:textId="77777777" w:rsidR="007E3DAA" w:rsidRPr="006E1B40" w:rsidRDefault="007E3DAA" w:rsidP="00327084">
      <w:pPr>
        <w:pStyle w:val="ListParagraph"/>
        <w:numPr>
          <w:ilvl w:val="0"/>
          <w:numId w:val="5"/>
        </w:numPr>
        <w:autoSpaceDE w:val="0"/>
        <w:autoSpaceDN w:val="0"/>
        <w:adjustRightInd w:val="0"/>
        <w:spacing w:after="0" w:line="240" w:lineRule="auto"/>
        <w:jc w:val="both"/>
        <w:rPr>
          <w:rFonts w:cstheme="minorHAnsi"/>
          <w:color w:val="000000"/>
          <w:sz w:val="20"/>
          <w:szCs w:val="20"/>
        </w:rPr>
      </w:pPr>
      <w:r w:rsidRPr="006E1B40">
        <w:rPr>
          <w:rFonts w:cstheme="minorHAnsi"/>
          <w:color w:val="000000"/>
          <w:sz w:val="20"/>
          <w:szCs w:val="20"/>
        </w:rPr>
        <w:t xml:space="preserve">Development of measures to ensure that police respond to and investigate complaints regarding VAWG, including the development of the RSIPF Zero Tolerance Policy, Sexual Assault Investigation Policy, Family Violence Policy, Standard Operating Procedures, and Crime Prevention Strategy 2017-2020. </w:t>
      </w:r>
    </w:p>
    <w:p w14:paraId="37F09D07" w14:textId="77777777" w:rsidR="007E3DAA" w:rsidRPr="006E1B40" w:rsidRDefault="007E3DAA" w:rsidP="00327084">
      <w:pPr>
        <w:pStyle w:val="ListParagraph"/>
        <w:numPr>
          <w:ilvl w:val="0"/>
          <w:numId w:val="5"/>
        </w:numPr>
        <w:autoSpaceDE w:val="0"/>
        <w:autoSpaceDN w:val="0"/>
        <w:adjustRightInd w:val="0"/>
        <w:spacing w:after="0" w:line="240" w:lineRule="auto"/>
        <w:jc w:val="both"/>
        <w:rPr>
          <w:rFonts w:cstheme="minorHAnsi"/>
          <w:color w:val="000000"/>
          <w:sz w:val="20"/>
          <w:szCs w:val="20"/>
        </w:rPr>
      </w:pPr>
      <w:r w:rsidRPr="006E1B40">
        <w:rPr>
          <w:rFonts w:cstheme="minorHAnsi"/>
          <w:color w:val="000000"/>
          <w:sz w:val="20"/>
          <w:szCs w:val="20"/>
        </w:rPr>
        <w:t xml:space="preserve">Adoption of the Second Chance Education Policy. The MEHRD put forth: 1) the SITESA Bill and School Education Bill; 2) the Education Strategic Framework 2016-2030, referencing long term goals for action and efforts to address gender equality; 3) the National Disability Inclusive Education Policy 2016-2020; 4) the Strategic Support Unit which conducts research and data collection on early school leaving (ESL) to inform the Second Chance Education Policy; and 5) gender mainstreaming practices in the Gender Equality in Education (GEE) Policy. </w:t>
      </w:r>
    </w:p>
    <w:p w14:paraId="7321FA6E" w14:textId="7B7D799B" w:rsidR="007E3DAA" w:rsidRPr="006E1B40" w:rsidRDefault="007E3DAA" w:rsidP="00327084">
      <w:pPr>
        <w:pStyle w:val="ListParagraph"/>
        <w:numPr>
          <w:ilvl w:val="0"/>
          <w:numId w:val="5"/>
        </w:numPr>
        <w:autoSpaceDE w:val="0"/>
        <w:autoSpaceDN w:val="0"/>
        <w:adjustRightInd w:val="0"/>
        <w:spacing w:after="0" w:line="240" w:lineRule="auto"/>
        <w:jc w:val="both"/>
        <w:rPr>
          <w:rFonts w:cstheme="minorHAnsi"/>
          <w:color w:val="000000"/>
          <w:sz w:val="20"/>
          <w:szCs w:val="20"/>
        </w:rPr>
      </w:pPr>
      <w:r w:rsidRPr="006E1B40">
        <w:rPr>
          <w:rFonts w:cstheme="minorHAnsi"/>
          <w:color w:val="000000"/>
          <w:sz w:val="20"/>
          <w:szCs w:val="20"/>
        </w:rPr>
        <w:t xml:space="preserve">Development of age-appropriate education on sexual and reproductive health that has been included in the Annual Operation Plan and National Heath Strategic Plan. Also, the delivery of programmes targeting children/youth, such as: Family Life Education (FLE), FLE Information Corners, and FLE trainings for teachers and peer educators. </w:t>
      </w:r>
    </w:p>
    <w:p w14:paraId="28D00333" w14:textId="77777777" w:rsidR="00D52B70" w:rsidRPr="006E1B40" w:rsidRDefault="00D52B70" w:rsidP="00327084">
      <w:pPr>
        <w:pStyle w:val="ListParagraph"/>
        <w:shd w:val="clear" w:color="auto" w:fill="FFFFFF" w:themeFill="background1"/>
        <w:autoSpaceDE w:val="0"/>
        <w:autoSpaceDN w:val="0"/>
        <w:adjustRightInd w:val="0"/>
        <w:spacing w:after="0" w:line="240" w:lineRule="auto"/>
        <w:ind w:left="360"/>
        <w:jc w:val="both"/>
        <w:rPr>
          <w:rFonts w:cstheme="minorHAnsi"/>
          <w:sz w:val="20"/>
          <w:szCs w:val="20"/>
        </w:rPr>
      </w:pPr>
    </w:p>
    <w:p w14:paraId="4A1C95C3" w14:textId="0A20D675" w:rsidR="007E3DAA" w:rsidRPr="006E1B40" w:rsidRDefault="007E3DAA" w:rsidP="00327084">
      <w:pPr>
        <w:pStyle w:val="ListParagraph"/>
        <w:shd w:val="clear" w:color="auto" w:fill="FFFFFF" w:themeFill="background1"/>
        <w:autoSpaceDE w:val="0"/>
        <w:autoSpaceDN w:val="0"/>
        <w:adjustRightInd w:val="0"/>
        <w:spacing w:after="0" w:line="240" w:lineRule="auto"/>
        <w:ind w:left="360"/>
        <w:jc w:val="both"/>
        <w:rPr>
          <w:rFonts w:cstheme="minorHAnsi"/>
          <w:sz w:val="20"/>
          <w:szCs w:val="20"/>
        </w:rPr>
      </w:pPr>
      <w:r w:rsidRPr="006E1B40">
        <w:rPr>
          <w:rFonts w:cstheme="minorHAnsi"/>
          <w:sz w:val="20"/>
          <w:szCs w:val="20"/>
        </w:rPr>
        <w:lastRenderedPageBreak/>
        <w:t>In 2017, due to human resource limitations and budget constraints the MWYCFA was unable to report to the UN-SIG JP on EVAWG the extent to which UPR and CEDAW recommendations directly related to EVAWG had been addressed, implemented, and/or supported. Yet, the evaluation did find that some progress was made implementing two of UPR recommendations, particularly reform of the Penal Code Related to Sexual Offenses and implementation of the FPA. Also, collection of VAWG administrative data was reportedly a CEDAW recommendation that was implemented with support from the UN-SGI JP on EVAWG.</w:t>
      </w:r>
    </w:p>
    <w:p w14:paraId="6F17A54E" w14:textId="77777777" w:rsidR="007E3DAA" w:rsidRPr="006E1B40" w:rsidRDefault="007E3DAA" w:rsidP="00A12E1E">
      <w:pPr>
        <w:pStyle w:val="ListParagraph"/>
        <w:autoSpaceDE w:val="0"/>
        <w:autoSpaceDN w:val="0"/>
        <w:adjustRightInd w:val="0"/>
        <w:spacing w:after="0" w:line="240" w:lineRule="auto"/>
        <w:ind w:left="360"/>
        <w:jc w:val="both"/>
        <w:rPr>
          <w:rFonts w:cstheme="minorHAnsi"/>
          <w:sz w:val="20"/>
          <w:szCs w:val="20"/>
        </w:rPr>
      </w:pPr>
    </w:p>
    <w:p w14:paraId="1BE2A4D4" w14:textId="2548D21D" w:rsidR="002D6D79" w:rsidRPr="006E1B40" w:rsidRDefault="00A12E1E" w:rsidP="00A12E1E">
      <w:pPr>
        <w:autoSpaceDE w:val="0"/>
        <w:autoSpaceDN w:val="0"/>
        <w:adjustRightInd w:val="0"/>
        <w:spacing w:after="0" w:line="240" w:lineRule="auto"/>
        <w:jc w:val="both"/>
        <w:rPr>
          <w:rFonts w:cstheme="minorHAnsi"/>
          <w:sz w:val="20"/>
          <w:szCs w:val="20"/>
        </w:rPr>
      </w:pPr>
      <w:r w:rsidRPr="006E1B40">
        <w:rPr>
          <w:rFonts w:cstheme="minorHAnsi"/>
          <w:sz w:val="20"/>
          <w:szCs w:val="20"/>
        </w:rPr>
        <w:t xml:space="preserve">In keeping with Output 1.2, </w:t>
      </w:r>
      <w:r w:rsidR="002D6D79" w:rsidRPr="006E1B40">
        <w:rPr>
          <w:rFonts w:cstheme="minorHAnsi"/>
          <w:sz w:val="20"/>
          <w:szCs w:val="20"/>
        </w:rPr>
        <w:t xml:space="preserve">during the three-year project period, </w:t>
      </w:r>
      <w:r w:rsidRPr="006E1B40">
        <w:rPr>
          <w:rFonts w:cstheme="minorHAnsi"/>
          <w:sz w:val="20"/>
          <w:szCs w:val="20"/>
        </w:rPr>
        <w:t xml:space="preserve">UN-SIG JP members engaged in </w:t>
      </w:r>
      <w:r w:rsidR="00D32C2E" w:rsidRPr="006E1B40">
        <w:rPr>
          <w:rFonts w:cstheme="minorHAnsi"/>
          <w:sz w:val="20"/>
          <w:szCs w:val="20"/>
        </w:rPr>
        <w:t xml:space="preserve">and made progress on </w:t>
      </w:r>
      <w:r w:rsidR="002D6D79" w:rsidRPr="006E1B40">
        <w:rPr>
          <w:rFonts w:cstheme="minorHAnsi"/>
          <w:sz w:val="20"/>
          <w:szCs w:val="20"/>
        </w:rPr>
        <w:t xml:space="preserve">two </w:t>
      </w:r>
      <w:r w:rsidRPr="006E1B40">
        <w:rPr>
          <w:rFonts w:cstheme="minorHAnsi"/>
          <w:sz w:val="20"/>
          <w:szCs w:val="20"/>
        </w:rPr>
        <w:t xml:space="preserve">key activities: </w:t>
      </w:r>
    </w:p>
    <w:p w14:paraId="24518EE7" w14:textId="77777777" w:rsidR="008B1F52" w:rsidRPr="006E1B40" w:rsidRDefault="008B1F52" w:rsidP="008B1F52">
      <w:pPr>
        <w:pStyle w:val="ListParagraph"/>
        <w:autoSpaceDE w:val="0"/>
        <w:autoSpaceDN w:val="0"/>
        <w:adjustRightInd w:val="0"/>
        <w:spacing w:after="0" w:line="240" w:lineRule="auto"/>
        <w:ind w:left="360"/>
        <w:jc w:val="both"/>
        <w:rPr>
          <w:rFonts w:cstheme="minorHAnsi"/>
          <w:color w:val="000000"/>
          <w:sz w:val="20"/>
          <w:szCs w:val="20"/>
        </w:rPr>
      </w:pPr>
    </w:p>
    <w:p w14:paraId="7025A4B6" w14:textId="15C4BD11" w:rsidR="00117E05" w:rsidRPr="006E1B40" w:rsidRDefault="00A12E1E" w:rsidP="007E3DAA">
      <w:pPr>
        <w:pStyle w:val="ListParagraph"/>
        <w:numPr>
          <w:ilvl w:val="0"/>
          <w:numId w:val="32"/>
        </w:numPr>
        <w:autoSpaceDE w:val="0"/>
        <w:autoSpaceDN w:val="0"/>
        <w:adjustRightInd w:val="0"/>
        <w:spacing w:after="0" w:line="240" w:lineRule="auto"/>
        <w:jc w:val="both"/>
        <w:rPr>
          <w:rFonts w:cstheme="minorHAnsi"/>
          <w:color w:val="000000"/>
          <w:sz w:val="20"/>
          <w:szCs w:val="20"/>
        </w:rPr>
      </w:pPr>
      <w:r w:rsidRPr="006E1B40">
        <w:rPr>
          <w:rFonts w:cstheme="minorHAnsi"/>
          <w:sz w:val="20"/>
          <w:szCs w:val="20"/>
          <w:u w:val="single"/>
        </w:rPr>
        <w:t>UN Women provided technical assistance to support the MWYCFA and the re-established national EVAW Task Force to implement and monitor with a results framework, and assess progress of the EVAW Policy and implementation of the FPA</w:t>
      </w:r>
      <w:r w:rsidR="002D6D79" w:rsidRPr="006E1B40">
        <w:rPr>
          <w:rFonts w:cstheme="minorHAnsi"/>
          <w:sz w:val="20"/>
          <w:szCs w:val="20"/>
        </w:rPr>
        <w:t>.</w:t>
      </w:r>
      <w:r w:rsidR="00C409BD" w:rsidRPr="006E1B40">
        <w:rPr>
          <w:rFonts w:cstheme="minorHAnsi"/>
          <w:sz w:val="20"/>
          <w:szCs w:val="20"/>
        </w:rPr>
        <w:t xml:space="preserve"> Initially, the EVAW Policy was supposed to be implemented by a national EVAW Task Force comprised of representatives of VAWG support agencies, including police, health/medical services, education, and victim support agencies; however, the EVAW Task Force was eventually disbanded given its duplication in membership and focus with other government tasks forces. In 2016, there was discussions to re-establish the EVAW Task Force to support the EVAW Policy, and in 2017 it was re-established</w:t>
      </w:r>
      <w:r w:rsidR="00117E05" w:rsidRPr="006E1B40">
        <w:rPr>
          <w:rFonts w:cstheme="minorHAnsi"/>
          <w:sz w:val="20"/>
          <w:szCs w:val="20"/>
        </w:rPr>
        <w:t xml:space="preserve"> and roles and responsibilities of EVAW Task Force members and implementing partners were clearly defined. The EVAW Task Force is the </w:t>
      </w:r>
      <w:r w:rsidR="00117E05" w:rsidRPr="006E1B40">
        <w:rPr>
          <w:rFonts w:cstheme="minorHAnsi"/>
          <w:color w:val="000000"/>
          <w:sz w:val="20"/>
          <w:szCs w:val="20"/>
        </w:rPr>
        <w:t xml:space="preserve">oversight body for the EVAW Policy. In August 2017, a training was conducted for EVAW Task Force members on the EVAW Policy and monitoring framework.  </w:t>
      </w:r>
      <w:r w:rsidR="004E299E">
        <w:rPr>
          <w:rFonts w:cstheme="minorHAnsi"/>
          <w:color w:val="000000"/>
          <w:sz w:val="20"/>
          <w:szCs w:val="20"/>
        </w:rPr>
        <w:t xml:space="preserve">The </w:t>
      </w:r>
      <w:r w:rsidR="006F429F">
        <w:rPr>
          <w:rFonts w:cstheme="minorHAnsi"/>
          <w:color w:val="000000"/>
          <w:sz w:val="20"/>
          <w:szCs w:val="20"/>
        </w:rPr>
        <w:t>W</w:t>
      </w:r>
      <w:r w:rsidR="004E299E">
        <w:rPr>
          <w:rFonts w:cstheme="minorHAnsi"/>
          <w:color w:val="000000"/>
          <w:sz w:val="20"/>
          <w:szCs w:val="20"/>
        </w:rPr>
        <w:t xml:space="preserve">omen in </w:t>
      </w:r>
      <w:r w:rsidR="006F429F">
        <w:rPr>
          <w:rFonts w:cstheme="minorHAnsi"/>
          <w:color w:val="000000"/>
          <w:sz w:val="20"/>
          <w:szCs w:val="20"/>
        </w:rPr>
        <w:t>D</w:t>
      </w:r>
      <w:r w:rsidR="004E299E">
        <w:rPr>
          <w:rFonts w:cstheme="minorHAnsi"/>
          <w:color w:val="000000"/>
          <w:sz w:val="20"/>
          <w:szCs w:val="20"/>
        </w:rPr>
        <w:t xml:space="preserve">evelopment </w:t>
      </w:r>
      <w:r w:rsidR="006F429F">
        <w:rPr>
          <w:rFonts w:cstheme="minorHAnsi"/>
          <w:color w:val="000000"/>
          <w:sz w:val="20"/>
          <w:szCs w:val="20"/>
        </w:rPr>
        <w:t>D</w:t>
      </w:r>
      <w:r w:rsidR="004E299E">
        <w:rPr>
          <w:rFonts w:cstheme="minorHAnsi"/>
          <w:color w:val="000000"/>
          <w:sz w:val="20"/>
          <w:szCs w:val="20"/>
        </w:rPr>
        <w:t>ivision staff</w:t>
      </w:r>
      <w:r w:rsidR="006F429F">
        <w:rPr>
          <w:rFonts w:cstheme="minorHAnsi"/>
          <w:color w:val="000000"/>
          <w:sz w:val="20"/>
          <w:szCs w:val="20"/>
        </w:rPr>
        <w:t xml:space="preserve"> were also trained in their role to support the Taskforce </w:t>
      </w:r>
      <w:r w:rsidR="004E299E">
        <w:rPr>
          <w:rFonts w:cstheme="minorHAnsi"/>
          <w:color w:val="000000"/>
          <w:sz w:val="20"/>
          <w:szCs w:val="20"/>
        </w:rPr>
        <w:t>in monitoring and evaluation of the policy.</w:t>
      </w:r>
    </w:p>
    <w:p w14:paraId="59FE47F7" w14:textId="77777777" w:rsidR="008B1F52" w:rsidRPr="006E1B40" w:rsidRDefault="008B1F52" w:rsidP="008B1F52">
      <w:pPr>
        <w:pStyle w:val="ListParagraph"/>
        <w:autoSpaceDE w:val="0"/>
        <w:autoSpaceDN w:val="0"/>
        <w:adjustRightInd w:val="0"/>
        <w:spacing w:after="0" w:line="240" w:lineRule="auto"/>
        <w:ind w:left="360"/>
        <w:jc w:val="both"/>
        <w:rPr>
          <w:rFonts w:cstheme="minorHAnsi"/>
          <w:sz w:val="20"/>
          <w:szCs w:val="20"/>
        </w:rPr>
      </w:pPr>
    </w:p>
    <w:p w14:paraId="2B315C93" w14:textId="795F43F1" w:rsidR="00C409BD" w:rsidRPr="006E1B40" w:rsidRDefault="00A12E1E" w:rsidP="00D52B70">
      <w:pPr>
        <w:pStyle w:val="ListParagraph"/>
        <w:numPr>
          <w:ilvl w:val="0"/>
          <w:numId w:val="32"/>
        </w:numPr>
        <w:autoSpaceDE w:val="0"/>
        <w:autoSpaceDN w:val="0"/>
        <w:adjustRightInd w:val="0"/>
        <w:spacing w:after="0" w:line="240" w:lineRule="auto"/>
        <w:jc w:val="both"/>
        <w:rPr>
          <w:rFonts w:cstheme="minorHAnsi"/>
          <w:sz w:val="20"/>
          <w:szCs w:val="20"/>
        </w:rPr>
      </w:pPr>
      <w:r w:rsidRPr="006E1B40">
        <w:rPr>
          <w:rFonts w:cstheme="minorHAnsi"/>
          <w:sz w:val="20"/>
          <w:szCs w:val="20"/>
          <w:u w:val="single"/>
        </w:rPr>
        <w:t xml:space="preserve">UN Women provided technical assistance to support the MWYCFA to </w:t>
      </w:r>
      <w:r w:rsidR="006F2EA5">
        <w:rPr>
          <w:rFonts w:cstheme="minorHAnsi"/>
          <w:sz w:val="20"/>
          <w:szCs w:val="20"/>
          <w:u w:val="single"/>
        </w:rPr>
        <w:t>build the capacity</w:t>
      </w:r>
      <w:r w:rsidRPr="006E1B40">
        <w:rPr>
          <w:rFonts w:cstheme="minorHAnsi"/>
          <w:sz w:val="20"/>
          <w:szCs w:val="20"/>
          <w:u w:val="single"/>
        </w:rPr>
        <w:t xml:space="preserve"> of</w:t>
      </w:r>
      <w:r w:rsidR="006F2EA5">
        <w:rPr>
          <w:rFonts w:cstheme="minorHAnsi"/>
          <w:sz w:val="20"/>
          <w:szCs w:val="20"/>
          <w:u w:val="single"/>
        </w:rPr>
        <w:t xml:space="preserve"> a</w:t>
      </w:r>
      <w:r w:rsidRPr="006E1B40">
        <w:rPr>
          <w:rFonts w:cstheme="minorHAnsi"/>
          <w:sz w:val="20"/>
          <w:szCs w:val="20"/>
          <w:u w:val="single"/>
        </w:rPr>
        <w:t xml:space="preserve"> core group of national and provincial GFPs on gender equality, VAWG, and M&amp;E in order for GFPs to carry out their role effectively</w:t>
      </w:r>
      <w:r w:rsidRPr="006E1B40">
        <w:rPr>
          <w:rFonts w:cstheme="minorHAnsi"/>
          <w:sz w:val="20"/>
          <w:szCs w:val="20"/>
        </w:rPr>
        <w:t xml:space="preserve">. </w:t>
      </w:r>
      <w:r w:rsidR="007E3DAA" w:rsidRPr="006E1B40">
        <w:rPr>
          <w:rFonts w:cstheme="minorHAnsi"/>
          <w:color w:val="000000"/>
          <w:sz w:val="20"/>
          <w:szCs w:val="20"/>
        </w:rPr>
        <w:t>One important lesson that emerged over the course of the three-year project period was that capabilities and capacities of GFPs varies significant</w:t>
      </w:r>
      <w:r w:rsidR="006F2EA5">
        <w:rPr>
          <w:rFonts w:cstheme="minorHAnsi"/>
          <w:color w:val="000000"/>
          <w:sz w:val="20"/>
          <w:szCs w:val="20"/>
        </w:rPr>
        <w:t>ly</w:t>
      </w:r>
      <w:r w:rsidR="007E3DAA" w:rsidRPr="006E1B40">
        <w:rPr>
          <w:rFonts w:cstheme="minorHAnsi"/>
          <w:color w:val="000000"/>
          <w:sz w:val="20"/>
          <w:szCs w:val="20"/>
        </w:rPr>
        <w:t xml:space="preserve"> across ministries and related departments, revealing a gap in technical support from the MWYCFA. GFPs needs range from access to effective and easy-to-deliver IEC products related to the FPA 2014 and EVAW Policy 2016-2020, through to specific technical support on developing gender aware and gender mainstreaming policies, as well more training on human rights-based and gender responsive lens from which to address budgeting and resource allocation within ministries and related departments. Among the six relevant ministries, three more capable GFPs – MHMS, MEHRD, and Ministry of Environment, Climate Change, Disaster Management and Meteorology (MECDM) – have had significant development and donor partner investment to support gender aware and gender mainstreaming policies. Ultimately, the M&amp;E process for the UN-SIG JP </w:t>
      </w:r>
      <w:r w:rsidR="008B1F52" w:rsidRPr="006E1B40">
        <w:rPr>
          <w:rFonts w:cstheme="minorHAnsi"/>
          <w:color w:val="000000"/>
          <w:sz w:val="20"/>
          <w:szCs w:val="20"/>
        </w:rPr>
        <w:t xml:space="preserve">on EVAWG </w:t>
      </w:r>
      <w:r w:rsidR="007E3DAA" w:rsidRPr="006E1B40">
        <w:rPr>
          <w:rFonts w:cstheme="minorHAnsi"/>
          <w:color w:val="000000"/>
          <w:sz w:val="20"/>
          <w:szCs w:val="20"/>
        </w:rPr>
        <w:t>highlight</w:t>
      </w:r>
      <w:r w:rsidR="008B1F52" w:rsidRPr="006E1B40">
        <w:rPr>
          <w:rFonts w:cstheme="minorHAnsi"/>
          <w:color w:val="000000"/>
          <w:sz w:val="20"/>
          <w:szCs w:val="20"/>
        </w:rPr>
        <w:t>ed</w:t>
      </w:r>
      <w:r w:rsidR="007E3DAA" w:rsidRPr="006E1B40">
        <w:rPr>
          <w:rFonts w:cstheme="minorHAnsi"/>
          <w:color w:val="000000"/>
          <w:sz w:val="20"/>
          <w:szCs w:val="20"/>
        </w:rPr>
        <w:t xml:space="preserve"> significant technical gaps</w:t>
      </w:r>
      <w:r w:rsidR="008B1F52" w:rsidRPr="006E1B40">
        <w:rPr>
          <w:rFonts w:cstheme="minorHAnsi"/>
          <w:color w:val="000000"/>
          <w:sz w:val="20"/>
          <w:szCs w:val="20"/>
        </w:rPr>
        <w:t xml:space="preserve">. </w:t>
      </w:r>
      <w:r w:rsidR="008B1F52" w:rsidRPr="006E1B40">
        <w:rPr>
          <w:rFonts w:cstheme="minorHAnsi"/>
          <w:sz w:val="20"/>
          <w:szCs w:val="20"/>
        </w:rPr>
        <w:t xml:space="preserve">In August 2017, the MWYCFA with technical assistance from UN Women conducted a one-day workshop for GFPs on the EVAW Policy and M&amp;E tools where challenges faced by GFPs were against discussed. </w:t>
      </w:r>
      <w:r w:rsidR="00C409BD" w:rsidRPr="006E1B40">
        <w:rPr>
          <w:rFonts w:cstheme="minorHAnsi"/>
          <w:sz w:val="20"/>
          <w:szCs w:val="20"/>
        </w:rPr>
        <w:t xml:space="preserve">Given the challenges faced by GFPs, the MWYCFA was </w:t>
      </w:r>
      <w:r w:rsidR="008B1F52" w:rsidRPr="006E1B40">
        <w:rPr>
          <w:rFonts w:cstheme="minorHAnsi"/>
          <w:sz w:val="20"/>
          <w:szCs w:val="20"/>
        </w:rPr>
        <w:t xml:space="preserve">planning to </w:t>
      </w:r>
      <w:r w:rsidR="00C409BD" w:rsidRPr="006E1B40">
        <w:rPr>
          <w:rFonts w:cstheme="minorHAnsi"/>
          <w:sz w:val="20"/>
          <w:szCs w:val="20"/>
        </w:rPr>
        <w:t xml:space="preserve">take steps to </w:t>
      </w:r>
      <w:r w:rsidR="008B1F52" w:rsidRPr="006E1B40">
        <w:rPr>
          <w:rFonts w:cstheme="minorHAnsi"/>
          <w:sz w:val="20"/>
          <w:szCs w:val="20"/>
        </w:rPr>
        <w:t xml:space="preserve">attempt to </w:t>
      </w:r>
      <w:r w:rsidR="00C409BD" w:rsidRPr="006E1B40">
        <w:rPr>
          <w:rFonts w:cstheme="minorHAnsi"/>
          <w:sz w:val="20"/>
          <w:szCs w:val="20"/>
        </w:rPr>
        <w:t xml:space="preserve">address some of these </w:t>
      </w:r>
      <w:r w:rsidR="008B1F52" w:rsidRPr="006E1B40">
        <w:rPr>
          <w:rFonts w:cstheme="minorHAnsi"/>
          <w:sz w:val="20"/>
          <w:szCs w:val="20"/>
        </w:rPr>
        <w:t xml:space="preserve">challenges </w:t>
      </w:r>
      <w:r w:rsidR="00C409BD" w:rsidRPr="006E1B40">
        <w:rPr>
          <w:rFonts w:cstheme="minorHAnsi"/>
          <w:sz w:val="20"/>
          <w:szCs w:val="20"/>
        </w:rPr>
        <w:t xml:space="preserve">in partnership with the SIG and relevant ministries. </w:t>
      </w:r>
    </w:p>
    <w:p w14:paraId="7D51CD7F" w14:textId="7E495898" w:rsidR="00A12E1E" w:rsidRPr="006E1B40" w:rsidRDefault="00A12E1E" w:rsidP="00A0220E">
      <w:pPr>
        <w:autoSpaceDE w:val="0"/>
        <w:autoSpaceDN w:val="0"/>
        <w:adjustRightInd w:val="0"/>
        <w:spacing w:after="0" w:line="240" w:lineRule="auto"/>
        <w:rPr>
          <w:rFonts w:cstheme="minorHAnsi"/>
          <w:sz w:val="20"/>
          <w:szCs w:val="20"/>
        </w:rPr>
      </w:pPr>
    </w:p>
    <w:p w14:paraId="66E6BD9D" w14:textId="49A40C67" w:rsidR="008B1F52" w:rsidRPr="006E1B40" w:rsidRDefault="008B1F52" w:rsidP="008B1F52">
      <w:pPr>
        <w:autoSpaceDE w:val="0"/>
        <w:autoSpaceDN w:val="0"/>
        <w:adjustRightInd w:val="0"/>
        <w:spacing w:after="0" w:line="240" w:lineRule="auto"/>
        <w:jc w:val="both"/>
        <w:rPr>
          <w:rFonts w:cstheme="minorHAnsi"/>
          <w:sz w:val="20"/>
          <w:szCs w:val="20"/>
        </w:rPr>
      </w:pPr>
      <w:r w:rsidRPr="006E1B40">
        <w:rPr>
          <w:rFonts w:cstheme="minorHAnsi"/>
          <w:b/>
          <w:sz w:val="20"/>
          <w:szCs w:val="20"/>
        </w:rPr>
        <w:t>Outcome 2 was focused on building the capacities of frontline service providers to deliver essential services to VAWG survivors, and in a more coordinated manner</w:t>
      </w:r>
      <w:r w:rsidRPr="006E1B40">
        <w:rPr>
          <w:rFonts w:cstheme="minorHAnsi"/>
          <w:sz w:val="20"/>
          <w:szCs w:val="20"/>
        </w:rPr>
        <w:t>. There were two outputs related to Outcome 2, including: Output 2.1 that frontline service providers have strengthened coordination for effective referral and case management; and Output 2.2 that health service providers understand and follow new and improved protocols with regard to responding to the needs of survivors of VAWG.</w:t>
      </w:r>
    </w:p>
    <w:p w14:paraId="516C2463" w14:textId="77777777" w:rsidR="008B1F52" w:rsidRPr="006E1B40" w:rsidRDefault="008B1F52" w:rsidP="008B1F52">
      <w:pPr>
        <w:pStyle w:val="Default"/>
        <w:ind w:right="288"/>
        <w:jc w:val="both"/>
        <w:rPr>
          <w:rFonts w:asciiTheme="minorHAnsi" w:hAnsiTheme="minorHAnsi" w:cstheme="minorHAnsi"/>
          <w:b/>
          <w:sz w:val="20"/>
          <w:szCs w:val="20"/>
        </w:rPr>
      </w:pPr>
    </w:p>
    <w:p w14:paraId="7353046D" w14:textId="2D4224F6" w:rsidR="008B1F52" w:rsidRPr="006E1B40" w:rsidRDefault="008B1F52" w:rsidP="008B1F52">
      <w:pPr>
        <w:autoSpaceDE w:val="0"/>
        <w:autoSpaceDN w:val="0"/>
        <w:adjustRightInd w:val="0"/>
        <w:spacing w:after="0" w:line="240" w:lineRule="auto"/>
        <w:jc w:val="both"/>
        <w:rPr>
          <w:rFonts w:cstheme="minorHAnsi"/>
          <w:sz w:val="20"/>
          <w:szCs w:val="20"/>
        </w:rPr>
      </w:pPr>
      <w:r w:rsidRPr="006E1B40">
        <w:rPr>
          <w:rFonts w:cstheme="minorHAnsi"/>
          <w:sz w:val="20"/>
          <w:szCs w:val="20"/>
        </w:rPr>
        <w:t xml:space="preserve">In keeping with Output </w:t>
      </w:r>
      <w:r w:rsidR="00327084" w:rsidRPr="006E1B40">
        <w:rPr>
          <w:rFonts w:cstheme="minorHAnsi"/>
          <w:sz w:val="20"/>
          <w:szCs w:val="20"/>
        </w:rPr>
        <w:t>2</w:t>
      </w:r>
      <w:r w:rsidRPr="006E1B40">
        <w:rPr>
          <w:rFonts w:cstheme="minorHAnsi"/>
          <w:sz w:val="20"/>
          <w:szCs w:val="20"/>
        </w:rPr>
        <w:t xml:space="preserve">.1, during the three-year project period, UN-SIG JP members engaged in </w:t>
      </w:r>
      <w:r w:rsidR="00D32C2E" w:rsidRPr="006E1B40">
        <w:rPr>
          <w:rFonts w:cstheme="minorHAnsi"/>
          <w:sz w:val="20"/>
          <w:szCs w:val="20"/>
        </w:rPr>
        <w:t xml:space="preserve">and made progress on </w:t>
      </w:r>
      <w:r w:rsidRPr="006E1B40">
        <w:rPr>
          <w:rFonts w:cstheme="minorHAnsi"/>
          <w:sz w:val="20"/>
          <w:szCs w:val="20"/>
        </w:rPr>
        <w:t xml:space="preserve">three key activities: </w:t>
      </w:r>
    </w:p>
    <w:p w14:paraId="0955705E" w14:textId="6183E5EC" w:rsidR="008B1F52" w:rsidRPr="006E1B40" w:rsidRDefault="008B1F52" w:rsidP="008B1F52">
      <w:pPr>
        <w:autoSpaceDE w:val="0"/>
        <w:autoSpaceDN w:val="0"/>
        <w:adjustRightInd w:val="0"/>
        <w:spacing w:after="0" w:line="240" w:lineRule="auto"/>
        <w:jc w:val="both"/>
        <w:rPr>
          <w:rFonts w:cstheme="minorHAnsi"/>
          <w:sz w:val="20"/>
          <w:szCs w:val="20"/>
        </w:rPr>
      </w:pPr>
    </w:p>
    <w:p w14:paraId="321EA8AB" w14:textId="0417B374" w:rsidR="00D32C2E" w:rsidRPr="00B70BFF" w:rsidRDefault="008B1F52" w:rsidP="006B67B7">
      <w:pPr>
        <w:pStyle w:val="NormalWeb"/>
        <w:numPr>
          <w:ilvl w:val="0"/>
          <w:numId w:val="28"/>
        </w:numPr>
        <w:shd w:val="clear" w:color="auto" w:fill="FFFFFF"/>
        <w:autoSpaceDE w:val="0"/>
        <w:autoSpaceDN w:val="0"/>
        <w:adjustRightInd w:val="0"/>
        <w:spacing w:before="0" w:beforeAutospacing="0" w:after="0" w:afterAutospacing="0"/>
        <w:jc w:val="both"/>
        <w:rPr>
          <w:rFonts w:cstheme="minorHAnsi"/>
          <w:sz w:val="20"/>
          <w:szCs w:val="20"/>
        </w:rPr>
      </w:pPr>
      <w:bookmarkStart w:id="2" w:name="_GoBack"/>
      <w:r w:rsidRPr="00B70BFF">
        <w:rPr>
          <w:rFonts w:asciiTheme="minorHAnsi" w:hAnsiTheme="minorHAnsi" w:cstheme="minorHAnsi"/>
          <w:sz w:val="20"/>
          <w:szCs w:val="20"/>
          <w:u w:val="single"/>
        </w:rPr>
        <w:t>Provide technical support for monitoring the coordination and implementation of SAFEN</w:t>
      </w:r>
      <w:r w:rsidR="00327084" w:rsidRPr="00B70BFF">
        <w:rPr>
          <w:rFonts w:asciiTheme="minorHAnsi" w:hAnsiTheme="minorHAnsi" w:cstheme="minorHAnsi"/>
          <w:sz w:val="20"/>
          <w:szCs w:val="20"/>
          <w:u w:val="single"/>
        </w:rPr>
        <w:t>E</w:t>
      </w:r>
      <w:r w:rsidRPr="00B70BFF">
        <w:rPr>
          <w:rFonts w:asciiTheme="minorHAnsi" w:hAnsiTheme="minorHAnsi" w:cstheme="minorHAnsi"/>
          <w:sz w:val="20"/>
          <w:szCs w:val="20"/>
          <w:u w:val="single"/>
        </w:rPr>
        <w:t>T MOU and protocol</w:t>
      </w:r>
      <w:r w:rsidRPr="00B70BFF">
        <w:rPr>
          <w:rFonts w:asciiTheme="minorHAnsi" w:hAnsiTheme="minorHAnsi" w:cstheme="minorHAnsi"/>
          <w:sz w:val="20"/>
          <w:szCs w:val="20"/>
        </w:rPr>
        <w:t>.</w:t>
      </w:r>
      <w:r w:rsidR="00327084" w:rsidRPr="00B70BFF">
        <w:rPr>
          <w:rFonts w:asciiTheme="minorHAnsi" w:hAnsiTheme="minorHAnsi" w:cstheme="minorHAnsi"/>
          <w:sz w:val="20"/>
          <w:szCs w:val="20"/>
        </w:rPr>
        <w:t xml:space="preserve"> </w:t>
      </w:r>
      <w:r w:rsidR="00D32C2E" w:rsidRPr="00B70BFF">
        <w:rPr>
          <w:rFonts w:asciiTheme="minorHAnsi" w:hAnsiTheme="minorHAnsi" w:cstheme="minorHAnsi"/>
          <w:sz w:val="20"/>
          <w:szCs w:val="20"/>
        </w:rPr>
        <w:t xml:space="preserve">In 2016 and 2017, UN Women also provided technical assistance to </w:t>
      </w:r>
      <w:r w:rsidR="00B70BFF" w:rsidRPr="00B70BFF">
        <w:rPr>
          <w:rFonts w:asciiTheme="minorHAnsi" w:hAnsiTheme="minorHAnsi" w:cstheme="minorHAnsi"/>
          <w:sz w:val="20"/>
          <w:szCs w:val="20"/>
        </w:rPr>
        <w:t xml:space="preserve">SIG to </w:t>
      </w:r>
      <w:r w:rsidR="00D32C2E" w:rsidRPr="00B70BFF">
        <w:rPr>
          <w:rFonts w:asciiTheme="minorHAnsi" w:hAnsiTheme="minorHAnsi" w:cstheme="minorHAnsi"/>
          <w:sz w:val="20"/>
          <w:szCs w:val="20"/>
        </w:rPr>
        <w:t>strengthen the capacity of SAFENET members</w:t>
      </w:r>
      <w:r w:rsidR="00B70BFF" w:rsidRPr="00B70BFF">
        <w:rPr>
          <w:rFonts w:asciiTheme="minorHAnsi" w:hAnsiTheme="minorHAnsi" w:cstheme="minorHAnsi"/>
          <w:sz w:val="20"/>
          <w:szCs w:val="20"/>
        </w:rPr>
        <w:t xml:space="preserve"> (a national GBV response and referral network)</w:t>
      </w:r>
      <w:r w:rsidR="00D32C2E" w:rsidRPr="00B70BFF">
        <w:rPr>
          <w:rFonts w:asciiTheme="minorHAnsi" w:hAnsiTheme="minorHAnsi" w:cstheme="minorHAnsi"/>
          <w:sz w:val="20"/>
          <w:szCs w:val="20"/>
        </w:rPr>
        <w:t xml:space="preserve"> to deliver </w:t>
      </w:r>
      <w:r w:rsidR="00B70BFF" w:rsidRPr="00B70BFF">
        <w:rPr>
          <w:rFonts w:asciiTheme="minorHAnsi" w:hAnsiTheme="minorHAnsi" w:cstheme="minorHAnsi"/>
          <w:sz w:val="20"/>
          <w:szCs w:val="20"/>
        </w:rPr>
        <w:t xml:space="preserve">survivor centered </w:t>
      </w:r>
      <w:r w:rsidR="00D32C2E" w:rsidRPr="00B70BFF">
        <w:rPr>
          <w:rFonts w:asciiTheme="minorHAnsi" w:hAnsiTheme="minorHAnsi" w:cstheme="minorHAnsi"/>
          <w:sz w:val="20"/>
          <w:szCs w:val="20"/>
        </w:rPr>
        <w:t xml:space="preserve">VAWG </w:t>
      </w:r>
      <w:r w:rsidR="00B70BFF" w:rsidRPr="00B70BFF">
        <w:rPr>
          <w:rFonts w:asciiTheme="minorHAnsi" w:hAnsiTheme="minorHAnsi" w:cstheme="minorHAnsi"/>
          <w:sz w:val="20"/>
          <w:szCs w:val="20"/>
        </w:rPr>
        <w:t xml:space="preserve"> </w:t>
      </w:r>
      <w:r w:rsidR="00D32C2E" w:rsidRPr="00B70BFF">
        <w:rPr>
          <w:rFonts w:asciiTheme="minorHAnsi" w:hAnsiTheme="minorHAnsi" w:cstheme="minorHAnsi"/>
          <w:sz w:val="20"/>
          <w:szCs w:val="20"/>
        </w:rPr>
        <w:t xml:space="preserve">services, including case management services </w:t>
      </w:r>
      <w:r w:rsidR="00B70BFF" w:rsidRPr="00B70BFF">
        <w:rPr>
          <w:rFonts w:asciiTheme="minorHAnsi" w:hAnsiTheme="minorHAnsi" w:cstheme="minorHAnsi"/>
          <w:sz w:val="20"/>
          <w:szCs w:val="20"/>
        </w:rPr>
        <w:t xml:space="preserve"> </w:t>
      </w:r>
      <w:r w:rsidR="00D32C2E" w:rsidRPr="00B70BFF">
        <w:rPr>
          <w:rFonts w:asciiTheme="minorHAnsi" w:hAnsiTheme="minorHAnsi" w:cstheme="minorHAnsi"/>
          <w:sz w:val="20"/>
          <w:szCs w:val="20"/>
        </w:rPr>
        <w:t xml:space="preserve"> and a formal referral system. This technical assistance led to the </w:t>
      </w:r>
      <w:r w:rsidR="00D32C2E" w:rsidRPr="00B70BFF">
        <w:rPr>
          <w:rFonts w:asciiTheme="minorHAnsi" w:eastAsiaTheme="minorHAnsi" w:hAnsiTheme="minorHAnsi" w:cstheme="minorHAnsi"/>
          <w:sz w:val="20"/>
          <w:szCs w:val="20"/>
          <w:lang w:val="en-NZ"/>
        </w:rPr>
        <w:t xml:space="preserve">development of </w:t>
      </w:r>
      <w:r w:rsidR="00B70BFF" w:rsidRPr="00B70BFF">
        <w:rPr>
          <w:rFonts w:asciiTheme="minorHAnsi" w:eastAsiaTheme="minorHAnsi" w:hAnsiTheme="minorHAnsi" w:cstheme="minorHAnsi"/>
          <w:sz w:val="20"/>
          <w:szCs w:val="20"/>
          <w:lang w:val="en-NZ"/>
        </w:rPr>
        <w:t xml:space="preserve">Minimum Standards and Standard Operating Procedures for referral and coordination of GBV services. A referral pathway ws agreed by all stakeholders. This TA lead to the </w:t>
      </w:r>
      <w:r w:rsidR="00B70BFF" w:rsidRPr="00B70BFF">
        <w:rPr>
          <w:rFonts w:asciiTheme="minorHAnsi" w:eastAsiaTheme="minorHAnsi" w:hAnsiTheme="minorHAnsi" w:cstheme="minorHAnsi"/>
          <w:sz w:val="20"/>
          <w:szCs w:val="20"/>
          <w:lang w:val="en-NZ"/>
        </w:rPr>
        <w:lastRenderedPageBreak/>
        <w:t>revision of the MOU between all frontline service providers to reflect the 2014 FPA</w:t>
      </w:r>
      <w:r w:rsidR="00D32C2E" w:rsidRPr="00B70BFF">
        <w:rPr>
          <w:rFonts w:asciiTheme="minorHAnsi" w:hAnsiTheme="minorHAnsi" w:cstheme="minorHAnsi"/>
          <w:sz w:val="20"/>
          <w:szCs w:val="20"/>
        </w:rPr>
        <w:t>. In 2017, UN Women provid</w:t>
      </w:r>
      <w:r w:rsidR="00B70BFF">
        <w:rPr>
          <w:rFonts w:asciiTheme="minorHAnsi" w:hAnsiTheme="minorHAnsi" w:cstheme="minorHAnsi"/>
          <w:sz w:val="20"/>
          <w:szCs w:val="20"/>
        </w:rPr>
        <w:t xml:space="preserve">ed </w:t>
      </w:r>
      <w:r w:rsidR="00D32C2E" w:rsidRPr="00B70BFF">
        <w:rPr>
          <w:rFonts w:asciiTheme="minorHAnsi" w:hAnsiTheme="minorHAnsi" w:cstheme="minorHAnsi"/>
          <w:sz w:val="20"/>
          <w:szCs w:val="20"/>
        </w:rPr>
        <w:t xml:space="preserve"> technical assistance to the SAFENET Referral Network and</w:t>
      </w:r>
      <w:r w:rsidR="00B70BFF">
        <w:rPr>
          <w:rFonts w:asciiTheme="minorHAnsi" w:hAnsiTheme="minorHAnsi" w:cstheme="minorHAnsi"/>
          <w:sz w:val="20"/>
          <w:szCs w:val="20"/>
        </w:rPr>
        <w:t xml:space="preserve"> its members </w:t>
      </w:r>
      <w:r w:rsidR="00D32C2E" w:rsidRPr="00B70BFF">
        <w:rPr>
          <w:rFonts w:asciiTheme="minorHAnsi" w:hAnsiTheme="minorHAnsi" w:cstheme="minorHAnsi"/>
          <w:sz w:val="20"/>
          <w:szCs w:val="20"/>
        </w:rPr>
        <w:t xml:space="preserve"> FSC to develop their capacities </w:t>
      </w:r>
      <w:r w:rsidR="00B70BFF">
        <w:rPr>
          <w:rFonts w:asciiTheme="minorHAnsi" w:hAnsiTheme="minorHAnsi" w:cstheme="minorHAnsi"/>
          <w:sz w:val="20"/>
          <w:szCs w:val="20"/>
        </w:rPr>
        <w:t xml:space="preserve"> </w:t>
      </w:r>
      <w:r w:rsidR="00D32C2E" w:rsidRPr="00B70BFF">
        <w:rPr>
          <w:rFonts w:asciiTheme="minorHAnsi" w:hAnsiTheme="minorHAnsi" w:cstheme="minorHAnsi"/>
          <w:sz w:val="20"/>
          <w:szCs w:val="20"/>
        </w:rPr>
        <w:t xml:space="preserve"> case management </w:t>
      </w:r>
      <w:r w:rsidR="00B70BFF">
        <w:rPr>
          <w:rFonts w:asciiTheme="minorHAnsi" w:hAnsiTheme="minorHAnsi" w:cstheme="minorHAnsi"/>
          <w:sz w:val="20"/>
          <w:szCs w:val="20"/>
        </w:rPr>
        <w:t>capacities</w:t>
      </w:r>
      <w:r w:rsidR="00D32C2E" w:rsidRPr="00B70BFF">
        <w:rPr>
          <w:rFonts w:asciiTheme="minorHAnsi" w:hAnsiTheme="minorHAnsi" w:cstheme="minorHAnsi"/>
          <w:sz w:val="20"/>
          <w:szCs w:val="20"/>
        </w:rPr>
        <w:t xml:space="preserve">. </w:t>
      </w:r>
    </w:p>
    <w:bookmarkEnd w:id="2"/>
    <w:p w14:paraId="2A4234FD" w14:textId="1C0BAA60" w:rsidR="00D32C2E" w:rsidRPr="006E1B40" w:rsidRDefault="008B1F52" w:rsidP="009A158D">
      <w:pPr>
        <w:pStyle w:val="ListParagraph"/>
        <w:numPr>
          <w:ilvl w:val="0"/>
          <w:numId w:val="28"/>
        </w:numPr>
        <w:autoSpaceDE w:val="0"/>
        <w:autoSpaceDN w:val="0"/>
        <w:adjustRightInd w:val="0"/>
        <w:spacing w:after="0" w:line="240" w:lineRule="auto"/>
        <w:jc w:val="both"/>
        <w:rPr>
          <w:rFonts w:cstheme="minorHAnsi"/>
          <w:sz w:val="20"/>
          <w:szCs w:val="20"/>
        </w:rPr>
      </w:pPr>
      <w:r w:rsidRPr="006E1B40">
        <w:rPr>
          <w:rFonts w:cstheme="minorHAnsi"/>
          <w:sz w:val="20"/>
          <w:szCs w:val="20"/>
          <w:u w:val="single"/>
        </w:rPr>
        <w:t>Strengthen data collection and analysis of SAFENET for use by police, judiciary health, and social welfare, including case management and data sharing on VAWG</w:t>
      </w:r>
      <w:r w:rsidRPr="006E1B40">
        <w:rPr>
          <w:rFonts w:cstheme="minorHAnsi"/>
          <w:sz w:val="20"/>
          <w:szCs w:val="20"/>
        </w:rPr>
        <w:t>.</w:t>
      </w:r>
      <w:r w:rsidR="00D32C2E" w:rsidRPr="006E1B40">
        <w:rPr>
          <w:rFonts w:cstheme="minorHAnsi"/>
          <w:sz w:val="20"/>
          <w:szCs w:val="20"/>
        </w:rPr>
        <w:t xml:space="preserve"> </w:t>
      </w:r>
      <w:r w:rsidR="00B70BFF">
        <w:rPr>
          <w:rFonts w:cstheme="minorHAnsi"/>
          <w:sz w:val="20"/>
          <w:szCs w:val="20"/>
        </w:rPr>
        <w:t xml:space="preserve"> </w:t>
      </w:r>
      <w:r w:rsidR="00D32C2E" w:rsidRPr="006E1B40">
        <w:rPr>
          <w:rFonts w:cstheme="minorHAnsi"/>
          <w:sz w:val="20"/>
          <w:szCs w:val="20"/>
        </w:rPr>
        <w:t>UN Women</w:t>
      </w:r>
      <w:r w:rsidR="00B70BFF">
        <w:rPr>
          <w:rFonts w:cstheme="minorHAnsi"/>
          <w:sz w:val="20"/>
          <w:szCs w:val="20"/>
        </w:rPr>
        <w:t xml:space="preserve"> provided technical assistance to</w:t>
      </w:r>
      <w:r w:rsidR="00B70BFF" w:rsidRPr="006E1B40">
        <w:rPr>
          <w:rFonts w:cstheme="minorHAnsi"/>
          <w:sz w:val="20"/>
          <w:szCs w:val="20"/>
        </w:rPr>
        <w:t xml:space="preserve"> </w:t>
      </w:r>
      <w:r w:rsidR="00D32C2E" w:rsidRPr="006E1B40">
        <w:rPr>
          <w:rFonts w:cstheme="minorHAnsi"/>
          <w:sz w:val="20"/>
          <w:szCs w:val="20"/>
        </w:rPr>
        <w:t>the SAFENET Referral Network</w:t>
      </w:r>
      <w:r w:rsidR="001A3DBA">
        <w:rPr>
          <w:rFonts w:cstheme="minorHAnsi"/>
          <w:sz w:val="20"/>
          <w:szCs w:val="20"/>
        </w:rPr>
        <w:t xml:space="preserve"> </w:t>
      </w:r>
      <w:r w:rsidR="00D32C2E" w:rsidRPr="006E1B40">
        <w:rPr>
          <w:rFonts w:cstheme="minorHAnsi"/>
          <w:sz w:val="20"/>
          <w:szCs w:val="20"/>
        </w:rPr>
        <w:t xml:space="preserve">to collect and compile monthly VAWG administrative data from each of the three CSO service providers, SWD, eight health clinics, the RSIPF Domestic Violence Unit and Sexual Violence Unit, and the PSO. This was a significant accomplishment as monthly VAWG administrative data was systematically collected for 33 months (January 2015 – September 2017) of the 36-month or three-year project period (January 2015 – December 2017). VAWG administrative data that was collected was extensive, including:  number of hotline class related to VAWG and by type of caller; number of women and girls accessing VAWG services and by type of VAWG and service provider; number of women and girls accessing shelter for VAWG and by type of VAWG and service provider; number of domestic violence incidents registered by the police in Honiara and by province; number of PSNs issued by the police in Honiara and by province; number of sexual violence cases handlined by the Sexual Assault/Rape Unit and by type of sexual violence; number of sexual violence victims handlined by the Sexual Assault/Rape Unit by gender and age grouping; number of restraining orders issued to VAWG survivors; number of women and girls who sought medical care for VAWG-related injuries by type of VAWG and health clinic; and, number of VAWG survivors referred to/from agencies/organisations/centres. </w:t>
      </w:r>
    </w:p>
    <w:p w14:paraId="48F7A25B" w14:textId="77777777" w:rsidR="00D32C2E" w:rsidRPr="006E1B40" w:rsidRDefault="00D32C2E" w:rsidP="00D32C2E">
      <w:pPr>
        <w:pStyle w:val="Default"/>
        <w:jc w:val="both"/>
        <w:rPr>
          <w:rFonts w:asciiTheme="minorHAnsi" w:hAnsiTheme="minorHAnsi" w:cstheme="minorHAnsi"/>
          <w:sz w:val="20"/>
          <w:szCs w:val="20"/>
        </w:rPr>
      </w:pPr>
    </w:p>
    <w:p w14:paraId="74D4C797" w14:textId="2F874E3A" w:rsidR="00D32C2E" w:rsidRPr="006E1B40" w:rsidRDefault="00D32C2E" w:rsidP="00D32C2E">
      <w:pPr>
        <w:pStyle w:val="ListParagraph"/>
        <w:autoSpaceDE w:val="0"/>
        <w:autoSpaceDN w:val="0"/>
        <w:adjustRightInd w:val="0"/>
        <w:spacing w:after="0" w:line="240" w:lineRule="auto"/>
        <w:ind w:left="360"/>
        <w:jc w:val="both"/>
        <w:rPr>
          <w:rFonts w:cstheme="minorHAnsi"/>
          <w:sz w:val="20"/>
          <w:szCs w:val="20"/>
        </w:rPr>
      </w:pPr>
    </w:p>
    <w:p w14:paraId="283CA0B8" w14:textId="043CE5E5" w:rsidR="006E1B40" w:rsidRPr="006E1B40" w:rsidRDefault="006E1B40" w:rsidP="00D52B70">
      <w:pPr>
        <w:pStyle w:val="Default"/>
        <w:ind w:left="360"/>
        <w:jc w:val="both"/>
        <w:rPr>
          <w:rFonts w:asciiTheme="minorHAnsi" w:hAnsiTheme="minorHAnsi" w:cstheme="minorHAnsi"/>
          <w:sz w:val="20"/>
          <w:szCs w:val="20"/>
        </w:rPr>
      </w:pPr>
    </w:p>
    <w:p w14:paraId="2F4C2C74" w14:textId="7F9F88E3" w:rsidR="006E1B40" w:rsidRPr="006E1B40" w:rsidRDefault="006E1B40" w:rsidP="00D52B70">
      <w:pPr>
        <w:pStyle w:val="Default"/>
        <w:ind w:left="360"/>
        <w:jc w:val="both"/>
        <w:rPr>
          <w:rFonts w:asciiTheme="minorHAnsi" w:hAnsiTheme="minorHAnsi" w:cstheme="minorHAnsi"/>
          <w:sz w:val="20"/>
          <w:szCs w:val="20"/>
        </w:rPr>
      </w:pPr>
      <w:r w:rsidRPr="006E1B40">
        <w:rPr>
          <w:rFonts w:asciiTheme="minorHAnsi" w:hAnsiTheme="minorHAnsi" w:cstheme="minorHAnsi"/>
          <w:sz w:val="20"/>
          <w:szCs w:val="20"/>
        </w:rPr>
        <w:t>In 2017, the MHMS also began to collect VAWG related data from health clinics and the hospitals in their Health Information Management System.</w:t>
      </w:r>
    </w:p>
    <w:p w14:paraId="74D0D871" w14:textId="77777777" w:rsidR="00D52B70" w:rsidRPr="006E1B40" w:rsidRDefault="00D52B70" w:rsidP="00D32C2E">
      <w:pPr>
        <w:pStyle w:val="ListParagraph"/>
        <w:autoSpaceDE w:val="0"/>
        <w:autoSpaceDN w:val="0"/>
        <w:adjustRightInd w:val="0"/>
        <w:spacing w:after="0" w:line="240" w:lineRule="auto"/>
        <w:ind w:left="360"/>
        <w:jc w:val="both"/>
        <w:rPr>
          <w:rFonts w:cstheme="minorHAnsi"/>
          <w:sz w:val="20"/>
          <w:szCs w:val="20"/>
        </w:rPr>
      </w:pPr>
    </w:p>
    <w:p w14:paraId="72F73709" w14:textId="2D061D78" w:rsidR="00D32C2E" w:rsidRPr="006E1B40" w:rsidRDefault="008B1F52" w:rsidP="00D52B70">
      <w:pPr>
        <w:pStyle w:val="ListParagraph"/>
        <w:numPr>
          <w:ilvl w:val="0"/>
          <w:numId w:val="28"/>
        </w:numPr>
        <w:autoSpaceDE w:val="0"/>
        <w:autoSpaceDN w:val="0"/>
        <w:adjustRightInd w:val="0"/>
        <w:spacing w:after="0" w:line="240" w:lineRule="auto"/>
        <w:jc w:val="both"/>
        <w:rPr>
          <w:rFonts w:cstheme="minorHAnsi"/>
          <w:color w:val="000000"/>
          <w:sz w:val="20"/>
          <w:szCs w:val="20"/>
        </w:rPr>
      </w:pPr>
      <w:r w:rsidRPr="006E1B40">
        <w:rPr>
          <w:rFonts w:cstheme="minorHAnsi"/>
          <w:sz w:val="20"/>
          <w:szCs w:val="20"/>
          <w:u w:val="single"/>
        </w:rPr>
        <w:t>Support development of a comprehensive training package of multi-sectoral response of VAWG for frontline service providers (for FPA and SAFENET) and training for frontline service providers</w:t>
      </w:r>
      <w:r w:rsidRPr="006E1B40">
        <w:rPr>
          <w:rFonts w:cstheme="minorHAnsi"/>
          <w:sz w:val="20"/>
          <w:szCs w:val="20"/>
        </w:rPr>
        <w:t>.</w:t>
      </w:r>
      <w:r w:rsidR="00D32C2E" w:rsidRPr="006E1B40">
        <w:rPr>
          <w:rFonts w:cstheme="minorHAnsi"/>
          <w:sz w:val="20"/>
          <w:szCs w:val="20"/>
        </w:rPr>
        <w:t xml:space="preserve"> </w:t>
      </w:r>
      <w:r w:rsidR="00D32C2E" w:rsidRPr="006E1B40">
        <w:rPr>
          <w:rFonts w:cstheme="minorHAnsi"/>
          <w:color w:val="000000"/>
          <w:sz w:val="20"/>
          <w:szCs w:val="20"/>
        </w:rPr>
        <w:t>UN Women, UNFPA, and the WHO provided technical expertise and support to the SAFENET Referral Network members and affiliates, including frontline service providers, health workers, police, and justice officials to improve the delivery of coordinated, essential services to VAWG survivors</w:t>
      </w:r>
      <w:r w:rsidR="009A158D" w:rsidRPr="006E1B40">
        <w:rPr>
          <w:rFonts w:cstheme="minorHAnsi"/>
          <w:color w:val="000000"/>
          <w:sz w:val="20"/>
          <w:szCs w:val="20"/>
        </w:rPr>
        <w:t xml:space="preserve">. Trainings were aligned with a </w:t>
      </w:r>
      <w:r w:rsidR="00D32C2E" w:rsidRPr="006E1B40">
        <w:rPr>
          <w:rFonts w:cstheme="minorHAnsi"/>
          <w:color w:val="000000"/>
          <w:sz w:val="20"/>
          <w:szCs w:val="20"/>
        </w:rPr>
        <w:t xml:space="preserve">vision for enhanced multi-sectoral service delivery, including </w:t>
      </w:r>
      <w:r w:rsidR="009A158D" w:rsidRPr="006E1B40">
        <w:rPr>
          <w:rFonts w:cstheme="minorHAnsi"/>
          <w:color w:val="000000"/>
          <w:sz w:val="20"/>
          <w:szCs w:val="20"/>
        </w:rPr>
        <w:t xml:space="preserve">implementation of an agreed upon formal </w:t>
      </w:r>
      <w:r w:rsidR="00D32C2E" w:rsidRPr="006E1B40">
        <w:rPr>
          <w:rFonts w:cstheme="minorHAnsi"/>
          <w:color w:val="000000"/>
          <w:sz w:val="20"/>
          <w:szCs w:val="20"/>
        </w:rPr>
        <w:t>case management framework and referral system</w:t>
      </w:r>
      <w:r w:rsidR="009A158D" w:rsidRPr="006E1B40">
        <w:rPr>
          <w:rFonts w:cstheme="minorHAnsi"/>
          <w:color w:val="000000"/>
          <w:sz w:val="20"/>
          <w:szCs w:val="20"/>
        </w:rPr>
        <w:t>, and minimum standards of care and victim-centred approach to service delivery</w:t>
      </w:r>
      <w:r w:rsidR="00D32C2E" w:rsidRPr="006E1B40">
        <w:rPr>
          <w:rFonts w:cstheme="minorHAnsi"/>
          <w:color w:val="000000"/>
          <w:sz w:val="20"/>
          <w:szCs w:val="20"/>
        </w:rPr>
        <w:t xml:space="preserve">. </w:t>
      </w:r>
    </w:p>
    <w:p w14:paraId="130D825D" w14:textId="43D14A1B" w:rsidR="009A158D" w:rsidRPr="006E1B40" w:rsidRDefault="009A158D" w:rsidP="00327084">
      <w:pPr>
        <w:autoSpaceDE w:val="0"/>
        <w:autoSpaceDN w:val="0"/>
        <w:adjustRightInd w:val="0"/>
        <w:spacing w:after="0" w:line="240" w:lineRule="auto"/>
        <w:jc w:val="both"/>
        <w:rPr>
          <w:rFonts w:cstheme="minorHAnsi"/>
          <w:sz w:val="20"/>
          <w:szCs w:val="20"/>
        </w:rPr>
      </w:pPr>
    </w:p>
    <w:p w14:paraId="0CB216B1" w14:textId="46947284" w:rsidR="0080152D" w:rsidRPr="006E1B40" w:rsidRDefault="0080152D" w:rsidP="0080152D">
      <w:pPr>
        <w:autoSpaceDE w:val="0"/>
        <w:autoSpaceDN w:val="0"/>
        <w:adjustRightInd w:val="0"/>
        <w:spacing w:after="0" w:line="240" w:lineRule="auto"/>
        <w:ind w:left="360" w:right="288"/>
        <w:jc w:val="both"/>
        <w:rPr>
          <w:rFonts w:cstheme="minorHAnsi"/>
          <w:color w:val="000000"/>
          <w:sz w:val="20"/>
          <w:szCs w:val="20"/>
        </w:rPr>
      </w:pPr>
      <w:r w:rsidRPr="006E1B40">
        <w:rPr>
          <w:rFonts w:cstheme="minorHAnsi"/>
          <w:color w:val="000000"/>
          <w:sz w:val="20"/>
          <w:szCs w:val="20"/>
        </w:rPr>
        <w:t>UN Women and the WHO supported the SAFENET Referral Network by progressing key steps from SAFENET technical input, including a case management framework and formal referral system. Both UN Women and the WHO worked with the Family Support Centre (FSC) to review current practices and identify resource and capacity gaps, and to develop competency-based protocols to integrate survivor-centred case management services into its existing services. In addition to foundational skills in psychological first-aid, basic counselling, and ethics/professionalism, the case management competencies include: informed consent; intake/risk assessment; safety planning; empowerment counselling; action planning; advocacy; and, caseload management. Support also included initial database development to support monitoring and reporting of outcomes on case management activities. Results of the review of current FSC practices and steps for alignment with a case management framework to the FSC Board of Directors in 2017. This was coupled with parallel efforts to mobilize additional funding to stage a pilot roll out of the case management framework through the Family Support Centre and the formal referral pathway agreed upon by the SAFENET Referral Network. A new UN-SIG JP on ESP was established to implement this three-year pilot project (2017-2019) to deliver ESP.</w:t>
      </w:r>
    </w:p>
    <w:p w14:paraId="4F14C686" w14:textId="77777777" w:rsidR="0080152D" w:rsidRPr="006E1B40" w:rsidRDefault="0080152D" w:rsidP="00327084">
      <w:pPr>
        <w:autoSpaceDE w:val="0"/>
        <w:autoSpaceDN w:val="0"/>
        <w:adjustRightInd w:val="0"/>
        <w:spacing w:after="0" w:line="240" w:lineRule="auto"/>
        <w:jc w:val="both"/>
        <w:rPr>
          <w:rFonts w:cstheme="minorHAnsi"/>
          <w:sz w:val="20"/>
          <w:szCs w:val="20"/>
        </w:rPr>
      </w:pPr>
    </w:p>
    <w:p w14:paraId="5517B0C0" w14:textId="337D31CC" w:rsidR="00327084" w:rsidRPr="006E1B40" w:rsidRDefault="00327084" w:rsidP="00327084">
      <w:pPr>
        <w:autoSpaceDE w:val="0"/>
        <w:autoSpaceDN w:val="0"/>
        <w:adjustRightInd w:val="0"/>
        <w:spacing w:after="0" w:line="240" w:lineRule="auto"/>
        <w:jc w:val="both"/>
        <w:rPr>
          <w:rFonts w:cstheme="minorHAnsi"/>
          <w:sz w:val="20"/>
          <w:szCs w:val="20"/>
        </w:rPr>
      </w:pPr>
      <w:r w:rsidRPr="006E1B40">
        <w:rPr>
          <w:rFonts w:cstheme="minorHAnsi"/>
          <w:sz w:val="20"/>
          <w:szCs w:val="20"/>
        </w:rPr>
        <w:t>In keeping with Output 2.</w:t>
      </w:r>
      <w:r w:rsidR="009A158D" w:rsidRPr="006E1B40">
        <w:rPr>
          <w:rFonts w:cstheme="minorHAnsi"/>
          <w:sz w:val="20"/>
          <w:szCs w:val="20"/>
        </w:rPr>
        <w:t>2</w:t>
      </w:r>
      <w:r w:rsidRPr="006E1B40">
        <w:rPr>
          <w:rFonts w:cstheme="minorHAnsi"/>
          <w:sz w:val="20"/>
          <w:szCs w:val="20"/>
        </w:rPr>
        <w:t xml:space="preserve">, during the three-year project period, UN-SIG JP members engaged in </w:t>
      </w:r>
      <w:r w:rsidR="00D32C2E" w:rsidRPr="006E1B40">
        <w:rPr>
          <w:rFonts w:cstheme="minorHAnsi"/>
          <w:sz w:val="20"/>
          <w:szCs w:val="20"/>
        </w:rPr>
        <w:t xml:space="preserve">and made progress on </w:t>
      </w:r>
      <w:r w:rsidRPr="006E1B40">
        <w:rPr>
          <w:rFonts w:cstheme="minorHAnsi"/>
          <w:sz w:val="20"/>
          <w:szCs w:val="20"/>
        </w:rPr>
        <w:t>t</w:t>
      </w:r>
      <w:r w:rsidR="009A158D" w:rsidRPr="006E1B40">
        <w:rPr>
          <w:rFonts w:cstheme="minorHAnsi"/>
          <w:sz w:val="20"/>
          <w:szCs w:val="20"/>
        </w:rPr>
        <w:t xml:space="preserve">hree </w:t>
      </w:r>
      <w:r w:rsidRPr="006E1B40">
        <w:rPr>
          <w:rFonts w:cstheme="minorHAnsi"/>
          <w:sz w:val="20"/>
          <w:szCs w:val="20"/>
        </w:rPr>
        <w:t xml:space="preserve">key activities: </w:t>
      </w:r>
    </w:p>
    <w:p w14:paraId="4794771B" w14:textId="77777777" w:rsidR="009A158D" w:rsidRPr="006E1B40" w:rsidRDefault="009A158D" w:rsidP="00327084">
      <w:pPr>
        <w:autoSpaceDE w:val="0"/>
        <w:autoSpaceDN w:val="0"/>
        <w:adjustRightInd w:val="0"/>
        <w:spacing w:after="0" w:line="240" w:lineRule="auto"/>
        <w:jc w:val="both"/>
        <w:rPr>
          <w:rFonts w:cstheme="minorHAnsi"/>
          <w:sz w:val="20"/>
          <w:szCs w:val="20"/>
        </w:rPr>
      </w:pPr>
    </w:p>
    <w:p w14:paraId="14FBAF59" w14:textId="50A2A896" w:rsidR="00D52B70" w:rsidRPr="006E1B40" w:rsidRDefault="00327084" w:rsidP="00D52B70">
      <w:pPr>
        <w:pStyle w:val="ListParagraph"/>
        <w:numPr>
          <w:ilvl w:val="0"/>
          <w:numId w:val="29"/>
        </w:numPr>
        <w:autoSpaceDE w:val="0"/>
        <w:autoSpaceDN w:val="0"/>
        <w:adjustRightInd w:val="0"/>
        <w:spacing w:after="0" w:line="240" w:lineRule="auto"/>
        <w:ind w:left="360"/>
        <w:jc w:val="both"/>
        <w:rPr>
          <w:rFonts w:cstheme="minorHAnsi"/>
          <w:sz w:val="20"/>
          <w:szCs w:val="20"/>
        </w:rPr>
      </w:pPr>
      <w:r w:rsidRPr="006E1B40">
        <w:rPr>
          <w:rFonts w:cstheme="minorHAnsi"/>
          <w:sz w:val="20"/>
          <w:szCs w:val="20"/>
          <w:u w:val="single"/>
        </w:rPr>
        <w:t>Support training and mentorship of MHMS staff responsible for implementing health guidelines on sexual assault care and legal literacy</w:t>
      </w:r>
      <w:r w:rsidR="009A158D" w:rsidRPr="006E1B40">
        <w:rPr>
          <w:rFonts w:cstheme="minorHAnsi"/>
          <w:sz w:val="20"/>
          <w:szCs w:val="20"/>
        </w:rPr>
        <w:t xml:space="preserve">. </w:t>
      </w:r>
      <w:r w:rsidR="00D52B70" w:rsidRPr="006E1B40">
        <w:rPr>
          <w:rFonts w:cstheme="minorHAnsi"/>
          <w:sz w:val="20"/>
          <w:szCs w:val="20"/>
        </w:rPr>
        <w:t xml:space="preserve">With technical support from UNFPA and the WHO, the MHMS was able to revise and improve upon MHMS SOPs, guidelines, and protocols related to VAWG. In 2017, the MHMS adopted and published three key documents including: </w:t>
      </w:r>
      <w:r w:rsidR="00D52B70" w:rsidRPr="006E1B40">
        <w:rPr>
          <w:rFonts w:cstheme="minorHAnsi"/>
          <w:i/>
          <w:sz w:val="20"/>
          <w:szCs w:val="20"/>
        </w:rPr>
        <w:t xml:space="preserve">Strengthening the Health Response to Violence Against Women and Children: A Practice </w:t>
      </w:r>
      <w:r w:rsidR="00D52B70" w:rsidRPr="006E1B40">
        <w:rPr>
          <w:rFonts w:cstheme="minorHAnsi"/>
          <w:i/>
          <w:sz w:val="20"/>
          <w:szCs w:val="20"/>
        </w:rPr>
        <w:lastRenderedPageBreak/>
        <w:t xml:space="preserve">Training Manual for Health Care Professionals </w:t>
      </w:r>
      <w:r w:rsidR="00D52B70" w:rsidRPr="006E1B40">
        <w:rPr>
          <w:rFonts w:cstheme="minorHAnsi"/>
          <w:sz w:val="20"/>
          <w:szCs w:val="20"/>
        </w:rPr>
        <w:t xml:space="preserve">(supported by UNFPA); </w:t>
      </w:r>
      <w:r w:rsidR="00D52B70" w:rsidRPr="006E1B40">
        <w:rPr>
          <w:rFonts w:cstheme="minorHAnsi"/>
          <w:i/>
          <w:sz w:val="20"/>
          <w:szCs w:val="20"/>
        </w:rPr>
        <w:t xml:space="preserve">Facilitator’s Handbook: A Training Programme to Strengthen the Health Response to Violence against Women and Children </w:t>
      </w:r>
      <w:r w:rsidR="00D52B70" w:rsidRPr="006E1B40">
        <w:rPr>
          <w:rFonts w:cstheme="minorHAnsi"/>
          <w:sz w:val="20"/>
          <w:szCs w:val="20"/>
        </w:rPr>
        <w:t xml:space="preserve">(supported by UNFPA); and, </w:t>
      </w:r>
      <w:r w:rsidR="00D52B70" w:rsidRPr="006E1B40">
        <w:rPr>
          <w:rFonts w:cstheme="minorHAnsi"/>
          <w:i/>
          <w:sz w:val="20"/>
          <w:szCs w:val="20"/>
        </w:rPr>
        <w:t xml:space="preserve">Guidelines for Minimum Standards of Management of Care for Survivors of Sexual and Gender-Based Violence </w:t>
      </w:r>
      <w:r w:rsidR="00D52B70" w:rsidRPr="006E1B40">
        <w:rPr>
          <w:rFonts w:cstheme="minorHAnsi"/>
          <w:sz w:val="20"/>
          <w:szCs w:val="20"/>
        </w:rPr>
        <w:t>(supported by WHO)</w:t>
      </w:r>
    </w:p>
    <w:p w14:paraId="10905486" w14:textId="77777777" w:rsidR="00D52B70" w:rsidRPr="006E1B40" w:rsidRDefault="00D52B70" w:rsidP="00D52B70">
      <w:pPr>
        <w:pStyle w:val="ListParagraph"/>
        <w:autoSpaceDE w:val="0"/>
        <w:autoSpaceDN w:val="0"/>
        <w:adjustRightInd w:val="0"/>
        <w:spacing w:after="0" w:line="240" w:lineRule="auto"/>
        <w:ind w:left="360"/>
        <w:jc w:val="both"/>
        <w:rPr>
          <w:rFonts w:cstheme="minorHAnsi"/>
          <w:color w:val="000000"/>
          <w:sz w:val="20"/>
          <w:szCs w:val="20"/>
        </w:rPr>
      </w:pPr>
    </w:p>
    <w:p w14:paraId="22AA7649" w14:textId="7AEB6E57" w:rsidR="00D52B70" w:rsidRPr="006E1B40" w:rsidRDefault="009A158D" w:rsidP="00D52B70">
      <w:pPr>
        <w:pStyle w:val="ListParagraph"/>
        <w:autoSpaceDE w:val="0"/>
        <w:autoSpaceDN w:val="0"/>
        <w:adjustRightInd w:val="0"/>
        <w:spacing w:after="0" w:line="240" w:lineRule="auto"/>
        <w:ind w:left="360"/>
        <w:jc w:val="both"/>
        <w:rPr>
          <w:rFonts w:cstheme="minorHAnsi"/>
          <w:color w:val="000000"/>
          <w:sz w:val="20"/>
          <w:szCs w:val="20"/>
        </w:rPr>
      </w:pPr>
      <w:r w:rsidRPr="006E1B40">
        <w:rPr>
          <w:rFonts w:cstheme="minorHAnsi"/>
          <w:sz w:val="20"/>
          <w:szCs w:val="20"/>
        </w:rPr>
        <w:t>In 2016</w:t>
      </w:r>
      <w:r w:rsidR="00D52B70" w:rsidRPr="006E1B40">
        <w:rPr>
          <w:rFonts w:cstheme="minorHAnsi"/>
          <w:sz w:val="20"/>
          <w:szCs w:val="20"/>
        </w:rPr>
        <w:t xml:space="preserve"> and 2017</w:t>
      </w:r>
      <w:r w:rsidRPr="006E1B40">
        <w:rPr>
          <w:rFonts w:cstheme="minorHAnsi"/>
          <w:sz w:val="20"/>
          <w:szCs w:val="20"/>
        </w:rPr>
        <w:t>, UNFPA and the WHO s</w:t>
      </w:r>
      <w:r w:rsidRPr="006E1B40">
        <w:rPr>
          <w:rFonts w:cstheme="minorHAnsi"/>
          <w:color w:val="000000"/>
          <w:sz w:val="20"/>
          <w:szCs w:val="20"/>
        </w:rPr>
        <w:t xml:space="preserve">upported the MHMS GBV Coordinator/SAFENET Coordinator to roll out a package of training for health workers in responding to VAWG/GBV. Trainings </w:t>
      </w:r>
      <w:r w:rsidR="00D52B70" w:rsidRPr="006E1B40">
        <w:rPr>
          <w:rFonts w:cstheme="minorHAnsi"/>
          <w:color w:val="000000"/>
          <w:sz w:val="20"/>
          <w:szCs w:val="20"/>
        </w:rPr>
        <w:t xml:space="preserve">supported by UNFPA </w:t>
      </w:r>
      <w:r w:rsidRPr="006E1B40">
        <w:rPr>
          <w:rFonts w:cstheme="minorHAnsi"/>
          <w:color w:val="000000"/>
          <w:sz w:val="20"/>
          <w:szCs w:val="20"/>
        </w:rPr>
        <w:t>were conducted in Honiara and three provinces</w:t>
      </w:r>
      <w:r w:rsidR="00D52B70" w:rsidRPr="006E1B40">
        <w:rPr>
          <w:rFonts w:cstheme="minorHAnsi"/>
          <w:color w:val="000000"/>
          <w:sz w:val="20"/>
          <w:szCs w:val="20"/>
        </w:rPr>
        <w:t xml:space="preserve"> (</w:t>
      </w:r>
      <w:r w:rsidRPr="006E1B40">
        <w:rPr>
          <w:rFonts w:cstheme="minorHAnsi"/>
          <w:color w:val="000000"/>
          <w:sz w:val="20"/>
          <w:szCs w:val="20"/>
        </w:rPr>
        <w:t>Temotu, Makira and Western Provinces</w:t>
      </w:r>
      <w:r w:rsidR="00D52B70" w:rsidRPr="006E1B40">
        <w:rPr>
          <w:rFonts w:cstheme="minorHAnsi"/>
          <w:color w:val="000000"/>
          <w:sz w:val="20"/>
          <w:szCs w:val="20"/>
        </w:rPr>
        <w:t>)</w:t>
      </w:r>
      <w:r w:rsidRPr="006E1B40">
        <w:rPr>
          <w:rFonts w:cstheme="minorHAnsi"/>
          <w:color w:val="000000"/>
          <w:sz w:val="20"/>
          <w:szCs w:val="20"/>
        </w:rPr>
        <w:t xml:space="preserve"> covering a total of 61 beneficiaries</w:t>
      </w:r>
      <w:r w:rsidR="00D52B70" w:rsidRPr="006E1B40">
        <w:rPr>
          <w:rFonts w:cstheme="minorHAnsi"/>
          <w:color w:val="000000"/>
          <w:sz w:val="20"/>
          <w:szCs w:val="20"/>
        </w:rPr>
        <w:t>. These trainings</w:t>
      </w:r>
      <w:r w:rsidRPr="006E1B40">
        <w:rPr>
          <w:rFonts w:cstheme="minorHAnsi"/>
          <w:color w:val="000000"/>
          <w:sz w:val="20"/>
          <w:szCs w:val="20"/>
        </w:rPr>
        <w:t xml:space="preserve"> comprised five-day training with a mix of modules on clinical training and gender responsive and human rights-based approaches to </w:t>
      </w:r>
      <w:r w:rsidR="00D52B70" w:rsidRPr="006E1B40">
        <w:rPr>
          <w:rFonts w:cstheme="minorHAnsi"/>
          <w:color w:val="000000"/>
          <w:sz w:val="20"/>
          <w:szCs w:val="20"/>
        </w:rPr>
        <w:t>VAWG/</w:t>
      </w:r>
      <w:r w:rsidRPr="006E1B40">
        <w:rPr>
          <w:rFonts w:cstheme="minorHAnsi"/>
          <w:color w:val="000000"/>
          <w:sz w:val="20"/>
          <w:szCs w:val="20"/>
        </w:rPr>
        <w:t xml:space="preserve">GBV. The provincial rollout of the </w:t>
      </w:r>
      <w:r w:rsidR="00D52B70" w:rsidRPr="006E1B40">
        <w:rPr>
          <w:rFonts w:cstheme="minorHAnsi"/>
          <w:color w:val="000000"/>
          <w:sz w:val="20"/>
          <w:szCs w:val="20"/>
        </w:rPr>
        <w:t>t</w:t>
      </w:r>
      <w:r w:rsidRPr="006E1B40">
        <w:rPr>
          <w:rFonts w:cstheme="minorHAnsi"/>
          <w:color w:val="000000"/>
          <w:sz w:val="20"/>
          <w:szCs w:val="20"/>
        </w:rPr>
        <w:t xml:space="preserve">raining </w:t>
      </w:r>
      <w:r w:rsidR="00D52B70" w:rsidRPr="006E1B40">
        <w:rPr>
          <w:rFonts w:cstheme="minorHAnsi"/>
          <w:color w:val="000000"/>
          <w:sz w:val="20"/>
          <w:szCs w:val="20"/>
        </w:rPr>
        <w:t>m</w:t>
      </w:r>
      <w:r w:rsidRPr="006E1B40">
        <w:rPr>
          <w:rFonts w:cstheme="minorHAnsi"/>
          <w:color w:val="000000"/>
          <w:sz w:val="20"/>
          <w:szCs w:val="20"/>
        </w:rPr>
        <w:t xml:space="preserve">anual was purposely to validate the manual to ensure relevant alignment to the essential service package, further ensure that provincial perspectives on the ground and recent developments of gender work in the health sector are captured. The training was also extended to wider-range of EVAWG stakeholders (non-health workers) in each of the three provinces, reinforcing referral networks existing (albeit informally) already. This training program rolled out in the provinces was informed by the </w:t>
      </w:r>
      <w:r w:rsidR="00D52B70" w:rsidRPr="006E1B40">
        <w:rPr>
          <w:rFonts w:cstheme="minorHAnsi"/>
          <w:i/>
          <w:sz w:val="20"/>
          <w:szCs w:val="20"/>
        </w:rPr>
        <w:t xml:space="preserve">Strengthening the Health Response to Violence Against Women and Children: A Practice Training Manual for Health Care Professionals </w:t>
      </w:r>
      <w:r w:rsidR="00D52B70" w:rsidRPr="006E1B40">
        <w:rPr>
          <w:rFonts w:cstheme="minorHAnsi"/>
          <w:sz w:val="20"/>
          <w:szCs w:val="20"/>
        </w:rPr>
        <w:t xml:space="preserve">and the </w:t>
      </w:r>
      <w:r w:rsidR="00D52B70" w:rsidRPr="006E1B40">
        <w:rPr>
          <w:rFonts w:cstheme="minorHAnsi"/>
          <w:i/>
          <w:sz w:val="20"/>
          <w:szCs w:val="20"/>
        </w:rPr>
        <w:t>Facilitator’s Handbook: A Training Programme to Strengthen the Health Response to Violence against Women and Children</w:t>
      </w:r>
      <w:r w:rsidRPr="006E1B40">
        <w:rPr>
          <w:rFonts w:cstheme="minorHAnsi"/>
          <w:color w:val="000000"/>
          <w:sz w:val="20"/>
          <w:szCs w:val="20"/>
        </w:rPr>
        <w:t xml:space="preserve">. </w:t>
      </w:r>
    </w:p>
    <w:p w14:paraId="6878F632" w14:textId="77777777" w:rsidR="00D52B70" w:rsidRPr="006E1B40" w:rsidRDefault="00D52B70" w:rsidP="00D52B70">
      <w:pPr>
        <w:pStyle w:val="ListParagraph"/>
        <w:autoSpaceDE w:val="0"/>
        <w:autoSpaceDN w:val="0"/>
        <w:adjustRightInd w:val="0"/>
        <w:spacing w:after="0" w:line="240" w:lineRule="auto"/>
        <w:ind w:left="360"/>
        <w:jc w:val="both"/>
        <w:rPr>
          <w:rFonts w:cstheme="minorHAnsi"/>
          <w:sz w:val="20"/>
          <w:szCs w:val="20"/>
        </w:rPr>
      </w:pPr>
    </w:p>
    <w:p w14:paraId="7422E800" w14:textId="2D9B9056" w:rsidR="00D52B70" w:rsidRPr="006E1B40" w:rsidRDefault="00D52B70" w:rsidP="00D52B70">
      <w:pPr>
        <w:pStyle w:val="ListParagraph"/>
        <w:autoSpaceDE w:val="0"/>
        <w:autoSpaceDN w:val="0"/>
        <w:adjustRightInd w:val="0"/>
        <w:spacing w:after="0" w:line="240" w:lineRule="auto"/>
        <w:ind w:left="360"/>
        <w:jc w:val="both"/>
        <w:rPr>
          <w:rFonts w:cstheme="minorHAnsi"/>
          <w:sz w:val="20"/>
          <w:szCs w:val="20"/>
        </w:rPr>
      </w:pPr>
      <w:r w:rsidRPr="006E1B40">
        <w:rPr>
          <w:rFonts w:cstheme="minorHAnsi"/>
          <w:sz w:val="20"/>
          <w:szCs w:val="20"/>
        </w:rPr>
        <w:t xml:space="preserve">A training package for </w:t>
      </w:r>
      <w:r w:rsidRPr="006E1B40">
        <w:rPr>
          <w:rFonts w:cstheme="minorHAnsi"/>
          <w:i/>
          <w:sz w:val="20"/>
          <w:szCs w:val="20"/>
        </w:rPr>
        <w:t>Guidelines for Minimum Standards of Management of Care for Survivors of Sexual and Gender-Based Violence</w:t>
      </w:r>
      <w:r w:rsidRPr="006E1B40">
        <w:rPr>
          <w:rFonts w:cstheme="minorHAnsi"/>
          <w:sz w:val="20"/>
          <w:szCs w:val="20"/>
        </w:rPr>
        <w:t xml:space="preserve"> which was being rolled out in 2017 and 2018 to nurses in Honiara and the provinces by the </w:t>
      </w:r>
      <w:r w:rsidRPr="006E1B40">
        <w:rPr>
          <w:rFonts w:cstheme="minorHAnsi"/>
          <w:color w:val="1C1C1C"/>
          <w:sz w:val="20"/>
          <w:szCs w:val="20"/>
        </w:rPr>
        <w:t>MHMS GBV Coordinator and Seif Ples.</w:t>
      </w:r>
      <w:r w:rsidR="00305F2D">
        <w:rPr>
          <w:rFonts w:cstheme="minorHAnsi"/>
          <w:color w:val="1C1C1C"/>
          <w:sz w:val="20"/>
          <w:szCs w:val="20"/>
        </w:rPr>
        <w:t xml:space="preserve"> </w:t>
      </w:r>
      <w:r w:rsidR="00305F2D" w:rsidRPr="00305F2D">
        <w:rPr>
          <w:rFonts w:cstheme="minorHAnsi"/>
          <w:color w:val="1C1C1C"/>
          <w:sz w:val="20"/>
          <w:szCs w:val="20"/>
        </w:rPr>
        <w:t>In 2017, the Health Response Training manual and the Guidelines have been rollout out to Isabel, Central, Gudalcanal, and Malaita Provinces, Honiara and one National training were conducted and these trainings covered a total of 102 provincial health workers as part of the ongoing sensitization of health response to GBV in the health sector</w:t>
      </w:r>
    </w:p>
    <w:p w14:paraId="492F76A1" w14:textId="77777777" w:rsidR="00D52B70" w:rsidRPr="006E1B40" w:rsidRDefault="00D52B70" w:rsidP="00D52B70">
      <w:pPr>
        <w:pStyle w:val="ListParagraph"/>
        <w:autoSpaceDE w:val="0"/>
        <w:autoSpaceDN w:val="0"/>
        <w:adjustRightInd w:val="0"/>
        <w:spacing w:after="0" w:line="240" w:lineRule="auto"/>
        <w:ind w:left="360"/>
        <w:jc w:val="both"/>
        <w:rPr>
          <w:rFonts w:cstheme="minorHAnsi"/>
          <w:color w:val="000000"/>
          <w:sz w:val="20"/>
          <w:szCs w:val="20"/>
        </w:rPr>
      </w:pPr>
    </w:p>
    <w:p w14:paraId="12732C17" w14:textId="60486377" w:rsidR="00327084" w:rsidRPr="006E1B40" w:rsidRDefault="00327084" w:rsidP="00327084">
      <w:pPr>
        <w:pStyle w:val="ListParagraph"/>
        <w:numPr>
          <w:ilvl w:val="0"/>
          <w:numId w:val="29"/>
        </w:numPr>
        <w:autoSpaceDE w:val="0"/>
        <w:autoSpaceDN w:val="0"/>
        <w:adjustRightInd w:val="0"/>
        <w:spacing w:after="0" w:line="240" w:lineRule="auto"/>
        <w:ind w:left="360"/>
        <w:jc w:val="both"/>
        <w:rPr>
          <w:rFonts w:cstheme="minorHAnsi"/>
          <w:sz w:val="20"/>
          <w:szCs w:val="20"/>
          <w:u w:val="single"/>
        </w:rPr>
      </w:pPr>
      <w:r w:rsidRPr="006E1B40">
        <w:rPr>
          <w:rFonts w:cstheme="minorHAnsi"/>
          <w:sz w:val="20"/>
          <w:szCs w:val="20"/>
          <w:u w:val="single"/>
        </w:rPr>
        <w:t>Support the MHMS with its plan to roll out essential services on GBV in Isabel, including reaching people living with disabilities</w:t>
      </w:r>
      <w:r w:rsidR="00D52B70" w:rsidRPr="006E1B40">
        <w:rPr>
          <w:rFonts w:cstheme="minorHAnsi"/>
          <w:sz w:val="20"/>
          <w:szCs w:val="20"/>
        </w:rPr>
        <w:t>.</w:t>
      </w:r>
      <w:r w:rsidR="0080152D" w:rsidRPr="006E1B40">
        <w:rPr>
          <w:rFonts w:cstheme="minorHAnsi"/>
          <w:sz w:val="20"/>
          <w:szCs w:val="20"/>
        </w:rPr>
        <w:t xml:space="preserve"> </w:t>
      </w:r>
      <w:r w:rsidR="006E1B40" w:rsidRPr="006E1B40">
        <w:rPr>
          <w:rFonts w:cstheme="minorHAnsi"/>
          <w:sz w:val="20"/>
          <w:szCs w:val="20"/>
        </w:rPr>
        <w:t xml:space="preserve">Over the three-year project period, health workers in Honiara and Isabel received various trainings with technical assistance from UNFPA and WHO; however, there was not a focus on reaching people living with disabilities. The MHMS has been focused on delivering trainings for health workers in keeping with implementation of the </w:t>
      </w:r>
      <w:r w:rsidR="006E1B40" w:rsidRPr="006E1B40">
        <w:rPr>
          <w:rFonts w:cstheme="minorHAnsi"/>
          <w:color w:val="000000"/>
          <w:sz w:val="20"/>
          <w:szCs w:val="20"/>
        </w:rPr>
        <w:t>National Health Strategic Plan 2016-2020.</w:t>
      </w:r>
    </w:p>
    <w:p w14:paraId="24627572" w14:textId="77777777" w:rsidR="008B1F52" w:rsidRPr="00327084" w:rsidRDefault="008B1F52" w:rsidP="008B1F52">
      <w:pPr>
        <w:pStyle w:val="Default"/>
        <w:ind w:right="288"/>
        <w:jc w:val="both"/>
        <w:rPr>
          <w:rFonts w:asciiTheme="minorHAnsi" w:hAnsiTheme="minorHAnsi" w:cstheme="minorHAnsi"/>
          <w:b/>
          <w:color w:val="auto"/>
          <w:sz w:val="20"/>
          <w:szCs w:val="20"/>
        </w:rPr>
      </w:pPr>
    </w:p>
    <w:p w14:paraId="36640CC4" w14:textId="77777777" w:rsidR="00236413" w:rsidRPr="00143FEB" w:rsidRDefault="00236413" w:rsidP="005E40C3">
      <w:pPr>
        <w:pStyle w:val="Heading3"/>
        <w:pBdr>
          <w:bottom w:val="single" w:sz="4" w:space="1" w:color="auto"/>
        </w:pBdr>
        <w:spacing w:before="0" w:line="240" w:lineRule="auto"/>
        <w:rPr>
          <w:sz w:val="21"/>
          <w:szCs w:val="21"/>
        </w:rPr>
      </w:pPr>
      <w:bookmarkStart w:id="3" w:name="_Toc341089360"/>
      <w:r w:rsidRPr="00143FEB">
        <w:rPr>
          <w:bCs w:val="0"/>
          <w:sz w:val="21"/>
          <w:szCs w:val="21"/>
        </w:rPr>
        <w:t>3.3 Lessons learned</w:t>
      </w:r>
      <w:bookmarkEnd w:id="3"/>
    </w:p>
    <w:p w14:paraId="374A8695" w14:textId="77777777" w:rsidR="00236413" w:rsidRPr="00143FEB" w:rsidRDefault="00236413" w:rsidP="004D5536">
      <w:pPr>
        <w:pStyle w:val="ListParagraph"/>
        <w:numPr>
          <w:ilvl w:val="1"/>
          <w:numId w:val="5"/>
        </w:numPr>
        <w:spacing w:before="120" w:after="0" w:line="240" w:lineRule="auto"/>
        <w:ind w:left="360"/>
        <w:rPr>
          <w:sz w:val="21"/>
          <w:szCs w:val="21"/>
        </w:rPr>
      </w:pPr>
      <w:r w:rsidRPr="00143FEB">
        <w:rPr>
          <w:sz w:val="21"/>
          <w:szCs w:val="21"/>
        </w:rPr>
        <w:t xml:space="preserve">What are </w:t>
      </w:r>
      <w:r w:rsidRPr="00143FEB">
        <w:rPr>
          <w:rFonts w:cstheme="minorHAnsi"/>
          <w:sz w:val="21"/>
          <w:szCs w:val="21"/>
        </w:rPr>
        <w:t>the</w:t>
      </w:r>
      <w:r w:rsidRPr="00143FEB">
        <w:rPr>
          <w:sz w:val="21"/>
          <w:szCs w:val="21"/>
        </w:rPr>
        <w:t xml:space="preserve"> main lessons learned so far? Please describe</w:t>
      </w:r>
      <w:r w:rsidRPr="00143FEB">
        <w:rPr>
          <w:rFonts w:hint="eastAsia"/>
          <w:sz w:val="21"/>
          <w:szCs w:val="21"/>
        </w:rPr>
        <w:t xml:space="preserve"> what worked well and what did not work well</w:t>
      </w:r>
      <w:r w:rsidRPr="00143FEB">
        <w:rPr>
          <w:sz w:val="21"/>
          <w:szCs w:val="21"/>
        </w:rPr>
        <w:t xml:space="preserve"> and explain why.</w:t>
      </w:r>
    </w:p>
    <w:p w14:paraId="4119DD18" w14:textId="77777777" w:rsidR="00236413" w:rsidRPr="00143FEB" w:rsidRDefault="00236413" w:rsidP="004D5536">
      <w:pPr>
        <w:pStyle w:val="ListParagraph"/>
        <w:numPr>
          <w:ilvl w:val="1"/>
          <w:numId w:val="5"/>
        </w:numPr>
        <w:spacing w:before="120" w:after="0" w:line="240" w:lineRule="auto"/>
        <w:ind w:left="360"/>
        <w:rPr>
          <w:sz w:val="21"/>
          <w:szCs w:val="21"/>
        </w:rPr>
      </w:pPr>
      <w:r w:rsidRPr="00143FEB">
        <w:rPr>
          <w:sz w:val="21"/>
          <w:szCs w:val="21"/>
        </w:rPr>
        <w:t xml:space="preserve">Highlight </w:t>
      </w:r>
      <w:r w:rsidRPr="00143FEB">
        <w:rPr>
          <w:rFonts w:cstheme="minorHAnsi"/>
          <w:sz w:val="21"/>
          <w:szCs w:val="21"/>
        </w:rPr>
        <w:t>key</w:t>
      </w:r>
      <w:r w:rsidRPr="00143FEB">
        <w:rPr>
          <w:sz w:val="21"/>
          <w:szCs w:val="21"/>
        </w:rPr>
        <w:t xml:space="preserve"> lessons that can feed into learning and planning of new projects/initiatives. Please do not hesitate to highlight how mistakes might have led to new approaches, ideas and/or results. </w:t>
      </w:r>
      <w:r w:rsidR="00702BEE" w:rsidRPr="00143FEB">
        <w:rPr>
          <w:sz w:val="21"/>
          <w:szCs w:val="21"/>
        </w:rPr>
        <w:t>(</w:t>
      </w:r>
      <w:r w:rsidR="00702BEE" w:rsidRPr="00143FEB">
        <w:rPr>
          <w:color w:val="FF0000"/>
          <w:sz w:val="21"/>
          <w:szCs w:val="21"/>
        </w:rPr>
        <w:t>Maximum 1,500 words</w:t>
      </w:r>
      <w:r w:rsidR="00702BEE" w:rsidRPr="00143FEB">
        <w:rPr>
          <w:sz w:val="21"/>
          <w:szCs w:val="21"/>
        </w:rPr>
        <w:t>)</w:t>
      </w:r>
    </w:p>
    <w:p w14:paraId="1843A8D4" w14:textId="77777777" w:rsidR="00236413" w:rsidRDefault="00236413" w:rsidP="00236413">
      <w:pPr>
        <w:spacing w:after="0" w:line="240" w:lineRule="auto"/>
        <w:rPr>
          <w:sz w:val="21"/>
          <w:szCs w:val="21"/>
        </w:rPr>
      </w:pPr>
    </w:p>
    <w:p w14:paraId="0549FEE7" w14:textId="79E8006C" w:rsidR="00614D94" w:rsidRDefault="00614D94" w:rsidP="003F5A5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There were several lessons learned during the three-year period of implementing this project and the UN-SIG JP on EVAWG. </w:t>
      </w:r>
    </w:p>
    <w:p w14:paraId="01DD171F" w14:textId="77777777" w:rsidR="00614D94" w:rsidRDefault="00614D94" w:rsidP="003F5A50">
      <w:pPr>
        <w:autoSpaceDE w:val="0"/>
        <w:autoSpaceDN w:val="0"/>
        <w:adjustRightInd w:val="0"/>
        <w:spacing w:after="0" w:line="240" w:lineRule="auto"/>
        <w:jc w:val="both"/>
        <w:rPr>
          <w:rFonts w:ascii="Calibri" w:hAnsi="Calibri" w:cs="Calibri"/>
          <w:color w:val="000000"/>
          <w:sz w:val="20"/>
          <w:szCs w:val="20"/>
        </w:rPr>
      </w:pPr>
    </w:p>
    <w:p w14:paraId="297DF9EF" w14:textId="1A2F82C4" w:rsidR="00890950" w:rsidRDefault="00614D94" w:rsidP="003F5A5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One lesson learned was that the UN-SIG JP on EVAWG required a full-time UN JP Coordinator</w:t>
      </w:r>
      <w:r w:rsidR="003505DF">
        <w:rPr>
          <w:rFonts w:ascii="Calibri" w:hAnsi="Calibri" w:cs="Calibri"/>
          <w:color w:val="000000"/>
          <w:sz w:val="20"/>
          <w:szCs w:val="20"/>
        </w:rPr>
        <w:t xml:space="preserve"> to improve effective functioning and implementation of a UN-SIG JP</w:t>
      </w:r>
      <w:r>
        <w:rPr>
          <w:rFonts w:ascii="Calibri" w:hAnsi="Calibri" w:cs="Calibri"/>
          <w:color w:val="000000"/>
          <w:sz w:val="20"/>
          <w:szCs w:val="20"/>
        </w:rPr>
        <w:t xml:space="preserve">. </w:t>
      </w:r>
      <w:r w:rsidR="003F5A50" w:rsidRPr="00614D94">
        <w:rPr>
          <w:rFonts w:ascii="Calibri" w:hAnsi="Calibri" w:cs="Calibri"/>
          <w:color w:val="000000"/>
          <w:sz w:val="20"/>
          <w:szCs w:val="20"/>
        </w:rPr>
        <w:t>E</w:t>
      </w:r>
      <w:r w:rsidR="00890950" w:rsidRPr="00614D94">
        <w:rPr>
          <w:rFonts w:ascii="Calibri" w:hAnsi="Calibri" w:cs="Calibri"/>
          <w:bCs/>
          <w:color w:val="000000"/>
          <w:sz w:val="20"/>
          <w:szCs w:val="20"/>
        </w:rPr>
        <w:t xml:space="preserve">xtended absence of effective programme coordination </w:t>
      </w:r>
      <w:r w:rsidR="00890950" w:rsidRPr="00614D94">
        <w:rPr>
          <w:rFonts w:ascii="Calibri" w:hAnsi="Calibri" w:cs="Calibri"/>
          <w:color w:val="000000"/>
          <w:sz w:val="20"/>
          <w:szCs w:val="20"/>
        </w:rPr>
        <w:t xml:space="preserve">by UN Women </w:t>
      </w:r>
      <w:r w:rsidR="003F5A50" w:rsidRPr="00614D94">
        <w:rPr>
          <w:rFonts w:ascii="Calibri" w:hAnsi="Calibri" w:cs="Calibri"/>
          <w:color w:val="000000"/>
          <w:sz w:val="20"/>
          <w:szCs w:val="20"/>
        </w:rPr>
        <w:t xml:space="preserve">throughout 2016 and the first half of 2017 </w:t>
      </w:r>
      <w:r w:rsidR="00890950" w:rsidRPr="00614D94">
        <w:rPr>
          <w:rFonts w:ascii="Calibri" w:hAnsi="Calibri" w:cs="Calibri"/>
          <w:color w:val="000000"/>
          <w:sz w:val="20"/>
          <w:szCs w:val="20"/>
        </w:rPr>
        <w:t>meant that high-level engagement and buy-</w:t>
      </w:r>
      <w:r w:rsidR="00890950" w:rsidRPr="006E1B40">
        <w:rPr>
          <w:rFonts w:ascii="Calibri" w:hAnsi="Calibri" w:cs="Calibri"/>
          <w:color w:val="000000"/>
          <w:sz w:val="20"/>
          <w:szCs w:val="20"/>
        </w:rPr>
        <w:t xml:space="preserve">in within and across UN agencies, </w:t>
      </w:r>
      <w:r w:rsidR="003F5A50">
        <w:rPr>
          <w:rFonts w:ascii="Calibri" w:hAnsi="Calibri" w:cs="Calibri"/>
          <w:color w:val="000000"/>
          <w:sz w:val="20"/>
          <w:szCs w:val="20"/>
        </w:rPr>
        <w:t xml:space="preserve">and with </w:t>
      </w:r>
      <w:r w:rsidR="00890950" w:rsidRPr="006E1B40">
        <w:rPr>
          <w:rFonts w:ascii="Calibri" w:hAnsi="Calibri" w:cs="Calibri"/>
          <w:color w:val="000000"/>
          <w:sz w:val="20"/>
          <w:szCs w:val="20"/>
        </w:rPr>
        <w:t xml:space="preserve">key ministries (MWYCFA and MHMS) was negatively impacted. Ready engagement by the Permanent Secretary of the MHMS, Permanent Secretary of the MWYCFA, the UN Joint Presence Coordinator (i.e., the UNDP Head), UNFPA Regional GBV Specialist, the Permanent Secretary of the MoJ, and the Permanent Secretary of the RSIPF which was initiated in Year 1 (2015) of this project was not sustained. Moreover, the </w:t>
      </w:r>
      <w:r w:rsidR="003F5A50">
        <w:rPr>
          <w:rFonts w:ascii="Calibri" w:hAnsi="Calibri" w:cs="Calibri"/>
          <w:color w:val="000000"/>
          <w:sz w:val="20"/>
          <w:szCs w:val="20"/>
        </w:rPr>
        <w:t xml:space="preserve">UN-SGI JP Steering Committee, the </w:t>
      </w:r>
      <w:r w:rsidR="00890950" w:rsidRPr="006E1B40">
        <w:rPr>
          <w:rFonts w:ascii="Calibri" w:hAnsi="Calibri" w:cs="Calibri"/>
          <w:color w:val="000000"/>
          <w:sz w:val="20"/>
          <w:szCs w:val="20"/>
        </w:rPr>
        <w:t>UN-SIG JP</w:t>
      </w:r>
      <w:r w:rsidR="003F5A50">
        <w:rPr>
          <w:rFonts w:ascii="Calibri" w:hAnsi="Calibri" w:cs="Calibri"/>
          <w:color w:val="000000"/>
          <w:sz w:val="20"/>
          <w:szCs w:val="20"/>
        </w:rPr>
        <w:t xml:space="preserve"> on EVAWG</w:t>
      </w:r>
      <w:r w:rsidR="00890950" w:rsidRPr="006E1B40">
        <w:rPr>
          <w:rFonts w:ascii="Calibri" w:hAnsi="Calibri" w:cs="Calibri"/>
          <w:color w:val="000000"/>
          <w:sz w:val="20"/>
          <w:szCs w:val="20"/>
        </w:rPr>
        <w:t xml:space="preserve"> key coordinating body, did not meet regularly </w:t>
      </w:r>
      <w:r w:rsidR="003F5A50">
        <w:rPr>
          <w:rFonts w:ascii="Calibri" w:hAnsi="Calibri" w:cs="Calibri"/>
          <w:color w:val="000000"/>
          <w:sz w:val="20"/>
          <w:szCs w:val="20"/>
        </w:rPr>
        <w:t xml:space="preserve">from October 2015 to June 2017; this significant hampered visibility of the UN-SIG JP on EVAWG and engagement and buy-in from UN-SIG JP members.  </w:t>
      </w:r>
      <w:r w:rsidR="00890950" w:rsidRPr="006E1B40">
        <w:rPr>
          <w:rFonts w:ascii="Calibri" w:hAnsi="Calibri" w:cs="Calibri"/>
          <w:color w:val="000000"/>
          <w:sz w:val="20"/>
          <w:szCs w:val="20"/>
        </w:rPr>
        <w:t>It meant that once an interim JP Coordinator was contracted</w:t>
      </w:r>
      <w:r w:rsidR="003F5A50">
        <w:rPr>
          <w:rFonts w:ascii="Calibri" w:hAnsi="Calibri" w:cs="Calibri"/>
          <w:color w:val="000000"/>
          <w:sz w:val="20"/>
          <w:szCs w:val="20"/>
        </w:rPr>
        <w:t xml:space="preserve"> in mid-2016</w:t>
      </w:r>
      <w:r w:rsidR="00890950" w:rsidRPr="006E1B40">
        <w:rPr>
          <w:rFonts w:ascii="Calibri" w:hAnsi="Calibri" w:cs="Calibri"/>
          <w:color w:val="000000"/>
          <w:sz w:val="20"/>
          <w:szCs w:val="20"/>
        </w:rPr>
        <w:t xml:space="preserve">, that person had to spend considerable time and effort engaged in mobilization during the 3rd Quarter of 2016, to reinforce and validate the relevance of UN-SIG </w:t>
      </w:r>
      <w:r w:rsidR="00890950" w:rsidRPr="006E1B40">
        <w:rPr>
          <w:rFonts w:ascii="Calibri" w:hAnsi="Calibri" w:cs="Calibri"/>
          <w:color w:val="000000"/>
          <w:sz w:val="20"/>
          <w:szCs w:val="20"/>
        </w:rPr>
        <w:lastRenderedPageBreak/>
        <w:t xml:space="preserve">JP, and to reestablishing relationships with these key partners to ensure activities continued and data collection for effective M&amp;E continued. </w:t>
      </w:r>
      <w:r w:rsidR="003F5A50">
        <w:rPr>
          <w:rFonts w:ascii="Calibri" w:hAnsi="Calibri" w:cs="Calibri"/>
          <w:color w:val="000000"/>
          <w:sz w:val="20"/>
          <w:szCs w:val="20"/>
        </w:rPr>
        <w:t>Then, there was another gap in staffing the JP Coordinator position in the first half of 2017.</w:t>
      </w:r>
    </w:p>
    <w:p w14:paraId="172F16FC" w14:textId="77777777" w:rsidR="00602EB1" w:rsidRDefault="00602EB1" w:rsidP="003505DF">
      <w:pPr>
        <w:autoSpaceDE w:val="0"/>
        <w:autoSpaceDN w:val="0"/>
        <w:adjustRightInd w:val="0"/>
        <w:spacing w:after="0" w:line="240" w:lineRule="auto"/>
        <w:jc w:val="both"/>
        <w:rPr>
          <w:rFonts w:cstheme="minorHAnsi"/>
          <w:sz w:val="20"/>
          <w:szCs w:val="20"/>
        </w:rPr>
      </w:pPr>
    </w:p>
    <w:p w14:paraId="37701032" w14:textId="42FEEF01" w:rsidR="003505DF" w:rsidRPr="00614D94" w:rsidRDefault="00602EB1" w:rsidP="003505DF">
      <w:pPr>
        <w:autoSpaceDE w:val="0"/>
        <w:autoSpaceDN w:val="0"/>
        <w:adjustRightInd w:val="0"/>
        <w:spacing w:after="0" w:line="240" w:lineRule="auto"/>
        <w:jc w:val="both"/>
        <w:rPr>
          <w:rFonts w:cstheme="minorHAnsi"/>
          <w:sz w:val="20"/>
          <w:szCs w:val="20"/>
        </w:rPr>
      </w:pPr>
      <w:r>
        <w:rPr>
          <w:rFonts w:cstheme="minorHAnsi"/>
          <w:sz w:val="20"/>
          <w:szCs w:val="20"/>
        </w:rPr>
        <w:t>R</w:t>
      </w:r>
      <w:r w:rsidR="003505DF" w:rsidRPr="00614D94">
        <w:rPr>
          <w:rFonts w:cstheme="minorHAnsi"/>
          <w:sz w:val="20"/>
          <w:szCs w:val="20"/>
        </w:rPr>
        <w:t>elying on temporary national consultants and/or volunteers to fill the position of UN-SIG JP Coordinator was not effective and led to inefficiency in the implementation of the project and MRE. the UN-SIG JP on EVAWG and UN Women would have benefited from contracting a national consultant with expertise in M&amp;E who could have supported the UN-SIG JP Coordinator to ensure the M&amp;E approach was properly and fully implemented over the three-year project period. Thus,</w:t>
      </w:r>
      <w:r w:rsidR="001A3DBA">
        <w:rPr>
          <w:rFonts w:cstheme="minorHAnsi"/>
          <w:sz w:val="20"/>
          <w:szCs w:val="20"/>
        </w:rPr>
        <w:t xml:space="preserve">  </w:t>
      </w:r>
      <w:r>
        <w:rPr>
          <w:rFonts w:cstheme="minorHAnsi"/>
          <w:sz w:val="20"/>
          <w:szCs w:val="20"/>
        </w:rPr>
        <w:t>the project would have benefitted from</w:t>
      </w:r>
      <w:r w:rsidR="003505DF" w:rsidRPr="00614D94">
        <w:rPr>
          <w:rFonts w:cstheme="minorHAnsi"/>
          <w:sz w:val="20"/>
          <w:szCs w:val="20"/>
        </w:rPr>
        <w:t xml:space="preserve"> a national M&amp;E consultant/staff person</w:t>
      </w:r>
      <w:r w:rsidR="00AB00C8">
        <w:rPr>
          <w:rFonts w:cstheme="minorHAnsi"/>
          <w:sz w:val="20"/>
          <w:szCs w:val="20"/>
        </w:rPr>
        <w:t>,</w:t>
      </w:r>
      <w:r w:rsidR="003505DF" w:rsidRPr="00614D94">
        <w:rPr>
          <w:rFonts w:cstheme="minorHAnsi"/>
          <w:sz w:val="20"/>
          <w:szCs w:val="20"/>
        </w:rPr>
        <w:t xml:space="preserve"> who </w:t>
      </w:r>
      <w:r w:rsidR="00AB00C8">
        <w:rPr>
          <w:rFonts w:cstheme="minorHAnsi"/>
          <w:sz w:val="20"/>
          <w:szCs w:val="20"/>
        </w:rPr>
        <w:t>would be able to currently</w:t>
      </w:r>
      <w:r w:rsidR="003505DF" w:rsidRPr="00614D94">
        <w:rPr>
          <w:rFonts w:cstheme="minorHAnsi"/>
          <w:sz w:val="20"/>
          <w:szCs w:val="20"/>
        </w:rPr>
        <w:t xml:space="preserve"> support</w:t>
      </w:r>
      <w:r w:rsidR="001A3DBA">
        <w:rPr>
          <w:rFonts w:cstheme="minorHAnsi"/>
          <w:sz w:val="20"/>
          <w:szCs w:val="20"/>
        </w:rPr>
        <w:t xml:space="preserve"> </w:t>
      </w:r>
      <w:r w:rsidR="00AB00C8">
        <w:rPr>
          <w:rFonts w:cstheme="minorHAnsi"/>
          <w:sz w:val="20"/>
          <w:szCs w:val="20"/>
        </w:rPr>
        <w:t xml:space="preserve">the </w:t>
      </w:r>
      <w:r w:rsidR="003505DF" w:rsidRPr="00614D94">
        <w:rPr>
          <w:rFonts w:cstheme="minorHAnsi"/>
          <w:sz w:val="20"/>
          <w:szCs w:val="20"/>
        </w:rPr>
        <w:t xml:space="preserve"> MRE efforts of the UN-SIG JP on ESP, particularly if M&amp;E is required by the donor.</w:t>
      </w:r>
    </w:p>
    <w:p w14:paraId="5601A290" w14:textId="77777777" w:rsidR="003F5A50" w:rsidRPr="006E1B40" w:rsidRDefault="003F5A50" w:rsidP="00890950">
      <w:pPr>
        <w:autoSpaceDE w:val="0"/>
        <w:autoSpaceDN w:val="0"/>
        <w:adjustRightInd w:val="0"/>
        <w:spacing w:after="0" w:line="240" w:lineRule="auto"/>
        <w:rPr>
          <w:rFonts w:ascii="Calibri" w:hAnsi="Calibri" w:cs="Calibri"/>
          <w:color w:val="000000"/>
          <w:sz w:val="20"/>
          <w:szCs w:val="20"/>
        </w:rPr>
      </w:pPr>
    </w:p>
    <w:p w14:paraId="60EA122D" w14:textId="00AE65BB" w:rsidR="00890950" w:rsidRDefault="00890950" w:rsidP="003F5A50">
      <w:pPr>
        <w:autoSpaceDE w:val="0"/>
        <w:autoSpaceDN w:val="0"/>
        <w:adjustRightInd w:val="0"/>
        <w:spacing w:after="0" w:line="240" w:lineRule="auto"/>
        <w:jc w:val="both"/>
        <w:rPr>
          <w:rFonts w:ascii="Calibri" w:hAnsi="Calibri" w:cs="Calibri"/>
          <w:color w:val="000000"/>
          <w:sz w:val="20"/>
          <w:szCs w:val="20"/>
        </w:rPr>
      </w:pPr>
      <w:r w:rsidRPr="006E1B40">
        <w:rPr>
          <w:rFonts w:ascii="Calibri" w:hAnsi="Calibri" w:cs="Calibri"/>
          <w:color w:val="000000"/>
          <w:sz w:val="20"/>
          <w:szCs w:val="20"/>
        </w:rPr>
        <w:t>In spite of unplanned UN Women staffing issue</w:t>
      </w:r>
      <w:r w:rsidR="003F5A50">
        <w:rPr>
          <w:rFonts w:ascii="Calibri" w:hAnsi="Calibri" w:cs="Calibri"/>
          <w:color w:val="000000"/>
          <w:sz w:val="20"/>
          <w:szCs w:val="20"/>
        </w:rPr>
        <w:t>s</w:t>
      </w:r>
      <w:r w:rsidRPr="006E1B40">
        <w:rPr>
          <w:rFonts w:ascii="Calibri" w:hAnsi="Calibri" w:cs="Calibri"/>
          <w:color w:val="000000"/>
          <w:sz w:val="20"/>
          <w:szCs w:val="20"/>
        </w:rPr>
        <w:t xml:space="preserve">, </w:t>
      </w:r>
      <w:r w:rsidR="003F5A50">
        <w:rPr>
          <w:rFonts w:ascii="Calibri" w:hAnsi="Calibri" w:cs="Calibri"/>
          <w:color w:val="000000"/>
          <w:sz w:val="20"/>
          <w:szCs w:val="20"/>
        </w:rPr>
        <w:t xml:space="preserve">the launch and implementation of the FPA 2014 in April 2016, </w:t>
      </w:r>
      <w:r w:rsidRPr="006E1B40">
        <w:rPr>
          <w:rFonts w:ascii="Calibri" w:hAnsi="Calibri" w:cs="Calibri"/>
          <w:color w:val="000000"/>
          <w:sz w:val="20"/>
          <w:szCs w:val="20"/>
        </w:rPr>
        <w:t>for which the MWYCFA, RSIPF, and other justice system agencies and officials helped emphasize was immediate</w:t>
      </w:r>
      <w:r w:rsidR="003F5A50">
        <w:rPr>
          <w:rFonts w:ascii="Calibri" w:hAnsi="Calibri" w:cs="Calibri"/>
          <w:color w:val="000000"/>
          <w:sz w:val="20"/>
          <w:szCs w:val="20"/>
        </w:rPr>
        <w:t>ly</w:t>
      </w:r>
      <w:r w:rsidRPr="006E1B40">
        <w:rPr>
          <w:rFonts w:ascii="Calibri" w:hAnsi="Calibri" w:cs="Calibri"/>
          <w:color w:val="000000"/>
          <w:sz w:val="20"/>
          <w:szCs w:val="20"/>
        </w:rPr>
        <w:t xml:space="preserve"> relevan</w:t>
      </w:r>
      <w:r w:rsidR="003F5A50">
        <w:rPr>
          <w:rFonts w:ascii="Calibri" w:hAnsi="Calibri" w:cs="Calibri"/>
          <w:color w:val="000000"/>
          <w:sz w:val="20"/>
          <w:szCs w:val="20"/>
        </w:rPr>
        <w:t xml:space="preserve">t to </w:t>
      </w:r>
      <w:r w:rsidRPr="006E1B40">
        <w:rPr>
          <w:rFonts w:ascii="Calibri" w:hAnsi="Calibri" w:cs="Calibri"/>
          <w:color w:val="000000"/>
          <w:sz w:val="20"/>
          <w:szCs w:val="20"/>
        </w:rPr>
        <w:t xml:space="preserve">UN-SIG JP </w:t>
      </w:r>
      <w:r w:rsidR="003F5A50">
        <w:rPr>
          <w:rFonts w:ascii="Calibri" w:hAnsi="Calibri" w:cs="Calibri"/>
          <w:color w:val="000000"/>
          <w:sz w:val="20"/>
          <w:szCs w:val="20"/>
        </w:rPr>
        <w:t>on EVAWG outputs, outcomes and goal to s</w:t>
      </w:r>
      <w:r w:rsidRPr="006E1B40">
        <w:rPr>
          <w:rFonts w:ascii="Calibri" w:hAnsi="Calibri" w:cs="Calibri"/>
          <w:color w:val="000000"/>
          <w:sz w:val="20"/>
          <w:szCs w:val="20"/>
        </w:rPr>
        <w:t xml:space="preserve">upport a ‘whole of government’ approach to EVAWG, to improve access to services for VAWG survivors, and ensure a standard of quality care and effective coordination of essential services. </w:t>
      </w:r>
      <w:r w:rsidR="00614D94">
        <w:rPr>
          <w:rFonts w:ascii="Calibri" w:hAnsi="Calibri" w:cs="Calibri"/>
          <w:color w:val="000000"/>
          <w:sz w:val="20"/>
          <w:szCs w:val="20"/>
        </w:rPr>
        <w:t xml:space="preserve">However, recurring consultations with </w:t>
      </w:r>
      <w:r w:rsidR="003F5A50">
        <w:rPr>
          <w:rFonts w:ascii="Calibri" w:hAnsi="Calibri" w:cs="Calibri"/>
          <w:color w:val="000000"/>
          <w:sz w:val="20"/>
          <w:szCs w:val="20"/>
        </w:rPr>
        <w:t xml:space="preserve">UN-SIG JP members </w:t>
      </w:r>
      <w:r w:rsidR="00AB00C8">
        <w:rPr>
          <w:rFonts w:ascii="Calibri" w:hAnsi="Calibri" w:cs="Calibri"/>
          <w:color w:val="000000"/>
          <w:sz w:val="20"/>
          <w:szCs w:val="20"/>
        </w:rPr>
        <w:t xml:space="preserve">should have been facilitated </w:t>
      </w:r>
      <w:r w:rsidR="00614D94">
        <w:rPr>
          <w:rFonts w:ascii="Calibri" w:hAnsi="Calibri" w:cs="Calibri"/>
          <w:color w:val="000000"/>
          <w:sz w:val="20"/>
          <w:szCs w:val="20"/>
        </w:rPr>
        <w:t xml:space="preserve"> by the UN JP Coordinator to keep the activities of the UN Trust Funded-supported UN-SIG JP on EVAWG activities in partner agencies/organizations annual work plans. </w:t>
      </w:r>
      <w:r w:rsidRPr="006E1B40">
        <w:rPr>
          <w:rFonts w:ascii="Calibri" w:hAnsi="Calibri" w:cs="Calibri"/>
          <w:color w:val="000000"/>
          <w:sz w:val="20"/>
          <w:szCs w:val="20"/>
        </w:rPr>
        <w:t xml:space="preserve"> </w:t>
      </w:r>
    </w:p>
    <w:p w14:paraId="62F2456C" w14:textId="77777777" w:rsidR="00890950" w:rsidRPr="00F77D04" w:rsidRDefault="00890950" w:rsidP="00890950">
      <w:pPr>
        <w:spacing w:after="0" w:line="240" w:lineRule="auto"/>
        <w:rPr>
          <w:sz w:val="20"/>
          <w:szCs w:val="20"/>
        </w:rPr>
      </w:pPr>
    </w:p>
    <w:p w14:paraId="427EF51C" w14:textId="0B0EE5F4" w:rsidR="00890950" w:rsidRDefault="00614D94" w:rsidP="00F77D04">
      <w:pPr>
        <w:autoSpaceDE w:val="0"/>
        <w:autoSpaceDN w:val="0"/>
        <w:adjustRightInd w:val="0"/>
        <w:spacing w:after="0" w:line="240" w:lineRule="auto"/>
        <w:jc w:val="both"/>
        <w:rPr>
          <w:rFonts w:ascii="Calibri" w:hAnsi="Calibri" w:cs="Calibri"/>
          <w:color w:val="000000"/>
          <w:sz w:val="20"/>
          <w:szCs w:val="20"/>
        </w:rPr>
      </w:pPr>
      <w:r w:rsidRPr="00F77D04">
        <w:rPr>
          <w:rFonts w:ascii="Calibri" w:hAnsi="Calibri" w:cs="Calibri"/>
          <w:bCs/>
          <w:color w:val="000000"/>
          <w:sz w:val="20"/>
          <w:szCs w:val="20"/>
        </w:rPr>
        <w:t>A</w:t>
      </w:r>
      <w:r w:rsidR="00F77D04">
        <w:rPr>
          <w:rFonts w:ascii="Calibri" w:hAnsi="Calibri" w:cs="Calibri"/>
          <w:bCs/>
          <w:color w:val="000000"/>
          <w:sz w:val="20"/>
          <w:szCs w:val="20"/>
        </w:rPr>
        <w:t xml:space="preserve"> second </w:t>
      </w:r>
      <w:r w:rsidRPr="00F77D04">
        <w:rPr>
          <w:rFonts w:ascii="Calibri" w:hAnsi="Calibri" w:cs="Calibri"/>
          <w:bCs/>
          <w:color w:val="000000"/>
          <w:sz w:val="20"/>
          <w:szCs w:val="20"/>
        </w:rPr>
        <w:t xml:space="preserve">lesson learned </w:t>
      </w:r>
      <w:r w:rsidR="00890950" w:rsidRPr="00F77D04">
        <w:rPr>
          <w:rFonts w:ascii="Calibri" w:hAnsi="Calibri" w:cs="Calibri"/>
          <w:color w:val="000000"/>
          <w:sz w:val="20"/>
          <w:szCs w:val="20"/>
        </w:rPr>
        <w:t xml:space="preserve">was highlighted across the sectors that training on the FPA 2014 needed to be tailored to the agencies concerned. For example, police training on the FPA 2014 was </w:t>
      </w:r>
      <w:r w:rsidR="00F77D04" w:rsidRPr="00F77D04">
        <w:rPr>
          <w:rFonts w:ascii="Calibri" w:hAnsi="Calibri" w:cs="Calibri"/>
          <w:color w:val="000000"/>
          <w:sz w:val="20"/>
          <w:szCs w:val="20"/>
        </w:rPr>
        <w:t>tailored to t</w:t>
      </w:r>
      <w:r w:rsidR="00890950" w:rsidRPr="00F77D04">
        <w:rPr>
          <w:rFonts w:ascii="Calibri" w:hAnsi="Calibri" w:cs="Calibri"/>
          <w:color w:val="000000"/>
          <w:sz w:val="20"/>
          <w:szCs w:val="20"/>
        </w:rPr>
        <w:t xml:space="preserve">he application of the FPA 2014; whereas, training for </w:t>
      </w:r>
      <w:r w:rsidR="00F77D04" w:rsidRPr="00F77D04">
        <w:rPr>
          <w:rFonts w:ascii="Calibri" w:hAnsi="Calibri" w:cs="Calibri"/>
          <w:color w:val="000000"/>
          <w:sz w:val="20"/>
          <w:szCs w:val="20"/>
        </w:rPr>
        <w:t xml:space="preserve">CSO </w:t>
      </w:r>
      <w:r w:rsidR="00890950" w:rsidRPr="00F77D04">
        <w:rPr>
          <w:rFonts w:ascii="Calibri" w:hAnsi="Calibri" w:cs="Calibri"/>
          <w:color w:val="000000"/>
          <w:sz w:val="20"/>
          <w:szCs w:val="20"/>
        </w:rPr>
        <w:t xml:space="preserve">service providers </w:t>
      </w:r>
      <w:r w:rsidR="00F77D04" w:rsidRPr="00F77D04">
        <w:rPr>
          <w:rFonts w:ascii="Calibri" w:hAnsi="Calibri" w:cs="Calibri"/>
          <w:color w:val="000000"/>
          <w:sz w:val="20"/>
          <w:szCs w:val="20"/>
        </w:rPr>
        <w:t xml:space="preserve">and health workers needed to </w:t>
      </w:r>
      <w:r w:rsidR="00890950" w:rsidRPr="00F77D04">
        <w:rPr>
          <w:rFonts w:ascii="Calibri" w:hAnsi="Calibri" w:cs="Calibri"/>
          <w:color w:val="000000"/>
          <w:sz w:val="20"/>
          <w:szCs w:val="20"/>
        </w:rPr>
        <w:t xml:space="preserve">be focused on disseminating information on the </w:t>
      </w:r>
      <w:r w:rsidR="00F77D04" w:rsidRPr="00F77D04">
        <w:rPr>
          <w:rFonts w:ascii="Calibri" w:hAnsi="Calibri" w:cs="Calibri"/>
          <w:color w:val="000000"/>
          <w:sz w:val="20"/>
          <w:szCs w:val="20"/>
        </w:rPr>
        <w:t xml:space="preserve">contents of the FPA and </w:t>
      </w:r>
      <w:r w:rsidR="00890950" w:rsidRPr="00F77D04">
        <w:rPr>
          <w:rFonts w:ascii="Calibri" w:hAnsi="Calibri" w:cs="Calibri"/>
          <w:color w:val="000000"/>
          <w:sz w:val="20"/>
          <w:szCs w:val="20"/>
        </w:rPr>
        <w:t xml:space="preserve">rights of victims of family violence under the FPA 2014. The FPAC </w:t>
      </w:r>
      <w:r w:rsidR="00F77D04" w:rsidRPr="00F77D04">
        <w:rPr>
          <w:rFonts w:ascii="Calibri" w:hAnsi="Calibri" w:cs="Calibri"/>
          <w:color w:val="000000"/>
          <w:sz w:val="20"/>
          <w:szCs w:val="20"/>
        </w:rPr>
        <w:t>was</w:t>
      </w:r>
      <w:r w:rsidR="00890950" w:rsidRPr="00F77D04">
        <w:rPr>
          <w:rFonts w:ascii="Calibri" w:hAnsi="Calibri" w:cs="Calibri"/>
          <w:color w:val="000000"/>
          <w:sz w:val="20"/>
          <w:szCs w:val="20"/>
        </w:rPr>
        <w:t xml:space="preserve"> considering this further in its meetings which are attended by the Police Commissioner for the RSIFP, as well as administrative heads of relevant ministries,</w:t>
      </w:r>
      <w:r w:rsidR="00890950" w:rsidRPr="006E1B40">
        <w:rPr>
          <w:rFonts w:ascii="Calibri" w:hAnsi="Calibri" w:cs="Calibri"/>
          <w:color w:val="000000"/>
          <w:sz w:val="20"/>
          <w:szCs w:val="20"/>
        </w:rPr>
        <w:t xml:space="preserve"> including the MoJ. </w:t>
      </w:r>
      <w:r w:rsidR="00F77D04">
        <w:rPr>
          <w:rFonts w:ascii="Calibri" w:hAnsi="Calibri" w:cs="Calibri"/>
          <w:color w:val="000000"/>
          <w:sz w:val="20"/>
          <w:szCs w:val="20"/>
        </w:rPr>
        <w:t>In 2017, at the end of the project, there was still misunderstandings among frontline service providers as to the contents and application of the FPA, and the provision of victim rights in the FPA.</w:t>
      </w:r>
    </w:p>
    <w:p w14:paraId="176DE21E" w14:textId="77777777" w:rsidR="00F77D04" w:rsidRPr="006E1B40" w:rsidRDefault="00F77D04" w:rsidP="00F77D04">
      <w:pPr>
        <w:autoSpaceDE w:val="0"/>
        <w:autoSpaceDN w:val="0"/>
        <w:adjustRightInd w:val="0"/>
        <w:spacing w:after="0" w:line="240" w:lineRule="auto"/>
        <w:jc w:val="both"/>
        <w:rPr>
          <w:rFonts w:ascii="Calibri" w:hAnsi="Calibri" w:cs="Calibri"/>
          <w:color w:val="000000"/>
          <w:sz w:val="20"/>
          <w:szCs w:val="20"/>
        </w:rPr>
      </w:pPr>
    </w:p>
    <w:p w14:paraId="341A37D0" w14:textId="4E84CE75" w:rsidR="00890950" w:rsidRDefault="00890950" w:rsidP="00F77D04">
      <w:pPr>
        <w:autoSpaceDE w:val="0"/>
        <w:autoSpaceDN w:val="0"/>
        <w:adjustRightInd w:val="0"/>
        <w:spacing w:after="0" w:line="240" w:lineRule="auto"/>
        <w:jc w:val="both"/>
        <w:rPr>
          <w:rFonts w:ascii="Calibri" w:hAnsi="Calibri" w:cs="Calibri"/>
          <w:color w:val="000000"/>
          <w:sz w:val="20"/>
          <w:szCs w:val="20"/>
        </w:rPr>
      </w:pPr>
      <w:r w:rsidRPr="006E1B40">
        <w:rPr>
          <w:rFonts w:ascii="Calibri" w:hAnsi="Calibri" w:cs="Calibri"/>
          <w:color w:val="000000"/>
          <w:sz w:val="20"/>
          <w:szCs w:val="20"/>
        </w:rPr>
        <w:t xml:space="preserve">It is also important to note that UN-SIG JP government partners raised concerns about messages being presented on the FPA 2014 by all EVAWG partners in the Solomon Islands. The issue raised was whether the IEC materials used and the language/content presented is based on VAWG prevention principles and appropriately aligned with human rights-based approaches. The potential for inconsistency in messaging across the different stakeholders is a real risk that has already been documented during different consultations and meetings in Honiara and in the provinces. To this effect, the MWYCFA applied and received approval for funding to research effective communication about VAWG and EVAWG, considering it essential in addressing social attitudes and norms condoning VAWG. The MWYCFA based their proposal on understanding better the language most effective in addressing popular beliefs and cultural attitudes that serve as barriers to EVAWG; and, at the same time, provide sound evidence to inform the next steps for improving implementation of the FPA 2014. </w:t>
      </w:r>
    </w:p>
    <w:p w14:paraId="57F134F8" w14:textId="77777777" w:rsidR="00F77D04" w:rsidRPr="006E1B40" w:rsidRDefault="00F77D04" w:rsidP="00F77D04">
      <w:pPr>
        <w:autoSpaceDE w:val="0"/>
        <w:autoSpaceDN w:val="0"/>
        <w:adjustRightInd w:val="0"/>
        <w:spacing w:after="0" w:line="240" w:lineRule="auto"/>
        <w:jc w:val="both"/>
        <w:rPr>
          <w:rFonts w:ascii="Calibri" w:hAnsi="Calibri" w:cs="Calibri"/>
          <w:color w:val="000000"/>
          <w:sz w:val="20"/>
          <w:szCs w:val="20"/>
        </w:rPr>
      </w:pPr>
    </w:p>
    <w:p w14:paraId="44ED11D5" w14:textId="215DE06C" w:rsidR="00614D94" w:rsidRDefault="00F77D04" w:rsidP="00F77D04">
      <w:pPr>
        <w:spacing w:after="0" w:line="240" w:lineRule="auto"/>
        <w:jc w:val="both"/>
        <w:rPr>
          <w:rFonts w:cstheme="minorHAnsi"/>
          <w:sz w:val="20"/>
          <w:szCs w:val="20"/>
        </w:rPr>
      </w:pPr>
      <w:r>
        <w:rPr>
          <w:rFonts w:cstheme="minorHAnsi"/>
          <w:sz w:val="20"/>
          <w:szCs w:val="20"/>
        </w:rPr>
        <w:t xml:space="preserve">A third lesson learned was that that VAWG administrative data collection can be strengthened and better utilized. In 2016 and 2017 it became evident that </w:t>
      </w:r>
      <w:r w:rsidR="00614D94" w:rsidRPr="00614D94">
        <w:rPr>
          <w:rFonts w:cstheme="minorHAnsi"/>
          <w:sz w:val="20"/>
          <w:szCs w:val="20"/>
        </w:rPr>
        <w:t xml:space="preserve">SAFENET members found significant value in the collection, compilation and reporting of VAWG administrative data. Many SAFENET members even admitted that they wished that they had been keeping all of the data they had reported over the past three years, but did not think about it until the end of the project. </w:t>
      </w:r>
      <w:r w:rsidR="00AB00C8">
        <w:rPr>
          <w:rFonts w:cstheme="minorHAnsi"/>
          <w:sz w:val="20"/>
          <w:szCs w:val="20"/>
        </w:rPr>
        <w:t xml:space="preserve">There were weaknesses and sustainability issues in the ways and means of administrative data collection. </w:t>
      </w:r>
      <w:r w:rsidR="00595925">
        <w:rPr>
          <w:rFonts w:cstheme="minorHAnsi"/>
          <w:sz w:val="20"/>
          <w:szCs w:val="20"/>
        </w:rPr>
        <w:t>The project showed the relevance and usefulness of the data collected as well as the  need for increased capacity support to those collecting data i.e.</w:t>
      </w:r>
      <w:r w:rsidR="00614D94" w:rsidRPr="00614D94">
        <w:rPr>
          <w:rFonts w:cstheme="minorHAnsi"/>
          <w:sz w:val="20"/>
          <w:szCs w:val="20"/>
        </w:rPr>
        <w:t xml:space="preserve"> SAFENET members and the SAFENET Coordinator. Continued collection of VAWG administrative data from all SAFENET members will be important in order to monitor implementation of the FPA and EVAW Policy, and to monitor the impact and effectiveness of the new UN-SIG JP on ESP.</w:t>
      </w:r>
    </w:p>
    <w:p w14:paraId="0472856C" w14:textId="530E8396" w:rsidR="00F77D04" w:rsidRDefault="00F77D04" w:rsidP="00F77D04">
      <w:pPr>
        <w:spacing w:after="0" w:line="240" w:lineRule="auto"/>
        <w:jc w:val="both"/>
        <w:rPr>
          <w:rFonts w:cstheme="minorHAnsi"/>
          <w:sz w:val="20"/>
          <w:szCs w:val="20"/>
        </w:rPr>
      </w:pPr>
    </w:p>
    <w:p w14:paraId="6FE79B4D" w14:textId="7AD22588" w:rsidR="00614D94" w:rsidRPr="00614D94" w:rsidRDefault="00F77D04" w:rsidP="003505DF">
      <w:pPr>
        <w:spacing w:after="0" w:line="240" w:lineRule="auto"/>
        <w:jc w:val="both"/>
        <w:rPr>
          <w:rFonts w:cstheme="minorHAnsi"/>
          <w:sz w:val="20"/>
          <w:szCs w:val="20"/>
        </w:rPr>
      </w:pPr>
      <w:r>
        <w:rPr>
          <w:rFonts w:cstheme="minorHAnsi"/>
          <w:sz w:val="20"/>
          <w:szCs w:val="20"/>
        </w:rPr>
        <w:t>A fourth lesson learned was that results-based management should be recognized as an important part of any UN-supported project</w:t>
      </w:r>
      <w:r w:rsidR="00595925">
        <w:rPr>
          <w:rFonts w:cstheme="minorHAnsi"/>
          <w:sz w:val="20"/>
          <w:szCs w:val="20"/>
        </w:rPr>
        <w:t>.</w:t>
      </w:r>
      <w:r>
        <w:rPr>
          <w:rFonts w:cstheme="minorHAnsi"/>
          <w:sz w:val="20"/>
          <w:szCs w:val="20"/>
        </w:rPr>
        <w:t>. The UN-SIG JP on EVAWG  would have benefited from results-based management</w:t>
      </w:r>
      <w:r w:rsidR="003505DF">
        <w:rPr>
          <w:rFonts w:cstheme="minorHAnsi"/>
          <w:sz w:val="20"/>
          <w:szCs w:val="20"/>
        </w:rPr>
        <w:t xml:space="preserve">, that engaged UN-SIG JP members. </w:t>
      </w:r>
      <w:r>
        <w:rPr>
          <w:rFonts w:cstheme="minorHAnsi"/>
          <w:sz w:val="20"/>
          <w:szCs w:val="20"/>
        </w:rPr>
        <w:t xml:space="preserve"> </w:t>
      </w:r>
      <w:r w:rsidR="003505DF">
        <w:rPr>
          <w:rFonts w:cstheme="minorHAnsi"/>
          <w:sz w:val="20"/>
          <w:szCs w:val="20"/>
        </w:rPr>
        <w:t xml:space="preserve">It was a lost opportunity that results-based management was not </w:t>
      </w:r>
      <w:r w:rsidR="003505DF">
        <w:rPr>
          <w:rFonts w:cstheme="minorHAnsi"/>
          <w:sz w:val="20"/>
          <w:szCs w:val="20"/>
        </w:rPr>
        <w:lastRenderedPageBreak/>
        <w:t>effectually utilized, so that lessons could be</w:t>
      </w:r>
      <w:r w:rsidR="00614D94" w:rsidRPr="00614D94">
        <w:rPr>
          <w:rFonts w:cstheme="minorHAnsi"/>
          <w:sz w:val="20"/>
          <w:szCs w:val="20"/>
        </w:rPr>
        <w:t xml:space="preserve"> learn</w:t>
      </w:r>
      <w:r w:rsidR="003505DF">
        <w:rPr>
          <w:rFonts w:cstheme="minorHAnsi"/>
          <w:sz w:val="20"/>
          <w:szCs w:val="20"/>
        </w:rPr>
        <w:t>ed</w:t>
      </w:r>
      <w:r w:rsidR="00614D94" w:rsidRPr="00614D94">
        <w:rPr>
          <w:rFonts w:cstheme="minorHAnsi"/>
          <w:sz w:val="20"/>
          <w:szCs w:val="20"/>
        </w:rPr>
        <w:t xml:space="preserve"> from progress made and challenges face</w:t>
      </w:r>
      <w:r w:rsidR="00595925">
        <w:rPr>
          <w:rFonts w:cstheme="minorHAnsi"/>
          <w:sz w:val="20"/>
          <w:szCs w:val="20"/>
        </w:rPr>
        <w:t>. A</w:t>
      </w:r>
      <w:r w:rsidR="00614D94" w:rsidRPr="00614D94">
        <w:rPr>
          <w:rFonts w:cstheme="minorHAnsi"/>
          <w:sz w:val="20"/>
          <w:szCs w:val="20"/>
        </w:rPr>
        <w:t xml:space="preserve">djustments </w:t>
      </w:r>
      <w:r w:rsidR="003505DF">
        <w:rPr>
          <w:rFonts w:cstheme="minorHAnsi"/>
          <w:sz w:val="20"/>
          <w:szCs w:val="20"/>
        </w:rPr>
        <w:t xml:space="preserve">could have been more effectively made during </w:t>
      </w:r>
      <w:r w:rsidR="00614D94" w:rsidRPr="00614D94">
        <w:rPr>
          <w:rFonts w:cstheme="minorHAnsi"/>
          <w:sz w:val="20"/>
          <w:szCs w:val="20"/>
        </w:rPr>
        <w:t>project implementation to improve its impact, effectiveness, sustainability, and efficiency. The VAWG administrative data could have also been discussed,</w:t>
      </w:r>
      <w:r w:rsidR="00595925">
        <w:rPr>
          <w:rFonts w:cstheme="minorHAnsi"/>
          <w:sz w:val="20"/>
          <w:szCs w:val="20"/>
        </w:rPr>
        <w:t xml:space="preserve"> reflected upon </w:t>
      </w:r>
      <w:r w:rsidR="00614D94" w:rsidRPr="00614D94">
        <w:rPr>
          <w:rFonts w:cstheme="minorHAnsi"/>
          <w:sz w:val="20"/>
          <w:szCs w:val="20"/>
        </w:rPr>
        <w:t xml:space="preserve"> and used to make decisions about programming related to EVAWG and to improve project activities to improve the multi-sectoral response to VAWG, including referrals between agencies. </w:t>
      </w:r>
    </w:p>
    <w:p w14:paraId="233DCBEA" w14:textId="77777777" w:rsidR="00614D94" w:rsidRPr="00614D94" w:rsidRDefault="00614D94" w:rsidP="00F77D04">
      <w:pPr>
        <w:spacing w:after="0" w:line="240" w:lineRule="auto"/>
        <w:jc w:val="both"/>
        <w:rPr>
          <w:rFonts w:cstheme="minorHAnsi"/>
          <w:sz w:val="20"/>
          <w:szCs w:val="20"/>
        </w:rPr>
      </w:pPr>
    </w:p>
    <w:p w14:paraId="2F2E253F" w14:textId="1CEF0AB9" w:rsidR="003F5A50" w:rsidRPr="006E1B40" w:rsidRDefault="003505DF" w:rsidP="00F77D04">
      <w:pPr>
        <w:spacing w:after="0" w:line="240" w:lineRule="auto"/>
        <w:jc w:val="both"/>
        <w:rPr>
          <w:sz w:val="20"/>
          <w:szCs w:val="20"/>
        </w:rPr>
      </w:pPr>
      <w:r>
        <w:rPr>
          <w:rFonts w:cstheme="minorHAnsi"/>
          <w:sz w:val="20"/>
          <w:szCs w:val="20"/>
        </w:rPr>
        <w:t>A fifth and final lesson learned was that in the Solomon Island where o</w:t>
      </w:r>
      <w:r w:rsidR="003F5A50" w:rsidRPr="00614D94">
        <w:rPr>
          <w:rFonts w:cstheme="minorHAnsi"/>
          <w:sz w:val="20"/>
          <w:szCs w:val="20"/>
        </w:rPr>
        <w:t xml:space="preserve">rganisations, especially government offices, are usually understaffed </w:t>
      </w:r>
      <w:r>
        <w:rPr>
          <w:rFonts w:cstheme="minorHAnsi"/>
          <w:sz w:val="20"/>
          <w:szCs w:val="20"/>
        </w:rPr>
        <w:t xml:space="preserve">and underfunded, </w:t>
      </w:r>
      <w:r w:rsidR="003F5A50" w:rsidRPr="00614D94">
        <w:rPr>
          <w:rFonts w:cstheme="minorHAnsi"/>
          <w:sz w:val="20"/>
          <w:szCs w:val="20"/>
        </w:rPr>
        <w:t>with many competing priorities, execution of projects may be hampe</w:t>
      </w:r>
      <w:r w:rsidR="003F5A50" w:rsidRPr="006E1B40">
        <w:rPr>
          <w:sz w:val="20"/>
          <w:szCs w:val="20"/>
        </w:rPr>
        <w:t>red. It is important to realistically plan activities and implementation time in order to avoid competing priorities.</w:t>
      </w:r>
      <w:r>
        <w:rPr>
          <w:sz w:val="20"/>
          <w:szCs w:val="20"/>
        </w:rPr>
        <w:t xml:space="preserve"> </w:t>
      </w:r>
      <w:r w:rsidR="00595925">
        <w:rPr>
          <w:sz w:val="20"/>
          <w:szCs w:val="20"/>
        </w:rPr>
        <w:t>W</w:t>
      </w:r>
      <w:r>
        <w:rPr>
          <w:sz w:val="20"/>
          <w:szCs w:val="20"/>
        </w:rPr>
        <w:t>hen there is turnover in government staff in key partner agencies, time needs to be taken to develop knowledge and understanding of the project, including planned activities, monitoring and reporting requirements, and expected outputs and outcomes.</w:t>
      </w:r>
    </w:p>
    <w:p w14:paraId="2E1C60BE" w14:textId="77777777" w:rsidR="003F5A50" w:rsidRPr="00143FEB" w:rsidRDefault="003F5A50" w:rsidP="00236413">
      <w:pPr>
        <w:spacing w:after="0" w:line="240" w:lineRule="auto"/>
        <w:rPr>
          <w:sz w:val="21"/>
          <w:szCs w:val="21"/>
        </w:rPr>
      </w:pPr>
    </w:p>
    <w:p w14:paraId="7284DE84" w14:textId="77777777" w:rsidR="00236413" w:rsidRPr="00143FEB" w:rsidRDefault="00236413" w:rsidP="005E40C3">
      <w:pPr>
        <w:pStyle w:val="Heading3"/>
        <w:pBdr>
          <w:bottom w:val="single" w:sz="4" w:space="1" w:color="auto"/>
        </w:pBdr>
        <w:spacing w:before="0" w:line="240" w:lineRule="auto"/>
        <w:rPr>
          <w:sz w:val="21"/>
          <w:szCs w:val="21"/>
        </w:rPr>
      </w:pPr>
      <w:bookmarkStart w:id="4" w:name="_Toc341089361"/>
      <w:r w:rsidRPr="00143FEB">
        <w:rPr>
          <w:sz w:val="21"/>
          <w:szCs w:val="21"/>
        </w:rPr>
        <w:t>3.4 Innovative methodologies</w:t>
      </w:r>
      <w:bookmarkEnd w:id="4"/>
    </w:p>
    <w:p w14:paraId="6E5974BF" w14:textId="77777777" w:rsidR="00236413" w:rsidRPr="00143FEB" w:rsidRDefault="00236413" w:rsidP="004D5536">
      <w:pPr>
        <w:pStyle w:val="ListParagraph"/>
        <w:numPr>
          <w:ilvl w:val="1"/>
          <w:numId w:val="5"/>
        </w:numPr>
        <w:spacing w:before="120" w:after="0" w:line="240" w:lineRule="auto"/>
        <w:ind w:left="360"/>
        <w:rPr>
          <w:b/>
          <w:sz w:val="21"/>
          <w:szCs w:val="21"/>
        </w:rPr>
      </w:pPr>
      <w:r w:rsidRPr="00143FEB">
        <w:rPr>
          <w:sz w:val="21"/>
          <w:szCs w:val="21"/>
        </w:rPr>
        <w:t xml:space="preserve">Is your </w:t>
      </w:r>
      <w:r w:rsidRPr="00143FEB">
        <w:rPr>
          <w:rFonts w:cstheme="minorHAnsi"/>
          <w:sz w:val="21"/>
          <w:szCs w:val="21"/>
        </w:rPr>
        <w:t>project</w:t>
      </w:r>
      <w:r w:rsidRPr="00143FEB">
        <w:rPr>
          <w:sz w:val="21"/>
          <w:szCs w:val="21"/>
        </w:rPr>
        <w:t xml:space="preserve"> using any new/innovative methodology?</w:t>
      </w:r>
    </w:p>
    <w:p w14:paraId="78E0BAE5" w14:textId="1B49E55B" w:rsidR="007866BF" w:rsidRPr="00143FEB" w:rsidRDefault="00ED43BA" w:rsidP="00350A8D">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1"/>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7866BF" w:rsidRPr="00143FEB">
        <w:rPr>
          <w:rFonts w:ascii="Calibri" w:hAnsi="Calibri" w:cs="Calibri"/>
          <w:sz w:val="21"/>
          <w:szCs w:val="21"/>
          <w:lang w:val="en-GB"/>
        </w:rPr>
        <w:t xml:space="preserve"> Yes</w:t>
      </w:r>
    </w:p>
    <w:p w14:paraId="606ED89A" w14:textId="77777777" w:rsidR="007866BF" w:rsidRPr="00143FEB" w:rsidRDefault="007866BF" w:rsidP="00350A8D">
      <w:pPr>
        <w:spacing w:after="0" w:line="240" w:lineRule="auto"/>
        <w:ind w:left="360"/>
        <w:rPr>
          <w:rFonts w:ascii="Calibri" w:hAnsi="Calibri" w:cs="Calibri"/>
          <w:sz w:val="21"/>
          <w:szCs w:val="21"/>
          <w:lang w:val="en-GB"/>
        </w:rPr>
      </w:pPr>
      <w:r w:rsidRPr="00143FEB">
        <w:rPr>
          <w:rFonts w:ascii="Calibri" w:hAnsi="Calibri" w:cs="Calibri"/>
          <w:sz w:val="21"/>
          <w:szCs w:val="21"/>
          <w:lang w:val="en-GB"/>
        </w:rPr>
        <w:fldChar w:fldCharType="begin">
          <w:ffData>
            <w:name w:val="Check31"/>
            <w:enabled/>
            <w:calcOnExit w:val="0"/>
            <w:checkBox>
              <w:sizeAuto/>
              <w:default w:val="0"/>
            </w:checkBox>
          </w:ffData>
        </w:fldChar>
      </w:r>
      <w:r w:rsidRPr="00143FEB">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sidRPr="00143FEB">
        <w:rPr>
          <w:rFonts w:ascii="Calibri" w:hAnsi="Calibri" w:cs="Calibri"/>
          <w:sz w:val="21"/>
          <w:szCs w:val="21"/>
          <w:lang w:val="en-GB"/>
        </w:rPr>
        <w:fldChar w:fldCharType="end"/>
      </w:r>
      <w:r w:rsidRPr="00143FEB">
        <w:rPr>
          <w:rFonts w:ascii="Calibri" w:hAnsi="Calibri" w:cs="Calibri"/>
          <w:sz w:val="21"/>
          <w:szCs w:val="21"/>
          <w:lang w:val="en-GB"/>
        </w:rPr>
        <w:t xml:space="preserve"> No</w:t>
      </w:r>
    </w:p>
    <w:p w14:paraId="17787E10" w14:textId="77777777" w:rsidR="00236413" w:rsidRPr="00143FEB" w:rsidRDefault="008376F3" w:rsidP="00350A8D">
      <w:pPr>
        <w:pStyle w:val="ListParagraph"/>
        <w:numPr>
          <w:ilvl w:val="1"/>
          <w:numId w:val="5"/>
        </w:numPr>
        <w:spacing w:before="120" w:after="0" w:line="240" w:lineRule="auto"/>
        <w:ind w:left="360"/>
        <w:rPr>
          <w:b/>
          <w:i/>
          <w:sz w:val="21"/>
          <w:szCs w:val="21"/>
        </w:rPr>
      </w:pPr>
      <w:r w:rsidRPr="00143FEB">
        <w:rPr>
          <w:i/>
          <w:sz w:val="21"/>
          <w:szCs w:val="21"/>
          <w:lang w:val="en-GB"/>
        </w:rPr>
        <w:t xml:space="preserve">If </w:t>
      </w:r>
      <w:r w:rsidRPr="00143FEB">
        <w:rPr>
          <w:sz w:val="21"/>
          <w:szCs w:val="21"/>
        </w:rPr>
        <w:t>yes</w:t>
      </w:r>
      <w:r w:rsidRPr="00143FEB">
        <w:rPr>
          <w:i/>
          <w:sz w:val="21"/>
          <w:szCs w:val="21"/>
          <w:lang w:val="en-GB"/>
        </w:rPr>
        <w:t>, p</w:t>
      </w:r>
      <w:r w:rsidR="00236413" w:rsidRPr="00143FEB">
        <w:rPr>
          <w:i/>
          <w:sz w:val="21"/>
          <w:szCs w:val="21"/>
        </w:rPr>
        <w:t xml:space="preserve">lease describe it briefly and how it is being applied to the project. </w:t>
      </w:r>
      <w:r w:rsidR="00702BEE" w:rsidRPr="00143FEB">
        <w:rPr>
          <w:sz w:val="21"/>
          <w:szCs w:val="21"/>
        </w:rPr>
        <w:t>(</w:t>
      </w:r>
      <w:r w:rsidR="00702BEE" w:rsidRPr="00143FEB">
        <w:rPr>
          <w:color w:val="FF0000"/>
          <w:sz w:val="21"/>
          <w:szCs w:val="21"/>
        </w:rPr>
        <w:t>Maximum 1,500 words</w:t>
      </w:r>
      <w:r w:rsidR="00702BEE" w:rsidRPr="00143FEB">
        <w:rPr>
          <w:sz w:val="21"/>
          <w:szCs w:val="21"/>
        </w:rPr>
        <w:t>)</w:t>
      </w:r>
    </w:p>
    <w:p w14:paraId="0488F7CB" w14:textId="77777777" w:rsidR="00AE1025" w:rsidRPr="003505DF" w:rsidRDefault="00AE1025" w:rsidP="003505DF">
      <w:pPr>
        <w:spacing w:after="0" w:line="240" w:lineRule="auto"/>
        <w:rPr>
          <w:sz w:val="20"/>
          <w:szCs w:val="20"/>
        </w:rPr>
      </w:pPr>
    </w:p>
    <w:p w14:paraId="1596E145" w14:textId="77777777" w:rsidR="00106234" w:rsidRPr="003505DF" w:rsidRDefault="00106234" w:rsidP="003505DF">
      <w:pPr>
        <w:autoSpaceDE w:val="0"/>
        <w:autoSpaceDN w:val="0"/>
        <w:adjustRightInd w:val="0"/>
        <w:spacing w:after="0" w:line="240" w:lineRule="auto"/>
        <w:rPr>
          <w:rFonts w:ascii="Calibri" w:hAnsi="Calibri" w:cs="Calibri"/>
          <w:color w:val="000000"/>
          <w:sz w:val="20"/>
          <w:szCs w:val="20"/>
        </w:rPr>
      </w:pPr>
    </w:p>
    <w:p w14:paraId="71F8F6DC" w14:textId="77777777" w:rsidR="003505DF" w:rsidRDefault="00106234" w:rsidP="003505DF">
      <w:pPr>
        <w:spacing w:after="0" w:line="240" w:lineRule="auto"/>
        <w:jc w:val="both"/>
        <w:rPr>
          <w:sz w:val="20"/>
          <w:szCs w:val="20"/>
        </w:rPr>
      </w:pPr>
      <w:r w:rsidRPr="003505DF">
        <w:rPr>
          <w:sz w:val="20"/>
          <w:szCs w:val="20"/>
        </w:rPr>
        <w:t xml:space="preserve">The goal of the </w:t>
      </w:r>
      <w:r w:rsidR="003505DF">
        <w:rPr>
          <w:sz w:val="20"/>
          <w:szCs w:val="20"/>
        </w:rPr>
        <w:t xml:space="preserve">UN-SIG </w:t>
      </w:r>
      <w:r w:rsidRPr="003505DF">
        <w:rPr>
          <w:sz w:val="20"/>
          <w:szCs w:val="20"/>
        </w:rPr>
        <w:t xml:space="preserve">JP </w:t>
      </w:r>
      <w:r w:rsidR="003505DF">
        <w:rPr>
          <w:sz w:val="20"/>
          <w:szCs w:val="20"/>
        </w:rPr>
        <w:t xml:space="preserve">on EVAWG was </w:t>
      </w:r>
      <w:r w:rsidRPr="003505DF">
        <w:rPr>
          <w:sz w:val="20"/>
          <w:szCs w:val="20"/>
        </w:rPr>
        <w:t xml:space="preserve">that women and girls who experience domestic and/or sexual violence will have greater access to protection and assistance through effective implementation of EVAWG policies, focusing on quality multi-sectoral service delivery. This </w:t>
      </w:r>
      <w:r w:rsidR="003505DF">
        <w:rPr>
          <w:sz w:val="20"/>
          <w:szCs w:val="20"/>
        </w:rPr>
        <w:t xml:space="preserve">UN-SIG </w:t>
      </w:r>
      <w:r w:rsidRPr="003505DF">
        <w:rPr>
          <w:sz w:val="20"/>
          <w:szCs w:val="20"/>
        </w:rPr>
        <w:t xml:space="preserve">JP </w:t>
      </w:r>
      <w:r w:rsidR="003505DF">
        <w:rPr>
          <w:sz w:val="20"/>
          <w:szCs w:val="20"/>
        </w:rPr>
        <w:t xml:space="preserve">on EVAWG was </w:t>
      </w:r>
      <w:r w:rsidRPr="003505DF">
        <w:rPr>
          <w:sz w:val="20"/>
          <w:szCs w:val="20"/>
        </w:rPr>
        <w:t>a new and innovative methodology being used to achieve this goal</w:t>
      </w:r>
      <w:r w:rsidR="003505DF">
        <w:rPr>
          <w:sz w:val="20"/>
          <w:szCs w:val="20"/>
        </w:rPr>
        <w:t xml:space="preserve">. </w:t>
      </w:r>
    </w:p>
    <w:p w14:paraId="6CEBC26E" w14:textId="77777777" w:rsidR="003505DF" w:rsidRDefault="003505DF" w:rsidP="003505DF">
      <w:pPr>
        <w:spacing w:after="0" w:line="240" w:lineRule="auto"/>
        <w:jc w:val="both"/>
        <w:rPr>
          <w:sz w:val="20"/>
          <w:szCs w:val="20"/>
        </w:rPr>
      </w:pPr>
    </w:p>
    <w:p w14:paraId="3140CF46" w14:textId="35D475DE" w:rsidR="00890950" w:rsidRDefault="001A0A69" w:rsidP="001A0A69">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One new or innovative approach was UN Women technical support to e</w:t>
      </w:r>
      <w:r w:rsidR="00890950" w:rsidRPr="003505DF">
        <w:rPr>
          <w:rFonts w:ascii="Calibri" w:hAnsi="Calibri" w:cs="Calibri"/>
          <w:color w:val="000000"/>
          <w:sz w:val="20"/>
          <w:szCs w:val="20"/>
        </w:rPr>
        <w:t>ngage of the Secretariat of the Pacific Community’s Regional Rights Resource Team (SPC RRRT) on the development and delivery of training for members of Parliament on the FPA 2014</w:t>
      </w:r>
      <w:r>
        <w:rPr>
          <w:rFonts w:ascii="Calibri" w:hAnsi="Calibri" w:cs="Calibri"/>
          <w:color w:val="000000"/>
          <w:sz w:val="20"/>
          <w:szCs w:val="20"/>
        </w:rPr>
        <w:t>. A</w:t>
      </w:r>
      <w:r w:rsidR="00890950" w:rsidRPr="003505DF">
        <w:rPr>
          <w:rFonts w:ascii="Calibri" w:hAnsi="Calibri" w:cs="Calibri"/>
          <w:color w:val="000000"/>
          <w:sz w:val="20"/>
          <w:szCs w:val="20"/>
        </w:rPr>
        <w:t xml:space="preserve"> local consultant with extensive legal policy experience in Pacific Island countries </w:t>
      </w:r>
      <w:r>
        <w:rPr>
          <w:rFonts w:ascii="Calibri" w:hAnsi="Calibri" w:cs="Calibri"/>
          <w:color w:val="000000"/>
          <w:sz w:val="20"/>
          <w:szCs w:val="20"/>
        </w:rPr>
        <w:t>was contracted t</w:t>
      </w:r>
      <w:r w:rsidR="00890950" w:rsidRPr="003505DF">
        <w:rPr>
          <w:rFonts w:ascii="Calibri" w:hAnsi="Calibri" w:cs="Calibri"/>
          <w:color w:val="000000"/>
          <w:sz w:val="20"/>
          <w:szCs w:val="20"/>
        </w:rPr>
        <w:t xml:space="preserve">o complete this </w:t>
      </w:r>
      <w:r>
        <w:rPr>
          <w:rFonts w:ascii="Calibri" w:hAnsi="Calibri" w:cs="Calibri"/>
          <w:color w:val="000000"/>
          <w:sz w:val="20"/>
          <w:szCs w:val="20"/>
        </w:rPr>
        <w:t xml:space="preserve">activity. </w:t>
      </w:r>
      <w:r w:rsidR="00890950" w:rsidRPr="003505DF">
        <w:rPr>
          <w:rFonts w:ascii="Calibri" w:hAnsi="Calibri" w:cs="Calibri"/>
          <w:color w:val="000000"/>
          <w:sz w:val="20"/>
          <w:szCs w:val="20"/>
        </w:rPr>
        <w:t xml:space="preserve">Having also been involved in preparing the Solomon Islands delegation and report to CEDAW, this consultant was also contracted to support coordination of CEDAW implementation related to EVAWG. A final output for this same consultant was the development of a national counselling framework that could become a regulation subsidiary to the FPA 2014. </w:t>
      </w:r>
      <w:r>
        <w:rPr>
          <w:rFonts w:ascii="Calibri" w:hAnsi="Calibri" w:cs="Calibri"/>
          <w:color w:val="000000"/>
          <w:sz w:val="20"/>
          <w:szCs w:val="20"/>
        </w:rPr>
        <w:t xml:space="preserve">The </w:t>
      </w:r>
      <w:r w:rsidR="00890950" w:rsidRPr="003505DF">
        <w:rPr>
          <w:rFonts w:ascii="Calibri" w:hAnsi="Calibri" w:cs="Calibri"/>
          <w:color w:val="000000"/>
          <w:sz w:val="20"/>
          <w:szCs w:val="20"/>
        </w:rPr>
        <w:t xml:space="preserve">management of the inputs and deliverables </w:t>
      </w:r>
      <w:r>
        <w:rPr>
          <w:rFonts w:ascii="Calibri" w:hAnsi="Calibri" w:cs="Calibri"/>
          <w:color w:val="000000"/>
          <w:sz w:val="20"/>
          <w:szCs w:val="20"/>
        </w:rPr>
        <w:t xml:space="preserve">by </w:t>
      </w:r>
      <w:r w:rsidR="00890950" w:rsidRPr="003505DF">
        <w:rPr>
          <w:rFonts w:ascii="Calibri" w:hAnsi="Calibri" w:cs="Calibri"/>
          <w:color w:val="000000"/>
          <w:sz w:val="20"/>
          <w:szCs w:val="20"/>
        </w:rPr>
        <w:t xml:space="preserve">this </w:t>
      </w:r>
      <w:r>
        <w:rPr>
          <w:rFonts w:ascii="Calibri" w:hAnsi="Calibri" w:cs="Calibri"/>
          <w:color w:val="000000"/>
          <w:sz w:val="20"/>
          <w:szCs w:val="20"/>
        </w:rPr>
        <w:t xml:space="preserve">national </w:t>
      </w:r>
      <w:r w:rsidR="00890950" w:rsidRPr="003505DF">
        <w:rPr>
          <w:rFonts w:ascii="Calibri" w:hAnsi="Calibri" w:cs="Calibri"/>
          <w:color w:val="000000"/>
          <w:sz w:val="20"/>
          <w:szCs w:val="20"/>
        </w:rPr>
        <w:t>consultant was the responsibility of the MWYCFA EVAW Policy Coordinator</w:t>
      </w:r>
      <w:r>
        <w:rPr>
          <w:rFonts w:ascii="Calibri" w:hAnsi="Calibri" w:cs="Calibri"/>
          <w:color w:val="000000"/>
          <w:sz w:val="20"/>
          <w:szCs w:val="20"/>
        </w:rPr>
        <w:t xml:space="preserve">, which demonstrated that the </w:t>
      </w:r>
      <w:r w:rsidR="00890950" w:rsidRPr="003505DF">
        <w:rPr>
          <w:rFonts w:ascii="Calibri" w:hAnsi="Calibri" w:cs="Calibri"/>
          <w:color w:val="000000"/>
          <w:sz w:val="20"/>
          <w:szCs w:val="20"/>
        </w:rPr>
        <w:t xml:space="preserve">MWYCFA </w:t>
      </w:r>
      <w:r>
        <w:rPr>
          <w:rFonts w:ascii="Calibri" w:hAnsi="Calibri" w:cs="Calibri"/>
          <w:color w:val="000000"/>
          <w:sz w:val="20"/>
          <w:szCs w:val="20"/>
        </w:rPr>
        <w:t xml:space="preserve">matured during the three-year project period </w:t>
      </w:r>
      <w:r w:rsidR="00890950" w:rsidRPr="003505DF">
        <w:rPr>
          <w:rFonts w:ascii="Calibri" w:hAnsi="Calibri" w:cs="Calibri"/>
          <w:color w:val="000000"/>
          <w:sz w:val="20"/>
          <w:szCs w:val="20"/>
        </w:rPr>
        <w:t xml:space="preserve">in its articulation of capacity needs, and managing resources for maximum impact across its priority areas. </w:t>
      </w:r>
    </w:p>
    <w:p w14:paraId="077F9CB4" w14:textId="77777777" w:rsidR="001A0A69" w:rsidRPr="003505DF" w:rsidRDefault="001A0A69" w:rsidP="001A0A69">
      <w:pPr>
        <w:autoSpaceDE w:val="0"/>
        <w:autoSpaceDN w:val="0"/>
        <w:adjustRightInd w:val="0"/>
        <w:spacing w:after="0" w:line="240" w:lineRule="auto"/>
        <w:jc w:val="both"/>
        <w:rPr>
          <w:rFonts w:ascii="Calibri" w:hAnsi="Calibri" w:cs="Calibri"/>
          <w:color w:val="000000"/>
          <w:sz w:val="20"/>
          <w:szCs w:val="20"/>
        </w:rPr>
      </w:pPr>
    </w:p>
    <w:p w14:paraId="3F361680" w14:textId="6891C333" w:rsidR="00890950" w:rsidRPr="003505DF" w:rsidRDefault="00890950" w:rsidP="001A0A69">
      <w:pPr>
        <w:autoSpaceDE w:val="0"/>
        <w:autoSpaceDN w:val="0"/>
        <w:adjustRightInd w:val="0"/>
        <w:spacing w:after="0" w:line="240" w:lineRule="auto"/>
        <w:jc w:val="both"/>
        <w:rPr>
          <w:sz w:val="20"/>
          <w:szCs w:val="20"/>
        </w:rPr>
      </w:pPr>
      <w:r w:rsidRPr="003505DF">
        <w:rPr>
          <w:rFonts w:ascii="Calibri" w:hAnsi="Calibri" w:cs="Calibri"/>
          <w:color w:val="000000"/>
          <w:sz w:val="20"/>
          <w:szCs w:val="20"/>
        </w:rPr>
        <w:t>Another innovati</w:t>
      </w:r>
      <w:r w:rsidR="001A0A69">
        <w:rPr>
          <w:rFonts w:ascii="Calibri" w:hAnsi="Calibri" w:cs="Calibri"/>
          <w:color w:val="000000"/>
          <w:sz w:val="20"/>
          <w:szCs w:val="20"/>
        </w:rPr>
        <w:t xml:space="preserve">ve approach was the </w:t>
      </w:r>
      <w:r w:rsidRPr="003505DF">
        <w:rPr>
          <w:rFonts w:ascii="Calibri" w:hAnsi="Calibri" w:cs="Calibri"/>
          <w:color w:val="000000"/>
          <w:sz w:val="20"/>
          <w:szCs w:val="20"/>
        </w:rPr>
        <w:t xml:space="preserve">parallel </w:t>
      </w:r>
      <w:r w:rsidR="004760E2">
        <w:rPr>
          <w:rFonts w:ascii="Calibri" w:hAnsi="Calibri" w:cs="Calibri"/>
          <w:color w:val="000000"/>
          <w:sz w:val="20"/>
          <w:szCs w:val="20"/>
        </w:rPr>
        <w:t xml:space="preserve">project M&amp;E process </w:t>
      </w:r>
      <w:r w:rsidRPr="003505DF">
        <w:rPr>
          <w:rFonts w:ascii="Calibri" w:hAnsi="Calibri" w:cs="Calibri"/>
          <w:color w:val="000000"/>
          <w:sz w:val="20"/>
          <w:szCs w:val="20"/>
        </w:rPr>
        <w:t xml:space="preserve">process that helped </w:t>
      </w:r>
      <w:r w:rsidR="001A0A69">
        <w:rPr>
          <w:rFonts w:ascii="Calibri" w:hAnsi="Calibri" w:cs="Calibri"/>
          <w:color w:val="000000"/>
          <w:sz w:val="20"/>
          <w:szCs w:val="20"/>
        </w:rPr>
        <w:t xml:space="preserve">the </w:t>
      </w:r>
      <w:r w:rsidRPr="003505DF">
        <w:rPr>
          <w:rFonts w:ascii="Calibri" w:hAnsi="Calibri" w:cs="Calibri"/>
          <w:color w:val="000000"/>
          <w:sz w:val="20"/>
          <w:szCs w:val="20"/>
        </w:rPr>
        <w:t>MWYFCA identify gaps in capacities of GFPs across the ministries</w:t>
      </w:r>
      <w:r w:rsidR="00595925">
        <w:rPr>
          <w:rFonts w:ascii="Calibri" w:hAnsi="Calibri" w:cs="Calibri"/>
          <w:color w:val="000000"/>
          <w:sz w:val="20"/>
          <w:szCs w:val="20"/>
        </w:rPr>
        <w:t>.</w:t>
      </w:r>
      <w:r w:rsidRPr="003505DF">
        <w:rPr>
          <w:rFonts w:ascii="Calibri" w:hAnsi="Calibri" w:cs="Calibri"/>
          <w:color w:val="000000"/>
          <w:sz w:val="20"/>
          <w:szCs w:val="20"/>
        </w:rPr>
        <w:t xml:space="preserve"> </w:t>
      </w:r>
      <w:r w:rsidR="00595925">
        <w:rPr>
          <w:rFonts w:ascii="Calibri" w:hAnsi="Calibri" w:cs="Calibri"/>
          <w:color w:val="000000"/>
          <w:sz w:val="20"/>
          <w:szCs w:val="20"/>
        </w:rPr>
        <w:t xml:space="preserve"> </w:t>
      </w:r>
      <w:r w:rsidRPr="003505DF">
        <w:rPr>
          <w:rFonts w:ascii="Calibri" w:hAnsi="Calibri" w:cs="Calibri"/>
          <w:color w:val="000000"/>
          <w:sz w:val="20"/>
          <w:szCs w:val="20"/>
        </w:rPr>
        <w:t xml:space="preserve"> </w:t>
      </w:r>
      <w:r w:rsidR="004760E2">
        <w:rPr>
          <w:rFonts w:ascii="Calibri" w:hAnsi="Calibri" w:cs="Calibri"/>
          <w:color w:val="000000"/>
          <w:sz w:val="20"/>
          <w:szCs w:val="20"/>
        </w:rPr>
        <w:t>F</w:t>
      </w:r>
      <w:r w:rsidR="001A0A69">
        <w:rPr>
          <w:rFonts w:ascii="Calibri" w:hAnsi="Calibri" w:cs="Calibri"/>
          <w:color w:val="000000"/>
          <w:sz w:val="20"/>
          <w:szCs w:val="20"/>
        </w:rPr>
        <w:t>ocus group discussions conducted with GFPs during the baseline study and midline assessment, as well as t</w:t>
      </w:r>
      <w:r w:rsidRPr="003505DF">
        <w:rPr>
          <w:rFonts w:ascii="Calibri" w:hAnsi="Calibri" w:cs="Calibri"/>
          <w:color w:val="000000"/>
          <w:sz w:val="20"/>
          <w:szCs w:val="20"/>
        </w:rPr>
        <w:t xml:space="preserve">hrough one-on-one consultations and email/phone contact with select GFPs </w:t>
      </w:r>
      <w:r w:rsidR="001A0A69">
        <w:rPr>
          <w:rFonts w:ascii="Calibri" w:hAnsi="Calibri" w:cs="Calibri"/>
          <w:color w:val="000000"/>
          <w:sz w:val="20"/>
          <w:szCs w:val="20"/>
        </w:rPr>
        <w:t xml:space="preserve">related to the </w:t>
      </w:r>
      <w:r w:rsidRPr="003505DF">
        <w:rPr>
          <w:rFonts w:ascii="Calibri" w:hAnsi="Calibri" w:cs="Calibri"/>
          <w:color w:val="000000"/>
          <w:sz w:val="20"/>
          <w:szCs w:val="20"/>
        </w:rPr>
        <w:t>self-monitoring tool</w:t>
      </w:r>
      <w:r w:rsidR="004760E2">
        <w:rPr>
          <w:rFonts w:ascii="Calibri" w:hAnsi="Calibri" w:cs="Calibri"/>
          <w:color w:val="000000"/>
          <w:sz w:val="20"/>
          <w:szCs w:val="20"/>
        </w:rPr>
        <w:t xml:space="preserve"> helped to clarify gaps. </w:t>
      </w:r>
      <w:r w:rsidR="001A0A69">
        <w:rPr>
          <w:rFonts w:ascii="Calibri" w:hAnsi="Calibri" w:cs="Calibri"/>
          <w:color w:val="000000"/>
          <w:sz w:val="20"/>
          <w:szCs w:val="20"/>
        </w:rPr>
        <w:t xml:space="preserve">. UN Women and the </w:t>
      </w:r>
      <w:r w:rsidRPr="003505DF">
        <w:rPr>
          <w:rFonts w:ascii="Calibri" w:hAnsi="Calibri" w:cs="Calibri"/>
          <w:color w:val="000000"/>
          <w:sz w:val="20"/>
          <w:szCs w:val="20"/>
        </w:rPr>
        <w:t xml:space="preserve">MWYCFA identified </w:t>
      </w:r>
      <w:r w:rsidR="001A0A69">
        <w:rPr>
          <w:rFonts w:ascii="Calibri" w:hAnsi="Calibri" w:cs="Calibri"/>
          <w:color w:val="000000"/>
          <w:sz w:val="20"/>
          <w:szCs w:val="20"/>
        </w:rPr>
        <w:t>existing gaps, such as c</w:t>
      </w:r>
      <w:r w:rsidRPr="003505DF">
        <w:rPr>
          <w:rFonts w:ascii="Calibri" w:hAnsi="Calibri" w:cs="Calibri"/>
          <w:color w:val="000000"/>
          <w:sz w:val="20"/>
          <w:szCs w:val="20"/>
        </w:rPr>
        <w:t>apacity (basic gender mainstreaming skills and tools)</w:t>
      </w:r>
      <w:r w:rsidR="001A0A69">
        <w:rPr>
          <w:rFonts w:ascii="Calibri" w:hAnsi="Calibri" w:cs="Calibri"/>
          <w:color w:val="000000"/>
          <w:sz w:val="20"/>
          <w:szCs w:val="20"/>
        </w:rPr>
        <w:t>, and v</w:t>
      </w:r>
      <w:r w:rsidRPr="003505DF">
        <w:rPr>
          <w:rFonts w:ascii="Calibri" w:hAnsi="Calibri" w:cs="Calibri"/>
          <w:color w:val="000000"/>
          <w:sz w:val="20"/>
          <w:szCs w:val="20"/>
        </w:rPr>
        <w:t>isually attractive/reader-friendly IEC materials on the FPA 2014 and relevant policies (such as the EVAW Policy and GEWD Policy</w:t>
      </w:r>
      <w:r w:rsidR="004760E2">
        <w:rPr>
          <w:rFonts w:ascii="Calibri" w:hAnsi="Calibri" w:cs="Calibri"/>
          <w:color w:val="000000"/>
          <w:sz w:val="20"/>
          <w:szCs w:val="20"/>
        </w:rPr>
        <w:t xml:space="preserve">) </w:t>
      </w:r>
      <w:r w:rsidRPr="003505DF">
        <w:rPr>
          <w:rFonts w:ascii="Calibri" w:hAnsi="Calibri" w:cs="Calibri"/>
          <w:color w:val="1F487C"/>
          <w:sz w:val="20"/>
          <w:szCs w:val="20"/>
        </w:rPr>
        <w:t>T</w:t>
      </w:r>
      <w:r w:rsidRPr="003505DF">
        <w:rPr>
          <w:rFonts w:ascii="Calibri" w:hAnsi="Calibri" w:cs="Calibri"/>
          <w:color w:val="000000"/>
          <w:sz w:val="20"/>
          <w:szCs w:val="20"/>
        </w:rPr>
        <w:t xml:space="preserve">he MWYCFA </w:t>
      </w:r>
      <w:r w:rsidR="001A0A69">
        <w:rPr>
          <w:rFonts w:ascii="Calibri" w:hAnsi="Calibri" w:cs="Calibri"/>
          <w:color w:val="000000"/>
          <w:sz w:val="20"/>
          <w:szCs w:val="20"/>
        </w:rPr>
        <w:t>came to understand overtime that GFPs require more capacity building to support gender aware annual work plans and to gender</w:t>
      </w:r>
      <w:r w:rsidR="00762FF5">
        <w:rPr>
          <w:rFonts w:ascii="Calibri" w:hAnsi="Calibri" w:cs="Calibri"/>
          <w:color w:val="000000"/>
          <w:sz w:val="20"/>
          <w:szCs w:val="20"/>
        </w:rPr>
        <w:t xml:space="preserve"> mainstream policies.</w:t>
      </w:r>
      <w:r w:rsidR="001A0A69">
        <w:rPr>
          <w:rFonts w:ascii="Calibri" w:hAnsi="Calibri" w:cs="Calibri"/>
          <w:color w:val="000000"/>
          <w:sz w:val="20"/>
          <w:szCs w:val="20"/>
        </w:rPr>
        <w:t xml:space="preserve"> </w:t>
      </w:r>
    </w:p>
    <w:p w14:paraId="1909F3AF" w14:textId="77777777" w:rsidR="00AE1025" w:rsidRDefault="00AE1025" w:rsidP="00AE1025">
      <w:pPr>
        <w:spacing w:after="0" w:line="240" w:lineRule="auto"/>
        <w:rPr>
          <w:sz w:val="21"/>
          <w:szCs w:val="21"/>
        </w:rPr>
      </w:pPr>
    </w:p>
    <w:p w14:paraId="147262F8" w14:textId="691C2A45" w:rsidR="00307B36" w:rsidRPr="00143FEB" w:rsidRDefault="00307B36" w:rsidP="00AE1025">
      <w:pPr>
        <w:spacing w:after="0" w:line="240" w:lineRule="auto"/>
        <w:rPr>
          <w:sz w:val="21"/>
          <w:szCs w:val="21"/>
        </w:rPr>
      </w:pPr>
      <w:r>
        <w:rPr>
          <w:sz w:val="21"/>
          <w:szCs w:val="21"/>
        </w:rPr>
        <w:t xml:space="preserve">In pulling synergies of national programs at the national level of the health sector, the National GBV Programme and the National Sexual Reproductive Health Programme have </w:t>
      </w:r>
      <w:r w:rsidR="00D91938">
        <w:rPr>
          <w:sz w:val="21"/>
          <w:szCs w:val="21"/>
        </w:rPr>
        <w:t>integrated some of their Programme activities to scale up linkages and also saves program costs.</w:t>
      </w:r>
    </w:p>
    <w:p w14:paraId="2DD6497B" w14:textId="6E999D72" w:rsidR="00AE1025" w:rsidRPr="00143FEB" w:rsidRDefault="00AE1025" w:rsidP="00AE1025">
      <w:pPr>
        <w:spacing w:after="0" w:line="240" w:lineRule="auto"/>
        <w:rPr>
          <w:sz w:val="21"/>
          <w:szCs w:val="21"/>
        </w:rPr>
      </w:pPr>
    </w:p>
    <w:p w14:paraId="10CDC369" w14:textId="77777777" w:rsidR="00236413" w:rsidRPr="00143FEB" w:rsidRDefault="00236413" w:rsidP="005E40C3">
      <w:pPr>
        <w:pStyle w:val="Heading3"/>
        <w:pBdr>
          <w:bottom w:val="single" w:sz="4" w:space="1" w:color="auto"/>
        </w:pBdr>
        <w:spacing w:before="0" w:line="240" w:lineRule="auto"/>
        <w:rPr>
          <w:sz w:val="21"/>
          <w:szCs w:val="21"/>
        </w:rPr>
      </w:pPr>
      <w:bookmarkStart w:id="5" w:name="_Toc341089362"/>
      <w:r w:rsidRPr="00143FEB">
        <w:rPr>
          <w:sz w:val="21"/>
          <w:szCs w:val="21"/>
        </w:rPr>
        <w:t>3.5 Existing methodologies</w:t>
      </w:r>
      <w:bookmarkEnd w:id="5"/>
      <w:r w:rsidRPr="00143FEB">
        <w:rPr>
          <w:sz w:val="21"/>
          <w:szCs w:val="21"/>
        </w:rPr>
        <w:t xml:space="preserve"> </w:t>
      </w:r>
    </w:p>
    <w:p w14:paraId="40CE50D0" w14:textId="77777777" w:rsidR="00236413" w:rsidRPr="00143FEB" w:rsidRDefault="00236413" w:rsidP="00350A8D">
      <w:pPr>
        <w:pStyle w:val="ListParagraph"/>
        <w:numPr>
          <w:ilvl w:val="1"/>
          <w:numId w:val="5"/>
        </w:numPr>
        <w:spacing w:before="120" w:after="0" w:line="240" w:lineRule="auto"/>
        <w:ind w:left="360"/>
        <w:rPr>
          <w:b/>
          <w:sz w:val="21"/>
          <w:szCs w:val="21"/>
        </w:rPr>
      </w:pPr>
      <w:r w:rsidRPr="00143FEB">
        <w:rPr>
          <w:sz w:val="21"/>
          <w:szCs w:val="21"/>
        </w:rPr>
        <w:t>Is your project replicating and/or scaling up any existing methodolog</w:t>
      </w:r>
      <w:r w:rsidR="00926508" w:rsidRPr="00143FEB">
        <w:rPr>
          <w:sz w:val="21"/>
          <w:szCs w:val="21"/>
        </w:rPr>
        <w:t>y</w:t>
      </w:r>
      <w:r w:rsidRPr="00143FEB">
        <w:rPr>
          <w:sz w:val="21"/>
          <w:szCs w:val="21"/>
        </w:rPr>
        <w:t xml:space="preserve">? </w:t>
      </w:r>
    </w:p>
    <w:p w14:paraId="45FF01D8" w14:textId="77777777" w:rsidR="007866BF" w:rsidRPr="00143FEB" w:rsidRDefault="007866BF" w:rsidP="00350A8D">
      <w:pPr>
        <w:spacing w:after="0" w:line="240" w:lineRule="auto"/>
        <w:ind w:left="360"/>
        <w:rPr>
          <w:rFonts w:ascii="Calibri" w:hAnsi="Calibri" w:cs="Calibri"/>
          <w:sz w:val="21"/>
          <w:szCs w:val="21"/>
          <w:lang w:val="en-GB"/>
        </w:rPr>
      </w:pPr>
      <w:r w:rsidRPr="00143FEB">
        <w:rPr>
          <w:rFonts w:ascii="Calibri" w:hAnsi="Calibri" w:cs="Calibri"/>
          <w:sz w:val="21"/>
          <w:szCs w:val="21"/>
          <w:lang w:val="en-GB"/>
        </w:rPr>
        <w:fldChar w:fldCharType="begin">
          <w:ffData>
            <w:name w:val="Check35"/>
            <w:enabled/>
            <w:calcOnExit w:val="0"/>
            <w:checkBox>
              <w:sizeAuto/>
              <w:default w:val="0"/>
            </w:checkBox>
          </w:ffData>
        </w:fldChar>
      </w:r>
      <w:r w:rsidRPr="00143FEB">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sidRPr="00143FEB">
        <w:rPr>
          <w:rFonts w:ascii="Calibri" w:hAnsi="Calibri" w:cs="Calibri"/>
          <w:sz w:val="21"/>
          <w:szCs w:val="21"/>
          <w:lang w:val="en-GB"/>
        </w:rPr>
        <w:fldChar w:fldCharType="end"/>
      </w:r>
      <w:r w:rsidRPr="00143FEB">
        <w:rPr>
          <w:rFonts w:ascii="Calibri" w:hAnsi="Calibri" w:cs="Calibri"/>
          <w:sz w:val="21"/>
          <w:szCs w:val="21"/>
          <w:lang w:val="en-GB"/>
        </w:rPr>
        <w:t xml:space="preserve"> Yes</w:t>
      </w:r>
    </w:p>
    <w:p w14:paraId="62F6A3D8" w14:textId="77777777" w:rsidR="007866BF" w:rsidRPr="00143FEB" w:rsidRDefault="00890950" w:rsidP="00350A8D">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Check31"/>
            <w:enabled/>
            <w:calcOnExit w:val="0"/>
            <w:checkBox>
              <w:sizeAuto/>
              <w:default w:val="1"/>
            </w:checkBox>
          </w:ffData>
        </w:fldChar>
      </w:r>
      <w:bookmarkStart w:id="6" w:name="Check31"/>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bookmarkEnd w:id="6"/>
      <w:r w:rsidR="007866BF" w:rsidRPr="00143FEB">
        <w:rPr>
          <w:rFonts w:ascii="Calibri" w:hAnsi="Calibri" w:cs="Calibri"/>
          <w:sz w:val="21"/>
          <w:szCs w:val="21"/>
          <w:lang w:val="en-GB"/>
        </w:rPr>
        <w:t xml:space="preserve"> No</w:t>
      </w:r>
    </w:p>
    <w:p w14:paraId="2AF87049" w14:textId="77777777" w:rsidR="00236413" w:rsidRPr="00143FEB" w:rsidRDefault="00C931A0" w:rsidP="00350A8D">
      <w:pPr>
        <w:pStyle w:val="ListParagraph"/>
        <w:numPr>
          <w:ilvl w:val="1"/>
          <w:numId w:val="5"/>
        </w:numPr>
        <w:spacing w:before="120" w:after="0" w:line="240" w:lineRule="auto"/>
        <w:ind w:left="360"/>
        <w:rPr>
          <w:b/>
          <w:sz w:val="21"/>
          <w:szCs w:val="21"/>
        </w:rPr>
      </w:pPr>
      <w:r w:rsidRPr="00143FEB">
        <w:rPr>
          <w:sz w:val="21"/>
          <w:szCs w:val="21"/>
        </w:rPr>
        <w:t>If yes, p</w:t>
      </w:r>
      <w:r w:rsidR="00236413" w:rsidRPr="00143FEB">
        <w:rPr>
          <w:sz w:val="21"/>
          <w:szCs w:val="21"/>
        </w:rPr>
        <w:t xml:space="preserve">lease describe it briefly and how it is being applied to the project. </w:t>
      </w:r>
      <w:r w:rsidR="00702BEE" w:rsidRPr="00143FEB">
        <w:rPr>
          <w:sz w:val="21"/>
          <w:szCs w:val="21"/>
        </w:rPr>
        <w:t>(</w:t>
      </w:r>
      <w:r w:rsidR="00702BEE" w:rsidRPr="00143FEB">
        <w:rPr>
          <w:color w:val="FF0000"/>
          <w:sz w:val="21"/>
          <w:szCs w:val="21"/>
        </w:rPr>
        <w:t>Maximum 1,500 words</w:t>
      </w:r>
      <w:r w:rsidR="00702BEE" w:rsidRPr="00143FEB">
        <w:rPr>
          <w:sz w:val="21"/>
          <w:szCs w:val="21"/>
        </w:rPr>
        <w:t>)</w:t>
      </w:r>
    </w:p>
    <w:p w14:paraId="17F859B1" w14:textId="77777777" w:rsidR="00AE1025" w:rsidRDefault="00AE1025" w:rsidP="00AE1025">
      <w:pPr>
        <w:spacing w:after="0" w:line="240" w:lineRule="auto"/>
        <w:rPr>
          <w:rStyle w:val="Heading2Char"/>
          <w:rFonts w:asciiTheme="minorHAnsi" w:eastAsiaTheme="minorEastAsia" w:hAnsiTheme="minorHAnsi" w:cstheme="minorBidi"/>
          <w:b w:val="0"/>
          <w:bCs w:val="0"/>
          <w:color w:val="auto"/>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12741"/>
      </w:tblGrid>
      <w:tr w:rsidR="00890950" w:rsidRPr="00890950" w14:paraId="60FA32C7" w14:textId="77777777">
        <w:trPr>
          <w:trHeight w:val="110"/>
        </w:trPr>
        <w:tc>
          <w:tcPr>
            <w:tcW w:w="12741" w:type="dxa"/>
          </w:tcPr>
          <w:p w14:paraId="2D95A57B" w14:textId="77777777" w:rsidR="00890950" w:rsidRPr="00890950" w:rsidRDefault="00890950" w:rsidP="00890950">
            <w:pPr>
              <w:autoSpaceDE w:val="0"/>
              <w:autoSpaceDN w:val="0"/>
              <w:adjustRightInd w:val="0"/>
              <w:spacing w:after="0" w:line="240" w:lineRule="auto"/>
              <w:rPr>
                <w:rFonts w:ascii="Calibri" w:hAnsi="Calibri" w:cs="Calibri"/>
                <w:color w:val="FFFFFF"/>
              </w:rPr>
            </w:pPr>
            <w:r w:rsidRPr="00890950">
              <w:rPr>
                <w:rFonts w:ascii="Calibri" w:hAnsi="Calibri" w:cs="Calibri"/>
                <w:b/>
                <w:bCs/>
                <w:color w:val="FFFFFF"/>
              </w:rPr>
              <w:t xml:space="preserve">Issues and Challenges in 2016 </w:t>
            </w:r>
          </w:p>
        </w:tc>
      </w:tr>
    </w:tbl>
    <w:p w14:paraId="797AE6FD" w14:textId="77777777" w:rsidR="00AE1025" w:rsidRPr="00143FEB" w:rsidRDefault="00AE1025" w:rsidP="00AE1025">
      <w:pPr>
        <w:spacing w:after="0" w:line="240" w:lineRule="auto"/>
        <w:rPr>
          <w:rStyle w:val="Heading2Char"/>
          <w:rFonts w:asciiTheme="minorHAnsi" w:eastAsiaTheme="minorEastAsia" w:hAnsiTheme="minorHAnsi" w:cstheme="minorBidi"/>
          <w:b w:val="0"/>
          <w:bCs w:val="0"/>
          <w:color w:val="auto"/>
          <w:sz w:val="21"/>
          <w:szCs w:val="21"/>
        </w:rPr>
      </w:pPr>
    </w:p>
    <w:p w14:paraId="7AFC6AEC" w14:textId="77777777" w:rsidR="00236413" w:rsidRPr="009C0693" w:rsidRDefault="00236413" w:rsidP="005E40C3">
      <w:pPr>
        <w:pStyle w:val="Heading3"/>
        <w:pBdr>
          <w:bottom w:val="single" w:sz="4" w:space="1" w:color="auto"/>
        </w:pBdr>
        <w:spacing w:before="0" w:line="240" w:lineRule="auto"/>
        <w:rPr>
          <w:sz w:val="21"/>
          <w:szCs w:val="21"/>
        </w:rPr>
      </w:pPr>
      <w:bookmarkStart w:id="7" w:name="_Toc341089363"/>
      <w:r w:rsidRPr="009C0693">
        <w:rPr>
          <w:bCs w:val="0"/>
          <w:sz w:val="21"/>
          <w:szCs w:val="21"/>
        </w:rPr>
        <w:t>3.6 Issues and challenges</w:t>
      </w:r>
      <w:bookmarkEnd w:id="7"/>
    </w:p>
    <w:p w14:paraId="409ED90B" w14:textId="77777777" w:rsidR="00236413" w:rsidRPr="00143FEB" w:rsidRDefault="00236413" w:rsidP="00926508">
      <w:pPr>
        <w:pStyle w:val="ListParagraph"/>
        <w:numPr>
          <w:ilvl w:val="1"/>
          <w:numId w:val="5"/>
        </w:numPr>
        <w:spacing w:before="120" w:after="0" w:line="240" w:lineRule="auto"/>
        <w:ind w:left="360"/>
        <w:rPr>
          <w:b/>
          <w:sz w:val="21"/>
          <w:szCs w:val="21"/>
        </w:rPr>
      </w:pPr>
      <w:r w:rsidRPr="00143FEB">
        <w:rPr>
          <w:sz w:val="21"/>
          <w:szCs w:val="21"/>
        </w:rPr>
        <w:t>W</w:t>
      </w:r>
      <w:r w:rsidR="00926508" w:rsidRPr="00143FEB">
        <w:rPr>
          <w:sz w:val="21"/>
          <w:szCs w:val="21"/>
        </w:rPr>
        <w:t>ere</w:t>
      </w:r>
      <w:r w:rsidRPr="00143FEB">
        <w:rPr>
          <w:sz w:val="21"/>
          <w:szCs w:val="21"/>
        </w:rPr>
        <w:t xml:space="preserve"> there any issues and/or challenges that have affected project implementation during the reporting period? </w:t>
      </w:r>
    </w:p>
    <w:p w14:paraId="28F957D5" w14:textId="5AF8C1EA" w:rsidR="007866BF" w:rsidRPr="00143FEB" w:rsidRDefault="00D74B57" w:rsidP="00926508">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1"/>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7866BF" w:rsidRPr="00143FEB">
        <w:rPr>
          <w:rFonts w:ascii="Calibri" w:hAnsi="Calibri" w:cs="Calibri"/>
          <w:sz w:val="21"/>
          <w:szCs w:val="21"/>
          <w:lang w:val="en-GB"/>
        </w:rPr>
        <w:t xml:space="preserve"> Yes</w:t>
      </w:r>
    </w:p>
    <w:p w14:paraId="00AB623F" w14:textId="77777777" w:rsidR="006A6572" w:rsidRPr="00143FEB" w:rsidRDefault="007866BF" w:rsidP="00926508">
      <w:pPr>
        <w:spacing w:after="0" w:line="240" w:lineRule="auto"/>
        <w:ind w:left="360"/>
        <w:rPr>
          <w:rFonts w:ascii="Calibri" w:hAnsi="Calibri" w:cs="Calibri"/>
          <w:sz w:val="21"/>
          <w:szCs w:val="21"/>
          <w:lang w:val="en-GB"/>
        </w:rPr>
      </w:pPr>
      <w:r w:rsidRPr="00143FEB">
        <w:rPr>
          <w:rFonts w:ascii="Calibri" w:hAnsi="Calibri" w:cs="Calibri"/>
          <w:sz w:val="21"/>
          <w:szCs w:val="21"/>
          <w:lang w:val="en-GB"/>
        </w:rPr>
        <w:fldChar w:fldCharType="begin">
          <w:ffData>
            <w:name w:val="Check31"/>
            <w:enabled/>
            <w:calcOnExit w:val="0"/>
            <w:checkBox>
              <w:sizeAuto/>
              <w:default w:val="0"/>
            </w:checkBox>
          </w:ffData>
        </w:fldChar>
      </w:r>
      <w:r w:rsidRPr="00143FEB">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sidRPr="00143FEB">
        <w:rPr>
          <w:rFonts w:ascii="Calibri" w:hAnsi="Calibri" w:cs="Calibri"/>
          <w:sz w:val="21"/>
          <w:szCs w:val="21"/>
          <w:lang w:val="en-GB"/>
        </w:rPr>
        <w:fldChar w:fldCharType="end"/>
      </w:r>
      <w:r w:rsidRPr="00143FEB">
        <w:rPr>
          <w:rFonts w:ascii="Calibri" w:hAnsi="Calibri" w:cs="Calibri"/>
          <w:sz w:val="21"/>
          <w:szCs w:val="21"/>
          <w:lang w:val="en-GB"/>
        </w:rPr>
        <w:t xml:space="preserve"> </w:t>
      </w:r>
      <w:r w:rsidR="0088001A" w:rsidRPr="00143FEB">
        <w:rPr>
          <w:rFonts w:ascii="Calibri" w:hAnsi="Calibri" w:cs="Calibri"/>
          <w:sz w:val="21"/>
          <w:szCs w:val="21"/>
          <w:lang w:val="en-GB"/>
        </w:rPr>
        <w:t>No</w:t>
      </w:r>
    </w:p>
    <w:p w14:paraId="70B648B2" w14:textId="77777777" w:rsidR="00762FF5" w:rsidRPr="00762FF5" w:rsidRDefault="00C931A0" w:rsidP="00762FF5">
      <w:pPr>
        <w:pStyle w:val="ListParagraph"/>
        <w:numPr>
          <w:ilvl w:val="1"/>
          <w:numId w:val="5"/>
        </w:numPr>
        <w:spacing w:before="120" w:after="0" w:line="240" w:lineRule="auto"/>
        <w:ind w:left="360"/>
        <w:rPr>
          <w:rFonts w:asciiTheme="majorHAnsi" w:eastAsiaTheme="majorEastAsia" w:hAnsiTheme="majorHAnsi" w:cstheme="majorBidi"/>
          <w:bCs/>
          <w:color w:val="4F81BD" w:themeColor="accent1"/>
          <w:sz w:val="21"/>
          <w:szCs w:val="21"/>
        </w:rPr>
      </w:pPr>
      <w:r w:rsidRPr="00143FEB">
        <w:rPr>
          <w:sz w:val="21"/>
          <w:szCs w:val="21"/>
          <w:lang w:val="en-GB"/>
        </w:rPr>
        <w:t xml:space="preserve">If yes, </w:t>
      </w:r>
      <w:r w:rsidRPr="00143FEB">
        <w:rPr>
          <w:sz w:val="21"/>
          <w:szCs w:val="21"/>
        </w:rPr>
        <w:t>p</w:t>
      </w:r>
      <w:r w:rsidR="00236413" w:rsidRPr="00143FEB">
        <w:rPr>
          <w:sz w:val="21"/>
          <w:szCs w:val="21"/>
        </w:rPr>
        <w:t>lease describe the key issues and/or challenges that have affected project implementation during the reporting period. For each issue and challenge identified, please provide the action(s) taken to manage the issues and/or challenges.</w:t>
      </w:r>
      <w:r w:rsidR="00236413" w:rsidRPr="00143FEB">
        <w:rPr>
          <w:rFonts w:ascii="Times New Roman" w:hAnsi="Times New Roman" w:cs="Times New Roman"/>
          <w:color w:val="0000FF"/>
          <w:sz w:val="21"/>
          <w:szCs w:val="21"/>
        </w:rPr>
        <w:t xml:space="preserve"> </w:t>
      </w:r>
      <w:r w:rsidR="00A17323" w:rsidRPr="00143FEB">
        <w:rPr>
          <w:sz w:val="21"/>
          <w:szCs w:val="21"/>
        </w:rPr>
        <w:t>(</w:t>
      </w:r>
      <w:r w:rsidR="00A17323" w:rsidRPr="00143FEB">
        <w:rPr>
          <w:color w:val="FF0000"/>
          <w:sz w:val="21"/>
          <w:szCs w:val="21"/>
        </w:rPr>
        <w:t>Maximum 800 words per issue/challenge and per action taken)</w:t>
      </w:r>
    </w:p>
    <w:p w14:paraId="51F40F2F" w14:textId="0CA6E165" w:rsidR="00106234" w:rsidRDefault="00106234" w:rsidP="00762FF5">
      <w:pPr>
        <w:pStyle w:val="ListParagraph"/>
        <w:spacing w:before="120" w:after="0" w:line="240" w:lineRule="auto"/>
        <w:ind w:left="360"/>
        <w:rPr>
          <w:rStyle w:val="Heading2Char"/>
          <w:b w:val="0"/>
          <w:sz w:val="21"/>
          <w:szCs w:val="21"/>
        </w:rPr>
      </w:pPr>
    </w:p>
    <w:p w14:paraId="0BCBB890" w14:textId="7A4E9E52" w:rsidR="00D74B57" w:rsidRPr="00D74B57" w:rsidRDefault="00D74B57" w:rsidP="00D74B57">
      <w:pPr>
        <w:pStyle w:val="ListParagraph"/>
        <w:spacing w:before="120" w:after="0" w:line="240" w:lineRule="auto"/>
        <w:ind w:left="0"/>
        <w:rPr>
          <w:rStyle w:val="Heading2Char"/>
          <w:rFonts w:asciiTheme="minorHAnsi" w:hAnsiTheme="minorHAnsi" w:cstheme="minorHAnsi"/>
          <w:b w:val="0"/>
          <w:color w:val="auto"/>
          <w:sz w:val="20"/>
          <w:szCs w:val="20"/>
        </w:rPr>
      </w:pPr>
      <w:r w:rsidRPr="00D74B57">
        <w:rPr>
          <w:rStyle w:val="Heading2Char"/>
          <w:rFonts w:asciiTheme="minorHAnsi" w:hAnsiTheme="minorHAnsi" w:cstheme="minorHAnsi"/>
          <w:b w:val="0"/>
          <w:color w:val="auto"/>
          <w:sz w:val="20"/>
          <w:szCs w:val="20"/>
        </w:rPr>
        <w:t>The</w:t>
      </w:r>
      <w:r>
        <w:rPr>
          <w:rStyle w:val="Heading2Char"/>
          <w:rFonts w:asciiTheme="minorHAnsi" w:hAnsiTheme="minorHAnsi" w:cstheme="minorHAnsi"/>
          <w:b w:val="0"/>
          <w:color w:val="auto"/>
          <w:sz w:val="20"/>
          <w:szCs w:val="20"/>
        </w:rPr>
        <w:t xml:space="preserve"> table chronicles the issues and challenges that were identified in 2015 and 2016, and the actions taken two address these issues and challenges during each year of the project implementation.</w:t>
      </w:r>
    </w:p>
    <w:p w14:paraId="3FDD159B" w14:textId="77777777" w:rsidR="00D74B57" w:rsidRDefault="00D74B57" w:rsidP="00762FF5">
      <w:pPr>
        <w:pStyle w:val="ListParagraph"/>
        <w:spacing w:before="120" w:after="0" w:line="240" w:lineRule="auto"/>
        <w:ind w:left="360"/>
        <w:rPr>
          <w:rStyle w:val="Heading2Char"/>
          <w:b w:val="0"/>
          <w:sz w:val="21"/>
          <w:szCs w:val="21"/>
        </w:rPr>
      </w:pPr>
    </w:p>
    <w:tbl>
      <w:tblPr>
        <w:tblStyle w:val="TableGrid"/>
        <w:tblW w:w="0" w:type="auto"/>
        <w:tblLayout w:type="fixed"/>
        <w:tblLook w:val="04A0" w:firstRow="1" w:lastRow="0" w:firstColumn="1" w:lastColumn="0" w:noHBand="0" w:noVBand="1"/>
      </w:tblPr>
      <w:tblGrid>
        <w:gridCol w:w="4968"/>
        <w:gridCol w:w="8208"/>
      </w:tblGrid>
      <w:tr w:rsidR="00106234" w:rsidRPr="0090520D" w14:paraId="083ED949" w14:textId="77777777" w:rsidTr="00277EC3">
        <w:tc>
          <w:tcPr>
            <w:tcW w:w="4968" w:type="dxa"/>
            <w:shd w:val="clear" w:color="auto" w:fill="1F497D" w:themeFill="text2"/>
          </w:tcPr>
          <w:p w14:paraId="19764BAF" w14:textId="77777777" w:rsidR="00106234" w:rsidRPr="001905A5" w:rsidRDefault="00106234" w:rsidP="00277EC3">
            <w:pPr>
              <w:jc w:val="center"/>
              <w:rPr>
                <w:b/>
                <w:color w:val="FFFFFF" w:themeColor="background1"/>
                <w:sz w:val="21"/>
                <w:szCs w:val="21"/>
              </w:rPr>
            </w:pPr>
            <w:r w:rsidRPr="001905A5">
              <w:rPr>
                <w:b/>
                <w:color w:val="FFFFFF" w:themeColor="background1"/>
                <w:sz w:val="21"/>
                <w:szCs w:val="21"/>
              </w:rPr>
              <w:t>Issues/Challenges</w:t>
            </w:r>
          </w:p>
        </w:tc>
        <w:tc>
          <w:tcPr>
            <w:tcW w:w="8208" w:type="dxa"/>
            <w:shd w:val="clear" w:color="auto" w:fill="1F497D" w:themeFill="text2"/>
          </w:tcPr>
          <w:p w14:paraId="6A42302B" w14:textId="77777777" w:rsidR="00106234" w:rsidRPr="001905A5" w:rsidRDefault="00106234" w:rsidP="00277EC3">
            <w:pPr>
              <w:jc w:val="center"/>
              <w:rPr>
                <w:b/>
                <w:color w:val="FFFFFF" w:themeColor="background1"/>
                <w:sz w:val="21"/>
                <w:szCs w:val="21"/>
              </w:rPr>
            </w:pPr>
            <w:r w:rsidRPr="001905A5">
              <w:rPr>
                <w:b/>
                <w:color w:val="FFFFFF" w:themeColor="background1"/>
                <w:sz w:val="21"/>
                <w:szCs w:val="21"/>
              </w:rPr>
              <w:t>Actions taken</w:t>
            </w:r>
          </w:p>
        </w:tc>
      </w:tr>
      <w:tr w:rsidR="00762FF5" w:rsidRPr="0090520D" w14:paraId="7D872903" w14:textId="77777777" w:rsidTr="00277EC3">
        <w:tc>
          <w:tcPr>
            <w:tcW w:w="4968" w:type="dxa"/>
            <w:shd w:val="clear" w:color="auto" w:fill="EEECE1" w:themeFill="background2"/>
          </w:tcPr>
          <w:p w14:paraId="315A170B" w14:textId="711F6B53" w:rsidR="00762FF5" w:rsidRPr="00762FF5" w:rsidRDefault="00762FF5" w:rsidP="00277EC3">
            <w:pPr>
              <w:jc w:val="both"/>
              <w:rPr>
                <w:b/>
                <w:sz w:val="21"/>
                <w:szCs w:val="21"/>
                <w:u w:val="single"/>
              </w:rPr>
            </w:pPr>
            <w:r w:rsidRPr="00762FF5">
              <w:rPr>
                <w:b/>
                <w:sz w:val="21"/>
                <w:szCs w:val="21"/>
                <w:u w:val="single"/>
              </w:rPr>
              <w:t>2015</w:t>
            </w:r>
          </w:p>
        </w:tc>
        <w:tc>
          <w:tcPr>
            <w:tcW w:w="8208" w:type="dxa"/>
            <w:shd w:val="clear" w:color="auto" w:fill="EEECE1" w:themeFill="background2"/>
          </w:tcPr>
          <w:p w14:paraId="6832BCF0" w14:textId="77777777" w:rsidR="00762FF5" w:rsidRPr="001905A5" w:rsidRDefault="00762FF5" w:rsidP="00277EC3">
            <w:pPr>
              <w:jc w:val="both"/>
              <w:rPr>
                <w:sz w:val="21"/>
                <w:szCs w:val="21"/>
              </w:rPr>
            </w:pPr>
          </w:p>
        </w:tc>
      </w:tr>
      <w:tr w:rsidR="00106234" w:rsidRPr="0090520D" w14:paraId="6E9097E6" w14:textId="77777777" w:rsidTr="00277EC3">
        <w:tc>
          <w:tcPr>
            <w:tcW w:w="4968" w:type="dxa"/>
            <w:shd w:val="clear" w:color="auto" w:fill="FFFFFF" w:themeFill="background1"/>
          </w:tcPr>
          <w:p w14:paraId="6E227C11" w14:textId="77777777" w:rsidR="00106234" w:rsidRPr="00762FF5" w:rsidRDefault="00106234" w:rsidP="00277EC3">
            <w:pPr>
              <w:jc w:val="both"/>
              <w:rPr>
                <w:sz w:val="20"/>
                <w:szCs w:val="20"/>
              </w:rPr>
            </w:pPr>
            <w:r w:rsidRPr="00762FF5">
              <w:rPr>
                <w:sz w:val="20"/>
                <w:szCs w:val="20"/>
              </w:rPr>
              <w:t xml:space="preserve">Lack of systematic ways of keeping data by service providers, and limited knowledge and experience among stakeholders of results-based monitoring and evidence-based programming was a challenge in setting up an M&amp;E framework and tools. This was coupled with an issue of getting approval from relevant government agencies for use of the M&amp;E tools. Inter-ministerial and department data sharing is a challenge, and because this project involves CSO service providers and UN agencies, some ministries and departments are reluctant to share data. </w:t>
            </w:r>
          </w:p>
        </w:tc>
        <w:tc>
          <w:tcPr>
            <w:tcW w:w="8208" w:type="dxa"/>
            <w:shd w:val="clear" w:color="auto" w:fill="FFFFFF" w:themeFill="background1"/>
          </w:tcPr>
          <w:p w14:paraId="3BFE7B02" w14:textId="77777777" w:rsidR="00106234" w:rsidRPr="00762FF5" w:rsidRDefault="00106234" w:rsidP="00277EC3">
            <w:pPr>
              <w:jc w:val="both"/>
              <w:rPr>
                <w:sz w:val="20"/>
                <w:szCs w:val="20"/>
              </w:rPr>
            </w:pPr>
            <w:r w:rsidRPr="00762FF5">
              <w:rPr>
                <w:sz w:val="20"/>
                <w:szCs w:val="20"/>
              </w:rPr>
              <w:t>The MWYCFA EVAW Policy Coordinator was identified as the primary SIG Coordinator of the JP, and was sent to the UNTF Capacity Development workshop in Marrakesh, Morocco, along with the JP Coordinator. Further knowledge transfers have since occurred and continue to do so between other UN and SIG colleagues.</w:t>
            </w:r>
          </w:p>
          <w:p w14:paraId="2CC1C5AF" w14:textId="77777777" w:rsidR="00106234" w:rsidRPr="00762FF5" w:rsidRDefault="00106234" w:rsidP="00277EC3">
            <w:pPr>
              <w:jc w:val="both"/>
              <w:rPr>
                <w:rFonts w:cs="CalibriRegular"/>
                <w:color w:val="1C1C1C"/>
                <w:sz w:val="20"/>
                <w:szCs w:val="20"/>
              </w:rPr>
            </w:pPr>
          </w:p>
          <w:p w14:paraId="20C988C4" w14:textId="77777777" w:rsidR="00106234" w:rsidRPr="00762FF5" w:rsidRDefault="00106234" w:rsidP="00277EC3">
            <w:pPr>
              <w:jc w:val="both"/>
              <w:rPr>
                <w:sz w:val="20"/>
                <w:szCs w:val="20"/>
              </w:rPr>
            </w:pPr>
            <w:r w:rsidRPr="00762FF5">
              <w:rPr>
                <w:rFonts w:cs="CalibriRegular"/>
                <w:color w:val="1C1C1C"/>
                <w:sz w:val="20"/>
                <w:szCs w:val="20"/>
              </w:rPr>
              <w:t xml:space="preserve">The JP Coordinator worked closely with the SAFENET Coordinator to assure M&amp;E tools were approved by the MWYCFA and SAFENET members, as well as relevant ministries and key stakeholders. </w:t>
            </w:r>
            <w:r w:rsidRPr="00762FF5">
              <w:rPr>
                <w:sz w:val="20"/>
                <w:szCs w:val="20"/>
              </w:rPr>
              <w:t xml:space="preserve">The JP Coordinator also works closely works with SIG partner focal points to provide assistance. Also, JP members, SIG JP focal points, and SAFNET members were supported and mentored in the process of setting up the M&amp;E framework. </w:t>
            </w:r>
          </w:p>
        </w:tc>
      </w:tr>
      <w:tr w:rsidR="00106234" w:rsidRPr="0090520D" w14:paraId="2A83C014" w14:textId="77777777" w:rsidTr="00277EC3">
        <w:tc>
          <w:tcPr>
            <w:tcW w:w="4968" w:type="dxa"/>
            <w:shd w:val="clear" w:color="auto" w:fill="FFFFFF" w:themeFill="background1"/>
          </w:tcPr>
          <w:p w14:paraId="3C204472" w14:textId="77777777" w:rsidR="00106234" w:rsidRPr="00762FF5" w:rsidRDefault="00106234" w:rsidP="00277EC3">
            <w:pPr>
              <w:autoSpaceDE w:val="0"/>
              <w:autoSpaceDN w:val="0"/>
              <w:adjustRightInd w:val="0"/>
              <w:jc w:val="both"/>
              <w:rPr>
                <w:sz w:val="20"/>
                <w:szCs w:val="20"/>
              </w:rPr>
            </w:pPr>
            <w:r w:rsidRPr="00762FF5">
              <w:rPr>
                <w:rFonts w:cs="CalibriRegular"/>
                <w:color w:val="1C1C1C"/>
                <w:sz w:val="20"/>
                <w:szCs w:val="20"/>
              </w:rPr>
              <w:t xml:space="preserve">Lack of capacities of many SAFENET members and other key stakeholders to collect relevant data has hindered data collection from some service providers, hospital/health clinics, and justice system agencies (i.e., police and PSO). </w:t>
            </w:r>
          </w:p>
        </w:tc>
        <w:tc>
          <w:tcPr>
            <w:tcW w:w="8208" w:type="dxa"/>
            <w:shd w:val="clear" w:color="auto" w:fill="FFFFFF" w:themeFill="background1"/>
          </w:tcPr>
          <w:p w14:paraId="3CEEA6DA" w14:textId="77777777" w:rsidR="00106234" w:rsidRPr="00762FF5" w:rsidRDefault="00106234" w:rsidP="00277EC3">
            <w:pPr>
              <w:autoSpaceDE w:val="0"/>
              <w:autoSpaceDN w:val="0"/>
              <w:adjustRightInd w:val="0"/>
              <w:jc w:val="both"/>
              <w:rPr>
                <w:sz w:val="20"/>
                <w:szCs w:val="20"/>
              </w:rPr>
            </w:pPr>
            <w:r w:rsidRPr="00762FF5">
              <w:rPr>
                <w:rFonts w:cs="CalibriRegular"/>
                <w:color w:val="1C1C1C"/>
                <w:sz w:val="20"/>
                <w:szCs w:val="20"/>
              </w:rPr>
              <w:t xml:space="preserve">Given data collection and self-report monitoring are important parts of the M&amp;E approach, national partners and CSOs, including JP and SAFENET members, still need further capacity building, technical assistance, and guidance to collect the data needed going forward for M&amp;E purposes. </w:t>
            </w:r>
          </w:p>
        </w:tc>
      </w:tr>
      <w:tr w:rsidR="00106234" w:rsidRPr="0090520D" w14:paraId="419F1F7A" w14:textId="77777777" w:rsidTr="00277EC3">
        <w:tc>
          <w:tcPr>
            <w:tcW w:w="4968" w:type="dxa"/>
            <w:shd w:val="clear" w:color="auto" w:fill="FFFFFF" w:themeFill="background1"/>
          </w:tcPr>
          <w:p w14:paraId="1B6C92AA" w14:textId="77777777" w:rsidR="00106234" w:rsidRPr="00762FF5" w:rsidRDefault="00106234" w:rsidP="00277EC3">
            <w:pPr>
              <w:jc w:val="both"/>
              <w:rPr>
                <w:sz w:val="20"/>
                <w:szCs w:val="20"/>
              </w:rPr>
            </w:pPr>
            <w:r w:rsidRPr="00762FF5">
              <w:rPr>
                <w:sz w:val="20"/>
                <w:szCs w:val="20"/>
              </w:rPr>
              <w:lastRenderedPageBreak/>
              <w:t xml:space="preserve">A lack of funds to cover expenses for the SAFENET Coordinator’s transport and communication was identified during baseline data collection and other project monitoring activities. These practical resource challenges contributed delays in baseline data collection and could lead to weaknesses in SAFENET coordination in the future, due to difficulties reaching SAFENET members.  </w:t>
            </w:r>
          </w:p>
        </w:tc>
        <w:tc>
          <w:tcPr>
            <w:tcW w:w="8208" w:type="dxa"/>
            <w:shd w:val="clear" w:color="auto" w:fill="FFFFFF" w:themeFill="background1"/>
          </w:tcPr>
          <w:p w14:paraId="2F433D9B" w14:textId="77777777" w:rsidR="00106234" w:rsidRPr="00762FF5" w:rsidRDefault="00106234" w:rsidP="00277EC3">
            <w:pPr>
              <w:jc w:val="both"/>
              <w:rPr>
                <w:sz w:val="20"/>
                <w:szCs w:val="20"/>
              </w:rPr>
            </w:pPr>
            <w:r w:rsidRPr="00762FF5">
              <w:rPr>
                <w:sz w:val="20"/>
                <w:szCs w:val="20"/>
              </w:rPr>
              <w:t xml:space="preserve">UN Women has agreed to provide funds to cover the costs of transport and mobile phone credit for the SAFENET Coordinator to support monthly data collection for purposes of M&amp;E from service providers, hospitals/health clinics, and justice system agencies. </w:t>
            </w:r>
          </w:p>
        </w:tc>
      </w:tr>
      <w:tr w:rsidR="00106234" w:rsidRPr="0090520D" w14:paraId="1A550D0D" w14:textId="77777777" w:rsidTr="00277EC3">
        <w:tc>
          <w:tcPr>
            <w:tcW w:w="4968" w:type="dxa"/>
            <w:shd w:val="clear" w:color="auto" w:fill="FFFFFF" w:themeFill="background1"/>
          </w:tcPr>
          <w:p w14:paraId="10875FB1" w14:textId="77777777" w:rsidR="00106234" w:rsidRPr="00762FF5" w:rsidRDefault="00106234" w:rsidP="00277EC3">
            <w:pPr>
              <w:rPr>
                <w:sz w:val="20"/>
                <w:szCs w:val="20"/>
              </w:rPr>
            </w:pPr>
            <w:r w:rsidRPr="00762FF5">
              <w:rPr>
                <w:sz w:val="20"/>
                <w:szCs w:val="20"/>
              </w:rPr>
              <w:t>Slow implementation of the World Bank funded referral tracking database. It is now unlikely that the database will be developed with the support of the World Bank given the project is coming to an end. The lack of implementation of the referral tracking database, further delays implementation of the UNTF activity on referral data collection (Activity 2.1.2)</w:t>
            </w:r>
          </w:p>
        </w:tc>
        <w:tc>
          <w:tcPr>
            <w:tcW w:w="8208" w:type="dxa"/>
            <w:shd w:val="clear" w:color="auto" w:fill="FFFFFF" w:themeFill="background1"/>
          </w:tcPr>
          <w:p w14:paraId="346ED102" w14:textId="77777777" w:rsidR="00106234" w:rsidRPr="00762FF5" w:rsidRDefault="00106234" w:rsidP="00277EC3">
            <w:pPr>
              <w:rPr>
                <w:sz w:val="20"/>
                <w:szCs w:val="20"/>
              </w:rPr>
            </w:pPr>
            <w:r w:rsidRPr="00762FF5">
              <w:rPr>
                <w:sz w:val="20"/>
                <w:szCs w:val="20"/>
              </w:rPr>
              <w:t xml:space="preserve">The MHMS GBV Coordinator has confirmed to explore other possibilities for how best to implement GBV/VAWG data collection. The GBVIM work has been briefly discussed between UN Women and UNFPA, and the GBV Coordinator has alluded to being on board. </w:t>
            </w:r>
          </w:p>
        </w:tc>
      </w:tr>
      <w:tr w:rsidR="00106234" w:rsidRPr="0090520D" w14:paraId="1EB3A3CB" w14:textId="77777777" w:rsidTr="00277EC3">
        <w:tc>
          <w:tcPr>
            <w:tcW w:w="4968" w:type="dxa"/>
            <w:shd w:val="clear" w:color="auto" w:fill="FFFFFF" w:themeFill="background1"/>
          </w:tcPr>
          <w:p w14:paraId="4BE25E99" w14:textId="77777777" w:rsidR="00106234" w:rsidRPr="00762FF5" w:rsidRDefault="00106234" w:rsidP="00277EC3">
            <w:pPr>
              <w:jc w:val="both"/>
              <w:rPr>
                <w:sz w:val="20"/>
                <w:szCs w:val="20"/>
              </w:rPr>
            </w:pPr>
            <w:r w:rsidRPr="00762FF5">
              <w:rPr>
                <w:sz w:val="20"/>
                <w:szCs w:val="20"/>
              </w:rPr>
              <w:t xml:space="preserve">As EVAW work in Solomon Islands grows, the challenge of competing priorities has come to the forefront.  SIG partners, especially MWYCFA’s WDD and MHMS’s SWD are implementing and managing multiple projects, with competing priorities and constricted deadlines, especially in EVAWG work. Coupled with this is the chronic understaffing of SIG government agencies. This has contributed to the delay in JP progress.  Additional staff are required in order to effectively implement project activities; however, the budget and resources are not available to hire staff for this position. </w:t>
            </w:r>
          </w:p>
        </w:tc>
        <w:tc>
          <w:tcPr>
            <w:tcW w:w="8208" w:type="dxa"/>
            <w:shd w:val="clear" w:color="auto" w:fill="FFFFFF" w:themeFill="background1"/>
          </w:tcPr>
          <w:p w14:paraId="4653FA3C" w14:textId="77777777" w:rsidR="00106234" w:rsidRPr="00762FF5" w:rsidRDefault="00106234" w:rsidP="00277EC3">
            <w:pPr>
              <w:jc w:val="both"/>
              <w:rPr>
                <w:sz w:val="20"/>
                <w:szCs w:val="20"/>
              </w:rPr>
            </w:pPr>
            <w:r w:rsidRPr="00762FF5">
              <w:rPr>
                <w:sz w:val="20"/>
                <w:szCs w:val="20"/>
              </w:rPr>
              <w:t xml:space="preserve">MWYCFA’s WDD and MHMS’s SWD have taken steps to address this issue. A WDD officer and SWD Child Protection Specialist have been assigned responsibilities to support EVAWG work in their divisions.  JP members are mindful of the need for capacity development at both individual and organisational levels, and the JP Coordinator closely works with SIG partner focal points to provide assistance in capacity development. It was discussed that additional tasks be included in the TOR of the technical consultants to reduce the workload of the core members. </w:t>
            </w:r>
          </w:p>
        </w:tc>
      </w:tr>
      <w:tr w:rsidR="00106234" w:rsidRPr="0090520D" w14:paraId="404F740B" w14:textId="77777777" w:rsidTr="00277EC3">
        <w:tc>
          <w:tcPr>
            <w:tcW w:w="4968" w:type="dxa"/>
            <w:shd w:val="clear" w:color="auto" w:fill="FFFFFF" w:themeFill="background1"/>
          </w:tcPr>
          <w:p w14:paraId="6C9F6DF9" w14:textId="77777777" w:rsidR="00106234" w:rsidRPr="00762FF5" w:rsidRDefault="00106234" w:rsidP="00277EC3">
            <w:pPr>
              <w:rPr>
                <w:sz w:val="20"/>
                <w:szCs w:val="20"/>
              </w:rPr>
            </w:pPr>
            <w:r w:rsidRPr="00762FF5">
              <w:rPr>
                <w:sz w:val="20"/>
                <w:szCs w:val="20"/>
              </w:rPr>
              <w:t>Competing priorities of UN Agencies to move the project forward.</w:t>
            </w:r>
          </w:p>
        </w:tc>
        <w:tc>
          <w:tcPr>
            <w:tcW w:w="8208" w:type="dxa"/>
            <w:shd w:val="clear" w:color="auto" w:fill="FFFFFF" w:themeFill="background1"/>
          </w:tcPr>
          <w:p w14:paraId="3B4AD162" w14:textId="78648736" w:rsidR="00106234" w:rsidRPr="00762FF5" w:rsidRDefault="00106234" w:rsidP="00277EC3">
            <w:pPr>
              <w:rPr>
                <w:sz w:val="20"/>
                <w:szCs w:val="20"/>
              </w:rPr>
            </w:pPr>
            <w:r w:rsidRPr="00762FF5">
              <w:rPr>
                <w:sz w:val="20"/>
                <w:szCs w:val="20"/>
              </w:rPr>
              <w:t>Joint UNFPA and UN Women mission scheduled to be</w:t>
            </w:r>
            <w:r w:rsidR="00B56970">
              <w:rPr>
                <w:sz w:val="20"/>
                <w:szCs w:val="20"/>
              </w:rPr>
              <w:t xml:space="preserve"> undertaken in mid-February 2018</w:t>
            </w:r>
          </w:p>
        </w:tc>
      </w:tr>
      <w:tr w:rsidR="00106234" w:rsidRPr="0090520D" w14:paraId="7E3A1A87" w14:textId="77777777" w:rsidTr="00277EC3">
        <w:tc>
          <w:tcPr>
            <w:tcW w:w="4968" w:type="dxa"/>
            <w:shd w:val="clear" w:color="auto" w:fill="FFFFFF" w:themeFill="background1"/>
          </w:tcPr>
          <w:p w14:paraId="4323A2DC" w14:textId="77777777" w:rsidR="00106234" w:rsidRPr="00762FF5" w:rsidRDefault="00106234" w:rsidP="00277EC3">
            <w:pPr>
              <w:jc w:val="both"/>
              <w:rPr>
                <w:sz w:val="20"/>
                <w:szCs w:val="20"/>
              </w:rPr>
            </w:pPr>
            <w:r w:rsidRPr="00762FF5">
              <w:rPr>
                <w:sz w:val="20"/>
                <w:szCs w:val="20"/>
              </w:rPr>
              <w:t xml:space="preserve">Absence of Senior Management in UN and SIG affected project progress. </w:t>
            </w:r>
          </w:p>
          <w:p w14:paraId="492BBC18" w14:textId="77777777" w:rsidR="00106234" w:rsidRPr="00762FF5" w:rsidRDefault="00106234" w:rsidP="00277EC3">
            <w:pPr>
              <w:jc w:val="both"/>
              <w:rPr>
                <w:sz w:val="20"/>
                <w:szCs w:val="20"/>
              </w:rPr>
            </w:pPr>
          </w:p>
          <w:p w14:paraId="2DDBCD52" w14:textId="77777777" w:rsidR="00106234" w:rsidRPr="00762FF5" w:rsidRDefault="00106234" w:rsidP="00277EC3">
            <w:pPr>
              <w:jc w:val="both"/>
              <w:rPr>
                <w:sz w:val="20"/>
                <w:szCs w:val="20"/>
              </w:rPr>
            </w:pPr>
            <w:r w:rsidRPr="00762FF5">
              <w:rPr>
                <w:sz w:val="20"/>
                <w:szCs w:val="20"/>
              </w:rPr>
              <w:t>Core UN staff, including the UN Women Pacific MCO EVAW Specialist and UNFPA PSRO Gender Advisor, both of whom played critical roles in developing the JP and the UNTF project left their positions and organisations in early-mid 2015.  Their absences have hampered delay in implementation especially for technical input and guidance.</w:t>
            </w:r>
          </w:p>
          <w:p w14:paraId="64608C24" w14:textId="77777777" w:rsidR="00106234" w:rsidRPr="00762FF5" w:rsidRDefault="00106234" w:rsidP="00277EC3">
            <w:pPr>
              <w:jc w:val="both"/>
              <w:rPr>
                <w:sz w:val="20"/>
                <w:szCs w:val="20"/>
              </w:rPr>
            </w:pPr>
          </w:p>
          <w:p w14:paraId="66ED3A9C" w14:textId="77777777" w:rsidR="00106234" w:rsidRPr="00762FF5" w:rsidRDefault="00106234" w:rsidP="00277EC3">
            <w:pPr>
              <w:jc w:val="both"/>
              <w:rPr>
                <w:sz w:val="20"/>
                <w:szCs w:val="20"/>
              </w:rPr>
            </w:pPr>
            <w:r w:rsidRPr="00762FF5">
              <w:rPr>
                <w:sz w:val="20"/>
                <w:szCs w:val="20"/>
              </w:rPr>
              <w:lastRenderedPageBreak/>
              <w:t xml:space="preserve">The MWYCFA Permanent Secretary’s (PS) contract lapsed at the end of April 2015. This caused a delay in the implementation of the JP, particularly with setting up the JP Steering Committee. The appointment of new a PS was further delayed to June 2015. The former PS was reappointed, but illness resulted in her being absent from duties; this meant the setting up of the JP Steering Committee was further delayed. The Director of MHMS’s Reproductive Health (RH) Division has also been absent since April 2015 because of illness. </w:t>
            </w:r>
          </w:p>
        </w:tc>
        <w:tc>
          <w:tcPr>
            <w:tcW w:w="8208" w:type="dxa"/>
            <w:shd w:val="clear" w:color="auto" w:fill="FFFFFF" w:themeFill="background1"/>
          </w:tcPr>
          <w:p w14:paraId="35EE6457" w14:textId="77777777" w:rsidR="00106234" w:rsidRPr="00762FF5" w:rsidRDefault="00106234" w:rsidP="00277EC3">
            <w:pPr>
              <w:jc w:val="both"/>
              <w:rPr>
                <w:sz w:val="20"/>
                <w:szCs w:val="20"/>
              </w:rPr>
            </w:pPr>
            <w:r w:rsidRPr="00762FF5">
              <w:rPr>
                <w:sz w:val="20"/>
                <w:szCs w:val="20"/>
              </w:rPr>
              <w:lastRenderedPageBreak/>
              <w:t xml:space="preserve">Ensuring and receiving consistent support from Senior Management (i.e., UN RC, UN Local Tem, the UN Women Regional and Deputy Regional Directors, and SIG policy makers and decision makers) is critical to ensuring a collaborative and cohesive approach to EVAWG. </w:t>
            </w:r>
          </w:p>
          <w:p w14:paraId="158C2624" w14:textId="77777777" w:rsidR="00106234" w:rsidRPr="00762FF5" w:rsidRDefault="00106234" w:rsidP="00277EC3">
            <w:pPr>
              <w:jc w:val="both"/>
              <w:rPr>
                <w:sz w:val="20"/>
                <w:szCs w:val="20"/>
              </w:rPr>
            </w:pPr>
          </w:p>
          <w:p w14:paraId="3C9FDFF6" w14:textId="7AD09E88" w:rsidR="00106234" w:rsidRPr="00762FF5" w:rsidRDefault="00106234" w:rsidP="00277EC3">
            <w:pPr>
              <w:jc w:val="both"/>
              <w:rPr>
                <w:sz w:val="20"/>
                <w:szCs w:val="20"/>
              </w:rPr>
            </w:pPr>
            <w:r w:rsidRPr="00762FF5">
              <w:rPr>
                <w:sz w:val="20"/>
                <w:szCs w:val="20"/>
              </w:rPr>
              <w:t>The UN Women Pacific MCO EVAW Specialist position was filled with a permanent UN staff member in November 2015. The recruitment process for a UNFPA PSRO Gender Advisor is in place and the person is expected to come on board in the 1</w:t>
            </w:r>
            <w:r w:rsidRPr="00762FF5">
              <w:rPr>
                <w:sz w:val="20"/>
                <w:szCs w:val="20"/>
                <w:vertAlign w:val="superscript"/>
              </w:rPr>
              <w:t>st</w:t>
            </w:r>
            <w:r w:rsidRPr="00762FF5">
              <w:rPr>
                <w:sz w:val="20"/>
                <w:szCs w:val="20"/>
              </w:rPr>
              <w:t xml:space="preserve"> Qua</w:t>
            </w:r>
            <w:r w:rsidR="00B56970">
              <w:rPr>
                <w:sz w:val="20"/>
                <w:szCs w:val="20"/>
              </w:rPr>
              <w:t>rter of 2018</w:t>
            </w:r>
            <w:r w:rsidRPr="00762FF5">
              <w:rPr>
                <w:sz w:val="20"/>
                <w:szCs w:val="20"/>
              </w:rPr>
              <w:t xml:space="preserve">. </w:t>
            </w:r>
            <w:r w:rsidR="00B56970">
              <w:rPr>
                <w:sz w:val="20"/>
                <w:szCs w:val="20"/>
              </w:rPr>
              <w:t xml:space="preserve">  A</w:t>
            </w:r>
            <w:r w:rsidR="00D91938">
              <w:rPr>
                <w:sz w:val="20"/>
                <w:szCs w:val="20"/>
              </w:rPr>
              <w:t xml:space="preserve"> UNFPA Gender Specialist on detail assignment was in pla</w:t>
            </w:r>
            <w:r w:rsidR="00B56970">
              <w:rPr>
                <w:sz w:val="20"/>
                <w:szCs w:val="20"/>
              </w:rPr>
              <w:t>ce in October 2017 and the assi</w:t>
            </w:r>
            <w:r w:rsidR="00D91938">
              <w:rPr>
                <w:sz w:val="20"/>
                <w:szCs w:val="20"/>
              </w:rPr>
              <w:t xml:space="preserve">gnment ends at the end of April 2018. </w:t>
            </w:r>
          </w:p>
          <w:p w14:paraId="5C5FB2A3" w14:textId="77777777" w:rsidR="00106234" w:rsidRPr="00762FF5" w:rsidRDefault="00106234" w:rsidP="00277EC3">
            <w:pPr>
              <w:jc w:val="both"/>
              <w:rPr>
                <w:sz w:val="20"/>
                <w:szCs w:val="20"/>
              </w:rPr>
            </w:pPr>
          </w:p>
          <w:p w14:paraId="5E5501FC" w14:textId="77777777" w:rsidR="00106234" w:rsidRPr="00762FF5" w:rsidRDefault="00106234" w:rsidP="00277EC3">
            <w:pPr>
              <w:jc w:val="both"/>
              <w:rPr>
                <w:sz w:val="20"/>
                <w:szCs w:val="20"/>
              </w:rPr>
            </w:pPr>
            <w:r w:rsidRPr="00762FF5">
              <w:rPr>
                <w:sz w:val="20"/>
                <w:szCs w:val="20"/>
              </w:rPr>
              <w:t xml:space="preserve">In addition, a UN Women EVAW Programme Coordinator came on board in June 2015 and one of her roles is to provide assistance to the Solomon Islands Joint Programmes. The EVAW Programme </w:t>
            </w:r>
            <w:r w:rsidRPr="00762FF5">
              <w:rPr>
                <w:sz w:val="20"/>
                <w:szCs w:val="20"/>
              </w:rPr>
              <w:lastRenderedPageBreak/>
              <w:t>Coordinator is based in the Fiji MCO, but with regular travel to the Solomon Islands for JP activities. In the Solomon Islands, the JP Coordinator is jointly supervised by UN Women and UNDP.</w:t>
            </w:r>
          </w:p>
        </w:tc>
      </w:tr>
      <w:tr w:rsidR="00106234" w14:paraId="75DDE5B8" w14:textId="77777777" w:rsidTr="00277EC3">
        <w:tc>
          <w:tcPr>
            <w:tcW w:w="4968" w:type="dxa"/>
            <w:shd w:val="clear" w:color="auto" w:fill="FFFFFF" w:themeFill="background1"/>
          </w:tcPr>
          <w:p w14:paraId="1618A229" w14:textId="5C583A54" w:rsidR="00106234" w:rsidRPr="00762FF5" w:rsidRDefault="00106234" w:rsidP="00277EC3">
            <w:pPr>
              <w:jc w:val="both"/>
              <w:rPr>
                <w:sz w:val="20"/>
                <w:szCs w:val="20"/>
              </w:rPr>
            </w:pPr>
            <w:r w:rsidRPr="00762FF5">
              <w:rPr>
                <w:sz w:val="20"/>
                <w:szCs w:val="20"/>
              </w:rPr>
              <w:lastRenderedPageBreak/>
              <w:t>Director of the SWD took 4-months materni</w:t>
            </w:r>
            <w:r w:rsidR="00B56970">
              <w:rPr>
                <w:sz w:val="20"/>
                <w:szCs w:val="20"/>
              </w:rPr>
              <w:t>ty leave beginning in April 2017</w:t>
            </w:r>
            <w:r w:rsidRPr="00762FF5">
              <w:rPr>
                <w:sz w:val="20"/>
                <w:szCs w:val="20"/>
              </w:rPr>
              <w:t>. Such absences have contributed to the delay in JP implementation, particularly setting up the JP Steering Committee.</w:t>
            </w:r>
          </w:p>
        </w:tc>
        <w:tc>
          <w:tcPr>
            <w:tcW w:w="8208" w:type="dxa"/>
            <w:shd w:val="clear" w:color="auto" w:fill="FFFFFF" w:themeFill="background1"/>
          </w:tcPr>
          <w:p w14:paraId="4A11AEC6" w14:textId="77777777" w:rsidR="00106234" w:rsidRPr="00762FF5" w:rsidRDefault="00106234" w:rsidP="00277EC3">
            <w:pPr>
              <w:jc w:val="both"/>
              <w:rPr>
                <w:sz w:val="20"/>
                <w:szCs w:val="20"/>
              </w:rPr>
            </w:pPr>
            <w:r w:rsidRPr="00762FF5">
              <w:rPr>
                <w:sz w:val="20"/>
                <w:szCs w:val="20"/>
              </w:rPr>
              <w:t>The Solomon Islands Representative, who has a very strong commitment to the JP and the JP Coordinator position, as well as to improve the situation of women and girls in Solomon Islands.</w:t>
            </w:r>
          </w:p>
          <w:p w14:paraId="236ABE65" w14:textId="77777777" w:rsidR="00106234" w:rsidRPr="00762FF5" w:rsidRDefault="00106234" w:rsidP="00277EC3">
            <w:pPr>
              <w:jc w:val="both"/>
              <w:rPr>
                <w:sz w:val="20"/>
                <w:szCs w:val="20"/>
              </w:rPr>
            </w:pPr>
          </w:p>
          <w:p w14:paraId="5116E1B6" w14:textId="77777777" w:rsidR="00106234" w:rsidRPr="00762FF5" w:rsidRDefault="00106234" w:rsidP="00277EC3">
            <w:pPr>
              <w:jc w:val="both"/>
              <w:rPr>
                <w:sz w:val="20"/>
                <w:szCs w:val="20"/>
              </w:rPr>
            </w:pPr>
            <w:r w:rsidRPr="00762FF5">
              <w:rPr>
                <w:sz w:val="20"/>
                <w:szCs w:val="20"/>
              </w:rPr>
              <w:t>Through open, transparent, and regular updates and feedback on the JP, the MWYCFA and MHMS focal points and the JP Coordinator ensure they receive consistent support from the Senior Management. The MWYCFA focal point keeps the Under-Secretary of the MWYCFA informed as to progress on the UNTF project and JP activities, and the Under-Secretary has recently delegated authority. The establishment of the JP Steering Committee is anticipated during the 1</w:t>
            </w:r>
            <w:r w:rsidRPr="00762FF5">
              <w:rPr>
                <w:sz w:val="20"/>
                <w:szCs w:val="20"/>
                <w:vertAlign w:val="superscript"/>
              </w:rPr>
              <w:t>st</w:t>
            </w:r>
            <w:r w:rsidRPr="00762FF5">
              <w:rPr>
                <w:sz w:val="20"/>
                <w:szCs w:val="20"/>
              </w:rPr>
              <w:t xml:space="preserve"> quarter of 2016.</w:t>
            </w:r>
          </w:p>
        </w:tc>
      </w:tr>
      <w:tr w:rsidR="00106234" w14:paraId="67945413" w14:textId="77777777" w:rsidTr="00277EC3">
        <w:tc>
          <w:tcPr>
            <w:tcW w:w="4968" w:type="dxa"/>
            <w:shd w:val="clear" w:color="auto" w:fill="FFFFFF" w:themeFill="background1"/>
          </w:tcPr>
          <w:p w14:paraId="5CC2C58B" w14:textId="77777777" w:rsidR="00106234" w:rsidRPr="00762FF5" w:rsidRDefault="00106234" w:rsidP="00277EC3">
            <w:pPr>
              <w:jc w:val="both"/>
              <w:rPr>
                <w:color w:val="FF0000"/>
                <w:sz w:val="20"/>
                <w:szCs w:val="20"/>
              </w:rPr>
            </w:pPr>
            <w:r w:rsidRPr="00762FF5">
              <w:rPr>
                <w:sz w:val="20"/>
                <w:szCs w:val="20"/>
              </w:rPr>
              <w:t xml:space="preserve">The JP Coordinator’s contract expired in December 2015, leaving a notable gap within UN Women Solomon Islands. The reduction in core JP staffing places the JP at risk of falling behind in deliverables without the quality and consistent support of the aforementioned JP Coordinator. </w:t>
            </w:r>
          </w:p>
        </w:tc>
        <w:tc>
          <w:tcPr>
            <w:tcW w:w="8208" w:type="dxa"/>
            <w:shd w:val="clear" w:color="auto" w:fill="FFFFFF" w:themeFill="background1"/>
          </w:tcPr>
          <w:p w14:paraId="37214F85" w14:textId="77777777" w:rsidR="00106234" w:rsidRPr="00762FF5" w:rsidRDefault="00106234" w:rsidP="00277EC3">
            <w:pPr>
              <w:jc w:val="both"/>
              <w:rPr>
                <w:sz w:val="20"/>
                <w:szCs w:val="20"/>
              </w:rPr>
            </w:pPr>
            <w:r w:rsidRPr="00762FF5">
              <w:rPr>
                <w:sz w:val="20"/>
                <w:szCs w:val="20"/>
              </w:rPr>
              <w:t xml:space="preserve">UN Women is focused on staying ahead of managing the work during this interim period so they don’t lose the great gains made in terms of their reputation with SIG, SAFENET, and CSOs.  </w:t>
            </w:r>
          </w:p>
          <w:p w14:paraId="13F47BFC" w14:textId="77777777" w:rsidR="00106234" w:rsidRPr="00762FF5" w:rsidRDefault="00106234" w:rsidP="00277EC3">
            <w:pPr>
              <w:jc w:val="both"/>
              <w:rPr>
                <w:sz w:val="20"/>
                <w:szCs w:val="20"/>
              </w:rPr>
            </w:pPr>
          </w:p>
          <w:p w14:paraId="25451DC8" w14:textId="77777777" w:rsidR="00106234" w:rsidRPr="00762FF5" w:rsidRDefault="00106234" w:rsidP="00277EC3">
            <w:pPr>
              <w:jc w:val="both"/>
              <w:rPr>
                <w:color w:val="FF0000"/>
                <w:sz w:val="20"/>
                <w:szCs w:val="20"/>
              </w:rPr>
            </w:pPr>
            <w:r w:rsidRPr="00762FF5">
              <w:rPr>
                <w:sz w:val="20"/>
                <w:szCs w:val="20"/>
              </w:rPr>
              <w:t xml:space="preserve">The Suva-based UN Women EVAW Programme Specialist and EVAW Programme Coordinator have already re-prioritised their work to ensure that the dynamic progress of the JP continues into 2016. This includes multiple planned missions to Honiara to engage with JP partners and provide technical assistance and strategic guidance, and increased communication from Suva with JP partners and consultants in Honiara. Additionally, the role of the outgoing Solomon Islands-based JP Coordinator position has already been advertised and the position is expected to be filled in the first quarter. A handover strategy is already in place to ensure a smooth transition for incoming staff. </w:t>
            </w:r>
          </w:p>
        </w:tc>
      </w:tr>
      <w:tr w:rsidR="00106234" w14:paraId="686FD0D9" w14:textId="77777777" w:rsidTr="00277EC3">
        <w:tc>
          <w:tcPr>
            <w:tcW w:w="4968" w:type="dxa"/>
            <w:shd w:val="clear" w:color="auto" w:fill="FFFFFF" w:themeFill="background1"/>
          </w:tcPr>
          <w:p w14:paraId="406A559D" w14:textId="77777777" w:rsidR="00106234" w:rsidRPr="00762FF5" w:rsidRDefault="00106234" w:rsidP="00277EC3">
            <w:pPr>
              <w:jc w:val="both"/>
              <w:rPr>
                <w:sz w:val="20"/>
                <w:szCs w:val="20"/>
              </w:rPr>
            </w:pPr>
            <w:r w:rsidRPr="00762FF5">
              <w:rPr>
                <w:sz w:val="20"/>
                <w:szCs w:val="20"/>
              </w:rPr>
              <w:t xml:space="preserve">The Family Support Centre (FSC), an EVAWG CSO and SAFENET member critical to Solomon Islands’ EVAWG response service provision, is facing a serious funding crisis. </w:t>
            </w:r>
          </w:p>
        </w:tc>
        <w:tc>
          <w:tcPr>
            <w:tcW w:w="8208" w:type="dxa"/>
            <w:shd w:val="clear" w:color="auto" w:fill="FFFFFF" w:themeFill="background1"/>
          </w:tcPr>
          <w:p w14:paraId="5AB83901" w14:textId="28C932C1" w:rsidR="00106234" w:rsidRPr="00762FF5" w:rsidRDefault="00106234" w:rsidP="00277EC3">
            <w:pPr>
              <w:jc w:val="both"/>
              <w:rPr>
                <w:color w:val="FF0000"/>
                <w:sz w:val="20"/>
                <w:szCs w:val="20"/>
              </w:rPr>
            </w:pPr>
            <w:r w:rsidRPr="00762FF5">
              <w:rPr>
                <w:sz w:val="20"/>
                <w:szCs w:val="20"/>
              </w:rPr>
              <w:t>While other donors will hopefully help to stabilise FSC in 2016, FSC needs to find a way to support themselves in the interim. JP partners are also exploring funding possibilities. FSC is also a grantee of UN Women’s Pacific Regional Ending Violence against Women Facility Fund (‘Pacific Fund’); to this end, UN Women is additionally invested in supporting the continuation of this essential service.</w:t>
            </w:r>
          </w:p>
        </w:tc>
      </w:tr>
      <w:tr w:rsidR="00106234" w14:paraId="03C59964" w14:textId="77777777" w:rsidTr="00277EC3">
        <w:tc>
          <w:tcPr>
            <w:tcW w:w="4968" w:type="dxa"/>
            <w:shd w:val="clear" w:color="auto" w:fill="FFFFFF" w:themeFill="background1"/>
          </w:tcPr>
          <w:p w14:paraId="779BD85B" w14:textId="4DD9CA76" w:rsidR="00106234" w:rsidRPr="00762FF5" w:rsidRDefault="00106234" w:rsidP="00277EC3">
            <w:pPr>
              <w:rPr>
                <w:sz w:val="20"/>
                <w:szCs w:val="20"/>
              </w:rPr>
            </w:pPr>
            <w:r w:rsidRPr="00762FF5">
              <w:rPr>
                <w:sz w:val="20"/>
                <w:szCs w:val="20"/>
              </w:rPr>
              <w:t>A Members of Parliament Consultation (part of Activity 1.1.1) was planned for November, 2015, however, due to uncertainty over the exact timing of the Parliament sitting, logistics to get resource people into Honiara, etc. could not happen in time for the last Parliament sitting of 2015.</w:t>
            </w:r>
          </w:p>
        </w:tc>
        <w:tc>
          <w:tcPr>
            <w:tcW w:w="8208" w:type="dxa"/>
            <w:shd w:val="clear" w:color="auto" w:fill="FFFFFF" w:themeFill="background1"/>
          </w:tcPr>
          <w:p w14:paraId="30C80070" w14:textId="1715A155" w:rsidR="00106234" w:rsidRPr="00762FF5" w:rsidRDefault="00106234" w:rsidP="00277EC3">
            <w:pPr>
              <w:jc w:val="both"/>
              <w:rPr>
                <w:sz w:val="20"/>
                <w:szCs w:val="20"/>
              </w:rPr>
            </w:pPr>
            <w:r w:rsidRPr="00762FF5">
              <w:rPr>
                <w:sz w:val="20"/>
                <w:szCs w:val="20"/>
              </w:rPr>
              <w:t xml:space="preserve">The consultation has been postponed to early </w:t>
            </w:r>
            <w:r w:rsidR="008F2F6B">
              <w:rPr>
                <w:sz w:val="20"/>
                <w:szCs w:val="20"/>
              </w:rPr>
              <w:t>2016; and MWYCFA has maintained</w:t>
            </w:r>
            <w:r w:rsidRPr="00762FF5">
              <w:rPr>
                <w:sz w:val="20"/>
                <w:szCs w:val="20"/>
              </w:rPr>
              <w:t xml:space="preserve"> contact with Parliamentary staff to arrange logistics.</w:t>
            </w:r>
          </w:p>
        </w:tc>
      </w:tr>
      <w:tr w:rsidR="00106234" w14:paraId="4CCBACE5" w14:textId="77777777" w:rsidTr="00277EC3">
        <w:tc>
          <w:tcPr>
            <w:tcW w:w="4968" w:type="dxa"/>
            <w:shd w:val="clear" w:color="auto" w:fill="FFFFFF" w:themeFill="background1"/>
          </w:tcPr>
          <w:p w14:paraId="0D295D36" w14:textId="12DD7F12" w:rsidR="00106234" w:rsidRPr="00762FF5" w:rsidRDefault="00106234" w:rsidP="00277EC3">
            <w:pPr>
              <w:rPr>
                <w:sz w:val="20"/>
                <w:szCs w:val="20"/>
              </w:rPr>
            </w:pPr>
            <w:r w:rsidRPr="00762FF5">
              <w:rPr>
                <w:sz w:val="20"/>
                <w:szCs w:val="20"/>
              </w:rPr>
              <w:lastRenderedPageBreak/>
              <w:t>There are many competing priorities within the Women’s Development Division in MWYCFA, due to understaffing of the Division, thus contributing to the delay in the MWYCFA activities.</w:t>
            </w:r>
          </w:p>
        </w:tc>
        <w:tc>
          <w:tcPr>
            <w:tcW w:w="8208" w:type="dxa"/>
            <w:shd w:val="clear" w:color="auto" w:fill="FFFFFF" w:themeFill="background1"/>
          </w:tcPr>
          <w:p w14:paraId="06E9A781" w14:textId="77777777" w:rsidR="00106234" w:rsidRPr="00762FF5" w:rsidRDefault="00106234" w:rsidP="00277EC3">
            <w:pPr>
              <w:jc w:val="both"/>
              <w:rPr>
                <w:sz w:val="20"/>
                <w:szCs w:val="20"/>
              </w:rPr>
            </w:pPr>
            <w:r w:rsidRPr="00762FF5">
              <w:rPr>
                <w:sz w:val="20"/>
                <w:szCs w:val="20"/>
              </w:rPr>
              <w:t>MWYCFA has allocated a support officer for EVAWG work during 2016 to support the EVAW Policy Coordinator.</w:t>
            </w:r>
          </w:p>
        </w:tc>
      </w:tr>
      <w:tr w:rsidR="00762FF5" w14:paraId="0E1E4C73" w14:textId="77777777" w:rsidTr="00277EC3">
        <w:tc>
          <w:tcPr>
            <w:tcW w:w="4968" w:type="dxa"/>
            <w:shd w:val="clear" w:color="auto" w:fill="EEECE1" w:themeFill="background2"/>
          </w:tcPr>
          <w:p w14:paraId="7E4A4A6E" w14:textId="68095158" w:rsidR="00762FF5" w:rsidRPr="00762FF5" w:rsidRDefault="00762FF5" w:rsidP="00277EC3">
            <w:pPr>
              <w:rPr>
                <w:rFonts w:cstheme="minorHAnsi"/>
                <w:b/>
                <w:sz w:val="20"/>
                <w:szCs w:val="20"/>
                <w:u w:val="single"/>
              </w:rPr>
            </w:pPr>
            <w:r w:rsidRPr="00762FF5">
              <w:rPr>
                <w:rFonts w:cstheme="minorHAnsi"/>
                <w:b/>
                <w:sz w:val="20"/>
                <w:szCs w:val="20"/>
                <w:u w:val="single"/>
              </w:rPr>
              <w:t>2016</w:t>
            </w:r>
          </w:p>
        </w:tc>
        <w:tc>
          <w:tcPr>
            <w:tcW w:w="8208" w:type="dxa"/>
            <w:shd w:val="clear" w:color="auto" w:fill="EEECE1" w:themeFill="background2"/>
          </w:tcPr>
          <w:p w14:paraId="03166B48" w14:textId="77777777" w:rsidR="00762FF5" w:rsidRPr="00762FF5" w:rsidRDefault="00762FF5" w:rsidP="00277EC3">
            <w:pPr>
              <w:jc w:val="both"/>
              <w:rPr>
                <w:rFonts w:cstheme="minorHAnsi"/>
                <w:sz w:val="20"/>
                <w:szCs w:val="20"/>
              </w:rPr>
            </w:pPr>
          </w:p>
        </w:tc>
      </w:tr>
      <w:tr w:rsidR="00762FF5" w14:paraId="5DBDC99E" w14:textId="77777777" w:rsidTr="00277EC3">
        <w:tc>
          <w:tcPr>
            <w:tcW w:w="4968" w:type="dxa"/>
            <w:shd w:val="clear" w:color="auto" w:fill="FFFFFF" w:themeFill="background1"/>
          </w:tcPr>
          <w:p w14:paraId="3B0665F9" w14:textId="08A98F50"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purpose behind the data collection system was something constantly raised in the reporting period by partners to the M&amp;E system, including UN partners, WHO, and Seif Ples. The forms being used in the UN-SIG JP M&amp;E process is currently very similar to forms developed for Seif Ples Clinic admissions and quality- control systems. Completing Client Admission and tracking forms for their clients as well as completing the ones required under the UN-SIG</w:t>
            </w:r>
            <w:r w:rsidR="00277EC3">
              <w:rPr>
                <w:rFonts w:asciiTheme="minorHAnsi" w:hAnsiTheme="minorHAnsi" w:cstheme="minorHAnsi"/>
              </w:rPr>
              <w:t xml:space="preserve"> </w:t>
            </w:r>
            <w:r w:rsidRPr="00277EC3">
              <w:rPr>
                <w:rFonts w:asciiTheme="minorHAnsi" w:hAnsiTheme="minorHAnsi" w:cstheme="minorHAnsi"/>
              </w:rPr>
              <w:t>JP resulted in an increase in workload for their limited number of staff.</w:t>
            </w:r>
          </w:p>
          <w:p w14:paraId="4F86F9A9" w14:textId="78F091EC" w:rsidR="00762FF5" w:rsidRPr="00277EC3" w:rsidRDefault="00762FF5" w:rsidP="00277EC3">
            <w:pPr>
              <w:pStyle w:val="BodyText"/>
              <w:kinsoku w:val="0"/>
              <w:overflowPunct w:val="0"/>
              <w:rPr>
                <w:rFonts w:asciiTheme="minorHAnsi" w:hAnsiTheme="minorHAnsi" w:cstheme="minorHAnsi"/>
              </w:rPr>
            </w:pPr>
          </w:p>
          <w:p w14:paraId="59DC864B" w14:textId="77777777" w:rsidR="00762FF5" w:rsidRPr="00277EC3" w:rsidRDefault="00762FF5" w:rsidP="00277EC3">
            <w:pPr>
              <w:rPr>
                <w:rFonts w:cstheme="minorHAnsi"/>
                <w:sz w:val="20"/>
                <w:szCs w:val="20"/>
              </w:rPr>
            </w:pPr>
          </w:p>
        </w:tc>
        <w:tc>
          <w:tcPr>
            <w:tcW w:w="8208" w:type="dxa"/>
            <w:shd w:val="clear" w:color="auto" w:fill="FFFFFF" w:themeFill="background1"/>
          </w:tcPr>
          <w:p w14:paraId="7BAEF4D5" w14:textId="1D756A76"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JP Coordinator worked closely with the MHMS GBV Coordinator/SAFENET Coordinator to ensure that M&amp;E tools were used by relevant ministries and key SAFENET partners. This involved multiple follow-up emails and phone conversations after his initial emails/phone calls. Good engagement was received from the Christian Care Centre, Family Support Centre, and all Honiara City council clinics that are members of the SAFENET referral network.</w:t>
            </w:r>
            <w:r w:rsidR="00277EC3">
              <w:rPr>
                <w:rFonts w:asciiTheme="minorHAnsi" w:hAnsiTheme="minorHAnsi" w:cstheme="minorHAnsi"/>
              </w:rPr>
              <w:t xml:space="preserve"> </w:t>
            </w:r>
            <w:r w:rsidRPr="00277EC3">
              <w:rPr>
                <w:rFonts w:asciiTheme="minorHAnsi" w:hAnsiTheme="minorHAnsi" w:cstheme="minorHAnsi"/>
              </w:rPr>
              <w:t>Discussions with key partners also progressed beyond data collection for merely the sake of the UN-SIG JP to supporting the MWYCFAs responsibilities for the Annual Report to Parliament on the implementation of the FPA 2014.</w:t>
            </w:r>
          </w:p>
          <w:p w14:paraId="01F380C0" w14:textId="77777777" w:rsidR="00762FF5" w:rsidRPr="00277EC3" w:rsidRDefault="00762FF5" w:rsidP="00277EC3">
            <w:pPr>
              <w:pStyle w:val="BodyText"/>
              <w:kinsoku w:val="0"/>
              <w:overflowPunct w:val="0"/>
              <w:jc w:val="both"/>
              <w:rPr>
                <w:rFonts w:asciiTheme="minorHAnsi" w:hAnsiTheme="minorHAnsi" w:cstheme="minorHAnsi"/>
              </w:rPr>
            </w:pPr>
          </w:p>
          <w:p w14:paraId="7C18C801" w14:textId="0833CC50" w:rsidR="00762FF5" w:rsidRPr="00277EC3" w:rsidRDefault="00277EC3" w:rsidP="00277EC3">
            <w:pPr>
              <w:pStyle w:val="BodyText"/>
              <w:kinsoku w:val="0"/>
              <w:overflowPunct w:val="0"/>
              <w:jc w:val="both"/>
              <w:rPr>
                <w:rFonts w:asciiTheme="minorHAnsi" w:hAnsiTheme="minorHAnsi" w:cstheme="minorHAnsi"/>
              </w:rPr>
            </w:pPr>
            <w:r>
              <w:rPr>
                <w:rFonts w:asciiTheme="minorHAnsi" w:hAnsiTheme="minorHAnsi" w:cstheme="minorHAnsi"/>
              </w:rPr>
              <w:t>In 2016, d</w:t>
            </w:r>
            <w:r w:rsidR="00762FF5" w:rsidRPr="00277EC3">
              <w:rPr>
                <w:rFonts w:asciiTheme="minorHAnsi" w:hAnsiTheme="minorHAnsi" w:cstheme="minorHAnsi"/>
              </w:rPr>
              <w:t xml:space="preserve">ata collected under the UN-SGI JP M&amp;E process was shared with SAFETNET referral network members </w:t>
            </w:r>
            <w:r>
              <w:rPr>
                <w:rFonts w:asciiTheme="minorHAnsi" w:hAnsiTheme="minorHAnsi" w:cstheme="minorHAnsi"/>
              </w:rPr>
              <w:t>and UN-SIG JP member in 2016 t</w:t>
            </w:r>
            <w:r w:rsidR="00762FF5" w:rsidRPr="00277EC3">
              <w:rPr>
                <w:rFonts w:asciiTheme="minorHAnsi" w:hAnsiTheme="minorHAnsi" w:cstheme="minorHAnsi"/>
              </w:rPr>
              <w:t>o ensure proper feedback and development of understanding of the data and the outcomes from the monthly data collection</w:t>
            </w:r>
            <w:r>
              <w:rPr>
                <w:rFonts w:asciiTheme="minorHAnsi" w:hAnsiTheme="minorHAnsi" w:cstheme="minorHAnsi"/>
              </w:rPr>
              <w:t xml:space="preserve">. </w:t>
            </w:r>
            <w:r w:rsidR="00762FF5" w:rsidRPr="00277EC3">
              <w:rPr>
                <w:rFonts w:asciiTheme="minorHAnsi" w:hAnsiTheme="minorHAnsi" w:cstheme="minorHAnsi"/>
              </w:rPr>
              <w:t xml:space="preserve">It </w:t>
            </w:r>
            <w:r>
              <w:rPr>
                <w:rFonts w:asciiTheme="minorHAnsi" w:hAnsiTheme="minorHAnsi" w:cstheme="minorHAnsi"/>
              </w:rPr>
              <w:t>was</w:t>
            </w:r>
            <w:r w:rsidR="00762FF5" w:rsidRPr="00277EC3">
              <w:rPr>
                <w:rFonts w:asciiTheme="minorHAnsi" w:hAnsiTheme="minorHAnsi" w:cstheme="minorHAnsi"/>
              </w:rPr>
              <w:t xml:space="preserve"> an objective of this deliberate act, that using data such as this, that was not previously collected, in their FPA 2014 mandated reporting, the MWYCFA will appreciate the value of regular data collection and monitoring by service providers. Hopefully, this will help to reinforce requests for the monthly submission of data in 2017 and regularly data collection by the SAFENET Coordinator and UN-SIG.</w:t>
            </w:r>
          </w:p>
        </w:tc>
      </w:tr>
      <w:tr w:rsidR="00762FF5" w14:paraId="07F516E6" w14:textId="77777777" w:rsidTr="00277EC3">
        <w:tc>
          <w:tcPr>
            <w:tcW w:w="4968" w:type="dxa"/>
            <w:shd w:val="clear" w:color="auto" w:fill="FFFFFF" w:themeFill="background1"/>
          </w:tcPr>
          <w:p w14:paraId="4F9F9AC6" w14:textId="169EE819"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Related to data collection again is the introduction of new JIMS to the</w:t>
            </w:r>
            <w:r w:rsidR="00277EC3">
              <w:rPr>
                <w:rFonts w:asciiTheme="minorHAnsi" w:hAnsiTheme="minorHAnsi" w:cstheme="minorHAnsi"/>
              </w:rPr>
              <w:t xml:space="preserve"> </w:t>
            </w:r>
            <w:r w:rsidRPr="00277EC3">
              <w:rPr>
                <w:rFonts w:asciiTheme="minorHAnsi" w:hAnsiTheme="minorHAnsi" w:cstheme="minorHAnsi"/>
              </w:rPr>
              <w:t>RSIPF and justice system agencies, resulting in more regularly data collection and collation at the national level, including some data required by the UN-SIG JP as part of the M&amp;E process, as well as needed by the MWCYFA for their Annual Report on the implementation of the FPA 2014. The Public Solicitors Office was able to extract needed data</w:t>
            </w:r>
            <w:r w:rsidR="00277EC3" w:rsidRPr="00277EC3">
              <w:rPr>
                <w:rFonts w:asciiTheme="minorHAnsi" w:hAnsiTheme="minorHAnsi" w:cstheme="minorHAnsi"/>
              </w:rPr>
              <w:t xml:space="preserve"> </w:t>
            </w:r>
            <w:r w:rsidRPr="00277EC3">
              <w:rPr>
                <w:rFonts w:asciiTheme="minorHAnsi" w:hAnsiTheme="minorHAnsi" w:cstheme="minorHAnsi"/>
              </w:rPr>
              <w:t>from the JIMS for the period of January to April 2016.</w:t>
            </w:r>
          </w:p>
        </w:tc>
        <w:tc>
          <w:tcPr>
            <w:tcW w:w="8208" w:type="dxa"/>
            <w:shd w:val="clear" w:color="auto" w:fill="FFFFFF" w:themeFill="background1"/>
          </w:tcPr>
          <w:p w14:paraId="621EA733" w14:textId="2C3FF3AD"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JP Coordinator invested significant time and effort in following up</w:t>
            </w:r>
            <w:r w:rsidR="00277EC3">
              <w:rPr>
                <w:rFonts w:asciiTheme="minorHAnsi" w:hAnsiTheme="minorHAnsi" w:cstheme="minorHAnsi"/>
              </w:rPr>
              <w:t xml:space="preserve"> </w:t>
            </w:r>
            <w:r w:rsidRPr="00277EC3">
              <w:rPr>
                <w:rFonts w:asciiTheme="minorHAnsi" w:hAnsiTheme="minorHAnsi" w:cstheme="minorHAnsi"/>
              </w:rPr>
              <w:t>on outstanding data via phone, email and in person. It was an important consideration that the MHMS GBV Coordinator/SAFENET Coordinator remains to be perceived as the main driver, pushing for monthly data collection. At the end of this reporting period, there was still missing data for some months from some service providers</w:t>
            </w:r>
            <w:r w:rsidR="00277EC3">
              <w:rPr>
                <w:rFonts w:asciiTheme="minorHAnsi" w:hAnsiTheme="minorHAnsi" w:cstheme="minorHAnsi"/>
              </w:rPr>
              <w:t xml:space="preserve"> </w:t>
            </w:r>
            <w:r w:rsidRPr="00277EC3">
              <w:rPr>
                <w:rFonts w:asciiTheme="minorHAnsi" w:hAnsiTheme="minorHAnsi" w:cstheme="minorHAnsi"/>
              </w:rPr>
              <w:t>and SAFENET referral network members.</w:t>
            </w:r>
          </w:p>
          <w:p w14:paraId="53351776" w14:textId="77777777" w:rsidR="00762FF5" w:rsidRPr="00277EC3" w:rsidRDefault="00762FF5" w:rsidP="00277EC3">
            <w:pPr>
              <w:pStyle w:val="BodyText"/>
              <w:kinsoku w:val="0"/>
              <w:overflowPunct w:val="0"/>
              <w:jc w:val="both"/>
              <w:rPr>
                <w:rFonts w:asciiTheme="minorHAnsi" w:hAnsiTheme="minorHAnsi" w:cstheme="minorHAnsi"/>
              </w:rPr>
            </w:pPr>
          </w:p>
          <w:p w14:paraId="39017512" w14:textId="28DD7743" w:rsidR="00762FF5" w:rsidRPr="00277EC3" w:rsidRDefault="00762FF5" w:rsidP="00277EC3">
            <w:pPr>
              <w:pStyle w:val="BodyText"/>
              <w:kinsoku w:val="0"/>
              <w:overflowPunct w:val="0"/>
              <w:jc w:val="both"/>
              <w:rPr>
                <w:rFonts w:asciiTheme="minorHAnsi" w:hAnsiTheme="minorHAnsi" w:cstheme="minorHAnsi"/>
              </w:rPr>
            </w:pPr>
          </w:p>
        </w:tc>
      </w:tr>
      <w:tr w:rsidR="00762FF5" w14:paraId="1D9F1C3E" w14:textId="77777777" w:rsidTr="00277EC3">
        <w:tc>
          <w:tcPr>
            <w:tcW w:w="4968" w:type="dxa"/>
            <w:shd w:val="clear" w:color="auto" w:fill="FFFFFF" w:themeFill="background1"/>
          </w:tcPr>
          <w:p w14:paraId="37E80E99" w14:textId="64E001F1"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World Bank-funded GBV project ceased without implementing the</w:t>
            </w:r>
            <w:r w:rsidR="00277EC3">
              <w:rPr>
                <w:rFonts w:asciiTheme="minorHAnsi" w:hAnsiTheme="minorHAnsi" w:cstheme="minorHAnsi"/>
              </w:rPr>
              <w:t xml:space="preserve"> </w:t>
            </w:r>
            <w:r w:rsidRPr="00277EC3">
              <w:rPr>
                <w:rFonts w:asciiTheme="minorHAnsi" w:hAnsiTheme="minorHAnsi" w:cstheme="minorHAnsi"/>
              </w:rPr>
              <w:t>prerequisite referral tracking database to track referrals of cases within</w:t>
            </w:r>
            <w:r w:rsidR="00277EC3">
              <w:rPr>
                <w:rFonts w:asciiTheme="minorHAnsi" w:hAnsiTheme="minorHAnsi" w:cstheme="minorHAnsi"/>
              </w:rPr>
              <w:t xml:space="preserve"> </w:t>
            </w:r>
            <w:r w:rsidRPr="00277EC3">
              <w:rPr>
                <w:rFonts w:asciiTheme="minorHAnsi" w:hAnsiTheme="minorHAnsi" w:cstheme="minorHAnsi"/>
              </w:rPr>
              <w:t>SAFENET, impacting activity on referral data collection (Activity 2.1.2)</w:t>
            </w:r>
          </w:p>
          <w:p w14:paraId="1F671769" w14:textId="77777777" w:rsidR="00762FF5" w:rsidRPr="00277EC3" w:rsidRDefault="00762FF5" w:rsidP="00277EC3">
            <w:pPr>
              <w:pStyle w:val="BodyText"/>
              <w:kinsoku w:val="0"/>
              <w:overflowPunct w:val="0"/>
              <w:jc w:val="both"/>
              <w:rPr>
                <w:rFonts w:asciiTheme="minorHAnsi" w:hAnsiTheme="minorHAnsi" w:cstheme="minorHAnsi"/>
              </w:rPr>
            </w:pPr>
          </w:p>
        </w:tc>
        <w:tc>
          <w:tcPr>
            <w:tcW w:w="8208" w:type="dxa"/>
            <w:shd w:val="clear" w:color="auto" w:fill="FFFFFF" w:themeFill="background1"/>
          </w:tcPr>
          <w:p w14:paraId="60147C91" w14:textId="694C2861"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During this reporting period, the UNFPA assessed the</w:t>
            </w:r>
            <w:r w:rsidR="008F2F6B">
              <w:rPr>
                <w:rFonts w:asciiTheme="minorHAnsi" w:hAnsiTheme="minorHAnsi" w:cstheme="minorHAnsi"/>
              </w:rPr>
              <w:t xml:space="preserve"> current VAWG </w:t>
            </w:r>
            <w:r w:rsidRPr="00277EC3">
              <w:rPr>
                <w:rFonts w:asciiTheme="minorHAnsi" w:hAnsiTheme="minorHAnsi" w:cstheme="minorHAnsi"/>
              </w:rPr>
              <w:t>data collection and analysis system in place within the SAFENET referral network. In light of the findings, in the 4</w:t>
            </w:r>
            <w:r w:rsidRPr="00277EC3">
              <w:rPr>
                <w:rFonts w:asciiTheme="minorHAnsi" w:hAnsiTheme="minorHAnsi" w:cstheme="minorHAnsi"/>
                <w:position w:val="8"/>
              </w:rPr>
              <w:t xml:space="preserve">th </w:t>
            </w:r>
            <w:r w:rsidRPr="00277EC3">
              <w:rPr>
                <w:rFonts w:asciiTheme="minorHAnsi" w:hAnsiTheme="minorHAnsi" w:cstheme="minorHAnsi"/>
              </w:rPr>
              <w:t>Quarter of 2016, the UNFPA submitted an addendum to the project document, proposing that the remaining USD 45,000 in Activity 2.1.2 be reallocated as follow:</w:t>
            </w:r>
          </w:p>
          <w:p w14:paraId="0CFBA8E9" w14:textId="77777777" w:rsidR="00762FF5" w:rsidRPr="00277EC3" w:rsidRDefault="00762FF5" w:rsidP="00277EC3">
            <w:pPr>
              <w:pStyle w:val="ListParagraph"/>
              <w:numPr>
                <w:ilvl w:val="0"/>
                <w:numId w:val="40"/>
              </w:numPr>
              <w:tabs>
                <w:tab w:val="left" w:pos="6209"/>
              </w:tabs>
              <w:kinsoku w:val="0"/>
              <w:overflowPunct w:val="0"/>
              <w:autoSpaceDE w:val="0"/>
              <w:autoSpaceDN w:val="0"/>
              <w:adjustRightInd w:val="0"/>
              <w:ind w:left="288"/>
              <w:contextualSpacing w:val="0"/>
              <w:jc w:val="both"/>
              <w:rPr>
                <w:rFonts w:cstheme="minorHAnsi"/>
                <w:sz w:val="20"/>
                <w:szCs w:val="20"/>
              </w:rPr>
            </w:pPr>
            <w:r w:rsidRPr="00277EC3">
              <w:rPr>
                <w:rFonts w:cstheme="minorHAnsi"/>
                <w:sz w:val="20"/>
                <w:szCs w:val="20"/>
              </w:rPr>
              <w:t>USD 5,000 reallocated to Activity 2.1.1 for use by UN Women in monitoring and coordination (basic data form</w:t>
            </w:r>
            <w:r w:rsidRPr="00277EC3">
              <w:rPr>
                <w:rFonts w:cstheme="minorHAnsi"/>
                <w:spacing w:val="-15"/>
                <w:sz w:val="20"/>
                <w:szCs w:val="20"/>
              </w:rPr>
              <w:t xml:space="preserve"> </w:t>
            </w:r>
            <w:r w:rsidRPr="00277EC3">
              <w:rPr>
                <w:rFonts w:cstheme="minorHAnsi"/>
                <w:sz w:val="20"/>
                <w:szCs w:val="20"/>
              </w:rPr>
              <w:t>development)</w:t>
            </w:r>
          </w:p>
          <w:p w14:paraId="2D8BAB24" w14:textId="77777777" w:rsidR="00762FF5" w:rsidRPr="00277EC3" w:rsidRDefault="00762FF5" w:rsidP="00277EC3">
            <w:pPr>
              <w:pStyle w:val="ListParagraph"/>
              <w:numPr>
                <w:ilvl w:val="0"/>
                <w:numId w:val="40"/>
              </w:numPr>
              <w:tabs>
                <w:tab w:val="left" w:pos="6209"/>
              </w:tabs>
              <w:kinsoku w:val="0"/>
              <w:overflowPunct w:val="0"/>
              <w:autoSpaceDE w:val="0"/>
              <w:autoSpaceDN w:val="0"/>
              <w:adjustRightInd w:val="0"/>
              <w:ind w:left="288"/>
              <w:contextualSpacing w:val="0"/>
              <w:jc w:val="both"/>
              <w:rPr>
                <w:rFonts w:cstheme="minorHAnsi"/>
                <w:sz w:val="20"/>
                <w:szCs w:val="20"/>
              </w:rPr>
            </w:pPr>
            <w:r w:rsidRPr="00277EC3">
              <w:rPr>
                <w:rFonts w:cstheme="minorHAnsi"/>
                <w:sz w:val="20"/>
                <w:szCs w:val="20"/>
              </w:rPr>
              <w:t>USD 30,000 reallocated to Activity 2.2.1 to supplement line on technical support in engaging</w:t>
            </w:r>
            <w:r w:rsidRPr="00277EC3">
              <w:rPr>
                <w:rFonts w:cstheme="minorHAnsi"/>
                <w:spacing w:val="-11"/>
                <w:sz w:val="20"/>
                <w:szCs w:val="20"/>
              </w:rPr>
              <w:t xml:space="preserve"> </w:t>
            </w:r>
            <w:r w:rsidRPr="00277EC3">
              <w:rPr>
                <w:rFonts w:cstheme="minorHAnsi"/>
                <w:sz w:val="20"/>
                <w:szCs w:val="20"/>
              </w:rPr>
              <w:t>AUT</w:t>
            </w:r>
          </w:p>
          <w:p w14:paraId="62315C44" w14:textId="77777777" w:rsidR="00762FF5" w:rsidRPr="00277EC3" w:rsidRDefault="00762FF5" w:rsidP="00277EC3">
            <w:pPr>
              <w:pStyle w:val="ListParagraph"/>
              <w:numPr>
                <w:ilvl w:val="0"/>
                <w:numId w:val="40"/>
              </w:numPr>
              <w:tabs>
                <w:tab w:val="left" w:pos="6209"/>
              </w:tabs>
              <w:kinsoku w:val="0"/>
              <w:overflowPunct w:val="0"/>
              <w:autoSpaceDE w:val="0"/>
              <w:autoSpaceDN w:val="0"/>
              <w:adjustRightInd w:val="0"/>
              <w:ind w:left="288"/>
              <w:contextualSpacing w:val="0"/>
              <w:jc w:val="both"/>
              <w:rPr>
                <w:rFonts w:cstheme="minorHAnsi"/>
                <w:sz w:val="20"/>
                <w:szCs w:val="20"/>
              </w:rPr>
            </w:pPr>
            <w:r w:rsidRPr="00277EC3">
              <w:rPr>
                <w:rFonts w:cstheme="minorHAnsi"/>
                <w:sz w:val="20"/>
                <w:szCs w:val="20"/>
              </w:rPr>
              <w:lastRenderedPageBreak/>
              <w:t>USD 5,000 reallocated to Activity 2.2.2 for supplementing current rollout of training to provinces, as well as activities on essential services and outreach for marginalized</w:t>
            </w:r>
            <w:r w:rsidRPr="00277EC3">
              <w:rPr>
                <w:rFonts w:cstheme="minorHAnsi"/>
                <w:spacing w:val="-30"/>
                <w:sz w:val="20"/>
                <w:szCs w:val="20"/>
              </w:rPr>
              <w:t xml:space="preserve"> </w:t>
            </w:r>
            <w:r w:rsidRPr="00277EC3">
              <w:rPr>
                <w:rFonts w:cstheme="minorHAnsi"/>
                <w:sz w:val="20"/>
                <w:szCs w:val="20"/>
              </w:rPr>
              <w:t>groups</w:t>
            </w:r>
          </w:p>
          <w:p w14:paraId="1AAD94E4" w14:textId="77777777" w:rsidR="00762FF5" w:rsidRPr="00277EC3" w:rsidRDefault="00762FF5" w:rsidP="00277EC3">
            <w:pPr>
              <w:pStyle w:val="ListParagraph"/>
              <w:numPr>
                <w:ilvl w:val="0"/>
                <w:numId w:val="40"/>
              </w:numPr>
              <w:tabs>
                <w:tab w:val="left" w:pos="6209"/>
              </w:tabs>
              <w:kinsoku w:val="0"/>
              <w:overflowPunct w:val="0"/>
              <w:autoSpaceDE w:val="0"/>
              <w:autoSpaceDN w:val="0"/>
              <w:adjustRightInd w:val="0"/>
              <w:ind w:left="288"/>
              <w:contextualSpacing w:val="0"/>
              <w:jc w:val="both"/>
              <w:rPr>
                <w:rFonts w:cstheme="minorHAnsi"/>
                <w:sz w:val="20"/>
                <w:szCs w:val="20"/>
              </w:rPr>
            </w:pPr>
            <w:r w:rsidRPr="00277EC3">
              <w:rPr>
                <w:rFonts w:cstheme="minorHAnsi"/>
                <w:sz w:val="20"/>
                <w:szCs w:val="20"/>
              </w:rPr>
              <w:t>USD 5,000 reallocated to Activity 2.2.3 for a partnership with the WHO to progress work on GBV health services protocols</w:t>
            </w:r>
            <w:r w:rsidRPr="00277EC3">
              <w:rPr>
                <w:rFonts w:cstheme="minorHAnsi"/>
                <w:spacing w:val="-15"/>
                <w:sz w:val="20"/>
                <w:szCs w:val="20"/>
              </w:rPr>
              <w:t xml:space="preserve"> </w:t>
            </w:r>
            <w:r w:rsidRPr="00277EC3">
              <w:rPr>
                <w:rFonts w:cstheme="minorHAnsi"/>
                <w:sz w:val="20"/>
                <w:szCs w:val="20"/>
              </w:rPr>
              <w:t>and</w:t>
            </w:r>
          </w:p>
          <w:p w14:paraId="50F9E3A5" w14:textId="1FA148E5" w:rsidR="00762FF5" w:rsidRPr="00277EC3" w:rsidRDefault="00762FF5" w:rsidP="00277EC3">
            <w:pPr>
              <w:pStyle w:val="BodyText"/>
              <w:kinsoku w:val="0"/>
              <w:overflowPunct w:val="0"/>
              <w:ind w:left="288"/>
              <w:jc w:val="both"/>
              <w:rPr>
                <w:rFonts w:asciiTheme="minorHAnsi" w:hAnsiTheme="minorHAnsi" w:cstheme="minorHAnsi"/>
              </w:rPr>
            </w:pPr>
            <w:r w:rsidRPr="00277EC3">
              <w:rPr>
                <w:rFonts w:asciiTheme="minorHAnsi" w:hAnsiTheme="minorHAnsi" w:cstheme="minorHAnsi"/>
              </w:rPr>
              <w:t>guidelines including printing of materials.</w:t>
            </w:r>
          </w:p>
        </w:tc>
      </w:tr>
      <w:tr w:rsidR="00762FF5" w14:paraId="63DD34F0" w14:textId="77777777" w:rsidTr="00277EC3">
        <w:tc>
          <w:tcPr>
            <w:tcW w:w="4968" w:type="dxa"/>
            <w:shd w:val="clear" w:color="auto" w:fill="FFFFFF" w:themeFill="background1"/>
          </w:tcPr>
          <w:p w14:paraId="3AB30867" w14:textId="6F6BAA78"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lastRenderedPageBreak/>
              <w:t xml:space="preserve">As </w:t>
            </w:r>
            <w:r w:rsidR="008F2F6B">
              <w:rPr>
                <w:rFonts w:asciiTheme="minorHAnsi" w:hAnsiTheme="minorHAnsi" w:cstheme="minorHAnsi"/>
              </w:rPr>
              <w:t>the number</w:t>
            </w:r>
            <w:r w:rsidRPr="00277EC3">
              <w:rPr>
                <w:rFonts w:asciiTheme="minorHAnsi" w:hAnsiTheme="minorHAnsi" w:cstheme="minorHAnsi"/>
              </w:rPr>
              <w:t xml:space="preserve"> of partners </w:t>
            </w:r>
            <w:r w:rsidR="008F2F6B">
              <w:rPr>
                <w:rFonts w:asciiTheme="minorHAnsi" w:hAnsiTheme="minorHAnsi" w:cstheme="minorHAnsi"/>
              </w:rPr>
              <w:t xml:space="preserve">and EVAWG </w:t>
            </w:r>
            <w:r w:rsidRPr="00277EC3">
              <w:rPr>
                <w:rFonts w:asciiTheme="minorHAnsi" w:hAnsiTheme="minorHAnsi" w:cstheme="minorHAnsi"/>
              </w:rPr>
              <w:t xml:space="preserve"> projects </w:t>
            </w:r>
            <w:r w:rsidR="008F2F6B">
              <w:rPr>
                <w:rFonts w:asciiTheme="minorHAnsi" w:hAnsiTheme="minorHAnsi" w:cstheme="minorHAnsi"/>
              </w:rPr>
              <w:t xml:space="preserve"> </w:t>
            </w:r>
            <w:r w:rsidRPr="00277EC3">
              <w:rPr>
                <w:rFonts w:asciiTheme="minorHAnsi" w:hAnsiTheme="minorHAnsi" w:cstheme="minorHAnsi"/>
              </w:rPr>
              <w:t xml:space="preserve"> in the country</w:t>
            </w:r>
            <w:r w:rsidR="00277EC3">
              <w:rPr>
                <w:rFonts w:asciiTheme="minorHAnsi" w:hAnsiTheme="minorHAnsi" w:cstheme="minorHAnsi"/>
              </w:rPr>
              <w:t xml:space="preserve"> </w:t>
            </w:r>
            <w:r w:rsidR="008F2F6B">
              <w:rPr>
                <w:rFonts w:asciiTheme="minorHAnsi" w:hAnsiTheme="minorHAnsi" w:cstheme="minorHAnsi"/>
              </w:rPr>
              <w:t xml:space="preserve">increase </w:t>
            </w:r>
            <w:r w:rsidRPr="00277EC3">
              <w:rPr>
                <w:rFonts w:asciiTheme="minorHAnsi" w:hAnsiTheme="minorHAnsi" w:cstheme="minorHAnsi"/>
              </w:rPr>
              <w:t>without matched increase in government human resourcing, it is clear that the UN-SIG JP must maintain communication with development partners and funding partners (including UN agencies, Australian DFAT, World Bank, INGOs, and grant mechanisms), as well as the key SAFENET referral network partners to ensure that not only are project goals met, but that conflicting priorities are managed in advance. This can include timing of launching activities, strategic and</w:t>
            </w:r>
            <w:r w:rsidR="00277EC3">
              <w:rPr>
                <w:rFonts w:asciiTheme="minorHAnsi" w:hAnsiTheme="minorHAnsi" w:cstheme="minorHAnsi"/>
              </w:rPr>
              <w:t xml:space="preserve"> </w:t>
            </w:r>
            <w:r w:rsidRPr="00277EC3">
              <w:rPr>
                <w:rFonts w:asciiTheme="minorHAnsi" w:hAnsiTheme="minorHAnsi" w:cstheme="minorHAnsi"/>
              </w:rPr>
              <w:t>policy-level meetings, and fielding of technical consultants.</w:t>
            </w:r>
          </w:p>
        </w:tc>
        <w:tc>
          <w:tcPr>
            <w:tcW w:w="8208" w:type="dxa"/>
            <w:shd w:val="clear" w:color="auto" w:fill="FFFFFF" w:themeFill="background1"/>
          </w:tcPr>
          <w:p w14:paraId="65538309" w14:textId="1721F810"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UN-SIG JPs regular capturing of planned absences by key staff</w:t>
            </w:r>
            <w:r w:rsidR="00277EC3">
              <w:rPr>
                <w:rFonts w:asciiTheme="minorHAnsi" w:hAnsiTheme="minorHAnsi" w:cstheme="minorHAnsi"/>
              </w:rPr>
              <w:t xml:space="preserve"> </w:t>
            </w:r>
            <w:r w:rsidRPr="00277EC3">
              <w:rPr>
                <w:rFonts w:asciiTheme="minorHAnsi" w:hAnsiTheme="minorHAnsi" w:cstheme="minorHAnsi"/>
              </w:rPr>
              <w:t>participation in policy meetings and events hosted by UN-SIG JP partner agencies will ensure activities under UN-SIG JP is attended by a good number of participants and that there is a high level of engagement.</w:t>
            </w:r>
          </w:p>
          <w:p w14:paraId="4FD6EFD6" w14:textId="77777777" w:rsidR="00762FF5" w:rsidRPr="00277EC3" w:rsidRDefault="00762FF5" w:rsidP="00277EC3">
            <w:pPr>
              <w:pStyle w:val="BodyText"/>
              <w:kinsoku w:val="0"/>
              <w:overflowPunct w:val="0"/>
              <w:jc w:val="both"/>
              <w:rPr>
                <w:rFonts w:asciiTheme="minorHAnsi" w:hAnsiTheme="minorHAnsi" w:cstheme="minorHAnsi"/>
              </w:rPr>
            </w:pPr>
          </w:p>
          <w:p w14:paraId="53129CBE" w14:textId="00C070AE"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This information is reflected into confirmation of activities, meetings</w:t>
            </w:r>
            <w:r w:rsidR="00277EC3">
              <w:rPr>
                <w:rFonts w:asciiTheme="minorHAnsi" w:hAnsiTheme="minorHAnsi" w:cstheme="minorHAnsi"/>
              </w:rPr>
              <w:t xml:space="preserve"> </w:t>
            </w:r>
            <w:r w:rsidRPr="00277EC3">
              <w:rPr>
                <w:rFonts w:asciiTheme="minorHAnsi" w:hAnsiTheme="minorHAnsi" w:cstheme="minorHAnsi"/>
              </w:rPr>
              <w:t>and in-country missions for technical consultants.</w:t>
            </w:r>
          </w:p>
          <w:p w14:paraId="01563934" w14:textId="77777777" w:rsidR="00762FF5" w:rsidRPr="00277EC3" w:rsidRDefault="00762FF5" w:rsidP="00277EC3">
            <w:pPr>
              <w:pStyle w:val="BodyText"/>
              <w:kinsoku w:val="0"/>
              <w:overflowPunct w:val="0"/>
              <w:jc w:val="both"/>
              <w:rPr>
                <w:rFonts w:asciiTheme="minorHAnsi" w:hAnsiTheme="minorHAnsi" w:cstheme="minorHAnsi"/>
              </w:rPr>
            </w:pPr>
          </w:p>
        </w:tc>
      </w:tr>
      <w:tr w:rsidR="00762FF5" w14:paraId="1A01E9DF" w14:textId="77777777" w:rsidTr="00277EC3">
        <w:tc>
          <w:tcPr>
            <w:tcW w:w="4968" w:type="dxa"/>
            <w:shd w:val="clear" w:color="auto" w:fill="FFFFFF" w:themeFill="background1"/>
          </w:tcPr>
          <w:p w14:paraId="4F69B7C6" w14:textId="4A91E662"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Competing with EVAWG partners to implement UN-SIG JP activities,</w:t>
            </w:r>
            <w:r w:rsidR="00277EC3">
              <w:rPr>
                <w:rFonts w:asciiTheme="minorHAnsi" w:hAnsiTheme="minorHAnsi" w:cstheme="minorHAnsi"/>
              </w:rPr>
              <w:t xml:space="preserve"> </w:t>
            </w:r>
            <w:r w:rsidRPr="00277EC3">
              <w:rPr>
                <w:rFonts w:asciiTheme="minorHAnsi" w:hAnsiTheme="minorHAnsi" w:cstheme="minorHAnsi"/>
              </w:rPr>
              <w:t>this includes activities where funding is channeled through MWYCFA accounts akin to the UN-SIG JP arrangements, through to technical consultants being partnered with key EVAW staff of the MWYCFA.</w:t>
            </w:r>
          </w:p>
          <w:p w14:paraId="25BBFFB9" w14:textId="77777777" w:rsidR="00762FF5" w:rsidRPr="00277EC3" w:rsidRDefault="00762FF5" w:rsidP="00277EC3">
            <w:pPr>
              <w:pStyle w:val="BodyText"/>
              <w:kinsoku w:val="0"/>
              <w:overflowPunct w:val="0"/>
              <w:jc w:val="both"/>
              <w:rPr>
                <w:rFonts w:asciiTheme="minorHAnsi" w:hAnsiTheme="minorHAnsi" w:cstheme="minorHAnsi"/>
              </w:rPr>
            </w:pPr>
          </w:p>
          <w:p w14:paraId="66AE88C0" w14:textId="51A4FF0F"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MWYCFA currently holds a total of USD 45,600 of combined UN Women funding (UN Peace Building Trust Fund project USD 25,200 plus UN-SIG JP USD 20,400) and will receive an additional USD 124,000</w:t>
            </w:r>
            <w:r w:rsidR="00277EC3">
              <w:rPr>
                <w:rFonts w:asciiTheme="minorHAnsi" w:hAnsiTheme="minorHAnsi" w:cstheme="minorHAnsi"/>
              </w:rPr>
              <w:t xml:space="preserve"> </w:t>
            </w:r>
            <w:r w:rsidRPr="00277EC3">
              <w:rPr>
                <w:rFonts w:asciiTheme="minorHAnsi" w:hAnsiTheme="minorHAnsi" w:cstheme="minorHAnsi"/>
              </w:rPr>
              <w:t>in the next reporting period.</w:t>
            </w:r>
          </w:p>
        </w:tc>
        <w:tc>
          <w:tcPr>
            <w:tcW w:w="8208" w:type="dxa"/>
            <w:shd w:val="clear" w:color="auto" w:fill="FFFFFF" w:themeFill="background1"/>
          </w:tcPr>
          <w:p w14:paraId="71E2FA2E" w14:textId="5CDA69E0"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Full visibility of UN-SIG JP activities and projected timeframes of</w:t>
            </w:r>
            <w:r w:rsidR="00277EC3">
              <w:rPr>
                <w:rFonts w:asciiTheme="minorHAnsi" w:hAnsiTheme="minorHAnsi" w:cstheme="minorHAnsi"/>
              </w:rPr>
              <w:t xml:space="preserve"> </w:t>
            </w:r>
            <w:r w:rsidRPr="00277EC3">
              <w:rPr>
                <w:rFonts w:asciiTheme="minorHAnsi" w:hAnsiTheme="minorHAnsi" w:cstheme="minorHAnsi"/>
              </w:rPr>
              <w:t>implementation across UN-SIG JP partners is maintained through the sharing of a programme priorities matrix.</w:t>
            </w:r>
          </w:p>
          <w:p w14:paraId="2BA4A921" w14:textId="77777777" w:rsidR="00762FF5" w:rsidRPr="00277EC3" w:rsidRDefault="00762FF5" w:rsidP="00277EC3">
            <w:pPr>
              <w:pStyle w:val="BodyText"/>
              <w:kinsoku w:val="0"/>
              <w:overflowPunct w:val="0"/>
              <w:jc w:val="both"/>
              <w:rPr>
                <w:rFonts w:asciiTheme="minorHAnsi" w:hAnsiTheme="minorHAnsi" w:cstheme="minorHAnsi"/>
              </w:rPr>
            </w:pPr>
          </w:p>
          <w:p w14:paraId="66F9188C" w14:textId="77777777"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The JP Coordinator initiated monthly meetings with key partners on UN-SIG JP, including the UNFPA Programme Specialist (also the focal point on the UN-SIG JP), the MHMS GBV Coordinator/SAFENET Coordinator, and the MWYCFA EVAW Policy Coordinator and WDD</w:t>
            </w:r>
          </w:p>
          <w:p w14:paraId="7D2FB096" w14:textId="77777777" w:rsidR="00762FF5" w:rsidRPr="00277EC3" w:rsidRDefault="00762FF5" w:rsidP="00277EC3">
            <w:pPr>
              <w:pStyle w:val="BodyText"/>
              <w:kinsoku w:val="0"/>
              <w:overflowPunct w:val="0"/>
              <w:jc w:val="both"/>
              <w:rPr>
                <w:rFonts w:asciiTheme="minorHAnsi" w:hAnsiTheme="minorHAnsi" w:cstheme="minorHAnsi"/>
              </w:rPr>
            </w:pPr>
            <w:r w:rsidRPr="00277EC3">
              <w:rPr>
                <w:rFonts w:asciiTheme="minorHAnsi" w:hAnsiTheme="minorHAnsi" w:cstheme="minorHAnsi"/>
              </w:rPr>
              <w:t>Director.</w:t>
            </w:r>
          </w:p>
          <w:p w14:paraId="50C112FA" w14:textId="77777777" w:rsidR="00762FF5" w:rsidRPr="00277EC3" w:rsidRDefault="00762FF5" w:rsidP="00277EC3">
            <w:pPr>
              <w:pStyle w:val="BodyText"/>
              <w:kinsoku w:val="0"/>
              <w:overflowPunct w:val="0"/>
              <w:jc w:val="both"/>
              <w:rPr>
                <w:rFonts w:asciiTheme="minorHAnsi" w:hAnsiTheme="minorHAnsi" w:cstheme="minorHAnsi"/>
              </w:rPr>
            </w:pPr>
          </w:p>
        </w:tc>
      </w:tr>
      <w:tr w:rsidR="00762FF5" w14:paraId="1942B203" w14:textId="77777777" w:rsidTr="00277EC3">
        <w:tc>
          <w:tcPr>
            <w:tcW w:w="4968" w:type="dxa"/>
            <w:shd w:val="clear" w:color="auto" w:fill="FFFFFF" w:themeFill="background1"/>
          </w:tcPr>
          <w:p w14:paraId="1AD9C3DC" w14:textId="6429C6D0" w:rsidR="00762FF5" w:rsidRPr="00277EC3" w:rsidRDefault="00762FF5" w:rsidP="00277EC3">
            <w:pPr>
              <w:pStyle w:val="BodyText"/>
              <w:kinsoku w:val="0"/>
              <w:overflowPunct w:val="0"/>
              <w:rPr>
                <w:rFonts w:asciiTheme="minorHAnsi" w:hAnsiTheme="minorHAnsi" w:cstheme="minorHAnsi"/>
              </w:rPr>
            </w:pPr>
            <w:r w:rsidRPr="00277EC3">
              <w:rPr>
                <w:rFonts w:asciiTheme="minorHAnsi" w:hAnsiTheme="minorHAnsi" w:cstheme="minorHAnsi"/>
              </w:rPr>
              <w:t>Activity 1.1.1 is dependent on the availability of Members of</w:t>
            </w:r>
            <w:r w:rsidR="00277EC3">
              <w:rPr>
                <w:rFonts w:asciiTheme="minorHAnsi" w:hAnsiTheme="minorHAnsi" w:cstheme="minorHAnsi"/>
              </w:rPr>
              <w:t xml:space="preserve"> </w:t>
            </w:r>
            <w:r w:rsidRPr="00277EC3">
              <w:rPr>
                <w:rFonts w:asciiTheme="minorHAnsi" w:hAnsiTheme="minorHAnsi" w:cstheme="minorHAnsi"/>
              </w:rPr>
              <w:t xml:space="preserve">Parliament for the FPA training, and the development of the program modules and materials. During this </w:t>
            </w:r>
            <w:r w:rsidR="00277EC3">
              <w:rPr>
                <w:rFonts w:asciiTheme="minorHAnsi" w:hAnsiTheme="minorHAnsi" w:cstheme="minorHAnsi"/>
              </w:rPr>
              <w:t>r</w:t>
            </w:r>
            <w:r w:rsidRPr="00277EC3">
              <w:rPr>
                <w:rFonts w:asciiTheme="minorHAnsi" w:hAnsiTheme="minorHAnsi" w:cstheme="minorHAnsi"/>
              </w:rPr>
              <w:t xml:space="preserve">eporting period this activity was postponed </w:t>
            </w:r>
            <w:r w:rsidR="00277EC3">
              <w:rPr>
                <w:rFonts w:asciiTheme="minorHAnsi" w:hAnsiTheme="minorHAnsi" w:cstheme="minorHAnsi"/>
              </w:rPr>
              <w:t xml:space="preserve">until 2017. </w:t>
            </w:r>
          </w:p>
        </w:tc>
        <w:tc>
          <w:tcPr>
            <w:tcW w:w="8208" w:type="dxa"/>
            <w:shd w:val="clear" w:color="auto" w:fill="FFFFFF" w:themeFill="background1"/>
          </w:tcPr>
          <w:p w14:paraId="3881DC24" w14:textId="77777777" w:rsidR="00762FF5" w:rsidRPr="00277EC3" w:rsidRDefault="00762FF5" w:rsidP="00277EC3">
            <w:pPr>
              <w:pStyle w:val="BodyText"/>
              <w:kinsoku w:val="0"/>
              <w:overflowPunct w:val="0"/>
              <w:rPr>
                <w:rFonts w:asciiTheme="minorHAnsi" w:hAnsiTheme="minorHAnsi" w:cstheme="minorHAnsi"/>
              </w:rPr>
            </w:pPr>
            <w:r w:rsidRPr="00277EC3">
              <w:rPr>
                <w:rFonts w:asciiTheme="minorHAnsi" w:hAnsiTheme="minorHAnsi" w:cstheme="minorHAnsi"/>
              </w:rPr>
              <w:t>The JP Coordinator regularly monitored the deliverables under this</w:t>
            </w:r>
          </w:p>
          <w:p w14:paraId="68E735EE" w14:textId="77777777" w:rsidR="00762FF5" w:rsidRPr="00277EC3" w:rsidRDefault="00762FF5" w:rsidP="00277EC3">
            <w:pPr>
              <w:pStyle w:val="BodyText"/>
              <w:kinsoku w:val="0"/>
              <w:overflowPunct w:val="0"/>
              <w:rPr>
                <w:rFonts w:asciiTheme="minorHAnsi" w:hAnsiTheme="minorHAnsi" w:cstheme="minorHAnsi"/>
              </w:rPr>
            </w:pPr>
            <w:r w:rsidRPr="00277EC3">
              <w:rPr>
                <w:rFonts w:asciiTheme="minorHAnsi" w:hAnsiTheme="minorHAnsi" w:cstheme="minorHAnsi"/>
              </w:rPr>
              <w:t>contract through monthly meetings with the MWYCFA EVAW Policy</w:t>
            </w:r>
          </w:p>
          <w:p w14:paraId="090CD809" w14:textId="77777777" w:rsidR="00762FF5" w:rsidRPr="00277EC3" w:rsidRDefault="00762FF5" w:rsidP="00277EC3">
            <w:pPr>
              <w:pStyle w:val="BodyText"/>
              <w:kinsoku w:val="0"/>
              <w:overflowPunct w:val="0"/>
              <w:rPr>
                <w:rFonts w:asciiTheme="minorHAnsi" w:hAnsiTheme="minorHAnsi" w:cstheme="minorHAnsi"/>
              </w:rPr>
            </w:pPr>
            <w:r w:rsidRPr="00277EC3">
              <w:rPr>
                <w:rFonts w:asciiTheme="minorHAnsi" w:hAnsiTheme="minorHAnsi" w:cstheme="minorHAnsi"/>
              </w:rPr>
              <w:t>Coordinator and the WDD Director.</w:t>
            </w:r>
          </w:p>
          <w:p w14:paraId="2F3B83F9" w14:textId="77777777" w:rsidR="00762FF5" w:rsidRPr="00277EC3" w:rsidRDefault="00762FF5" w:rsidP="00277EC3">
            <w:pPr>
              <w:pStyle w:val="BodyText"/>
              <w:kinsoku w:val="0"/>
              <w:overflowPunct w:val="0"/>
              <w:rPr>
                <w:rFonts w:asciiTheme="minorHAnsi" w:hAnsiTheme="minorHAnsi" w:cstheme="minorHAnsi"/>
              </w:rPr>
            </w:pPr>
          </w:p>
        </w:tc>
      </w:tr>
    </w:tbl>
    <w:tbl>
      <w:tblPr>
        <w:tblW w:w="0" w:type="auto"/>
        <w:tblBorders>
          <w:top w:val="nil"/>
          <w:left w:val="nil"/>
          <w:bottom w:val="nil"/>
          <w:right w:val="nil"/>
        </w:tblBorders>
        <w:tblLayout w:type="fixed"/>
        <w:tblLook w:val="0000" w:firstRow="0" w:lastRow="0" w:firstColumn="0" w:lastColumn="0" w:noHBand="0" w:noVBand="0"/>
      </w:tblPr>
      <w:tblGrid>
        <w:gridCol w:w="6370"/>
        <w:gridCol w:w="6370"/>
      </w:tblGrid>
      <w:tr w:rsidR="00890950" w:rsidRPr="00890950" w14:paraId="59C37243" w14:textId="77777777" w:rsidTr="00106234">
        <w:trPr>
          <w:trHeight w:val="110"/>
        </w:trPr>
        <w:tc>
          <w:tcPr>
            <w:tcW w:w="6370" w:type="dxa"/>
          </w:tcPr>
          <w:p w14:paraId="3135823E" w14:textId="1DE29B9A" w:rsidR="00890950" w:rsidRPr="00890950" w:rsidRDefault="00890950" w:rsidP="00277EC3">
            <w:pPr>
              <w:autoSpaceDE w:val="0"/>
              <w:autoSpaceDN w:val="0"/>
              <w:adjustRightInd w:val="0"/>
              <w:spacing w:after="0" w:line="240" w:lineRule="auto"/>
              <w:rPr>
                <w:rFonts w:ascii="Calibri" w:hAnsi="Calibri" w:cs="Calibri"/>
                <w:color w:val="FFFFFF"/>
              </w:rPr>
            </w:pPr>
          </w:p>
        </w:tc>
        <w:tc>
          <w:tcPr>
            <w:tcW w:w="6370" w:type="dxa"/>
          </w:tcPr>
          <w:p w14:paraId="6CD2458F" w14:textId="77777777" w:rsidR="00890950" w:rsidRPr="00890950" w:rsidRDefault="00890950" w:rsidP="00277EC3">
            <w:pPr>
              <w:autoSpaceDE w:val="0"/>
              <w:autoSpaceDN w:val="0"/>
              <w:adjustRightInd w:val="0"/>
              <w:spacing w:after="0" w:line="240" w:lineRule="auto"/>
              <w:rPr>
                <w:rFonts w:ascii="Calibri" w:hAnsi="Calibri" w:cs="Calibri"/>
                <w:color w:val="FFFFFF"/>
              </w:rPr>
            </w:pPr>
            <w:r w:rsidRPr="00890950">
              <w:rPr>
                <w:rFonts w:ascii="Calibri" w:hAnsi="Calibri" w:cs="Calibri"/>
                <w:b/>
                <w:bCs/>
                <w:color w:val="FFFFFF"/>
              </w:rPr>
              <w:t xml:space="preserve">Risks Management </w:t>
            </w:r>
          </w:p>
        </w:tc>
      </w:tr>
    </w:tbl>
    <w:p w14:paraId="45EFB993" w14:textId="77777777" w:rsidR="00236413" w:rsidRPr="005E40C3" w:rsidRDefault="00236413" w:rsidP="00AE1025">
      <w:pPr>
        <w:pBdr>
          <w:bottom w:val="single" w:sz="4" w:space="1" w:color="auto"/>
        </w:pBdr>
        <w:spacing w:after="0" w:line="240" w:lineRule="auto"/>
        <w:rPr>
          <w:rStyle w:val="Heading2Char"/>
          <w:b w:val="0"/>
          <w:color w:val="FF0000"/>
          <w:sz w:val="21"/>
          <w:szCs w:val="21"/>
        </w:rPr>
      </w:pPr>
      <w:bookmarkStart w:id="8" w:name="_Toc341089364"/>
      <w:r w:rsidRPr="005E40C3">
        <w:rPr>
          <w:rStyle w:val="Heading3Char"/>
          <w:sz w:val="21"/>
          <w:szCs w:val="21"/>
        </w:rPr>
        <w:t>3.7 Next steps</w:t>
      </w:r>
      <w:bookmarkEnd w:id="8"/>
      <w:r w:rsidRPr="005E40C3">
        <w:rPr>
          <w:rStyle w:val="Heading2Char"/>
          <w:sz w:val="21"/>
          <w:szCs w:val="21"/>
        </w:rPr>
        <w:t xml:space="preserve"> </w:t>
      </w:r>
      <w:r w:rsidR="00AD6847" w:rsidRPr="005E40C3">
        <w:rPr>
          <w:sz w:val="21"/>
          <w:szCs w:val="21"/>
        </w:rPr>
        <w:t>(</w:t>
      </w:r>
      <w:r w:rsidR="00AD6847" w:rsidRPr="005E40C3">
        <w:rPr>
          <w:color w:val="FF0000"/>
          <w:sz w:val="21"/>
          <w:szCs w:val="21"/>
        </w:rPr>
        <w:t>Only for Progress Report and Annual Report</w:t>
      </w:r>
      <w:r w:rsidR="00AD6847" w:rsidRPr="005E40C3">
        <w:rPr>
          <w:sz w:val="21"/>
          <w:szCs w:val="21"/>
        </w:rPr>
        <w:t xml:space="preserve">) </w:t>
      </w:r>
    </w:p>
    <w:p w14:paraId="18AF259B" w14:textId="77777777" w:rsidR="00236413" w:rsidRPr="006627B8" w:rsidRDefault="00236413" w:rsidP="001B1F59">
      <w:pPr>
        <w:pStyle w:val="ListParagraph"/>
        <w:numPr>
          <w:ilvl w:val="1"/>
          <w:numId w:val="5"/>
        </w:numPr>
        <w:spacing w:before="120" w:after="0" w:line="240" w:lineRule="auto"/>
        <w:ind w:left="360"/>
        <w:rPr>
          <w:sz w:val="21"/>
          <w:szCs w:val="21"/>
        </w:rPr>
      </w:pPr>
      <w:r w:rsidRPr="006627B8">
        <w:rPr>
          <w:sz w:val="21"/>
          <w:szCs w:val="21"/>
        </w:rPr>
        <w:t xml:space="preserve">Please highlight key anticipated milestones over the next </w:t>
      </w:r>
      <w:r w:rsidR="008726DF">
        <w:rPr>
          <w:sz w:val="21"/>
          <w:szCs w:val="21"/>
        </w:rPr>
        <w:t>six</w:t>
      </w:r>
      <w:r w:rsidRPr="006627B8">
        <w:rPr>
          <w:sz w:val="21"/>
          <w:szCs w:val="21"/>
        </w:rPr>
        <w:t xml:space="preserve"> months of the project implementation. </w:t>
      </w:r>
      <w:r w:rsidR="00A17323" w:rsidRPr="006627B8">
        <w:rPr>
          <w:sz w:val="21"/>
          <w:szCs w:val="21"/>
        </w:rPr>
        <w:t>(</w:t>
      </w:r>
      <w:r w:rsidR="00A17323" w:rsidRPr="006627B8">
        <w:rPr>
          <w:color w:val="FF0000"/>
          <w:sz w:val="21"/>
          <w:szCs w:val="21"/>
        </w:rPr>
        <w:t>Maximum 1,500 words</w:t>
      </w:r>
      <w:r w:rsidR="00A17323" w:rsidRPr="006627B8">
        <w:rPr>
          <w:sz w:val="21"/>
          <w:szCs w:val="21"/>
        </w:rPr>
        <w:t>)</w:t>
      </w:r>
    </w:p>
    <w:p w14:paraId="12425FB0" w14:textId="77777777" w:rsidR="00236413" w:rsidRDefault="00236413" w:rsidP="00AE1025">
      <w:pPr>
        <w:spacing w:after="0" w:line="240" w:lineRule="auto"/>
        <w:rPr>
          <w:rStyle w:val="Heading2Char"/>
          <w:rFonts w:asciiTheme="minorHAnsi" w:hAnsiTheme="minorHAnsi"/>
          <w:b w:val="0"/>
          <w:color w:val="000000" w:themeColor="text1"/>
          <w:sz w:val="22"/>
          <w:szCs w:val="22"/>
        </w:rPr>
      </w:pPr>
    </w:p>
    <w:p w14:paraId="7C2F5460" w14:textId="40BC1CFF" w:rsidR="00AE1025" w:rsidRDefault="00106234" w:rsidP="00AE1025">
      <w:pPr>
        <w:spacing w:after="0" w:line="240" w:lineRule="auto"/>
        <w:rPr>
          <w:rStyle w:val="Heading2Char"/>
          <w:rFonts w:asciiTheme="minorHAnsi" w:hAnsiTheme="minorHAnsi"/>
          <w:b w:val="0"/>
          <w:color w:val="000000" w:themeColor="text1"/>
          <w:sz w:val="20"/>
          <w:szCs w:val="20"/>
        </w:rPr>
      </w:pPr>
      <w:r w:rsidRPr="00762FF5">
        <w:rPr>
          <w:rStyle w:val="Heading2Char"/>
          <w:rFonts w:asciiTheme="minorHAnsi" w:hAnsiTheme="minorHAnsi"/>
          <w:b w:val="0"/>
          <w:color w:val="000000" w:themeColor="text1"/>
          <w:sz w:val="20"/>
          <w:szCs w:val="20"/>
        </w:rPr>
        <w:t xml:space="preserve">UN-SIG JP on EVAWG has </w:t>
      </w:r>
      <w:r w:rsidR="008F2F6B">
        <w:rPr>
          <w:rStyle w:val="Heading2Char"/>
          <w:rFonts w:asciiTheme="minorHAnsi" w:hAnsiTheme="minorHAnsi"/>
          <w:b w:val="0"/>
          <w:color w:val="000000" w:themeColor="text1"/>
          <w:sz w:val="20"/>
          <w:szCs w:val="20"/>
        </w:rPr>
        <w:t>transitioned into the</w:t>
      </w:r>
      <w:r w:rsidRPr="00762FF5">
        <w:rPr>
          <w:rStyle w:val="Heading2Char"/>
          <w:rFonts w:asciiTheme="minorHAnsi" w:hAnsiTheme="minorHAnsi"/>
          <w:b w:val="0"/>
          <w:color w:val="000000" w:themeColor="text1"/>
          <w:sz w:val="20"/>
          <w:szCs w:val="20"/>
        </w:rPr>
        <w:t xml:space="preserve"> UN-SIG JP on ESP </w:t>
      </w:r>
      <w:r w:rsidR="008F2F6B">
        <w:rPr>
          <w:rStyle w:val="Heading2Char"/>
          <w:rFonts w:asciiTheme="minorHAnsi" w:hAnsiTheme="minorHAnsi"/>
          <w:b w:val="0"/>
          <w:color w:val="000000" w:themeColor="text1"/>
          <w:sz w:val="20"/>
          <w:szCs w:val="20"/>
        </w:rPr>
        <w:t>in a very timely way. ESP provides additional support to the achievements of the UNTF.</w:t>
      </w:r>
    </w:p>
    <w:p w14:paraId="0BB13656" w14:textId="77777777" w:rsidR="008F2F6B" w:rsidRDefault="008F2F6B" w:rsidP="00AE1025">
      <w:pPr>
        <w:spacing w:after="0" w:line="240" w:lineRule="auto"/>
        <w:rPr>
          <w:rStyle w:val="Heading2Char"/>
          <w:rFonts w:asciiTheme="minorHAnsi" w:hAnsiTheme="minorHAnsi"/>
          <w:b w:val="0"/>
          <w:color w:val="000000" w:themeColor="text1"/>
          <w:sz w:val="22"/>
          <w:szCs w:val="22"/>
        </w:rPr>
      </w:pPr>
    </w:p>
    <w:p w14:paraId="3EC4DFF6" w14:textId="77777777" w:rsidR="00236413" w:rsidRPr="005E40C3" w:rsidRDefault="00236413" w:rsidP="00AE1025">
      <w:pPr>
        <w:pBdr>
          <w:bottom w:val="single" w:sz="4" w:space="1" w:color="auto"/>
        </w:pBdr>
        <w:spacing w:after="0" w:line="240" w:lineRule="auto"/>
        <w:rPr>
          <w:b/>
          <w:sz w:val="21"/>
          <w:szCs w:val="21"/>
        </w:rPr>
      </w:pPr>
      <w:bookmarkStart w:id="9" w:name="_Toc341089365"/>
      <w:r w:rsidRPr="005E40C3">
        <w:rPr>
          <w:rStyle w:val="Heading3Char"/>
          <w:sz w:val="21"/>
          <w:szCs w:val="21"/>
        </w:rPr>
        <w:t>3.8 Sustainability</w:t>
      </w:r>
      <w:bookmarkEnd w:id="9"/>
      <w:r w:rsidRPr="005E40C3">
        <w:rPr>
          <w:b/>
          <w:color w:val="FF0000"/>
          <w:sz w:val="21"/>
          <w:szCs w:val="21"/>
        </w:rPr>
        <w:t xml:space="preserve"> </w:t>
      </w:r>
      <w:r w:rsidR="00AD6847" w:rsidRPr="005E40C3">
        <w:rPr>
          <w:sz w:val="21"/>
          <w:szCs w:val="21"/>
        </w:rPr>
        <w:t>(</w:t>
      </w:r>
      <w:r w:rsidR="00AD6847" w:rsidRPr="005E40C3">
        <w:rPr>
          <w:color w:val="FF0000"/>
          <w:sz w:val="21"/>
          <w:szCs w:val="21"/>
        </w:rPr>
        <w:t>Only for Annual Report and Final Report</w:t>
      </w:r>
      <w:r w:rsidR="00AD6847" w:rsidRPr="005E40C3">
        <w:rPr>
          <w:sz w:val="21"/>
          <w:szCs w:val="21"/>
        </w:rPr>
        <w:t>)</w:t>
      </w:r>
    </w:p>
    <w:p w14:paraId="21D0A83A" w14:textId="77777777" w:rsidR="00236413" w:rsidRPr="006627B8" w:rsidRDefault="00236413" w:rsidP="001B1F59">
      <w:pPr>
        <w:pStyle w:val="ListParagraph"/>
        <w:numPr>
          <w:ilvl w:val="1"/>
          <w:numId w:val="5"/>
        </w:numPr>
        <w:spacing w:before="120" w:after="0" w:line="240" w:lineRule="auto"/>
        <w:ind w:left="360"/>
        <w:rPr>
          <w:sz w:val="21"/>
          <w:szCs w:val="21"/>
        </w:rPr>
      </w:pPr>
      <w:r w:rsidRPr="006627B8">
        <w:rPr>
          <w:sz w:val="21"/>
          <w:szCs w:val="21"/>
        </w:rPr>
        <w:lastRenderedPageBreak/>
        <w:t xml:space="preserve">Please describe your organization’s plan to sustain the project results beyond the project duration. </w:t>
      </w:r>
      <w:r w:rsidR="00A17323" w:rsidRPr="006627B8">
        <w:rPr>
          <w:sz w:val="21"/>
          <w:szCs w:val="21"/>
        </w:rPr>
        <w:t>(</w:t>
      </w:r>
      <w:r w:rsidR="00A17323" w:rsidRPr="006627B8">
        <w:rPr>
          <w:color w:val="FF0000"/>
          <w:sz w:val="21"/>
          <w:szCs w:val="21"/>
        </w:rPr>
        <w:t>Maximum 1,500 words</w:t>
      </w:r>
      <w:r w:rsidR="00A17323" w:rsidRPr="006627B8">
        <w:rPr>
          <w:sz w:val="21"/>
          <w:szCs w:val="21"/>
        </w:rPr>
        <w:t>)</w:t>
      </w:r>
    </w:p>
    <w:p w14:paraId="0A2DA9B5" w14:textId="77777777" w:rsidR="00B93671" w:rsidRPr="00B93671" w:rsidRDefault="00B93671" w:rsidP="00B93671">
      <w:pPr>
        <w:spacing w:after="0" w:line="240" w:lineRule="auto"/>
        <w:jc w:val="both"/>
        <w:rPr>
          <w:sz w:val="20"/>
          <w:szCs w:val="20"/>
        </w:rPr>
      </w:pPr>
    </w:p>
    <w:p w14:paraId="14D437DC" w14:textId="0722CF23" w:rsidR="00B93671" w:rsidRPr="00B93671" w:rsidRDefault="00B93671" w:rsidP="00B93671">
      <w:pPr>
        <w:spacing w:after="0" w:line="240" w:lineRule="auto"/>
        <w:jc w:val="both"/>
        <w:rPr>
          <w:sz w:val="20"/>
          <w:szCs w:val="20"/>
        </w:rPr>
      </w:pPr>
      <w:r w:rsidRPr="00B93671">
        <w:rPr>
          <w:sz w:val="20"/>
          <w:szCs w:val="20"/>
        </w:rPr>
        <w:t xml:space="preserve">This </w:t>
      </w:r>
      <w:r>
        <w:rPr>
          <w:sz w:val="20"/>
          <w:szCs w:val="20"/>
        </w:rPr>
        <w:t xml:space="preserve">UN-SIG </w:t>
      </w:r>
      <w:r w:rsidRPr="00B93671">
        <w:rPr>
          <w:sz w:val="20"/>
          <w:szCs w:val="20"/>
        </w:rPr>
        <w:t xml:space="preserve">JP’s whole-of-government approach </w:t>
      </w:r>
      <w:r>
        <w:rPr>
          <w:sz w:val="20"/>
          <w:szCs w:val="20"/>
        </w:rPr>
        <w:t>was</w:t>
      </w:r>
      <w:r w:rsidRPr="00B93671">
        <w:rPr>
          <w:sz w:val="20"/>
          <w:szCs w:val="20"/>
        </w:rPr>
        <w:t xml:space="preserve"> to address VAWG in a more systematic, comprehensive, and sustained way, and developing local capacity and ensuring local ownership of the project is crucial in sustaining the project. The focus </w:t>
      </w:r>
      <w:r>
        <w:rPr>
          <w:sz w:val="20"/>
          <w:szCs w:val="20"/>
        </w:rPr>
        <w:t>was</w:t>
      </w:r>
      <w:r w:rsidRPr="00B93671">
        <w:rPr>
          <w:sz w:val="20"/>
          <w:szCs w:val="20"/>
        </w:rPr>
        <w:t xml:space="preserve"> placed on improving coordination and developing an integrated multi-sectoral service delivery system, ensuring commitment to EVAWG </w:t>
      </w:r>
      <w:r>
        <w:rPr>
          <w:sz w:val="20"/>
          <w:szCs w:val="20"/>
        </w:rPr>
        <w:t>was</w:t>
      </w:r>
      <w:r w:rsidRPr="00B93671">
        <w:rPr>
          <w:sz w:val="20"/>
          <w:szCs w:val="20"/>
        </w:rPr>
        <w:t xml:space="preserve"> matched by the skills and infrastructure to sustain the response over time. This include</w:t>
      </w:r>
      <w:r>
        <w:rPr>
          <w:sz w:val="20"/>
          <w:szCs w:val="20"/>
        </w:rPr>
        <w:t>d</w:t>
      </w:r>
      <w:r w:rsidRPr="00B93671">
        <w:rPr>
          <w:sz w:val="20"/>
          <w:szCs w:val="20"/>
        </w:rPr>
        <w:t xml:space="preserve"> developing information sharing guidelines, case management protocols, as well as standard sector-speciﬁc, inter-locking tools and training materials for workforce development. It </w:t>
      </w:r>
      <w:r>
        <w:rPr>
          <w:sz w:val="20"/>
          <w:szCs w:val="20"/>
        </w:rPr>
        <w:t>was</w:t>
      </w:r>
      <w:r w:rsidRPr="00B93671">
        <w:rPr>
          <w:sz w:val="20"/>
          <w:szCs w:val="20"/>
        </w:rPr>
        <w:t xml:space="preserve"> envisaged that the tools and training materials required would regularly be delivered by internal staﬀ within and between ministries to ensure skills building, commitment and sustainability.</w:t>
      </w:r>
    </w:p>
    <w:p w14:paraId="1B1C4F60" w14:textId="1486A51F" w:rsidR="00B93671" w:rsidRPr="00B93671" w:rsidRDefault="00B93671" w:rsidP="00B93671">
      <w:pPr>
        <w:autoSpaceDE w:val="0"/>
        <w:autoSpaceDN w:val="0"/>
        <w:adjustRightInd w:val="0"/>
        <w:spacing w:after="0" w:line="240" w:lineRule="auto"/>
        <w:jc w:val="both"/>
        <w:rPr>
          <w:rFonts w:cstheme="minorHAnsi"/>
          <w:sz w:val="20"/>
          <w:szCs w:val="20"/>
        </w:rPr>
      </w:pPr>
    </w:p>
    <w:p w14:paraId="6997BC36" w14:textId="6CFDA3E3" w:rsidR="00B93671" w:rsidRPr="00B93671" w:rsidRDefault="00B93671" w:rsidP="00B93671">
      <w:pPr>
        <w:spacing w:after="0" w:line="240" w:lineRule="auto"/>
        <w:jc w:val="both"/>
        <w:rPr>
          <w:sz w:val="20"/>
          <w:szCs w:val="20"/>
        </w:rPr>
      </w:pPr>
      <w:r w:rsidRPr="00B93671">
        <w:rPr>
          <w:sz w:val="20"/>
          <w:szCs w:val="20"/>
        </w:rPr>
        <w:t>A key component of th</w:t>
      </w:r>
      <w:r>
        <w:rPr>
          <w:sz w:val="20"/>
          <w:szCs w:val="20"/>
        </w:rPr>
        <w:t>e</w:t>
      </w:r>
      <w:r w:rsidRPr="00B93671">
        <w:rPr>
          <w:sz w:val="20"/>
          <w:szCs w:val="20"/>
        </w:rPr>
        <w:t xml:space="preserve"> capacity development strategy </w:t>
      </w:r>
      <w:r>
        <w:rPr>
          <w:sz w:val="20"/>
          <w:szCs w:val="20"/>
        </w:rPr>
        <w:t>was</w:t>
      </w:r>
      <w:r w:rsidRPr="00B93671">
        <w:rPr>
          <w:sz w:val="20"/>
          <w:szCs w:val="20"/>
        </w:rPr>
        <w:t xml:space="preserve"> to direct support to various levels of management, technical staff, and frontline workers within service delivery ministries, and to ensure they </w:t>
      </w:r>
      <w:r>
        <w:rPr>
          <w:sz w:val="20"/>
          <w:szCs w:val="20"/>
        </w:rPr>
        <w:t>were</w:t>
      </w:r>
      <w:r w:rsidRPr="00B93671">
        <w:rPr>
          <w:sz w:val="20"/>
          <w:szCs w:val="20"/>
        </w:rPr>
        <w:t xml:space="preserve"> linked with other service providers along the referral chain. To implement effective systems that support </w:t>
      </w:r>
      <w:r>
        <w:rPr>
          <w:sz w:val="20"/>
          <w:szCs w:val="20"/>
        </w:rPr>
        <w:t xml:space="preserve">VAWG </w:t>
      </w:r>
      <w:r w:rsidRPr="00B93671">
        <w:rPr>
          <w:sz w:val="20"/>
          <w:szCs w:val="20"/>
        </w:rPr>
        <w:t xml:space="preserve">survivors and to ensure the regular implementation of service delivery protocols and internal policies, it </w:t>
      </w:r>
      <w:r>
        <w:rPr>
          <w:sz w:val="20"/>
          <w:szCs w:val="20"/>
        </w:rPr>
        <w:t>will be n</w:t>
      </w:r>
      <w:r w:rsidRPr="00B93671">
        <w:rPr>
          <w:sz w:val="20"/>
          <w:szCs w:val="20"/>
        </w:rPr>
        <w:t xml:space="preserve">ecessary to bolster support for </w:t>
      </w:r>
      <w:r>
        <w:rPr>
          <w:sz w:val="20"/>
          <w:szCs w:val="20"/>
        </w:rPr>
        <w:t xml:space="preserve">VAWG </w:t>
      </w:r>
      <w:r w:rsidRPr="00B93671">
        <w:rPr>
          <w:sz w:val="20"/>
          <w:szCs w:val="20"/>
        </w:rPr>
        <w:t xml:space="preserve">survivors throughout the ranks of existing SIG and </w:t>
      </w:r>
      <w:r>
        <w:rPr>
          <w:sz w:val="20"/>
          <w:szCs w:val="20"/>
        </w:rPr>
        <w:t xml:space="preserve">CSO </w:t>
      </w:r>
      <w:r w:rsidRPr="00B93671">
        <w:rPr>
          <w:sz w:val="20"/>
          <w:szCs w:val="20"/>
        </w:rPr>
        <w:t xml:space="preserve">service providers, rather than focusing only </w:t>
      </w:r>
      <w:r>
        <w:rPr>
          <w:sz w:val="20"/>
          <w:szCs w:val="20"/>
        </w:rPr>
        <w:t xml:space="preserve">on </w:t>
      </w:r>
      <w:r w:rsidRPr="00B93671">
        <w:rPr>
          <w:sz w:val="20"/>
          <w:szCs w:val="20"/>
        </w:rPr>
        <w:t xml:space="preserve">frontline service providers. </w:t>
      </w:r>
      <w:r>
        <w:rPr>
          <w:sz w:val="20"/>
          <w:szCs w:val="20"/>
        </w:rPr>
        <w:t xml:space="preserve">Thus, the UN-SIG </w:t>
      </w:r>
      <w:r w:rsidRPr="00B93671">
        <w:rPr>
          <w:sz w:val="20"/>
          <w:szCs w:val="20"/>
        </w:rPr>
        <w:t>JP</w:t>
      </w:r>
      <w:r>
        <w:rPr>
          <w:sz w:val="20"/>
          <w:szCs w:val="20"/>
        </w:rPr>
        <w:t xml:space="preserve"> on EVAWG</w:t>
      </w:r>
      <w:r w:rsidRPr="00B93671">
        <w:rPr>
          <w:sz w:val="20"/>
          <w:szCs w:val="20"/>
        </w:rPr>
        <w:t xml:space="preserve"> </w:t>
      </w:r>
      <w:r>
        <w:rPr>
          <w:sz w:val="20"/>
          <w:szCs w:val="20"/>
        </w:rPr>
        <w:t>supported</w:t>
      </w:r>
      <w:r w:rsidRPr="00B93671">
        <w:rPr>
          <w:sz w:val="20"/>
          <w:szCs w:val="20"/>
        </w:rPr>
        <w:t xml:space="preserve"> SIG to strengthen coordination for effective referrals and case management, and the analysis of cases and case outcomes following multi-disciplinary coordinated care (or weak coordination) </w:t>
      </w:r>
      <w:r>
        <w:rPr>
          <w:sz w:val="20"/>
          <w:szCs w:val="20"/>
        </w:rPr>
        <w:t xml:space="preserve">which </w:t>
      </w:r>
      <w:r w:rsidRPr="00B93671">
        <w:rPr>
          <w:sz w:val="20"/>
          <w:szCs w:val="20"/>
        </w:rPr>
        <w:t>will provide ample information with which to continue to make improvements in the delivery system.</w:t>
      </w:r>
    </w:p>
    <w:p w14:paraId="0C794BB0" w14:textId="77777777" w:rsidR="00B93671" w:rsidRPr="00B93671" w:rsidRDefault="00B93671" w:rsidP="00B93671">
      <w:pPr>
        <w:autoSpaceDE w:val="0"/>
        <w:autoSpaceDN w:val="0"/>
        <w:adjustRightInd w:val="0"/>
        <w:spacing w:after="0" w:line="240" w:lineRule="auto"/>
        <w:jc w:val="both"/>
        <w:rPr>
          <w:rFonts w:cstheme="minorHAnsi"/>
          <w:sz w:val="20"/>
          <w:szCs w:val="20"/>
        </w:rPr>
      </w:pPr>
    </w:p>
    <w:p w14:paraId="4F166D12" w14:textId="1A6E78C8" w:rsidR="00B93671" w:rsidRPr="009378F2" w:rsidRDefault="00B93671" w:rsidP="00B93671">
      <w:pPr>
        <w:autoSpaceDE w:val="0"/>
        <w:autoSpaceDN w:val="0"/>
        <w:adjustRightInd w:val="0"/>
        <w:spacing w:after="0" w:line="240" w:lineRule="auto"/>
        <w:jc w:val="both"/>
        <w:rPr>
          <w:rFonts w:cstheme="minorHAnsi"/>
          <w:sz w:val="20"/>
          <w:szCs w:val="20"/>
        </w:rPr>
      </w:pPr>
      <w:r w:rsidRPr="00B93671">
        <w:rPr>
          <w:rFonts w:cstheme="minorHAnsi"/>
          <w:sz w:val="20"/>
          <w:szCs w:val="20"/>
        </w:rPr>
        <w:t>The evaluation of this project found that in regard to Outcome 1, respondents reported on average an 8.1 on a 10-point scale of sustainability (1=not sustainable to 10=very sustainable) that improvements made over the past three years in terms of effectively implementing EVAWG policies will be sustainable.</w:t>
      </w:r>
      <w:r w:rsidRPr="009378F2">
        <w:rPr>
          <w:rFonts w:cstheme="minorHAnsi"/>
          <w:sz w:val="20"/>
          <w:szCs w:val="20"/>
        </w:rPr>
        <w:t xml:space="preserve"> In other words, key stakeholders maintained effective implementation of EVAWG policies, including the FPA, will be very sustainable over time. </w:t>
      </w:r>
    </w:p>
    <w:p w14:paraId="2A63272E" w14:textId="77777777" w:rsidR="00B93671" w:rsidRPr="009378F2" w:rsidRDefault="00B93671" w:rsidP="00B93671">
      <w:pPr>
        <w:spacing w:after="0" w:line="240" w:lineRule="auto"/>
        <w:jc w:val="both"/>
        <w:rPr>
          <w:rFonts w:cstheme="minorHAnsi"/>
          <w:sz w:val="20"/>
          <w:szCs w:val="20"/>
        </w:rPr>
      </w:pPr>
    </w:p>
    <w:p w14:paraId="38E2C8CF" w14:textId="77777777" w:rsidR="00B93671" w:rsidRPr="009378F2" w:rsidRDefault="00B93671" w:rsidP="00B93671">
      <w:pPr>
        <w:spacing w:after="0" w:line="240" w:lineRule="auto"/>
        <w:jc w:val="both"/>
        <w:rPr>
          <w:rFonts w:cstheme="minorHAnsi"/>
          <w:sz w:val="20"/>
          <w:szCs w:val="20"/>
        </w:rPr>
      </w:pPr>
      <w:r w:rsidRPr="009378F2">
        <w:rPr>
          <w:rFonts w:cstheme="minorHAnsi"/>
          <w:sz w:val="20"/>
          <w:szCs w:val="20"/>
        </w:rPr>
        <w:t xml:space="preserve">Despite progress made over the past three years implementing EVAWG policies, including the FPA, and perceived sustainability of these improvements, there are barriers that the government still faces when it comes to implementing EVAWG policies. Respondents recognized there is more work to do when it comes to monitoring implementation of EVAWG policies, including implementation and enforcement of the FPA. The MWYCFA faces a lack of human resources and budget constraints when it comes to implementing and monitoring implementation of EVAWG policies. Respondents also recognized there needs to be standardized messaging related to EVAWG policies and the FPA, coupled with more awareness-raising trainings. Respondents maintained effective implementation of EVAWG policies requires that the SIG works closely with the SAFENET Referral Network and CSO service providers. </w:t>
      </w:r>
    </w:p>
    <w:p w14:paraId="6F3E7068" w14:textId="77777777" w:rsidR="00B93671" w:rsidRPr="009378F2" w:rsidRDefault="00B93671" w:rsidP="00B93671">
      <w:pPr>
        <w:pStyle w:val="ListParagraph"/>
        <w:spacing w:after="0" w:line="240" w:lineRule="auto"/>
        <w:jc w:val="both"/>
        <w:rPr>
          <w:rFonts w:cstheme="minorHAnsi"/>
          <w:sz w:val="20"/>
          <w:szCs w:val="20"/>
        </w:rPr>
      </w:pPr>
    </w:p>
    <w:p w14:paraId="496B435C" w14:textId="77777777" w:rsidR="00B93671" w:rsidRPr="009378F2" w:rsidRDefault="00B93671" w:rsidP="00B93671">
      <w:pPr>
        <w:spacing w:after="0" w:line="240" w:lineRule="auto"/>
        <w:jc w:val="both"/>
        <w:rPr>
          <w:rFonts w:cstheme="minorHAnsi"/>
          <w:sz w:val="20"/>
          <w:szCs w:val="20"/>
        </w:rPr>
      </w:pPr>
      <w:r w:rsidRPr="009378F2">
        <w:rPr>
          <w:rFonts w:cstheme="minorHAnsi"/>
          <w:sz w:val="20"/>
          <w:szCs w:val="20"/>
        </w:rPr>
        <w:t xml:space="preserve">Respondents also reported on average a 7.8 on a 10-point scale of sustainability (1=not sustainable to 10=very sustainable) that improvements made over the past three years to the quality of multi-sectoral service delivery to VAWG survivors in Honiara would be sustainable. UN Women explained that while the four main elements of the multi-sectoral response to VAWG are being developed (i.e., coordination among SAFENET members, minimum standards and guidelines for service delivery, case management, and SOPs for coordination, case management, and referrals) the challenge is that they may not sustainable if there is no funding for case management beyond the three-year pilot period (2017-2019) being supported by the UN-SIG JP on ESP. </w:t>
      </w:r>
    </w:p>
    <w:p w14:paraId="33040ABF" w14:textId="77777777" w:rsidR="00B93671" w:rsidRPr="009378F2" w:rsidRDefault="00B93671" w:rsidP="00B93671">
      <w:pPr>
        <w:autoSpaceDE w:val="0"/>
        <w:autoSpaceDN w:val="0"/>
        <w:adjustRightInd w:val="0"/>
        <w:spacing w:after="0" w:line="240" w:lineRule="auto"/>
        <w:jc w:val="both"/>
        <w:rPr>
          <w:rFonts w:cstheme="minorHAnsi"/>
          <w:sz w:val="20"/>
          <w:szCs w:val="20"/>
        </w:rPr>
      </w:pPr>
    </w:p>
    <w:p w14:paraId="3D1D118F" w14:textId="77777777" w:rsidR="00B93671" w:rsidRPr="009378F2" w:rsidRDefault="00B93671" w:rsidP="00B93671">
      <w:pPr>
        <w:autoSpaceDE w:val="0"/>
        <w:autoSpaceDN w:val="0"/>
        <w:adjustRightInd w:val="0"/>
        <w:spacing w:after="0" w:line="240" w:lineRule="auto"/>
        <w:jc w:val="both"/>
        <w:rPr>
          <w:rFonts w:cstheme="minorHAnsi"/>
          <w:sz w:val="20"/>
          <w:szCs w:val="20"/>
        </w:rPr>
      </w:pPr>
      <w:r w:rsidRPr="009378F2">
        <w:rPr>
          <w:rFonts w:cstheme="minorHAnsi"/>
          <w:sz w:val="20"/>
          <w:szCs w:val="20"/>
        </w:rPr>
        <w:t xml:space="preserve">In regard to Outcome 2, respondents reported on average an 8.0 on a 10-point scale of sustainability (1=not sustainable to 10=very sustainable) that the improvements seen in frontline service providers ability to deliver coordinated, essential services would be sustainable over time. In addition, respondents reported on average an 8.1 on a 10-point scale of sustainability that the improvements seen in frontline service providers ability to carry out case management and referrals would be sustainable over time.   </w:t>
      </w:r>
    </w:p>
    <w:p w14:paraId="1F37826D" w14:textId="77777777" w:rsidR="00B93671" w:rsidRPr="009378F2" w:rsidRDefault="00B93671" w:rsidP="00B93671">
      <w:pPr>
        <w:autoSpaceDE w:val="0"/>
        <w:autoSpaceDN w:val="0"/>
        <w:adjustRightInd w:val="0"/>
        <w:spacing w:after="0" w:line="240" w:lineRule="auto"/>
        <w:jc w:val="both"/>
        <w:rPr>
          <w:rFonts w:cstheme="minorHAnsi"/>
          <w:sz w:val="20"/>
          <w:szCs w:val="20"/>
        </w:rPr>
      </w:pPr>
    </w:p>
    <w:p w14:paraId="2F936385" w14:textId="77777777" w:rsidR="00B93671" w:rsidRPr="009378F2" w:rsidRDefault="00B93671" w:rsidP="00B93671">
      <w:pPr>
        <w:autoSpaceDE w:val="0"/>
        <w:autoSpaceDN w:val="0"/>
        <w:adjustRightInd w:val="0"/>
        <w:spacing w:after="0" w:line="240" w:lineRule="auto"/>
        <w:jc w:val="both"/>
        <w:rPr>
          <w:rFonts w:cstheme="minorHAnsi"/>
          <w:sz w:val="20"/>
          <w:szCs w:val="20"/>
        </w:rPr>
      </w:pPr>
      <w:r w:rsidRPr="009378F2">
        <w:rPr>
          <w:rFonts w:cstheme="minorHAnsi"/>
          <w:sz w:val="20"/>
          <w:szCs w:val="20"/>
        </w:rPr>
        <w:t xml:space="preserve">Finally, in regard to the project’s goal, respondents reported on average a 7.2 on a 10-point scale of sustainability (1=not sustainable to 10=very sustainable) that improvements made over the past three years in making it easier for VAWG survivors to access protection and assistance in Honiara will be sustainable. During </w:t>
      </w:r>
      <w:r w:rsidRPr="009378F2">
        <w:rPr>
          <w:rFonts w:cstheme="minorHAnsi"/>
          <w:sz w:val="20"/>
          <w:szCs w:val="20"/>
        </w:rPr>
        <w:lastRenderedPageBreak/>
        <w:t>the evaluation, respondents identified barriers that the government still faces when it comes to providing women and girls who experience violence with access to protection and assistance in Honiara.</w:t>
      </w:r>
    </w:p>
    <w:p w14:paraId="1E434C73" w14:textId="77777777" w:rsidR="00B93671" w:rsidRDefault="00B93671" w:rsidP="00106234">
      <w:pPr>
        <w:spacing w:after="0" w:line="240" w:lineRule="auto"/>
        <w:jc w:val="both"/>
      </w:pPr>
    </w:p>
    <w:p w14:paraId="61E2BB0A" w14:textId="77777777" w:rsidR="00236413" w:rsidRPr="005E40C3" w:rsidRDefault="00236413" w:rsidP="00AE1025">
      <w:pPr>
        <w:pBdr>
          <w:bottom w:val="single" w:sz="4" w:space="1" w:color="auto"/>
        </w:pBdr>
        <w:spacing w:after="0" w:line="240" w:lineRule="auto"/>
        <w:rPr>
          <w:b/>
          <w:sz w:val="21"/>
          <w:szCs w:val="21"/>
        </w:rPr>
      </w:pPr>
      <w:bookmarkStart w:id="10" w:name="_Toc341089366"/>
      <w:r w:rsidRPr="005E40C3">
        <w:rPr>
          <w:rStyle w:val="Heading3Char"/>
          <w:sz w:val="21"/>
          <w:szCs w:val="21"/>
        </w:rPr>
        <w:t>3.9 Voices from the field</w:t>
      </w:r>
      <w:bookmarkEnd w:id="10"/>
      <w:r w:rsidRPr="005E40C3">
        <w:rPr>
          <w:rStyle w:val="Heading2Char"/>
          <w:sz w:val="21"/>
          <w:szCs w:val="21"/>
        </w:rPr>
        <w:t xml:space="preserve"> </w:t>
      </w:r>
      <w:r w:rsidR="007727AA" w:rsidRPr="00800517">
        <w:rPr>
          <w:rFonts w:cstheme="minorHAnsi"/>
          <w:sz w:val="21"/>
          <w:szCs w:val="21"/>
        </w:rPr>
        <w:t>(</w:t>
      </w:r>
      <w:r w:rsidR="007727AA" w:rsidRPr="00800517">
        <w:rPr>
          <w:rFonts w:cstheme="minorHAnsi"/>
          <w:color w:val="FF0000"/>
          <w:sz w:val="21"/>
          <w:szCs w:val="21"/>
        </w:rPr>
        <w:t>optional</w:t>
      </w:r>
      <w:r w:rsidR="007727AA" w:rsidRPr="00800517">
        <w:rPr>
          <w:rFonts w:cstheme="minorHAnsi"/>
          <w:sz w:val="21"/>
          <w:szCs w:val="21"/>
        </w:rPr>
        <w:t>)</w:t>
      </w:r>
    </w:p>
    <w:p w14:paraId="522E6C23" w14:textId="77777777" w:rsidR="00236413" w:rsidRDefault="00236413" w:rsidP="001B1F59">
      <w:pPr>
        <w:pStyle w:val="ListParagraph"/>
        <w:numPr>
          <w:ilvl w:val="1"/>
          <w:numId w:val="5"/>
        </w:numPr>
        <w:spacing w:before="120" w:after="0" w:line="240" w:lineRule="auto"/>
        <w:ind w:left="360"/>
        <w:rPr>
          <w:sz w:val="21"/>
          <w:szCs w:val="21"/>
        </w:rPr>
      </w:pPr>
      <w:r w:rsidRPr="00C11CE1">
        <w:rPr>
          <w:sz w:val="21"/>
          <w:szCs w:val="21"/>
        </w:rPr>
        <w:t>Changes achieved by the project are best reflected in grantees’ and beneficiaries’ own words. Please include any quote, testimony or human interest story collecte</w:t>
      </w:r>
      <w:r w:rsidR="006A6572" w:rsidRPr="00C11CE1">
        <w:rPr>
          <w:sz w:val="21"/>
          <w:szCs w:val="21"/>
        </w:rPr>
        <w:t>d during the reporting period.</w:t>
      </w:r>
      <w:r w:rsidR="00A17323" w:rsidRPr="00C11CE1">
        <w:rPr>
          <w:sz w:val="21"/>
          <w:szCs w:val="21"/>
        </w:rPr>
        <w:t xml:space="preserve"> (</w:t>
      </w:r>
      <w:r w:rsidR="00A17323" w:rsidRPr="00C11CE1">
        <w:rPr>
          <w:color w:val="FF0000"/>
          <w:sz w:val="21"/>
          <w:szCs w:val="21"/>
        </w:rPr>
        <w:t>maximum 150 words</w:t>
      </w:r>
      <w:r w:rsidR="00A17323" w:rsidRPr="00C11CE1">
        <w:rPr>
          <w:sz w:val="21"/>
          <w:szCs w:val="21"/>
        </w:rPr>
        <w:t>)</w:t>
      </w:r>
    </w:p>
    <w:p w14:paraId="59F75E12" w14:textId="77777777" w:rsidR="00890950" w:rsidRPr="00C11CE1" w:rsidRDefault="00890950" w:rsidP="00890950">
      <w:pPr>
        <w:pStyle w:val="ListParagraph"/>
        <w:spacing w:before="120" w:after="0" w:line="240" w:lineRule="auto"/>
        <w:ind w:left="360"/>
        <w:rPr>
          <w:sz w:val="21"/>
          <w:szCs w:val="21"/>
        </w:rPr>
      </w:pPr>
    </w:p>
    <w:tbl>
      <w:tblPr>
        <w:tblStyle w:val="TableGrid"/>
        <w:tblW w:w="0" w:type="auto"/>
        <w:tblInd w:w="468" w:type="dxa"/>
        <w:tblLook w:val="04A0" w:firstRow="1" w:lastRow="0" w:firstColumn="1" w:lastColumn="0" w:noHBand="0" w:noVBand="1"/>
      </w:tblPr>
      <w:tblGrid>
        <w:gridCol w:w="12482"/>
      </w:tblGrid>
      <w:tr w:rsidR="00236413" w14:paraId="4D2FFA29" w14:textId="77777777" w:rsidTr="00C11CE1">
        <w:tc>
          <w:tcPr>
            <w:tcW w:w="12708" w:type="dxa"/>
            <w:shd w:val="clear" w:color="auto" w:fill="FFFFFF" w:themeFill="background1"/>
          </w:tcPr>
          <w:p w14:paraId="01E0ACD6" w14:textId="77777777" w:rsidR="00BE648F" w:rsidRPr="002721E1" w:rsidRDefault="00BE648F" w:rsidP="00BE648F">
            <w:pPr>
              <w:jc w:val="both"/>
              <w:rPr>
                <w:sz w:val="21"/>
                <w:szCs w:val="21"/>
              </w:rPr>
            </w:pPr>
            <w:r w:rsidRPr="002721E1">
              <w:rPr>
                <w:sz w:val="21"/>
                <w:szCs w:val="21"/>
              </w:rPr>
              <w:t xml:space="preserve">UN Women supported Ms. Julieanne Wickham, MWYCFA EVAW Policy Coordinator, to attend M&amp;E training in Morocco in February 2015, which was hosted by the UNTF. Upon returning to Solomon Islands, Ms. Julieanne Wickham </w:t>
            </w:r>
            <w:r>
              <w:rPr>
                <w:sz w:val="21"/>
                <w:szCs w:val="21"/>
              </w:rPr>
              <w:t xml:space="preserve">utilised her experience </w:t>
            </w:r>
            <w:r w:rsidRPr="002721E1">
              <w:rPr>
                <w:sz w:val="21"/>
                <w:szCs w:val="21"/>
              </w:rPr>
              <w:t xml:space="preserve">by assisting with the training of other key national </w:t>
            </w:r>
            <w:r>
              <w:rPr>
                <w:sz w:val="21"/>
                <w:szCs w:val="21"/>
              </w:rPr>
              <w:t xml:space="preserve">JP </w:t>
            </w:r>
            <w:r w:rsidRPr="002721E1">
              <w:rPr>
                <w:sz w:val="21"/>
                <w:szCs w:val="21"/>
              </w:rPr>
              <w:t xml:space="preserve">actors in this area, and she was </w:t>
            </w:r>
            <w:r>
              <w:rPr>
                <w:sz w:val="21"/>
                <w:szCs w:val="21"/>
              </w:rPr>
              <w:t xml:space="preserve">better </w:t>
            </w:r>
            <w:r w:rsidRPr="002721E1">
              <w:rPr>
                <w:sz w:val="21"/>
                <w:szCs w:val="21"/>
              </w:rPr>
              <w:t xml:space="preserve">able to apply knowledge gained from the workshop </w:t>
            </w:r>
            <w:r>
              <w:rPr>
                <w:sz w:val="21"/>
                <w:szCs w:val="21"/>
              </w:rPr>
              <w:t>to</w:t>
            </w:r>
            <w:r w:rsidRPr="002721E1">
              <w:rPr>
                <w:sz w:val="21"/>
                <w:szCs w:val="21"/>
              </w:rPr>
              <w:t xml:space="preserve"> provide input </w:t>
            </w:r>
            <w:r>
              <w:rPr>
                <w:sz w:val="21"/>
                <w:szCs w:val="21"/>
              </w:rPr>
              <w:t xml:space="preserve">on </w:t>
            </w:r>
            <w:r w:rsidRPr="002721E1">
              <w:rPr>
                <w:sz w:val="21"/>
                <w:szCs w:val="21"/>
              </w:rPr>
              <w:t xml:space="preserve">the design and finalization of various M&amp;E tools developed by the </w:t>
            </w:r>
            <w:r>
              <w:rPr>
                <w:sz w:val="21"/>
                <w:szCs w:val="21"/>
              </w:rPr>
              <w:t xml:space="preserve">JP </w:t>
            </w:r>
            <w:r w:rsidRPr="002721E1">
              <w:rPr>
                <w:sz w:val="21"/>
                <w:szCs w:val="21"/>
              </w:rPr>
              <w:t xml:space="preserve">MRE consultant.  </w:t>
            </w:r>
          </w:p>
          <w:p w14:paraId="23534E7B" w14:textId="77777777" w:rsidR="00BE648F" w:rsidRPr="002721E1" w:rsidRDefault="00BE648F" w:rsidP="00BE648F">
            <w:pPr>
              <w:jc w:val="both"/>
              <w:rPr>
                <w:sz w:val="21"/>
                <w:szCs w:val="21"/>
              </w:rPr>
            </w:pPr>
          </w:p>
          <w:p w14:paraId="4DF69C20" w14:textId="77777777" w:rsidR="00BE648F" w:rsidRDefault="00BE648F" w:rsidP="00BE648F">
            <w:pPr>
              <w:ind w:left="567"/>
              <w:jc w:val="both"/>
            </w:pPr>
            <w:r w:rsidRPr="00341692">
              <w:rPr>
                <w:i/>
              </w:rPr>
              <w:t>This was the first time I had attended training around monitoring and evaluation and I was able to learn so much. I feel confident that I can contribute so much more to the project after the training, plus I got to meet some really amazing and committed women and men. Some of them had many years of experience in gender-based violence, and others, like me, had just started, but we all had this common goal. Working in partnership can be both challenging and rewarding and there were lots of both during the development of the Joint Programme, as well as the preparations towards the launch and inception workshop. But I think what came out strongly for me was that we couldn’t have done it without each other. The UN-Government of Solomon Islands partnership is a great one and this project is just the start</w:t>
            </w:r>
            <w:r w:rsidRPr="0039048A">
              <w:t xml:space="preserve">. </w:t>
            </w:r>
          </w:p>
          <w:p w14:paraId="08D0677F" w14:textId="77777777" w:rsidR="00BE648F" w:rsidRPr="00696B47" w:rsidRDefault="00BE648F" w:rsidP="00BE648F">
            <w:pPr>
              <w:jc w:val="right"/>
            </w:pPr>
            <w:r w:rsidRPr="00696B47">
              <w:t>Julianne Wickham, MWCFA EVAW Policy Coordinator</w:t>
            </w:r>
          </w:p>
          <w:p w14:paraId="3E1F2DE2" w14:textId="77777777" w:rsidR="00236413" w:rsidRDefault="00BE648F" w:rsidP="00BE648F">
            <w:r>
              <w:rPr>
                <w:i/>
              </w:rPr>
              <w:t xml:space="preserve">UN Women in the Pacific </w:t>
            </w:r>
            <w:r>
              <w:t>Newsletter</w:t>
            </w:r>
            <w:r>
              <w:rPr>
                <w:i/>
              </w:rPr>
              <w:t xml:space="preserve"> </w:t>
            </w:r>
            <w:r w:rsidRPr="00696B47">
              <w:t>(2015)</w:t>
            </w:r>
            <w:r>
              <w:rPr>
                <w:i/>
              </w:rPr>
              <w:t xml:space="preserve">, p5. </w:t>
            </w:r>
            <w:hyperlink r:id="rId10" w:history="1">
              <w:r w:rsidRPr="0039048A">
                <w:rPr>
                  <w:rStyle w:val="Hyperlink"/>
                </w:rPr>
                <w:t>http://us8.campaign-archive1.com/?u=5cff3b31398feb15d4f633311&amp;id=d88c49af48&amp;e=77fd7dacf1</w:t>
              </w:r>
            </w:hyperlink>
          </w:p>
        </w:tc>
      </w:tr>
    </w:tbl>
    <w:p w14:paraId="449CE68A" w14:textId="77777777" w:rsidR="00236413" w:rsidRPr="00C11CE1" w:rsidRDefault="00236413" w:rsidP="00C11CE1">
      <w:pPr>
        <w:pStyle w:val="ListParagraph"/>
        <w:numPr>
          <w:ilvl w:val="1"/>
          <w:numId w:val="5"/>
        </w:numPr>
        <w:spacing w:before="120" w:after="0" w:line="240" w:lineRule="auto"/>
        <w:ind w:left="360"/>
        <w:rPr>
          <w:sz w:val="21"/>
          <w:szCs w:val="21"/>
        </w:rPr>
      </w:pPr>
      <w:r w:rsidRPr="00C11CE1">
        <w:rPr>
          <w:sz w:val="21"/>
          <w:szCs w:val="21"/>
        </w:rPr>
        <w:t xml:space="preserve">Has informed consent been obtained by beneficiary/grantee to have the above-content publicized? </w:t>
      </w:r>
    </w:p>
    <w:p w14:paraId="52450856" w14:textId="77777777" w:rsidR="0088001A" w:rsidRPr="00042385" w:rsidRDefault="0088001A" w:rsidP="00C11CE1">
      <w:pPr>
        <w:spacing w:after="0" w:line="240" w:lineRule="auto"/>
        <w:ind w:left="360"/>
        <w:rPr>
          <w:rFonts w:ascii="Calibri" w:hAnsi="Calibri" w:cs="Calibri"/>
          <w:sz w:val="21"/>
          <w:szCs w:val="21"/>
          <w:lang w:val="en-GB"/>
        </w:rPr>
      </w:pPr>
      <w:r w:rsidRPr="00042385">
        <w:rPr>
          <w:rFonts w:ascii="Calibri" w:hAnsi="Calibri" w:cs="Calibri"/>
          <w:sz w:val="21"/>
          <w:szCs w:val="21"/>
          <w:lang w:val="en-GB"/>
        </w:rPr>
        <w:fldChar w:fldCharType="begin">
          <w:ffData>
            <w:name w:val="Check35"/>
            <w:enabled/>
            <w:calcOnExit w:val="0"/>
            <w:checkBox>
              <w:sizeAuto/>
              <w:default w:val="0"/>
            </w:checkBox>
          </w:ffData>
        </w:fldChar>
      </w:r>
      <w:r w:rsidRPr="00042385">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sidRPr="00042385">
        <w:rPr>
          <w:rFonts w:ascii="Calibri" w:hAnsi="Calibri" w:cs="Calibri"/>
          <w:sz w:val="21"/>
          <w:szCs w:val="21"/>
          <w:lang w:val="en-GB"/>
        </w:rPr>
        <w:fldChar w:fldCharType="end"/>
      </w:r>
      <w:r w:rsidRPr="00042385">
        <w:rPr>
          <w:rFonts w:ascii="Calibri" w:hAnsi="Calibri" w:cs="Calibri"/>
          <w:sz w:val="21"/>
          <w:szCs w:val="21"/>
          <w:lang w:val="en-GB"/>
        </w:rPr>
        <w:t xml:space="preserve"> Yes</w:t>
      </w:r>
    </w:p>
    <w:p w14:paraId="3D5D9AAB" w14:textId="77777777" w:rsidR="0088001A" w:rsidRPr="00042385" w:rsidRDefault="00BE648F" w:rsidP="00C11CE1">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1"/>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88001A" w:rsidRPr="00042385">
        <w:rPr>
          <w:rFonts w:ascii="Calibri" w:hAnsi="Calibri" w:cs="Calibri"/>
          <w:sz w:val="21"/>
          <w:szCs w:val="21"/>
          <w:lang w:val="en-GB"/>
        </w:rPr>
        <w:t xml:space="preserve"> No</w:t>
      </w:r>
    </w:p>
    <w:p w14:paraId="4B035A47" w14:textId="77777777" w:rsidR="00236413" w:rsidRPr="00522753" w:rsidRDefault="00236413" w:rsidP="0088001A">
      <w:pPr>
        <w:pStyle w:val="ListParagraph"/>
        <w:spacing w:after="0" w:line="240" w:lineRule="auto"/>
        <w:ind w:left="2160"/>
      </w:pPr>
    </w:p>
    <w:p w14:paraId="5AAB2C8F" w14:textId="77777777" w:rsidR="00236413" w:rsidRDefault="00236413" w:rsidP="00C42B7B">
      <w:pPr>
        <w:spacing w:after="0" w:line="240" w:lineRule="auto"/>
        <w:rPr>
          <w:rStyle w:val="Heading2Char"/>
          <w:rFonts w:asciiTheme="minorHAnsi" w:eastAsiaTheme="minorEastAsia" w:hAnsiTheme="minorHAnsi" w:cstheme="minorBidi"/>
          <w:bCs w:val="0"/>
          <w:color w:val="auto"/>
          <w:sz w:val="22"/>
          <w:szCs w:val="22"/>
        </w:rPr>
      </w:pPr>
    </w:p>
    <w:p w14:paraId="73D950D3" w14:textId="77777777" w:rsidR="00236413" w:rsidRPr="005E40C3" w:rsidRDefault="00236413" w:rsidP="00AE1025">
      <w:pPr>
        <w:pBdr>
          <w:bottom w:val="single" w:sz="4" w:space="1" w:color="auto"/>
        </w:pBdr>
        <w:spacing w:after="0" w:line="240" w:lineRule="auto"/>
        <w:rPr>
          <w:b/>
          <w:sz w:val="21"/>
          <w:szCs w:val="21"/>
        </w:rPr>
      </w:pPr>
      <w:bookmarkStart w:id="11" w:name="_Toc341089367"/>
      <w:r w:rsidRPr="005E40C3">
        <w:rPr>
          <w:rStyle w:val="Heading3Char"/>
          <w:sz w:val="21"/>
          <w:szCs w:val="21"/>
        </w:rPr>
        <w:t>3.10 Knowledge and communication products</w:t>
      </w:r>
      <w:bookmarkEnd w:id="11"/>
    </w:p>
    <w:p w14:paraId="72FE978D" w14:textId="77777777" w:rsidR="00236413" w:rsidRPr="00042385" w:rsidRDefault="00236413" w:rsidP="00042385">
      <w:pPr>
        <w:pStyle w:val="ListParagraph"/>
        <w:numPr>
          <w:ilvl w:val="1"/>
          <w:numId w:val="5"/>
        </w:numPr>
        <w:spacing w:before="120" w:after="0" w:line="240" w:lineRule="auto"/>
        <w:ind w:left="360"/>
        <w:rPr>
          <w:sz w:val="21"/>
          <w:szCs w:val="21"/>
        </w:rPr>
      </w:pPr>
      <w:r w:rsidRPr="00042385">
        <w:rPr>
          <w:sz w:val="21"/>
          <w:szCs w:val="21"/>
        </w:rPr>
        <w:t>Has your project generated any knowledge or communication product that can be shared with others</w:t>
      </w:r>
      <w:r w:rsidR="00C931A0" w:rsidRPr="00042385">
        <w:rPr>
          <w:sz w:val="21"/>
          <w:szCs w:val="21"/>
        </w:rPr>
        <w:t xml:space="preserve"> during this reporting period</w:t>
      </w:r>
      <w:r w:rsidRPr="00042385">
        <w:rPr>
          <w:sz w:val="21"/>
          <w:szCs w:val="21"/>
        </w:rPr>
        <w:t xml:space="preserve">? </w:t>
      </w:r>
    </w:p>
    <w:p w14:paraId="2C08E174" w14:textId="77777777" w:rsidR="0088001A" w:rsidRPr="00042385" w:rsidRDefault="0088001A" w:rsidP="00042385">
      <w:pPr>
        <w:spacing w:after="0" w:line="240" w:lineRule="auto"/>
        <w:ind w:left="360"/>
        <w:rPr>
          <w:rFonts w:ascii="Calibri" w:hAnsi="Calibri" w:cs="Calibri"/>
          <w:sz w:val="21"/>
          <w:szCs w:val="21"/>
          <w:lang w:val="en-GB"/>
        </w:rPr>
      </w:pPr>
      <w:r w:rsidRPr="00042385">
        <w:rPr>
          <w:rFonts w:ascii="Calibri" w:hAnsi="Calibri" w:cs="Calibri"/>
          <w:sz w:val="21"/>
          <w:szCs w:val="21"/>
          <w:lang w:val="en-GB"/>
        </w:rPr>
        <w:fldChar w:fldCharType="begin">
          <w:ffData>
            <w:name w:val="Check35"/>
            <w:enabled/>
            <w:calcOnExit w:val="0"/>
            <w:checkBox>
              <w:sizeAuto/>
              <w:default w:val="0"/>
            </w:checkBox>
          </w:ffData>
        </w:fldChar>
      </w:r>
      <w:r w:rsidRPr="00042385">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sidRPr="00042385">
        <w:rPr>
          <w:rFonts w:ascii="Calibri" w:hAnsi="Calibri" w:cs="Calibri"/>
          <w:sz w:val="21"/>
          <w:szCs w:val="21"/>
          <w:lang w:val="en-GB"/>
        </w:rPr>
        <w:fldChar w:fldCharType="end"/>
      </w:r>
      <w:r w:rsidRPr="00042385">
        <w:rPr>
          <w:rFonts w:ascii="Calibri" w:hAnsi="Calibri" w:cs="Calibri"/>
          <w:sz w:val="21"/>
          <w:szCs w:val="21"/>
          <w:lang w:val="en-GB"/>
        </w:rPr>
        <w:t xml:space="preserve"> Yes</w:t>
      </w:r>
    </w:p>
    <w:p w14:paraId="6BBDE1E6" w14:textId="77777777" w:rsidR="0088001A" w:rsidRPr="00042385" w:rsidRDefault="00106234" w:rsidP="00042385">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1"/>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88001A" w:rsidRPr="00042385">
        <w:rPr>
          <w:rFonts w:ascii="Calibri" w:hAnsi="Calibri" w:cs="Calibri"/>
          <w:sz w:val="21"/>
          <w:szCs w:val="21"/>
          <w:lang w:val="en-GB"/>
        </w:rPr>
        <w:t xml:space="preserve"> No</w:t>
      </w:r>
    </w:p>
    <w:p w14:paraId="6E902EAF" w14:textId="77777777" w:rsidR="00236413" w:rsidRPr="00042385" w:rsidRDefault="00236413" w:rsidP="0088001A">
      <w:pPr>
        <w:spacing w:after="0" w:line="240" w:lineRule="auto"/>
        <w:ind w:left="1080"/>
        <w:rPr>
          <w:sz w:val="21"/>
          <w:szCs w:val="21"/>
        </w:rPr>
      </w:pPr>
    </w:p>
    <w:p w14:paraId="2C5BF2C6" w14:textId="77777777" w:rsidR="00236413" w:rsidRPr="00042385" w:rsidRDefault="00236413" w:rsidP="00042385">
      <w:pPr>
        <w:pStyle w:val="ListParagraph"/>
        <w:numPr>
          <w:ilvl w:val="1"/>
          <w:numId w:val="5"/>
        </w:numPr>
        <w:spacing w:before="120" w:after="0" w:line="240" w:lineRule="auto"/>
        <w:ind w:left="360"/>
        <w:rPr>
          <w:sz w:val="21"/>
          <w:szCs w:val="21"/>
        </w:rPr>
      </w:pPr>
      <w:r w:rsidRPr="00042385">
        <w:rPr>
          <w:sz w:val="21"/>
          <w:szCs w:val="21"/>
        </w:rPr>
        <w:t xml:space="preserve">If yes, please specify the title of product and the type of product in the table below, and please share the product(s) in the format of PDF, Word or Excel with the UN Trust Fund Portfolio Manager via email. </w:t>
      </w:r>
    </w:p>
    <w:tbl>
      <w:tblPr>
        <w:tblStyle w:val="TableGrid"/>
        <w:tblW w:w="0" w:type="auto"/>
        <w:tblInd w:w="468" w:type="dxa"/>
        <w:tblLook w:val="04A0" w:firstRow="1" w:lastRow="0" w:firstColumn="1" w:lastColumn="0" w:noHBand="0" w:noVBand="1"/>
      </w:tblPr>
      <w:tblGrid>
        <w:gridCol w:w="540"/>
        <w:gridCol w:w="5430"/>
        <w:gridCol w:w="4788"/>
      </w:tblGrid>
      <w:tr w:rsidR="00236413" w:rsidRPr="00042385" w14:paraId="65AA1820" w14:textId="77777777" w:rsidTr="00042385">
        <w:tc>
          <w:tcPr>
            <w:tcW w:w="540" w:type="dxa"/>
            <w:shd w:val="clear" w:color="auto" w:fill="F2F2F2" w:themeFill="background1" w:themeFillShade="F2"/>
          </w:tcPr>
          <w:p w14:paraId="5E7D71DD" w14:textId="77777777" w:rsidR="00236413" w:rsidRPr="00042385" w:rsidRDefault="00236413" w:rsidP="00236413">
            <w:pPr>
              <w:rPr>
                <w:b/>
                <w:sz w:val="21"/>
                <w:szCs w:val="21"/>
              </w:rPr>
            </w:pPr>
            <w:r w:rsidRPr="00042385">
              <w:rPr>
                <w:b/>
                <w:sz w:val="21"/>
                <w:szCs w:val="21"/>
              </w:rPr>
              <w:t>No.</w:t>
            </w:r>
          </w:p>
        </w:tc>
        <w:tc>
          <w:tcPr>
            <w:tcW w:w="5430" w:type="dxa"/>
            <w:shd w:val="clear" w:color="auto" w:fill="F2F2F2" w:themeFill="background1" w:themeFillShade="F2"/>
          </w:tcPr>
          <w:p w14:paraId="0D86269F" w14:textId="77777777" w:rsidR="00236413" w:rsidRPr="00042385" w:rsidRDefault="00236413" w:rsidP="00236413">
            <w:pPr>
              <w:rPr>
                <w:b/>
                <w:sz w:val="21"/>
                <w:szCs w:val="21"/>
              </w:rPr>
            </w:pPr>
            <w:r w:rsidRPr="00042385">
              <w:rPr>
                <w:b/>
                <w:sz w:val="21"/>
                <w:szCs w:val="21"/>
              </w:rPr>
              <w:t>Ti</w:t>
            </w:r>
            <w:r w:rsidR="006A6572" w:rsidRPr="00042385">
              <w:rPr>
                <w:b/>
                <w:sz w:val="21"/>
                <w:szCs w:val="21"/>
              </w:rPr>
              <w:t xml:space="preserve">tle of product </w:t>
            </w:r>
          </w:p>
        </w:tc>
        <w:tc>
          <w:tcPr>
            <w:tcW w:w="4788" w:type="dxa"/>
            <w:shd w:val="clear" w:color="auto" w:fill="F2F2F2" w:themeFill="background1" w:themeFillShade="F2"/>
          </w:tcPr>
          <w:p w14:paraId="6E84547C" w14:textId="77777777" w:rsidR="00236413" w:rsidRPr="00042385" w:rsidRDefault="00236413" w:rsidP="00236413">
            <w:pPr>
              <w:rPr>
                <w:b/>
                <w:sz w:val="21"/>
                <w:szCs w:val="21"/>
              </w:rPr>
            </w:pPr>
            <w:r w:rsidRPr="00042385">
              <w:rPr>
                <w:b/>
                <w:sz w:val="21"/>
                <w:szCs w:val="21"/>
              </w:rPr>
              <w:t>Type of product</w:t>
            </w:r>
          </w:p>
        </w:tc>
      </w:tr>
      <w:tr w:rsidR="00BE648F" w:rsidRPr="00042385" w14:paraId="11E269A9" w14:textId="77777777" w:rsidTr="00042385">
        <w:tc>
          <w:tcPr>
            <w:tcW w:w="540" w:type="dxa"/>
            <w:shd w:val="clear" w:color="auto" w:fill="F2F2F2" w:themeFill="background1" w:themeFillShade="F2"/>
          </w:tcPr>
          <w:p w14:paraId="496C5FDD" w14:textId="77777777" w:rsidR="00BE648F" w:rsidRPr="00042385" w:rsidRDefault="00BE648F" w:rsidP="00BE648F">
            <w:pPr>
              <w:rPr>
                <w:sz w:val="21"/>
                <w:szCs w:val="21"/>
              </w:rPr>
            </w:pPr>
            <w:r w:rsidRPr="00042385">
              <w:rPr>
                <w:sz w:val="21"/>
                <w:szCs w:val="21"/>
              </w:rPr>
              <w:lastRenderedPageBreak/>
              <w:t>1</w:t>
            </w:r>
          </w:p>
        </w:tc>
        <w:tc>
          <w:tcPr>
            <w:tcW w:w="5430" w:type="dxa"/>
            <w:shd w:val="clear" w:color="auto" w:fill="FFFFFF" w:themeFill="background1"/>
          </w:tcPr>
          <w:p w14:paraId="548106CF" w14:textId="30D09451" w:rsidR="00BE648F" w:rsidRPr="00B93671" w:rsidRDefault="00B93671" w:rsidP="00BE648F">
            <w:pPr>
              <w:rPr>
                <w:sz w:val="20"/>
                <w:szCs w:val="20"/>
              </w:rPr>
            </w:pPr>
            <w:r w:rsidRPr="00B93671">
              <w:rPr>
                <w:rFonts w:cstheme="minorHAnsi"/>
                <w:sz w:val="20"/>
                <w:szCs w:val="20"/>
              </w:rPr>
              <w:t xml:space="preserve">Strengthening the Health Response to Violence Against Women and Children: A Practice Training Manual for Health Care Professionals </w:t>
            </w:r>
          </w:p>
        </w:tc>
        <w:tc>
          <w:tcPr>
            <w:tcW w:w="4788" w:type="dxa"/>
            <w:shd w:val="clear" w:color="auto" w:fill="FFFFFF" w:themeFill="background1"/>
          </w:tcPr>
          <w:p w14:paraId="74EF0D69" w14:textId="0DF920F7" w:rsidR="00BE648F" w:rsidRPr="00B93671" w:rsidRDefault="00B93671" w:rsidP="00BE648F">
            <w:pPr>
              <w:rPr>
                <w:sz w:val="20"/>
                <w:szCs w:val="20"/>
              </w:rPr>
            </w:pPr>
            <w:r>
              <w:rPr>
                <w:sz w:val="20"/>
                <w:szCs w:val="20"/>
              </w:rPr>
              <w:t>Training materials</w:t>
            </w:r>
          </w:p>
        </w:tc>
      </w:tr>
      <w:tr w:rsidR="00BE648F" w:rsidRPr="00042385" w14:paraId="7DFE065C" w14:textId="77777777" w:rsidTr="00042385">
        <w:tc>
          <w:tcPr>
            <w:tcW w:w="540" w:type="dxa"/>
            <w:shd w:val="clear" w:color="auto" w:fill="F2F2F2" w:themeFill="background1" w:themeFillShade="F2"/>
          </w:tcPr>
          <w:p w14:paraId="35FC3D41" w14:textId="77777777" w:rsidR="00BE648F" w:rsidRPr="00042385" w:rsidRDefault="00BE648F" w:rsidP="00BE648F">
            <w:pPr>
              <w:rPr>
                <w:sz w:val="21"/>
                <w:szCs w:val="21"/>
              </w:rPr>
            </w:pPr>
            <w:r w:rsidRPr="00042385">
              <w:rPr>
                <w:sz w:val="21"/>
                <w:szCs w:val="21"/>
              </w:rPr>
              <w:t>2</w:t>
            </w:r>
          </w:p>
        </w:tc>
        <w:tc>
          <w:tcPr>
            <w:tcW w:w="5430" w:type="dxa"/>
            <w:shd w:val="clear" w:color="auto" w:fill="FFFFFF" w:themeFill="background1"/>
          </w:tcPr>
          <w:p w14:paraId="6B679898" w14:textId="2C3029D4" w:rsidR="00BE648F" w:rsidRPr="00B93671" w:rsidRDefault="00B93671" w:rsidP="00BE648F">
            <w:pPr>
              <w:rPr>
                <w:sz w:val="20"/>
                <w:szCs w:val="20"/>
              </w:rPr>
            </w:pPr>
            <w:r w:rsidRPr="00B93671">
              <w:rPr>
                <w:rFonts w:cstheme="minorHAnsi"/>
                <w:sz w:val="20"/>
                <w:szCs w:val="20"/>
              </w:rPr>
              <w:t>Facilitator’s Handbook: A Training Programme to Strengthen the Health Response to Violence against Women and Children</w:t>
            </w:r>
          </w:p>
        </w:tc>
        <w:tc>
          <w:tcPr>
            <w:tcW w:w="4788" w:type="dxa"/>
            <w:shd w:val="clear" w:color="auto" w:fill="FFFFFF" w:themeFill="background1"/>
          </w:tcPr>
          <w:p w14:paraId="0055FE00" w14:textId="587BCDFB" w:rsidR="00BE648F" w:rsidRPr="00B93671" w:rsidRDefault="00B93671" w:rsidP="00BE648F">
            <w:pPr>
              <w:rPr>
                <w:sz w:val="20"/>
                <w:szCs w:val="20"/>
              </w:rPr>
            </w:pPr>
            <w:r>
              <w:rPr>
                <w:sz w:val="20"/>
                <w:szCs w:val="20"/>
              </w:rPr>
              <w:t>Training materials</w:t>
            </w:r>
          </w:p>
        </w:tc>
      </w:tr>
      <w:tr w:rsidR="00B93671" w:rsidRPr="00042385" w14:paraId="312D2FC6" w14:textId="77777777" w:rsidTr="00042385">
        <w:tc>
          <w:tcPr>
            <w:tcW w:w="540" w:type="dxa"/>
            <w:shd w:val="clear" w:color="auto" w:fill="F2F2F2" w:themeFill="background1" w:themeFillShade="F2"/>
          </w:tcPr>
          <w:p w14:paraId="1546F8C1" w14:textId="77777777" w:rsidR="00B93671" w:rsidRPr="00042385" w:rsidRDefault="00B93671" w:rsidP="00B93671">
            <w:pPr>
              <w:rPr>
                <w:sz w:val="21"/>
                <w:szCs w:val="21"/>
              </w:rPr>
            </w:pPr>
            <w:r w:rsidRPr="00042385">
              <w:rPr>
                <w:sz w:val="21"/>
                <w:szCs w:val="21"/>
              </w:rPr>
              <w:t>3</w:t>
            </w:r>
          </w:p>
        </w:tc>
        <w:tc>
          <w:tcPr>
            <w:tcW w:w="5430" w:type="dxa"/>
            <w:shd w:val="clear" w:color="auto" w:fill="FFFFFF" w:themeFill="background1"/>
          </w:tcPr>
          <w:p w14:paraId="5EC1B33E" w14:textId="0F258F63" w:rsidR="00B93671" w:rsidRPr="00B93671" w:rsidRDefault="00B93671" w:rsidP="00B93671">
            <w:pPr>
              <w:rPr>
                <w:sz w:val="21"/>
                <w:szCs w:val="21"/>
              </w:rPr>
            </w:pPr>
            <w:r w:rsidRPr="00B93671">
              <w:rPr>
                <w:rFonts w:cstheme="minorHAnsi"/>
                <w:sz w:val="20"/>
                <w:szCs w:val="20"/>
              </w:rPr>
              <w:t xml:space="preserve">Guidelines for Minimum Standards of Management of Care for Survivors of Sexual and Gender-Based Violence </w:t>
            </w:r>
          </w:p>
        </w:tc>
        <w:tc>
          <w:tcPr>
            <w:tcW w:w="4788" w:type="dxa"/>
            <w:shd w:val="clear" w:color="auto" w:fill="FFFFFF" w:themeFill="background1"/>
          </w:tcPr>
          <w:p w14:paraId="48063507" w14:textId="4B8E44E0" w:rsidR="00B93671" w:rsidRPr="00042385" w:rsidRDefault="00B93671" w:rsidP="00B93671">
            <w:pPr>
              <w:rPr>
                <w:sz w:val="21"/>
                <w:szCs w:val="21"/>
              </w:rPr>
            </w:pPr>
            <w:r>
              <w:rPr>
                <w:sz w:val="20"/>
                <w:szCs w:val="20"/>
              </w:rPr>
              <w:t>Training materials</w:t>
            </w:r>
          </w:p>
        </w:tc>
      </w:tr>
    </w:tbl>
    <w:p w14:paraId="2D8E9DCA" w14:textId="77777777" w:rsidR="00236413" w:rsidRDefault="00236413" w:rsidP="00236413">
      <w:pPr>
        <w:spacing w:after="0" w:line="240" w:lineRule="auto"/>
        <w:rPr>
          <w:b/>
        </w:rPr>
      </w:pPr>
    </w:p>
    <w:p w14:paraId="53482693" w14:textId="77777777" w:rsidR="00236413" w:rsidRPr="00042385" w:rsidRDefault="00236413" w:rsidP="00176A0A">
      <w:pPr>
        <w:pBdr>
          <w:top w:val="single" w:sz="4" w:space="1" w:color="auto"/>
          <w:left w:val="single" w:sz="4" w:space="4" w:color="auto"/>
          <w:bottom w:val="single" w:sz="4" w:space="1" w:color="auto"/>
          <w:right w:val="single" w:sz="4" w:space="4" w:color="auto"/>
        </w:pBdr>
        <w:spacing w:after="0" w:line="240" w:lineRule="auto"/>
        <w:ind w:left="7560"/>
        <w:rPr>
          <w:b/>
          <w:color w:val="0000FF"/>
          <w:sz w:val="20"/>
          <w:u w:val="single"/>
        </w:rPr>
      </w:pPr>
      <w:r w:rsidRPr="00042385">
        <w:rPr>
          <w:b/>
          <w:color w:val="0000FF"/>
          <w:sz w:val="20"/>
          <w:u w:val="single"/>
        </w:rPr>
        <w:t>M</w:t>
      </w:r>
      <w:r w:rsidR="00042385" w:rsidRPr="00042385">
        <w:rPr>
          <w:b/>
          <w:color w:val="0000FF"/>
          <w:sz w:val="20"/>
          <w:u w:val="single"/>
        </w:rPr>
        <w:t>e</w:t>
      </w:r>
      <w:r w:rsidRPr="00042385">
        <w:rPr>
          <w:b/>
          <w:color w:val="0000FF"/>
          <w:sz w:val="20"/>
          <w:u w:val="single"/>
        </w:rPr>
        <w:t xml:space="preserve">nu list for “Type of product” </w:t>
      </w:r>
    </w:p>
    <w:p w14:paraId="11FCA73A"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Anthologies </w:t>
      </w:r>
    </w:p>
    <w:p w14:paraId="24A81D09"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Assessments </w:t>
      </w:r>
    </w:p>
    <w:p w14:paraId="606EA840" w14:textId="77777777" w:rsidR="00236413" w:rsidRPr="00C42B7B" w:rsidRDefault="00236413" w:rsidP="00176A0A">
      <w:pPr>
        <w:pStyle w:val="CommentText"/>
        <w:numPr>
          <w:ilvl w:val="0"/>
          <w:numId w:val="20"/>
        </w:numPr>
        <w:pBdr>
          <w:top w:val="single" w:sz="4" w:space="1" w:color="auto"/>
          <w:left w:val="single" w:sz="4" w:space="4" w:color="auto"/>
          <w:bottom w:val="single" w:sz="4" w:space="1" w:color="auto"/>
          <w:right w:val="single" w:sz="4" w:space="4" w:color="auto"/>
        </w:pBdr>
        <w:spacing w:after="0"/>
        <w:ind w:left="8280"/>
        <w:rPr>
          <w:color w:val="0000FF"/>
        </w:rPr>
      </w:pPr>
      <w:r w:rsidRPr="00C42B7B">
        <w:rPr>
          <w:color w:val="0000FF"/>
        </w:rPr>
        <w:t xml:space="preserve">Audio </w:t>
      </w:r>
    </w:p>
    <w:p w14:paraId="1039921E" w14:textId="77777777" w:rsidR="00236413" w:rsidRPr="00C42B7B" w:rsidRDefault="00236413" w:rsidP="00176A0A">
      <w:pPr>
        <w:pStyle w:val="Default"/>
        <w:numPr>
          <w:ilvl w:val="0"/>
          <w:numId w:val="20"/>
        </w:numPr>
        <w:pBdr>
          <w:top w:val="single" w:sz="4" w:space="1" w:color="auto"/>
          <w:left w:val="single" w:sz="4" w:space="4" w:color="auto"/>
          <w:bottom w:val="single" w:sz="4" w:space="1" w:color="auto"/>
          <w:right w:val="single" w:sz="4" w:space="4" w:color="auto"/>
        </w:pBdr>
        <w:ind w:left="8280"/>
        <w:rPr>
          <w:color w:val="0000FF"/>
          <w:sz w:val="20"/>
          <w:szCs w:val="20"/>
        </w:rPr>
      </w:pPr>
      <w:r w:rsidRPr="00C42B7B">
        <w:rPr>
          <w:color w:val="0000FF"/>
          <w:sz w:val="20"/>
          <w:szCs w:val="20"/>
        </w:rPr>
        <w:t>Advocacy/campaign material</w:t>
      </w:r>
      <w:r w:rsidRPr="00C42B7B">
        <w:rPr>
          <w:b/>
          <w:bCs/>
          <w:color w:val="0000FF"/>
          <w:sz w:val="20"/>
          <w:szCs w:val="20"/>
        </w:rPr>
        <w:t xml:space="preserve"> </w:t>
      </w:r>
    </w:p>
    <w:p w14:paraId="0BA74DD6"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color w:val="0000FF"/>
          <w:sz w:val="20"/>
          <w:szCs w:val="20"/>
        </w:rPr>
        <w:t xml:space="preserve">Bibliographies </w:t>
      </w:r>
    </w:p>
    <w:p w14:paraId="2C61C26A"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color w:val="0000FF"/>
          <w:sz w:val="20"/>
          <w:szCs w:val="20"/>
        </w:rPr>
        <w:t xml:space="preserve">Brochures/Poster </w:t>
      </w:r>
    </w:p>
    <w:p w14:paraId="3D6C34C6"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Case study </w:t>
      </w:r>
    </w:p>
    <w:p w14:paraId="7B3168B7"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Comic Strip/Cartoon </w:t>
      </w:r>
    </w:p>
    <w:p w14:paraId="318B3E0D"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Curriculum </w:t>
      </w:r>
    </w:p>
    <w:p w14:paraId="45D83F15"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Catalog/Directory </w:t>
      </w:r>
    </w:p>
    <w:p w14:paraId="13F8D19D"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Electronic discussion forum </w:t>
      </w:r>
    </w:p>
    <w:p w14:paraId="4B8E245D"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color w:val="0000FF"/>
          <w:sz w:val="20"/>
          <w:szCs w:val="20"/>
        </w:rPr>
        <w:t xml:space="preserve">Exercise/Game </w:t>
      </w:r>
    </w:p>
    <w:p w14:paraId="2715E3B2"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Issue/Policy/Research Paper</w:t>
      </w:r>
    </w:p>
    <w:p w14:paraId="0DCCEA53"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Indicators </w:t>
      </w:r>
    </w:p>
    <w:p w14:paraId="094630A5"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Manual/Handbook </w:t>
      </w:r>
    </w:p>
    <w:p w14:paraId="64C4F026"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Newsletters </w:t>
      </w:r>
    </w:p>
    <w:p w14:paraId="723DC335"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Protocols/Guidelines </w:t>
      </w:r>
    </w:p>
    <w:p w14:paraId="4676CD8D"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color w:val="0000FF"/>
          <w:sz w:val="20"/>
          <w:szCs w:val="20"/>
        </w:rPr>
        <w:t xml:space="preserve">Photos </w:t>
      </w:r>
    </w:p>
    <w:p w14:paraId="56B87975" w14:textId="77777777" w:rsidR="00236413" w:rsidRPr="00A332F4" w:rsidRDefault="00236413" w:rsidP="00176A0A">
      <w:pPr>
        <w:pStyle w:val="Default"/>
        <w:numPr>
          <w:ilvl w:val="0"/>
          <w:numId w:val="20"/>
        </w:numPr>
        <w:pBdr>
          <w:top w:val="single" w:sz="4" w:space="1" w:color="auto"/>
          <w:left w:val="single" w:sz="4" w:space="4" w:color="auto"/>
          <w:bottom w:val="single" w:sz="4" w:space="1" w:color="auto"/>
          <w:right w:val="single" w:sz="4" w:space="4" w:color="auto"/>
        </w:pBdr>
        <w:ind w:left="8280"/>
        <w:rPr>
          <w:color w:val="0000FF"/>
          <w:sz w:val="20"/>
          <w:szCs w:val="20"/>
          <w:lang w:val="fr-FR"/>
        </w:rPr>
      </w:pPr>
      <w:r w:rsidRPr="00A332F4">
        <w:rPr>
          <w:color w:val="0000FF"/>
          <w:sz w:val="20"/>
          <w:szCs w:val="20"/>
          <w:lang w:val="fr-FR"/>
        </w:rPr>
        <w:t>PR material</w:t>
      </w:r>
      <w:r w:rsidR="00042385">
        <w:rPr>
          <w:color w:val="0000FF"/>
          <w:sz w:val="20"/>
          <w:szCs w:val="20"/>
          <w:lang w:val="fr-FR"/>
        </w:rPr>
        <w:t>s</w:t>
      </w:r>
      <w:r w:rsidRPr="00A332F4">
        <w:rPr>
          <w:color w:val="0000FF"/>
          <w:sz w:val="20"/>
          <w:szCs w:val="20"/>
          <w:lang w:val="fr-FR"/>
        </w:rPr>
        <w:t xml:space="preserve"> (posters, brochures, pamphlets, etc</w:t>
      </w:r>
      <w:r w:rsidR="007D09ED" w:rsidRPr="00A332F4">
        <w:rPr>
          <w:color w:val="0000FF"/>
          <w:sz w:val="20"/>
          <w:szCs w:val="20"/>
          <w:lang w:val="fr-FR"/>
        </w:rPr>
        <w:t>.</w:t>
      </w:r>
      <w:r w:rsidRPr="00A332F4">
        <w:rPr>
          <w:color w:val="0000FF"/>
          <w:sz w:val="20"/>
          <w:szCs w:val="20"/>
          <w:lang w:val="fr-FR"/>
        </w:rPr>
        <w:t>)</w:t>
      </w:r>
      <w:r w:rsidRPr="00A332F4">
        <w:rPr>
          <w:b/>
          <w:bCs/>
          <w:color w:val="0000FF"/>
          <w:sz w:val="20"/>
          <w:szCs w:val="20"/>
          <w:lang w:val="fr-FR"/>
        </w:rPr>
        <w:t xml:space="preserve"> </w:t>
      </w:r>
    </w:p>
    <w:p w14:paraId="7E18522B"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Surveys </w:t>
      </w:r>
    </w:p>
    <w:p w14:paraId="06154591"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color w:val="0000FF"/>
          <w:sz w:val="20"/>
          <w:szCs w:val="20"/>
        </w:rPr>
        <w:t xml:space="preserve">Toolkit/Checklist </w:t>
      </w:r>
    </w:p>
    <w:p w14:paraId="791A8E95"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Training  materials </w:t>
      </w:r>
    </w:p>
    <w:p w14:paraId="0ADCF234" w14:textId="77777777" w:rsidR="00236413" w:rsidRPr="00C42B7B" w:rsidRDefault="00236413" w:rsidP="00176A0A">
      <w:pPr>
        <w:pStyle w:val="CommentText"/>
        <w:numPr>
          <w:ilvl w:val="0"/>
          <w:numId w:val="20"/>
        </w:numPr>
        <w:pBdr>
          <w:top w:val="single" w:sz="4" w:space="1" w:color="auto"/>
          <w:left w:val="single" w:sz="4" w:space="4" w:color="auto"/>
          <w:bottom w:val="single" w:sz="4" w:space="1" w:color="auto"/>
          <w:right w:val="single" w:sz="4" w:space="4" w:color="auto"/>
        </w:pBdr>
        <w:spacing w:after="0"/>
        <w:ind w:left="8280"/>
        <w:rPr>
          <w:color w:val="0000FF"/>
        </w:rPr>
      </w:pPr>
      <w:r w:rsidRPr="00C42B7B">
        <w:rPr>
          <w:color w:val="0000FF"/>
        </w:rPr>
        <w:t xml:space="preserve">Video/Film </w:t>
      </w:r>
    </w:p>
    <w:p w14:paraId="594462F8"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 xml:space="preserve">Website and web portal </w:t>
      </w:r>
    </w:p>
    <w:p w14:paraId="2F95B922" w14:textId="77777777" w:rsidR="00236413" w:rsidRPr="00C42B7B" w:rsidRDefault="00236413" w:rsidP="00176A0A">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ind w:left="8280"/>
        <w:rPr>
          <w:color w:val="0000FF"/>
          <w:sz w:val="20"/>
          <w:szCs w:val="20"/>
        </w:rPr>
      </w:pPr>
      <w:r w:rsidRPr="00C42B7B">
        <w:rPr>
          <w:rFonts w:ascii="Calibri" w:eastAsia="Times New Roman" w:hAnsi="Calibri" w:cs="Calibri"/>
          <w:iCs/>
          <w:color w:val="0000FF"/>
          <w:sz w:val="20"/>
          <w:szCs w:val="20"/>
        </w:rPr>
        <w:t>Others (</w:t>
      </w:r>
      <w:r w:rsidRPr="00C42B7B">
        <w:rPr>
          <w:rFonts w:ascii="Calibri" w:eastAsia="Times New Roman" w:hAnsi="Calibri" w:cs="Calibri"/>
          <w:iCs/>
          <w:color w:val="0000FF"/>
          <w:sz w:val="20"/>
          <w:szCs w:val="20"/>
          <w:u w:val="single"/>
        </w:rPr>
        <w:t xml:space="preserve">specify </w:t>
      </w:r>
      <w:r w:rsidRPr="00C42B7B">
        <w:rPr>
          <w:color w:val="0000FF"/>
          <w:sz w:val="20"/>
          <w:szCs w:val="20"/>
          <w:lang w:val="en-GB"/>
        </w:rPr>
        <w:fldChar w:fldCharType="begin">
          <w:ffData>
            <w:name w:val="Text26"/>
            <w:enabled/>
            <w:calcOnExit w:val="0"/>
            <w:textInput/>
          </w:ffData>
        </w:fldChar>
      </w:r>
      <w:r w:rsidRPr="00C42B7B">
        <w:rPr>
          <w:color w:val="0000FF"/>
          <w:sz w:val="20"/>
          <w:szCs w:val="20"/>
          <w:lang w:val="en-GB"/>
        </w:rPr>
        <w:instrText xml:space="preserve"> FORMTEXT </w:instrText>
      </w:r>
      <w:r w:rsidRPr="00C42B7B">
        <w:rPr>
          <w:color w:val="0000FF"/>
          <w:sz w:val="20"/>
          <w:szCs w:val="20"/>
          <w:lang w:val="en-GB"/>
        </w:rPr>
      </w:r>
      <w:r w:rsidRPr="00C42B7B">
        <w:rPr>
          <w:color w:val="0000FF"/>
          <w:sz w:val="20"/>
          <w:szCs w:val="20"/>
          <w:lang w:val="en-GB"/>
        </w:rPr>
        <w:fldChar w:fldCharType="separate"/>
      </w:r>
      <w:r w:rsidRPr="00C42B7B">
        <w:rPr>
          <w:color w:val="0000FF"/>
          <w:sz w:val="20"/>
          <w:szCs w:val="20"/>
          <w:lang w:val="en-GB"/>
        </w:rPr>
        <w:t> </w:t>
      </w:r>
      <w:r w:rsidRPr="00C42B7B">
        <w:rPr>
          <w:color w:val="0000FF"/>
          <w:sz w:val="20"/>
          <w:szCs w:val="20"/>
          <w:lang w:val="en-GB"/>
        </w:rPr>
        <w:t> </w:t>
      </w:r>
      <w:r w:rsidRPr="00C42B7B">
        <w:rPr>
          <w:color w:val="0000FF"/>
          <w:sz w:val="20"/>
          <w:szCs w:val="20"/>
          <w:lang w:val="en-GB"/>
        </w:rPr>
        <w:t> </w:t>
      </w:r>
      <w:r w:rsidRPr="00C42B7B">
        <w:rPr>
          <w:color w:val="0000FF"/>
          <w:sz w:val="20"/>
          <w:szCs w:val="20"/>
          <w:lang w:val="en-GB"/>
        </w:rPr>
        <w:t> </w:t>
      </w:r>
      <w:r w:rsidRPr="00C42B7B">
        <w:rPr>
          <w:color w:val="0000FF"/>
          <w:sz w:val="20"/>
          <w:szCs w:val="20"/>
          <w:lang w:val="en-GB"/>
        </w:rPr>
        <w:t> </w:t>
      </w:r>
      <w:r w:rsidRPr="00C42B7B">
        <w:rPr>
          <w:color w:val="0000FF"/>
          <w:sz w:val="20"/>
          <w:szCs w:val="20"/>
          <w:lang w:val="en-GB"/>
        </w:rPr>
        <w:fldChar w:fldCharType="end"/>
      </w:r>
      <w:r w:rsidRPr="00C42B7B">
        <w:rPr>
          <w:rFonts w:ascii="Calibri" w:eastAsia="Times New Roman" w:hAnsi="Calibri" w:cs="Calibri"/>
          <w:iCs/>
          <w:color w:val="0000FF"/>
          <w:sz w:val="20"/>
          <w:szCs w:val="20"/>
        </w:rPr>
        <w:t xml:space="preserve">) </w:t>
      </w:r>
    </w:p>
    <w:p w14:paraId="1DEC1C8E" w14:textId="77777777" w:rsidR="00236413" w:rsidRDefault="00236413" w:rsidP="00236413">
      <w:pPr>
        <w:spacing w:after="0" w:line="240" w:lineRule="auto"/>
      </w:pPr>
    </w:p>
    <w:p w14:paraId="34AEC2E0" w14:textId="77777777" w:rsidR="00236413" w:rsidRPr="00AD2423" w:rsidRDefault="00236413" w:rsidP="00AD2423">
      <w:pPr>
        <w:pStyle w:val="ListParagraph"/>
        <w:numPr>
          <w:ilvl w:val="1"/>
          <w:numId w:val="5"/>
        </w:numPr>
        <w:spacing w:before="120" w:after="0" w:line="240" w:lineRule="auto"/>
        <w:ind w:left="360"/>
        <w:rPr>
          <w:sz w:val="21"/>
          <w:szCs w:val="21"/>
        </w:rPr>
      </w:pPr>
      <w:r w:rsidRPr="00AD2423">
        <w:rPr>
          <w:sz w:val="21"/>
          <w:szCs w:val="21"/>
        </w:rPr>
        <w:t xml:space="preserve">If you have other types of products, such as audio, video, film, website, web portal, and/or something else that is too big and heavy to be </w:t>
      </w:r>
      <w:r w:rsidR="00C42B7B" w:rsidRPr="00AD2423">
        <w:rPr>
          <w:sz w:val="21"/>
          <w:szCs w:val="21"/>
        </w:rPr>
        <w:t>shared via email</w:t>
      </w:r>
      <w:r w:rsidRPr="00AD2423">
        <w:rPr>
          <w:sz w:val="21"/>
          <w:szCs w:val="21"/>
        </w:rPr>
        <w:t>, please provide the title of the product, the type of product and the URL/website address where we can see these products (e</w:t>
      </w:r>
      <w:r w:rsidR="00105C87">
        <w:rPr>
          <w:sz w:val="21"/>
          <w:szCs w:val="21"/>
        </w:rPr>
        <w:t>.g</w:t>
      </w:r>
      <w:r w:rsidRPr="00AD2423">
        <w:rPr>
          <w:sz w:val="21"/>
          <w:szCs w:val="21"/>
        </w:rPr>
        <w:t xml:space="preserve">. YouTube). </w:t>
      </w:r>
    </w:p>
    <w:tbl>
      <w:tblPr>
        <w:tblStyle w:val="TableGrid"/>
        <w:tblW w:w="0" w:type="auto"/>
        <w:tblInd w:w="468" w:type="dxa"/>
        <w:tblLayout w:type="fixed"/>
        <w:tblLook w:val="04A0" w:firstRow="1" w:lastRow="0" w:firstColumn="1" w:lastColumn="0" w:noHBand="0" w:noVBand="1"/>
      </w:tblPr>
      <w:tblGrid>
        <w:gridCol w:w="2970"/>
        <w:gridCol w:w="2700"/>
        <w:gridCol w:w="7038"/>
      </w:tblGrid>
      <w:tr w:rsidR="00236413" w14:paraId="1AAD161A" w14:textId="77777777" w:rsidTr="00B93671">
        <w:tc>
          <w:tcPr>
            <w:tcW w:w="2970" w:type="dxa"/>
            <w:shd w:val="clear" w:color="auto" w:fill="F2F2F2" w:themeFill="background1" w:themeFillShade="F2"/>
          </w:tcPr>
          <w:p w14:paraId="2F76CAC4" w14:textId="77777777" w:rsidR="00236413" w:rsidRPr="00AD2423" w:rsidRDefault="00236413" w:rsidP="00B93671">
            <w:pPr>
              <w:pStyle w:val="ListParagraph"/>
              <w:ind w:left="0"/>
              <w:rPr>
                <w:b/>
                <w:sz w:val="21"/>
                <w:szCs w:val="21"/>
              </w:rPr>
            </w:pPr>
            <w:r w:rsidRPr="00AD2423">
              <w:rPr>
                <w:b/>
                <w:sz w:val="21"/>
                <w:szCs w:val="21"/>
              </w:rPr>
              <w:lastRenderedPageBreak/>
              <w:t xml:space="preserve">Title of the product </w:t>
            </w:r>
          </w:p>
        </w:tc>
        <w:tc>
          <w:tcPr>
            <w:tcW w:w="2700" w:type="dxa"/>
            <w:shd w:val="clear" w:color="auto" w:fill="F2F2F2" w:themeFill="background1" w:themeFillShade="F2"/>
          </w:tcPr>
          <w:p w14:paraId="7B4D8E4D" w14:textId="77777777" w:rsidR="00236413" w:rsidRPr="00AD2423" w:rsidRDefault="00236413" w:rsidP="00B93671">
            <w:pPr>
              <w:pStyle w:val="ListParagraph"/>
              <w:ind w:left="0"/>
              <w:rPr>
                <w:b/>
                <w:sz w:val="21"/>
                <w:szCs w:val="21"/>
              </w:rPr>
            </w:pPr>
            <w:r w:rsidRPr="00AD2423">
              <w:rPr>
                <w:b/>
                <w:sz w:val="21"/>
                <w:szCs w:val="21"/>
              </w:rPr>
              <w:t xml:space="preserve">Type of product </w:t>
            </w:r>
          </w:p>
        </w:tc>
        <w:tc>
          <w:tcPr>
            <w:tcW w:w="7038" w:type="dxa"/>
            <w:shd w:val="clear" w:color="auto" w:fill="F2F2F2" w:themeFill="background1" w:themeFillShade="F2"/>
          </w:tcPr>
          <w:p w14:paraId="69591CA7" w14:textId="77777777" w:rsidR="00236413" w:rsidRPr="00AD2423" w:rsidRDefault="00236413" w:rsidP="00B93671">
            <w:pPr>
              <w:pStyle w:val="ListParagraph"/>
              <w:ind w:left="0"/>
              <w:rPr>
                <w:b/>
                <w:sz w:val="21"/>
                <w:szCs w:val="21"/>
              </w:rPr>
            </w:pPr>
            <w:r w:rsidRPr="00AD2423">
              <w:rPr>
                <w:b/>
                <w:sz w:val="21"/>
                <w:szCs w:val="21"/>
              </w:rPr>
              <w:t xml:space="preserve">URL/Website address </w:t>
            </w:r>
          </w:p>
        </w:tc>
      </w:tr>
      <w:tr w:rsidR="00BE648F" w14:paraId="061944EB" w14:textId="77777777" w:rsidTr="00B93671">
        <w:tc>
          <w:tcPr>
            <w:tcW w:w="2970" w:type="dxa"/>
            <w:shd w:val="clear" w:color="auto" w:fill="FFFFFF" w:themeFill="background1"/>
          </w:tcPr>
          <w:p w14:paraId="7D359857" w14:textId="77777777" w:rsidR="00BE648F" w:rsidRPr="003300B7" w:rsidRDefault="00BE648F" w:rsidP="00B93671">
            <w:pPr>
              <w:pStyle w:val="ListParagraph"/>
              <w:ind w:left="0"/>
              <w:rPr>
                <w:sz w:val="21"/>
                <w:szCs w:val="21"/>
              </w:rPr>
            </w:pPr>
            <w:r w:rsidRPr="003300B7">
              <w:rPr>
                <w:sz w:val="21"/>
                <w:szCs w:val="21"/>
              </w:rPr>
              <w:t xml:space="preserve">Joint Programme launch event video (still in DRAFT form)  </w:t>
            </w:r>
          </w:p>
          <w:p w14:paraId="0C224AF4" w14:textId="77777777" w:rsidR="00BE648F" w:rsidRPr="003300B7" w:rsidRDefault="00BE648F" w:rsidP="00B93671">
            <w:pPr>
              <w:pStyle w:val="ListParagraph"/>
              <w:ind w:left="0"/>
              <w:rPr>
                <w:sz w:val="21"/>
                <w:szCs w:val="21"/>
              </w:rPr>
            </w:pPr>
            <w:r w:rsidRPr="003300B7">
              <w:rPr>
                <w:sz w:val="21"/>
                <w:szCs w:val="21"/>
              </w:rPr>
              <w:t xml:space="preserve">(UN Women funded) </w:t>
            </w:r>
          </w:p>
        </w:tc>
        <w:tc>
          <w:tcPr>
            <w:tcW w:w="2700" w:type="dxa"/>
            <w:shd w:val="clear" w:color="auto" w:fill="FFFFFF" w:themeFill="background1"/>
          </w:tcPr>
          <w:p w14:paraId="1AA2242C" w14:textId="77777777" w:rsidR="00BE648F" w:rsidRPr="003300B7" w:rsidRDefault="00BE648F" w:rsidP="00B93671">
            <w:pPr>
              <w:pStyle w:val="ListParagraph"/>
              <w:ind w:left="0"/>
              <w:rPr>
                <w:sz w:val="21"/>
                <w:szCs w:val="21"/>
              </w:rPr>
            </w:pPr>
            <w:r w:rsidRPr="003300B7">
              <w:rPr>
                <w:sz w:val="21"/>
                <w:szCs w:val="21"/>
              </w:rPr>
              <w:t>23. Video Film</w:t>
            </w:r>
          </w:p>
        </w:tc>
        <w:tc>
          <w:tcPr>
            <w:tcW w:w="7038" w:type="dxa"/>
            <w:shd w:val="clear" w:color="auto" w:fill="FFFFFF" w:themeFill="background1"/>
          </w:tcPr>
          <w:p w14:paraId="595261EE" w14:textId="77777777" w:rsidR="00BE648F" w:rsidRPr="003300B7" w:rsidRDefault="006B67B7" w:rsidP="00B93671">
            <w:pPr>
              <w:pStyle w:val="ListParagraph"/>
              <w:ind w:left="0"/>
              <w:rPr>
                <w:sz w:val="21"/>
                <w:szCs w:val="21"/>
              </w:rPr>
            </w:pPr>
            <w:hyperlink r:id="rId11" w:history="1">
              <w:r w:rsidR="00BE648F" w:rsidRPr="003300B7">
                <w:rPr>
                  <w:rStyle w:val="Hyperlink"/>
                  <w:color w:val="auto"/>
                  <w:sz w:val="21"/>
                  <w:szCs w:val="21"/>
                </w:rPr>
                <w:t>https://www.dropbox.com/sh/m2sydnkpfz7mubz/AABrPhLRDDcdUJR8QMQ2x-pga?dl=0</w:t>
              </w:r>
            </w:hyperlink>
          </w:p>
          <w:p w14:paraId="4883DF45" w14:textId="77777777" w:rsidR="00BE648F" w:rsidRPr="003300B7" w:rsidRDefault="00BE648F" w:rsidP="00B93671">
            <w:pPr>
              <w:pStyle w:val="ListParagraph"/>
              <w:ind w:left="0"/>
              <w:rPr>
                <w:sz w:val="21"/>
                <w:szCs w:val="21"/>
              </w:rPr>
            </w:pPr>
          </w:p>
        </w:tc>
      </w:tr>
      <w:tr w:rsidR="00BE648F" w14:paraId="3963FCF7" w14:textId="77777777" w:rsidTr="00B93671">
        <w:tc>
          <w:tcPr>
            <w:tcW w:w="2970" w:type="dxa"/>
            <w:shd w:val="clear" w:color="auto" w:fill="FFFFFF" w:themeFill="background1"/>
          </w:tcPr>
          <w:p w14:paraId="12759F99" w14:textId="77777777" w:rsidR="00BE648F" w:rsidRPr="003300B7" w:rsidRDefault="00BE648F" w:rsidP="00B93671">
            <w:pPr>
              <w:pStyle w:val="ListParagraph"/>
              <w:ind w:left="0"/>
              <w:rPr>
                <w:sz w:val="21"/>
                <w:szCs w:val="21"/>
              </w:rPr>
            </w:pPr>
            <w:r w:rsidRPr="003300B7">
              <w:rPr>
                <w:sz w:val="21"/>
                <w:szCs w:val="21"/>
              </w:rPr>
              <w:t xml:space="preserve">Joint Programme UN Women Extranet website. </w:t>
            </w:r>
          </w:p>
          <w:p w14:paraId="45787B36" w14:textId="77777777" w:rsidR="00BE648F" w:rsidRPr="003300B7" w:rsidRDefault="00BE648F" w:rsidP="00B93671">
            <w:pPr>
              <w:pStyle w:val="ListParagraph"/>
              <w:ind w:left="0"/>
              <w:rPr>
                <w:sz w:val="21"/>
                <w:szCs w:val="21"/>
              </w:rPr>
            </w:pPr>
            <w:r w:rsidRPr="003300B7">
              <w:rPr>
                <w:sz w:val="21"/>
                <w:szCs w:val="21"/>
              </w:rPr>
              <w:t>(UN Women funded)</w:t>
            </w:r>
          </w:p>
        </w:tc>
        <w:tc>
          <w:tcPr>
            <w:tcW w:w="2700" w:type="dxa"/>
            <w:shd w:val="clear" w:color="auto" w:fill="FFFFFF" w:themeFill="background1"/>
          </w:tcPr>
          <w:p w14:paraId="3A1B9D29" w14:textId="77777777" w:rsidR="00BE648F" w:rsidRPr="003300B7" w:rsidRDefault="00BE648F" w:rsidP="00B93671">
            <w:pPr>
              <w:rPr>
                <w:sz w:val="21"/>
                <w:szCs w:val="21"/>
              </w:rPr>
            </w:pPr>
            <w:r w:rsidRPr="003300B7">
              <w:rPr>
                <w:sz w:val="21"/>
                <w:szCs w:val="21"/>
              </w:rPr>
              <w:t>24. Website and Web portal</w:t>
            </w:r>
          </w:p>
        </w:tc>
        <w:tc>
          <w:tcPr>
            <w:tcW w:w="7038" w:type="dxa"/>
            <w:shd w:val="clear" w:color="auto" w:fill="FFFFFF" w:themeFill="background1"/>
          </w:tcPr>
          <w:p w14:paraId="5068FFDE" w14:textId="77777777" w:rsidR="00BE648F" w:rsidRPr="003300B7" w:rsidRDefault="006B67B7" w:rsidP="00B93671">
            <w:pPr>
              <w:pStyle w:val="ListParagraph"/>
              <w:ind w:left="0"/>
              <w:rPr>
                <w:sz w:val="21"/>
                <w:szCs w:val="21"/>
              </w:rPr>
            </w:pPr>
            <w:hyperlink r:id="rId12" w:history="1">
              <w:r w:rsidR="00BE648F" w:rsidRPr="003300B7">
                <w:rPr>
                  <w:rStyle w:val="Hyperlink"/>
                  <w:color w:val="auto"/>
                  <w:sz w:val="21"/>
                  <w:szCs w:val="21"/>
                </w:rPr>
                <w:t>https://unwomen.sharepoint.com/sites/Extranet/jpo-vawg/Pages/SOI.aspx</w:t>
              </w:r>
            </w:hyperlink>
          </w:p>
          <w:p w14:paraId="672CB68C" w14:textId="77777777" w:rsidR="00BE648F" w:rsidRPr="003300B7" w:rsidRDefault="00BE648F" w:rsidP="00B93671">
            <w:pPr>
              <w:pStyle w:val="ListParagraph"/>
              <w:ind w:left="0"/>
              <w:rPr>
                <w:sz w:val="21"/>
                <w:szCs w:val="21"/>
              </w:rPr>
            </w:pPr>
            <w:r w:rsidRPr="003300B7">
              <w:rPr>
                <w:sz w:val="21"/>
                <w:szCs w:val="21"/>
              </w:rPr>
              <w:t>(only JP members can view this page)</w:t>
            </w:r>
          </w:p>
        </w:tc>
      </w:tr>
      <w:tr w:rsidR="00BE648F" w14:paraId="16EBDD8F" w14:textId="77777777" w:rsidTr="00B93671">
        <w:tc>
          <w:tcPr>
            <w:tcW w:w="2970" w:type="dxa"/>
            <w:shd w:val="clear" w:color="auto" w:fill="FFFFFF" w:themeFill="background1"/>
          </w:tcPr>
          <w:p w14:paraId="4BEC5CFB" w14:textId="77777777" w:rsidR="00BE648F" w:rsidRPr="003300B7" w:rsidRDefault="00BE648F" w:rsidP="00B93671">
            <w:pPr>
              <w:pStyle w:val="ListParagraph"/>
              <w:ind w:left="0"/>
              <w:rPr>
                <w:sz w:val="21"/>
                <w:szCs w:val="21"/>
              </w:rPr>
            </w:pPr>
            <w:r w:rsidRPr="003300B7">
              <w:rPr>
                <w:sz w:val="21"/>
                <w:szCs w:val="21"/>
              </w:rPr>
              <w:t>Articles on page 2 and 5 in the Newsletter “UN Women in The Pacific” (April 2015, Issue 6)</w:t>
            </w:r>
          </w:p>
        </w:tc>
        <w:tc>
          <w:tcPr>
            <w:tcW w:w="2700" w:type="dxa"/>
            <w:shd w:val="clear" w:color="auto" w:fill="FFFFFF" w:themeFill="background1"/>
          </w:tcPr>
          <w:p w14:paraId="45B7ED70" w14:textId="77777777" w:rsidR="00BE648F" w:rsidRPr="003300B7" w:rsidRDefault="00BE648F" w:rsidP="00B93671">
            <w:pPr>
              <w:rPr>
                <w:sz w:val="21"/>
                <w:szCs w:val="21"/>
              </w:rPr>
            </w:pPr>
            <w:r w:rsidRPr="003300B7">
              <w:rPr>
                <w:sz w:val="21"/>
                <w:szCs w:val="21"/>
              </w:rPr>
              <w:t>16. Newsletters</w:t>
            </w:r>
          </w:p>
        </w:tc>
        <w:tc>
          <w:tcPr>
            <w:tcW w:w="7038" w:type="dxa"/>
            <w:shd w:val="clear" w:color="auto" w:fill="FFFFFF" w:themeFill="background1"/>
          </w:tcPr>
          <w:p w14:paraId="3C1CBCE0" w14:textId="77777777" w:rsidR="00BE648F" w:rsidRDefault="006B67B7" w:rsidP="00B93671">
            <w:pPr>
              <w:pStyle w:val="ListParagraph"/>
              <w:ind w:left="0"/>
              <w:rPr>
                <w:rStyle w:val="Hyperlink"/>
                <w:color w:val="auto"/>
                <w:sz w:val="21"/>
                <w:szCs w:val="21"/>
              </w:rPr>
            </w:pPr>
            <w:hyperlink r:id="rId13" w:history="1">
              <w:r w:rsidR="00BE648F" w:rsidRPr="003300B7">
                <w:rPr>
                  <w:rStyle w:val="Hyperlink"/>
                  <w:color w:val="auto"/>
                  <w:sz w:val="21"/>
                  <w:szCs w:val="21"/>
                </w:rPr>
                <w:t>http://us8.campaign-archive1.com/?u=5cff3b31398feb15d4f633311&amp;id=d88c49af48&amp;e=77fd7dacf1</w:t>
              </w:r>
            </w:hyperlink>
          </w:p>
          <w:p w14:paraId="3586B963" w14:textId="77777777" w:rsidR="00BE648F" w:rsidRPr="0027248E" w:rsidRDefault="006B67B7" w:rsidP="00B93671">
            <w:pPr>
              <w:pStyle w:val="ListParagraph"/>
              <w:ind w:left="0"/>
              <w:rPr>
                <w:rStyle w:val="Hyperlink"/>
                <w:color w:val="auto"/>
                <w:sz w:val="21"/>
                <w:szCs w:val="21"/>
              </w:rPr>
            </w:pPr>
            <w:hyperlink r:id="rId14" w:history="1">
              <w:r w:rsidR="00BE648F" w:rsidRPr="0027248E">
                <w:rPr>
                  <w:rFonts w:eastAsia="MS P????" w:cs="Calibri"/>
                  <w:color w:val="0000FF"/>
                  <w:sz w:val="21"/>
                  <w:szCs w:val="21"/>
                  <w:u w:val="single"/>
                  <w:lang w:val="en"/>
                </w:rPr>
                <w:t>http://us8.campaign-archive1.com/?u=5cff3b31398feb15d4f633311</w:t>
              </w:r>
              <w:r w:rsidR="00BE648F" w:rsidRPr="0027248E">
                <w:rPr>
                  <w:rFonts w:eastAsia="MS P????" w:cs="MS P????"/>
                  <w:vanish/>
                  <w:sz w:val="21"/>
                  <w:szCs w:val="21"/>
                </w:rPr>
                <w:t xml:space="preserve">HYPERLINK "http://us8.campaign-archive1.com/?u=5cff3b31398feb15d4f633311&amp;id=d88c49af48&amp;e=77fd7dacf1" </w:t>
              </w:r>
              <w:r w:rsidR="00BE648F" w:rsidRPr="0027248E">
                <w:rPr>
                  <w:rFonts w:eastAsia="MS P????" w:cs="MS P????"/>
                  <w:sz w:val="21"/>
                  <w:szCs w:val="21"/>
                </w:rPr>
                <w:t>&amp;</w:t>
              </w:r>
              <w:r w:rsidR="00BE648F" w:rsidRPr="0027248E">
                <w:rPr>
                  <w:rFonts w:eastAsia="MS P????" w:cs="MS P????"/>
                  <w:vanish/>
                  <w:sz w:val="21"/>
                  <w:szCs w:val="21"/>
                </w:rPr>
                <w:t xml:space="preserve">HYPERLINK "http://us8.campaign-archive1.com/?u=5cff3b31398feb15d4f633311&amp;id=d88c49af48&amp;e=77fd7dacf1" </w:t>
              </w:r>
            </w:hyperlink>
            <w:r w:rsidR="00BE648F" w:rsidRPr="0027248E">
              <w:rPr>
                <w:rFonts w:eastAsia="MS P????" w:cs="MS P????"/>
                <w:sz w:val="21"/>
                <w:szCs w:val="21"/>
              </w:rPr>
              <w:t>id=d88c49af48</w:t>
            </w:r>
            <w:hyperlink r:id="rId15" w:history="1">
              <w:r w:rsidR="00BE648F" w:rsidRPr="0027248E">
                <w:rPr>
                  <w:rStyle w:val="Hyperlink"/>
                  <w:sz w:val="21"/>
                  <w:szCs w:val="21"/>
                </w:rPr>
                <w:t>http://us8.campaign-archive1.com/?u=5cff3b31398feb15d4f633311&amp;id=d88c49af48&amp;e=77fd7dacf1</w:t>
              </w:r>
            </w:hyperlink>
            <w:r w:rsidR="00BE648F" w:rsidRPr="0027248E">
              <w:rPr>
                <w:rFonts w:eastAsia="MS P????" w:cs="MS P????"/>
                <w:sz w:val="21"/>
                <w:szCs w:val="21"/>
              </w:rPr>
              <w:t>&amp;</w:t>
            </w:r>
            <w:hyperlink r:id="rId16" w:history="1">
              <w:r w:rsidR="00BE648F" w:rsidRPr="0027248E">
                <w:rPr>
                  <w:rStyle w:val="Hyperlink"/>
                  <w:sz w:val="21"/>
                  <w:szCs w:val="21"/>
                </w:rPr>
                <w:t>http://us8.campaign-archive1.com/?u=5cff3b31398feb15d4f633311&amp;id=d88c49af48&amp;e=77fd7dacf1</w:t>
              </w:r>
            </w:hyperlink>
            <w:r w:rsidR="00BE648F" w:rsidRPr="0027248E">
              <w:rPr>
                <w:rFonts w:eastAsia="MS P????" w:cs="MS P????"/>
                <w:sz w:val="21"/>
                <w:szCs w:val="21"/>
              </w:rPr>
              <w:t>e=77fd7dacf1</w:t>
            </w:r>
          </w:p>
          <w:p w14:paraId="0C82E6E8" w14:textId="77777777" w:rsidR="00BE648F" w:rsidRPr="003300B7" w:rsidRDefault="00BE648F" w:rsidP="00B93671">
            <w:pPr>
              <w:pStyle w:val="ListParagraph"/>
              <w:ind w:left="0"/>
              <w:rPr>
                <w:sz w:val="21"/>
                <w:szCs w:val="21"/>
              </w:rPr>
            </w:pPr>
          </w:p>
          <w:p w14:paraId="14E100E4" w14:textId="77777777" w:rsidR="00BE648F" w:rsidRPr="003300B7" w:rsidRDefault="00BE648F" w:rsidP="00B93671">
            <w:pPr>
              <w:pStyle w:val="ListParagraph"/>
              <w:ind w:left="0"/>
              <w:rPr>
                <w:sz w:val="21"/>
                <w:szCs w:val="21"/>
              </w:rPr>
            </w:pPr>
          </w:p>
        </w:tc>
      </w:tr>
    </w:tbl>
    <w:p w14:paraId="719F694C" w14:textId="77777777" w:rsidR="00236413" w:rsidRDefault="00236413" w:rsidP="00236413">
      <w:pPr>
        <w:pStyle w:val="ListParagraph"/>
        <w:spacing w:after="0" w:line="240" w:lineRule="auto"/>
        <w:ind w:left="1446"/>
      </w:pPr>
    </w:p>
    <w:p w14:paraId="4FC4612C" w14:textId="77777777" w:rsidR="00236413" w:rsidRPr="005E40C3" w:rsidRDefault="00236413" w:rsidP="00AE1025">
      <w:pPr>
        <w:pStyle w:val="Heading3"/>
        <w:pBdr>
          <w:bottom w:val="single" w:sz="4" w:space="1" w:color="auto"/>
        </w:pBdr>
        <w:rPr>
          <w:sz w:val="21"/>
          <w:szCs w:val="21"/>
        </w:rPr>
      </w:pPr>
      <w:bookmarkStart w:id="12" w:name="_Toc341089368"/>
      <w:r w:rsidRPr="005E40C3">
        <w:rPr>
          <w:sz w:val="21"/>
          <w:szCs w:val="21"/>
        </w:rPr>
        <w:t xml:space="preserve">3.11 Photos </w:t>
      </w:r>
      <w:bookmarkEnd w:id="12"/>
    </w:p>
    <w:p w14:paraId="3BD0A48F" w14:textId="77777777" w:rsidR="00236413" w:rsidRPr="00065213" w:rsidRDefault="00236413" w:rsidP="00105C87">
      <w:pPr>
        <w:pStyle w:val="ListParagraph"/>
        <w:numPr>
          <w:ilvl w:val="1"/>
          <w:numId w:val="5"/>
        </w:numPr>
        <w:spacing w:before="120" w:after="0" w:line="240" w:lineRule="auto"/>
        <w:ind w:left="360"/>
        <w:rPr>
          <w:sz w:val="21"/>
          <w:szCs w:val="21"/>
        </w:rPr>
      </w:pPr>
      <w:r w:rsidRPr="00065213">
        <w:rPr>
          <w:sz w:val="21"/>
          <w:szCs w:val="21"/>
        </w:rPr>
        <w:t>Is there any photo that illustrates the ch</w:t>
      </w:r>
      <w:r w:rsidR="00C42B7B" w:rsidRPr="00065213">
        <w:rPr>
          <w:sz w:val="21"/>
          <w:szCs w:val="21"/>
        </w:rPr>
        <w:t>ange generated by the project?</w:t>
      </w:r>
      <w:r w:rsidRPr="00065213">
        <w:rPr>
          <w:sz w:val="21"/>
          <w:szCs w:val="21"/>
        </w:rPr>
        <w:t xml:space="preserve"> </w:t>
      </w:r>
    </w:p>
    <w:p w14:paraId="4E45D80B" w14:textId="61B35586" w:rsidR="0088001A" w:rsidRPr="00065213" w:rsidRDefault="00B93671" w:rsidP="00105C87">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Check35"/>
            <w:enabled/>
            <w:calcOnExit w:val="0"/>
            <w:checkBox>
              <w:sizeAuto/>
              <w:default w:val="0"/>
            </w:checkBox>
          </w:ffData>
        </w:fldChar>
      </w:r>
      <w:bookmarkStart w:id="13" w:name="Check35"/>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bookmarkEnd w:id="13"/>
      <w:r w:rsidR="0088001A" w:rsidRPr="00065213">
        <w:rPr>
          <w:rFonts w:ascii="Calibri" w:hAnsi="Calibri" w:cs="Calibri"/>
          <w:sz w:val="21"/>
          <w:szCs w:val="21"/>
          <w:lang w:val="en-GB"/>
        </w:rPr>
        <w:t xml:space="preserve"> Yes</w:t>
      </w:r>
    </w:p>
    <w:p w14:paraId="687DEC85" w14:textId="7E6BFEB9" w:rsidR="0088001A" w:rsidRPr="00065213" w:rsidRDefault="00B93671" w:rsidP="00105C87">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1"/>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88001A" w:rsidRPr="00065213">
        <w:rPr>
          <w:rFonts w:ascii="Calibri" w:hAnsi="Calibri" w:cs="Calibri"/>
          <w:sz w:val="21"/>
          <w:szCs w:val="21"/>
          <w:lang w:val="en-GB"/>
        </w:rPr>
        <w:t xml:space="preserve"> No</w:t>
      </w:r>
    </w:p>
    <w:p w14:paraId="41E791F1" w14:textId="77777777" w:rsidR="0088001A" w:rsidRPr="00065213" w:rsidRDefault="0088001A" w:rsidP="0088001A">
      <w:pPr>
        <w:pStyle w:val="ListParagraph"/>
        <w:spacing w:after="0" w:line="240" w:lineRule="auto"/>
        <w:ind w:left="1440"/>
        <w:rPr>
          <w:sz w:val="21"/>
          <w:szCs w:val="21"/>
        </w:rPr>
      </w:pPr>
    </w:p>
    <w:p w14:paraId="6BD6AC68" w14:textId="77777777" w:rsidR="00236413" w:rsidRPr="00065213" w:rsidRDefault="00236413" w:rsidP="00105C87">
      <w:pPr>
        <w:pStyle w:val="ListParagraph"/>
        <w:numPr>
          <w:ilvl w:val="1"/>
          <w:numId w:val="5"/>
        </w:numPr>
        <w:spacing w:before="120" w:after="0" w:line="240" w:lineRule="auto"/>
        <w:ind w:left="360"/>
        <w:rPr>
          <w:sz w:val="21"/>
          <w:szCs w:val="21"/>
        </w:rPr>
      </w:pPr>
      <w:r w:rsidRPr="00065213">
        <w:rPr>
          <w:sz w:val="21"/>
          <w:szCs w:val="21"/>
        </w:rPr>
        <w:t xml:space="preserve">If yes, please </w:t>
      </w:r>
      <w:r w:rsidR="00C42B7B" w:rsidRPr="00065213">
        <w:rPr>
          <w:sz w:val="21"/>
          <w:szCs w:val="21"/>
        </w:rPr>
        <w:t xml:space="preserve">provide the necessary information requested in the table below and share the photos via email. </w:t>
      </w:r>
    </w:p>
    <w:p w14:paraId="25A0F42A" w14:textId="77777777" w:rsidR="00236413" w:rsidRPr="00065213" w:rsidRDefault="006A6572" w:rsidP="00065213">
      <w:pPr>
        <w:pStyle w:val="ListParagraph"/>
        <w:numPr>
          <w:ilvl w:val="2"/>
          <w:numId w:val="5"/>
        </w:numPr>
        <w:tabs>
          <w:tab w:val="left" w:pos="720"/>
        </w:tabs>
        <w:spacing w:after="0" w:line="240" w:lineRule="auto"/>
        <w:ind w:left="540" w:firstLine="0"/>
        <w:rPr>
          <w:sz w:val="21"/>
          <w:szCs w:val="21"/>
        </w:rPr>
      </w:pPr>
      <w:r w:rsidRPr="00065213">
        <w:rPr>
          <w:sz w:val="21"/>
          <w:szCs w:val="21"/>
        </w:rPr>
        <w:t xml:space="preserve">Description of the photo </w:t>
      </w:r>
      <w:r w:rsidR="00236413" w:rsidRPr="00065213">
        <w:rPr>
          <w:sz w:val="21"/>
          <w:szCs w:val="21"/>
        </w:rPr>
        <w:t xml:space="preserve"> </w:t>
      </w:r>
    </w:p>
    <w:p w14:paraId="2AC3B5C4" w14:textId="77777777" w:rsidR="00236413" w:rsidRPr="00065213" w:rsidRDefault="00236413" w:rsidP="00065213">
      <w:pPr>
        <w:pStyle w:val="ListParagraph"/>
        <w:numPr>
          <w:ilvl w:val="2"/>
          <w:numId w:val="5"/>
        </w:numPr>
        <w:tabs>
          <w:tab w:val="left" w:pos="720"/>
        </w:tabs>
        <w:spacing w:after="0" w:line="240" w:lineRule="auto"/>
        <w:ind w:left="540" w:firstLine="0"/>
        <w:rPr>
          <w:sz w:val="21"/>
          <w:szCs w:val="21"/>
        </w:rPr>
      </w:pPr>
      <w:r w:rsidRPr="00065213">
        <w:rPr>
          <w:sz w:val="21"/>
          <w:szCs w:val="21"/>
        </w:rPr>
        <w:t xml:space="preserve">Photo credit – the name of photographer or the person who took the photo </w:t>
      </w:r>
    </w:p>
    <w:p w14:paraId="3120F71F" w14:textId="77777777" w:rsidR="00236413" w:rsidRPr="00065213" w:rsidRDefault="00236413" w:rsidP="00065213">
      <w:pPr>
        <w:pStyle w:val="ListParagraph"/>
        <w:numPr>
          <w:ilvl w:val="2"/>
          <w:numId w:val="5"/>
        </w:numPr>
        <w:tabs>
          <w:tab w:val="left" w:pos="720"/>
        </w:tabs>
        <w:spacing w:after="0" w:line="240" w:lineRule="auto"/>
        <w:ind w:left="540" w:firstLine="0"/>
        <w:rPr>
          <w:sz w:val="21"/>
          <w:szCs w:val="21"/>
        </w:rPr>
      </w:pPr>
      <w:r w:rsidRPr="00065213">
        <w:rPr>
          <w:sz w:val="21"/>
          <w:szCs w:val="21"/>
        </w:rPr>
        <w:t>Informed consent – whether informed consent has been obtained by persons appearing in the photo</w:t>
      </w:r>
      <w:r w:rsidR="00C42B7B" w:rsidRPr="00065213">
        <w:rPr>
          <w:sz w:val="21"/>
          <w:szCs w:val="21"/>
        </w:rPr>
        <w:t xml:space="preserve"> (yes or no)</w:t>
      </w:r>
    </w:p>
    <w:p w14:paraId="58B52EB6" w14:textId="77777777" w:rsidR="00236413" w:rsidRPr="00552AB7" w:rsidRDefault="00236413" w:rsidP="00236413">
      <w:pPr>
        <w:spacing w:after="0" w:line="240" w:lineRule="auto"/>
        <w:ind w:firstLine="720"/>
        <w:rPr>
          <w:b/>
        </w:rPr>
      </w:pPr>
    </w:p>
    <w:tbl>
      <w:tblPr>
        <w:tblStyle w:val="TableGrid"/>
        <w:tblW w:w="0" w:type="auto"/>
        <w:tblInd w:w="720" w:type="dxa"/>
        <w:tblLook w:val="04A0" w:firstRow="1" w:lastRow="0" w:firstColumn="1" w:lastColumn="0" w:noHBand="0" w:noVBand="1"/>
      </w:tblPr>
      <w:tblGrid>
        <w:gridCol w:w="764"/>
        <w:gridCol w:w="5374"/>
        <w:gridCol w:w="3510"/>
        <w:gridCol w:w="2520"/>
      </w:tblGrid>
      <w:tr w:rsidR="00C42B7B" w14:paraId="67EABD4E" w14:textId="77777777" w:rsidTr="00B93671">
        <w:tc>
          <w:tcPr>
            <w:tcW w:w="764" w:type="dxa"/>
            <w:shd w:val="clear" w:color="auto" w:fill="F2F2F2" w:themeFill="background1" w:themeFillShade="F2"/>
          </w:tcPr>
          <w:p w14:paraId="39CDDCC6" w14:textId="77777777" w:rsidR="00C42B7B" w:rsidRPr="00065213" w:rsidRDefault="00C42B7B" w:rsidP="00236413">
            <w:pPr>
              <w:rPr>
                <w:b/>
                <w:sz w:val="21"/>
                <w:szCs w:val="21"/>
              </w:rPr>
            </w:pPr>
            <w:r w:rsidRPr="00065213">
              <w:rPr>
                <w:b/>
                <w:sz w:val="21"/>
                <w:szCs w:val="21"/>
              </w:rPr>
              <w:t>Photo No.</w:t>
            </w:r>
          </w:p>
        </w:tc>
        <w:tc>
          <w:tcPr>
            <w:tcW w:w="5374" w:type="dxa"/>
            <w:shd w:val="clear" w:color="auto" w:fill="F2F2F2" w:themeFill="background1" w:themeFillShade="F2"/>
          </w:tcPr>
          <w:p w14:paraId="299B7DE9" w14:textId="77777777" w:rsidR="00C42B7B" w:rsidRPr="00065213" w:rsidRDefault="00C42B7B" w:rsidP="006A6572">
            <w:pPr>
              <w:rPr>
                <w:b/>
                <w:sz w:val="21"/>
                <w:szCs w:val="21"/>
              </w:rPr>
            </w:pPr>
            <w:r w:rsidRPr="00065213">
              <w:rPr>
                <w:b/>
                <w:sz w:val="21"/>
                <w:szCs w:val="21"/>
              </w:rPr>
              <w:t xml:space="preserve">Please provide a short sentence describing who appears in the photo, what is happening, and when and where it was taken  </w:t>
            </w:r>
            <w:r w:rsidR="00A17323" w:rsidRPr="00065213">
              <w:rPr>
                <w:sz w:val="21"/>
                <w:szCs w:val="21"/>
              </w:rPr>
              <w:t>(</w:t>
            </w:r>
            <w:r w:rsidR="00A17323" w:rsidRPr="00065213">
              <w:rPr>
                <w:color w:val="FF0000"/>
                <w:sz w:val="21"/>
                <w:szCs w:val="21"/>
              </w:rPr>
              <w:t>maximum 150 words</w:t>
            </w:r>
            <w:r w:rsidR="00A17323" w:rsidRPr="00065213">
              <w:rPr>
                <w:sz w:val="21"/>
                <w:szCs w:val="21"/>
              </w:rPr>
              <w:t>)</w:t>
            </w:r>
          </w:p>
        </w:tc>
        <w:tc>
          <w:tcPr>
            <w:tcW w:w="3510" w:type="dxa"/>
            <w:shd w:val="clear" w:color="auto" w:fill="F2F2F2" w:themeFill="background1" w:themeFillShade="F2"/>
          </w:tcPr>
          <w:p w14:paraId="4D3A0F49" w14:textId="77777777" w:rsidR="00C42B7B" w:rsidRPr="00065213" w:rsidRDefault="00C42B7B" w:rsidP="00236413">
            <w:pPr>
              <w:rPr>
                <w:sz w:val="21"/>
                <w:szCs w:val="21"/>
              </w:rPr>
            </w:pPr>
            <w:r w:rsidRPr="00065213">
              <w:rPr>
                <w:b/>
                <w:sz w:val="21"/>
                <w:szCs w:val="21"/>
              </w:rPr>
              <w:t xml:space="preserve">Photo credit </w:t>
            </w:r>
            <w:r w:rsidRPr="00065213">
              <w:rPr>
                <w:sz w:val="21"/>
                <w:szCs w:val="21"/>
              </w:rPr>
              <w:t xml:space="preserve">(the name of photographer or the person who took the photo)  </w:t>
            </w:r>
          </w:p>
          <w:p w14:paraId="476953D6" w14:textId="77777777" w:rsidR="00C42B7B" w:rsidRPr="00065213" w:rsidRDefault="00C42B7B" w:rsidP="00236413">
            <w:pPr>
              <w:rPr>
                <w:b/>
                <w:sz w:val="21"/>
                <w:szCs w:val="21"/>
              </w:rPr>
            </w:pPr>
          </w:p>
        </w:tc>
        <w:tc>
          <w:tcPr>
            <w:tcW w:w="2520" w:type="dxa"/>
            <w:shd w:val="clear" w:color="auto" w:fill="F2F2F2" w:themeFill="background1" w:themeFillShade="F2"/>
          </w:tcPr>
          <w:p w14:paraId="2EC21D4C" w14:textId="77777777" w:rsidR="00C42B7B" w:rsidRPr="00065213" w:rsidRDefault="00C42B7B" w:rsidP="00236413">
            <w:pPr>
              <w:rPr>
                <w:b/>
                <w:sz w:val="21"/>
                <w:szCs w:val="21"/>
              </w:rPr>
            </w:pPr>
            <w:r w:rsidRPr="00065213">
              <w:rPr>
                <w:b/>
                <w:sz w:val="21"/>
                <w:szCs w:val="21"/>
              </w:rPr>
              <w:t xml:space="preserve">Has informed consent been obtained by persons appearing in the photo? </w:t>
            </w:r>
            <w:r w:rsidRPr="00065213">
              <w:rPr>
                <w:sz w:val="21"/>
                <w:szCs w:val="21"/>
              </w:rPr>
              <w:t>(Yes or No)</w:t>
            </w:r>
          </w:p>
        </w:tc>
      </w:tr>
      <w:tr w:rsidR="00BE648F" w14:paraId="2C4BBEEE" w14:textId="77777777" w:rsidTr="00B93671">
        <w:tc>
          <w:tcPr>
            <w:tcW w:w="764" w:type="dxa"/>
            <w:shd w:val="clear" w:color="auto" w:fill="F2F2F2" w:themeFill="background1" w:themeFillShade="F2"/>
          </w:tcPr>
          <w:p w14:paraId="336D4B3A" w14:textId="77777777" w:rsidR="00BE648F" w:rsidRPr="00065213" w:rsidRDefault="00BE648F" w:rsidP="00BE648F">
            <w:pPr>
              <w:rPr>
                <w:b/>
                <w:sz w:val="21"/>
                <w:szCs w:val="21"/>
              </w:rPr>
            </w:pPr>
            <w:r w:rsidRPr="00065213">
              <w:rPr>
                <w:b/>
                <w:sz w:val="21"/>
                <w:szCs w:val="21"/>
              </w:rPr>
              <w:t>1</w:t>
            </w:r>
          </w:p>
        </w:tc>
        <w:tc>
          <w:tcPr>
            <w:tcW w:w="5374" w:type="dxa"/>
            <w:shd w:val="clear" w:color="auto" w:fill="FFFFFF" w:themeFill="background1"/>
          </w:tcPr>
          <w:p w14:paraId="02EBCD83" w14:textId="3BDA5FAC" w:rsidR="00BE648F" w:rsidRPr="003300B7" w:rsidRDefault="00BE648F" w:rsidP="00BE648F">
            <w:pPr>
              <w:jc w:val="both"/>
              <w:rPr>
                <w:sz w:val="21"/>
                <w:szCs w:val="21"/>
              </w:rPr>
            </w:pPr>
          </w:p>
        </w:tc>
        <w:tc>
          <w:tcPr>
            <w:tcW w:w="3510" w:type="dxa"/>
            <w:shd w:val="clear" w:color="auto" w:fill="FFFFFF" w:themeFill="background1"/>
          </w:tcPr>
          <w:p w14:paraId="1411F493" w14:textId="77777777" w:rsidR="00BE648F" w:rsidRPr="003300B7" w:rsidRDefault="00BE648F" w:rsidP="00BE648F">
            <w:pPr>
              <w:jc w:val="both"/>
              <w:rPr>
                <w:sz w:val="21"/>
                <w:szCs w:val="21"/>
              </w:rPr>
            </w:pPr>
          </w:p>
        </w:tc>
        <w:tc>
          <w:tcPr>
            <w:tcW w:w="2520" w:type="dxa"/>
            <w:shd w:val="clear" w:color="auto" w:fill="FFFFFF" w:themeFill="background1"/>
          </w:tcPr>
          <w:p w14:paraId="0FE055E4" w14:textId="064E3D62" w:rsidR="00BE648F" w:rsidRPr="003300B7" w:rsidRDefault="00BE648F" w:rsidP="00BE648F">
            <w:pPr>
              <w:jc w:val="both"/>
              <w:rPr>
                <w:sz w:val="21"/>
                <w:szCs w:val="21"/>
              </w:rPr>
            </w:pPr>
          </w:p>
        </w:tc>
      </w:tr>
      <w:tr w:rsidR="00C42B7B" w14:paraId="6AFE09AE" w14:textId="77777777" w:rsidTr="00B93671">
        <w:tc>
          <w:tcPr>
            <w:tcW w:w="764" w:type="dxa"/>
            <w:shd w:val="clear" w:color="auto" w:fill="F2F2F2" w:themeFill="background1" w:themeFillShade="F2"/>
          </w:tcPr>
          <w:p w14:paraId="70E885A7" w14:textId="77777777" w:rsidR="00C42B7B" w:rsidRPr="00065213" w:rsidRDefault="00C42B7B" w:rsidP="00236413">
            <w:pPr>
              <w:rPr>
                <w:b/>
                <w:sz w:val="21"/>
                <w:szCs w:val="21"/>
              </w:rPr>
            </w:pPr>
            <w:r w:rsidRPr="00065213">
              <w:rPr>
                <w:b/>
                <w:sz w:val="21"/>
                <w:szCs w:val="21"/>
              </w:rPr>
              <w:t>2</w:t>
            </w:r>
          </w:p>
        </w:tc>
        <w:tc>
          <w:tcPr>
            <w:tcW w:w="5374" w:type="dxa"/>
            <w:shd w:val="clear" w:color="auto" w:fill="FFFFFF" w:themeFill="background1"/>
          </w:tcPr>
          <w:p w14:paraId="235C45AA" w14:textId="77777777" w:rsidR="00AE1025" w:rsidRPr="00065213" w:rsidRDefault="00AE1025" w:rsidP="00236413">
            <w:pPr>
              <w:rPr>
                <w:sz w:val="21"/>
                <w:szCs w:val="21"/>
              </w:rPr>
            </w:pPr>
          </w:p>
        </w:tc>
        <w:tc>
          <w:tcPr>
            <w:tcW w:w="3510" w:type="dxa"/>
            <w:shd w:val="clear" w:color="auto" w:fill="FFFFFF" w:themeFill="background1"/>
          </w:tcPr>
          <w:p w14:paraId="25E9571D" w14:textId="77777777" w:rsidR="00C42B7B" w:rsidRPr="00065213" w:rsidRDefault="00C42B7B" w:rsidP="00236413">
            <w:pPr>
              <w:rPr>
                <w:sz w:val="21"/>
                <w:szCs w:val="21"/>
              </w:rPr>
            </w:pPr>
          </w:p>
        </w:tc>
        <w:tc>
          <w:tcPr>
            <w:tcW w:w="2520" w:type="dxa"/>
            <w:shd w:val="clear" w:color="auto" w:fill="FFFFFF" w:themeFill="background1"/>
          </w:tcPr>
          <w:p w14:paraId="03BFAA89" w14:textId="77777777" w:rsidR="00C42B7B" w:rsidRPr="00065213" w:rsidRDefault="00C42B7B" w:rsidP="00236413">
            <w:pPr>
              <w:rPr>
                <w:sz w:val="21"/>
                <w:szCs w:val="21"/>
                <w:highlight w:val="yellow"/>
              </w:rPr>
            </w:pPr>
          </w:p>
        </w:tc>
      </w:tr>
      <w:tr w:rsidR="00C42B7B" w14:paraId="029B0ECD" w14:textId="77777777" w:rsidTr="00B93671">
        <w:tc>
          <w:tcPr>
            <w:tcW w:w="764" w:type="dxa"/>
            <w:shd w:val="clear" w:color="auto" w:fill="F2F2F2" w:themeFill="background1" w:themeFillShade="F2"/>
          </w:tcPr>
          <w:p w14:paraId="2EC65618" w14:textId="77777777" w:rsidR="00C42B7B" w:rsidRPr="00065213" w:rsidRDefault="00C42B7B" w:rsidP="00236413">
            <w:pPr>
              <w:rPr>
                <w:b/>
                <w:sz w:val="21"/>
                <w:szCs w:val="21"/>
              </w:rPr>
            </w:pPr>
            <w:r w:rsidRPr="00065213">
              <w:rPr>
                <w:b/>
                <w:sz w:val="21"/>
                <w:szCs w:val="21"/>
              </w:rPr>
              <w:t>3</w:t>
            </w:r>
          </w:p>
        </w:tc>
        <w:tc>
          <w:tcPr>
            <w:tcW w:w="5374" w:type="dxa"/>
            <w:shd w:val="clear" w:color="auto" w:fill="FFFFFF" w:themeFill="background1"/>
          </w:tcPr>
          <w:p w14:paraId="09E19031" w14:textId="77777777" w:rsidR="00AE1025" w:rsidRPr="00065213" w:rsidRDefault="00AE1025" w:rsidP="00236413">
            <w:pPr>
              <w:rPr>
                <w:sz w:val="21"/>
                <w:szCs w:val="21"/>
              </w:rPr>
            </w:pPr>
          </w:p>
        </w:tc>
        <w:tc>
          <w:tcPr>
            <w:tcW w:w="3510" w:type="dxa"/>
            <w:shd w:val="clear" w:color="auto" w:fill="FFFFFF" w:themeFill="background1"/>
          </w:tcPr>
          <w:p w14:paraId="2D65677E" w14:textId="77777777" w:rsidR="00C42B7B" w:rsidRPr="00065213" w:rsidRDefault="00C42B7B" w:rsidP="00236413">
            <w:pPr>
              <w:rPr>
                <w:sz w:val="21"/>
                <w:szCs w:val="21"/>
              </w:rPr>
            </w:pPr>
          </w:p>
        </w:tc>
        <w:tc>
          <w:tcPr>
            <w:tcW w:w="2520" w:type="dxa"/>
            <w:shd w:val="clear" w:color="auto" w:fill="FFFFFF" w:themeFill="background1"/>
          </w:tcPr>
          <w:p w14:paraId="26400F63" w14:textId="77777777" w:rsidR="00C42B7B" w:rsidRPr="00065213" w:rsidRDefault="00C42B7B" w:rsidP="00236413">
            <w:pPr>
              <w:rPr>
                <w:sz w:val="21"/>
                <w:szCs w:val="21"/>
                <w:highlight w:val="yellow"/>
              </w:rPr>
            </w:pPr>
          </w:p>
        </w:tc>
      </w:tr>
    </w:tbl>
    <w:p w14:paraId="11938D0A" w14:textId="77777777" w:rsidR="00236413" w:rsidRDefault="00236413" w:rsidP="00C42B7B">
      <w:pPr>
        <w:spacing w:after="0" w:line="240" w:lineRule="auto"/>
      </w:pPr>
    </w:p>
    <w:p w14:paraId="649685CF" w14:textId="77777777" w:rsidR="00AE1025" w:rsidRDefault="00AE1025" w:rsidP="00C42B7B">
      <w:pPr>
        <w:spacing w:after="0" w:line="240" w:lineRule="auto"/>
      </w:pPr>
    </w:p>
    <w:p w14:paraId="7D984A7C" w14:textId="77777777" w:rsidR="00AE1025" w:rsidRDefault="00AE1025" w:rsidP="00C42B7B">
      <w:pPr>
        <w:spacing w:after="0" w:line="240" w:lineRule="auto"/>
      </w:pPr>
    </w:p>
    <w:p w14:paraId="566E73A7" w14:textId="77777777" w:rsidR="00236413" w:rsidRPr="005E40C3" w:rsidRDefault="00236413" w:rsidP="00AE1025">
      <w:pPr>
        <w:pStyle w:val="Heading3"/>
        <w:pBdr>
          <w:bottom w:val="single" w:sz="4" w:space="1" w:color="auto"/>
        </w:pBdr>
        <w:spacing w:before="0"/>
        <w:rPr>
          <w:sz w:val="21"/>
          <w:szCs w:val="21"/>
        </w:rPr>
      </w:pPr>
      <w:bookmarkStart w:id="14" w:name="_Toc341089369"/>
      <w:r w:rsidRPr="005E40C3">
        <w:rPr>
          <w:sz w:val="21"/>
          <w:szCs w:val="21"/>
        </w:rPr>
        <w:t>3.12 Awards, special recognition and/or media coverage</w:t>
      </w:r>
      <w:bookmarkEnd w:id="14"/>
    </w:p>
    <w:p w14:paraId="6657AA34" w14:textId="77777777" w:rsidR="00236413" w:rsidRPr="00065213" w:rsidRDefault="00236413" w:rsidP="00065213">
      <w:pPr>
        <w:pStyle w:val="ListParagraph"/>
        <w:numPr>
          <w:ilvl w:val="1"/>
          <w:numId w:val="5"/>
        </w:numPr>
        <w:spacing w:before="120" w:after="0" w:line="240" w:lineRule="auto"/>
        <w:ind w:left="360"/>
        <w:rPr>
          <w:sz w:val="21"/>
          <w:szCs w:val="21"/>
        </w:rPr>
      </w:pPr>
      <w:r w:rsidRPr="00065213">
        <w:rPr>
          <w:sz w:val="21"/>
          <w:szCs w:val="21"/>
        </w:rPr>
        <w:t xml:space="preserve">Has the project been awarded any prize or received any special recognition during the reported period? </w:t>
      </w:r>
    </w:p>
    <w:p w14:paraId="4C29733E" w14:textId="77777777" w:rsidR="0088001A" w:rsidRPr="00065213" w:rsidRDefault="00BE648F" w:rsidP="00105C87">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1"/>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88001A" w:rsidRPr="00065213">
        <w:rPr>
          <w:rFonts w:ascii="Calibri" w:hAnsi="Calibri" w:cs="Calibri"/>
          <w:sz w:val="21"/>
          <w:szCs w:val="21"/>
          <w:lang w:val="en-GB"/>
        </w:rPr>
        <w:t xml:space="preserve"> Yes</w:t>
      </w:r>
    </w:p>
    <w:p w14:paraId="6D36F001" w14:textId="77777777" w:rsidR="0088001A" w:rsidRPr="00065213" w:rsidRDefault="00BE648F" w:rsidP="00105C87">
      <w:pPr>
        <w:spacing w:after="0" w:line="240" w:lineRule="auto"/>
        <w:ind w:left="360"/>
        <w:rPr>
          <w:rFonts w:ascii="Calibri" w:hAnsi="Calibri" w:cs="Calibri"/>
          <w:sz w:val="21"/>
          <w:szCs w:val="21"/>
          <w:lang w:val="en-GB"/>
        </w:rPr>
      </w:pPr>
      <w:r>
        <w:rPr>
          <w:rFonts w:ascii="Calibri" w:hAnsi="Calibri" w:cs="Calibri"/>
          <w:sz w:val="21"/>
          <w:szCs w:val="21"/>
          <w:lang w:val="en-GB"/>
        </w:rPr>
        <w:fldChar w:fldCharType="begin">
          <w:ffData>
            <w:name w:val=""/>
            <w:enabled/>
            <w:calcOnExit w:val="0"/>
            <w:checkBox>
              <w:sizeAuto/>
              <w:default w:val="0"/>
            </w:checkBox>
          </w:ffData>
        </w:fldChar>
      </w:r>
      <w:r>
        <w:rPr>
          <w:rFonts w:ascii="Calibri" w:hAnsi="Calibri" w:cs="Calibri"/>
          <w:sz w:val="21"/>
          <w:szCs w:val="21"/>
          <w:lang w:val="en-GB"/>
        </w:rPr>
        <w:instrText xml:space="preserve"> FORMCHECKBOX </w:instrText>
      </w:r>
      <w:r w:rsidR="006B67B7">
        <w:rPr>
          <w:rFonts w:ascii="Calibri" w:hAnsi="Calibri" w:cs="Calibri"/>
          <w:sz w:val="21"/>
          <w:szCs w:val="21"/>
          <w:lang w:val="en-GB"/>
        </w:rPr>
      </w:r>
      <w:r w:rsidR="006B67B7">
        <w:rPr>
          <w:rFonts w:ascii="Calibri" w:hAnsi="Calibri" w:cs="Calibri"/>
          <w:sz w:val="21"/>
          <w:szCs w:val="21"/>
          <w:lang w:val="en-GB"/>
        </w:rPr>
        <w:fldChar w:fldCharType="separate"/>
      </w:r>
      <w:r>
        <w:rPr>
          <w:rFonts w:ascii="Calibri" w:hAnsi="Calibri" w:cs="Calibri"/>
          <w:sz w:val="21"/>
          <w:szCs w:val="21"/>
          <w:lang w:val="en-GB"/>
        </w:rPr>
        <w:fldChar w:fldCharType="end"/>
      </w:r>
      <w:r w:rsidR="0088001A" w:rsidRPr="00065213">
        <w:rPr>
          <w:rFonts w:ascii="Calibri" w:hAnsi="Calibri" w:cs="Calibri"/>
          <w:sz w:val="21"/>
          <w:szCs w:val="21"/>
          <w:lang w:val="en-GB"/>
        </w:rPr>
        <w:t xml:space="preserve"> No</w:t>
      </w:r>
    </w:p>
    <w:p w14:paraId="6FA25870" w14:textId="77777777" w:rsidR="0088001A" w:rsidRPr="00065213" w:rsidRDefault="0088001A" w:rsidP="0088001A">
      <w:pPr>
        <w:pStyle w:val="ListParagraph"/>
        <w:spacing w:after="0" w:line="240" w:lineRule="auto"/>
        <w:ind w:left="1440"/>
        <w:rPr>
          <w:sz w:val="21"/>
          <w:szCs w:val="21"/>
        </w:rPr>
      </w:pPr>
    </w:p>
    <w:p w14:paraId="4227A71D" w14:textId="77777777" w:rsidR="00236413" w:rsidRPr="00065213" w:rsidRDefault="00236413" w:rsidP="00065213">
      <w:pPr>
        <w:pStyle w:val="ListParagraph"/>
        <w:numPr>
          <w:ilvl w:val="1"/>
          <w:numId w:val="5"/>
        </w:numPr>
        <w:spacing w:before="120" w:after="0" w:line="240" w:lineRule="auto"/>
        <w:ind w:left="360"/>
        <w:rPr>
          <w:sz w:val="21"/>
          <w:szCs w:val="21"/>
        </w:rPr>
      </w:pPr>
      <w:r w:rsidRPr="00065213">
        <w:rPr>
          <w:sz w:val="21"/>
          <w:szCs w:val="21"/>
        </w:rPr>
        <w:t xml:space="preserve">Please provide the title of the award or special recognition, year, location, and </w:t>
      </w:r>
      <w:r w:rsidR="006A6572" w:rsidRPr="00065213">
        <w:rPr>
          <w:sz w:val="21"/>
          <w:szCs w:val="21"/>
        </w:rPr>
        <w:t>briefly explain its importance</w:t>
      </w:r>
      <w:r w:rsidRPr="00065213">
        <w:rPr>
          <w:sz w:val="21"/>
          <w:szCs w:val="21"/>
        </w:rPr>
        <w:t xml:space="preserve">. </w:t>
      </w:r>
      <w:r w:rsidR="00A17323" w:rsidRPr="00065213">
        <w:rPr>
          <w:sz w:val="21"/>
          <w:szCs w:val="21"/>
        </w:rPr>
        <w:t>(</w:t>
      </w:r>
      <w:r w:rsidR="00A17323" w:rsidRPr="00065213">
        <w:rPr>
          <w:color w:val="FF0000"/>
          <w:sz w:val="21"/>
          <w:szCs w:val="21"/>
        </w:rPr>
        <w:t>maximum 150 words</w:t>
      </w:r>
      <w:r w:rsidR="00A17323" w:rsidRPr="00065213">
        <w:rPr>
          <w:sz w:val="21"/>
          <w:szCs w:val="21"/>
        </w:rPr>
        <w:t>)</w:t>
      </w:r>
    </w:p>
    <w:tbl>
      <w:tblPr>
        <w:tblStyle w:val="TableGrid"/>
        <w:tblW w:w="12708" w:type="dxa"/>
        <w:tblInd w:w="468" w:type="dxa"/>
        <w:tblLook w:val="04A0" w:firstRow="1" w:lastRow="0" w:firstColumn="1" w:lastColumn="0" w:noHBand="0" w:noVBand="1"/>
      </w:tblPr>
      <w:tblGrid>
        <w:gridCol w:w="12708"/>
      </w:tblGrid>
      <w:tr w:rsidR="00BE648F" w14:paraId="1FBDBEB8" w14:textId="77777777" w:rsidTr="00BE648F">
        <w:tc>
          <w:tcPr>
            <w:tcW w:w="12708" w:type="dxa"/>
            <w:shd w:val="clear" w:color="auto" w:fill="FFFFFF" w:themeFill="background1"/>
          </w:tcPr>
          <w:p w14:paraId="0642E911" w14:textId="77777777" w:rsidR="00BE648F" w:rsidRPr="003C3326" w:rsidRDefault="00BE648F" w:rsidP="00BE648F">
            <w:pPr>
              <w:tabs>
                <w:tab w:val="left" w:pos="3015"/>
              </w:tabs>
              <w:jc w:val="both"/>
              <w:rPr>
                <w:b/>
                <w:sz w:val="21"/>
                <w:szCs w:val="21"/>
              </w:rPr>
            </w:pPr>
            <w:r w:rsidRPr="003C3326">
              <w:rPr>
                <w:b/>
                <w:sz w:val="21"/>
                <w:szCs w:val="21"/>
              </w:rPr>
              <w:t>Media Coverage and Recognition of JP work by Special Representative of the Secretary-General on Violence against Children (SRSG-VAC)</w:t>
            </w:r>
          </w:p>
          <w:p w14:paraId="4FF3E95F" w14:textId="77777777" w:rsidR="00BE648F" w:rsidRPr="003C3326" w:rsidRDefault="00BE648F" w:rsidP="00BE648F">
            <w:pPr>
              <w:tabs>
                <w:tab w:val="left" w:pos="3015"/>
              </w:tabs>
              <w:jc w:val="both"/>
              <w:rPr>
                <w:sz w:val="21"/>
                <w:szCs w:val="21"/>
              </w:rPr>
            </w:pPr>
            <w:r w:rsidRPr="003C3326">
              <w:rPr>
                <w:sz w:val="21"/>
                <w:szCs w:val="21"/>
              </w:rPr>
              <w:t xml:space="preserve"> </w:t>
            </w:r>
          </w:p>
          <w:p w14:paraId="5B4CC431" w14:textId="77777777" w:rsidR="00BE648F" w:rsidRPr="003300B7" w:rsidRDefault="00BE648F" w:rsidP="00BE648F">
            <w:pPr>
              <w:tabs>
                <w:tab w:val="left" w:pos="3015"/>
              </w:tabs>
              <w:rPr>
                <w:sz w:val="21"/>
                <w:szCs w:val="21"/>
              </w:rPr>
            </w:pPr>
            <w:r w:rsidRPr="003300B7">
              <w:rPr>
                <w:sz w:val="21"/>
                <w:szCs w:val="21"/>
              </w:rPr>
              <w:t xml:space="preserve">During a visit to Solomon Islands in 2015, the SRSG-VAC Santos Pais learned about the UN-SIG JP on EVAWG, and in her meetings with senior officials she highlighted the important opportunity presented by the JP. The SRSG-VAC Santos Pais acknowledged UN’s efforts to strengthen work of VAW and VAC in the Solomon Islands through the UN-SIG JP on EVAWG “Keeping the Promise in the Solomon Islands: From Policy to Action”.  </w:t>
            </w:r>
          </w:p>
          <w:p w14:paraId="2B0F6E1C" w14:textId="77777777" w:rsidR="00BE648F" w:rsidRPr="003300B7" w:rsidRDefault="006B67B7" w:rsidP="00BE648F">
            <w:pPr>
              <w:rPr>
                <w:sz w:val="21"/>
                <w:szCs w:val="21"/>
              </w:rPr>
            </w:pPr>
            <w:hyperlink r:id="rId17" w:history="1">
              <w:r w:rsidR="00BE648F" w:rsidRPr="003300B7">
                <w:rPr>
                  <w:rStyle w:val="Hyperlink"/>
                  <w:color w:val="auto"/>
                  <w:sz w:val="21"/>
                  <w:szCs w:val="21"/>
                </w:rPr>
                <w:t>https://srsg.violenceagainstchildren.org/story/2015-05-21_1304</w:t>
              </w:r>
            </w:hyperlink>
            <w:r w:rsidR="00BE648F">
              <w:t xml:space="preserve"> </w:t>
            </w:r>
          </w:p>
          <w:p w14:paraId="09FFE7A4" w14:textId="77777777" w:rsidR="00BE648F" w:rsidRPr="003300B7" w:rsidRDefault="00BE648F" w:rsidP="00BE648F">
            <w:pPr>
              <w:rPr>
                <w:sz w:val="21"/>
                <w:szCs w:val="21"/>
              </w:rPr>
            </w:pPr>
            <w:r w:rsidRPr="003300B7">
              <w:rPr>
                <w:sz w:val="21"/>
                <w:szCs w:val="21"/>
              </w:rPr>
              <w:t xml:space="preserve">Joint statement: </w:t>
            </w:r>
            <w:hyperlink r:id="rId18" w:history="1">
              <w:r w:rsidRPr="002250AB">
                <w:rPr>
                  <w:rStyle w:val="Hyperlink"/>
                  <w:sz w:val="21"/>
                  <w:szCs w:val="21"/>
                </w:rPr>
                <w:t>https://srsg.violenceagainstchildren.org/sites/default/files/images/2015/fiji/srsg_pmo_joint%20Press%20Statement_final.pdf</w:t>
              </w:r>
            </w:hyperlink>
            <w:r>
              <w:rPr>
                <w:sz w:val="21"/>
                <w:szCs w:val="21"/>
              </w:rPr>
              <w:t xml:space="preserve"> </w:t>
            </w:r>
          </w:p>
          <w:p w14:paraId="39662C49" w14:textId="77777777" w:rsidR="00BE648F" w:rsidRDefault="006B67B7" w:rsidP="00BE648F">
            <w:hyperlink r:id="rId19" w:history="1">
              <w:r w:rsidR="00BE648F" w:rsidRPr="003300B7">
                <w:rPr>
                  <w:rStyle w:val="Hyperlink"/>
                  <w:color w:val="auto"/>
                  <w:sz w:val="21"/>
                  <w:szCs w:val="21"/>
                </w:rPr>
                <w:t>https://www.facebook.com/media/set/?set=a.910903098973290.1073741828.154466671283607&amp;type=3</w:t>
              </w:r>
            </w:hyperlink>
            <w:r w:rsidR="00BE648F">
              <w:rPr>
                <w:rStyle w:val="Hyperlink"/>
                <w:color w:val="auto"/>
                <w:sz w:val="21"/>
                <w:szCs w:val="21"/>
              </w:rPr>
              <w:t xml:space="preserve"> </w:t>
            </w:r>
          </w:p>
        </w:tc>
      </w:tr>
    </w:tbl>
    <w:p w14:paraId="4D4A5649" w14:textId="77777777" w:rsidR="00236413" w:rsidRPr="005E40C3" w:rsidRDefault="00236413" w:rsidP="00065213">
      <w:pPr>
        <w:pStyle w:val="Heading3"/>
        <w:pBdr>
          <w:bottom w:val="single" w:sz="4" w:space="1" w:color="auto"/>
        </w:pBdr>
        <w:rPr>
          <w:rStyle w:val="Heading2Char"/>
          <w:sz w:val="21"/>
          <w:szCs w:val="21"/>
        </w:rPr>
      </w:pPr>
      <w:bookmarkStart w:id="15" w:name="_Toc341089371"/>
      <w:r w:rsidRPr="009C0693">
        <w:rPr>
          <w:rStyle w:val="Heading3Char"/>
          <w:b/>
          <w:sz w:val="21"/>
          <w:szCs w:val="21"/>
        </w:rPr>
        <w:t xml:space="preserve">3.13 Annexes: </w:t>
      </w:r>
      <w:r w:rsidRPr="009C0693">
        <w:rPr>
          <w:bCs w:val="0"/>
          <w:sz w:val="21"/>
          <w:szCs w:val="21"/>
        </w:rPr>
        <w:t>supporting</w:t>
      </w:r>
      <w:r w:rsidRPr="009C0693">
        <w:rPr>
          <w:rStyle w:val="Heading3Char"/>
          <w:b/>
          <w:sz w:val="21"/>
          <w:szCs w:val="21"/>
        </w:rPr>
        <w:t xml:space="preserve"> materials</w:t>
      </w:r>
      <w:bookmarkEnd w:id="15"/>
      <w:r w:rsidRPr="005E40C3">
        <w:rPr>
          <w:rStyle w:val="Heading2Char"/>
          <w:sz w:val="21"/>
          <w:szCs w:val="21"/>
        </w:rPr>
        <w:t xml:space="preserve"> </w:t>
      </w:r>
      <w:r w:rsidRPr="005E40C3">
        <w:rPr>
          <w:color w:val="FF0000"/>
          <w:sz w:val="21"/>
          <w:szCs w:val="21"/>
        </w:rPr>
        <w:t>(optional)</w:t>
      </w:r>
    </w:p>
    <w:p w14:paraId="37DD0643" w14:textId="77777777" w:rsidR="00236413" w:rsidRPr="00065213" w:rsidRDefault="00236413" w:rsidP="00065213">
      <w:pPr>
        <w:pStyle w:val="ListParagraph"/>
        <w:numPr>
          <w:ilvl w:val="1"/>
          <w:numId w:val="5"/>
        </w:numPr>
        <w:spacing w:before="120" w:after="0" w:line="240" w:lineRule="auto"/>
        <w:ind w:left="360"/>
        <w:rPr>
          <w:rFonts w:cstheme="minorHAnsi"/>
          <w:sz w:val="21"/>
          <w:szCs w:val="21"/>
        </w:rPr>
      </w:pPr>
      <w:r w:rsidRPr="00065213">
        <w:rPr>
          <w:sz w:val="21"/>
          <w:szCs w:val="21"/>
        </w:rPr>
        <w:t xml:space="preserve">Please list any additional material to support the content of the narrative report. Please note that </w:t>
      </w:r>
      <w:r w:rsidR="00BB5ACF" w:rsidRPr="00065213">
        <w:rPr>
          <w:sz w:val="21"/>
          <w:szCs w:val="21"/>
        </w:rPr>
        <w:t>this is optional</w:t>
      </w:r>
      <w:r w:rsidRPr="00065213">
        <w:rPr>
          <w:sz w:val="21"/>
          <w:szCs w:val="21"/>
        </w:rPr>
        <w:t xml:space="preserve">. </w:t>
      </w:r>
      <w:r w:rsidR="00C42B7B" w:rsidRPr="00065213">
        <w:rPr>
          <w:sz w:val="21"/>
          <w:szCs w:val="21"/>
        </w:rPr>
        <w:t xml:space="preserve">If there is any, please specify the title of document in the table below, and share these annexes with the UN Trust Fund Portfolio Manager via email. </w:t>
      </w:r>
      <w:r w:rsidRPr="00065213">
        <w:rPr>
          <w:sz w:val="21"/>
          <w:szCs w:val="21"/>
        </w:rPr>
        <w:t xml:space="preserve"> </w:t>
      </w:r>
    </w:p>
    <w:p w14:paraId="354606B7" w14:textId="77777777" w:rsidR="00236413" w:rsidRPr="00C42B7B" w:rsidRDefault="00236413" w:rsidP="00C42B7B">
      <w:pPr>
        <w:spacing w:after="0" w:line="240" w:lineRule="auto"/>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1548"/>
        <w:gridCol w:w="8460"/>
      </w:tblGrid>
      <w:tr w:rsidR="00236413" w14:paraId="4A0D977A" w14:textId="77777777" w:rsidTr="00C42B7B">
        <w:tc>
          <w:tcPr>
            <w:tcW w:w="1548" w:type="dxa"/>
            <w:shd w:val="clear" w:color="auto" w:fill="F2F2F2" w:themeFill="background1" w:themeFillShade="F2"/>
          </w:tcPr>
          <w:p w14:paraId="5A7C742B" w14:textId="77777777" w:rsidR="00236413" w:rsidRPr="00065213" w:rsidRDefault="00236413" w:rsidP="00236413">
            <w:pPr>
              <w:rPr>
                <w:b/>
                <w:sz w:val="21"/>
                <w:szCs w:val="21"/>
              </w:rPr>
            </w:pPr>
            <w:r w:rsidRPr="00065213">
              <w:rPr>
                <w:b/>
                <w:sz w:val="21"/>
                <w:szCs w:val="21"/>
              </w:rPr>
              <w:t xml:space="preserve">No. of annex </w:t>
            </w:r>
          </w:p>
        </w:tc>
        <w:tc>
          <w:tcPr>
            <w:tcW w:w="8460" w:type="dxa"/>
            <w:shd w:val="clear" w:color="auto" w:fill="F2F2F2" w:themeFill="background1" w:themeFillShade="F2"/>
          </w:tcPr>
          <w:p w14:paraId="73817FB7" w14:textId="77777777" w:rsidR="00236413" w:rsidRPr="00065213" w:rsidRDefault="00236413" w:rsidP="00236413">
            <w:pPr>
              <w:rPr>
                <w:b/>
                <w:sz w:val="21"/>
                <w:szCs w:val="21"/>
              </w:rPr>
            </w:pPr>
            <w:r w:rsidRPr="00065213">
              <w:rPr>
                <w:b/>
                <w:sz w:val="21"/>
                <w:szCs w:val="21"/>
              </w:rPr>
              <w:t>Title of document</w:t>
            </w:r>
          </w:p>
        </w:tc>
      </w:tr>
      <w:tr w:rsidR="00236413" w14:paraId="7439D425" w14:textId="77777777" w:rsidTr="00AE1025">
        <w:tc>
          <w:tcPr>
            <w:tcW w:w="1548" w:type="dxa"/>
            <w:shd w:val="clear" w:color="auto" w:fill="F2F2F2" w:themeFill="background1" w:themeFillShade="F2"/>
          </w:tcPr>
          <w:p w14:paraId="0678F0E0" w14:textId="77777777" w:rsidR="00236413" w:rsidRPr="00065213" w:rsidRDefault="00236413" w:rsidP="00236413">
            <w:pPr>
              <w:rPr>
                <w:sz w:val="21"/>
                <w:szCs w:val="21"/>
              </w:rPr>
            </w:pPr>
            <w:r w:rsidRPr="00065213">
              <w:rPr>
                <w:sz w:val="21"/>
                <w:szCs w:val="21"/>
              </w:rPr>
              <w:t>Annex 1</w:t>
            </w:r>
          </w:p>
        </w:tc>
        <w:tc>
          <w:tcPr>
            <w:tcW w:w="8460" w:type="dxa"/>
            <w:shd w:val="clear" w:color="auto" w:fill="FFFFFF" w:themeFill="background1"/>
          </w:tcPr>
          <w:p w14:paraId="4735C0FF" w14:textId="4FD2F510" w:rsidR="00236413" w:rsidRPr="00B93671" w:rsidRDefault="00B45A6F" w:rsidP="00B45A6F">
            <w:pPr>
              <w:tabs>
                <w:tab w:val="left" w:pos="-720"/>
              </w:tabs>
              <w:suppressAutoHyphens/>
              <w:jc w:val="both"/>
              <w:rPr>
                <w:sz w:val="21"/>
                <w:szCs w:val="21"/>
                <w:lang w:val="de-DE"/>
              </w:rPr>
            </w:pPr>
            <w:r>
              <w:rPr>
                <w:rFonts w:cstheme="minorHAnsi"/>
                <w:bCs/>
                <w:spacing w:val="-2"/>
                <w:sz w:val="20"/>
                <w:szCs w:val="20"/>
                <w:lang w:val="de-DE"/>
              </w:rPr>
              <w:t xml:space="preserve">2017 </w:t>
            </w:r>
            <w:r w:rsidR="00BE648F" w:rsidRPr="00B93671">
              <w:rPr>
                <w:rFonts w:cstheme="minorHAnsi"/>
                <w:bCs/>
                <w:spacing w:val="-2"/>
                <w:sz w:val="20"/>
                <w:szCs w:val="20"/>
                <w:lang w:val="de-DE"/>
              </w:rPr>
              <w:t>Endline Report of the UN-Solomon Islands Government Joint Programme on Eliminating Violence Against Women and Girls – Keeping the Promise in the Solomon Islands: From Policy to Action: UN Women MCO Fiji, Suva, Fiji.</w:t>
            </w:r>
          </w:p>
        </w:tc>
      </w:tr>
      <w:tr w:rsidR="00B45A6F" w14:paraId="7459D7C9" w14:textId="77777777" w:rsidTr="00AE1025">
        <w:tc>
          <w:tcPr>
            <w:tcW w:w="1548" w:type="dxa"/>
            <w:shd w:val="clear" w:color="auto" w:fill="F2F2F2" w:themeFill="background1" w:themeFillShade="F2"/>
          </w:tcPr>
          <w:p w14:paraId="698C83A7" w14:textId="77777777" w:rsidR="00B45A6F" w:rsidRPr="00065213" w:rsidRDefault="00B45A6F" w:rsidP="00B45A6F">
            <w:pPr>
              <w:rPr>
                <w:sz w:val="21"/>
                <w:szCs w:val="21"/>
              </w:rPr>
            </w:pPr>
            <w:r w:rsidRPr="00065213">
              <w:rPr>
                <w:sz w:val="21"/>
                <w:szCs w:val="21"/>
              </w:rPr>
              <w:t>Annex 2</w:t>
            </w:r>
          </w:p>
        </w:tc>
        <w:tc>
          <w:tcPr>
            <w:tcW w:w="8460" w:type="dxa"/>
            <w:shd w:val="clear" w:color="auto" w:fill="FFFFFF" w:themeFill="background1"/>
          </w:tcPr>
          <w:p w14:paraId="4EA39361" w14:textId="6D109F8A" w:rsidR="00B45A6F" w:rsidRPr="00065213" w:rsidRDefault="00B45A6F" w:rsidP="00B45A6F">
            <w:pPr>
              <w:rPr>
                <w:sz w:val="21"/>
                <w:szCs w:val="21"/>
              </w:rPr>
            </w:pPr>
            <w:r>
              <w:rPr>
                <w:rFonts w:cstheme="minorHAnsi"/>
                <w:bCs/>
                <w:spacing w:val="-2"/>
                <w:sz w:val="20"/>
                <w:szCs w:val="20"/>
                <w:lang w:val="de-DE"/>
              </w:rPr>
              <w:t xml:space="preserve">2017 </w:t>
            </w:r>
            <w:r w:rsidRPr="00B93671">
              <w:rPr>
                <w:rFonts w:cstheme="minorHAnsi"/>
                <w:bCs/>
                <w:spacing w:val="-2"/>
                <w:sz w:val="20"/>
                <w:szCs w:val="20"/>
                <w:lang w:val="de-DE"/>
              </w:rPr>
              <w:t>E</w:t>
            </w:r>
            <w:r>
              <w:rPr>
                <w:rFonts w:cstheme="minorHAnsi"/>
                <w:bCs/>
                <w:spacing w:val="-2"/>
                <w:sz w:val="20"/>
                <w:szCs w:val="20"/>
                <w:lang w:val="de-DE"/>
              </w:rPr>
              <w:t>valuation R</w:t>
            </w:r>
            <w:r w:rsidRPr="00B93671">
              <w:rPr>
                <w:rFonts w:cstheme="minorHAnsi"/>
                <w:bCs/>
                <w:spacing w:val="-2"/>
                <w:sz w:val="20"/>
                <w:szCs w:val="20"/>
                <w:lang w:val="de-DE"/>
              </w:rPr>
              <w:t>eport of the UN-Solomon Islands Government Joint Programme on Eliminating Violence Against Women and Girls – Keeping the Promise in the Solomon Islands: From Policy to Action: UN Women MCO Fiji, Suva, Fiji.</w:t>
            </w:r>
          </w:p>
        </w:tc>
      </w:tr>
      <w:tr w:rsidR="00B45A6F" w14:paraId="1BDA02F8" w14:textId="77777777" w:rsidTr="00AE1025">
        <w:tc>
          <w:tcPr>
            <w:tcW w:w="1548" w:type="dxa"/>
            <w:shd w:val="clear" w:color="auto" w:fill="F2F2F2" w:themeFill="background1" w:themeFillShade="F2"/>
          </w:tcPr>
          <w:p w14:paraId="35B83B46" w14:textId="77777777" w:rsidR="00B45A6F" w:rsidRPr="00065213" w:rsidRDefault="00B45A6F" w:rsidP="00B45A6F">
            <w:pPr>
              <w:rPr>
                <w:sz w:val="21"/>
                <w:szCs w:val="21"/>
              </w:rPr>
            </w:pPr>
            <w:r w:rsidRPr="00065213">
              <w:rPr>
                <w:sz w:val="21"/>
                <w:szCs w:val="21"/>
              </w:rPr>
              <w:t>Annex 3</w:t>
            </w:r>
          </w:p>
        </w:tc>
        <w:tc>
          <w:tcPr>
            <w:tcW w:w="8460" w:type="dxa"/>
            <w:shd w:val="clear" w:color="auto" w:fill="FFFFFF" w:themeFill="background1"/>
          </w:tcPr>
          <w:p w14:paraId="77C6ACA4" w14:textId="77777777" w:rsidR="00B45A6F" w:rsidRPr="00065213" w:rsidRDefault="00B45A6F" w:rsidP="00B45A6F">
            <w:pPr>
              <w:rPr>
                <w:sz w:val="21"/>
                <w:szCs w:val="21"/>
              </w:rPr>
            </w:pPr>
          </w:p>
        </w:tc>
      </w:tr>
      <w:tr w:rsidR="00B45A6F" w14:paraId="6BA237D5" w14:textId="77777777" w:rsidTr="00AE1025">
        <w:tc>
          <w:tcPr>
            <w:tcW w:w="1548" w:type="dxa"/>
            <w:shd w:val="clear" w:color="auto" w:fill="F2F2F2" w:themeFill="background1" w:themeFillShade="F2"/>
          </w:tcPr>
          <w:p w14:paraId="15B0B372" w14:textId="77777777" w:rsidR="00B45A6F" w:rsidRPr="00065213" w:rsidRDefault="00B45A6F" w:rsidP="00B45A6F">
            <w:pPr>
              <w:rPr>
                <w:sz w:val="21"/>
                <w:szCs w:val="21"/>
              </w:rPr>
            </w:pPr>
            <w:r w:rsidRPr="00065213">
              <w:rPr>
                <w:sz w:val="21"/>
                <w:szCs w:val="21"/>
              </w:rPr>
              <w:t>Annex 4</w:t>
            </w:r>
          </w:p>
        </w:tc>
        <w:tc>
          <w:tcPr>
            <w:tcW w:w="8460" w:type="dxa"/>
            <w:shd w:val="clear" w:color="auto" w:fill="FFFFFF" w:themeFill="background1"/>
          </w:tcPr>
          <w:p w14:paraId="36E0DD9A" w14:textId="77777777" w:rsidR="00B45A6F" w:rsidRPr="00065213" w:rsidRDefault="00B45A6F" w:rsidP="00B45A6F">
            <w:pPr>
              <w:rPr>
                <w:sz w:val="21"/>
                <w:szCs w:val="21"/>
              </w:rPr>
            </w:pPr>
          </w:p>
        </w:tc>
      </w:tr>
      <w:tr w:rsidR="00B45A6F" w14:paraId="6CFCB85D" w14:textId="77777777" w:rsidTr="00AE1025">
        <w:tc>
          <w:tcPr>
            <w:tcW w:w="1548" w:type="dxa"/>
            <w:shd w:val="clear" w:color="auto" w:fill="F2F2F2" w:themeFill="background1" w:themeFillShade="F2"/>
          </w:tcPr>
          <w:p w14:paraId="4944CCE1" w14:textId="77777777" w:rsidR="00B45A6F" w:rsidRPr="00065213" w:rsidRDefault="00B45A6F" w:rsidP="00B45A6F">
            <w:pPr>
              <w:rPr>
                <w:sz w:val="21"/>
                <w:szCs w:val="21"/>
              </w:rPr>
            </w:pPr>
            <w:r w:rsidRPr="00065213">
              <w:rPr>
                <w:sz w:val="21"/>
                <w:szCs w:val="21"/>
              </w:rPr>
              <w:t>Annex 5</w:t>
            </w:r>
          </w:p>
        </w:tc>
        <w:tc>
          <w:tcPr>
            <w:tcW w:w="8460" w:type="dxa"/>
            <w:shd w:val="clear" w:color="auto" w:fill="FFFFFF" w:themeFill="background1"/>
          </w:tcPr>
          <w:p w14:paraId="6F74C028" w14:textId="77777777" w:rsidR="00B45A6F" w:rsidRPr="00065213" w:rsidRDefault="00B45A6F" w:rsidP="00B45A6F">
            <w:pPr>
              <w:rPr>
                <w:sz w:val="21"/>
                <w:szCs w:val="21"/>
              </w:rPr>
            </w:pPr>
          </w:p>
        </w:tc>
      </w:tr>
    </w:tbl>
    <w:p w14:paraId="3639AF1D" w14:textId="77777777" w:rsidR="00236413" w:rsidRDefault="00236413" w:rsidP="00236413">
      <w:pPr>
        <w:rPr>
          <w:rStyle w:val="Heading2Char"/>
        </w:rPr>
      </w:pPr>
      <w:r>
        <w:rPr>
          <w:rStyle w:val="Heading2Char"/>
        </w:rPr>
        <w:br w:type="textWrapping" w:clear="all"/>
      </w:r>
    </w:p>
    <w:p w14:paraId="5DFFB197" w14:textId="77777777" w:rsidR="00236413" w:rsidRPr="005E40C3" w:rsidRDefault="00236413" w:rsidP="00AE1025">
      <w:pPr>
        <w:pStyle w:val="Heading3"/>
        <w:pBdr>
          <w:bottom w:val="single" w:sz="4" w:space="1" w:color="auto"/>
        </w:pBdr>
        <w:rPr>
          <w:sz w:val="21"/>
          <w:szCs w:val="21"/>
        </w:rPr>
      </w:pPr>
      <w:bookmarkStart w:id="16" w:name="_Toc341089372"/>
      <w:r w:rsidRPr="005E40C3">
        <w:rPr>
          <w:sz w:val="21"/>
          <w:szCs w:val="21"/>
        </w:rPr>
        <w:lastRenderedPageBreak/>
        <w:t>3.14</w:t>
      </w:r>
      <w:r w:rsidRPr="005E40C3">
        <w:rPr>
          <w:rStyle w:val="Heading2Char"/>
          <w:sz w:val="21"/>
          <w:szCs w:val="21"/>
        </w:rPr>
        <w:t xml:space="preserve"> </w:t>
      </w:r>
      <w:r w:rsidRPr="005E40C3">
        <w:rPr>
          <w:sz w:val="21"/>
          <w:szCs w:val="21"/>
        </w:rPr>
        <w:t>List of acronyms</w:t>
      </w:r>
      <w:bookmarkEnd w:id="16"/>
    </w:p>
    <w:p w14:paraId="354CE7B1" w14:textId="77777777" w:rsidR="00236413" w:rsidRPr="00065213" w:rsidRDefault="00236413" w:rsidP="00065213">
      <w:pPr>
        <w:pStyle w:val="ListParagraph"/>
        <w:numPr>
          <w:ilvl w:val="1"/>
          <w:numId w:val="5"/>
        </w:numPr>
        <w:spacing w:before="120" w:after="0" w:line="240" w:lineRule="auto"/>
        <w:ind w:left="360"/>
        <w:rPr>
          <w:sz w:val="21"/>
          <w:szCs w:val="21"/>
        </w:rPr>
      </w:pPr>
      <w:r w:rsidRPr="00065213">
        <w:rPr>
          <w:sz w:val="21"/>
          <w:szCs w:val="21"/>
        </w:rPr>
        <w:t xml:space="preserve">Please list </w:t>
      </w:r>
      <w:r w:rsidR="00065213">
        <w:rPr>
          <w:sz w:val="21"/>
          <w:szCs w:val="21"/>
        </w:rPr>
        <w:t xml:space="preserve">any </w:t>
      </w:r>
      <w:r w:rsidRPr="00065213">
        <w:rPr>
          <w:sz w:val="21"/>
          <w:szCs w:val="21"/>
        </w:rPr>
        <w:t xml:space="preserve">acronyms used </w:t>
      </w:r>
      <w:r w:rsidR="0086440F" w:rsidRPr="00065213">
        <w:rPr>
          <w:sz w:val="21"/>
          <w:szCs w:val="21"/>
        </w:rPr>
        <w:t>in</w:t>
      </w:r>
      <w:r w:rsidRPr="00065213">
        <w:rPr>
          <w:sz w:val="21"/>
          <w:szCs w:val="21"/>
        </w:rPr>
        <w:t xml:space="preserve"> the report. </w:t>
      </w:r>
    </w:p>
    <w:p w14:paraId="6261321D" w14:textId="77777777" w:rsidR="00AE1025" w:rsidRDefault="00AE1025" w:rsidP="00236413">
      <w:pPr>
        <w:spacing w:after="0" w:line="240" w:lineRule="auto"/>
      </w:pPr>
    </w:p>
    <w:tbl>
      <w:tblPr>
        <w:tblStyle w:val="TableGrid"/>
        <w:tblW w:w="0" w:type="auto"/>
        <w:tblLook w:val="04A0" w:firstRow="1" w:lastRow="0" w:firstColumn="1" w:lastColumn="0" w:noHBand="0" w:noVBand="1"/>
      </w:tblPr>
      <w:tblGrid>
        <w:gridCol w:w="3168"/>
        <w:gridCol w:w="8640"/>
      </w:tblGrid>
      <w:tr w:rsidR="00236413" w14:paraId="15E32F95" w14:textId="77777777" w:rsidTr="00AE1025">
        <w:tc>
          <w:tcPr>
            <w:tcW w:w="3168" w:type="dxa"/>
            <w:shd w:val="clear" w:color="auto" w:fill="F2F2F2" w:themeFill="background1" w:themeFillShade="F2"/>
          </w:tcPr>
          <w:p w14:paraId="45CC60F2" w14:textId="77777777" w:rsidR="00236413" w:rsidRPr="00065213" w:rsidRDefault="00236413" w:rsidP="00236413">
            <w:pPr>
              <w:rPr>
                <w:b/>
                <w:sz w:val="21"/>
                <w:szCs w:val="21"/>
              </w:rPr>
            </w:pPr>
            <w:r w:rsidRPr="00065213">
              <w:rPr>
                <w:b/>
                <w:sz w:val="21"/>
                <w:szCs w:val="21"/>
              </w:rPr>
              <w:t xml:space="preserve">Acronyms </w:t>
            </w:r>
          </w:p>
        </w:tc>
        <w:tc>
          <w:tcPr>
            <w:tcW w:w="8640" w:type="dxa"/>
            <w:shd w:val="clear" w:color="auto" w:fill="F2F2F2" w:themeFill="background1" w:themeFillShade="F2"/>
          </w:tcPr>
          <w:p w14:paraId="4CAFF8A8" w14:textId="77777777" w:rsidR="00236413" w:rsidRPr="00065213" w:rsidRDefault="00C42B7B" w:rsidP="00236413">
            <w:pPr>
              <w:rPr>
                <w:b/>
                <w:sz w:val="21"/>
                <w:szCs w:val="21"/>
              </w:rPr>
            </w:pPr>
            <w:r w:rsidRPr="00065213">
              <w:rPr>
                <w:b/>
                <w:sz w:val="21"/>
                <w:szCs w:val="21"/>
              </w:rPr>
              <w:t xml:space="preserve">Description </w:t>
            </w:r>
          </w:p>
        </w:tc>
      </w:tr>
      <w:tr w:rsidR="00B93671" w14:paraId="7901EB2B" w14:textId="77777777" w:rsidTr="00AE1025">
        <w:tc>
          <w:tcPr>
            <w:tcW w:w="3168" w:type="dxa"/>
            <w:shd w:val="clear" w:color="auto" w:fill="FFFFFF" w:themeFill="background1"/>
          </w:tcPr>
          <w:p w14:paraId="47A525D8" w14:textId="3536AFFA" w:rsidR="00B93671" w:rsidRPr="00065213" w:rsidRDefault="00B93671" w:rsidP="00B93671">
            <w:pPr>
              <w:rPr>
                <w:sz w:val="21"/>
                <w:szCs w:val="21"/>
              </w:rPr>
            </w:pPr>
            <w:r w:rsidRPr="003300B7">
              <w:rPr>
                <w:sz w:val="21"/>
                <w:szCs w:val="21"/>
              </w:rPr>
              <w:t>CEDAW</w:t>
            </w:r>
          </w:p>
        </w:tc>
        <w:tc>
          <w:tcPr>
            <w:tcW w:w="8640" w:type="dxa"/>
            <w:shd w:val="clear" w:color="auto" w:fill="FFFFFF" w:themeFill="background1"/>
          </w:tcPr>
          <w:p w14:paraId="25A9AA95" w14:textId="0E09EBE8" w:rsidR="00B93671" w:rsidRPr="00065213" w:rsidRDefault="00B93671" w:rsidP="00B93671">
            <w:pPr>
              <w:rPr>
                <w:sz w:val="21"/>
                <w:szCs w:val="21"/>
              </w:rPr>
            </w:pPr>
            <w:r w:rsidRPr="003300B7">
              <w:rPr>
                <w:sz w:val="21"/>
                <w:szCs w:val="21"/>
              </w:rPr>
              <w:t xml:space="preserve">Convention on the Elimination of All Forms of Discrimination against Women </w:t>
            </w:r>
          </w:p>
        </w:tc>
      </w:tr>
      <w:tr w:rsidR="00B93671" w14:paraId="4D0A5E35" w14:textId="77777777" w:rsidTr="00AE1025">
        <w:tc>
          <w:tcPr>
            <w:tcW w:w="3168" w:type="dxa"/>
            <w:shd w:val="clear" w:color="auto" w:fill="FFFFFF" w:themeFill="background1"/>
          </w:tcPr>
          <w:p w14:paraId="59A7D70B" w14:textId="2DABCDD8" w:rsidR="00B93671" w:rsidRPr="00065213" w:rsidRDefault="00B93671" w:rsidP="00B93671">
            <w:pPr>
              <w:rPr>
                <w:sz w:val="21"/>
                <w:szCs w:val="21"/>
              </w:rPr>
            </w:pPr>
            <w:r w:rsidRPr="003300B7">
              <w:rPr>
                <w:sz w:val="21"/>
                <w:szCs w:val="21"/>
              </w:rPr>
              <w:t>CRC</w:t>
            </w:r>
          </w:p>
        </w:tc>
        <w:tc>
          <w:tcPr>
            <w:tcW w:w="8640" w:type="dxa"/>
            <w:shd w:val="clear" w:color="auto" w:fill="FFFFFF" w:themeFill="background1"/>
          </w:tcPr>
          <w:p w14:paraId="16F195BE" w14:textId="3304918A" w:rsidR="00B93671" w:rsidRPr="00065213" w:rsidRDefault="00B93671" w:rsidP="00B93671">
            <w:pPr>
              <w:rPr>
                <w:sz w:val="21"/>
                <w:szCs w:val="21"/>
              </w:rPr>
            </w:pPr>
            <w:r w:rsidRPr="003300B7">
              <w:rPr>
                <w:sz w:val="21"/>
                <w:szCs w:val="21"/>
              </w:rPr>
              <w:t>Convention on the Rights of the Child</w:t>
            </w:r>
          </w:p>
        </w:tc>
      </w:tr>
      <w:tr w:rsidR="00B93671" w14:paraId="23E69C52" w14:textId="77777777" w:rsidTr="00AE1025">
        <w:tc>
          <w:tcPr>
            <w:tcW w:w="3168" w:type="dxa"/>
            <w:shd w:val="clear" w:color="auto" w:fill="FFFFFF" w:themeFill="background1"/>
          </w:tcPr>
          <w:p w14:paraId="21CCFC56" w14:textId="51502C34" w:rsidR="00B93671" w:rsidRPr="00065213" w:rsidRDefault="00B93671" w:rsidP="00B93671">
            <w:pPr>
              <w:rPr>
                <w:sz w:val="21"/>
                <w:szCs w:val="21"/>
              </w:rPr>
            </w:pPr>
            <w:r w:rsidRPr="003300B7">
              <w:rPr>
                <w:sz w:val="21"/>
                <w:szCs w:val="21"/>
              </w:rPr>
              <w:t>CSO</w:t>
            </w:r>
          </w:p>
        </w:tc>
        <w:tc>
          <w:tcPr>
            <w:tcW w:w="8640" w:type="dxa"/>
            <w:shd w:val="clear" w:color="auto" w:fill="FFFFFF" w:themeFill="background1"/>
          </w:tcPr>
          <w:p w14:paraId="4FF923FE" w14:textId="0BBCB543" w:rsidR="00B93671" w:rsidRPr="00065213" w:rsidRDefault="00B93671" w:rsidP="00B93671">
            <w:pPr>
              <w:rPr>
                <w:sz w:val="21"/>
                <w:szCs w:val="21"/>
              </w:rPr>
            </w:pPr>
            <w:r w:rsidRPr="003300B7">
              <w:rPr>
                <w:sz w:val="21"/>
                <w:szCs w:val="21"/>
              </w:rPr>
              <w:t>Civil Society Organization</w:t>
            </w:r>
          </w:p>
        </w:tc>
      </w:tr>
      <w:tr w:rsidR="00B93671" w14:paraId="0B5FFC31" w14:textId="77777777" w:rsidTr="00AE1025">
        <w:tc>
          <w:tcPr>
            <w:tcW w:w="3168" w:type="dxa"/>
            <w:shd w:val="clear" w:color="auto" w:fill="FFFFFF" w:themeFill="background1"/>
          </w:tcPr>
          <w:p w14:paraId="6107AF7B" w14:textId="6182942B" w:rsidR="00B93671" w:rsidRPr="00065213" w:rsidRDefault="00B93671" w:rsidP="00B93671">
            <w:pPr>
              <w:rPr>
                <w:sz w:val="21"/>
                <w:szCs w:val="21"/>
              </w:rPr>
            </w:pPr>
            <w:r w:rsidRPr="003300B7">
              <w:rPr>
                <w:sz w:val="21"/>
                <w:szCs w:val="21"/>
              </w:rPr>
              <w:t>CSSI</w:t>
            </w:r>
          </w:p>
        </w:tc>
        <w:tc>
          <w:tcPr>
            <w:tcW w:w="8640" w:type="dxa"/>
            <w:shd w:val="clear" w:color="auto" w:fill="FFFFFF" w:themeFill="background1"/>
          </w:tcPr>
          <w:p w14:paraId="7EE3FCA3" w14:textId="697B24BD" w:rsidR="00B93671" w:rsidRPr="00065213" w:rsidRDefault="00B93671" w:rsidP="00B93671">
            <w:pPr>
              <w:rPr>
                <w:sz w:val="21"/>
                <w:szCs w:val="21"/>
              </w:rPr>
            </w:pPr>
            <w:r w:rsidRPr="003300B7">
              <w:rPr>
                <w:sz w:val="21"/>
                <w:szCs w:val="21"/>
              </w:rPr>
              <w:t>Correctional Service Solomon Islands</w:t>
            </w:r>
          </w:p>
        </w:tc>
      </w:tr>
      <w:tr w:rsidR="00B93671" w14:paraId="1B214A58" w14:textId="77777777" w:rsidTr="00AE1025">
        <w:tc>
          <w:tcPr>
            <w:tcW w:w="3168" w:type="dxa"/>
            <w:shd w:val="clear" w:color="auto" w:fill="FFFFFF" w:themeFill="background1"/>
          </w:tcPr>
          <w:p w14:paraId="7C5AAAC1" w14:textId="343D4ED0" w:rsidR="00B93671" w:rsidRPr="00065213" w:rsidRDefault="00B93671" w:rsidP="00B93671">
            <w:pPr>
              <w:rPr>
                <w:sz w:val="21"/>
                <w:szCs w:val="21"/>
              </w:rPr>
            </w:pPr>
            <w:r w:rsidRPr="003300B7">
              <w:rPr>
                <w:sz w:val="21"/>
                <w:szCs w:val="21"/>
              </w:rPr>
              <w:t>DFAT</w:t>
            </w:r>
          </w:p>
        </w:tc>
        <w:tc>
          <w:tcPr>
            <w:tcW w:w="8640" w:type="dxa"/>
            <w:shd w:val="clear" w:color="auto" w:fill="FFFFFF" w:themeFill="background1"/>
          </w:tcPr>
          <w:p w14:paraId="3D55AED7" w14:textId="2F054779" w:rsidR="00B93671" w:rsidRPr="00065213" w:rsidRDefault="00B93671" w:rsidP="00B93671">
            <w:pPr>
              <w:rPr>
                <w:sz w:val="21"/>
                <w:szCs w:val="21"/>
              </w:rPr>
            </w:pPr>
            <w:r w:rsidRPr="003300B7">
              <w:rPr>
                <w:sz w:val="21"/>
                <w:szCs w:val="21"/>
              </w:rPr>
              <w:t>Australian Department of Foreign Affairs and Trade</w:t>
            </w:r>
          </w:p>
        </w:tc>
      </w:tr>
      <w:tr w:rsidR="00B93671" w14:paraId="6C08B9D0" w14:textId="77777777" w:rsidTr="00AE1025">
        <w:tc>
          <w:tcPr>
            <w:tcW w:w="3168" w:type="dxa"/>
            <w:shd w:val="clear" w:color="auto" w:fill="FFFFFF" w:themeFill="background1"/>
          </w:tcPr>
          <w:p w14:paraId="672DDC72" w14:textId="7893B27D" w:rsidR="00B93671" w:rsidRPr="00065213" w:rsidRDefault="00B93671" w:rsidP="00B93671">
            <w:pPr>
              <w:rPr>
                <w:sz w:val="21"/>
                <w:szCs w:val="21"/>
              </w:rPr>
            </w:pPr>
            <w:r>
              <w:rPr>
                <w:sz w:val="21"/>
                <w:szCs w:val="21"/>
              </w:rPr>
              <w:t>EVAW</w:t>
            </w:r>
          </w:p>
        </w:tc>
        <w:tc>
          <w:tcPr>
            <w:tcW w:w="8640" w:type="dxa"/>
            <w:shd w:val="clear" w:color="auto" w:fill="FFFFFF" w:themeFill="background1"/>
          </w:tcPr>
          <w:p w14:paraId="656EF062" w14:textId="553354D4" w:rsidR="00B93671" w:rsidRPr="00065213" w:rsidRDefault="00B93671" w:rsidP="00B93671">
            <w:pPr>
              <w:rPr>
                <w:sz w:val="21"/>
                <w:szCs w:val="21"/>
              </w:rPr>
            </w:pPr>
            <w:r w:rsidRPr="00D85306">
              <w:rPr>
                <w:sz w:val="21"/>
                <w:szCs w:val="21"/>
              </w:rPr>
              <w:t>Eliminating</w:t>
            </w:r>
            <w:r>
              <w:rPr>
                <w:sz w:val="21"/>
                <w:szCs w:val="21"/>
              </w:rPr>
              <w:t xml:space="preserve"> </w:t>
            </w:r>
            <w:r w:rsidRPr="00D85306">
              <w:rPr>
                <w:sz w:val="21"/>
                <w:szCs w:val="21"/>
              </w:rPr>
              <w:t xml:space="preserve">Violence </w:t>
            </w:r>
            <w:r>
              <w:rPr>
                <w:sz w:val="21"/>
                <w:szCs w:val="21"/>
              </w:rPr>
              <w:t>a</w:t>
            </w:r>
            <w:r w:rsidRPr="00D85306">
              <w:rPr>
                <w:sz w:val="21"/>
                <w:szCs w:val="21"/>
              </w:rPr>
              <w:t>gainst Women</w:t>
            </w:r>
          </w:p>
        </w:tc>
      </w:tr>
      <w:tr w:rsidR="00B93671" w14:paraId="77DC93B0" w14:textId="77777777" w:rsidTr="00AE1025">
        <w:tc>
          <w:tcPr>
            <w:tcW w:w="3168" w:type="dxa"/>
            <w:shd w:val="clear" w:color="auto" w:fill="FFFFFF" w:themeFill="background1"/>
          </w:tcPr>
          <w:p w14:paraId="25CD5514" w14:textId="2D4A26C1" w:rsidR="00B93671" w:rsidRPr="00065213" w:rsidRDefault="00B93671" w:rsidP="00B93671">
            <w:pPr>
              <w:rPr>
                <w:sz w:val="21"/>
                <w:szCs w:val="21"/>
              </w:rPr>
            </w:pPr>
            <w:r>
              <w:rPr>
                <w:sz w:val="21"/>
                <w:szCs w:val="21"/>
              </w:rPr>
              <w:t>EVAWG</w:t>
            </w:r>
          </w:p>
        </w:tc>
        <w:tc>
          <w:tcPr>
            <w:tcW w:w="8640" w:type="dxa"/>
            <w:shd w:val="clear" w:color="auto" w:fill="FFFFFF" w:themeFill="background1"/>
          </w:tcPr>
          <w:p w14:paraId="5145A520" w14:textId="10BD7682" w:rsidR="00B93671" w:rsidRPr="00065213" w:rsidRDefault="00B93671" w:rsidP="00B93671">
            <w:pPr>
              <w:rPr>
                <w:sz w:val="21"/>
                <w:szCs w:val="21"/>
              </w:rPr>
            </w:pPr>
            <w:r w:rsidRPr="00D85306">
              <w:rPr>
                <w:sz w:val="21"/>
                <w:szCs w:val="21"/>
              </w:rPr>
              <w:t>Eliminating</w:t>
            </w:r>
            <w:r>
              <w:rPr>
                <w:sz w:val="21"/>
                <w:szCs w:val="21"/>
              </w:rPr>
              <w:t xml:space="preserve"> </w:t>
            </w:r>
            <w:r w:rsidRPr="00D85306">
              <w:rPr>
                <w:sz w:val="21"/>
                <w:szCs w:val="21"/>
              </w:rPr>
              <w:t xml:space="preserve">Violence </w:t>
            </w:r>
            <w:r>
              <w:rPr>
                <w:sz w:val="21"/>
                <w:szCs w:val="21"/>
              </w:rPr>
              <w:t>a</w:t>
            </w:r>
            <w:r w:rsidRPr="00D85306">
              <w:rPr>
                <w:sz w:val="21"/>
                <w:szCs w:val="21"/>
              </w:rPr>
              <w:t>gainst Women</w:t>
            </w:r>
            <w:r>
              <w:rPr>
                <w:sz w:val="21"/>
                <w:szCs w:val="21"/>
              </w:rPr>
              <w:t xml:space="preserve"> </w:t>
            </w:r>
            <w:r w:rsidRPr="00D85306">
              <w:rPr>
                <w:sz w:val="21"/>
                <w:szCs w:val="21"/>
              </w:rPr>
              <w:t>and</w:t>
            </w:r>
            <w:r>
              <w:rPr>
                <w:sz w:val="21"/>
                <w:szCs w:val="21"/>
              </w:rPr>
              <w:t xml:space="preserve"> </w:t>
            </w:r>
            <w:r w:rsidRPr="00D85306">
              <w:rPr>
                <w:sz w:val="21"/>
                <w:szCs w:val="21"/>
              </w:rPr>
              <w:t>Girls</w:t>
            </w:r>
          </w:p>
        </w:tc>
      </w:tr>
      <w:tr w:rsidR="00B93671" w14:paraId="21196C4B" w14:textId="77777777" w:rsidTr="00AE1025">
        <w:tc>
          <w:tcPr>
            <w:tcW w:w="3168" w:type="dxa"/>
            <w:shd w:val="clear" w:color="auto" w:fill="FFFFFF" w:themeFill="background1"/>
          </w:tcPr>
          <w:p w14:paraId="641AC9AF" w14:textId="4F781C23" w:rsidR="00B93671" w:rsidRPr="00065213" w:rsidRDefault="00B93671" w:rsidP="00B93671">
            <w:pPr>
              <w:rPr>
                <w:sz w:val="21"/>
                <w:szCs w:val="21"/>
              </w:rPr>
            </w:pPr>
            <w:r w:rsidRPr="003300B7">
              <w:rPr>
                <w:sz w:val="21"/>
                <w:szCs w:val="21"/>
              </w:rPr>
              <w:t>EVAW Policy</w:t>
            </w:r>
          </w:p>
        </w:tc>
        <w:tc>
          <w:tcPr>
            <w:tcW w:w="8640" w:type="dxa"/>
            <w:shd w:val="clear" w:color="auto" w:fill="FFFFFF" w:themeFill="background1"/>
          </w:tcPr>
          <w:p w14:paraId="72B83D6D" w14:textId="4DDC4C6C" w:rsidR="00B93671" w:rsidRPr="00065213" w:rsidRDefault="00B93671" w:rsidP="00B93671">
            <w:pPr>
              <w:rPr>
                <w:sz w:val="21"/>
                <w:szCs w:val="21"/>
              </w:rPr>
            </w:pPr>
            <w:r w:rsidRPr="003300B7">
              <w:rPr>
                <w:sz w:val="21"/>
                <w:szCs w:val="21"/>
              </w:rPr>
              <w:t>National Policy on Eliminating Violence against Women and the National Action Plan</w:t>
            </w:r>
          </w:p>
        </w:tc>
      </w:tr>
      <w:tr w:rsidR="00B93671" w14:paraId="57127B85" w14:textId="77777777" w:rsidTr="00AE1025">
        <w:tc>
          <w:tcPr>
            <w:tcW w:w="3168" w:type="dxa"/>
            <w:shd w:val="clear" w:color="auto" w:fill="FFFFFF" w:themeFill="background1"/>
          </w:tcPr>
          <w:p w14:paraId="675C5016" w14:textId="176C9FAE" w:rsidR="00B93671" w:rsidRPr="00065213" w:rsidRDefault="00B93671" w:rsidP="00B93671">
            <w:pPr>
              <w:rPr>
                <w:sz w:val="21"/>
                <w:szCs w:val="21"/>
              </w:rPr>
            </w:pPr>
            <w:r w:rsidRPr="003300B7">
              <w:rPr>
                <w:sz w:val="21"/>
                <w:szCs w:val="21"/>
              </w:rPr>
              <w:t>FPA</w:t>
            </w:r>
          </w:p>
        </w:tc>
        <w:tc>
          <w:tcPr>
            <w:tcW w:w="8640" w:type="dxa"/>
            <w:shd w:val="clear" w:color="auto" w:fill="FFFFFF" w:themeFill="background1"/>
          </w:tcPr>
          <w:p w14:paraId="5B7949D6" w14:textId="3D36A4E3" w:rsidR="00B93671" w:rsidRPr="00065213" w:rsidRDefault="00B93671" w:rsidP="00B93671">
            <w:pPr>
              <w:rPr>
                <w:sz w:val="21"/>
                <w:szCs w:val="21"/>
              </w:rPr>
            </w:pPr>
            <w:r w:rsidRPr="003300B7">
              <w:rPr>
                <w:sz w:val="21"/>
                <w:szCs w:val="21"/>
              </w:rPr>
              <w:t>Family Protection Act</w:t>
            </w:r>
          </w:p>
        </w:tc>
      </w:tr>
      <w:tr w:rsidR="00B93671" w14:paraId="19D29431" w14:textId="77777777" w:rsidTr="00AE1025">
        <w:tc>
          <w:tcPr>
            <w:tcW w:w="3168" w:type="dxa"/>
            <w:shd w:val="clear" w:color="auto" w:fill="FFFFFF" w:themeFill="background1"/>
          </w:tcPr>
          <w:p w14:paraId="7B1982EA" w14:textId="746067A9" w:rsidR="00B93671" w:rsidRPr="00065213" w:rsidRDefault="00B93671" w:rsidP="00B93671">
            <w:pPr>
              <w:rPr>
                <w:sz w:val="21"/>
                <w:szCs w:val="21"/>
              </w:rPr>
            </w:pPr>
            <w:r w:rsidRPr="003300B7">
              <w:rPr>
                <w:sz w:val="21"/>
                <w:szCs w:val="21"/>
              </w:rPr>
              <w:t>GBV</w:t>
            </w:r>
          </w:p>
        </w:tc>
        <w:tc>
          <w:tcPr>
            <w:tcW w:w="8640" w:type="dxa"/>
            <w:shd w:val="clear" w:color="auto" w:fill="FFFFFF" w:themeFill="background1"/>
          </w:tcPr>
          <w:p w14:paraId="1CC056E7" w14:textId="3175BE60" w:rsidR="00B93671" w:rsidRPr="00065213" w:rsidRDefault="00B93671" w:rsidP="00B93671">
            <w:pPr>
              <w:rPr>
                <w:sz w:val="21"/>
                <w:szCs w:val="21"/>
              </w:rPr>
            </w:pPr>
            <w:r w:rsidRPr="003300B7">
              <w:rPr>
                <w:sz w:val="21"/>
                <w:szCs w:val="21"/>
              </w:rPr>
              <w:t>Gender Based Violence</w:t>
            </w:r>
          </w:p>
        </w:tc>
      </w:tr>
      <w:tr w:rsidR="00B93671" w14:paraId="2B23DBCD" w14:textId="77777777" w:rsidTr="00AE1025">
        <w:tc>
          <w:tcPr>
            <w:tcW w:w="3168" w:type="dxa"/>
            <w:shd w:val="clear" w:color="auto" w:fill="FFFFFF" w:themeFill="background1"/>
          </w:tcPr>
          <w:p w14:paraId="04978BFC" w14:textId="19B41E9E" w:rsidR="00B93671" w:rsidRPr="003300B7" w:rsidRDefault="00B93671" w:rsidP="00B93671">
            <w:pPr>
              <w:rPr>
                <w:sz w:val="21"/>
                <w:szCs w:val="21"/>
              </w:rPr>
            </w:pPr>
            <w:r w:rsidRPr="003300B7">
              <w:rPr>
                <w:sz w:val="21"/>
                <w:szCs w:val="21"/>
              </w:rPr>
              <w:t>GEWD Policy</w:t>
            </w:r>
          </w:p>
        </w:tc>
        <w:tc>
          <w:tcPr>
            <w:tcW w:w="8640" w:type="dxa"/>
            <w:shd w:val="clear" w:color="auto" w:fill="FFFFFF" w:themeFill="background1"/>
          </w:tcPr>
          <w:p w14:paraId="44E1F293" w14:textId="2E075064" w:rsidR="00B93671" w:rsidRPr="003300B7" w:rsidRDefault="00B93671" w:rsidP="00B93671">
            <w:pPr>
              <w:rPr>
                <w:sz w:val="21"/>
                <w:szCs w:val="21"/>
              </w:rPr>
            </w:pPr>
            <w:r w:rsidRPr="003300B7">
              <w:rPr>
                <w:sz w:val="21"/>
                <w:szCs w:val="21"/>
              </w:rPr>
              <w:t>Gender Equality and Women’s Development Policy</w:t>
            </w:r>
          </w:p>
        </w:tc>
      </w:tr>
      <w:tr w:rsidR="00B93671" w14:paraId="492043A6" w14:textId="77777777" w:rsidTr="00AE1025">
        <w:tc>
          <w:tcPr>
            <w:tcW w:w="3168" w:type="dxa"/>
            <w:shd w:val="clear" w:color="auto" w:fill="FFFFFF" w:themeFill="background1"/>
          </w:tcPr>
          <w:p w14:paraId="792C67B9" w14:textId="75D0077A" w:rsidR="00B93671" w:rsidRPr="003300B7" w:rsidRDefault="00B93671" w:rsidP="00B93671">
            <w:pPr>
              <w:rPr>
                <w:sz w:val="21"/>
                <w:szCs w:val="21"/>
              </w:rPr>
            </w:pPr>
            <w:r w:rsidRPr="003300B7">
              <w:rPr>
                <w:sz w:val="21"/>
                <w:szCs w:val="21"/>
              </w:rPr>
              <w:t>IEC</w:t>
            </w:r>
          </w:p>
        </w:tc>
        <w:tc>
          <w:tcPr>
            <w:tcW w:w="8640" w:type="dxa"/>
            <w:shd w:val="clear" w:color="auto" w:fill="FFFFFF" w:themeFill="background1"/>
          </w:tcPr>
          <w:p w14:paraId="37942370" w14:textId="48BBBACC" w:rsidR="00B93671" w:rsidRPr="003300B7" w:rsidRDefault="00B93671" w:rsidP="00B93671">
            <w:pPr>
              <w:rPr>
                <w:sz w:val="21"/>
                <w:szCs w:val="21"/>
              </w:rPr>
            </w:pPr>
            <w:r w:rsidRPr="003300B7">
              <w:rPr>
                <w:sz w:val="21"/>
                <w:szCs w:val="21"/>
              </w:rPr>
              <w:t>Information, Education and Communications</w:t>
            </w:r>
          </w:p>
        </w:tc>
      </w:tr>
      <w:tr w:rsidR="006049A5" w14:paraId="5104EAE4" w14:textId="77777777" w:rsidTr="00AE1025">
        <w:tc>
          <w:tcPr>
            <w:tcW w:w="3168" w:type="dxa"/>
            <w:shd w:val="clear" w:color="auto" w:fill="FFFFFF" w:themeFill="background1"/>
          </w:tcPr>
          <w:p w14:paraId="429A985F" w14:textId="5C0A6C2D" w:rsidR="006049A5" w:rsidRPr="003300B7" w:rsidRDefault="006049A5" w:rsidP="00B93671">
            <w:pPr>
              <w:rPr>
                <w:sz w:val="21"/>
                <w:szCs w:val="21"/>
              </w:rPr>
            </w:pPr>
            <w:r>
              <w:rPr>
                <w:sz w:val="21"/>
                <w:szCs w:val="21"/>
              </w:rPr>
              <w:t>JIMS</w:t>
            </w:r>
          </w:p>
        </w:tc>
        <w:tc>
          <w:tcPr>
            <w:tcW w:w="8640" w:type="dxa"/>
            <w:shd w:val="clear" w:color="auto" w:fill="FFFFFF" w:themeFill="background1"/>
          </w:tcPr>
          <w:p w14:paraId="3FD45D1D" w14:textId="6D5591CB" w:rsidR="006049A5" w:rsidRPr="003300B7" w:rsidRDefault="006049A5" w:rsidP="00B93671">
            <w:pPr>
              <w:rPr>
                <w:sz w:val="21"/>
                <w:szCs w:val="21"/>
              </w:rPr>
            </w:pPr>
            <w:r>
              <w:rPr>
                <w:sz w:val="21"/>
                <w:szCs w:val="21"/>
              </w:rPr>
              <w:t>Justice Information Management System</w:t>
            </w:r>
          </w:p>
        </w:tc>
      </w:tr>
      <w:tr w:rsidR="00B93671" w14:paraId="2077C84E" w14:textId="77777777" w:rsidTr="00AE1025">
        <w:tc>
          <w:tcPr>
            <w:tcW w:w="3168" w:type="dxa"/>
            <w:shd w:val="clear" w:color="auto" w:fill="FFFFFF" w:themeFill="background1"/>
          </w:tcPr>
          <w:p w14:paraId="4C721432" w14:textId="2E4C2045" w:rsidR="00B93671" w:rsidRPr="003300B7" w:rsidRDefault="00B93671" w:rsidP="00B93671">
            <w:pPr>
              <w:rPr>
                <w:sz w:val="21"/>
                <w:szCs w:val="21"/>
              </w:rPr>
            </w:pPr>
            <w:r w:rsidRPr="003300B7">
              <w:rPr>
                <w:sz w:val="21"/>
                <w:szCs w:val="21"/>
              </w:rPr>
              <w:t>JP</w:t>
            </w:r>
          </w:p>
        </w:tc>
        <w:tc>
          <w:tcPr>
            <w:tcW w:w="8640" w:type="dxa"/>
            <w:shd w:val="clear" w:color="auto" w:fill="FFFFFF" w:themeFill="background1"/>
          </w:tcPr>
          <w:p w14:paraId="4F7D9988" w14:textId="397EB8EE" w:rsidR="00B93671" w:rsidRPr="003300B7" w:rsidRDefault="00B93671" w:rsidP="00B93671">
            <w:pPr>
              <w:rPr>
                <w:sz w:val="21"/>
                <w:szCs w:val="21"/>
              </w:rPr>
            </w:pPr>
            <w:r w:rsidRPr="003300B7">
              <w:rPr>
                <w:sz w:val="21"/>
                <w:szCs w:val="21"/>
              </w:rPr>
              <w:t>Joint Programme</w:t>
            </w:r>
          </w:p>
        </w:tc>
      </w:tr>
      <w:tr w:rsidR="00B93671" w14:paraId="1F0A19CD" w14:textId="77777777" w:rsidTr="00AE1025">
        <w:tc>
          <w:tcPr>
            <w:tcW w:w="3168" w:type="dxa"/>
            <w:shd w:val="clear" w:color="auto" w:fill="FFFFFF" w:themeFill="background1"/>
          </w:tcPr>
          <w:p w14:paraId="78B04F3E" w14:textId="618C9D58" w:rsidR="00B93671" w:rsidRPr="003300B7" w:rsidRDefault="00B93671" w:rsidP="00B93671">
            <w:pPr>
              <w:rPr>
                <w:sz w:val="21"/>
                <w:szCs w:val="21"/>
              </w:rPr>
            </w:pPr>
            <w:r w:rsidRPr="003300B7">
              <w:rPr>
                <w:sz w:val="21"/>
                <w:szCs w:val="21"/>
              </w:rPr>
              <w:t>M&amp;E</w:t>
            </w:r>
          </w:p>
        </w:tc>
        <w:tc>
          <w:tcPr>
            <w:tcW w:w="8640" w:type="dxa"/>
            <w:shd w:val="clear" w:color="auto" w:fill="FFFFFF" w:themeFill="background1"/>
          </w:tcPr>
          <w:p w14:paraId="1EDCFE07" w14:textId="6A7D2AEF" w:rsidR="00B93671" w:rsidRPr="003300B7" w:rsidRDefault="00B93671" w:rsidP="00B93671">
            <w:pPr>
              <w:rPr>
                <w:sz w:val="21"/>
                <w:szCs w:val="21"/>
              </w:rPr>
            </w:pPr>
            <w:r w:rsidRPr="003300B7">
              <w:rPr>
                <w:sz w:val="21"/>
                <w:szCs w:val="21"/>
              </w:rPr>
              <w:t>Monitoring and Evaluation</w:t>
            </w:r>
          </w:p>
        </w:tc>
      </w:tr>
      <w:tr w:rsidR="00B93671" w14:paraId="35488A97" w14:textId="77777777" w:rsidTr="00AE1025">
        <w:tc>
          <w:tcPr>
            <w:tcW w:w="3168" w:type="dxa"/>
            <w:shd w:val="clear" w:color="auto" w:fill="FFFFFF" w:themeFill="background1"/>
          </w:tcPr>
          <w:p w14:paraId="7BEA32EE" w14:textId="3AF9A011" w:rsidR="00B93671" w:rsidRPr="003300B7" w:rsidRDefault="00B93671" w:rsidP="00B93671">
            <w:pPr>
              <w:rPr>
                <w:sz w:val="21"/>
                <w:szCs w:val="21"/>
              </w:rPr>
            </w:pPr>
            <w:r w:rsidRPr="003300B7">
              <w:rPr>
                <w:sz w:val="21"/>
                <w:szCs w:val="21"/>
              </w:rPr>
              <w:t>MCO</w:t>
            </w:r>
          </w:p>
        </w:tc>
        <w:tc>
          <w:tcPr>
            <w:tcW w:w="8640" w:type="dxa"/>
            <w:shd w:val="clear" w:color="auto" w:fill="FFFFFF" w:themeFill="background1"/>
          </w:tcPr>
          <w:p w14:paraId="62B0D782" w14:textId="157E8485" w:rsidR="00B93671" w:rsidRPr="003300B7" w:rsidRDefault="00B93671" w:rsidP="00B93671">
            <w:pPr>
              <w:rPr>
                <w:sz w:val="21"/>
                <w:szCs w:val="21"/>
              </w:rPr>
            </w:pPr>
            <w:r w:rsidRPr="003300B7">
              <w:rPr>
                <w:sz w:val="21"/>
                <w:szCs w:val="21"/>
              </w:rPr>
              <w:t xml:space="preserve">Multi-Country Office  </w:t>
            </w:r>
          </w:p>
        </w:tc>
      </w:tr>
      <w:tr w:rsidR="00B93671" w14:paraId="20A3BCA8" w14:textId="77777777" w:rsidTr="00AE1025">
        <w:tc>
          <w:tcPr>
            <w:tcW w:w="3168" w:type="dxa"/>
            <w:shd w:val="clear" w:color="auto" w:fill="FFFFFF" w:themeFill="background1"/>
          </w:tcPr>
          <w:p w14:paraId="7DAEB59F" w14:textId="44893B6B" w:rsidR="00B93671" w:rsidRPr="003300B7" w:rsidRDefault="00B93671" w:rsidP="00B93671">
            <w:pPr>
              <w:rPr>
                <w:sz w:val="21"/>
                <w:szCs w:val="21"/>
              </w:rPr>
            </w:pPr>
            <w:r w:rsidRPr="003300B7">
              <w:rPr>
                <w:sz w:val="21"/>
                <w:szCs w:val="21"/>
              </w:rPr>
              <w:t>MHMS</w:t>
            </w:r>
          </w:p>
        </w:tc>
        <w:tc>
          <w:tcPr>
            <w:tcW w:w="8640" w:type="dxa"/>
            <w:shd w:val="clear" w:color="auto" w:fill="FFFFFF" w:themeFill="background1"/>
          </w:tcPr>
          <w:p w14:paraId="327A8096" w14:textId="5FB94F29" w:rsidR="00B93671" w:rsidRPr="003300B7" w:rsidRDefault="00B93671" w:rsidP="00B93671">
            <w:pPr>
              <w:rPr>
                <w:sz w:val="21"/>
                <w:szCs w:val="21"/>
              </w:rPr>
            </w:pPr>
            <w:r w:rsidRPr="003300B7">
              <w:rPr>
                <w:sz w:val="21"/>
                <w:szCs w:val="21"/>
              </w:rPr>
              <w:t>Ministry of Health and Medical Services</w:t>
            </w:r>
          </w:p>
        </w:tc>
      </w:tr>
      <w:tr w:rsidR="00B93671" w14:paraId="360D5FC1" w14:textId="77777777" w:rsidTr="00AE1025">
        <w:tc>
          <w:tcPr>
            <w:tcW w:w="3168" w:type="dxa"/>
            <w:shd w:val="clear" w:color="auto" w:fill="FFFFFF" w:themeFill="background1"/>
          </w:tcPr>
          <w:p w14:paraId="6D815D42" w14:textId="3A1F3DA4" w:rsidR="00B93671" w:rsidRPr="003300B7" w:rsidRDefault="00B93671" w:rsidP="00B93671">
            <w:pPr>
              <w:rPr>
                <w:sz w:val="21"/>
                <w:szCs w:val="21"/>
              </w:rPr>
            </w:pPr>
            <w:r w:rsidRPr="003300B7">
              <w:rPr>
                <w:sz w:val="21"/>
                <w:szCs w:val="21"/>
              </w:rPr>
              <w:t>MJLA</w:t>
            </w:r>
          </w:p>
        </w:tc>
        <w:tc>
          <w:tcPr>
            <w:tcW w:w="8640" w:type="dxa"/>
            <w:shd w:val="clear" w:color="auto" w:fill="FFFFFF" w:themeFill="background1"/>
          </w:tcPr>
          <w:p w14:paraId="16E3A3BE" w14:textId="5B8C7DD7" w:rsidR="00B93671" w:rsidRPr="003300B7" w:rsidRDefault="00B93671" w:rsidP="00B93671">
            <w:pPr>
              <w:rPr>
                <w:sz w:val="21"/>
                <w:szCs w:val="21"/>
              </w:rPr>
            </w:pPr>
            <w:r w:rsidRPr="003300B7">
              <w:rPr>
                <w:sz w:val="21"/>
                <w:szCs w:val="21"/>
              </w:rPr>
              <w:t>Ministry of Justice and Legal Affairs</w:t>
            </w:r>
          </w:p>
        </w:tc>
      </w:tr>
      <w:tr w:rsidR="00B93671" w14:paraId="01AE10C1" w14:textId="77777777" w:rsidTr="00AE1025">
        <w:tc>
          <w:tcPr>
            <w:tcW w:w="3168" w:type="dxa"/>
            <w:shd w:val="clear" w:color="auto" w:fill="FFFFFF" w:themeFill="background1"/>
          </w:tcPr>
          <w:p w14:paraId="39DA012F" w14:textId="0DC57630" w:rsidR="00B93671" w:rsidRPr="003300B7" w:rsidRDefault="00B93671" w:rsidP="00B93671">
            <w:pPr>
              <w:rPr>
                <w:sz w:val="21"/>
                <w:szCs w:val="21"/>
              </w:rPr>
            </w:pPr>
            <w:r w:rsidRPr="003300B7">
              <w:rPr>
                <w:sz w:val="21"/>
                <w:szCs w:val="21"/>
              </w:rPr>
              <w:t>MRE</w:t>
            </w:r>
          </w:p>
        </w:tc>
        <w:tc>
          <w:tcPr>
            <w:tcW w:w="8640" w:type="dxa"/>
            <w:shd w:val="clear" w:color="auto" w:fill="FFFFFF" w:themeFill="background1"/>
          </w:tcPr>
          <w:p w14:paraId="7B6C3805" w14:textId="6B53BA26" w:rsidR="00B93671" w:rsidRPr="003300B7" w:rsidRDefault="00B93671" w:rsidP="00B93671">
            <w:pPr>
              <w:rPr>
                <w:sz w:val="21"/>
                <w:szCs w:val="21"/>
              </w:rPr>
            </w:pPr>
            <w:r w:rsidRPr="003300B7">
              <w:rPr>
                <w:sz w:val="21"/>
                <w:szCs w:val="21"/>
              </w:rPr>
              <w:t>Monitoring, Reporting, and Evaluation</w:t>
            </w:r>
          </w:p>
        </w:tc>
      </w:tr>
      <w:tr w:rsidR="00B93671" w14:paraId="7E3CF1DD" w14:textId="77777777" w:rsidTr="00AE1025">
        <w:tc>
          <w:tcPr>
            <w:tcW w:w="3168" w:type="dxa"/>
            <w:shd w:val="clear" w:color="auto" w:fill="FFFFFF" w:themeFill="background1"/>
          </w:tcPr>
          <w:p w14:paraId="3A852EE2" w14:textId="03179B4F" w:rsidR="00B93671" w:rsidRPr="003300B7" w:rsidRDefault="00B93671" w:rsidP="00B93671">
            <w:pPr>
              <w:rPr>
                <w:sz w:val="21"/>
                <w:szCs w:val="21"/>
              </w:rPr>
            </w:pPr>
            <w:r w:rsidRPr="003300B7">
              <w:rPr>
                <w:sz w:val="21"/>
                <w:szCs w:val="21"/>
              </w:rPr>
              <w:t>MWYCFA</w:t>
            </w:r>
          </w:p>
        </w:tc>
        <w:tc>
          <w:tcPr>
            <w:tcW w:w="8640" w:type="dxa"/>
            <w:shd w:val="clear" w:color="auto" w:fill="FFFFFF" w:themeFill="background1"/>
          </w:tcPr>
          <w:p w14:paraId="226455D1" w14:textId="3BADC818" w:rsidR="00B93671" w:rsidRPr="003300B7" w:rsidRDefault="00B93671" w:rsidP="00B93671">
            <w:pPr>
              <w:rPr>
                <w:sz w:val="21"/>
                <w:szCs w:val="21"/>
              </w:rPr>
            </w:pPr>
            <w:r w:rsidRPr="003300B7">
              <w:rPr>
                <w:sz w:val="21"/>
                <w:szCs w:val="21"/>
              </w:rPr>
              <w:t xml:space="preserve">Ministry of Women, Youth, Children and Family Affairs </w:t>
            </w:r>
          </w:p>
        </w:tc>
      </w:tr>
      <w:tr w:rsidR="00B93671" w14:paraId="4BD1A73F" w14:textId="77777777" w:rsidTr="00AE1025">
        <w:tc>
          <w:tcPr>
            <w:tcW w:w="3168" w:type="dxa"/>
            <w:shd w:val="clear" w:color="auto" w:fill="FFFFFF" w:themeFill="background1"/>
          </w:tcPr>
          <w:p w14:paraId="01CFAB8D" w14:textId="450A07B5" w:rsidR="00B93671" w:rsidRPr="003300B7" w:rsidRDefault="00B93671" w:rsidP="00B93671">
            <w:pPr>
              <w:rPr>
                <w:sz w:val="21"/>
                <w:szCs w:val="21"/>
              </w:rPr>
            </w:pPr>
            <w:r w:rsidRPr="00E131D5">
              <w:t>NAACC</w:t>
            </w:r>
          </w:p>
        </w:tc>
        <w:tc>
          <w:tcPr>
            <w:tcW w:w="8640" w:type="dxa"/>
            <w:shd w:val="clear" w:color="auto" w:fill="FFFFFF" w:themeFill="background1"/>
          </w:tcPr>
          <w:p w14:paraId="16F4E3BE" w14:textId="2CD69335" w:rsidR="00B93671" w:rsidRPr="003300B7" w:rsidRDefault="00B93671" w:rsidP="00B93671">
            <w:pPr>
              <w:rPr>
                <w:sz w:val="21"/>
                <w:szCs w:val="21"/>
              </w:rPr>
            </w:pPr>
            <w:r w:rsidRPr="00E131D5">
              <w:t>National Advisory and Action for Children Committee</w:t>
            </w:r>
          </w:p>
        </w:tc>
      </w:tr>
      <w:tr w:rsidR="00B93671" w14:paraId="46894C7B" w14:textId="77777777" w:rsidTr="00AE1025">
        <w:tc>
          <w:tcPr>
            <w:tcW w:w="3168" w:type="dxa"/>
            <w:shd w:val="clear" w:color="auto" w:fill="FFFFFF" w:themeFill="background1"/>
          </w:tcPr>
          <w:p w14:paraId="3A5DAA1C" w14:textId="1C47D936" w:rsidR="00B93671" w:rsidRPr="00E131D5" w:rsidRDefault="00B93671" w:rsidP="00B93671">
            <w:r w:rsidRPr="003300B7">
              <w:rPr>
                <w:sz w:val="21"/>
                <w:szCs w:val="21"/>
              </w:rPr>
              <w:t>NHSP</w:t>
            </w:r>
          </w:p>
        </w:tc>
        <w:tc>
          <w:tcPr>
            <w:tcW w:w="8640" w:type="dxa"/>
            <w:shd w:val="clear" w:color="auto" w:fill="FFFFFF" w:themeFill="background1"/>
          </w:tcPr>
          <w:p w14:paraId="3653C3BF" w14:textId="0B64ADE2" w:rsidR="00B93671" w:rsidRPr="00E131D5" w:rsidRDefault="00B93671" w:rsidP="00B93671">
            <w:r w:rsidRPr="003300B7">
              <w:rPr>
                <w:sz w:val="21"/>
                <w:szCs w:val="21"/>
              </w:rPr>
              <w:t>National Health Strategic Plan</w:t>
            </w:r>
          </w:p>
        </w:tc>
      </w:tr>
      <w:tr w:rsidR="00B93671" w14:paraId="40E5E202" w14:textId="77777777" w:rsidTr="00AE1025">
        <w:tc>
          <w:tcPr>
            <w:tcW w:w="3168" w:type="dxa"/>
            <w:shd w:val="clear" w:color="auto" w:fill="FFFFFF" w:themeFill="background1"/>
          </w:tcPr>
          <w:p w14:paraId="1ED8C161" w14:textId="4E1C4729" w:rsidR="00B93671" w:rsidRPr="003300B7" w:rsidRDefault="00B93671" w:rsidP="00B93671">
            <w:pPr>
              <w:rPr>
                <w:sz w:val="21"/>
                <w:szCs w:val="21"/>
              </w:rPr>
            </w:pPr>
            <w:r>
              <w:rPr>
                <w:sz w:val="21"/>
                <w:szCs w:val="21"/>
                <w:lang w:val="en-AU"/>
              </w:rPr>
              <w:t>NRH</w:t>
            </w:r>
            <w:r w:rsidRPr="00477B60">
              <w:rPr>
                <w:sz w:val="21"/>
                <w:szCs w:val="21"/>
                <w:lang w:val="en-AU"/>
              </w:rPr>
              <w:t xml:space="preserve"> </w:t>
            </w:r>
          </w:p>
        </w:tc>
        <w:tc>
          <w:tcPr>
            <w:tcW w:w="8640" w:type="dxa"/>
            <w:shd w:val="clear" w:color="auto" w:fill="FFFFFF" w:themeFill="background1"/>
          </w:tcPr>
          <w:p w14:paraId="7C7F762F" w14:textId="2DE2C0F8" w:rsidR="00B93671" w:rsidRPr="003300B7" w:rsidRDefault="00B93671" w:rsidP="00B93671">
            <w:pPr>
              <w:rPr>
                <w:sz w:val="21"/>
                <w:szCs w:val="21"/>
              </w:rPr>
            </w:pPr>
            <w:r w:rsidRPr="00477B60">
              <w:rPr>
                <w:sz w:val="21"/>
                <w:szCs w:val="21"/>
                <w:lang w:val="en-AU"/>
              </w:rPr>
              <w:t xml:space="preserve">National Reproductive and </w:t>
            </w:r>
            <w:r>
              <w:rPr>
                <w:sz w:val="21"/>
                <w:szCs w:val="21"/>
                <w:lang w:val="en-AU"/>
              </w:rPr>
              <w:t>Child Health</w:t>
            </w:r>
          </w:p>
        </w:tc>
      </w:tr>
      <w:tr w:rsidR="00B93671" w14:paraId="27823426" w14:textId="77777777" w:rsidTr="00AE1025">
        <w:tc>
          <w:tcPr>
            <w:tcW w:w="3168" w:type="dxa"/>
            <w:shd w:val="clear" w:color="auto" w:fill="FFFFFF" w:themeFill="background1"/>
          </w:tcPr>
          <w:p w14:paraId="7D49648C" w14:textId="49176946" w:rsidR="00B93671" w:rsidRDefault="00B93671" w:rsidP="00B93671">
            <w:pPr>
              <w:rPr>
                <w:sz w:val="21"/>
                <w:szCs w:val="21"/>
                <w:lang w:val="en-AU"/>
              </w:rPr>
            </w:pPr>
            <w:r w:rsidRPr="003300B7">
              <w:rPr>
                <w:sz w:val="21"/>
                <w:szCs w:val="21"/>
              </w:rPr>
              <w:t>RCH</w:t>
            </w:r>
          </w:p>
        </w:tc>
        <w:tc>
          <w:tcPr>
            <w:tcW w:w="8640" w:type="dxa"/>
            <w:shd w:val="clear" w:color="auto" w:fill="FFFFFF" w:themeFill="background1"/>
          </w:tcPr>
          <w:p w14:paraId="03A33704" w14:textId="222E899C" w:rsidR="00B93671" w:rsidRPr="00477B60" w:rsidRDefault="00B93671" w:rsidP="00B93671">
            <w:pPr>
              <w:rPr>
                <w:sz w:val="21"/>
                <w:szCs w:val="21"/>
                <w:lang w:val="en-AU"/>
              </w:rPr>
            </w:pPr>
            <w:r w:rsidRPr="003300B7">
              <w:rPr>
                <w:sz w:val="21"/>
                <w:szCs w:val="21"/>
              </w:rPr>
              <w:t>Reproductive Child Health</w:t>
            </w:r>
          </w:p>
        </w:tc>
      </w:tr>
      <w:tr w:rsidR="00B93671" w14:paraId="66EE9C1E" w14:textId="77777777" w:rsidTr="00AE1025">
        <w:tc>
          <w:tcPr>
            <w:tcW w:w="3168" w:type="dxa"/>
            <w:shd w:val="clear" w:color="auto" w:fill="FFFFFF" w:themeFill="background1"/>
          </w:tcPr>
          <w:p w14:paraId="461A551D" w14:textId="6AE826C1" w:rsidR="00B93671" w:rsidRPr="003300B7" w:rsidRDefault="00B93671" w:rsidP="00B93671">
            <w:pPr>
              <w:rPr>
                <w:sz w:val="21"/>
                <w:szCs w:val="21"/>
              </w:rPr>
            </w:pPr>
            <w:r>
              <w:rPr>
                <w:sz w:val="21"/>
                <w:szCs w:val="21"/>
              </w:rPr>
              <w:t>RH</w:t>
            </w:r>
          </w:p>
        </w:tc>
        <w:tc>
          <w:tcPr>
            <w:tcW w:w="8640" w:type="dxa"/>
            <w:shd w:val="clear" w:color="auto" w:fill="FFFFFF" w:themeFill="background1"/>
          </w:tcPr>
          <w:p w14:paraId="7B402594" w14:textId="67239D9E" w:rsidR="00B93671" w:rsidRPr="003300B7" w:rsidRDefault="00B93671" w:rsidP="00B93671">
            <w:pPr>
              <w:rPr>
                <w:sz w:val="21"/>
                <w:szCs w:val="21"/>
              </w:rPr>
            </w:pPr>
            <w:r>
              <w:rPr>
                <w:sz w:val="21"/>
                <w:szCs w:val="21"/>
              </w:rPr>
              <w:t>Reproductive Health</w:t>
            </w:r>
          </w:p>
        </w:tc>
      </w:tr>
      <w:tr w:rsidR="00B93671" w14:paraId="7952D4D3" w14:textId="77777777" w:rsidTr="00AE1025">
        <w:tc>
          <w:tcPr>
            <w:tcW w:w="3168" w:type="dxa"/>
            <w:shd w:val="clear" w:color="auto" w:fill="FFFFFF" w:themeFill="background1"/>
          </w:tcPr>
          <w:p w14:paraId="31062986" w14:textId="79BB8EFF" w:rsidR="00B93671" w:rsidRDefault="00B93671" w:rsidP="00B93671">
            <w:pPr>
              <w:rPr>
                <w:sz w:val="21"/>
                <w:szCs w:val="21"/>
              </w:rPr>
            </w:pPr>
            <w:r w:rsidRPr="003300B7">
              <w:rPr>
                <w:sz w:val="21"/>
                <w:szCs w:val="21"/>
              </w:rPr>
              <w:t>Role Delineation Policy</w:t>
            </w:r>
          </w:p>
        </w:tc>
        <w:tc>
          <w:tcPr>
            <w:tcW w:w="8640" w:type="dxa"/>
            <w:shd w:val="clear" w:color="auto" w:fill="FFFFFF" w:themeFill="background1"/>
          </w:tcPr>
          <w:p w14:paraId="5473CB80" w14:textId="2B69BFA7" w:rsidR="00B93671" w:rsidRDefault="00B93671" w:rsidP="00B93671">
            <w:pPr>
              <w:rPr>
                <w:sz w:val="21"/>
                <w:szCs w:val="21"/>
              </w:rPr>
            </w:pPr>
            <w:r w:rsidRPr="003300B7">
              <w:rPr>
                <w:sz w:val="21"/>
                <w:szCs w:val="21"/>
              </w:rPr>
              <w:t xml:space="preserve">Policy on Universal Health Coverage and Role Delineation of Health Services </w:t>
            </w:r>
          </w:p>
        </w:tc>
      </w:tr>
      <w:tr w:rsidR="00B93671" w14:paraId="523153E2" w14:textId="77777777" w:rsidTr="00AE1025">
        <w:tc>
          <w:tcPr>
            <w:tcW w:w="3168" w:type="dxa"/>
            <w:shd w:val="clear" w:color="auto" w:fill="FFFFFF" w:themeFill="background1"/>
          </w:tcPr>
          <w:p w14:paraId="6A4A7A00" w14:textId="496BE0F7" w:rsidR="00B93671" w:rsidRPr="003300B7" w:rsidRDefault="00B93671" w:rsidP="00B93671">
            <w:pPr>
              <w:rPr>
                <w:sz w:val="21"/>
                <w:szCs w:val="21"/>
              </w:rPr>
            </w:pPr>
            <w:r w:rsidRPr="003300B7">
              <w:rPr>
                <w:sz w:val="21"/>
                <w:szCs w:val="21"/>
              </w:rPr>
              <w:t>RSIPF</w:t>
            </w:r>
          </w:p>
        </w:tc>
        <w:tc>
          <w:tcPr>
            <w:tcW w:w="8640" w:type="dxa"/>
            <w:shd w:val="clear" w:color="auto" w:fill="FFFFFF" w:themeFill="background1"/>
          </w:tcPr>
          <w:p w14:paraId="46374A7C" w14:textId="4AA231BB" w:rsidR="00B93671" w:rsidRPr="003300B7" w:rsidRDefault="00B93671" w:rsidP="00B93671">
            <w:pPr>
              <w:rPr>
                <w:sz w:val="21"/>
                <w:szCs w:val="21"/>
              </w:rPr>
            </w:pPr>
            <w:r w:rsidRPr="003300B7">
              <w:rPr>
                <w:sz w:val="21"/>
                <w:szCs w:val="21"/>
              </w:rPr>
              <w:t>Royal Solomon Islands Police Force</w:t>
            </w:r>
          </w:p>
        </w:tc>
      </w:tr>
      <w:tr w:rsidR="00B93671" w14:paraId="56EAA1B1" w14:textId="77777777" w:rsidTr="00AE1025">
        <w:tc>
          <w:tcPr>
            <w:tcW w:w="3168" w:type="dxa"/>
            <w:shd w:val="clear" w:color="auto" w:fill="FFFFFF" w:themeFill="background1"/>
          </w:tcPr>
          <w:p w14:paraId="19AEFF6B" w14:textId="0249E6E2" w:rsidR="00B93671" w:rsidRPr="003300B7" w:rsidRDefault="00B93671" w:rsidP="00B93671">
            <w:pPr>
              <w:rPr>
                <w:sz w:val="21"/>
                <w:szCs w:val="21"/>
              </w:rPr>
            </w:pPr>
            <w:r w:rsidRPr="003300B7">
              <w:rPr>
                <w:sz w:val="21"/>
                <w:szCs w:val="21"/>
              </w:rPr>
              <w:t>SAFENET</w:t>
            </w:r>
          </w:p>
        </w:tc>
        <w:tc>
          <w:tcPr>
            <w:tcW w:w="8640" w:type="dxa"/>
            <w:shd w:val="clear" w:color="auto" w:fill="FFFFFF" w:themeFill="background1"/>
          </w:tcPr>
          <w:p w14:paraId="698964BD" w14:textId="682B2EEF" w:rsidR="00B93671" w:rsidRPr="003300B7" w:rsidRDefault="00B93671" w:rsidP="00B93671">
            <w:pPr>
              <w:rPr>
                <w:sz w:val="21"/>
                <w:szCs w:val="21"/>
              </w:rPr>
            </w:pPr>
            <w:r w:rsidRPr="003300B7">
              <w:rPr>
                <w:sz w:val="21"/>
                <w:szCs w:val="21"/>
              </w:rPr>
              <w:t>GBV Referral network</w:t>
            </w:r>
          </w:p>
        </w:tc>
      </w:tr>
      <w:tr w:rsidR="00B93671" w14:paraId="7178A316" w14:textId="77777777" w:rsidTr="00AE1025">
        <w:tc>
          <w:tcPr>
            <w:tcW w:w="3168" w:type="dxa"/>
            <w:shd w:val="clear" w:color="auto" w:fill="FFFFFF" w:themeFill="background1"/>
          </w:tcPr>
          <w:p w14:paraId="2E3B2B5B" w14:textId="3C1583A5" w:rsidR="00B93671" w:rsidRPr="003300B7" w:rsidRDefault="00B93671" w:rsidP="00B93671">
            <w:pPr>
              <w:rPr>
                <w:sz w:val="21"/>
                <w:szCs w:val="21"/>
              </w:rPr>
            </w:pPr>
            <w:r w:rsidRPr="003300B7">
              <w:rPr>
                <w:sz w:val="21"/>
                <w:szCs w:val="21"/>
              </w:rPr>
              <w:t>SIG</w:t>
            </w:r>
          </w:p>
        </w:tc>
        <w:tc>
          <w:tcPr>
            <w:tcW w:w="8640" w:type="dxa"/>
            <w:shd w:val="clear" w:color="auto" w:fill="FFFFFF" w:themeFill="background1"/>
          </w:tcPr>
          <w:p w14:paraId="2EFB159B" w14:textId="20682623" w:rsidR="00B93671" w:rsidRPr="003300B7" w:rsidRDefault="00B93671" w:rsidP="00B93671">
            <w:pPr>
              <w:rPr>
                <w:sz w:val="21"/>
                <w:szCs w:val="21"/>
              </w:rPr>
            </w:pPr>
            <w:r w:rsidRPr="003300B7">
              <w:rPr>
                <w:sz w:val="21"/>
                <w:szCs w:val="21"/>
              </w:rPr>
              <w:t>Solomon Islands Government</w:t>
            </w:r>
          </w:p>
        </w:tc>
      </w:tr>
      <w:tr w:rsidR="00B93671" w14:paraId="30623BF6" w14:textId="77777777" w:rsidTr="00AE1025">
        <w:tc>
          <w:tcPr>
            <w:tcW w:w="3168" w:type="dxa"/>
            <w:shd w:val="clear" w:color="auto" w:fill="FFFFFF" w:themeFill="background1"/>
          </w:tcPr>
          <w:p w14:paraId="2FFEE4F0" w14:textId="43A32C33" w:rsidR="00B93671" w:rsidRPr="003300B7" w:rsidRDefault="00B93671" w:rsidP="00B93671">
            <w:pPr>
              <w:rPr>
                <w:sz w:val="21"/>
                <w:szCs w:val="21"/>
              </w:rPr>
            </w:pPr>
            <w:r w:rsidRPr="003300B7">
              <w:rPr>
                <w:sz w:val="21"/>
                <w:szCs w:val="21"/>
              </w:rPr>
              <w:t>SINACC</w:t>
            </w:r>
          </w:p>
        </w:tc>
        <w:tc>
          <w:tcPr>
            <w:tcW w:w="8640" w:type="dxa"/>
            <w:shd w:val="clear" w:color="auto" w:fill="FFFFFF" w:themeFill="background1"/>
          </w:tcPr>
          <w:p w14:paraId="60A18B1A" w14:textId="65E38694" w:rsidR="00B93671" w:rsidRPr="003300B7" w:rsidRDefault="00B93671" w:rsidP="00B93671">
            <w:pPr>
              <w:rPr>
                <w:sz w:val="21"/>
                <w:szCs w:val="21"/>
              </w:rPr>
            </w:pPr>
            <w:r w:rsidRPr="003300B7">
              <w:rPr>
                <w:sz w:val="21"/>
                <w:szCs w:val="21"/>
              </w:rPr>
              <w:t>Solomon Islands National Advisory Committee on CEDAW</w:t>
            </w:r>
          </w:p>
        </w:tc>
      </w:tr>
      <w:tr w:rsidR="00B93671" w14:paraId="61D1DFC7" w14:textId="77777777" w:rsidTr="00AE1025">
        <w:tc>
          <w:tcPr>
            <w:tcW w:w="3168" w:type="dxa"/>
            <w:shd w:val="clear" w:color="auto" w:fill="FFFFFF" w:themeFill="background1"/>
          </w:tcPr>
          <w:p w14:paraId="6849207C" w14:textId="4B82B49A" w:rsidR="00B93671" w:rsidRPr="003300B7" w:rsidRDefault="00B93671" w:rsidP="00B93671">
            <w:pPr>
              <w:rPr>
                <w:sz w:val="21"/>
                <w:szCs w:val="21"/>
              </w:rPr>
            </w:pPr>
            <w:r w:rsidRPr="00E131D5">
              <w:rPr>
                <w:rFonts w:cstheme="minorHAnsi"/>
              </w:rPr>
              <w:t>SPC RRRT</w:t>
            </w:r>
          </w:p>
        </w:tc>
        <w:tc>
          <w:tcPr>
            <w:tcW w:w="8640" w:type="dxa"/>
            <w:shd w:val="clear" w:color="auto" w:fill="FFFFFF" w:themeFill="background1"/>
          </w:tcPr>
          <w:p w14:paraId="58702896" w14:textId="70575394" w:rsidR="00B93671" w:rsidRPr="003300B7" w:rsidRDefault="00B93671" w:rsidP="00B93671">
            <w:pPr>
              <w:rPr>
                <w:sz w:val="21"/>
                <w:szCs w:val="21"/>
              </w:rPr>
            </w:pPr>
            <w:r w:rsidRPr="00E131D5">
              <w:rPr>
                <w:rFonts w:cstheme="minorHAnsi"/>
              </w:rPr>
              <w:t xml:space="preserve">Secretariat of the Pacific Community Regional Rights Resource Team </w:t>
            </w:r>
          </w:p>
        </w:tc>
      </w:tr>
      <w:tr w:rsidR="00B93671" w14:paraId="6E0F2E3F" w14:textId="77777777" w:rsidTr="00AE1025">
        <w:tc>
          <w:tcPr>
            <w:tcW w:w="3168" w:type="dxa"/>
            <w:shd w:val="clear" w:color="auto" w:fill="FFFFFF" w:themeFill="background1"/>
          </w:tcPr>
          <w:p w14:paraId="639F2122" w14:textId="576E0751" w:rsidR="00B93671" w:rsidRPr="00E131D5" w:rsidRDefault="00B93671" w:rsidP="00B93671">
            <w:pPr>
              <w:rPr>
                <w:rFonts w:cstheme="minorHAnsi"/>
              </w:rPr>
            </w:pPr>
            <w:r w:rsidRPr="003300B7">
              <w:rPr>
                <w:sz w:val="21"/>
                <w:szCs w:val="21"/>
              </w:rPr>
              <w:lastRenderedPageBreak/>
              <w:t>SRSG-VAC</w:t>
            </w:r>
          </w:p>
        </w:tc>
        <w:tc>
          <w:tcPr>
            <w:tcW w:w="8640" w:type="dxa"/>
            <w:shd w:val="clear" w:color="auto" w:fill="FFFFFF" w:themeFill="background1"/>
          </w:tcPr>
          <w:p w14:paraId="6AC6F76E" w14:textId="331BA5F0" w:rsidR="00B93671" w:rsidRPr="00E131D5" w:rsidRDefault="00B93671" w:rsidP="00B93671">
            <w:pPr>
              <w:rPr>
                <w:rFonts w:cstheme="minorHAnsi"/>
              </w:rPr>
            </w:pPr>
            <w:r w:rsidRPr="003300B7">
              <w:rPr>
                <w:sz w:val="21"/>
                <w:szCs w:val="21"/>
              </w:rPr>
              <w:t xml:space="preserve">Special Representative of the Secretary-General on Violence against Children </w:t>
            </w:r>
          </w:p>
        </w:tc>
      </w:tr>
      <w:tr w:rsidR="00B93671" w14:paraId="46528AFC" w14:textId="77777777" w:rsidTr="00AE1025">
        <w:tc>
          <w:tcPr>
            <w:tcW w:w="3168" w:type="dxa"/>
            <w:shd w:val="clear" w:color="auto" w:fill="FFFFFF" w:themeFill="background1"/>
          </w:tcPr>
          <w:p w14:paraId="72441539" w14:textId="67AAB3EB" w:rsidR="00B93671" w:rsidRPr="003300B7" w:rsidRDefault="00B93671" w:rsidP="00B93671">
            <w:pPr>
              <w:rPr>
                <w:sz w:val="21"/>
                <w:szCs w:val="21"/>
              </w:rPr>
            </w:pPr>
            <w:r w:rsidRPr="003300B7">
              <w:rPr>
                <w:sz w:val="21"/>
                <w:szCs w:val="21"/>
              </w:rPr>
              <w:t>SWD</w:t>
            </w:r>
          </w:p>
        </w:tc>
        <w:tc>
          <w:tcPr>
            <w:tcW w:w="8640" w:type="dxa"/>
            <w:shd w:val="clear" w:color="auto" w:fill="FFFFFF" w:themeFill="background1"/>
          </w:tcPr>
          <w:p w14:paraId="38EF1056" w14:textId="1AC53E6D" w:rsidR="00B93671" w:rsidRPr="003300B7" w:rsidRDefault="00B93671" w:rsidP="00B93671">
            <w:pPr>
              <w:rPr>
                <w:sz w:val="21"/>
                <w:szCs w:val="21"/>
              </w:rPr>
            </w:pPr>
            <w:r w:rsidRPr="003300B7">
              <w:rPr>
                <w:sz w:val="21"/>
                <w:szCs w:val="21"/>
              </w:rPr>
              <w:t>Social Welfare Department</w:t>
            </w:r>
          </w:p>
        </w:tc>
      </w:tr>
      <w:tr w:rsidR="00B93671" w14:paraId="4A085148" w14:textId="77777777" w:rsidTr="00AE1025">
        <w:tc>
          <w:tcPr>
            <w:tcW w:w="3168" w:type="dxa"/>
            <w:shd w:val="clear" w:color="auto" w:fill="FFFFFF" w:themeFill="background1"/>
          </w:tcPr>
          <w:p w14:paraId="657AAC10" w14:textId="3C23144B" w:rsidR="00B93671" w:rsidRPr="003300B7" w:rsidRDefault="00B93671" w:rsidP="00B93671">
            <w:pPr>
              <w:rPr>
                <w:sz w:val="21"/>
                <w:szCs w:val="21"/>
              </w:rPr>
            </w:pPr>
            <w:r w:rsidRPr="003300B7">
              <w:rPr>
                <w:sz w:val="21"/>
                <w:szCs w:val="21"/>
              </w:rPr>
              <w:t>TOR</w:t>
            </w:r>
          </w:p>
        </w:tc>
        <w:tc>
          <w:tcPr>
            <w:tcW w:w="8640" w:type="dxa"/>
            <w:shd w:val="clear" w:color="auto" w:fill="FFFFFF" w:themeFill="background1"/>
          </w:tcPr>
          <w:p w14:paraId="2E27DAF9" w14:textId="28CE529F" w:rsidR="00B93671" w:rsidRPr="003300B7" w:rsidRDefault="00B93671" w:rsidP="00B93671">
            <w:pPr>
              <w:rPr>
                <w:sz w:val="21"/>
                <w:szCs w:val="21"/>
              </w:rPr>
            </w:pPr>
            <w:r w:rsidRPr="003300B7">
              <w:rPr>
                <w:sz w:val="21"/>
                <w:szCs w:val="21"/>
              </w:rPr>
              <w:t>Terms of Reference</w:t>
            </w:r>
          </w:p>
        </w:tc>
      </w:tr>
      <w:tr w:rsidR="00B93671" w14:paraId="391DC7E4" w14:textId="77777777" w:rsidTr="00AE1025">
        <w:tc>
          <w:tcPr>
            <w:tcW w:w="3168" w:type="dxa"/>
            <w:shd w:val="clear" w:color="auto" w:fill="FFFFFF" w:themeFill="background1"/>
          </w:tcPr>
          <w:p w14:paraId="7FD0CC1D" w14:textId="468A45B4" w:rsidR="00B93671" w:rsidRPr="003300B7" w:rsidRDefault="00B93671" w:rsidP="00B93671">
            <w:pPr>
              <w:rPr>
                <w:sz w:val="21"/>
                <w:szCs w:val="21"/>
              </w:rPr>
            </w:pPr>
            <w:r w:rsidRPr="003300B7">
              <w:rPr>
                <w:sz w:val="21"/>
                <w:szCs w:val="21"/>
              </w:rPr>
              <w:t>UN</w:t>
            </w:r>
          </w:p>
        </w:tc>
        <w:tc>
          <w:tcPr>
            <w:tcW w:w="8640" w:type="dxa"/>
            <w:shd w:val="clear" w:color="auto" w:fill="FFFFFF" w:themeFill="background1"/>
          </w:tcPr>
          <w:p w14:paraId="0833750A" w14:textId="41A0D5FE" w:rsidR="00B93671" w:rsidRPr="003300B7" w:rsidRDefault="00B93671" w:rsidP="00B93671">
            <w:pPr>
              <w:rPr>
                <w:sz w:val="21"/>
                <w:szCs w:val="21"/>
              </w:rPr>
            </w:pPr>
            <w:r w:rsidRPr="003300B7">
              <w:rPr>
                <w:sz w:val="21"/>
                <w:szCs w:val="21"/>
              </w:rPr>
              <w:t>United Nations</w:t>
            </w:r>
          </w:p>
        </w:tc>
      </w:tr>
      <w:tr w:rsidR="00B93671" w14:paraId="261EEB67" w14:textId="77777777" w:rsidTr="00AE1025">
        <w:tc>
          <w:tcPr>
            <w:tcW w:w="3168" w:type="dxa"/>
            <w:shd w:val="clear" w:color="auto" w:fill="FFFFFF" w:themeFill="background1"/>
          </w:tcPr>
          <w:p w14:paraId="3E9D423A" w14:textId="0B39A4AA" w:rsidR="00B93671" w:rsidRPr="003300B7" w:rsidRDefault="00B93671" w:rsidP="00B93671">
            <w:pPr>
              <w:rPr>
                <w:sz w:val="21"/>
                <w:szCs w:val="21"/>
              </w:rPr>
            </w:pPr>
            <w:r w:rsidRPr="003300B7">
              <w:rPr>
                <w:sz w:val="21"/>
                <w:szCs w:val="21"/>
              </w:rPr>
              <w:t>UN Women</w:t>
            </w:r>
          </w:p>
        </w:tc>
        <w:tc>
          <w:tcPr>
            <w:tcW w:w="8640" w:type="dxa"/>
            <w:shd w:val="clear" w:color="auto" w:fill="FFFFFF" w:themeFill="background1"/>
          </w:tcPr>
          <w:p w14:paraId="320287C2" w14:textId="3D6EC3DB" w:rsidR="00B93671" w:rsidRPr="003300B7" w:rsidRDefault="00B93671" w:rsidP="00B93671">
            <w:pPr>
              <w:rPr>
                <w:sz w:val="21"/>
                <w:szCs w:val="21"/>
              </w:rPr>
            </w:pPr>
            <w:r w:rsidRPr="003300B7">
              <w:rPr>
                <w:sz w:val="21"/>
                <w:szCs w:val="21"/>
              </w:rPr>
              <w:t>United Nations Entity for Gender Equality and the Empowerment of Women</w:t>
            </w:r>
          </w:p>
        </w:tc>
      </w:tr>
      <w:tr w:rsidR="00B93671" w14:paraId="0B900F48" w14:textId="77777777" w:rsidTr="00AE1025">
        <w:tc>
          <w:tcPr>
            <w:tcW w:w="3168" w:type="dxa"/>
            <w:shd w:val="clear" w:color="auto" w:fill="FFFFFF" w:themeFill="background1"/>
          </w:tcPr>
          <w:p w14:paraId="1830D8DF" w14:textId="30A6EC83" w:rsidR="00B93671" w:rsidRPr="003300B7" w:rsidRDefault="00B93671" w:rsidP="00B93671">
            <w:pPr>
              <w:rPr>
                <w:sz w:val="21"/>
                <w:szCs w:val="21"/>
              </w:rPr>
            </w:pPr>
            <w:r w:rsidRPr="003300B7">
              <w:rPr>
                <w:sz w:val="21"/>
                <w:szCs w:val="21"/>
              </w:rPr>
              <w:t>UNDP</w:t>
            </w:r>
          </w:p>
        </w:tc>
        <w:tc>
          <w:tcPr>
            <w:tcW w:w="8640" w:type="dxa"/>
            <w:shd w:val="clear" w:color="auto" w:fill="FFFFFF" w:themeFill="background1"/>
          </w:tcPr>
          <w:p w14:paraId="24FCA699" w14:textId="0ECC2FA4" w:rsidR="00B93671" w:rsidRPr="003300B7" w:rsidRDefault="00B93671" w:rsidP="00B93671">
            <w:pPr>
              <w:rPr>
                <w:sz w:val="21"/>
                <w:szCs w:val="21"/>
              </w:rPr>
            </w:pPr>
            <w:r w:rsidRPr="003300B7">
              <w:rPr>
                <w:sz w:val="21"/>
                <w:szCs w:val="21"/>
              </w:rPr>
              <w:t>United Nations Development Programme</w:t>
            </w:r>
          </w:p>
        </w:tc>
      </w:tr>
      <w:tr w:rsidR="00B93671" w14:paraId="3A58DF92" w14:textId="77777777" w:rsidTr="00AE1025">
        <w:tc>
          <w:tcPr>
            <w:tcW w:w="3168" w:type="dxa"/>
            <w:shd w:val="clear" w:color="auto" w:fill="FFFFFF" w:themeFill="background1"/>
          </w:tcPr>
          <w:p w14:paraId="2C21ABAA" w14:textId="7E85C1EC" w:rsidR="00B93671" w:rsidRPr="003300B7" w:rsidRDefault="00B93671" w:rsidP="00B93671">
            <w:pPr>
              <w:rPr>
                <w:sz w:val="21"/>
                <w:szCs w:val="21"/>
              </w:rPr>
            </w:pPr>
            <w:r w:rsidRPr="003300B7">
              <w:rPr>
                <w:sz w:val="21"/>
                <w:szCs w:val="21"/>
              </w:rPr>
              <w:t>UNFPA</w:t>
            </w:r>
          </w:p>
        </w:tc>
        <w:tc>
          <w:tcPr>
            <w:tcW w:w="8640" w:type="dxa"/>
            <w:shd w:val="clear" w:color="auto" w:fill="FFFFFF" w:themeFill="background1"/>
          </w:tcPr>
          <w:p w14:paraId="22C35321" w14:textId="6C6D6B6D" w:rsidR="00B93671" w:rsidRPr="003300B7" w:rsidRDefault="00B93671" w:rsidP="00B93671">
            <w:pPr>
              <w:rPr>
                <w:sz w:val="21"/>
                <w:szCs w:val="21"/>
              </w:rPr>
            </w:pPr>
            <w:r w:rsidRPr="003300B7">
              <w:rPr>
                <w:sz w:val="21"/>
                <w:szCs w:val="21"/>
              </w:rPr>
              <w:t>United Nations Population Fund</w:t>
            </w:r>
          </w:p>
        </w:tc>
      </w:tr>
      <w:tr w:rsidR="00B93671" w14:paraId="1CBB3BC4" w14:textId="77777777" w:rsidTr="00AE1025">
        <w:tc>
          <w:tcPr>
            <w:tcW w:w="3168" w:type="dxa"/>
            <w:shd w:val="clear" w:color="auto" w:fill="FFFFFF" w:themeFill="background1"/>
          </w:tcPr>
          <w:p w14:paraId="657A282F" w14:textId="55F08114" w:rsidR="00B93671" w:rsidRPr="003300B7" w:rsidRDefault="00B93671" w:rsidP="00B93671">
            <w:pPr>
              <w:rPr>
                <w:sz w:val="21"/>
                <w:szCs w:val="21"/>
              </w:rPr>
            </w:pPr>
            <w:r w:rsidRPr="003300B7">
              <w:rPr>
                <w:sz w:val="21"/>
                <w:szCs w:val="21"/>
              </w:rPr>
              <w:t>UNICEF</w:t>
            </w:r>
          </w:p>
        </w:tc>
        <w:tc>
          <w:tcPr>
            <w:tcW w:w="8640" w:type="dxa"/>
            <w:shd w:val="clear" w:color="auto" w:fill="FFFFFF" w:themeFill="background1"/>
          </w:tcPr>
          <w:p w14:paraId="1A648126" w14:textId="0694C2EC" w:rsidR="00B93671" w:rsidRPr="003300B7" w:rsidRDefault="00B93671" w:rsidP="00B93671">
            <w:pPr>
              <w:rPr>
                <w:sz w:val="21"/>
                <w:szCs w:val="21"/>
              </w:rPr>
            </w:pPr>
            <w:r w:rsidRPr="003300B7">
              <w:rPr>
                <w:sz w:val="21"/>
                <w:szCs w:val="21"/>
              </w:rPr>
              <w:t>United Nations Children’s Fund</w:t>
            </w:r>
          </w:p>
        </w:tc>
      </w:tr>
      <w:tr w:rsidR="00B93671" w14:paraId="286D1101" w14:textId="77777777" w:rsidTr="00AE1025">
        <w:tc>
          <w:tcPr>
            <w:tcW w:w="3168" w:type="dxa"/>
            <w:shd w:val="clear" w:color="auto" w:fill="FFFFFF" w:themeFill="background1"/>
          </w:tcPr>
          <w:p w14:paraId="359474CD" w14:textId="7B321B4B" w:rsidR="00B93671" w:rsidRPr="003300B7" w:rsidRDefault="00B93671" w:rsidP="00B93671">
            <w:pPr>
              <w:rPr>
                <w:sz w:val="21"/>
                <w:szCs w:val="21"/>
              </w:rPr>
            </w:pPr>
            <w:r w:rsidRPr="003300B7">
              <w:rPr>
                <w:sz w:val="21"/>
                <w:szCs w:val="21"/>
              </w:rPr>
              <w:t>UNTF</w:t>
            </w:r>
          </w:p>
        </w:tc>
        <w:tc>
          <w:tcPr>
            <w:tcW w:w="8640" w:type="dxa"/>
            <w:shd w:val="clear" w:color="auto" w:fill="FFFFFF" w:themeFill="background1"/>
          </w:tcPr>
          <w:p w14:paraId="1B51B3D7" w14:textId="4C4DF479" w:rsidR="00B93671" w:rsidRPr="003300B7" w:rsidRDefault="00B93671" w:rsidP="00B93671">
            <w:pPr>
              <w:rPr>
                <w:sz w:val="21"/>
                <w:szCs w:val="21"/>
              </w:rPr>
            </w:pPr>
            <w:r w:rsidRPr="003300B7">
              <w:rPr>
                <w:sz w:val="21"/>
                <w:szCs w:val="21"/>
              </w:rPr>
              <w:t xml:space="preserve">UN Trust Fund to End Violence against Women </w:t>
            </w:r>
          </w:p>
        </w:tc>
      </w:tr>
      <w:tr w:rsidR="00B93671" w14:paraId="02B924C8" w14:textId="77777777" w:rsidTr="00AE1025">
        <w:tc>
          <w:tcPr>
            <w:tcW w:w="3168" w:type="dxa"/>
            <w:shd w:val="clear" w:color="auto" w:fill="FFFFFF" w:themeFill="background1"/>
          </w:tcPr>
          <w:p w14:paraId="43187ADA" w14:textId="13C4C0F6" w:rsidR="00B93671" w:rsidRPr="003300B7" w:rsidRDefault="00B93671" w:rsidP="00B93671">
            <w:pPr>
              <w:rPr>
                <w:sz w:val="21"/>
                <w:szCs w:val="21"/>
              </w:rPr>
            </w:pPr>
            <w:r w:rsidRPr="003300B7">
              <w:rPr>
                <w:sz w:val="21"/>
                <w:szCs w:val="21"/>
              </w:rPr>
              <w:t>UPR</w:t>
            </w:r>
          </w:p>
        </w:tc>
        <w:tc>
          <w:tcPr>
            <w:tcW w:w="8640" w:type="dxa"/>
            <w:shd w:val="clear" w:color="auto" w:fill="FFFFFF" w:themeFill="background1"/>
          </w:tcPr>
          <w:p w14:paraId="1D2DD7B6" w14:textId="7E2B489A" w:rsidR="00B93671" w:rsidRPr="003300B7" w:rsidRDefault="00B93671" w:rsidP="00B93671">
            <w:pPr>
              <w:rPr>
                <w:sz w:val="21"/>
                <w:szCs w:val="21"/>
              </w:rPr>
            </w:pPr>
            <w:r w:rsidRPr="003300B7">
              <w:rPr>
                <w:sz w:val="21"/>
                <w:szCs w:val="21"/>
              </w:rPr>
              <w:t>Universal Periodic Review</w:t>
            </w:r>
          </w:p>
        </w:tc>
      </w:tr>
      <w:tr w:rsidR="00B93671" w14:paraId="1FE243C0" w14:textId="77777777" w:rsidTr="00AE1025">
        <w:tc>
          <w:tcPr>
            <w:tcW w:w="3168" w:type="dxa"/>
            <w:shd w:val="clear" w:color="auto" w:fill="FFFFFF" w:themeFill="background1"/>
          </w:tcPr>
          <w:p w14:paraId="39DFF5D2" w14:textId="464DEFFF" w:rsidR="00B93671" w:rsidRPr="003300B7" w:rsidRDefault="00B93671" w:rsidP="00B93671">
            <w:pPr>
              <w:rPr>
                <w:sz w:val="21"/>
                <w:szCs w:val="21"/>
              </w:rPr>
            </w:pPr>
            <w:r w:rsidRPr="003300B7">
              <w:rPr>
                <w:sz w:val="21"/>
                <w:szCs w:val="21"/>
              </w:rPr>
              <w:t>WDD</w:t>
            </w:r>
          </w:p>
        </w:tc>
        <w:tc>
          <w:tcPr>
            <w:tcW w:w="8640" w:type="dxa"/>
            <w:shd w:val="clear" w:color="auto" w:fill="FFFFFF" w:themeFill="background1"/>
          </w:tcPr>
          <w:p w14:paraId="5FE64497" w14:textId="36FCDBE9" w:rsidR="00B93671" w:rsidRPr="003300B7" w:rsidRDefault="00B93671" w:rsidP="00B93671">
            <w:pPr>
              <w:rPr>
                <w:sz w:val="21"/>
                <w:szCs w:val="21"/>
              </w:rPr>
            </w:pPr>
            <w:r w:rsidRPr="003300B7">
              <w:rPr>
                <w:sz w:val="21"/>
                <w:szCs w:val="21"/>
              </w:rPr>
              <w:t>Women’s Development Division</w:t>
            </w:r>
          </w:p>
        </w:tc>
      </w:tr>
      <w:tr w:rsidR="00B93671" w14:paraId="031BBF67" w14:textId="77777777" w:rsidTr="00AE1025">
        <w:tc>
          <w:tcPr>
            <w:tcW w:w="3168" w:type="dxa"/>
            <w:shd w:val="clear" w:color="auto" w:fill="FFFFFF" w:themeFill="background1"/>
          </w:tcPr>
          <w:p w14:paraId="63475880" w14:textId="5A8A8F8F" w:rsidR="00B93671" w:rsidRPr="003300B7" w:rsidRDefault="00B93671" w:rsidP="00B93671">
            <w:pPr>
              <w:rPr>
                <w:sz w:val="21"/>
                <w:szCs w:val="21"/>
              </w:rPr>
            </w:pPr>
            <w:r w:rsidRPr="003300B7">
              <w:rPr>
                <w:sz w:val="21"/>
                <w:szCs w:val="21"/>
              </w:rPr>
              <w:t>WHO</w:t>
            </w:r>
          </w:p>
        </w:tc>
        <w:tc>
          <w:tcPr>
            <w:tcW w:w="8640" w:type="dxa"/>
            <w:shd w:val="clear" w:color="auto" w:fill="FFFFFF" w:themeFill="background1"/>
          </w:tcPr>
          <w:p w14:paraId="431B2308" w14:textId="10B24330" w:rsidR="00B93671" w:rsidRPr="003300B7" w:rsidRDefault="00B93671" w:rsidP="00B93671">
            <w:pPr>
              <w:rPr>
                <w:sz w:val="21"/>
                <w:szCs w:val="21"/>
              </w:rPr>
            </w:pPr>
            <w:r w:rsidRPr="003300B7">
              <w:rPr>
                <w:sz w:val="21"/>
                <w:szCs w:val="21"/>
              </w:rPr>
              <w:t>World Health Organisation</w:t>
            </w:r>
          </w:p>
        </w:tc>
      </w:tr>
    </w:tbl>
    <w:p w14:paraId="3E8BDF16" w14:textId="77777777" w:rsidR="00814B88" w:rsidRDefault="00814B88" w:rsidP="00C42B7B">
      <w:pPr>
        <w:spacing w:after="0" w:line="240" w:lineRule="auto"/>
      </w:pPr>
    </w:p>
    <w:sectPr w:rsidR="00814B88" w:rsidSect="003F733E">
      <w:headerReference w:type="default" r:id="rId20"/>
      <w:footerReference w:type="default" r:id="rId21"/>
      <w:pgSz w:w="15840" w:h="12240" w:orient="landscape"/>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478F" w14:textId="77777777" w:rsidR="0039142E" w:rsidRDefault="0039142E" w:rsidP="0005263A">
      <w:pPr>
        <w:spacing w:after="0" w:line="240" w:lineRule="auto"/>
      </w:pPr>
      <w:r>
        <w:separator/>
      </w:r>
    </w:p>
  </w:endnote>
  <w:endnote w:type="continuationSeparator" w:id="0">
    <w:p w14:paraId="2337206D" w14:textId="77777777" w:rsidR="0039142E" w:rsidRDefault="0039142E" w:rsidP="0005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Regular">
    <w:altName w:val="Times New Roman"/>
    <w:panose1 w:val="00000000000000000000"/>
    <w:charset w:val="00"/>
    <w:family w:val="auto"/>
    <w:notTrueType/>
    <w:pitch w:val="default"/>
    <w:sig w:usb0="00000003" w:usb1="00000000" w:usb2="00000000" w:usb3="00000000" w:csb0="00000001" w:csb1="00000000"/>
  </w:font>
  <w:font w:name="MS P????">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29651"/>
      <w:docPartObj>
        <w:docPartGallery w:val="Page Numbers (Bottom of Page)"/>
        <w:docPartUnique/>
      </w:docPartObj>
    </w:sdtPr>
    <w:sdtEndPr>
      <w:rPr>
        <w:noProof/>
      </w:rPr>
    </w:sdtEndPr>
    <w:sdtContent>
      <w:p w14:paraId="6F93E553" w14:textId="7DC35048" w:rsidR="001D443B" w:rsidRDefault="001D443B" w:rsidP="00702BEE">
        <w:pPr>
          <w:pStyle w:val="Footer"/>
          <w:tabs>
            <w:tab w:val="left" w:pos="6311"/>
            <w:tab w:val="center" w:pos="6480"/>
          </w:tabs>
        </w:pPr>
        <w:r>
          <w:tab/>
        </w:r>
        <w:r>
          <w:tab/>
        </w:r>
        <w:r>
          <w:tab/>
        </w:r>
        <w:r w:rsidRPr="00065213">
          <w:rPr>
            <w:sz w:val="20"/>
            <w:szCs w:val="20"/>
          </w:rPr>
          <w:fldChar w:fldCharType="begin"/>
        </w:r>
        <w:r w:rsidRPr="00065213">
          <w:rPr>
            <w:sz w:val="20"/>
            <w:szCs w:val="20"/>
          </w:rPr>
          <w:instrText xml:space="preserve"> PAGE   \* MERGEFORMAT </w:instrText>
        </w:r>
        <w:r w:rsidRPr="00065213">
          <w:rPr>
            <w:sz w:val="20"/>
            <w:szCs w:val="20"/>
          </w:rPr>
          <w:fldChar w:fldCharType="separate"/>
        </w:r>
        <w:r w:rsidR="001A3DBA">
          <w:rPr>
            <w:noProof/>
            <w:sz w:val="20"/>
            <w:szCs w:val="20"/>
          </w:rPr>
          <w:t>2</w:t>
        </w:r>
        <w:r w:rsidRPr="00065213">
          <w:rPr>
            <w:noProof/>
            <w:sz w:val="20"/>
            <w:szCs w:val="20"/>
          </w:rPr>
          <w:fldChar w:fldCharType="end"/>
        </w:r>
      </w:p>
    </w:sdtContent>
  </w:sdt>
  <w:p w14:paraId="17D19EA9" w14:textId="77777777" w:rsidR="001D443B" w:rsidRDefault="001D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C43E" w14:textId="77777777" w:rsidR="0039142E" w:rsidRDefault="0039142E" w:rsidP="0005263A">
      <w:pPr>
        <w:spacing w:after="0" w:line="240" w:lineRule="auto"/>
      </w:pPr>
      <w:r>
        <w:separator/>
      </w:r>
    </w:p>
  </w:footnote>
  <w:footnote w:type="continuationSeparator" w:id="0">
    <w:p w14:paraId="097072FF" w14:textId="77777777" w:rsidR="0039142E" w:rsidRDefault="0039142E" w:rsidP="0005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80CB" w14:textId="77777777" w:rsidR="001D443B" w:rsidRPr="0068332C" w:rsidRDefault="001D443B" w:rsidP="00D969D4">
    <w:pPr>
      <w:pStyle w:val="Header"/>
      <w:jc w:val="right"/>
      <w:rPr>
        <w:sz w:val="16"/>
        <w:szCs w:val="16"/>
      </w:rPr>
    </w:pPr>
    <w:r w:rsidRPr="0068332C">
      <w:rPr>
        <w:sz w:val="16"/>
        <w:szCs w:val="16"/>
      </w:rPr>
      <w:t xml:space="preserve">Narrative Report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208" w:hanging="360"/>
      </w:pPr>
      <w:rPr>
        <w:rFonts w:ascii="Symbol" w:hAnsi="Symbol" w:cs="Symbol"/>
        <w:b w:val="0"/>
        <w:bCs w:val="0"/>
        <w:w w:val="100"/>
        <w:sz w:val="22"/>
        <w:szCs w:val="22"/>
      </w:rPr>
    </w:lvl>
    <w:lvl w:ilvl="1">
      <w:numFmt w:val="bullet"/>
      <w:lvlText w:val="•"/>
      <w:lvlJc w:val="left"/>
      <w:pPr>
        <w:ind w:left="6790" w:hanging="360"/>
      </w:pPr>
    </w:lvl>
    <w:lvl w:ilvl="2">
      <w:numFmt w:val="bullet"/>
      <w:lvlText w:val="•"/>
      <w:lvlJc w:val="left"/>
      <w:pPr>
        <w:ind w:left="7380" w:hanging="360"/>
      </w:pPr>
    </w:lvl>
    <w:lvl w:ilvl="3">
      <w:numFmt w:val="bullet"/>
      <w:lvlText w:val="•"/>
      <w:lvlJc w:val="left"/>
      <w:pPr>
        <w:ind w:left="7970" w:hanging="360"/>
      </w:pPr>
    </w:lvl>
    <w:lvl w:ilvl="4">
      <w:numFmt w:val="bullet"/>
      <w:lvlText w:val="•"/>
      <w:lvlJc w:val="left"/>
      <w:pPr>
        <w:ind w:left="8560" w:hanging="360"/>
      </w:pPr>
    </w:lvl>
    <w:lvl w:ilvl="5">
      <w:numFmt w:val="bullet"/>
      <w:lvlText w:val="•"/>
      <w:lvlJc w:val="left"/>
      <w:pPr>
        <w:ind w:left="9150" w:hanging="360"/>
      </w:pPr>
    </w:lvl>
    <w:lvl w:ilvl="6">
      <w:numFmt w:val="bullet"/>
      <w:lvlText w:val="•"/>
      <w:lvlJc w:val="left"/>
      <w:pPr>
        <w:ind w:left="9740" w:hanging="360"/>
      </w:pPr>
    </w:lvl>
    <w:lvl w:ilvl="7">
      <w:numFmt w:val="bullet"/>
      <w:lvlText w:val="•"/>
      <w:lvlJc w:val="left"/>
      <w:pPr>
        <w:ind w:left="10330" w:hanging="360"/>
      </w:pPr>
    </w:lvl>
    <w:lvl w:ilvl="8">
      <w:numFmt w:val="bullet"/>
      <w:lvlText w:val="•"/>
      <w:lvlJc w:val="left"/>
      <w:pPr>
        <w:ind w:left="10920" w:hanging="360"/>
      </w:pPr>
    </w:lvl>
  </w:abstractNum>
  <w:abstractNum w:abstractNumId="1" w15:restartNumberingAfterBreak="0">
    <w:nsid w:val="06AD4AEB"/>
    <w:multiLevelType w:val="hybridMultilevel"/>
    <w:tmpl w:val="CBB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4489"/>
    <w:multiLevelType w:val="hybridMultilevel"/>
    <w:tmpl w:val="1F62538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264D"/>
    <w:multiLevelType w:val="hybridMultilevel"/>
    <w:tmpl w:val="03260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5BA"/>
    <w:multiLevelType w:val="hybridMultilevel"/>
    <w:tmpl w:val="7B5CF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F82600"/>
    <w:multiLevelType w:val="hybridMultilevel"/>
    <w:tmpl w:val="02F4C05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9976601"/>
    <w:multiLevelType w:val="hybridMultilevel"/>
    <w:tmpl w:val="E006FA5C"/>
    <w:lvl w:ilvl="0" w:tplc="6CF46148">
      <w:start w:val="1"/>
      <w:numFmt w:val="bullet"/>
      <w:lvlText w:val=""/>
      <w:lvlJc w:val="left"/>
      <w:pPr>
        <w:ind w:left="360" w:hanging="360"/>
      </w:pPr>
      <w:rPr>
        <w:rFonts w:ascii="Symbol" w:hAnsi="Symbol" w:hint="default"/>
        <w:u w:color="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F08BE"/>
    <w:multiLevelType w:val="hybridMultilevel"/>
    <w:tmpl w:val="2D62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41DEA"/>
    <w:multiLevelType w:val="hybridMultilevel"/>
    <w:tmpl w:val="03260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43F5D"/>
    <w:multiLevelType w:val="hybridMultilevel"/>
    <w:tmpl w:val="20EEA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10C42"/>
    <w:multiLevelType w:val="multilevel"/>
    <w:tmpl w:val="E6BE96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0F57097"/>
    <w:multiLevelType w:val="multilevel"/>
    <w:tmpl w:val="FE52530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1B244D3"/>
    <w:multiLevelType w:val="hybridMultilevel"/>
    <w:tmpl w:val="4C54C5C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444282"/>
    <w:multiLevelType w:val="hybridMultilevel"/>
    <w:tmpl w:val="6C9E6DFE"/>
    <w:lvl w:ilvl="0" w:tplc="5AE6C1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248"/>
    <w:multiLevelType w:val="hybridMultilevel"/>
    <w:tmpl w:val="604E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92690"/>
    <w:multiLevelType w:val="hybridMultilevel"/>
    <w:tmpl w:val="1F543312"/>
    <w:lvl w:ilvl="0" w:tplc="0409000D">
      <w:start w:val="1"/>
      <w:numFmt w:val="bullet"/>
      <w:lvlText w:val=""/>
      <w:lvlJc w:val="left"/>
      <w:pPr>
        <w:ind w:left="1080" w:hanging="360"/>
      </w:pPr>
      <w:rPr>
        <w:rFonts w:ascii="Wingdings" w:hAnsi="Wingdings" w:hint="default"/>
        <w:color w:val="auto"/>
        <w:u w:color="0070C0"/>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7B44C1"/>
    <w:multiLevelType w:val="multilevel"/>
    <w:tmpl w:val="84844AE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B72325"/>
    <w:multiLevelType w:val="hybridMultilevel"/>
    <w:tmpl w:val="A34620D8"/>
    <w:lvl w:ilvl="0" w:tplc="04090001">
      <w:start w:val="1"/>
      <w:numFmt w:val="bullet"/>
      <w:lvlText w:val=""/>
      <w:lvlJc w:val="left"/>
      <w:pPr>
        <w:ind w:left="720" w:hanging="360"/>
      </w:pPr>
      <w:rPr>
        <w:rFonts w:ascii="Symbol" w:hAnsi="Symbol" w:hint="default"/>
        <w:b/>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A5A1B"/>
    <w:multiLevelType w:val="hybridMultilevel"/>
    <w:tmpl w:val="1AA48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545DEC"/>
    <w:multiLevelType w:val="hybridMultilevel"/>
    <w:tmpl w:val="A066131C"/>
    <w:lvl w:ilvl="0" w:tplc="986A8E4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0F63"/>
    <w:multiLevelType w:val="hybridMultilevel"/>
    <w:tmpl w:val="48D225E2"/>
    <w:lvl w:ilvl="0" w:tplc="C3589CF8">
      <w:start w:val="1"/>
      <w:numFmt w:val="decimal"/>
      <w:lvlText w:val="%1."/>
      <w:lvlJc w:val="left"/>
      <w:pPr>
        <w:ind w:left="360" w:hanging="360"/>
      </w:pPr>
      <w:rPr>
        <w:rFonts w:asciiTheme="minorHAnsi" w:eastAsiaTheme="minorHAnsi" w:hAnsiTheme="minorHAnsi" w:cstheme="minorHAnsi"/>
      </w:rPr>
    </w:lvl>
    <w:lvl w:ilvl="1" w:tplc="6CF46148">
      <w:start w:val="1"/>
      <w:numFmt w:val="bullet"/>
      <w:lvlText w:val=""/>
      <w:lvlJc w:val="left"/>
      <w:pPr>
        <w:ind w:left="1080" w:hanging="360"/>
      </w:pPr>
      <w:rPr>
        <w:rFonts w:ascii="Symbol" w:hAnsi="Symbol" w:hint="default"/>
        <w:u w:color="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201C2E"/>
    <w:multiLevelType w:val="hybridMultilevel"/>
    <w:tmpl w:val="9ACC2520"/>
    <w:lvl w:ilvl="0" w:tplc="8D98AA5A">
      <w:start w:val="1"/>
      <w:numFmt w:val="decimal"/>
      <w:lvlText w:val="%1."/>
      <w:lvlJc w:val="left"/>
      <w:pPr>
        <w:ind w:left="360" w:hanging="360"/>
      </w:pPr>
      <w:rPr>
        <w:rFonts w:asciiTheme="minorHAnsi" w:eastAsiaTheme="minorEastAsia"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706FE"/>
    <w:multiLevelType w:val="hybridMultilevel"/>
    <w:tmpl w:val="64A4449C"/>
    <w:lvl w:ilvl="0" w:tplc="8794E0CE">
      <w:start w:val="1"/>
      <w:numFmt w:val="decimal"/>
      <w:lvlText w:val="%1."/>
      <w:lvlJc w:val="left"/>
      <w:pPr>
        <w:ind w:left="648" w:hanging="360"/>
      </w:pPr>
      <w:rPr>
        <w:rFonts w:asciiTheme="minorHAnsi" w:eastAsiaTheme="minorEastAsia" w:hAnsiTheme="minorHAnsi" w:cstheme="minorHAnsi"/>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CDE1940"/>
    <w:multiLevelType w:val="hybridMultilevel"/>
    <w:tmpl w:val="E75E8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26004C2"/>
    <w:multiLevelType w:val="hybridMultilevel"/>
    <w:tmpl w:val="A95A6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54F62"/>
    <w:multiLevelType w:val="hybridMultilevel"/>
    <w:tmpl w:val="5546C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006E00"/>
    <w:multiLevelType w:val="hybridMultilevel"/>
    <w:tmpl w:val="A8D481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9624453"/>
    <w:multiLevelType w:val="hybridMultilevel"/>
    <w:tmpl w:val="EC5057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556A4"/>
    <w:multiLevelType w:val="hybridMultilevel"/>
    <w:tmpl w:val="216A2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A26E5"/>
    <w:multiLevelType w:val="hybridMultilevel"/>
    <w:tmpl w:val="5E101F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C690330"/>
    <w:multiLevelType w:val="hybridMultilevel"/>
    <w:tmpl w:val="ABB6F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2B14D1"/>
    <w:multiLevelType w:val="hybridMultilevel"/>
    <w:tmpl w:val="23FABA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A1978"/>
    <w:multiLevelType w:val="multilevel"/>
    <w:tmpl w:val="B158F9A6"/>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EC61C6"/>
    <w:multiLevelType w:val="multilevel"/>
    <w:tmpl w:val="6D46B7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u w:color="0070C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805F2C"/>
    <w:multiLevelType w:val="hybridMultilevel"/>
    <w:tmpl w:val="D61A43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E091EC4"/>
    <w:multiLevelType w:val="hybridMultilevel"/>
    <w:tmpl w:val="D832B1E2"/>
    <w:lvl w:ilvl="0" w:tplc="7F846622">
      <w:start w:val="1"/>
      <w:numFmt w:val="bullet"/>
      <w:lvlText w:val=""/>
      <w:lvlJc w:val="left"/>
      <w:pPr>
        <w:ind w:left="720" w:hanging="360"/>
      </w:pPr>
      <w:rPr>
        <w:rFonts w:ascii="Symbol" w:hAnsi="Symbol"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D1F22"/>
    <w:multiLevelType w:val="hybridMultilevel"/>
    <w:tmpl w:val="3F3AEF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21B70"/>
    <w:multiLevelType w:val="hybridMultilevel"/>
    <w:tmpl w:val="B7B2D7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9E10F54"/>
    <w:multiLevelType w:val="hybridMultilevel"/>
    <w:tmpl w:val="6D3C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2870"/>
    <w:multiLevelType w:val="multilevel"/>
    <w:tmpl w:val="DE78226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28"/>
  </w:num>
  <w:num w:numId="3">
    <w:abstractNumId w:val="7"/>
  </w:num>
  <w:num w:numId="4">
    <w:abstractNumId w:val="16"/>
  </w:num>
  <w:num w:numId="5">
    <w:abstractNumId w:val="17"/>
  </w:num>
  <w:num w:numId="6">
    <w:abstractNumId w:val="31"/>
  </w:num>
  <w:num w:numId="7">
    <w:abstractNumId w:val="2"/>
  </w:num>
  <w:num w:numId="8">
    <w:abstractNumId w:val="30"/>
  </w:num>
  <w:num w:numId="9">
    <w:abstractNumId w:val="5"/>
  </w:num>
  <w:num w:numId="10">
    <w:abstractNumId w:val="12"/>
  </w:num>
  <w:num w:numId="11">
    <w:abstractNumId w:val="29"/>
  </w:num>
  <w:num w:numId="12">
    <w:abstractNumId w:val="3"/>
  </w:num>
  <w:num w:numId="13">
    <w:abstractNumId w:val="9"/>
  </w:num>
  <w:num w:numId="14">
    <w:abstractNumId w:val="14"/>
  </w:num>
  <w:num w:numId="15">
    <w:abstractNumId w:val="10"/>
  </w:num>
  <w:num w:numId="16">
    <w:abstractNumId w:val="11"/>
  </w:num>
  <w:num w:numId="17">
    <w:abstractNumId w:val="1"/>
  </w:num>
  <w:num w:numId="18">
    <w:abstractNumId w:val="38"/>
  </w:num>
  <w:num w:numId="19">
    <w:abstractNumId w:val="26"/>
  </w:num>
  <w:num w:numId="20">
    <w:abstractNumId w:val="8"/>
  </w:num>
  <w:num w:numId="21">
    <w:abstractNumId w:val="13"/>
  </w:num>
  <w:num w:numId="22">
    <w:abstractNumId w:val="34"/>
  </w:num>
  <w:num w:numId="23">
    <w:abstractNumId w:val="23"/>
  </w:num>
  <w:num w:numId="24">
    <w:abstractNumId w:val="37"/>
  </w:num>
  <w:num w:numId="25">
    <w:abstractNumId w:val="20"/>
  </w:num>
  <w:num w:numId="26">
    <w:abstractNumId w:val="2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2"/>
  </w:num>
  <w:num w:numId="30">
    <w:abstractNumId w:val="6"/>
  </w:num>
  <w:num w:numId="31">
    <w:abstractNumId w:val="27"/>
  </w:num>
  <w:num w:numId="32">
    <w:abstractNumId w:val="4"/>
  </w:num>
  <w:num w:numId="33">
    <w:abstractNumId w:val="33"/>
  </w:num>
  <w:num w:numId="34">
    <w:abstractNumId w:val="15"/>
  </w:num>
  <w:num w:numId="35">
    <w:abstractNumId w:val="24"/>
  </w:num>
  <w:num w:numId="36">
    <w:abstractNumId w:val="35"/>
  </w:num>
  <w:num w:numId="37">
    <w:abstractNumId w:val="36"/>
  </w:num>
  <w:num w:numId="38">
    <w:abstractNumId w:val="18"/>
  </w:num>
  <w:num w:numId="39">
    <w:abstractNumId w:val="19"/>
  </w:num>
  <w:num w:numId="4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E"/>
    <w:rsid w:val="000029F3"/>
    <w:rsid w:val="000044E6"/>
    <w:rsid w:val="00004722"/>
    <w:rsid w:val="00010C9E"/>
    <w:rsid w:val="00014E85"/>
    <w:rsid w:val="00015085"/>
    <w:rsid w:val="0001741C"/>
    <w:rsid w:val="0002007A"/>
    <w:rsid w:val="0003450F"/>
    <w:rsid w:val="0003681F"/>
    <w:rsid w:val="0003783B"/>
    <w:rsid w:val="00041406"/>
    <w:rsid w:val="00041FCF"/>
    <w:rsid w:val="00042385"/>
    <w:rsid w:val="00045EF6"/>
    <w:rsid w:val="000463E4"/>
    <w:rsid w:val="0005089E"/>
    <w:rsid w:val="00051406"/>
    <w:rsid w:val="00052453"/>
    <w:rsid w:val="0005263A"/>
    <w:rsid w:val="00060589"/>
    <w:rsid w:val="00062D96"/>
    <w:rsid w:val="000647E2"/>
    <w:rsid w:val="00065213"/>
    <w:rsid w:val="00067B11"/>
    <w:rsid w:val="00074B2B"/>
    <w:rsid w:val="00074D57"/>
    <w:rsid w:val="00075A72"/>
    <w:rsid w:val="00076168"/>
    <w:rsid w:val="00076750"/>
    <w:rsid w:val="00077F78"/>
    <w:rsid w:val="0008149B"/>
    <w:rsid w:val="000876FB"/>
    <w:rsid w:val="00091F75"/>
    <w:rsid w:val="00092680"/>
    <w:rsid w:val="00097F9F"/>
    <w:rsid w:val="000A1FA1"/>
    <w:rsid w:val="000A2411"/>
    <w:rsid w:val="000A2AAD"/>
    <w:rsid w:val="000A2CD6"/>
    <w:rsid w:val="000A59D8"/>
    <w:rsid w:val="000B1D2A"/>
    <w:rsid w:val="000B3700"/>
    <w:rsid w:val="000B63B0"/>
    <w:rsid w:val="000B78A6"/>
    <w:rsid w:val="000C412B"/>
    <w:rsid w:val="000D3289"/>
    <w:rsid w:val="000D55FB"/>
    <w:rsid w:val="000D6434"/>
    <w:rsid w:val="000D7798"/>
    <w:rsid w:val="000E41C8"/>
    <w:rsid w:val="000E4DE3"/>
    <w:rsid w:val="000E6CF3"/>
    <w:rsid w:val="000E7804"/>
    <w:rsid w:val="000F5570"/>
    <w:rsid w:val="00100F0E"/>
    <w:rsid w:val="00101F61"/>
    <w:rsid w:val="001052A5"/>
    <w:rsid w:val="00105540"/>
    <w:rsid w:val="00105C87"/>
    <w:rsid w:val="00106234"/>
    <w:rsid w:val="00106C3B"/>
    <w:rsid w:val="00106D0F"/>
    <w:rsid w:val="00112086"/>
    <w:rsid w:val="001147F9"/>
    <w:rsid w:val="001158DB"/>
    <w:rsid w:val="00115936"/>
    <w:rsid w:val="0011695F"/>
    <w:rsid w:val="00117E05"/>
    <w:rsid w:val="00122196"/>
    <w:rsid w:val="00122ED5"/>
    <w:rsid w:val="001276CF"/>
    <w:rsid w:val="00132DB3"/>
    <w:rsid w:val="0013556A"/>
    <w:rsid w:val="00136544"/>
    <w:rsid w:val="00136800"/>
    <w:rsid w:val="00136AB7"/>
    <w:rsid w:val="00136EAE"/>
    <w:rsid w:val="0014138C"/>
    <w:rsid w:val="00141941"/>
    <w:rsid w:val="00143071"/>
    <w:rsid w:val="00143FEB"/>
    <w:rsid w:val="001447A4"/>
    <w:rsid w:val="0015716E"/>
    <w:rsid w:val="0016139A"/>
    <w:rsid w:val="00163EB4"/>
    <w:rsid w:val="00163F6E"/>
    <w:rsid w:val="001717C0"/>
    <w:rsid w:val="001717D7"/>
    <w:rsid w:val="00172687"/>
    <w:rsid w:val="001726B3"/>
    <w:rsid w:val="001739E3"/>
    <w:rsid w:val="00173D00"/>
    <w:rsid w:val="00175005"/>
    <w:rsid w:val="001758BD"/>
    <w:rsid w:val="00176A0A"/>
    <w:rsid w:val="00177307"/>
    <w:rsid w:val="00183085"/>
    <w:rsid w:val="00186C2E"/>
    <w:rsid w:val="001873A8"/>
    <w:rsid w:val="00191868"/>
    <w:rsid w:val="00191E84"/>
    <w:rsid w:val="00194CF8"/>
    <w:rsid w:val="00195D85"/>
    <w:rsid w:val="00197192"/>
    <w:rsid w:val="001A0A69"/>
    <w:rsid w:val="001A1925"/>
    <w:rsid w:val="001A25F9"/>
    <w:rsid w:val="001A3DBA"/>
    <w:rsid w:val="001A3FDC"/>
    <w:rsid w:val="001A43EF"/>
    <w:rsid w:val="001A74A6"/>
    <w:rsid w:val="001B1F59"/>
    <w:rsid w:val="001B37F4"/>
    <w:rsid w:val="001B4FB2"/>
    <w:rsid w:val="001C00C6"/>
    <w:rsid w:val="001C112E"/>
    <w:rsid w:val="001C17E3"/>
    <w:rsid w:val="001C5938"/>
    <w:rsid w:val="001D443B"/>
    <w:rsid w:val="001D5FE8"/>
    <w:rsid w:val="001D6FF4"/>
    <w:rsid w:val="001E0D45"/>
    <w:rsid w:val="001E389E"/>
    <w:rsid w:val="001E4B02"/>
    <w:rsid w:val="001E4B87"/>
    <w:rsid w:val="001E63C2"/>
    <w:rsid w:val="001F0995"/>
    <w:rsid w:val="001F13F8"/>
    <w:rsid w:val="001F3CB4"/>
    <w:rsid w:val="001F62AB"/>
    <w:rsid w:val="0020081B"/>
    <w:rsid w:val="00200F5F"/>
    <w:rsid w:val="00202EA6"/>
    <w:rsid w:val="00204128"/>
    <w:rsid w:val="00206F3D"/>
    <w:rsid w:val="00207FD6"/>
    <w:rsid w:val="00211708"/>
    <w:rsid w:val="00213D6F"/>
    <w:rsid w:val="00214FD3"/>
    <w:rsid w:val="00215B74"/>
    <w:rsid w:val="00217D69"/>
    <w:rsid w:val="00222B8B"/>
    <w:rsid w:val="002255E2"/>
    <w:rsid w:val="002269FB"/>
    <w:rsid w:val="00236413"/>
    <w:rsid w:val="002435DA"/>
    <w:rsid w:val="00245E63"/>
    <w:rsid w:val="00247855"/>
    <w:rsid w:val="002478F1"/>
    <w:rsid w:val="00247EF6"/>
    <w:rsid w:val="00250C85"/>
    <w:rsid w:val="002532F5"/>
    <w:rsid w:val="00253F18"/>
    <w:rsid w:val="00255C8A"/>
    <w:rsid w:val="00256962"/>
    <w:rsid w:val="002600AE"/>
    <w:rsid w:val="00260CCF"/>
    <w:rsid w:val="00261B1A"/>
    <w:rsid w:val="002627B2"/>
    <w:rsid w:val="00263032"/>
    <w:rsid w:val="00264F20"/>
    <w:rsid w:val="00267B80"/>
    <w:rsid w:val="00267B85"/>
    <w:rsid w:val="00270814"/>
    <w:rsid w:val="00271D59"/>
    <w:rsid w:val="00272467"/>
    <w:rsid w:val="00273F69"/>
    <w:rsid w:val="00277EC3"/>
    <w:rsid w:val="00287C75"/>
    <w:rsid w:val="0029024B"/>
    <w:rsid w:val="002906D9"/>
    <w:rsid w:val="002A1036"/>
    <w:rsid w:val="002A1F33"/>
    <w:rsid w:val="002A5183"/>
    <w:rsid w:val="002A7B33"/>
    <w:rsid w:val="002B0A7B"/>
    <w:rsid w:val="002B1C19"/>
    <w:rsid w:val="002B1F72"/>
    <w:rsid w:val="002C0B42"/>
    <w:rsid w:val="002C55EE"/>
    <w:rsid w:val="002C7576"/>
    <w:rsid w:val="002D1BCB"/>
    <w:rsid w:val="002D4495"/>
    <w:rsid w:val="002D4696"/>
    <w:rsid w:val="002D6D79"/>
    <w:rsid w:val="002E2AC9"/>
    <w:rsid w:val="002F4E96"/>
    <w:rsid w:val="0030031C"/>
    <w:rsid w:val="0030455E"/>
    <w:rsid w:val="003051EF"/>
    <w:rsid w:val="00305F2D"/>
    <w:rsid w:val="00306F11"/>
    <w:rsid w:val="00307B36"/>
    <w:rsid w:val="003210A1"/>
    <w:rsid w:val="00323081"/>
    <w:rsid w:val="00326D8D"/>
    <w:rsid w:val="00327084"/>
    <w:rsid w:val="003302ED"/>
    <w:rsid w:val="00330806"/>
    <w:rsid w:val="0033150C"/>
    <w:rsid w:val="00332D12"/>
    <w:rsid w:val="00334366"/>
    <w:rsid w:val="0033642C"/>
    <w:rsid w:val="00336F34"/>
    <w:rsid w:val="003408AD"/>
    <w:rsid w:val="003408F0"/>
    <w:rsid w:val="00344F2A"/>
    <w:rsid w:val="00345F59"/>
    <w:rsid w:val="003505DF"/>
    <w:rsid w:val="00350A8D"/>
    <w:rsid w:val="00352145"/>
    <w:rsid w:val="00357123"/>
    <w:rsid w:val="00374CF1"/>
    <w:rsid w:val="003764C9"/>
    <w:rsid w:val="003771B2"/>
    <w:rsid w:val="00377C5C"/>
    <w:rsid w:val="00380039"/>
    <w:rsid w:val="00384E5A"/>
    <w:rsid w:val="00387CBC"/>
    <w:rsid w:val="003909EB"/>
    <w:rsid w:val="0039142E"/>
    <w:rsid w:val="00394531"/>
    <w:rsid w:val="003A1C3E"/>
    <w:rsid w:val="003A3011"/>
    <w:rsid w:val="003A5DBC"/>
    <w:rsid w:val="003A66A5"/>
    <w:rsid w:val="003B0E10"/>
    <w:rsid w:val="003B1C5F"/>
    <w:rsid w:val="003B371E"/>
    <w:rsid w:val="003B6A98"/>
    <w:rsid w:val="003B6C54"/>
    <w:rsid w:val="003B730E"/>
    <w:rsid w:val="003C1A74"/>
    <w:rsid w:val="003C1ACF"/>
    <w:rsid w:val="003C60FD"/>
    <w:rsid w:val="003D0329"/>
    <w:rsid w:val="003D2D5C"/>
    <w:rsid w:val="003D3A86"/>
    <w:rsid w:val="003D458D"/>
    <w:rsid w:val="003D573F"/>
    <w:rsid w:val="003E35DF"/>
    <w:rsid w:val="003F2EF7"/>
    <w:rsid w:val="003F3199"/>
    <w:rsid w:val="003F44FA"/>
    <w:rsid w:val="003F4B69"/>
    <w:rsid w:val="003F58CD"/>
    <w:rsid w:val="003F5A50"/>
    <w:rsid w:val="003F733E"/>
    <w:rsid w:val="00400277"/>
    <w:rsid w:val="00400A2C"/>
    <w:rsid w:val="00405D86"/>
    <w:rsid w:val="00407AFA"/>
    <w:rsid w:val="00410D83"/>
    <w:rsid w:val="004139A8"/>
    <w:rsid w:val="00415122"/>
    <w:rsid w:val="00416FCD"/>
    <w:rsid w:val="0041705A"/>
    <w:rsid w:val="0042012B"/>
    <w:rsid w:val="00422262"/>
    <w:rsid w:val="00423B0E"/>
    <w:rsid w:val="00423BEF"/>
    <w:rsid w:val="00423E17"/>
    <w:rsid w:val="00426002"/>
    <w:rsid w:val="004274C4"/>
    <w:rsid w:val="00430C90"/>
    <w:rsid w:val="00430DF7"/>
    <w:rsid w:val="00431B79"/>
    <w:rsid w:val="004323FA"/>
    <w:rsid w:val="00432F40"/>
    <w:rsid w:val="00437354"/>
    <w:rsid w:val="00437902"/>
    <w:rsid w:val="00440782"/>
    <w:rsid w:val="00440DBF"/>
    <w:rsid w:val="0044251C"/>
    <w:rsid w:val="00442EF6"/>
    <w:rsid w:val="004515C3"/>
    <w:rsid w:val="00452327"/>
    <w:rsid w:val="00453721"/>
    <w:rsid w:val="004623BB"/>
    <w:rsid w:val="00462C11"/>
    <w:rsid w:val="00465A85"/>
    <w:rsid w:val="00467527"/>
    <w:rsid w:val="0047389A"/>
    <w:rsid w:val="0047539A"/>
    <w:rsid w:val="004760E2"/>
    <w:rsid w:val="00481A61"/>
    <w:rsid w:val="0048235A"/>
    <w:rsid w:val="00482BC6"/>
    <w:rsid w:val="004944C2"/>
    <w:rsid w:val="00496ABA"/>
    <w:rsid w:val="00497489"/>
    <w:rsid w:val="004A44D4"/>
    <w:rsid w:val="004B07D3"/>
    <w:rsid w:val="004B0A5D"/>
    <w:rsid w:val="004B3761"/>
    <w:rsid w:val="004B3865"/>
    <w:rsid w:val="004B496C"/>
    <w:rsid w:val="004B5310"/>
    <w:rsid w:val="004C229D"/>
    <w:rsid w:val="004C38F4"/>
    <w:rsid w:val="004C5B21"/>
    <w:rsid w:val="004D5536"/>
    <w:rsid w:val="004D7343"/>
    <w:rsid w:val="004E0BDA"/>
    <w:rsid w:val="004E1AFF"/>
    <w:rsid w:val="004E1B7A"/>
    <w:rsid w:val="004E2308"/>
    <w:rsid w:val="004E23F3"/>
    <w:rsid w:val="004E299E"/>
    <w:rsid w:val="004E2ED7"/>
    <w:rsid w:val="004E35A4"/>
    <w:rsid w:val="004E4A0F"/>
    <w:rsid w:val="004E58AD"/>
    <w:rsid w:val="004E71A7"/>
    <w:rsid w:val="004F0612"/>
    <w:rsid w:val="004F0D42"/>
    <w:rsid w:val="004F1760"/>
    <w:rsid w:val="004F23D1"/>
    <w:rsid w:val="004F4D9C"/>
    <w:rsid w:val="004F5ECA"/>
    <w:rsid w:val="00501538"/>
    <w:rsid w:val="00501CCD"/>
    <w:rsid w:val="00505DAF"/>
    <w:rsid w:val="00511EF6"/>
    <w:rsid w:val="00512055"/>
    <w:rsid w:val="005120A4"/>
    <w:rsid w:val="00512B8A"/>
    <w:rsid w:val="00516D6C"/>
    <w:rsid w:val="00520137"/>
    <w:rsid w:val="00522753"/>
    <w:rsid w:val="00523E5C"/>
    <w:rsid w:val="005246E8"/>
    <w:rsid w:val="00524EB6"/>
    <w:rsid w:val="005257BC"/>
    <w:rsid w:val="00525AAD"/>
    <w:rsid w:val="00531739"/>
    <w:rsid w:val="00531968"/>
    <w:rsid w:val="00537021"/>
    <w:rsid w:val="00550C53"/>
    <w:rsid w:val="00550DAD"/>
    <w:rsid w:val="00551149"/>
    <w:rsid w:val="0055134D"/>
    <w:rsid w:val="0055150A"/>
    <w:rsid w:val="00551912"/>
    <w:rsid w:val="00554084"/>
    <w:rsid w:val="0055619E"/>
    <w:rsid w:val="00556E6C"/>
    <w:rsid w:val="0056473B"/>
    <w:rsid w:val="005657B2"/>
    <w:rsid w:val="00566D0C"/>
    <w:rsid w:val="00567FF3"/>
    <w:rsid w:val="00570BAF"/>
    <w:rsid w:val="0057494F"/>
    <w:rsid w:val="005765CC"/>
    <w:rsid w:val="005814DE"/>
    <w:rsid w:val="00587985"/>
    <w:rsid w:val="00591F6B"/>
    <w:rsid w:val="00593E88"/>
    <w:rsid w:val="00594609"/>
    <w:rsid w:val="0059574C"/>
    <w:rsid w:val="00595925"/>
    <w:rsid w:val="00597782"/>
    <w:rsid w:val="005A2E41"/>
    <w:rsid w:val="005A4EAF"/>
    <w:rsid w:val="005B2518"/>
    <w:rsid w:val="005B3596"/>
    <w:rsid w:val="005B3E16"/>
    <w:rsid w:val="005B3E6C"/>
    <w:rsid w:val="005B62A6"/>
    <w:rsid w:val="005B6FE8"/>
    <w:rsid w:val="005B74C3"/>
    <w:rsid w:val="005B796D"/>
    <w:rsid w:val="005C4A17"/>
    <w:rsid w:val="005C55E8"/>
    <w:rsid w:val="005E073E"/>
    <w:rsid w:val="005E0B85"/>
    <w:rsid w:val="005E40C3"/>
    <w:rsid w:val="005E4523"/>
    <w:rsid w:val="005E47CD"/>
    <w:rsid w:val="005E5587"/>
    <w:rsid w:val="005E7FBD"/>
    <w:rsid w:val="005F1426"/>
    <w:rsid w:val="005F4248"/>
    <w:rsid w:val="005F4D45"/>
    <w:rsid w:val="005F55EC"/>
    <w:rsid w:val="00601BFE"/>
    <w:rsid w:val="006028B2"/>
    <w:rsid w:val="00602EB1"/>
    <w:rsid w:val="006049A5"/>
    <w:rsid w:val="00606BB0"/>
    <w:rsid w:val="006102CF"/>
    <w:rsid w:val="00610C97"/>
    <w:rsid w:val="00612A4D"/>
    <w:rsid w:val="00612D31"/>
    <w:rsid w:val="0061302E"/>
    <w:rsid w:val="006130E4"/>
    <w:rsid w:val="00613969"/>
    <w:rsid w:val="00613A8C"/>
    <w:rsid w:val="00614D94"/>
    <w:rsid w:val="00615396"/>
    <w:rsid w:val="00617186"/>
    <w:rsid w:val="0062178B"/>
    <w:rsid w:val="00623F91"/>
    <w:rsid w:val="00624025"/>
    <w:rsid w:val="00627491"/>
    <w:rsid w:val="00627803"/>
    <w:rsid w:val="00632EF2"/>
    <w:rsid w:val="00634B2A"/>
    <w:rsid w:val="0064055D"/>
    <w:rsid w:val="006463FF"/>
    <w:rsid w:val="00650E1B"/>
    <w:rsid w:val="006534CA"/>
    <w:rsid w:val="006536C5"/>
    <w:rsid w:val="00654821"/>
    <w:rsid w:val="0065645D"/>
    <w:rsid w:val="0066171D"/>
    <w:rsid w:val="006627B8"/>
    <w:rsid w:val="00663876"/>
    <w:rsid w:val="00664976"/>
    <w:rsid w:val="006656CA"/>
    <w:rsid w:val="006714F3"/>
    <w:rsid w:val="00675617"/>
    <w:rsid w:val="00675CF6"/>
    <w:rsid w:val="0068095C"/>
    <w:rsid w:val="00680B75"/>
    <w:rsid w:val="00681982"/>
    <w:rsid w:val="00683008"/>
    <w:rsid w:val="0068332C"/>
    <w:rsid w:val="006854BB"/>
    <w:rsid w:val="00685DE7"/>
    <w:rsid w:val="006864A6"/>
    <w:rsid w:val="006868BD"/>
    <w:rsid w:val="00687388"/>
    <w:rsid w:val="0069112C"/>
    <w:rsid w:val="00693B77"/>
    <w:rsid w:val="006A3C7C"/>
    <w:rsid w:val="006A47E8"/>
    <w:rsid w:val="006A5A9A"/>
    <w:rsid w:val="006A6572"/>
    <w:rsid w:val="006B67B7"/>
    <w:rsid w:val="006B715C"/>
    <w:rsid w:val="006C0307"/>
    <w:rsid w:val="006C2460"/>
    <w:rsid w:val="006C7825"/>
    <w:rsid w:val="006D0912"/>
    <w:rsid w:val="006D1FF9"/>
    <w:rsid w:val="006D37B8"/>
    <w:rsid w:val="006D63AC"/>
    <w:rsid w:val="006E1B40"/>
    <w:rsid w:val="006E3637"/>
    <w:rsid w:val="006E4129"/>
    <w:rsid w:val="006E6B35"/>
    <w:rsid w:val="006E7164"/>
    <w:rsid w:val="006F0675"/>
    <w:rsid w:val="006F2EA5"/>
    <w:rsid w:val="006F429F"/>
    <w:rsid w:val="006F538A"/>
    <w:rsid w:val="00702BEE"/>
    <w:rsid w:val="00704F0D"/>
    <w:rsid w:val="00705EC9"/>
    <w:rsid w:val="00707F96"/>
    <w:rsid w:val="00710BD4"/>
    <w:rsid w:val="00712215"/>
    <w:rsid w:val="00714A6E"/>
    <w:rsid w:val="0071638B"/>
    <w:rsid w:val="007221CA"/>
    <w:rsid w:val="00722CEE"/>
    <w:rsid w:val="00725670"/>
    <w:rsid w:val="007258CB"/>
    <w:rsid w:val="00731BFA"/>
    <w:rsid w:val="007336BB"/>
    <w:rsid w:val="00734648"/>
    <w:rsid w:val="00735373"/>
    <w:rsid w:val="00736F45"/>
    <w:rsid w:val="007407A9"/>
    <w:rsid w:val="00741C50"/>
    <w:rsid w:val="00756A76"/>
    <w:rsid w:val="00756F67"/>
    <w:rsid w:val="00757BB6"/>
    <w:rsid w:val="00760142"/>
    <w:rsid w:val="007617EA"/>
    <w:rsid w:val="007618B4"/>
    <w:rsid w:val="00762FF5"/>
    <w:rsid w:val="007638D2"/>
    <w:rsid w:val="0076403B"/>
    <w:rsid w:val="0076427D"/>
    <w:rsid w:val="00766323"/>
    <w:rsid w:val="007702A5"/>
    <w:rsid w:val="00771F65"/>
    <w:rsid w:val="007727AA"/>
    <w:rsid w:val="00773626"/>
    <w:rsid w:val="00773A08"/>
    <w:rsid w:val="007822FF"/>
    <w:rsid w:val="00782420"/>
    <w:rsid w:val="0078367F"/>
    <w:rsid w:val="0078522E"/>
    <w:rsid w:val="007866BF"/>
    <w:rsid w:val="0079064C"/>
    <w:rsid w:val="00792DCD"/>
    <w:rsid w:val="00792FF0"/>
    <w:rsid w:val="00793B35"/>
    <w:rsid w:val="00794E1D"/>
    <w:rsid w:val="00796AAE"/>
    <w:rsid w:val="007A2598"/>
    <w:rsid w:val="007A3917"/>
    <w:rsid w:val="007A45B5"/>
    <w:rsid w:val="007A5AC7"/>
    <w:rsid w:val="007A75BC"/>
    <w:rsid w:val="007A7D32"/>
    <w:rsid w:val="007B0AD1"/>
    <w:rsid w:val="007B28C3"/>
    <w:rsid w:val="007B34FA"/>
    <w:rsid w:val="007B6073"/>
    <w:rsid w:val="007B682A"/>
    <w:rsid w:val="007B69BB"/>
    <w:rsid w:val="007C188F"/>
    <w:rsid w:val="007C22D2"/>
    <w:rsid w:val="007C7562"/>
    <w:rsid w:val="007D09ED"/>
    <w:rsid w:val="007D1E99"/>
    <w:rsid w:val="007D3572"/>
    <w:rsid w:val="007D7899"/>
    <w:rsid w:val="007D7D6E"/>
    <w:rsid w:val="007E0AC0"/>
    <w:rsid w:val="007E3DAA"/>
    <w:rsid w:val="007E3EF5"/>
    <w:rsid w:val="007E4692"/>
    <w:rsid w:val="007E5C6D"/>
    <w:rsid w:val="007E68CE"/>
    <w:rsid w:val="007E6BEE"/>
    <w:rsid w:val="007E769F"/>
    <w:rsid w:val="007F0559"/>
    <w:rsid w:val="007F3A4A"/>
    <w:rsid w:val="007F5271"/>
    <w:rsid w:val="007F5AC8"/>
    <w:rsid w:val="007F7601"/>
    <w:rsid w:val="00800517"/>
    <w:rsid w:val="0080152D"/>
    <w:rsid w:val="008028AD"/>
    <w:rsid w:val="0080510F"/>
    <w:rsid w:val="008061C0"/>
    <w:rsid w:val="00812A81"/>
    <w:rsid w:val="00812E86"/>
    <w:rsid w:val="008142DB"/>
    <w:rsid w:val="00814B88"/>
    <w:rsid w:val="00815B55"/>
    <w:rsid w:val="0081637B"/>
    <w:rsid w:val="00820BEB"/>
    <w:rsid w:val="008226C3"/>
    <w:rsid w:val="0082330A"/>
    <w:rsid w:val="008243C0"/>
    <w:rsid w:val="008326DB"/>
    <w:rsid w:val="00834C2C"/>
    <w:rsid w:val="008376F3"/>
    <w:rsid w:val="00841E10"/>
    <w:rsid w:val="00842109"/>
    <w:rsid w:val="008548DB"/>
    <w:rsid w:val="00854A46"/>
    <w:rsid w:val="00854F60"/>
    <w:rsid w:val="008565FB"/>
    <w:rsid w:val="008571B2"/>
    <w:rsid w:val="008607D9"/>
    <w:rsid w:val="0086440F"/>
    <w:rsid w:val="00865222"/>
    <w:rsid w:val="00870AC3"/>
    <w:rsid w:val="00872074"/>
    <w:rsid w:val="008726DF"/>
    <w:rsid w:val="00875B20"/>
    <w:rsid w:val="0088001A"/>
    <w:rsid w:val="00883D26"/>
    <w:rsid w:val="00890262"/>
    <w:rsid w:val="00890950"/>
    <w:rsid w:val="00892DBB"/>
    <w:rsid w:val="0089482D"/>
    <w:rsid w:val="0089705C"/>
    <w:rsid w:val="00897E97"/>
    <w:rsid w:val="008A2AE5"/>
    <w:rsid w:val="008A3380"/>
    <w:rsid w:val="008A5119"/>
    <w:rsid w:val="008A7E7C"/>
    <w:rsid w:val="008B1F52"/>
    <w:rsid w:val="008B39CE"/>
    <w:rsid w:val="008B6FAB"/>
    <w:rsid w:val="008B7E4A"/>
    <w:rsid w:val="008C0B0F"/>
    <w:rsid w:val="008C1CB6"/>
    <w:rsid w:val="008D1C82"/>
    <w:rsid w:val="008D453C"/>
    <w:rsid w:val="008E15DE"/>
    <w:rsid w:val="008E1E81"/>
    <w:rsid w:val="008E21F6"/>
    <w:rsid w:val="008E373C"/>
    <w:rsid w:val="008E603A"/>
    <w:rsid w:val="008E73C3"/>
    <w:rsid w:val="008F2F6B"/>
    <w:rsid w:val="008F3E45"/>
    <w:rsid w:val="008F48DB"/>
    <w:rsid w:val="00900EB9"/>
    <w:rsid w:val="00902951"/>
    <w:rsid w:val="00904F25"/>
    <w:rsid w:val="00906F07"/>
    <w:rsid w:val="009070C2"/>
    <w:rsid w:val="00907AEF"/>
    <w:rsid w:val="00907C17"/>
    <w:rsid w:val="009104CD"/>
    <w:rsid w:val="0091218F"/>
    <w:rsid w:val="00912542"/>
    <w:rsid w:val="00912BD2"/>
    <w:rsid w:val="00912ED3"/>
    <w:rsid w:val="0091691F"/>
    <w:rsid w:val="009207F1"/>
    <w:rsid w:val="009224FC"/>
    <w:rsid w:val="00926508"/>
    <w:rsid w:val="00926C36"/>
    <w:rsid w:val="0093030D"/>
    <w:rsid w:val="009307FD"/>
    <w:rsid w:val="0093093F"/>
    <w:rsid w:val="009313EE"/>
    <w:rsid w:val="00937FBC"/>
    <w:rsid w:val="00944DA5"/>
    <w:rsid w:val="00945795"/>
    <w:rsid w:val="0094598D"/>
    <w:rsid w:val="00947CE9"/>
    <w:rsid w:val="009504FC"/>
    <w:rsid w:val="00950AAA"/>
    <w:rsid w:val="009512E8"/>
    <w:rsid w:val="0095147A"/>
    <w:rsid w:val="00953FB3"/>
    <w:rsid w:val="00956BD9"/>
    <w:rsid w:val="00962D99"/>
    <w:rsid w:val="00963C19"/>
    <w:rsid w:val="00963F4A"/>
    <w:rsid w:val="00965165"/>
    <w:rsid w:val="00965CF1"/>
    <w:rsid w:val="00971E9F"/>
    <w:rsid w:val="009746D3"/>
    <w:rsid w:val="0097639F"/>
    <w:rsid w:val="00984735"/>
    <w:rsid w:val="00986C62"/>
    <w:rsid w:val="00986E1B"/>
    <w:rsid w:val="00987DCE"/>
    <w:rsid w:val="00992A60"/>
    <w:rsid w:val="009A158D"/>
    <w:rsid w:val="009A1FA2"/>
    <w:rsid w:val="009A26C8"/>
    <w:rsid w:val="009A5A9C"/>
    <w:rsid w:val="009A5CA1"/>
    <w:rsid w:val="009A72D1"/>
    <w:rsid w:val="009A787C"/>
    <w:rsid w:val="009A7E06"/>
    <w:rsid w:val="009B03C2"/>
    <w:rsid w:val="009B5F3C"/>
    <w:rsid w:val="009C0693"/>
    <w:rsid w:val="009C1D1E"/>
    <w:rsid w:val="009D09ED"/>
    <w:rsid w:val="009D52BF"/>
    <w:rsid w:val="009E0D39"/>
    <w:rsid w:val="009E0F0E"/>
    <w:rsid w:val="009E13CE"/>
    <w:rsid w:val="009E42C2"/>
    <w:rsid w:val="009F2323"/>
    <w:rsid w:val="009F41F3"/>
    <w:rsid w:val="009F6FB6"/>
    <w:rsid w:val="00A01244"/>
    <w:rsid w:val="00A0220E"/>
    <w:rsid w:val="00A02F6A"/>
    <w:rsid w:val="00A06BDB"/>
    <w:rsid w:val="00A06DBA"/>
    <w:rsid w:val="00A108CC"/>
    <w:rsid w:val="00A111C3"/>
    <w:rsid w:val="00A11411"/>
    <w:rsid w:val="00A1280A"/>
    <w:rsid w:val="00A12E1E"/>
    <w:rsid w:val="00A17323"/>
    <w:rsid w:val="00A21569"/>
    <w:rsid w:val="00A220EA"/>
    <w:rsid w:val="00A24864"/>
    <w:rsid w:val="00A266F7"/>
    <w:rsid w:val="00A269FB"/>
    <w:rsid w:val="00A3324A"/>
    <w:rsid w:val="00A332F4"/>
    <w:rsid w:val="00A336D2"/>
    <w:rsid w:val="00A34D3B"/>
    <w:rsid w:val="00A40F75"/>
    <w:rsid w:val="00A4127B"/>
    <w:rsid w:val="00A43037"/>
    <w:rsid w:val="00A45AAB"/>
    <w:rsid w:val="00A62EC2"/>
    <w:rsid w:val="00A637E7"/>
    <w:rsid w:val="00A645AE"/>
    <w:rsid w:val="00A65743"/>
    <w:rsid w:val="00A70746"/>
    <w:rsid w:val="00A74FEA"/>
    <w:rsid w:val="00A8058C"/>
    <w:rsid w:val="00A81B38"/>
    <w:rsid w:val="00A81FEA"/>
    <w:rsid w:val="00A8268E"/>
    <w:rsid w:val="00A82C5E"/>
    <w:rsid w:val="00A84355"/>
    <w:rsid w:val="00A8604E"/>
    <w:rsid w:val="00A90E14"/>
    <w:rsid w:val="00A91BF9"/>
    <w:rsid w:val="00A91CAA"/>
    <w:rsid w:val="00A91D1B"/>
    <w:rsid w:val="00A91E77"/>
    <w:rsid w:val="00A92BEB"/>
    <w:rsid w:val="00A9383D"/>
    <w:rsid w:val="00A95523"/>
    <w:rsid w:val="00AA0BBE"/>
    <w:rsid w:val="00AA16EF"/>
    <w:rsid w:val="00AA1B26"/>
    <w:rsid w:val="00AA225F"/>
    <w:rsid w:val="00AA52D6"/>
    <w:rsid w:val="00AA5CCC"/>
    <w:rsid w:val="00AA5E7B"/>
    <w:rsid w:val="00AA6ACD"/>
    <w:rsid w:val="00AA7421"/>
    <w:rsid w:val="00AB00C8"/>
    <w:rsid w:val="00AB1F75"/>
    <w:rsid w:val="00AB2339"/>
    <w:rsid w:val="00AB29E7"/>
    <w:rsid w:val="00AB4A55"/>
    <w:rsid w:val="00AB4B8C"/>
    <w:rsid w:val="00AB7470"/>
    <w:rsid w:val="00AC0782"/>
    <w:rsid w:val="00AC6321"/>
    <w:rsid w:val="00AC655F"/>
    <w:rsid w:val="00AC6638"/>
    <w:rsid w:val="00AC76B1"/>
    <w:rsid w:val="00AC7728"/>
    <w:rsid w:val="00AC7C15"/>
    <w:rsid w:val="00AC7E6B"/>
    <w:rsid w:val="00AD2423"/>
    <w:rsid w:val="00AD38F0"/>
    <w:rsid w:val="00AD3AAC"/>
    <w:rsid w:val="00AD6847"/>
    <w:rsid w:val="00AD6B06"/>
    <w:rsid w:val="00AD7728"/>
    <w:rsid w:val="00AE1025"/>
    <w:rsid w:val="00AE157A"/>
    <w:rsid w:val="00AE202E"/>
    <w:rsid w:val="00AE6B7D"/>
    <w:rsid w:val="00AE77D3"/>
    <w:rsid w:val="00AF231D"/>
    <w:rsid w:val="00B00FB6"/>
    <w:rsid w:val="00B017BF"/>
    <w:rsid w:val="00B07771"/>
    <w:rsid w:val="00B13715"/>
    <w:rsid w:val="00B15955"/>
    <w:rsid w:val="00B250A5"/>
    <w:rsid w:val="00B328AD"/>
    <w:rsid w:val="00B337FA"/>
    <w:rsid w:val="00B350C7"/>
    <w:rsid w:val="00B36D55"/>
    <w:rsid w:val="00B40F71"/>
    <w:rsid w:val="00B4125B"/>
    <w:rsid w:val="00B4252B"/>
    <w:rsid w:val="00B42AEB"/>
    <w:rsid w:val="00B44D93"/>
    <w:rsid w:val="00B45A6F"/>
    <w:rsid w:val="00B50B40"/>
    <w:rsid w:val="00B52081"/>
    <w:rsid w:val="00B5400C"/>
    <w:rsid w:val="00B56970"/>
    <w:rsid w:val="00B62C91"/>
    <w:rsid w:val="00B70BFF"/>
    <w:rsid w:val="00B70F47"/>
    <w:rsid w:val="00B71FD9"/>
    <w:rsid w:val="00B7226C"/>
    <w:rsid w:val="00B74673"/>
    <w:rsid w:val="00B778AF"/>
    <w:rsid w:val="00B80412"/>
    <w:rsid w:val="00B80F43"/>
    <w:rsid w:val="00B820B1"/>
    <w:rsid w:val="00B85C47"/>
    <w:rsid w:val="00B90595"/>
    <w:rsid w:val="00B91425"/>
    <w:rsid w:val="00B93671"/>
    <w:rsid w:val="00B951C7"/>
    <w:rsid w:val="00BA11A7"/>
    <w:rsid w:val="00BA41D5"/>
    <w:rsid w:val="00BA5294"/>
    <w:rsid w:val="00BB0140"/>
    <w:rsid w:val="00BB0732"/>
    <w:rsid w:val="00BB24B2"/>
    <w:rsid w:val="00BB48BD"/>
    <w:rsid w:val="00BB5ACF"/>
    <w:rsid w:val="00BC055A"/>
    <w:rsid w:val="00BC1CD7"/>
    <w:rsid w:val="00BC2AB8"/>
    <w:rsid w:val="00BC3E5F"/>
    <w:rsid w:val="00BC4DD7"/>
    <w:rsid w:val="00BC5231"/>
    <w:rsid w:val="00BD095A"/>
    <w:rsid w:val="00BD20AC"/>
    <w:rsid w:val="00BD301F"/>
    <w:rsid w:val="00BD43E3"/>
    <w:rsid w:val="00BD494F"/>
    <w:rsid w:val="00BD59F3"/>
    <w:rsid w:val="00BD6A29"/>
    <w:rsid w:val="00BD738C"/>
    <w:rsid w:val="00BE1AD2"/>
    <w:rsid w:val="00BE2A73"/>
    <w:rsid w:val="00BE4C6C"/>
    <w:rsid w:val="00BE4E82"/>
    <w:rsid w:val="00BE648F"/>
    <w:rsid w:val="00BE754E"/>
    <w:rsid w:val="00BF3009"/>
    <w:rsid w:val="00BF41DA"/>
    <w:rsid w:val="00BF5DCA"/>
    <w:rsid w:val="00BF61E6"/>
    <w:rsid w:val="00BF6F55"/>
    <w:rsid w:val="00BF6F9B"/>
    <w:rsid w:val="00BF79E2"/>
    <w:rsid w:val="00BF7A18"/>
    <w:rsid w:val="00C00B32"/>
    <w:rsid w:val="00C036C1"/>
    <w:rsid w:val="00C06065"/>
    <w:rsid w:val="00C06FD7"/>
    <w:rsid w:val="00C07EA7"/>
    <w:rsid w:val="00C10300"/>
    <w:rsid w:val="00C10567"/>
    <w:rsid w:val="00C108A5"/>
    <w:rsid w:val="00C11064"/>
    <w:rsid w:val="00C1165F"/>
    <w:rsid w:val="00C11CE1"/>
    <w:rsid w:val="00C121E2"/>
    <w:rsid w:val="00C22C13"/>
    <w:rsid w:val="00C23290"/>
    <w:rsid w:val="00C23847"/>
    <w:rsid w:val="00C23F2A"/>
    <w:rsid w:val="00C3004C"/>
    <w:rsid w:val="00C34C21"/>
    <w:rsid w:val="00C35B85"/>
    <w:rsid w:val="00C409BD"/>
    <w:rsid w:val="00C418FD"/>
    <w:rsid w:val="00C41C8D"/>
    <w:rsid w:val="00C42B7B"/>
    <w:rsid w:val="00C43723"/>
    <w:rsid w:val="00C53AC2"/>
    <w:rsid w:val="00C57B54"/>
    <w:rsid w:val="00C61138"/>
    <w:rsid w:val="00C61698"/>
    <w:rsid w:val="00C61F1C"/>
    <w:rsid w:val="00C74788"/>
    <w:rsid w:val="00C76AD2"/>
    <w:rsid w:val="00C77300"/>
    <w:rsid w:val="00C808A2"/>
    <w:rsid w:val="00C83A41"/>
    <w:rsid w:val="00C83AB4"/>
    <w:rsid w:val="00C86FC2"/>
    <w:rsid w:val="00C8706C"/>
    <w:rsid w:val="00C910A7"/>
    <w:rsid w:val="00C931A0"/>
    <w:rsid w:val="00C95877"/>
    <w:rsid w:val="00C965D9"/>
    <w:rsid w:val="00C96D1E"/>
    <w:rsid w:val="00C978B7"/>
    <w:rsid w:val="00CA0D88"/>
    <w:rsid w:val="00CA14D9"/>
    <w:rsid w:val="00CA1EE2"/>
    <w:rsid w:val="00CA5C2A"/>
    <w:rsid w:val="00CA6842"/>
    <w:rsid w:val="00CB78C5"/>
    <w:rsid w:val="00CC1645"/>
    <w:rsid w:val="00CC30E5"/>
    <w:rsid w:val="00CC5470"/>
    <w:rsid w:val="00CC54E5"/>
    <w:rsid w:val="00CC71A1"/>
    <w:rsid w:val="00CD36FF"/>
    <w:rsid w:val="00CD52BE"/>
    <w:rsid w:val="00CD6A73"/>
    <w:rsid w:val="00CE1C69"/>
    <w:rsid w:val="00CE3A3B"/>
    <w:rsid w:val="00CE49EF"/>
    <w:rsid w:val="00CE71F4"/>
    <w:rsid w:val="00CF11E3"/>
    <w:rsid w:val="00CF4B4E"/>
    <w:rsid w:val="00D01794"/>
    <w:rsid w:val="00D019F8"/>
    <w:rsid w:val="00D02357"/>
    <w:rsid w:val="00D03BBB"/>
    <w:rsid w:val="00D04F5A"/>
    <w:rsid w:val="00D072DB"/>
    <w:rsid w:val="00D07BB2"/>
    <w:rsid w:val="00D11577"/>
    <w:rsid w:val="00D125F6"/>
    <w:rsid w:val="00D1779D"/>
    <w:rsid w:val="00D218E3"/>
    <w:rsid w:val="00D2424A"/>
    <w:rsid w:val="00D311C7"/>
    <w:rsid w:val="00D313EE"/>
    <w:rsid w:val="00D326ED"/>
    <w:rsid w:val="00D32C2E"/>
    <w:rsid w:val="00D4362F"/>
    <w:rsid w:val="00D468CA"/>
    <w:rsid w:val="00D47049"/>
    <w:rsid w:val="00D47217"/>
    <w:rsid w:val="00D513FB"/>
    <w:rsid w:val="00D5173D"/>
    <w:rsid w:val="00D52B70"/>
    <w:rsid w:val="00D52EB5"/>
    <w:rsid w:val="00D555F9"/>
    <w:rsid w:val="00D574B3"/>
    <w:rsid w:val="00D62166"/>
    <w:rsid w:val="00D65FD5"/>
    <w:rsid w:val="00D6733D"/>
    <w:rsid w:val="00D74B57"/>
    <w:rsid w:val="00D764FE"/>
    <w:rsid w:val="00D816D8"/>
    <w:rsid w:val="00D825EE"/>
    <w:rsid w:val="00D8453E"/>
    <w:rsid w:val="00D90859"/>
    <w:rsid w:val="00D91806"/>
    <w:rsid w:val="00D91938"/>
    <w:rsid w:val="00D957BA"/>
    <w:rsid w:val="00D969D4"/>
    <w:rsid w:val="00DB10F2"/>
    <w:rsid w:val="00DB638E"/>
    <w:rsid w:val="00DB6DDF"/>
    <w:rsid w:val="00DC0058"/>
    <w:rsid w:val="00DC29E0"/>
    <w:rsid w:val="00DC2A03"/>
    <w:rsid w:val="00DC2B0F"/>
    <w:rsid w:val="00DC7682"/>
    <w:rsid w:val="00DD0CB8"/>
    <w:rsid w:val="00DD15F9"/>
    <w:rsid w:val="00DD2444"/>
    <w:rsid w:val="00DD461D"/>
    <w:rsid w:val="00DD60CC"/>
    <w:rsid w:val="00DD6C25"/>
    <w:rsid w:val="00DD7E91"/>
    <w:rsid w:val="00DE06C4"/>
    <w:rsid w:val="00DE3A32"/>
    <w:rsid w:val="00DE5E29"/>
    <w:rsid w:val="00DE785C"/>
    <w:rsid w:val="00DF135B"/>
    <w:rsid w:val="00DF4D24"/>
    <w:rsid w:val="00DF5ABA"/>
    <w:rsid w:val="00DF6789"/>
    <w:rsid w:val="00DF6CBF"/>
    <w:rsid w:val="00DF73A9"/>
    <w:rsid w:val="00E02BF4"/>
    <w:rsid w:val="00E03918"/>
    <w:rsid w:val="00E075A0"/>
    <w:rsid w:val="00E13C20"/>
    <w:rsid w:val="00E14121"/>
    <w:rsid w:val="00E14F61"/>
    <w:rsid w:val="00E162F2"/>
    <w:rsid w:val="00E164EF"/>
    <w:rsid w:val="00E2095D"/>
    <w:rsid w:val="00E22B6D"/>
    <w:rsid w:val="00E242B4"/>
    <w:rsid w:val="00E26694"/>
    <w:rsid w:val="00E26F69"/>
    <w:rsid w:val="00E323D9"/>
    <w:rsid w:val="00E35F0F"/>
    <w:rsid w:val="00E37463"/>
    <w:rsid w:val="00E409D3"/>
    <w:rsid w:val="00E4257C"/>
    <w:rsid w:val="00E4277A"/>
    <w:rsid w:val="00E43EE4"/>
    <w:rsid w:val="00E44248"/>
    <w:rsid w:val="00E5110C"/>
    <w:rsid w:val="00E512E4"/>
    <w:rsid w:val="00E5188E"/>
    <w:rsid w:val="00E5203C"/>
    <w:rsid w:val="00E539B0"/>
    <w:rsid w:val="00E53DA5"/>
    <w:rsid w:val="00E5772B"/>
    <w:rsid w:val="00E63D36"/>
    <w:rsid w:val="00E660D7"/>
    <w:rsid w:val="00E66235"/>
    <w:rsid w:val="00E70D49"/>
    <w:rsid w:val="00E7210C"/>
    <w:rsid w:val="00E74E84"/>
    <w:rsid w:val="00E760A0"/>
    <w:rsid w:val="00E76112"/>
    <w:rsid w:val="00E7646A"/>
    <w:rsid w:val="00E80936"/>
    <w:rsid w:val="00E831AD"/>
    <w:rsid w:val="00E83490"/>
    <w:rsid w:val="00E86EA2"/>
    <w:rsid w:val="00E91416"/>
    <w:rsid w:val="00E925DB"/>
    <w:rsid w:val="00E94B8E"/>
    <w:rsid w:val="00E9702F"/>
    <w:rsid w:val="00EA00BB"/>
    <w:rsid w:val="00EA1B0F"/>
    <w:rsid w:val="00EA47CA"/>
    <w:rsid w:val="00EA525F"/>
    <w:rsid w:val="00EA6572"/>
    <w:rsid w:val="00EA6972"/>
    <w:rsid w:val="00EB0727"/>
    <w:rsid w:val="00EB3C7E"/>
    <w:rsid w:val="00EB5C5F"/>
    <w:rsid w:val="00EC0E2E"/>
    <w:rsid w:val="00EC2CE5"/>
    <w:rsid w:val="00EC38FF"/>
    <w:rsid w:val="00EC53CF"/>
    <w:rsid w:val="00ED43BA"/>
    <w:rsid w:val="00ED4B97"/>
    <w:rsid w:val="00ED78F4"/>
    <w:rsid w:val="00EE2992"/>
    <w:rsid w:val="00EE4C78"/>
    <w:rsid w:val="00EE55EC"/>
    <w:rsid w:val="00EF0219"/>
    <w:rsid w:val="00EF164C"/>
    <w:rsid w:val="00EF316D"/>
    <w:rsid w:val="00EF3C12"/>
    <w:rsid w:val="00EF449F"/>
    <w:rsid w:val="00EF7916"/>
    <w:rsid w:val="00F00FE3"/>
    <w:rsid w:val="00F02043"/>
    <w:rsid w:val="00F11B06"/>
    <w:rsid w:val="00F15720"/>
    <w:rsid w:val="00F16764"/>
    <w:rsid w:val="00F2226C"/>
    <w:rsid w:val="00F223EF"/>
    <w:rsid w:val="00F23722"/>
    <w:rsid w:val="00F24FCA"/>
    <w:rsid w:val="00F273E0"/>
    <w:rsid w:val="00F35439"/>
    <w:rsid w:val="00F35E53"/>
    <w:rsid w:val="00F37708"/>
    <w:rsid w:val="00F44B58"/>
    <w:rsid w:val="00F50388"/>
    <w:rsid w:val="00F51E27"/>
    <w:rsid w:val="00F526D0"/>
    <w:rsid w:val="00F61002"/>
    <w:rsid w:val="00F70C37"/>
    <w:rsid w:val="00F711D8"/>
    <w:rsid w:val="00F72037"/>
    <w:rsid w:val="00F76064"/>
    <w:rsid w:val="00F7637F"/>
    <w:rsid w:val="00F767D2"/>
    <w:rsid w:val="00F77509"/>
    <w:rsid w:val="00F776B5"/>
    <w:rsid w:val="00F77D04"/>
    <w:rsid w:val="00F81CC1"/>
    <w:rsid w:val="00F8286A"/>
    <w:rsid w:val="00F82DA4"/>
    <w:rsid w:val="00F849C7"/>
    <w:rsid w:val="00F84A07"/>
    <w:rsid w:val="00F94AC1"/>
    <w:rsid w:val="00F95BDF"/>
    <w:rsid w:val="00F95E77"/>
    <w:rsid w:val="00F967E7"/>
    <w:rsid w:val="00F96848"/>
    <w:rsid w:val="00FA2B86"/>
    <w:rsid w:val="00FA746C"/>
    <w:rsid w:val="00FB1415"/>
    <w:rsid w:val="00FB47CA"/>
    <w:rsid w:val="00FB5361"/>
    <w:rsid w:val="00FC1BB0"/>
    <w:rsid w:val="00FC1DAE"/>
    <w:rsid w:val="00FC721F"/>
    <w:rsid w:val="00FD0D6C"/>
    <w:rsid w:val="00FD5B59"/>
    <w:rsid w:val="00FE0C07"/>
    <w:rsid w:val="00FE13AD"/>
    <w:rsid w:val="00FE1DE1"/>
    <w:rsid w:val="00FE2546"/>
    <w:rsid w:val="00FF3E1F"/>
    <w:rsid w:val="00FF4BEC"/>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1A18"/>
  <w15:docId w15:val="{86DB3A73-8F51-482E-AC9A-BE4582A3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3E"/>
  </w:style>
  <w:style w:type="paragraph" w:styleId="Heading1">
    <w:name w:val="heading 1"/>
    <w:basedOn w:val="Normal"/>
    <w:next w:val="Normal"/>
    <w:link w:val="Heading1Char"/>
    <w:uiPriority w:val="9"/>
    <w:qFormat/>
    <w:rsid w:val="00CD3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F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66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33E"/>
    <w:rPr>
      <w:sz w:val="16"/>
      <w:szCs w:val="16"/>
    </w:rPr>
  </w:style>
  <w:style w:type="paragraph" w:styleId="CommentText">
    <w:name w:val="annotation text"/>
    <w:basedOn w:val="Normal"/>
    <w:link w:val="CommentTextChar"/>
    <w:uiPriority w:val="99"/>
    <w:unhideWhenUsed/>
    <w:rsid w:val="003F733E"/>
    <w:pPr>
      <w:spacing w:line="240" w:lineRule="auto"/>
    </w:pPr>
    <w:rPr>
      <w:sz w:val="20"/>
      <w:szCs w:val="20"/>
    </w:rPr>
  </w:style>
  <w:style w:type="character" w:customStyle="1" w:styleId="CommentTextChar">
    <w:name w:val="Comment Text Char"/>
    <w:basedOn w:val="DefaultParagraphFont"/>
    <w:link w:val="CommentText"/>
    <w:uiPriority w:val="99"/>
    <w:rsid w:val="003F733E"/>
    <w:rPr>
      <w:sz w:val="20"/>
      <w:szCs w:val="20"/>
    </w:rPr>
  </w:style>
  <w:style w:type="paragraph" w:styleId="BalloonText">
    <w:name w:val="Balloon Text"/>
    <w:basedOn w:val="Normal"/>
    <w:link w:val="BalloonTextChar"/>
    <w:uiPriority w:val="99"/>
    <w:semiHidden/>
    <w:unhideWhenUsed/>
    <w:rsid w:val="003F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3E"/>
    <w:rPr>
      <w:rFonts w:ascii="Tahoma" w:hAnsi="Tahoma" w:cs="Tahoma"/>
      <w:sz w:val="16"/>
      <w:szCs w:val="16"/>
    </w:rPr>
  </w:style>
  <w:style w:type="paragraph" w:styleId="ListParagraph">
    <w:name w:val="List Paragraph"/>
    <w:basedOn w:val="Normal"/>
    <w:link w:val="ListParagraphChar"/>
    <w:uiPriority w:val="34"/>
    <w:qFormat/>
    <w:rsid w:val="003408F0"/>
    <w:pPr>
      <w:ind w:left="720"/>
      <w:contextualSpacing/>
    </w:pPr>
  </w:style>
  <w:style w:type="paragraph" w:styleId="CommentSubject">
    <w:name w:val="annotation subject"/>
    <w:basedOn w:val="CommentText"/>
    <w:next w:val="CommentText"/>
    <w:link w:val="CommentSubjectChar"/>
    <w:uiPriority w:val="99"/>
    <w:semiHidden/>
    <w:unhideWhenUsed/>
    <w:rsid w:val="003408F0"/>
    <w:rPr>
      <w:b/>
      <w:bCs/>
    </w:rPr>
  </w:style>
  <w:style w:type="character" w:customStyle="1" w:styleId="CommentSubjectChar">
    <w:name w:val="Comment Subject Char"/>
    <w:basedOn w:val="CommentTextChar"/>
    <w:link w:val="CommentSubject"/>
    <w:uiPriority w:val="99"/>
    <w:semiHidden/>
    <w:rsid w:val="003408F0"/>
    <w:rPr>
      <w:b/>
      <w:bCs/>
      <w:sz w:val="20"/>
      <w:szCs w:val="20"/>
    </w:rPr>
  </w:style>
  <w:style w:type="character" w:styleId="Hyperlink">
    <w:name w:val="Hyperlink"/>
    <w:basedOn w:val="DefaultParagraphFont"/>
    <w:uiPriority w:val="99"/>
    <w:unhideWhenUsed/>
    <w:rsid w:val="00615396"/>
    <w:rPr>
      <w:color w:val="0000FF" w:themeColor="hyperlink"/>
      <w:u w:val="single"/>
    </w:rPr>
  </w:style>
  <w:style w:type="paragraph" w:styleId="Header">
    <w:name w:val="header"/>
    <w:basedOn w:val="Normal"/>
    <w:link w:val="HeaderChar"/>
    <w:uiPriority w:val="99"/>
    <w:unhideWhenUsed/>
    <w:rsid w:val="0005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3A"/>
  </w:style>
  <w:style w:type="paragraph" w:styleId="Footer">
    <w:name w:val="footer"/>
    <w:basedOn w:val="Normal"/>
    <w:link w:val="FooterChar"/>
    <w:uiPriority w:val="99"/>
    <w:unhideWhenUsed/>
    <w:rsid w:val="0005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3A"/>
  </w:style>
  <w:style w:type="character" w:customStyle="1" w:styleId="Heading1Char">
    <w:name w:val="Heading 1 Char"/>
    <w:basedOn w:val="DefaultParagraphFont"/>
    <w:link w:val="Heading1"/>
    <w:uiPriority w:val="9"/>
    <w:rsid w:val="00CD36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58C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11411"/>
    <w:pPr>
      <w:outlineLvl w:val="9"/>
    </w:pPr>
  </w:style>
  <w:style w:type="paragraph" w:styleId="TOC1">
    <w:name w:val="toc 1"/>
    <w:basedOn w:val="Normal"/>
    <w:next w:val="Normal"/>
    <w:autoRedefine/>
    <w:uiPriority w:val="39"/>
    <w:unhideWhenUsed/>
    <w:rsid w:val="00A11411"/>
    <w:pPr>
      <w:spacing w:after="100"/>
    </w:pPr>
  </w:style>
  <w:style w:type="paragraph" w:styleId="TOC2">
    <w:name w:val="toc 2"/>
    <w:basedOn w:val="Normal"/>
    <w:next w:val="Normal"/>
    <w:autoRedefine/>
    <w:uiPriority w:val="39"/>
    <w:unhideWhenUsed/>
    <w:rsid w:val="00BC1CD7"/>
    <w:pPr>
      <w:tabs>
        <w:tab w:val="left" w:pos="880"/>
        <w:tab w:val="right" w:leader="dot" w:pos="12950"/>
      </w:tabs>
      <w:spacing w:after="0" w:line="240" w:lineRule="auto"/>
      <w:ind w:left="216"/>
    </w:pPr>
  </w:style>
  <w:style w:type="paragraph" w:styleId="BodyText">
    <w:name w:val="Body Text"/>
    <w:basedOn w:val="Normal"/>
    <w:link w:val="BodyTextChar"/>
    <w:unhideWhenUsed/>
    <w:rsid w:val="00AA0BBE"/>
    <w:pPr>
      <w:spacing w:after="0" w:line="240" w:lineRule="auto"/>
    </w:pPr>
    <w:rPr>
      <w:rFonts w:ascii="Arial" w:eastAsia="Times New Roman" w:hAnsi="Arial" w:cs="Arial"/>
      <w:sz w:val="20"/>
      <w:szCs w:val="20"/>
      <w:lang w:eastAsia="en-US"/>
    </w:rPr>
  </w:style>
  <w:style w:type="character" w:customStyle="1" w:styleId="BodyTextChar">
    <w:name w:val="Body Text Char"/>
    <w:basedOn w:val="DefaultParagraphFont"/>
    <w:link w:val="BodyText"/>
    <w:rsid w:val="00AA0BBE"/>
    <w:rPr>
      <w:rFonts w:ascii="Arial" w:eastAsia="Times New Roman" w:hAnsi="Arial" w:cs="Arial"/>
      <w:sz w:val="20"/>
      <w:szCs w:val="20"/>
      <w:lang w:eastAsia="en-US"/>
    </w:rPr>
  </w:style>
  <w:style w:type="paragraph" w:styleId="FootnoteText">
    <w:name w:val="footnote text"/>
    <w:basedOn w:val="Normal"/>
    <w:link w:val="FootnoteTextChar"/>
    <w:uiPriority w:val="99"/>
    <w:unhideWhenUsed/>
    <w:rsid w:val="00C61138"/>
    <w:pPr>
      <w:spacing w:after="0" w:line="240" w:lineRule="auto"/>
      <w:jc w:val="both"/>
    </w:pPr>
    <w:rPr>
      <w:rFonts w:ascii="Calibri" w:eastAsia="Cambria" w:hAnsi="Calibri" w:cs="Times New Roman"/>
      <w:sz w:val="20"/>
      <w:szCs w:val="20"/>
      <w:lang w:val="x-none" w:eastAsia="x-none"/>
    </w:rPr>
  </w:style>
  <w:style w:type="character" w:customStyle="1" w:styleId="FootnoteTextChar">
    <w:name w:val="Footnote Text Char"/>
    <w:basedOn w:val="DefaultParagraphFont"/>
    <w:link w:val="FootnoteText"/>
    <w:uiPriority w:val="99"/>
    <w:rsid w:val="00C61138"/>
    <w:rPr>
      <w:rFonts w:ascii="Calibri" w:eastAsia="Cambria" w:hAnsi="Calibri" w:cs="Times New Roman"/>
      <w:sz w:val="20"/>
      <w:szCs w:val="20"/>
      <w:lang w:val="x-none" w:eastAsia="x-none"/>
    </w:rPr>
  </w:style>
  <w:style w:type="character" w:styleId="FootnoteReference">
    <w:name w:val="footnote reference"/>
    <w:uiPriority w:val="99"/>
    <w:unhideWhenUsed/>
    <w:rsid w:val="00C61138"/>
    <w:rPr>
      <w:vertAlign w:val="superscript"/>
    </w:rPr>
  </w:style>
  <w:style w:type="character" w:customStyle="1" w:styleId="Heading3Char">
    <w:name w:val="Heading 3 Char"/>
    <w:basedOn w:val="DefaultParagraphFont"/>
    <w:link w:val="Heading3"/>
    <w:uiPriority w:val="9"/>
    <w:rsid w:val="00736F4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B37F4"/>
    <w:pPr>
      <w:spacing w:after="100"/>
      <w:ind w:left="440"/>
    </w:pPr>
  </w:style>
  <w:style w:type="character" w:customStyle="1" w:styleId="Heading4Char">
    <w:name w:val="Heading 4 Char"/>
    <w:basedOn w:val="DefaultParagraphFont"/>
    <w:link w:val="Heading4"/>
    <w:uiPriority w:val="9"/>
    <w:rsid w:val="00A266F7"/>
    <w:rPr>
      <w:rFonts w:asciiTheme="majorHAnsi" w:eastAsiaTheme="majorEastAsia" w:hAnsiTheme="majorHAnsi" w:cstheme="majorBidi"/>
      <w:b/>
      <w:bCs/>
      <w:i/>
      <w:iCs/>
      <w:color w:val="4F81BD" w:themeColor="accent1"/>
    </w:rPr>
  </w:style>
  <w:style w:type="paragraph" w:styleId="NormalWeb">
    <w:name w:val="Normal (Web)"/>
    <w:basedOn w:val="Normal"/>
    <w:unhideWhenUsed/>
    <w:rsid w:val="00686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D2A"/>
    <w:pPr>
      <w:spacing w:after="0" w:line="240" w:lineRule="auto"/>
    </w:pPr>
  </w:style>
  <w:style w:type="paragraph" w:customStyle="1" w:styleId="Default">
    <w:name w:val="Default"/>
    <w:rsid w:val="00E44248"/>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106234"/>
  </w:style>
  <w:style w:type="paragraph" w:styleId="NoSpacing">
    <w:name w:val="No Spacing"/>
    <w:link w:val="NoSpacingChar"/>
    <w:uiPriority w:val="1"/>
    <w:qFormat/>
    <w:rsid w:val="00591F6B"/>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link w:val="NoSpacing"/>
    <w:uiPriority w:val="1"/>
    <w:locked/>
    <w:rsid w:val="00591F6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3522">
      <w:bodyDiv w:val="1"/>
      <w:marLeft w:val="0"/>
      <w:marRight w:val="0"/>
      <w:marTop w:val="0"/>
      <w:marBottom w:val="0"/>
      <w:divBdr>
        <w:top w:val="none" w:sz="0" w:space="0" w:color="auto"/>
        <w:left w:val="none" w:sz="0" w:space="0" w:color="auto"/>
        <w:bottom w:val="none" w:sz="0" w:space="0" w:color="auto"/>
        <w:right w:val="none" w:sz="0" w:space="0" w:color="auto"/>
      </w:divBdr>
    </w:div>
    <w:div w:id="236747208">
      <w:bodyDiv w:val="1"/>
      <w:marLeft w:val="0"/>
      <w:marRight w:val="0"/>
      <w:marTop w:val="0"/>
      <w:marBottom w:val="0"/>
      <w:divBdr>
        <w:top w:val="none" w:sz="0" w:space="0" w:color="auto"/>
        <w:left w:val="none" w:sz="0" w:space="0" w:color="auto"/>
        <w:bottom w:val="none" w:sz="0" w:space="0" w:color="auto"/>
        <w:right w:val="none" w:sz="0" w:space="0" w:color="auto"/>
      </w:divBdr>
    </w:div>
    <w:div w:id="422847636">
      <w:bodyDiv w:val="1"/>
      <w:marLeft w:val="0"/>
      <w:marRight w:val="0"/>
      <w:marTop w:val="0"/>
      <w:marBottom w:val="0"/>
      <w:divBdr>
        <w:top w:val="none" w:sz="0" w:space="0" w:color="auto"/>
        <w:left w:val="none" w:sz="0" w:space="0" w:color="auto"/>
        <w:bottom w:val="none" w:sz="0" w:space="0" w:color="auto"/>
        <w:right w:val="none" w:sz="0" w:space="0" w:color="auto"/>
      </w:divBdr>
    </w:div>
    <w:div w:id="662317520">
      <w:bodyDiv w:val="1"/>
      <w:marLeft w:val="0"/>
      <w:marRight w:val="0"/>
      <w:marTop w:val="0"/>
      <w:marBottom w:val="0"/>
      <w:divBdr>
        <w:top w:val="none" w:sz="0" w:space="0" w:color="auto"/>
        <w:left w:val="none" w:sz="0" w:space="0" w:color="auto"/>
        <w:bottom w:val="none" w:sz="0" w:space="0" w:color="auto"/>
        <w:right w:val="none" w:sz="0" w:space="0" w:color="auto"/>
      </w:divBdr>
    </w:div>
    <w:div w:id="833837569">
      <w:bodyDiv w:val="1"/>
      <w:marLeft w:val="0"/>
      <w:marRight w:val="0"/>
      <w:marTop w:val="0"/>
      <w:marBottom w:val="0"/>
      <w:divBdr>
        <w:top w:val="none" w:sz="0" w:space="0" w:color="auto"/>
        <w:left w:val="none" w:sz="0" w:space="0" w:color="auto"/>
        <w:bottom w:val="none" w:sz="0" w:space="0" w:color="auto"/>
        <w:right w:val="none" w:sz="0" w:space="0" w:color="auto"/>
      </w:divBdr>
    </w:div>
    <w:div w:id="1319651021">
      <w:bodyDiv w:val="1"/>
      <w:marLeft w:val="0"/>
      <w:marRight w:val="0"/>
      <w:marTop w:val="0"/>
      <w:marBottom w:val="0"/>
      <w:divBdr>
        <w:top w:val="none" w:sz="0" w:space="0" w:color="auto"/>
        <w:left w:val="none" w:sz="0" w:space="0" w:color="auto"/>
        <w:bottom w:val="none" w:sz="0" w:space="0" w:color="auto"/>
        <w:right w:val="none" w:sz="0" w:space="0" w:color="auto"/>
      </w:divBdr>
    </w:div>
    <w:div w:id="1341544343">
      <w:bodyDiv w:val="1"/>
      <w:marLeft w:val="0"/>
      <w:marRight w:val="0"/>
      <w:marTop w:val="0"/>
      <w:marBottom w:val="0"/>
      <w:divBdr>
        <w:top w:val="none" w:sz="0" w:space="0" w:color="auto"/>
        <w:left w:val="none" w:sz="0" w:space="0" w:color="auto"/>
        <w:bottom w:val="none" w:sz="0" w:space="0" w:color="auto"/>
        <w:right w:val="none" w:sz="0" w:space="0" w:color="auto"/>
      </w:divBdr>
    </w:div>
    <w:div w:id="1486362882">
      <w:bodyDiv w:val="1"/>
      <w:marLeft w:val="0"/>
      <w:marRight w:val="0"/>
      <w:marTop w:val="0"/>
      <w:marBottom w:val="0"/>
      <w:divBdr>
        <w:top w:val="none" w:sz="0" w:space="0" w:color="auto"/>
        <w:left w:val="none" w:sz="0" w:space="0" w:color="auto"/>
        <w:bottom w:val="none" w:sz="0" w:space="0" w:color="auto"/>
        <w:right w:val="none" w:sz="0" w:space="0" w:color="auto"/>
      </w:divBdr>
      <w:divsChild>
        <w:div w:id="55084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82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410440">
      <w:bodyDiv w:val="1"/>
      <w:marLeft w:val="0"/>
      <w:marRight w:val="0"/>
      <w:marTop w:val="0"/>
      <w:marBottom w:val="0"/>
      <w:divBdr>
        <w:top w:val="none" w:sz="0" w:space="0" w:color="auto"/>
        <w:left w:val="none" w:sz="0" w:space="0" w:color="auto"/>
        <w:bottom w:val="none" w:sz="0" w:space="0" w:color="auto"/>
        <w:right w:val="none" w:sz="0" w:space="0" w:color="auto"/>
      </w:divBdr>
    </w:div>
    <w:div w:id="1760523752">
      <w:bodyDiv w:val="1"/>
      <w:marLeft w:val="0"/>
      <w:marRight w:val="0"/>
      <w:marTop w:val="0"/>
      <w:marBottom w:val="0"/>
      <w:divBdr>
        <w:top w:val="none" w:sz="0" w:space="0" w:color="auto"/>
        <w:left w:val="none" w:sz="0" w:space="0" w:color="auto"/>
        <w:bottom w:val="none" w:sz="0" w:space="0" w:color="auto"/>
        <w:right w:val="none" w:sz="0" w:space="0" w:color="auto"/>
      </w:divBdr>
    </w:div>
    <w:div w:id="1795247614">
      <w:bodyDiv w:val="1"/>
      <w:marLeft w:val="0"/>
      <w:marRight w:val="0"/>
      <w:marTop w:val="0"/>
      <w:marBottom w:val="0"/>
      <w:divBdr>
        <w:top w:val="none" w:sz="0" w:space="0" w:color="auto"/>
        <w:left w:val="none" w:sz="0" w:space="0" w:color="auto"/>
        <w:bottom w:val="none" w:sz="0" w:space="0" w:color="auto"/>
        <w:right w:val="none" w:sz="0" w:space="0" w:color="auto"/>
      </w:divBdr>
    </w:div>
    <w:div w:id="1842549051">
      <w:bodyDiv w:val="1"/>
      <w:marLeft w:val="0"/>
      <w:marRight w:val="0"/>
      <w:marTop w:val="0"/>
      <w:marBottom w:val="0"/>
      <w:divBdr>
        <w:top w:val="none" w:sz="0" w:space="0" w:color="auto"/>
        <w:left w:val="none" w:sz="0" w:space="0" w:color="auto"/>
        <w:bottom w:val="none" w:sz="0" w:space="0" w:color="auto"/>
        <w:right w:val="none" w:sz="0" w:space="0" w:color="auto"/>
      </w:divBdr>
    </w:div>
    <w:div w:id="19449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8.campaign-archive1.com/?u=5cff3b31398feb15d4f633311&amp;id=d88c49af48&amp;e=77fd7dacf1" TargetMode="External"/><Relationship Id="rId18" Type="http://schemas.openxmlformats.org/officeDocument/2006/relationships/hyperlink" Target="https://srsg.violenceagainstchildren.org/sites/default/files/images/2015/fiji/srsg_pmo_joint%20Press%20Statement_fin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women.sharepoint.com/sites/Extranet/jpo-vawg/Pages/SOI.aspx" TargetMode="External"/><Relationship Id="rId17" Type="http://schemas.openxmlformats.org/officeDocument/2006/relationships/hyperlink" Target="https://srsg.violenceagainstchildren.org/story/2015-05-21_1304" TargetMode="External"/><Relationship Id="rId2" Type="http://schemas.openxmlformats.org/officeDocument/2006/relationships/numbering" Target="numbering.xml"/><Relationship Id="rId16" Type="http://schemas.openxmlformats.org/officeDocument/2006/relationships/hyperlink" Target="http://us8.campaign-archive1.com/?u=5cff3b31398feb15d4f633311&amp;id=d88c49af48&amp;e=77fd7dacf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m2sydnkpfz7mubz/AABrPhLRDDcdUJR8QMQ2x-pga?dl=0" TargetMode="External"/><Relationship Id="rId5" Type="http://schemas.openxmlformats.org/officeDocument/2006/relationships/webSettings" Target="webSettings.xml"/><Relationship Id="rId15" Type="http://schemas.openxmlformats.org/officeDocument/2006/relationships/hyperlink" Target="http://us8.campaign-archive1.com/?u=5cff3b31398feb15d4f633311&amp;id=d88c49af48&amp;e=77fd7dacf1" TargetMode="External"/><Relationship Id="rId23" Type="http://schemas.openxmlformats.org/officeDocument/2006/relationships/theme" Target="theme/theme1.xml"/><Relationship Id="rId10" Type="http://schemas.openxmlformats.org/officeDocument/2006/relationships/hyperlink" Target="http://us8.campaign-archive1.com/?u=5cff3b31398feb15d4f633311&amp;id=d88c49af48&amp;e=77fd7dacf1" TargetMode="External"/><Relationship Id="rId19" Type="http://schemas.openxmlformats.org/officeDocument/2006/relationships/hyperlink" Target="https://www.facebook.com/media/set/?set=a.910903098973290.1073741828.154466671283607&amp;type=3" TargetMode="External"/><Relationship Id="rId4" Type="http://schemas.openxmlformats.org/officeDocument/2006/relationships/settings" Target="settings.xml"/><Relationship Id="rId9" Type="http://schemas.openxmlformats.org/officeDocument/2006/relationships/hyperlink" Target="http://www.solomonstarnews.com/features/women/9015-event-to-advocate-fpa-2014-commencement" TargetMode="External"/><Relationship Id="rId14" Type="http://schemas.openxmlformats.org/officeDocument/2006/relationships/hyperlink" Target="http://us8.campaign-archive1.com/?u=5cff3b31398feb15d4f633311&amp;id=d88c49af48&amp;e=77fd7dacf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ADE8-4D59-47B3-AE7C-BDD79551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11650</Words>
  <Characters>66409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Fumie Nakamura</dc:creator>
  <cp:lastModifiedBy>Taina Williams</cp:lastModifiedBy>
  <cp:revision>3</cp:revision>
  <cp:lastPrinted>2018-05-27T01:51:00Z</cp:lastPrinted>
  <dcterms:created xsi:type="dcterms:W3CDTF">2018-10-12T00:55:00Z</dcterms:created>
  <dcterms:modified xsi:type="dcterms:W3CDTF">2018-10-29T00:15:00Z</dcterms:modified>
</cp:coreProperties>
</file>