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BEA4" w14:textId="77777777" w:rsidR="00BB5ACF" w:rsidRPr="000A6A74" w:rsidRDefault="003909EB" w:rsidP="008406A6">
      <w:pPr>
        <w:rPr>
          <w:b/>
          <w:sz w:val="20"/>
          <w:szCs w:val="20"/>
        </w:rPr>
      </w:pPr>
      <w:bookmarkStart w:id="0" w:name="_GoBack"/>
      <w:bookmarkEnd w:id="0"/>
      <w:r w:rsidRPr="000A6A74">
        <w:rPr>
          <w:b/>
          <w:noProof/>
          <w:sz w:val="20"/>
          <w:szCs w:val="20"/>
          <w:lang w:val="en-US" w:eastAsia="en-US"/>
        </w:rPr>
        <w:drawing>
          <wp:anchor distT="0" distB="0" distL="114300" distR="114300" simplePos="0" relativeHeight="251658240" behindDoc="0" locked="0" layoutInCell="1" allowOverlap="1" wp14:anchorId="65CFA43D" wp14:editId="69DC9DFC">
            <wp:simplePos x="4301067" y="733778"/>
            <wp:positionH relativeFrom="column">
              <wp:posOffset>4301067</wp:posOffset>
            </wp:positionH>
            <wp:positionV relativeFrom="paragraph">
              <wp:align>top</wp:align>
            </wp:positionV>
            <wp:extent cx="1460500" cy="14605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F_e-sig_E_co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0500" cy="1460500"/>
                    </a:xfrm>
                    <a:prstGeom prst="rect">
                      <a:avLst/>
                    </a:prstGeom>
                    <a:noFill/>
                    <a:ln>
                      <a:noFill/>
                    </a:ln>
                  </pic:spPr>
                </pic:pic>
              </a:graphicData>
            </a:graphic>
          </wp:anchor>
        </w:drawing>
      </w:r>
      <w:r w:rsidR="008406A6">
        <w:rPr>
          <w:b/>
          <w:sz w:val="20"/>
          <w:szCs w:val="20"/>
        </w:rPr>
        <w:br w:type="textWrapping" w:clear="all"/>
      </w:r>
    </w:p>
    <w:p w14:paraId="0514A087" w14:textId="77777777" w:rsidR="00AC297B" w:rsidRPr="000A6A74" w:rsidRDefault="00A740E1" w:rsidP="008376F3">
      <w:pPr>
        <w:jc w:val="center"/>
        <w:rPr>
          <w:b/>
          <w:sz w:val="28"/>
          <w:szCs w:val="28"/>
        </w:rPr>
      </w:pPr>
      <w:r>
        <w:rPr>
          <w:b/>
          <w:sz w:val="28"/>
          <w:szCs w:val="28"/>
        </w:rPr>
        <w:t>UN</w:t>
      </w:r>
      <w:r w:rsidR="00AC297B" w:rsidRPr="000A6A74">
        <w:rPr>
          <w:b/>
          <w:sz w:val="28"/>
          <w:szCs w:val="28"/>
        </w:rPr>
        <w:t xml:space="preserve"> </w:t>
      </w:r>
      <w:r w:rsidR="004E2ED7" w:rsidRPr="000A6A74">
        <w:rPr>
          <w:b/>
          <w:sz w:val="28"/>
          <w:szCs w:val="28"/>
        </w:rPr>
        <w:t>Trust Fun</w:t>
      </w:r>
      <w:r w:rsidR="00BB5ACF" w:rsidRPr="000A6A74">
        <w:rPr>
          <w:b/>
          <w:sz w:val="28"/>
          <w:szCs w:val="28"/>
        </w:rPr>
        <w:t>d</w:t>
      </w:r>
      <w:r w:rsidR="00AC297B" w:rsidRPr="000A6A74">
        <w:rPr>
          <w:b/>
          <w:sz w:val="28"/>
          <w:szCs w:val="28"/>
        </w:rPr>
        <w:t xml:space="preserve"> to End Violence </w:t>
      </w:r>
      <w:r>
        <w:rPr>
          <w:b/>
          <w:sz w:val="28"/>
          <w:szCs w:val="28"/>
        </w:rPr>
        <w:t>a</w:t>
      </w:r>
      <w:r w:rsidR="00AC297B" w:rsidRPr="000A6A74">
        <w:rPr>
          <w:b/>
          <w:sz w:val="28"/>
          <w:szCs w:val="28"/>
        </w:rPr>
        <w:t>gainst Women</w:t>
      </w:r>
    </w:p>
    <w:p w14:paraId="035F13C5" w14:textId="77777777" w:rsidR="00E85FDA" w:rsidRDefault="00AC297B" w:rsidP="008376F3">
      <w:pPr>
        <w:jc w:val="center"/>
        <w:rPr>
          <w:b/>
          <w:sz w:val="28"/>
          <w:szCs w:val="28"/>
        </w:rPr>
      </w:pPr>
      <w:r w:rsidRPr="000A6A74">
        <w:rPr>
          <w:b/>
          <w:sz w:val="28"/>
          <w:szCs w:val="28"/>
        </w:rPr>
        <w:t xml:space="preserve">Result and </w:t>
      </w:r>
      <w:r w:rsidR="00E85FDA" w:rsidRPr="000A6A74">
        <w:rPr>
          <w:b/>
          <w:sz w:val="28"/>
          <w:szCs w:val="28"/>
        </w:rPr>
        <w:t xml:space="preserve">Activity Report </w:t>
      </w:r>
    </w:p>
    <w:p w14:paraId="71860CEF" w14:textId="70BDC2F2" w:rsidR="00E7247E" w:rsidRPr="00E7247E" w:rsidRDefault="00E7247E" w:rsidP="008376F3">
      <w:pPr>
        <w:jc w:val="center"/>
        <w:rPr>
          <w:rStyle w:val="Emphasis"/>
        </w:rPr>
      </w:pPr>
      <w:r w:rsidRPr="00E7247E">
        <w:rPr>
          <w:rStyle w:val="Emphasis"/>
        </w:rPr>
        <w:t xml:space="preserve">Reporting period: Progress Report </w:t>
      </w:r>
      <w:r w:rsidR="00476BE2">
        <w:rPr>
          <w:rStyle w:val="Emphasis"/>
        </w:rPr>
        <w:t>Y3</w:t>
      </w:r>
    </w:p>
    <w:sdt>
      <w:sdtPr>
        <w:rPr>
          <w:rFonts w:asciiTheme="minorHAnsi" w:eastAsiaTheme="minorEastAsia" w:hAnsiTheme="minorHAnsi" w:cstheme="minorBidi"/>
          <w:b w:val="0"/>
          <w:bCs w:val="0"/>
          <w:color w:val="auto"/>
          <w:sz w:val="20"/>
          <w:szCs w:val="20"/>
        </w:rPr>
        <w:id w:val="1291704520"/>
        <w:docPartObj>
          <w:docPartGallery w:val="Table of Contents"/>
          <w:docPartUnique/>
        </w:docPartObj>
      </w:sdtPr>
      <w:sdtEndPr>
        <w:rPr>
          <w:noProof/>
        </w:rPr>
      </w:sdtEndPr>
      <w:sdtContent>
        <w:p w14:paraId="3EAB18A5" w14:textId="77777777" w:rsidR="00B25719" w:rsidRPr="000A6A74" w:rsidRDefault="00B25719" w:rsidP="00413FEF">
          <w:pPr>
            <w:pStyle w:val="TOCHeading"/>
            <w:spacing w:before="0" w:line="240" w:lineRule="auto"/>
            <w:rPr>
              <w:rFonts w:asciiTheme="minorHAnsi" w:hAnsiTheme="minorHAnsi"/>
              <w:sz w:val="20"/>
              <w:szCs w:val="20"/>
            </w:rPr>
          </w:pPr>
          <w:r w:rsidRPr="000A6A74">
            <w:rPr>
              <w:rFonts w:asciiTheme="minorHAnsi" w:hAnsiTheme="minorHAnsi"/>
              <w:sz w:val="20"/>
              <w:szCs w:val="20"/>
            </w:rPr>
            <w:t>Contents</w:t>
          </w:r>
        </w:p>
        <w:p w14:paraId="44DD5A77" w14:textId="77777777" w:rsidR="00B25719" w:rsidRPr="000A6A74" w:rsidRDefault="00B25719" w:rsidP="00B25719">
          <w:pPr>
            <w:pStyle w:val="TOC1"/>
            <w:tabs>
              <w:tab w:val="right" w:leader="dot" w:pos="12950"/>
            </w:tabs>
            <w:spacing w:after="0" w:line="240" w:lineRule="auto"/>
            <w:rPr>
              <w:noProof/>
              <w:sz w:val="20"/>
              <w:szCs w:val="20"/>
            </w:rPr>
          </w:pPr>
          <w:r w:rsidRPr="000A6A74">
            <w:rPr>
              <w:sz w:val="20"/>
              <w:szCs w:val="20"/>
            </w:rPr>
            <w:fldChar w:fldCharType="begin"/>
          </w:r>
          <w:r w:rsidRPr="000A6A74">
            <w:rPr>
              <w:sz w:val="20"/>
              <w:szCs w:val="20"/>
            </w:rPr>
            <w:instrText xml:space="preserve"> TOC \o "1-3" \h \z \u </w:instrText>
          </w:r>
          <w:r w:rsidRPr="000A6A74">
            <w:rPr>
              <w:sz w:val="20"/>
              <w:szCs w:val="20"/>
            </w:rPr>
            <w:fldChar w:fldCharType="separate"/>
          </w:r>
          <w:hyperlink w:anchor="_Toc355636217" w:history="1">
            <w:r w:rsidRPr="000A6A74">
              <w:rPr>
                <w:rStyle w:val="Hyperlink"/>
                <w:noProof/>
                <w:sz w:val="20"/>
                <w:szCs w:val="20"/>
              </w:rPr>
              <w:t>Project Information</w:t>
            </w:r>
            <w:r w:rsidRPr="000A6A74">
              <w:rPr>
                <w:noProof/>
                <w:webHidden/>
                <w:sz w:val="20"/>
                <w:szCs w:val="20"/>
              </w:rPr>
              <w:tab/>
            </w:r>
            <w:r w:rsidRPr="000A6A74">
              <w:rPr>
                <w:noProof/>
                <w:webHidden/>
                <w:sz w:val="20"/>
                <w:szCs w:val="20"/>
              </w:rPr>
              <w:fldChar w:fldCharType="begin"/>
            </w:r>
            <w:r w:rsidRPr="000A6A74">
              <w:rPr>
                <w:noProof/>
                <w:webHidden/>
                <w:sz w:val="20"/>
                <w:szCs w:val="20"/>
              </w:rPr>
              <w:instrText xml:space="preserve"> PAGEREF _Toc355636217 \h </w:instrText>
            </w:r>
            <w:r w:rsidRPr="000A6A74">
              <w:rPr>
                <w:noProof/>
                <w:webHidden/>
                <w:sz w:val="20"/>
                <w:szCs w:val="20"/>
              </w:rPr>
            </w:r>
            <w:r w:rsidRPr="000A6A74">
              <w:rPr>
                <w:noProof/>
                <w:webHidden/>
                <w:sz w:val="20"/>
                <w:szCs w:val="20"/>
              </w:rPr>
              <w:fldChar w:fldCharType="separate"/>
            </w:r>
            <w:r w:rsidR="00465739">
              <w:rPr>
                <w:noProof/>
                <w:webHidden/>
                <w:sz w:val="20"/>
                <w:szCs w:val="20"/>
              </w:rPr>
              <w:t>1</w:t>
            </w:r>
            <w:r w:rsidRPr="000A6A74">
              <w:rPr>
                <w:noProof/>
                <w:webHidden/>
                <w:sz w:val="20"/>
                <w:szCs w:val="20"/>
              </w:rPr>
              <w:fldChar w:fldCharType="end"/>
            </w:r>
          </w:hyperlink>
        </w:p>
        <w:p w14:paraId="7AE46FFA" w14:textId="77777777" w:rsidR="00B25719" w:rsidRPr="000A6A74" w:rsidRDefault="00E9466F" w:rsidP="00B25719">
          <w:pPr>
            <w:pStyle w:val="TOC1"/>
            <w:tabs>
              <w:tab w:val="right" w:leader="dot" w:pos="12950"/>
            </w:tabs>
            <w:spacing w:after="0" w:line="240" w:lineRule="auto"/>
            <w:rPr>
              <w:noProof/>
              <w:sz w:val="20"/>
              <w:szCs w:val="20"/>
            </w:rPr>
          </w:pPr>
          <w:hyperlink w:anchor="_Toc355636218" w:history="1">
            <w:r w:rsidR="00B25719" w:rsidRPr="000A6A74">
              <w:rPr>
                <w:rStyle w:val="Hyperlink"/>
                <w:noProof/>
                <w:sz w:val="20"/>
                <w:szCs w:val="20"/>
              </w:rPr>
              <w:t>I: Project Goal</w:t>
            </w:r>
            <w:r w:rsidR="00B25719" w:rsidRPr="000A6A74">
              <w:rPr>
                <w:noProof/>
                <w:webHidden/>
                <w:sz w:val="20"/>
                <w:szCs w:val="20"/>
              </w:rPr>
              <w:tab/>
            </w:r>
            <w:r w:rsidR="00B25719" w:rsidRPr="000A6A74">
              <w:rPr>
                <w:noProof/>
                <w:webHidden/>
                <w:sz w:val="20"/>
                <w:szCs w:val="20"/>
              </w:rPr>
              <w:fldChar w:fldCharType="begin"/>
            </w:r>
            <w:r w:rsidR="00B25719" w:rsidRPr="000A6A74">
              <w:rPr>
                <w:noProof/>
                <w:webHidden/>
                <w:sz w:val="20"/>
                <w:szCs w:val="20"/>
              </w:rPr>
              <w:instrText xml:space="preserve"> PAGEREF _Toc355636218 \h </w:instrText>
            </w:r>
            <w:r w:rsidR="00B25719" w:rsidRPr="000A6A74">
              <w:rPr>
                <w:noProof/>
                <w:webHidden/>
                <w:sz w:val="20"/>
                <w:szCs w:val="20"/>
              </w:rPr>
            </w:r>
            <w:r w:rsidR="00B25719" w:rsidRPr="000A6A74">
              <w:rPr>
                <w:noProof/>
                <w:webHidden/>
                <w:sz w:val="20"/>
                <w:szCs w:val="20"/>
              </w:rPr>
              <w:fldChar w:fldCharType="separate"/>
            </w:r>
            <w:r w:rsidR="00465739">
              <w:rPr>
                <w:noProof/>
                <w:webHidden/>
                <w:sz w:val="20"/>
                <w:szCs w:val="20"/>
              </w:rPr>
              <w:t>2</w:t>
            </w:r>
            <w:r w:rsidR="00B25719" w:rsidRPr="000A6A74">
              <w:rPr>
                <w:noProof/>
                <w:webHidden/>
                <w:sz w:val="20"/>
                <w:szCs w:val="20"/>
              </w:rPr>
              <w:fldChar w:fldCharType="end"/>
            </w:r>
          </w:hyperlink>
        </w:p>
        <w:p w14:paraId="28A8C77A" w14:textId="77777777" w:rsidR="00B25719" w:rsidRPr="000A6A74" w:rsidRDefault="00E9466F" w:rsidP="00B25719">
          <w:pPr>
            <w:pStyle w:val="TOC1"/>
            <w:tabs>
              <w:tab w:val="right" w:leader="dot" w:pos="12950"/>
            </w:tabs>
            <w:spacing w:after="0" w:line="240" w:lineRule="auto"/>
            <w:rPr>
              <w:noProof/>
              <w:sz w:val="20"/>
              <w:szCs w:val="20"/>
            </w:rPr>
          </w:pPr>
          <w:hyperlink w:anchor="_Toc355636223" w:history="1">
            <w:r w:rsidR="00B25719" w:rsidRPr="000A6A74">
              <w:rPr>
                <w:rStyle w:val="Hyperlink"/>
                <w:noProof/>
                <w:sz w:val="20"/>
                <w:szCs w:val="20"/>
              </w:rPr>
              <w:t>II: Outcomes</w:t>
            </w:r>
            <w:r w:rsidR="00B25719" w:rsidRPr="000A6A74">
              <w:rPr>
                <w:noProof/>
                <w:webHidden/>
                <w:sz w:val="20"/>
                <w:szCs w:val="20"/>
              </w:rPr>
              <w:tab/>
            </w:r>
            <w:r w:rsidR="00B25719" w:rsidRPr="000A6A74">
              <w:rPr>
                <w:noProof/>
                <w:webHidden/>
                <w:sz w:val="20"/>
                <w:szCs w:val="20"/>
              </w:rPr>
              <w:fldChar w:fldCharType="begin"/>
            </w:r>
            <w:r w:rsidR="00B25719" w:rsidRPr="000A6A74">
              <w:rPr>
                <w:noProof/>
                <w:webHidden/>
                <w:sz w:val="20"/>
                <w:szCs w:val="20"/>
              </w:rPr>
              <w:instrText xml:space="preserve"> PAGEREF _Toc355636223 \h </w:instrText>
            </w:r>
            <w:r w:rsidR="00B25719" w:rsidRPr="000A6A74">
              <w:rPr>
                <w:noProof/>
                <w:webHidden/>
                <w:sz w:val="20"/>
                <w:szCs w:val="20"/>
              </w:rPr>
            </w:r>
            <w:r w:rsidR="00B25719" w:rsidRPr="000A6A74">
              <w:rPr>
                <w:noProof/>
                <w:webHidden/>
                <w:sz w:val="20"/>
                <w:szCs w:val="20"/>
              </w:rPr>
              <w:fldChar w:fldCharType="separate"/>
            </w:r>
            <w:r w:rsidR="00465739">
              <w:rPr>
                <w:noProof/>
                <w:webHidden/>
                <w:sz w:val="20"/>
                <w:szCs w:val="20"/>
              </w:rPr>
              <w:t>3</w:t>
            </w:r>
            <w:r w:rsidR="00B25719" w:rsidRPr="000A6A74">
              <w:rPr>
                <w:noProof/>
                <w:webHidden/>
                <w:sz w:val="20"/>
                <w:szCs w:val="20"/>
              </w:rPr>
              <w:fldChar w:fldCharType="end"/>
            </w:r>
          </w:hyperlink>
        </w:p>
        <w:p w14:paraId="6DF95E52" w14:textId="77777777" w:rsidR="00B25719" w:rsidRPr="000A6A74" w:rsidRDefault="00E9466F" w:rsidP="00B25719">
          <w:pPr>
            <w:pStyle w:val="TOC1"/>
            <w:tabs>
              <w:tab w:val="right" w:leader="dot" w:pos="12950"/>
            </w:tabs>
            <w:spacing w:after="0" w:line="240" w:lineRule="auto"/>
            <w:rPr>
              <w:noProof/>
              <w:sz w:val="20"/>
              <w:szCs w:val="20"/>
            </w:rPr>
          </w:pPr>
          <w:hyperlink w:anchor="_Toc355636234" w:history="1">
            <w:r w:rsidR="00B25719" w:rsidRPr="000A6A74">
              <w:rPr>
                <w:rStyle w:val="Hyperlink"/>
                <w:noProof/>
                <w:sz w:val="20"/>
                <w:szCs w:val="20"/>
              </w:rPr>
              <w:t>III: Outputs and Project Activities</w:t>
            </w:r>
            <w:r w:rsidR="00B25719" w:rsidRPr="000A6A74">
              <w:rPr>
                <w:noProof/>
                <w:webHidden/>
                <w:sz w:val="20"/>
                <w:szCs w:val="20"/>
              </w:rPr>
              <w:tab/>
            </w:r>
            <w:r w:rsidR="00B25719" w:rsidRPr="000A6A74">
              <w:rPr>
                <w:noProof/>
                <w:webHidden/>
                <w:sz w:val="20"/>
                <w:szCs w:val="20"/>
              </w:rPr>
              <w:fldChar w:fldCharType="begin"/>
            </w:r>
            <w:r w:rsidR="00B25719" w:rsidRPr="000A6A74">
              <w:rPr>
                <w:noProof/>
                <w:webHidden/>
                <w:sz w:val="20"/>
                <w:szCs w:val="20"/>
              </w:rPr>
              <w:instrText xml:space="preserve"> PAGEREF _Toc355636234 \h </w:instrText>
            </w:r>
            <w:r w:rsidR="00B25719" w:rsidRPr="000A6A74">
              <w:rPr>
                <w:noProof/>
                <w:webHidden/>
                <w:sz w:val="20"/>
                <w:szCs w:val="20"/>
              </w:rPr>
            </w:r>
            <w:r w:rsidR="00B25719" w:rsidRPr="000A6A74">
              <w:rPr>
                <w:noProof/>
                <w:webHidden/>
                <w:sz w:val="20"/>
                <w:szCs w:val="20"/>
              </w:rPr>
              <w:fldChar w:fldCharType="separate"/>
            </w:r>
            <w:r w:rsidR="00465739">
              <w:rPr>
                <w:noProof/>
                <w:webHidden/>
                <w:sz w:val="20"/>
                <w:szCs w:val="20"/>
              </w:rPr>
              <w:t>7</w:t>
            </w:r>
            <w:r w:rsidR="00B25719" w:rsidRPr="000A6A74">
              <w:rPr>
                <w:noProof/>
                <w:webHidden/>
                <w:sz w:val="20"/>
                <w:szCs w:val="20"/>
              </w:rPr>
              <w:fldChar w:fldCharType="end"/>
            </w:r>
          </w:hyperlink>
        </w:p>
        <w:p w14:paraId="12A4692D" w14:textId="77777777" w:rsidR="00B25719" w:rsidRPr="000A6A74" w:rsidRDefault="004267A8" w:rsidP="00B25719">
          <w:pPr>
            <w:pStyle w:val="TOC1"/>
            <w:tabs>
              <w:tab w:val="right" w:leader="dot" w:pos="12950"/>
            </w:tabs>
            <w:spacing w:after="0" w:line="240" w:lineRule="auto"/>
            <w:rPr>
              <w:noProof/>
              <w:sz w:val="20"/>
              <w:szCs w:val="20"/>
            </w:rPr>
          </w:pPr>
          <w:r w:rsidRPr="000A6A74">
            <w:rPr>
              <w:noProof/>
              <w:sz w:val="20"/>
              <w:szCs w:val="20"/>
            </w:rPr>
            <w:t xml:space="preserve">IV: </w:t>
          </w:r>
          <w:hyperlink w:anchor="_Toc355636245" w:history="1">
            <w:r w:rsidR="00B25719" w:rsidRPr="000A6A74">
              <w:rPr>
                <w:rStyle w:val="Hyperlink"/>
                <w:noProof/>
                <w:sz w:val="20"/>
                <w:szCs w:val="20"/>
              </w:rPr>
              <w:t>M&amp;E and Audit Activities</w:t>
            </w:r>
            <w:r w:rsidR="00B25719" w:rsidRPr="000A6A74">
              <w:rPr>
                <w:noProof/>
                <w:webHidden/>
                <w:sz w:val="20"/>
                <w:szCs w:val="20"/>
              </w:rPr>
              <w:tab/>
            </w:r>
            <w:r w:rsidR="00B25719" w:rsidRPr="000A6A74">
              <w:rPr>
                <w:noProof/>
                <w:webHidden/>
                <w:sz w:val="20"/>
                <w:szCs w:val="20"/>
              </w:rPr>
              <w:fldChar w:fldCharType="begin"/>
            </w:r>
            <w:r w:rsidR="00B25719" w:rsidRPr="000A6A74">
              <w:rPr>
                <w:noProof/>
                <w:webHidden/>
                <w:sz w:val="20"/>
                <w:szCs w:val="20"/>
              </w:rPr>
              <w:instrText xml:space="preserve"> PAGEREF _Toc355636245 \h </w:instrText>
            </w:r>
            <w:r w:rsidR="00B25719" w:rsidRPr="000A6A74">
              <w:rPr>
                <w:noProof/>
                <w:webHidden/>
                <w:sz w:val="20"/>
                <w:szCs w:val="20"/>
              </w:rPr>
            </w:r>
            <w:r w:rsidR="00B25719" w:rsidRPr="000A6A74">
              <w:rPr>
                <w:noProof/>
                <w:webHidden/>
                <w:sz w:val="20"/>
                <w:szCs w:val="20"/>
              </w:rPr>
              <w:fldChar w:fldCharType="separate"/>
            </w:r>
            <w:r w:rsidR="00465739">
              <w:rPr>
                <w:noProof/>
                <w:webHidden/>
                <w:sz w:val="20"/>
                <w:szCs w:val="20"/>
              </w:rPr>
              <w:t>16</w:t>
            </w:r>
            <w:r w:rsidR="00B25719" w:rsidRPr="000A6A74">
              <w:rPr>
                <w:noProof/>
                <w:webHidden/>
                <w:sz w:val="20"/>
                <w:szCs w:val="20"/>
              </w:rPr>
              <w:fldChar w:fldCharType="end"/>
            </w:r>
          </w:hyperlink>
        </w:p>
        <w:p w14:paraId="4863A0B7" w14:textId="77777777" w:rsidR="00DC50C0" w:rsidRPr="000A6A74" w:rsidRDefault="00B25719" w:rsidP="00F8334C">
          <w:pPr>
            <w:spacing w:after="0" w:line="240" w:lineRule="auto"/>
            <w:rPr>
              <w:sz w:val="20"/>
              <w:szCs w:val="20"/>
            </w:rPr>
          </w:pPr>
          <w:r w:rsidRPr="000A6A74">
            <w:rPr>
              <w:b/>
              <w:bCs/>
              <w:noProof/>
              <w:sz w:val="20"/>
              <w:szCs w:val="20"/>
            </w:rPr>
            <w:fldChar w:fldCharType="end"/>
          </w:r>
        </w:p>
      </w:sdtContent>
    </w:sdt>
    <w:p w14:paraId="31195D41" w14:textId="77777777" w:rsidR="00E85FDA" w:rsidRPr="000A6A74" w:rsidRDefault="00E85FDA" w:rsidP="00B25719">
      <w:pPr>
        <w:pStyle w:val="Heading1"/>
        <w:spacing w:before="0" w:line="240" w:lineRule="auto"/>
        <w:rPr>
          <w:rFonts w:asciiTheme="minorHAnsi" w:hAnsiTheme="minorHAnsi"/>
          <w:sz w:val="20"/>
          <w:szCs w:val="20"/>
        </w:rPr>
      </w:pPr>
      <w:bookmarkStart w:id="1" w:name="_Toc355636217"/>
      <w:r w:rsidRPr="000A6A74">
        <w:rPr>
          <w:rFonts w:asciiTheme="minorHAnsi" w:hAnsiTheme="minorHAnsi"/>
          <w:sz w:val="20"/>
          <w:szCs w:val="20"/>
        </w:rPr>
        <w:t>Project Information</w:t>
      </w:r>
      <w:bookmarkEnd w:id="1"/>
    </w:p>
    <w:tbl>
      <w:tblPr>
        <w:tblStyle w:val="TableGrid"/>
        <w:tblW w:w="0" w:type="auto"/>
        <w:tblLook w:val="04A0" w:firstRow="1" w:lastRow="0" w:firstColumn="1" w:lastColumn="0" w:noHBand="0" w:noVBand="1"/>
      </w:tblPr>
      <w:tblGrid>
        <w:gridCol w:w="3618"/>
        <w:gridCol w:w="9558"/>
      </w:tblGrid>
      <w:tr w:rsidR="00E85FDA" w:rsidRPr="000A6A74" w14:paraId="422062AB" w14:textId="77777777" w:rsidTr="00502A1E">
        <w:tc>
          <w:tcPr>
            <w:tcW w:w="3618" w:type="dxa"/>
            <w:shd w:val="clear" w:color="auto" w:fill="F2F2F2" w:themeFill="background1" w:themeFillShade="F2"/>
          </w:tcPr>
          <w:p w14:paraId="351B591C" w14:textId="77777777" w:rsidR="00E85FDA" w:rsidRPr="000A6A74" w:rsidRDefault="00E85FDA" w:rsidP="00AB2842">
            <w:pPr>
              <w:rPr>
                <w:b/>
                <w:sz w:val="20"/>
                <w:szCs w:val="20"/>
              </w:rPr>
            </w:pPr>
            <w:r w:rsidRPr="000A6A74">
              <w:rPr>
                <w:b/>
                <w:sz w:val="20"/>
                <w:szCs w:val="20"/>
              </w:rPr>
              <w:t xml:space="preserve">Name of Organization  </w:t>
            </w:r>
          </w:p>
        </w:tc>
        <w:tc>
          <w:tcPr>
            <w:tcW w:w="9558" w:type="dxa"/>
            <w:shd w:val="clear" w:color="auto" w:fill="FFFFFF" w:themeFill="background1"/>
          </w:tcPr>
          <w:p w14:paraId="7536607C" w14:textId="77777777" w:rsidR="00E85FDA" w:rsidRPr="000A6A74" w:rsidRDefault="00010499" w:rsidP="00010499">
            <w:pPr>
              <w:rPr>
                <w:sz w:val="20"/>
                <w:szCs w:val="20"/>
              </w:rPr>
            </w:pPr>
            <w:r>
              <w:rPr>
                <w:sz w:val="20"/>
                <w:szCs w:val="20"/>
              </w:rPr>
              <w:t>UN Women</w:t>
            </w:r>
          </w:p>
        </w:tc>
      </w:tr>
      <w:tr w:rsidR="00E85FDA" w:rsidRPr="000A6A74" w14:paraId="5C823D9A" w14:textId="77777777" w:rsidTr="00502A1E">
        <w:tc>
          <w:tcPr>
            <w:tcW w:w="3618" w:type="dxa"/>
            <w:shd w:val="clear" w:color="auto" w:fill="F2F2F2" w:themeFill="background1" w:themeFillShade="F2"/>
          </w:tcPr>
          <w:p w14:paraId="6F760A11" w14:textId="77777777" w:rsidR="00E85FDA" w:rsidRPr="000A6A74" w:rsidRDefault="00E85FDA" w:rsidP="00AB2842">
            <w:pPr>
              <w:rPr>
                <w:b/>
                <w:sz w:val="20"/>
                <w:szCs w:val="20"/>
              </w:rPr>
            </w:pPr>
            <w:r w:rsidRPr="000A6A74">
              <w:rPr>
                <w:b/>
                <w:sz w:val="20"/>
                <w:szCs w:val="20"/>
              </w:rPr>
              <w:t>Implementing Partner(s)</w:t>
            </w:r>
          </w:p>
        </w:tc>
        <w:tc>
          <w:tcPr>
            <w:tcW w:w="9558" w:type="dxa"/>
            <w:shd w:val="clear" w:color="auto" w:fill="FFFFFF" w:themeFill="background1"/>
          </w:tcPr>
          <w:p w14:paraId="1E6D271D" w14:textId="77777777" w:rsidR="00E85FDA" w:rsidRPr="000A6A74" w:rsidRDefault="007B2D54" w:rsidP="00AB2842">
            <w:pPr>
              <w:rPr>
                <w:sz w:val="20"/>
                <w:szCs w:val="20"/>
              </w:rPr>
            </w:pPr>
            <w:r>
              <w:rPr>
                <w:sz w:val="20"/>
                <w:szCs w:val="20"/>
              </w:rPr>
              <w:t xml:space="preserve">UNFPA ( MWYCFA and MHMS) </w:t>
            </w:r>
          </w:p>
        </w:tc>
      </w:tr>
      <w:tr w:rsidR="00E85FDA" w:rsidRPr="000A6A74" w14:paraId="7D673880" w14:textId="77777777" w:rsidTr="00502A1E">
        <w:tc>
          <w:tcPr>
            <w:tcW w:w="3618" w:type="dxa"/>
            <w:shd w:val="clear" w:color="auto" w:fill="F2F2F2" w:themeFill="background1" w:themeFillShade="F2"/>
          </w:tcPr>
          <w:p w14:paraId="0B823462" w14:textId="77777777" w:rsidR="00E85FDA" w:rsidRPr="000A6A74" w:rsidRDefault="00E85FDA" w:rsidP="00AB2842">
            <w:pPr>
              <w:rPr>
                <w:b/>
                <w:sz w:val="20"/>
                <w:szCs w:val="20"/>
              </w:rPr>
            </w:pPr>
            <w:r w:rsidRPr="000A6A74">
              <w:rPr>
                <w:b/>
                <w:sz w:val="20"/>
                <w:szCs w:val="20"/>
              </w:rPr>
              <w:t>Project Title</w:t>
            </w:r>
          </w:p>
        </w:tc>
        <w:tc>
          <w:tcPr>
            <w:tcW w:w="9558" w:type="dxa"/>
            <w:shd w:val="clear" w:color="auto" w:fill="FFFFFF" w:themeFill="background1"/>
          </w:tcPr>
          <w:p w14:paraId="1D205B9C" w14:textId="77777777" w:rsidR="00E85FDA" w:rsidRPr="000A6A74" w:rsidRDefault="00010499" w:rsidP="00AB2842">
            <w:pPr>
              <w:rPr>
                <w:sz w:val="20"/>
                <w:szCs w:val="20"/>
              </w:rPr>
            </w:pPr>
            <w:r>
              <w:rPr>
                <w:rFonts w:ascii="Calibri" w:hAnsi="Calibri"/>
                <w:color w:val="1C1C1C"/>
                <w:sz w:val="18"/>
                <w:szCs w:val="18"/>
              </w:rPr>
              <w:t>Keeping the Promise in the Solomon Islands: From Policy to Action</w:t>
            </w:r>
          </w:p>
        </w:tc>
      </w:tr>
      <w:tr w:rsidR="00E85FDA" w:rsidRPr="000A6A74" w14:paraId="48F0C513" w14:textId="77777777" w:rsidTr="007B2D54">
        <w:trPr>
          <w:trHeight w:val="299"/>
        </w:trPr>
        <w:tc>
          <w:tcPr>
            <w:tcW w:w="3618" w:type="dxa"/>
            <w:shd w:val="clear" w:color="auto" w:fill="F2F2F2" w:themeFill="background1" w:themeFillShade="F2"/>
          </w:tcPr>
          <w:p w14:paraId="7BEF759E" w14:textId="77777777" w:rsidR="00E85FDA" w:rsidRPr="000A6A74" w:rsidRDefault="00E85FDA" w:rsidP="00AB2842">
            <w:pPr>
              <w:rPr>
                <w:b/>
                <w:sz w:val="20"/>
                <w:szCs w:val="20"/>
              </w:rPr>
            </w:pPr>
            <w:r w:rsidRPr="000A6A74">
              <w:rPr>
                <w:b/>
                <w:sz w:val="20"/>
                <w:szCs w:val="20"/>
              </w:rPr>
              <w:t xml:space="preserve">Countries of Implementation </w:t>
            </w:r>
          </w:p>
        </w:tc>
        <w:tc>
          <w:tcPr>
            <w:tcW w:w="9558" w:type="dxa"/>
            <w:shd w:val="clear" w:color="auto" w:fill="FFFFFF" w:themeFill="background1"/>
          </w:tcPr>
          <w:p w14:paraId="2C8016A0" w14:textId="77777777" w:rsidR="00E85FDA" w:rsidRPr="000A6A74" w:rsidRDefault="008168BC" w:rsidP="00AB2842">
            <w:pPr>
              <w:rPr>
                <w:sz w:val="20"/>
                <w:szCs w:val="20"/>
              </w:rPr>
            </w:pPr>
            <w:r>
              <w:rPr>
                <w:sz w:val="20"/>
                <w:szCs w:val="20"/>
              </w:rPr>
              <w:t>Solomon Islands</w:t>
            </w:r>
          </w:p>
        </w:tc>
      </w:tr>
      <w:tr w:rsidR="00E85FDA" w:rsidRPr="000A6A74" w14:paraId="52396A8C" w14:textId="77777777" w:rsidTr="00502A1E">
        <w:tc>
          <w:tcPr>
            <w:tcW w:w="3618" w:type="dxa"/>
            <w:shd w:val="clear" w:color="auto" w:fill="F2F2F2" w:themeFill="background1" w:themeFillShade="F2"/>
          </w:tcPr>
          <w:p w14:paraId="57C558A5" w14:textId="77777777" w:rsidR="00E85FDA" w:rsidRPr="000A6A74" w:rsidRDefault="00E85FDA" w:rsidP="00AB2842">
            <w:pPr>
              <w:rPr>
                <w:b/>
                <w:sz w:val="20"/>
                <w:szCs w:val="20"/>
              </w:rPr>
            </w:pPr>
            <w:r w:rsidRPr="000A6A74">
              <w:rPr>
                <w:b/>
                <w:sz w:val="20"/>
                <w:szCs w:val="20"/>
              </w:rPr>
              <w:t>Project start date (dd/mm/yyyy)</w:t>
            </w:r>
          </w:p>
        </w:tc>
        <w:tc>
          <w:tcPr>
            <w:tcW w:w="9558" w:type="dxa"/>
            <w:shd w:val="clear" w:color="auto" w:fill="FFFFFF" w:themeFill="background1"/>
          </w:tcPr>
          <w:p w14:paraId="48E69D9D" w14:textId="75ED4B1E" w:rsidR="00E85FDA" w:rsidRPr="000A6A74" w:rsidRDefault="000A1231" w:rsidP="00B2727F">
            <w:pPr>
              <w:rPr>
                <w:sz w:val="20"/>
                <w:szCs w:val="20"/>
              </w:rPr>
            </w:pPr>
            <w:r>
              <w:rPr>
                <w:rFonts w:ascii="Calibri" w:hAnsi="Calibri"/>
                <w:color w:val="1C1C1C"/>
                <w:sz w:val="18"/>
                <w:szCs w:val="18"/>
              </w:rPr>
              <w:t>01/01/201</w:t>
            </w:r>
            <w:r w:rsidR="008E3D3C">
              <w:rPr>
                <w:rFonts w:ascii="Calibri" w:hAnsi="Calibri"/>
                <w:color w:val="1C1C1C"/>
                <w:sz w:val="18"/>
                <w:szCs w:val="18"/>
              </w:rPr>
              <w:t>5</w:t>
            </w:r>
          </w:p>
        </w:tc>
      </w:tr>
      <w:tr w:rsidR="00E85FDA" w:rsidRPr="000A6A74" w14:paraId="2D521EF4" w14:textId="77777777" w:rsidTr="00502A1E">
        <w:tc>
          <w:tcPr>
            <w:tcW w:w="3618" w:type="dxa"/>
            <w:shd w:val="clear" w:color="auto" w:fill="F2F2F2" w:themeFill="background1" w:themeFillShade="F2"/>
          </w:tcPr>
          <w:p w14:paraId="7FB966E1" w14:textId="77777777" w:rsidR="00E85FDA" w:rsidRPr="000A6A74" w:rsidRDefault="00E85FDA" w:rsidP="00AB2842">
            <w:pPr>
              <w:rPr>
                <w:b/>
                <w:sz w:val="20"/>
                <w:szCs w:val="20"/>
              </w:rPr>
            </w:pPr>
            <w:r w:rsidRPr="000A6A74">
              <w:rPr>
                <w:b/>
                <w:sz w:val="20"/>
                <w:szCs w:val="20"/>
              </w:rPr>
              <w:t xml:space="preserve">Project end date (dd/mm/yyyy) </w:t>
            </w:r>
          </w:p>
        </w:tc>
        <w:tc>
          <w:tcPr>
            <w:tcW w:w="9558" w:type="dxa"/>
            <w:shd w:val="clear" w:color="auto" w:fill="FFFFFF" w:themeFill="background1"/>
          </w:tcPr>
          <w:p w14:paraId="06ACC6C5" w14:textId="77777777" w:rsidR="00E85FDA" w:rsidRPr="000A6A74" w:rsidRDefault="000A1231" w:rsidP="006A58D6">
            <w:pPr>
              <w:rPr>
                <w:sz w:val="20"/>
                <w:szCs w:val="20"/>
              </w:rPr>
            </w:pPr>
            <w:r>
              <w:rPr>
                <w:rFonts w:ascii="Calibri" w:hAnsi="Calibri"/>
                <w:color w:val="1C1C1C"/>
                <w:sz w:val="18"/>
                <w:szCs w:val="18"/>
              </w:rPr>
              <w:t>31/12/2017</w:t>
            </w:r>
          </w:p>
        </w:tc>
      </w:tr>
      <w:tr w:rsidR="00E85FDA" w:rsidRPr="000A6A74" w14:paraId="3527C0EB" w14:textId="77777777" w:rsidTr="00502A1E">
        <w:tc>
          <w:tcPr>
            <w:tcW w:w="3618" w:type="dxa"/>
            <w:shd w:val="clear" w:color="auto" w:fill="F2F2F2" w:themeFill="background1" w:themeFillShade="F2"/>
          </w:tcPr>
          <w:p w14:paraId="427A30A3" w14:textId="77777777" w:rsidR="00E85FDA" w:rsidRPr="000A6A74" w:rsidRDefault="00E85FDA" w:rsidP="00AB2842">
            <w:pPr>
              <w:rPr>
                <w:b/>
                <w:sz w:val="20"/>
                <w:szCs w:val="20"/>
              </w:rPr>
            </w:pPr>
            <w:r w:rsidRPr="000A6A74">
              <w:rPr>
                <w:b/>
                <w:sz w:val="20"/>
                <w:szCs w:val="20"/>
              </w:rPr>
              <w:t>Total Grant Approved (USD)</w:t>
            </w:r>
          </w:p>
        </w:tc>
        <w:tc>
          <w:tcPr>
            <w:tcW w:w="9558" w:type="dxa"/>
            <w:shd w:val="clear" w:color="auto" w:fill="FFFFFF" w:themeFill="background1"/>
          </w:tcPr>
          <w:p w14:paraId="64A8A751" w14:textId="77777777" w:rsidR="00E85FDA" w:rsidRPr="000A6A74" w:rsidRDefault="000A1231" w:rsidP="00AB2842">
            <w:pPr>
              <w:rPr>
                <w:sz w:val="20"/>
                <w:szCs w:val="20"/>
              </w:rPr>
            </w:pPr>
            <w:r>
              <w:rPr>
                <w:rFonts w:ascii="Calibri" w:hAnsi="Calibri"/>
                <w:color w:val="1C1C1C"/>
                <w:sz w:val="18"/>
                <w:szCs w:val="18"/>
              </w:rPr>
              <w:t>$ 619,069</w:t>
            </w:r>
          </w:p>
        </w:tc>
      </w:tr>
    </w:tbl>
    <w:p w14:paraId="5120BFD3" w14:textId="77777777" w:rsidR="00956B3A" w:rsidRPr="000A6A74" w:rsidRDefault="00956B3A" w:rsidP="004267A8">
      <w:pPr>
        <w:spacing w:after="0" w:line="240" w:lineRule="auto"/>
        <w:rPr>
          <w:sz w:val="20"/>
          <w:szCs w:val="20"/>
        </w:rPr>
      </w:pPr>
    </w:p>
    <w:p w14:paraId="706BF44A" w14:textId="77777777" w:rsidR="00DC50C0" w:rsidRPr="000A6A74" w:rsidRDefault="00DC50C0">
      <w:pPr>
        <w:rPr>
          <w:rFonts w:eastAsiaTheme="majorEastAsia" w:cstheme="majorBidi"/>
          <w:b/>
          <w:bCs/>
          <w:color w:val="365F91" w:themeColor="accent1" w:themeShade="BF"/>
          <w:sz w:val="20"/>
          <w:szCs w:val="20"/>
        </w:rPr>
      </w:pPr>
      <w:r w:rsidRPr="000A6A74">
        <w:rPr>
          <w:sz w:val="20"/>
          <w:szCs w:val="20"/>
        </w:rPr>
        <w:br w:type="page"/>
      </w:r>
    </w:p>
    <w:p w14:paraId="7887B7A3" w14:textId="77777777" w:rsidR="005F0423" w:rsidRPr="00511A58" w:rsidRDefault="002560AF" w:rsidP="000A6A74">
      <w:pPr>
        <w:pStyle w:val="Heading1"/>
        <w:pBdr>
          <w:bottom w:val="single" w:sz="4" w:space="1" w:color="auto"/>
        </w:pBdr>
        <w:rPr>
          <w:sz w:val="24"/>
        </w:rPr>
      </w:pPr>
      <w:bookmarkStart w:id="2" w:name="_Toc355636218"/>
      <w:r w:rsidRPr="00511A58">
        <w:rPr>
          <w:sz w:val="24"/>
        </w:rPr>
        <w:lastRenderedPageBreak/>
        <w:t>I: Project Goal</w:t>
      </w:r>
      <w:bookmarkEnd w:id="2"/>
      <w:r w:rsidRPr="00511A58">
        <w:rPr>
          <w:sz w:val="24"/>
        </w:rPr>
        <w:t xml:space="preserve"> </w:t>
      </w:r>
    </w:p>
    <w:p w14:paraId="099CD2B1" w14:textId="77777777" w:rsidR="002560AF" w:rsidRPr="000A6A74" w:rsidRDefault="002560AF" w:rsidP="002560AF">
      <w:pPr>
        <w:pStyle w:val="Heading3"/>
        <w:rPr>
          <w:rFonts w:asciiTheme="minorHAnsi" w:hAnsiTheme="minorHAnsi"/>
          <w:sz w:val="20"/>
          <w:szCs w:val="20"/>
        </w:rPr>
      </w:pPr>
      <w:bookmarkStart w:id="3" w:name="_Toc355636219"/>
      <w:r w:rsidRPr="000A6A74">
        <w:rPr>
          <w:rFonts w:asciiTheme="minorHAnsi" w:hAnsiTheme="minorHAnsi"/>
          <w:sz w:val="20"/>
          <w:szCs w:val="20"/>
        </w:rPr>
        <w:t>Project Goal Overall Progress</w:t>
      </w:r>
      <w:bookmarkEnd w:id="3"/>
    </w:p>
    <w:p w14:paraId="604B881F" w14:textId="77777777" w:rsidR="002560AF" w:rsidRPr="00AD662D" w:rsidRDefault="002560AF" w:rsidP="003B01F4">
      <w:pPr>
        <w:spacing w:after="120" w:line="240" w:lineRule="auto"/>
        <w:jc w:val="both"/>
        <w:rPr>
          <w:color w:val="000000" w:themeColor="text1"/>
          <w:sz w:val="20"/>
          <w:szCs w:val="20"/>
        </w:rPr>
      </w:pPr>
      <w:r w:rsidRPr="000A6A74">
        <w:rPr>
          <w:color w:val="000000" w:themeColor="text1"/>
          <w:sz w:val="20"/>
          <w:szCs w:val="20"/>
        </w:rPr>
        <w:t>Please describe the progress made to achieve the project go</w:t>
      </w:r>
      <w:r w:rsidR="004267A8" w:rsidRPr="000A6A74">
        <w:rPr>
          <w:color w:val="000000" w:themeColor="text1"/>
          <w:sz w:val="20"/>
          <w:szCs w:val="20"/>
        </w:rPr>
        <w:t xml:space="preserve">al during the reporting period </w:t>
      </w:r>
      <w:r w:rsidRPr="000A6A74">
        <w:rPr>
          <w:color w:val="000000" w:themeColor="text1"/>
          <w:sz w:val="20"/>
          <w:szCs w:val="20"/>
        </w:rPr>
        <w:t>(</w:t>
      </w:r>
      <w:r w:rsidRPr="000A6A74">
        <w:rPr>
          <w:color w:val="FF0000"/>
          <w:sz w:val="20"/>
          <w:szCs w:val="20"/>
        </w:rPr>
        <w:t>Maximum 250 words</w:t>
      </w:r>
      <w:r w:rsidRPr="000A6A74">
        <w:rPr>
          <w:color w:val="000000" w:themeColor="text1"/>
          <w:sz w:val="20"/>
          <w:szCs w:val="20"/>
        </w:rPr>
        <w:t>). If the project has not yet achieved any results at the goal level, please describe the progress made thus far, including any unexpected results and/or ongoing processes that are contributing to changing the lives of the intended beneficiaries at the goal level.</w:t>
      </w:r>
    </w:p>
    <w:tbl>
      <w:tblPr>
        <w:tblStyle w:val="TableGrid"/>
        <w:tblW w:w="5000" w:type="pct"/>
        <w:tblLook w:val="04A0" w:firstRow="1" w:lastRow="0" w:firstColumn="1" w:lastColumn="0" w:noHBand="0" w:noVBand="1"/>
      </w:tblPr>
      <w:tblGrid>
        <w:gridCol w:w="2307"/>
        <w:gridCol w:w="11641"/>
      </w:tblGrid>
      <w:tr w:rsidR="007B39A8" w:rsidRPr="000A6A74" w14:paraId="24D0C091" w14:textId="77777777" w:rsidTr="009C6909">
        <w:tc>
          <w:tcPr>
            <w:tcW w:w="827" w:type="pct"/>
            <w:shd w:val="clear" w:color="auto" w:fill="DAEEF3" w:themeFill="accent5" w:themeFillTint="33"/>
          </w:tcPr>
          <w:p w14:paraId="4CB1F377" w14:textId="77777777" w:rsidR="007B39A8" w:rsidRPr="000A6A74" w:rsidRDefault="007B39A8" w:rsidP="00D02DE8">
            <w:pPr>
              <w:rPr>
                <w:b/>
                <w:sz w:val="20"/>
                <w:szCs w:val="20"/>
              </w:rPr>
            </w:pPr>
            <w:r w:rsidRPr="000A6A74">
              <w:rPr>
                <w:b/>
                <w:sz w:val="20"/>
                <w:szCs w:val="20"/>
              </w:rPr>
              <w:t>Project Goal</w:t>
            </w:r>
          </w:p>
        </w:tc>
        <w:tc>
          <w:tcPr>
            <w:tcW w:w="4173" w:type="pct"/>
            <w:shd w:val="clear" w:color="auto" w:fill="DAEEF3" w:themeFill="accent5" w:themeFillTint="33"/>
          </w:tcPr>
          <w:p w14:paraId="61D5ECC7" w14:textId="77777777" w:rsidR="000A1231" w:rsidRPr="000A1231" w:rsidRDefault="000A1231" w:rsidP="000A1231">
            <w:pPr>
              <w:rPr>
                <w:rFonts w:cs="CalibriRegular"/>
                <w:b/>
                <w:color w:val="1C1C1C"/>
                <w:sz w:val="20"/>
                <w:szCs w:val="20"/>
              </w:rPr>
            </w:pPr>
            <w:r w:rsidRPr="000A1231">
              <w:rPr>
                <w:rFonts w:cs="CalibriRegular"/>
                <w:b/>
                <w:color w:val="1C1C1C"/>
                <w:sz w:val="20"/>
                <w:szCs w:val="20"/>
              </w:rPr>
              <w:t>Women and girls who experience domestic and/or sexual violence have greater access to protection and assistance through</w:t>
            </w:r>
          </w:p>
          <w:p w14:paraId="66E9723F" w14:textId="77777777" w:rsidR="007B39A8" w:rsidRPr="00B2727F" w:rsidRDefault="000A1231" w:rsidP="000A1231">
            <w:pPr>
              <w:rPr>
                <w:b/>
                <w:color w:val="FF0000"/>
                <w:sz w:val="20"/>
                <w:szCs w:val="20"/>
              </w:rPr>
            </w:pPr>
            <w:r w:rsidRPr="000A1231">
              <w:rPr>
                <w:rFonts w:cs="CalibriRegular"/>
                <w:b/>
                <w:color w:val="1C1C1C"/>
                <w:sz w:val="20"/>
                <w:szCs w:val="20"/>
              </w:rPr>
              <w:t>effective implementation of EVAWG policies, focusing on quality multi-sectoral service delivery</w:t>
            </w:r>
          </w:p>
        </w:tc>
      </w:tr>
      <w:tr w:rsidR="007B39A8" w:rsidRPr="000A6A74" w14:paraId="2C7D9453" w14:textId="77777777" w:rsidTr="009C6909">
        <w:tc>
          <w:tcPr>
            <w:tcW w:w="827" w:type="pct"/>
            <w:shd w:val="clear" w:color="auto" w:fill="DAEEF3" w:themeFill="accent5" w:themeFillTint="33"/>
          </w:tcPr>
          <w:p w14:paraId="777840CE" w14:textId="77777777" w:rsidR="000A6A74" w:rsidRPr="000A6A74" w:rsidRDefault="000A6A74" w:rsidP="000A6A74">
            <w:pPr>
              <w:rPr>
                <w:sz w:val="20"/>
                <w:szCs w:val="20"/>
              </w:rPr>
            </w:pPr>
            <w:r w:rsidRPr="000A6A74">
              <w:rPr>
                <w:sz w:val="20"/>
                <w:szCs w:val="20"/>
              </w:rPr>
              <w:t xml:space="preserve">Reporting period: </w:t>
            </w:r>
          </w:p>
          <w:p w14:paraId="5B5B1FA3" w14:textId="2CDA0131" w:rsidR="007B39A8" w:rsidRPr="000A6A74" w:rsidRDefault="00B47E3F" w:rsidP="00B2727F">
            <w:pPr>
              <w:rPr>
                <w:color w:val="000000" w:themeColor="text1"/>
                <w:sz w:val="20"/>
                <w:szCs w:val="20"/>
              </w:rPr>
            </w:pPr>
            <w:r>
              <w:rPr>
                <w:sz w:val="20"/>
                <w:szCs w:val="20"/>
              </w:rPr>
              <w:t>Y</w:t>
            </w:r>
            <w:r w:rsidR="008E3D3C">
              <w:rPr>
                <w:sz w:val="20"/>
                <w:szCs w:val="20"/>
              </w:rPr>
              <w:t>3</w:t>
            </w:r>
            <w:r>
              <w:rPr>
                <w:sz w:val="20"/>
                <w:szCs w:val="20"/>
              </w:rPr>
              <w:t xml:space="preserve"> </w:t>
            </w:r>
            <w:r w:rsidR="007D24AE">
              <w:rPr>
                <w:sz w:val="20"/>
                <w:szCs w:val="20"/>
              </w:rPr>
              <w:t xml:space="preserve">Annual </w:t>
            </w:r>
            <w:r>
              <w:rPr>
                <w:sz w:val="20"/>
                <w:szCs w:val="20"/>
              </w:rPr>
              <w:t>Progress Report</w:t>
            </w:r>
            <w:r w:rsidR="007B39A8" w:rsidRPr="000A6A74">
              <w:rPr>
                <w:sz w:val="20"/>
                <w:szCs w:val="20"/>
              </w:rPr>
              <w:t xml:space="preserve">  </w:t>
            </w:r>
          </w:p>
        </w:tc>
        <w:tc>
          <w:tcPr>
            <w:tcW w:w="4173" w:type="pct"/>
            <w:shd w:val="clear" w:color="auto" w:fill="FFFFFF" w:themeFill="background1"/>
          </w:tcPr>
          <w:p w14:paraId="74B01FBC" w14:textId="77777777" w:rsidR="00D349B2" w:rsidRPr="009378F2" w:rsidRDefault="00D349B2" w:rsidP="00D349B2">
            <w:pPr>
              <w:autoSpaceDE w:val="0"/>
              <w:autoSpaceDN w:val="0"/>
              <w:adjustRightInd w:val="0"/>
              <w:jc w:val="both"/>
              <w:rPr>
                <w:rFonts w:cstheme="minorHAnsi"/>
                <w:sz w:val="20"/>
                <w:szCs w:val="20"/>
              </w:rPr>
            </w:pPr>
            <w:r w:rsidRPr="009378F2">
              <w:rPr>
                <w:rFonts w:cstheme="minorHAnsi"/>
                <w:sz w:val="20"/>
                <w:szCs w:val="20"/>
              </w:rPr>
              <w:t>In terms of the goal of the UN-SIG JP on EVAWG it was expected that ‘women and girls who experience domestic and/or sexual violence will have greater access to protection and assistance through effective implementation of EVAWG policies, focusing on quality multi-sectoral service delivery.</w:t>
            </w:r>
          </w:p>
          <w:p w14:paraId="23BE63F6" w14:textId="77777777" w:rsidR="00D349B2" w:rsidRPr="009378F2" w:rsidRDefault="00D349B2" w:rsidP="00D349B2">
            <w:pPr>
              <w:autoSpaceDE w:val="0"/>
              <w:autoSpaceDN w:val="0"/>
              <w:adjustRightInd w:val="0"/>
              <w:jc w:val="both"/>
              <w:rPr>
                <w:sz w:val="20"/>
                <w:szCs w:val="20"/>
              </w:rPr>
            </w:pPr>
          </w:p>
          <w:p w14:paraId="5A0DA729" w14:textId="77777777" w:rsidR="00D349B2" w:rsidRPr="009378F2" w:rsidRDefault="00D349B2" w:rsidP="00D349B2">
            <w:pPr>
              <w:autoSpaceDE w:val="0"/>
              <w:autoSpaceDN w:val="0"/>
              <w:adjustRightInd w:val="0"/>
              <w:jc w:val="both"/>
              <w:rPr>
                <w:sz w:val="20"/>
                <w:szCs w:val="20"/>
              </w:rPr>
            </w:pPr>
            <w:r w:rsidRPr="009378F2">
              <w:rPr>
                <w:sz w:val="20"/>
                <w:szCs w:val="20"/>
              </w:rPr>
              <w:t>The UN-SIG JP on EVAWG was able to document the perspectives of key stakeholders (i.e., women and girls, and service providers) about women and girls’ access to protection and services for VAWG. In general, comparisons over time revealed some changes in perspectives of key stakeholders, including:</w:t>
            </w:r>
          </w:p>
          <w:p w14:paraId="58D2C515" w14:textId="77777777" w:rsidR="00D349B2" w:rsidRPr="009378F2" w:rsidRDefault="00D349B2" w:rsidP="00D349B2">
            <w:pPr>
              <w:pStyle w:val="ListParagraph"/>
              <w:numPr>
                <w:ilvl w:val="0"/>
                <w:numId w:val="48"/>
              </w:numPr>
              <w:autoSpaceDE w:val="0"/>
              <w:autoSpaceDN w:val="0"/>
              <w:adjustRightInd w:val="0"/>
              <w:jc w:val="both"/>
              <w:rPr>
                <w:sz w:val="20"/>
                <w:szCs w:val="20"/>
              </w:rPr>
            </w:pPr>
            <w:r w:rsidRPr="009378F2">
              <w:rPr>
                <w:sz w:val="20"/>
                <w:szCs w:val="20"/>
              </w:rPr>
              <w:t>Increases in access to protection and services for VAWG survivors as a result of the launch of the FPA in April 2016</w:t>
            </w:r>
          </w:p>
          <w:p w14:paraId="28DF93C4" w14:textId="77777777" w:rsidR="00D349B2" w:rsidRPr="009378F2" w:rsidRDefault="00D349B2" w:rsidP="00D349B2">
            <w:pPr>
              <w:pStyle w:val="ListParagraph"/>
              <w:numPr>
                <w:ilvl w:val="0"/>
                <w:numId w:val="48"/>
              </w:numPr>
              <w:autoSpaceDE w:val="0"/>
              <w:autoSpaceDN w:val="0"/>
              <w:adjustRightInd w:val="0"/>
              <w:jc w:val="both"/>
              <w:rPr>
                <w:sz w:val="20"/>
                <w:szCs w:val="20"/>
              </w:rPr>
            </w:pPr>
            <w:r w:rsidRPr="009378F2">
              <w:rPr>
                <w:sz w:val="20"/>
                <w:szCs w:val="20"/>
              </w:rPr>
              <w:t>Increases in access to protection against sexual violence and exploitation as a result of amendments to the Penal Code in relation to Sexual Offences (amendments were passed in May 2016)</w:t>
            </w:r>
          </w:p>
          <w:p w14:paraId="24349794" w14:textId="77777777" w:rsidR="00D349B2" w:rsidRPr="009378F2" w:rsidRDefault="00D349B2" w:rsidP="00D349B2">
            <w:pPr>
              <w:pStyle w:val="ListParagraph"/>
              <w:numPr>
                <w:ilvl w:val="0"/>
                <w:numId w:val="48"/>
              </w:numPr>
              <w:autoSpaceDE w:val="0"/>
              <w:autoSpaceDN w:val="0"/>
              <w:adjustRightInd w:val="0"/>
              <w:jc w:val="both"/>
              <w:rPr>
                <w:sz w:val="20"/>
                <w:szCs w:val="20"/>
              </w:rPr>
            </w:pPr>
            <w:r w:rsidRPr="009378F2">
              <w:rPr>
                <w:sz w:val="20"/>
                <w:szCs w:val="20"/>
              </w:rPr>
              <w:t>Increases in knowledge and understanding of VAWG and the FPA among key stakeholders, including service providers and some women and girls</w:t>
            </w:r>
          </w:p>
          <w:p w14:paraId="10A7C649" w14:textId="77777777" w:rsidR="00D349B2" w:rsidRPr="009378F2" w:rsidRDefault="00D349B2" w:rsidP="00D349B2">
            <w:pPr>
              <w:pStyle w:val="ListParagraph"/>
              <w:numPr>
                <w:ilvl w:val="0"/>
                <w:numId w:val="48"/>
              </w:numPr>
              <w:autoSpaceDE w:val="0"/>
              <w:autoSpaceDN w:val="0"/>
              <w:adjustRightInd w:val="0"/>
              <w:jc w:val="both"/>
              <w:rPr>
                <w:sz w:val="20"/>
                <w:szCs w:val="20"/>
              </w:rPr>
            </w:pPr>
            <w:r w:rsidRPr="009378F2">
              <w:rPr>
                <w:sz w:val="20"/>
                <w:szCs w:val="20"/>
              </w:rPr>
              <w:t>Improvements in the capabilities of frontline service providers to identify and respond to VAWG survivors using a</w:t>
            </w:r>
            <w:r w:rsidRPr="009378F2">
              <w:rPr>
                <w:noProof/>
                <w:sz w:val="20"/>
                <w:szCs w:val="20"/>
              </w:rPr>
              <w:t xml:space="preserve"> </w:t>
            </w:r>
            <w:r w:rsidRPr="009378F2">
              <w:rPr>
                <w:sz w:val="20"/>
                <w:szCs w:val="20"/>
              </w:rPr>
              <w:t>victim-centered approach</w:t>
            </w:r>
          </w:p>
          <w:p w14:paraId="0F6E96DE" w14:textId="77777777" w:rsidR="00D349B2" w:rsidRPr="009378F2" w:rsidRDefault="00D349B2" w:rsidP="00D349B2">
            <w:pPr>
              <w:pStyle w:val="ListParagraph"/>
              <w:numPr>
                <w:ilvl w:val="0"/>
                <w:numId w:val="48"/>
              </w:numPr>
              <w:autoSpaceDE w:val="0"/>
              <w:autoSpaceDN w:val="0"/>
              <w:adjustRightInd w:val="0"/>
              <w:jc w:val="both"/>
              <w:rPr>
                <w:sz w:val="20"/>
                <w:szCs w:val="20"/>
              </w:rPr>
            </w:pPr>
            <w:r w:rsidRPr="009378F2">
              <w:rPr>
                <w:sz w:val="20"/>
                <w:szCs w:val="20"/>
              </w:rPr>
              <w:t>Improvements in referrals among service providers</w:t>
            </w:r>
          </w:p>
          <w:p w14:paraId="209E8CE8" w14:textId="77777777" w:rsidR="00D349B2" w:rsidRPr="009378F2" w:rsidRDefault="00D349B2" w:rsidP="00D349B2">
            <w:pPr>
              <w:autoSpaceDE w:val="0"/>
              <w:autoSpaceDN w:val="0"/>
              <w:adjustRightInd w:val="0"/>
              <w:jc w:val="both"/>
              <w:rPr>
                <w:sz w:val="20"/>
                <w:szCs w:val="20"/>
              </w:rPr>
            </w:pPr>
          </w:p>
          <w:p w14:paraId="24F2AAC3" w14:textId="3F44727E" w:rsidR="00D349B2" w:rsidRPr="009378F2" w:rsidRDefault="00D349B2" w:rsidP="00D349B2">
            <w:pPr>
              <w:autoSpaceDE w:val="0"/>
              <w:autoSpaceDN w:val="0"/>
              <w:adjustRightInd w:val="0"/>
              <w:jc w:val="both"/>
              <w:rPr>
                <w:rFonts w:cstheme="minorHAnsi"/>
                <w:sz w:val="20"/>
                <w:szCs w:val="20"/>
              </w:rPr>
            </w:pPr>
            <w:r w:rsidRPr="009378F2">
              <w:rPr>
                <w:sz w:val="20"/>
                <w:szCs w:val="20"/>
              </w:rPr>
              <w:t>Continued implementation of the FPA and public education as to the FPA is expected to lead to improvements in women and girls’ access to protection and support services for family/domestic violence. However, lack of awareness of the FPA among women and girls and victim-blaming remain as barriers for VAWG survivors to access protection and services for VAWG. Despite the launch of the FPA and amendments to the Penal Code in relation to Sexual Offences, there are still barriers that women and girls face when reporting their victimization to the police; although s</w:t>
            </w:r>
            <w:r w:rsidRPr="009378F2">
              <w:rPr>
                <w:rFonts w:eastAsia="Times New Roman" w:cs="Helvetica"/>
                <w:sz w:val="20"/>
                <w:szCs w:val="20"/>
              </w:rPr>
              <w:t>ervice providers acknowledged that women and girl’s experiences vary across police stations. In terms of accessing medical care, the UN-SIG JP on EVAWG documented that in 2015 and 2016 that women rarely sought medical attention for domestic violence-related injuries, unless the injuries were severe or life threatening.</w:t>
            </w:r>
          </w:p>
          <w:p w14:paraId="363C3EDE" w14:textId="77777777" w:rsidR="00D349B2" w:rsidRPr="009378F2" w:rsidRDefault="00D349B2" w:rsidP="00D349B2">
            <w:pPr>
              <w:autoSpaceDE w:val="0"/>
              <w:autoSpaceDN w:val="0"/>
              <w:adjustRightInd w:val="0"/>
              <w:jc w:val="both"/>
              <w:rPr>
                <w:rFonts w:cstheme="minorHAnsi"/>
                <w:sz w:val="20"/>
                <w:szCs w:val="20"/>
              </w:rPr>
            </w:pPr>
          </w:p>
          <w:p w14:paraId="4B80EFD5" w14:textId="6E5112EB" w:rsidR="007B39A8" w:rsidRPr="000A6A74" w:rsidRDefault="00D349B2" w:rsidP="00F524A3">
            <w:pPr>
              <w:rPr>
                <w:color w:val="000000" w:themeColor="text1"/>
                <w:sz w:val="20"/>
                <w:szCs w:val="20"/>
              </w:rPr>
            </w:pPr>
            <w:r w:rsidRPr="009378F2">
              <w:rPr>
                <w:rFonts w:cs="CalibriRegular"/>
                <w:sz w:val="20"/>
                <w:szCs w:val="20"/>
              </w:rPr>
              <w:t xml:space="preserve">One of the unexpected, yet significant outcomes of the UN-SIG JP on EVAWG was the strengthening of VAWG administrative data collection among SAFENET members and the compilation of 33-months of monthly VAWG administrative data, including 15-months (January 2015 – April 2016) of monthly VAWG administrative data prior to the launch of the FPA in April 2016, and 17-months (May 2016 – September 2017) of monthly VAWG administrative data after the launch of the FPA. The data was compiled and presented longitudinally in line charts every six months so that UN-SIG JP members and SAFENET members got track progress in terms of VAWG survivors access to protection and </w:t>
            </w:r>
            <w:r w:rsidRPr="009378F2">
              <w:rPr>
                <w:rFonts w:cs="CalibriRegular"/>
                <w:sz w:val="20"/>
                <w:szCs w:val="20"/>
              </w:rPr>
              <w:lastRenderedPageBreak/>
              <w:t xml:space="preserve">services, and access to the police and justice system. The data also enabled SAFENET members, including government agencies and CSO service providers visualize and understand how they are part of a larger coordinated system of essential services for VAWG survivors.  </w:t>
            </w:r>
            <w:r w:rsidRPr="009378F2">
              <w:rPr>
                <w:rFonts w:cstheme="minorHAnsi"/>
                <w:sz w:val="20"/>
                <w:szCs w:val="20"/>
              </w:rPr>
              <w:t>In Solomon Islands, this was the first attempt to collect and compile VAWG administrative data from SAFENET members, and it was recognized by SAFENET members as a significant accomplishment.</w:t>
            </w:r>
          </w:p>
        </w:tc>
      </w:tr>
    </w:tbl>
    <w:p w14:paraId="414CE687" w14:textId="362C747D" w:rsidR="00C53685" w:rsidRDefault="00C53685">
      <w:pPr>
        <w:rPr>
          <w:sz w:val="20"/>
          <w:szCs w:val="20"/>
        </w:rPr>
      </w:pPr>
      <w:bookmarkStart w:id="4" w:name="_Toc355636220"/>
    </w:p>
    <w:p w14:paraId="3E34AA27" w14:textId="77777777" w:rsidR="0000436F" w:rsidRPr="000A6A74" w:rsidRDefault="00B4635C" w:rsidP="0000436F">
      <w:pPr>
        <w:pStyle w:val="Heading3"/>
        <w:rPr>
          <w:rFonts w:asciiTheme="minorHAnsi" w:hAnsiTheme="minorHAnsi"/>
          <w:sz w:val="20"/>
          <w:szCs w:val="20"/>
        </w:rPr>
      </w:pPr>
      <w:r>
        <w:rPr>
          <w:rFonts w:asciiTheme="minorHAnsi" w:hAnsiTheme="minorHAnsi"/>
          <w:sz w:val="20"/>
          <w:szCs w:val="20"/>
        </w:rPr>
        <w:t>Project Goal I</w:t>
      </w:r>
      <w:r w:rsidR="0000436F" w:rsidRPr="000A6A74">
        <w:rPr>
          <w:rFonts w:asciiTheme="minorHAnsi" w:hAnsiTheme="minorHAnsi"/>
          <w:sz w:val="20"/>
          <w:szCs w:val="20"/>
        </w:rPr>
        <w:t>ndicators</w:t>
      </w:r>
      <w:bookmarkEnd w:id="4"/>
    </w:p>
    <w:p w14:paraId="05705D3C" w14:textId="77777777" w:rsidR="0000436F" w:rsidRPr="000A6A74" w:rsidRDefault="0000436F" w:rsidP="0000436F">
      <w:pPr>
        <w:spacing w:after="120" w:line="240" w:lineRule="auto"/>
        <w:rPr>
          <w:color w:val="000000" w:themeColor="text1"/>
          <w:sz w:val="20"/>
          <w:szCs w:val="20"/>
        </w:rPr>
      </w:pPr>
      <w:r w:rsidRPr="000A6A74">
        <w:rPr>
          <w:color w:val="000000" w:themeColor="text1"/>
          <w:sz w:val="20"/>
          <w:szCs w:val="20"/>
        </w:rPr>
        <w:t>Please provide the actual data against each goal indicator (</w:t>
      </w:r>
      <w:r w:rsidRPr="000A6A74">
        <w:rPr>
          <w:color w:val="FF0000"/>
          <w:sz w:val="20"/>
          <w:szCs w:val="20"/>
        </w:rPr>
        <w:t>maximum 50 words</w:t>
      </w:r>
      <w:r w:rsidR="004267A8" w:rsidRPr="000A6A74">
        <w:rPr>
          <w:color w:val="FF0000"/>
          <w:sz w:val="20"/>
          <w:szCs w:val="20"/>
        </w:rPr>
        <w:t xml:space="preserve"> per cell</w:t>
      </w:r>
      <w:r w:rsidRPr="000A6A74">
        <w:rPr>
          <w:color w:val="000000" w:themeColor="text1"/>
          <w:sz w:val="20"/>
          <w:szCs w:val="20"/>
        </w:rPr>
        <w:t>)</w:t>
      </w:r>
    </w:p>
    <w:tbl>
      <w:tblPr>
        <w:tblStyle w:val="TableGrid"/>
        <w:tblW w:w="5000" w:type="pct"/>
        <w:tblLook w:val="04A0" w:firstRow="1" w:lastRow="0" w:firstColumn="1" w:lastColumn="0" w:noHBand="0" w:noVBand="1"/>
      </w:tblPr>
      <w:tblGrid>
        <w:gridCol w:w="6692"/>
        <w:gridCol w:w="7256"/>
      </w:tblGrid>
      <w:tr w:rsidR="00E50DF0" w:rsidRPr="000A6A74" w14:paraId="1707D200" w14:textId="77777777" w:rsidTr="00C53685">
        <w:tc>
          <w:tcPr>
            <w:tcW w:w="2399" w:type="pct"/>
            <w:shd w:val="clear" w:color="auto" w:fill="DAEEF3" w:themeFill="accent5" w:themeFillTint="33"/>
          </w:tcPr>
          <w:p w14:paraId="42B569B7" w14:textId="77777777" w:rsidR="00E50DF0" w:rsidRPr="000A6A74" w:rsidRDefault="00E50DF0" w:rsidP="005F0423">
            <w:pPr>
              <w:rPr>
                <w:b/>
                <w:sz w:val="20"/>
                <w:szCs w:val="20"/>
              </w:rPr>
            </w:pPr>
          </w:p>
        </w:tc>
        <w:tc>
          <w:tcPr>
            <w:tcW w:w="2601" w:type="pct"/>
            <w:shd w:val="clear" w:color="auto" w:fill="DAEEF3" w:themeFill="accent5" w:themeFillTint="33"/>
          </w:tcPr>
          <w:p w14:paraId="44A55DAF" w14:textId="77777777" w:rsidR="00E50DF0" w:rsidRPr="000A6A74" w:rsidRDefault="00E50DF0" w:rsidP="00E50DF0">
            <w:pPr>
              <w:jc w:val="center"/>
              <w:rPr>
                <w:b/>
                <w:sz w:val="20"/>
                <w:szCs w:val="20"/>
              </w:rPr>
            </w:pPr>
            <w:r w:rsidRPr="000A6A74">
              <w:rPr>
                <w:b/>
                <w:sz w:val="20"/>
                <w:szCs w:val="20"/>
              </w:rPr>
              <w:t xml:space="preserve">Actual data on each indicator </w:t>
            </w:r>
          </w:p>
        </w:tc>
      </w:tr>
      <w:tr w:rsidR="00B2727F" w:rsidRPr="000A6A74" w14:paraId="4675CD7C" w14:textId="77777777" w:rsidTr="00C53685">
        <w:tc>
          <w:tcPr>
            <w:tcW w:w="2399" w:type="pct"/>
            <w:shd w:val="clear" w:color="auto" w:fill="DAEEF3" w:themeFill="accent5" w:themeFillTint="33"/>
          </w:tcPr>
          <w:p w14:paraId="22101228" w14:textId="77777777" w:rsidR="00B2727F" w:rsidRPr="000A6A74" w:rsidRDefault="00B2727F" w:rsidP="005F0423">
            <w:pPr>
              <w:rPr>
                <w:b/>
                <w:sz w:val="20"/>
                <w:szCs w:val="20"/>
              </w:rPr>
            </w:pPr>
            <w:r w:rsidRPr="000A6A74">
              <w:rPr>
                <w:b/>
                <w:sz w:val="20"/>
                <w:szCs w:val="20"/>
              </w:rPr>
              <w:t xml:space="preserve">Project Goal Indicators </w:t>
            </w:r>
          </w:p>
        </w:tc>
        <w:tc>
          <w:tcPr>
            <w:tcW w:w="2601" w:type="pct"/>
            <w:shd w:val="clear" w:color="auto" w:fill="DAEEF3" w:themeFill="accent5" w:themeFillTint="33"/>
          </w:tcPr>
          <w:p w14:paraId="5D955F4C" w14:textId="0D9F4CBC" w:rsidR="00B2727F" w:rsidRPr="000A6A74" w:rsidRDefault="00B2727F" w:rsidP="00203B28">
            <w:pPr>
              <w:jc w:val="center"/>
              <w:rPr>
                <w:sz w:val="20"/>
                <w:szCs w:val="20"/>
              </w:rPr>
            </w:pPr>
            <w:r w:rsidRPr="000A6A74">
              <w:rPr>
                <w:sz w:val="20"/>
                <w:szCs w:val="20"/>
              </w:rPr>
              <w:t>Reporting period:</w:t>
            </w:r>
            <w:r w:rsidR="000E3781">
              <w:rPr>
                <w:sz w:val="20"/>
                <w:szCs w:val="20"/>
              </w:rPr>
              <w:t xml:space="preserve"> </w:t>
            </w:r>
            <w:r w:rsidR="00203B28">
              <w:rPr>
                <w:sz w:val="20"/>
                <w:szCs w:val="20"/>
              </w:rPr>
              <w:t>January to December 201</w:t>
            </w:r>
            <w:r w:rsidR="008E3D3C">
              <w:rPr>
                <w:sz w:val="20"/>
                <w:szCs w:val="20"/>
              </w:rPr>
              <w:t>7</w:t>
            </w:r>
          </w:p>
        </w:tc>
      </w:tr>
      <w:tr w:rsidR="008E3D3C" w:rsidRPr="000A6A74" w14:paraId="757B5920" w14:textId="77777777" w:rsidTr="00C53685">
        <w:tc>
          <w:tcPr>
            <w:tcW w:w="2399" w:type="pct"/>
            <w:shd w:val="clear" w:color="auto" w:fill="DAEEF3" w:themeFill="accent5" w:themeFillTint="33"/>
          </w:tcPr>
          <w:p w14:paraId="3058F6F3" w14:textId="77777777" w:rsidR="008E3D3C" w:rsidRPr="00B2727F" w:rsidRDefault="008E3D3C" w:rsidP="008E3D3C">
            <w:pPr>
              <w:autoSpaceDE w:val="0"/>
              <w:autoSpaceDN w:val="0"/>
              <w:adjustRightInd w:val="0"/>
              <w:rPr>
                <w:color w:val="FF0000"/>
                <w:sz w:val="20"/>
                <w:szCs w:val="20"/>
              </w:rPr>
            </w:pPr>
            <w:r w:rsidRPr="00B2727F">
              <w:rPr>
                <w:b/>
                <w:sz w:val="20"/>
                <w:szCs w:val="20"/>
              </w:rPr>
              <w:t>Indicator 1:</w:t>
            </w:r>
            <w:r w:rsidRPr="00B2727F">
              <w:rPr>
                <w:sz w:val="20"/>
                <w:szCs w:val="20"/>
              </w:rPr>
              <w:t xml:space="preserve"> </w:t>
            </w:r>
            <w:r w:rsidRPr="000A1231">
              <w:rPr>
                <w:rFonts w:cs="CalibriRegular"/>
                <w:color w:val="1C1C1C"/>
                <w:sz w:val="20"/>
                <w:szCs w:val="20"/>
              </w:rPr>
              <w:t>Perspectives of key stakeholders (women and girls,</w:t>
            </w:r>
            <w:r>
              <w:rPr>
                <w:rFonts w:cs="CalibriRegular"/>
                <w:color w:val="1C1C1C"/>
                <w:sz w:val="20"/>
                <w:szCs w:val="20"/>
              </w:rPr>
              <w:t xml:space="preserve"> </w:t>
            </w:r>
            <w:r w:rsidRPr="000A1231">
              <w:rPr>
                <w:rFonts w:cs="CalibriRegular"/>
                <w:color w:val="1C1C1C"/>
                <w:sz w:val="20"/>
                <w:szCs w:val="20"/>
              </w:rPr>
              <w:t>leaders of women’s CSOs, service providers) about</w:t>
            </w:r>
            <w:r>
              <w:rPr>
                <w:rFonts w:cs="CalibriRegular"/>
                <w:color w:val="1C1C1C"/>
                <w:sz w:val="20"/>
                <w:szCs w:val="20"/>
              </w:rPr>
              <w:t xml:space="preserve"> </w:t>
            </w:r>
            <w:r w:rsidRPr="000A1231">
              <w:rPr>
                <w:rFonts w:cs="CalibriRegular"/>
                <w:color w:val="1C1C1C"/>
                <w:sz w:val="20"/>
                <w:szCs w:val="20"/>
              </w:rPr>
              <w:t>women’s access to protection and services for VAWG,</w:t>
            </w:r>
            <w:r>
              <w:rPr>
                <w:rFonts w:cs="CalibriRegular"/>
                <w:color w:val="1C1C1C"/>
                <w:sz w:val="20"/>
                <w:szCs w:val="20"/>
              </w:rPr>
              <w:t xml:space="preserve"> </w:t>
            </w:r>
            <w:r w:rsidRPr="000A1231">
              <w:rPr>
                <w:rFonts w:cs="CalibriRegular"/>
                <w:color w:val="1C1C1C"/>
                <w:sz w:val="20"/>
                <w:szCs w:val="20"/>
              </w:rPr>
              <w:t>and barriers faced accessing protection and services</w:t>
            </w:r>
          </w:p>
        </w:tc>
        <w:tc>
          <w:tcPr>
            <w:tcW w:w="2601" w:type="pct"/>
            <w:shd w:val="clear" w:color="auto" w:fill="FFFFFF" w:themeFill="background1"/>
          </w:tcPr>
          <w:p w14:paraId="7BABC429" w14:textId="77616394" w:rsidR="008E3D3C" w:rsidRDefault="008E3D3C" w:rsidP="008E3D3C">
            <w:pPr>
              <w:autoSpaceDE w:val="0"/>
              <w:autoSpaceDN w:val="0"/>
              <w:adjustRightInd w:val="0"/>
              <w:rPr>
                <w:rFonts w:cs="CalibriRegular"/>
                <w:color w:val="1C1C1C"/>
                <w:sz w:val="20"/>
                <w:szCs w:val="20"/>
              </w:rPr>
            </w:pPr>
            <w:r w:rsidRPr="00725049">
              <w:rPr>
                <w:rFonts w:cs="CalibriRegular"/>
                <w:color w:val="1C1C1C"/>
                <w:sz w:val="20"/>
                <w:szCs w:val="20"/>
              </w:rPr>
              <w:t>Women and girls’ access to reliable protection and support services for VAWG have improved with the launch of the Family Protection Act (FPA) and amendments to the Penal Code in relation to Sexual Offences</w:t>
            </w:r>
            <w:r>
              <w:rPr>
                <w:rFonts w:cs="CalibriRegular"/>
                <w:color w:val="1C1C1C"/>
                <w:sz w:val="20"/>
                <w:szCs w:val="20"/>
              </w:rPr>
              <w:t>.</w:t>
            </w:r>
          </w:p>
          <w:p w14:paraId="63AF3334" w14:textId="77777777" w:rsidR="008E3D3C" w:rsidRDefault="008E3D3C" w:rsidP="008E3D3C">
            <w:pPr>
              <w:autoSpaceDE w:val="0"/>
              <w:autoSpaceDN w:val="0"/>
              <w:adjustRightInd w:val="0"/>
              <w:rPr>
                <w:rFonts w:cs="CalibriRegular"/>
                <w:color w:val="1C1C1C"/>
                <w:sz w:val="20"/>
                <w:szCs w:val="20"/>
              </w:rPr>
            </w:pPr>
            <w:bookmarkStart w:id="5" w:name="_Hlk501268215"/>
          </w:p>
          <w:p w14:paraId="07915FC5" w14:textId="16D4257F" w:rsidR="008E3D3C" w:rsidRPr="00725049" w:rsidRDefault="008E3D3C" w:rsidP="00725049">
            <w:pPr>
              <w:autoSpaceDE w:val="0"/>
              <w:autoSpaceDN w:val="0"/>
              <w:adjustRightInd w:val="0"/>
              <w:rPr>
                <w:rFonts w:cs="CalibriRegular"/>
                <w:color w:val="1C1C1C"/>
                <w:sz w:val="20"/>
                <w:szCs w:val="20"/>
              </w:rPr>
            </w:pPr>
            <w:r>
              <w:rPr>
                <w:rFonts w:cs="CalibriRegular"/>
                <w:color w:val="1C1C1C"/>
                <w:sz w:val="20"/>
                <w:szCs w:val="20"/>
              </w:rPr>
              <w:t>D</w:t>
            </w:r>
            <w:r w:rsidRPr="00725049">
              <w:rPr>
                <w:rFonts w:cs="CalibriRegular"/>
                <w:color w:val="1C1C1C"/>
                <w:sz w:val="20"/>
                <w:szCs w:val="20"/>
              </w:rPr>
              <w:t>ecisions made by of the SAFENET Referral Network and improvements made to case management and referral systems should improve women and girls’ access to protection and support services.</w:t>
            </w:r>
          </w:p>
          <w:bookmarkEnd w:id="5"/>
          <w:p w14:paraId="40C4CCEC" w14:textId="77777777" w:rsidR="008E3D3C" w:rsidRDefault="008E3D3C" w:rsidP="008E3D3C">
            <w:pPr>
              <w:autoSpaceDE w:val="0"/>
              <w:autoSpaceDN w:val="0"/>
              <w:adjustRightInd w:val="0"/>
              <w:rPr>
                <w:rFonts w:cs="CalibriRegular"/>
                <w:color w:val="1C1C1C"/>
                <w:sz w:val="20"/>
                <w:szCs w:val="20"/>
              </w:rPr>
            </w:pPr>
          </w:p>
          <w:p w14:paraId="6F13BA3E" w14:textId="47D13AAD" w:rsidR="008E3D3C" w:rsidRPr="00725049" w:rsidRDefault="008E3D3C" w:rsidP="00725049">
            <w:pPr>
              <w:autoSpaceDE w:val="0"/>
              <w:autoSpaceDN w:val="0"/>
              <w:adjustRightInd w:val="0"/>
              <w:rPr>
                <w:rFonts w:cs="CalibriRegular"/>
                <w:color w:val="1C1C1C"/>
                <w:sz w:val="20"/>
                <w:szCs w:val="20"/>
              </w:rPr>
            </w:pPr>
            <w:r w:rsidRPr="00725049">
              <w:rPr>
                <w:rFonts w:cs="CalibriRegular"/>
                <w:color w:val="1C1C1C"/>
                <w:sz w:val="20"/>
                <w:szCs w:val="20"/>
              </w:rPr>
              <w:t>The UN-SIG JP on EVAW has evolved to focus on a four-year project (2017-2020) project to support the government to deliver an Essential Services Package (ESP) to VAWG survivors.</w:t>
            </w:r>
          </w:p>
          <w:p w14:paraId="4F383390" w14:textId="77777777" w:rsidR="008E3D3C" w:rsidRDefault="008E3D3C" w:rsidP="008E3D3C">
            <w:pPr>
              <w:autoSpaceDE w:val="0"/>
              <w:autoSpaceDN w:val="0"/>
              <w:adjustRightInd w:val="0"/>
              <w:rPr>
                <w:rFonts w:cs="CalibriRegular"/>
                <w:color w:val="1C1C1C"/>
                <w:sz w:val="20"/>
                <w:szCs w:val="20"/>
              </w:rPr>
            </w:pPr>
          </w:p>
          <w:p w14:paraId="62DCC6C5" w14:textId="2C4ADE20" w:rsidR="008E3D3C" w:rsidRPr="00725049" w:rsidRDefault="008E3D3C" w:rsidP="00725049">
            <w:pPr>
              <w:autoSpaceDE w:val="0"/>
              <w:autoSpaceDN w:val="0"/>
              <w:adjustRightInd w:val="0"/>
              <w:rPr>
                <w:rFonts w:cs="CalibriRegular"/>
                <w:color w:val="1C1C1C"/>
                <w:sz w:val="20"/>
                <w:szCs w:val="20"/>
              </w:rPr>
            </w:pPr>
            <w:r w:rsidRPr="00725049">
              <w:rPr>
                <w:rFonts w:cs="CalibriRegular"/>
                <w:color w:val="1C1C1C"/>
                <w:sz w:val="20"/>
                <w:szCs w:val="20"/>
              </w:rPr>
              <w:t>Despite these improvements, women and girls continue to face barriers when it comes to accessing services that do exist in Honiara. The barriers include lack of knowledge of the FPA and available protection and support services for VAWG survivors in and around Honiara, and weak implementation of the FPA.</w:t>
            </w:r>
          </w:p>
          <w:p w14:paraId="291CD9BB" w14:textId="77777777" w:rsidR="008E3D3C" w:rsidRDefault="008E3D3C" w:rsidP="008E3D3C">
            <w:pPr>
              <w:autoSpaceDE w:val="0"/>
              <w:autoSpaceDN w:val="0"/>
              <w:adjustRightInd w:val="0"/>
              <w:rPr>
                <w:rFonts w:cs="CalibriRegular"/>
                <w:color w:val="1C1C1C"/>
                <w:sz w:val="20"/>
                <w:szCs w:val="20"/>
              </w:rPr>
            </w:pPr>
          </w:p>
          <w:p w14:paraId="4AC26349" w14:textId="50D57CAD" w:rsidR="008E3D3C" w:rsidRPr="00725049" w:rsidRDefault="008E3D3C" w:rsidP="00725049">
            <w:pPr>
              <w:autoSpaceDE w:val="0"/>
              <w:autoSpaceDN w:val="0"/>
              <w:adjustRightInd w:val="0"/>
              <w:rPr>
                <w:rFonts w:cs="CalibriRegular"/>
                <w:color w:val="1C1C1C"/>
                <w:sz w:val="20"/>
                <w:szCs w:val="20"/>
              </w:rPr>
            </w:pPr>
            <w:r w:rsidRPr="00725049">
              <w:rPr>
                <w:rFonts w:cs="CalibriRegular"/>
                <w:color w:val="1C1C1C"/>
                <w:sz w:val="20"/>
                <w:szCs w:val="20"/>
              </w:rPr>
              <w:t>The existing</w:t>
            </w:r>
            <w:r w:rsidRPr="00725049">
              <w:rPr>
                <w:sz w:val="20"/>
                <w:szCs w:val="20"/>
              </w:rPr>
              <w:t xml:space="preserve"> SAFENET Referral Network recently developed formalized case management and referral systems for VAWG survivors that should improve VAWG survivors access to essential services.</w:t>
            </w:r>
          </w:p>
          <w:p w14:paraId="2D20A99C" w14:textId="77777777" w:rsidR="008E3D3C" w:rsidRDefault="008E3D3C" w:rsidP="008E3D3C">
            <w:pPr>
              <w:autoSpaceDE w:val="0"/>
              <w:autoSpaceDN w:val="0"/>
              <w:adjustRightInd w:val="0"/>
              <w:rPr>
                <w:sz w:val="20"/>
                <w:szCs w:val="20"/>
              </w:rPr>
            </w:pPr>
          </w:p>
          <w:p w14:paraId="1E67BAB1" w14:textId="7AB2818B" w:rsidR="008E3D3C" w:rsidRPr="00725049" w:rsidRDefault="008E3D3C" w:rsidP="00725049">
            <w:pPr>
              <w:autoSpaceDE w:val="0"/>
              <w:autoSpaceDN w:val="0"/>
              <w:adjustRightInd w:val="0"/>
              <w:rPr>
                <w:rFonts w:cs="CalibriRegular"/>
                <w:color w:val="1C1C1C"/>
                <w:sz w:val="20"/>
                <w:szCs w:val="20"/>
              </w:rPr>
            </w:pPr>
            <w:r w:rsidRPr="00725049">
              <w:rPr>
                <w:sz w:val="20"/>
                <w:szCs w:val="20"/>
              </w:rPr>
              <w:t xml:space="preserve">Access to protection through police and the justice system has improved, but remains a challenge for VAWG survivors to get the police to issue PSNs, to get the needed legal support to obtain court-issued ROs, and due to delays in court processing of ROs. </w:t>
            </w:r>
          </w:p>
          <w:p w14:paraId="71FC0478" w14:textId="77777777" w:rsidR="008E3D3C" w:rsidRDefault="008E3D3C" w:rsidP="008E3D3C">
            <w:pPr>
              <w:autoSpaceDE w:val="0"/>
              <w:autoSpaceDN w:val="0"/>
              <w:adjustRightInd w:val="0"/>
              <w:rPr>
                <w:sz w:val="20"/>
                <w:szCs w:val="20"/>
              </w:rPr>
            </w:pPr>
          </w:p>
          <w:p w14:paraId="4A63D347" w14:textId="77B83CA9" w:rsidR="008E3D3C" w:rsidRPr="00725049" w:rsidRDefault="008E3D3C" w:rsidP="00725049">
            <w:pPr>
              <w:autoSpaceDE w:val="0"/>
              <w:autoSpaceDN w:val="0"/>
              <w:adjustRightInd w:val="0"/>
              <w:rPr>
                <w:sz w:val="20"/>
                <w:szCs w:val="20"/>
              </w:rPr>
            </w:pPr>
            <w:r w:rsidRPr="00725049">
              <w:rPr>
                <w:sz w:val="20"/>
                <w:szCs w:val="20"/>
              </w:rPr>
              <w:t>Bride price and compensation continue to serve as barriers for VAWG survivors, as they keep most women locked in violent and abusive marriages.</w:t>
            </w:r>
          </w:p>
          <w:p w14:paraId="00DC096C" w14:textId="77777777" w:rsidR="008E3D3C" w:rsidRDefault="008E3D3C" w:rsidP="008E3D3C">
            <w:pPr>
              <w:autoSpaceDE w:val="0"/>
              <w:autoSpaceDN w:val="0"/>
              <w:adjustRightInd w:val="0"/>
              <w:rPr>
                <w:sz w:val="20"/>
                <w:szCs w:val="20"/>
              </w:rPr>
            </w:pPr>
          </w:p>
          <w:p w14:paraId="60068724" w14:textId="539121DC" w:rsidR="008E3D3C" w:rsidRPr="00725049" w:rsidRDefault="008E3D3C" w:rsidP="00725049">
            <w:pPr>
              <w:autoSpaceDE w:val="0"/>
              <w:autoSpaceDN w:val="0"/>
              <w:adjustRightInd w:val="0"/>
              <w:rPr>
                <w:sz w:val="20"/>
                <w:szCs w:val="20"/>
              </w:rPr>
            </w:pPr>
            <w:r w:rsidRPr="00725049">
              <w:rPr>
                <w:sz w:val="20"/>
                <w:szCs w:val="20"/>
              </w:rPr>
              <w:t>Women rarely seek medical attention for family/domestic violence-related injuries, unless the injuries are severe and/or life threatening.</w:t>
            </w:r>
          </w:p>
        </w:tc>
      </w:tr>
      <w:tr w:rsidR="008E3D3C" w:rsidRPr="000A6A74" w14:paraId="7FE555C5" w14:textId="77777777" w:rsidTr="00C53685">
        <w:tc>
          <w:tcPr>
            <w:tcW w:w="2399" w:type="pct"/>
            <w:shd w:val="clear" w:color="auto" w:fill="DAEEF3" w:themeFill="accent5" w:themeFillTint="33"/>
          </w:tcPr>
          <w:p w14:paraId="181713CB" w14:textId="77777777" w:rsidR="008E3D3C" w:rsidRPr="00B2727F" w:rsidRDefault="008E3D3C" w:rsidP="008E3D3C">
            <w:pPr>
              <w:rPr>
                <w:sz w:val="20"/>
                <w:szCs w:val="20"/>
              </w:rPr>
            </w:pPr>
            <w:r w:rsidRPr="00B2727F">
              <w:rPr>
                <w:b/>
                <w:sz w:val="20"/>
                <w:szCs w:val="20"/>
              </w:rPr>
              <w:lastRenderedPageBreak/>
              <w:t>Indicator 2:</w:t>
            </w:r>
            <w:r w:rsidRPr="00B2727F">
              <w:rPr>
                <w:sz w:val="20"/>
                <w:szCs w:val="20"/>
              </w:rPr>
              <w:t xml:space="preserve"> </w:t>
            </w:r>
            <w:r w:rsidRPr="000A1231">
              <w:rPr>
                <w:rFonts w:cs="CalibriRegular"/>
                <w:color w:val="1C1C1C"/>
                <w:sz w:val="20"/>
                <w:szCs w:val="20"/>
              </w:rPr>
              <w:t>Percentage of women and girls interviewed/surveyed</w:t>
            </w:r>
            <w:r>
              <w:rPr>
                <w:rFonts w:cs="CalibriRegular"/>
                <w:color w:val="1C1C1C"/>
                <w:sz w:val="20"/>
                <w:szCs w:val="20"/>
              </w:rPr>
              <w:t xml:space="preserve"> </w:t>
            </w:r>
            <w:r w:rsidRPr="000A1231">
              <w:rPr>
                <w:rFonts w:cs="CalibriRegular"/>
                <w:color w:val="1C1C1C"/>
                <w:sz w:val="20"/>
                <w:szCs w:val="20"/>
              </w:rPr>
              <w:t>who report satisfaction with services (by type of service accessed)</w:t>
            </w:r>
          </w:p>
        </w:tc>
        <w:tc>
          <w:tcPr>
            <w:tcW w:w="2601" w:type="pct"/>
            <w:shd w:val="clear" w:color="auto" w:fill="FFFFFF" w:themeFill="background1"/>
          </w:tcPr>
          <w:p w14:paraId="0F6A665A" w14:textId="319FD6D0" w:rsidR="008E3D3C" w:rsidRPr="00E84226" w:rsidRDefault="008E3D3C" w:rsidP="00725049">
            <w:r w:rsidRPr="00725049">
              <w:rPr>
                <w:sz w:val="20"/>
                <w:szCs w:val="20"/>
              </w:rPr>
              <w:t xml:space="preserve">Baseline and midline data (satisfaction surveys) revealed that as many as 85% to 100% of women and girls who sought services for VAWG were very satisfied with the services they received from service providers. </w:t>
            </w:r>
          </w:p>
        </w:tc>
      </w:tr>
      <w:tr w:rsidR="008E3D3C" w:rsidRPr="000A6A74" w14:paraId="6AA1505A" w14:textId="77777777" w:rsidTr="00C53685">
        <w:tc>
          <w:tcPr>
            <w:tcW w:w="2399" w:type="pct"/>
            <w:shd w:val="clear" w:color="auto" w:fill="DAEEF3" w:themeFill="accent5" w:themeFillTint="33"/>
          </w:tcPr>
          <w:p w14:paraId="1C18726C" w14:textId="77777777" w:rsidR="008E3D3C" w:rsidRPr="000A1231" w:rsidRDefault="008E3D3C" w:rsidP="008E3D3C">
            <w:pPr>
              <w:autoSpaceDE w:val="0"/>
              <w:autoSpaceDN w:val="0"/>
              <w:adjustRightInd w:val="0"/>
              <w:rPr>
                <w:sz w:val="20"/>
                <w:szCs w:val="20"/>
              </w:rPr>
            </w:pPr>
            <w:r w:rsidRPr="00B2727F">
              <w:rPr>
                <w:b/>
                <w:sz w:val="20"/>
                <w:szCs w:val="20"/>
              </w:rPr>
              <w:t>Indicator 3</w:t>
            </w:r>
            <w:r w:rsidRPr="00B2727F">
              <w:rPr>
                <w:sz w:val="20"/>
                <w:szCs w:val="20"/>
              </w:rPr>
              <w:t xml:space="preserve">: </w:t>
            </w:r>
            <w:r w:rsidRPr="000A1231">
              <w:rPr>
                <w:rFonts w:cs="CalibriRegular"/>
                <w:color w:val="1C1C1C"/>
                <w:sz w:val="20"/>
                <w:szCs w:val="20"/>
              </w:rPr>
              <w:t>Number of women and girls accessing protection and services for VAWG in the past 6 months</w:t>
            </w:r>
          </w:p>
        </w:tc>
        <w:tc>
          <w:tcPr>
            <w:tcW w:w="2601" w:type="pct"/>
            <w:shd w:val="clear" w:color="auto" w:fill="FFFFFF" w:themeFill="background1"/>
          </w:tcPr>
          <w:p w14:paraId="28967359" w14:textId="77777777" w:rsidR="008E3D3C" w:rsidRPr="00725049" w:rsidRDefault="008E3D3C" w:rsidP="00725049">
            <w:pPr>
              <w:rPr>
                <w:rFonts w:cs="CalibriRegular"/>
                <w:sz w:val="20"/>
                <w:szCs w:val="20"/>
              </w:rPr>
            </w:pPr>
            <w:r w:rsidRPr="00725049">
              <w:rPr>
                <w:rFonts w:cs="CalibriRegular"/>
                <w:sz w:val="20"/>
                <w:szCs w:val="20"/>
              </w:rPr>
              <w:t xml:space="preserve">Monthly data collection of the number of women and girls accessing protection, services, and justice for VAWG, and referrals between organizations/agencies from January 2015 to September 2017 are presented throughout this endline report, this includes VAWG administrative data before and after the implementation of the FPA.  </w:t>
            </w:r>
          </w:p>
          <w:p w14:paraId="70EA613D" w14:textId="7FE2E533" w:rsidR="008E3D3C" w:rsidRPr="000A6A74" w:rsidRDefault="008E3D3C" w:rsidP="008E3D3C">
            <w:pPr>
              <w:rPr>
                <w:sz w:val="20"/>
                <w:szCs w:val="20"/>
              </w:rPr>
            </w:pPr>
            <w:r>
              <w:rPr>
                <w:rFonts w:cs="CalibriRegular"/>
                <w:sz w:val="20"/>
                <w:szCs w:val="20"/>
              </w:rPr>
              <w:t>L</w:t>
            </w:r>
            <w:r w:rsidRPr="008706E4">
              <w:rPr>
                <w:rFonts w:cs="CalibriRegular"/>
                <w:sz w:val="20"/>
                <w:szCs w:val="20"/>
              </w:rPr>
              <w:t>imitations of the reported data</w:t>
            </w:r>
            <w:r>
              <w:rPr>
                <w:rFonts w:cs="CalibriRegular"/>
                <w:sz w:val="20"/>
                <w:szCs w:val="20"/>
              </w:rPr>
              <w:t xml:space="preserve"> are </w:t>
            </w:r>
            <w:r w:rsidRPr="008706E4">
              <w:rPr>
                <w:rFonts w:cs="CalibriRegular"/>
                <w:sz w:val="20"/>
                <w:szCs w:val="20"/>
              </w:rPr>
              <w:t>addresse</w:t>
            </w:r>
            <w:r>
              <w:rPr>
                <w:rFonts w:cs="CalibriRegular"/>
                <w:sz w:val="20"/>
                <w:szCs w:val="20"/>
              </w:rPr>
              <w:t>d</w:t>
            </w:r>
            <w:r w:rsidRPr="008706E4">
              <w:rPr>
                <w:rFonts w:cs="CalibriRegular"/>
                <w:sz w:val="20"/>
                <w:szCs w:val="20"/>
              </w:rPr>
              <w:t xml:space="preserve"> in each of the sections</w:t>
            </w:r>
            <w:r>
              <w:rPr>
                <w:rFonts w:cs="CalibriRegular"/>
                <w:sz w:val="20"/>
                <w:szCs w:val="20"/>
              </w:rPr>
              <w:t>.</w:t>
            </w:r>
          </w:p>
        </w:tc>
      </w:tr>
    </w:tbl>
    <w:p w14:paraId="605EC2B6" w14:textId="61A1DC94" w:rsidR="00C53685" w:rsidRDefault="00C53685">
      <w:pPr>
        <w:rPr>
          <w:sz w:val="20"/>
          <w:szCs w:val="20"/>
        </w:rPr>
      </w:pPr>
      <w:bookmarkStart w:id="6" w:name="_Toc355636221"/>
    </w:p>
    <w:p w14:paraId="2E60AC64" w14:textId="77777777" w:rsidR="0000436F" w:rsidRPr="000A6A74" w:rsidRDefault="005F0423" w:rsidP="0000436F">
      <w:pPr>
        <w:pStyle w:val="Heading3"/>
        <w:rPr>
          <w:rFonts w:asciiTheme="minorHAnsi" w:hAnsiTheme="minorHAnsi"/>
          <w:sz w:val="20"/>
          <w:szCs w:val="20"/>
        </w:rPr>
      </w:pPr>
      <w:r w:rsidRPr="000A6A74">
        <w:rPr>
          <w:rFonts w:asciiTheme="minorHAnsi" w:hAnsiTheme="minorHAnsi"/>
          <w:sz w:val="20"/>
          <w:szCs w:val="20"/>
        </w:rPr>
        <w:t>Number of beneficiaries reached</w:t>
      </w:r>
      <w:r w:rsidR="00810DB4">
        <w:rPr>
          <w:rFonts w:asciiTheme="minorHAnsi" w:hAnsiTheme="minorHAnsi"/>
          <w:sz w:val="20"/>
          <w:szCs w:val="20"/>
        </w:rPr>
        <w:t xml:space="preserve"> at the project goal l</w:t>
      </w:r>
      <w:r w:rsidR="0000436F" w:rsidRPr="000A6A74">
        <w:rPr>
          <w:rFonts w:asciiTheme="minorHAnsi" w:hAnsiTheme="minorHAnsi"/>
          <w:sz w:val="20"/>
          <w:szCs w:val="20"/>
        </w:rPr>
        <w:t>evel</w:t>
      </w:r>
      <w:bookmarkEnd w:id="6"/>
    </w:p>
    <w:p w14:paraId="4DC23DDC" w14:textId="77777777" w:rsidR="005F0423" w:rsidRPr="000A6A74" w:rsidRDefault="005F0423" w:rsidP="004267A8">
      <w:pPr>
        <w:spacing w:after="0" w:line="240" w:lineRule="auto"/>
        <w:rPr>
          <w:color w:val="000000" w:themeColor="text1"/>
          <w:sz w:val="20"/>
          <w:szCs w:val="20"/>
        </w:rPr>
      </w:pPr>
      <w:r w:rsidRPr="000A6A74">
        <w:rPr>
          <w:color w:val="000000" w:themeColor="text1"/>
          <w:sz w:val="20"/>
          <w:szCs w:val="20"/>
        </w:rPr>
        <w:t xml:space="preserve">How many beneficiaries experienced any changes in their lives during the reporting period (i.e. since the last progress report)? </w:t>
      </w:r>
    </w:p>
    <w:p w14:paraId="2FCC1057" w14:textId="77777777" w:rsidR="005F0423" w:rsidRPr="000A6A74" w:rsidRDefault="005F0423" w:rsidP="0000436F">
      <w:pPr>
        <w:pStyle w:val="ListParagraph"/>
        <w:numPr>
          <w:ilvl w:val="0"/>
          <w:numId w:val="23"/>
        </w:numPr>
        <w:spacing w:after="120" w:line="240" w:lineRule="auto"/>
        <w:rPr>
          <w:color w:val="000000" w:themeColor="text1"/>
          <w:sz w:val="20"/>
          <w:szCs w:val="20"/>
        </w:rPr>
      </w:pPr>
      <w:r w:rsidRPr="000A6A74">
        <w:rPr>
          <w:color w:val="000000" w:themeColor="text1"/>
          <w:sz w:val="20"/>
          <w:szCs w:val="20"/>
        </w:rPr>
        <w:t>Has your project reached the targeted beneficiary groups during the reporting period? If yes, please, please provide the actual number reached</w:t>
      </w:r>
      <w:r w:rsidR="00E50DF0" w:rsidRPr="000A6A74">
        <w:rPr>
          <w:color w:val="000000" w:themeColor="text1"/>
          <w:sz w:val="20"/>
          <w:szCs w:val="20"/>
        </w:rPr>
        <w:t xml:space="preserve"> for each beneficiary group</w:t>
      </w:r>
      <w:r w:rsidRPr="000A6A74">
        <w:rPr>
          <w:color w:val="000000" w:themeColor="text1"/>
          <w:sz w:val="20"/>
          <w:szCs w:val="20"/>
        </w:rPr>
        <w:t>.</w:t>
      </w:r>
    </w:p>
    <w:p w14:paraId="429BB744" w14:textId="77777777" w:rsidR="005F0423" w:rsidRPr="000A6A74" w:rsidRDefault="005F0423" w:rsidP="005F0423">
      <w:pPr>
        <w:pStyle w:val="ListParagraph"/>
        <w:numPr>
          <w:ilvl w:val="0"/>
          <w:numId w:val="23"/>
        </w:numPr>
        <w:spacing w:after="120" w:line="240" w:lineRule="auto"/>
        <w:rPr>
          <w:color w:val="000000" w:themeColor="text1"/>
          <w:sz w:val="20"/>
          <w:szCs w:val="20"/>
        </w:rPr>
      </w:pPr>
      <w:r w:rsidRPr="000A6A74">
        <w:rPr>
          <w:color w:val="000000" w:themeColor="text1"/>
          <w:sz w:val="20"/>
          <w:szCs w:val="20"/>
        </w:rPr>
        <w:t xml:space="preserve">To avoid double counting from previous reports, </w:t>
      </w:r>
      <w:r w:rsidRPr="000A6A74">
        <w:rPr>
          <w:color w:val="000000" w:themeColor="text1"/>
          <w:sz w:val="20"/>
          <w:szCs w:val="20"/>
          <w:u w:val="single"/>
        </w:rPr>
        <w:t>please do not count the beneficiaries who have been already reported in the previous report(s).</w:t>
      </w:r>
      <w:r w:rsidRPr="000A6A74">
        <w:rPr>
          <w:color w:val="000000" w:themeColor="text1"/>
          <w:sz w:val="20"/>
          <w:szCs w:val="20"/>
        </w:rPr>
        <w:t xml:space="preserve"> </w:t>
      </w:r>
    </w:p>
    <w:p w14:paraId="6AD2877D" w14:textId="77777777" w:rsidR="005F0423" w:rsidRDefault="005F0423" w:rsidP="005F0423">
      <w:pPr>
        <w:pStyle w:val="ListParagraph"/>
        <w:numPr>
          <w:ilvl w:val="0"/>
          <w:numId w:val="23"/>
        </w:numPr>
        <w:spacing w:after="120" w:line="240" w:lineRule="auto"/>
        <w:rPr>
          <w:color w:val="000000" w:themeColor="text1"/>
          <w:sz w:val="20"/>
          <w:szCs w:val="20"/>
        </w:rPr>
      </w:pPr>
      <w:r w:rsidRPr="000A6A74">
        <w:rPr>
          <w:color w:val="000000" w:themeColor="text1"/>
          <w:sz w:val="20"/>
          <w:szCs w:val="20"/>
        </w:rPr>
        <w:t xml:space="preserve">If your project has reached other beneficiaries during the reporting period, please add additional beneficiaries groups and report on the number. </w:t>
      </w:r>
    </w:p>
    <w:p w14:paraId="29A4B3CF" w14:textId="77777777" w:rsidR="00542821" w:rsidRPr="000A6A74" w:rsidRDefault="00542821" w:rsidP="00542821">
      <w:pPr>
        <w:pStyle w:val="ListParagraph"/>
        <w:spacing w:after="120" w:line="240" w:lineRule="auto"/>
        <w:rPr>
          <w:color w:val="000000" w:themeColor="text1"/>
          <w:sz w:val="20"/>
          <w:szCs w:val="20"/>
        </w:rPr>
      </w:pPr>
    </w:p>
    <w:tbl>
      <w:tblPr>
        <w:tblStyle w:val="TableGrid"/>
        <w:tblW w:w="5000" w:type="pct"/>
        <w:tblLook w:val="04A0" w:firstRow="1" w:lastRow="0" w:firstColumn="1" w:lastColumn="0" w:noHBand="0" w:noVBand="1"/>
      </w:tblPr>
      <w:tblGrid>
        <w:gridCol w:w="6692"/>
        <w:gridCol w:w="7256"/>
      </w:tblGrid>
      <w:tr w:rsidR="0000436F" w:rsidRPr="000A6A74" w14:paraId="352421C6" w14:textId="77777777" w:rsidTr="00C53685">
        <w:tc>
          <w:tcPr>
            <w:tcW w:w="2399" w:type="pct"/>
            <w:shd w:val="clear" w:color="auto" w:fill="DAEEF3" w:themeFill="accent5" w:themeFillTint="33"/>
          </w:tcPr>
          <w:p w14:paraId="2E92C72B" w14:textId="77777777" w:rsidR="0000436F" w:rsidRPr="000A6A74" w:rsidRDefault="0000436F" w:rsidP="00D02DE8">
            <w:pPr>
              <w:rPr>
                <w:b/>
                <w:sz w:val="20"/>
                <w:szCs w:val="20"/>
              </w:rPr>
            </w:pPr>
          </w:p>
        </w:tc>
        <w:tc>
          <w:tcPr>
            <w:tcW w:w="2601" w:type="pct"/>
            <w:shd w:val="clear" w:color="auto" w:fill="DAEEF3" w:themeFill="accent5" w:themeFillTint="33"/>
          </w:tcPr>
          <w:p w14:paraId="4FEF9496" w14:textId="77777777" w:rsidR="0000436F" w:rsidRPr="000A6A74" w:rsidRDefault="0000436F" w:rsidP="00D02DE8">
            <w:pPr>
              <w:jc w:val="center"/>
              <w:rPr>
                <w:b/>
                <w:sz w:val="20"/>
                <w:szCs w:val="20"/>
              </w:rPr>
            </w:pPr>
            <w:r w:rsidRPr="000A6A74">
              <w:rPr>
                <w:b/>
                <w:sz w:val="20"/>
                <w:szCs w:val="20"/>
              </w:rPr>
              <w:t xml:space="preserve">Actual number of beneficiaries reached at the project goal level </w:t>
            </w:r>
          </w:p>
        </w:tc>
      </w:tr>
      <w:tr w:rsidR="00B2727F" w:rsidRPr="000A6A74" w14:paraId="3C8296CF" w14:textId="77777777" w:rsidTr="00C53685">
        <w:tc>
          <w:tcPr>
            <w:tcW w:w="2399" w:type="pct"/>
            <w:shd w:val="clear" w:color="auto" w:fill="DAEEF3" w:themeFill="accent5" w:themeFillTint="33"/>
          </w:tcPr>
          <w:p w14:paraId="46307641" w14:textId="77777777" w:rsidR="00B2727F" w:rsidRPr="000A6A74" w:rsidRDefault="00B2727F" w:rsidP="00D02DE8">
            <w:pPr>
              <w:rPr>
                <w:b/>
                <w:sz w:val="20"/>
                <w:szCs w:val="20"/>
              </w:rPr>
            </w:pPr>
            <w:r w:rsidRPr="000A6A74">
              <w:rPr>
                <w:b/>
                <w:sz w:val="20"/>
                <w:szCs w:val="20"/>
              </w:rPr>
              <w:t xml:space="preserve">Targeted beneficiary groups at the project goal level  </w:t>
            </w:r>
          </w:p>
        </w:tc>
        <w:tc>
          <w:tcPr>
            <w:tcW w:w="2601" w:type="pct"/>
            <w:shd w:val="clear" w:color="auto" w:fill="DAEEF3" w:themeFill="accent5" w:themeFillTint="33"/>
          </w:tcPr>
          <w:p w14:paraId="4C3586D6" w14:textId="77F8FCCD" w:rsidR="00B2727F" w:rsidRPr="000A6A74" w:rsidRDefault="00B2727F" w:rsidP="00203B28">
            <w:pPr>
              <w:jc w:val="center"/>
              <w:rPr>
                <w:sz w:val="20"/>
                <w:szCs w:val="20"/>
              </w:rPr>
            </w:pPr>
            <w:r w:rsidRPr="000A6A74">
              <w:rPr>
                <w:sz w:val="20"/>
                <w:szCs w:val="20"/>
              </w:rPr>
              <w:t>Reporting period:</w:t>
            </w:r>
            <w:r w:rsidR="00203B28">
              <w:rPr>
                <w:sz w:val="20"/>
                <w:szCs w:val="20"/>
              </w:rPr>
              <w:t xml:space="preserve"> January to December 201</w:t>
            </w:r>
            <w:r w:rsidR="008E3D3C">
              <w:rPr>
                <w:sz w:val="20"/>
                <w:szCs w:val="20"/>
              </w:rPr>
              <w:t>7</w:t>
            </w:r>
          </w:p>
        </w:tc>
      </w:tr>
      <w:tr w:rsidR="00B2727F" w:rsidRPr="000A6A74" w14:paraId="129F83B1" w14:textId="77777777" w:rsidTr="00C53685">
        <w:tc>
          <w:tcPr>
            <w:tcW w:w="2399" w:type="pct"/>
            <w:shd w:val="clear" w:color="auto" w:fill="DAEEF3" w:themeFill="accent5" w:themeFillTint="33"/>
          </w:tcPr>
          <w:p w14:paraId="78E05F95" w14:textId="77777777" w:rsidR="00B2727F" w:rsidRDefault="00B2727F" w:rsidP="003B01F4">
            <w:pPr>
              <w:rPr>
                <w:color w:val="FF0000"/>
                <w:sz w:val="20"/>
                <w:szCs w:val="20"/>
              </w:rPr>
            </w:pPr>
            <w:r w:rsidRPr="00B2727F">
              <w:rPr>
                <w:b/>
                <w:sz w:val="20"/>
                <w:szCs w:val="20"/>
              </w:rPr>
              <w:t>Beneficiary Group 1:</w:t>
            </w:r>
            <w:r w:rsidRPr="00B2727F">
              <w:rPr>
                <w:sz w:val="20"/>
                <w:szCs w:val="20"/>
              </w:rPr>
              <w:t xml:space="preserve"> </w:t>
            </w:r>
            <w:r w:rsidR="000A1231" w:rsidRPr="00B2727F">
              <w:rPr>
                <w:rFonts w:cs="CalibriRegular"/>
                <w:color w:val="1C1C1C"/>
                <w:sz w:val="20"/>
                <w:szCs w:val="20"/>
              </w:rPr>
              <w:t>Women/girls survivors of violence</w:t>
            </w:r>
          </w:p>
          <w:p w14:paraId="52BFD5E8" w14:textId="77777777" w:rsidR="00B2727F" w:rsidRPr="00B2727F" w:rsidRDefault="00B2727F" w:rsidP="003B01F4">
            <w:pPr>
              <w:rPr>
                <w:color w:val="FF0000"/>
                <w:sz w:val="20"/>
                <w:szCs w:val="20"/>
              </w:rPr>
            </w:pPr>
          </w:p>
        </w:tc>
        <w:tc>
          <w:tcPr>
            <w:tcW w:w="2601" w:type="pct"/>
            <w:shd w:val="clear" w:color="auto" w:fill="auto"/>
          </w:tcPr>
          <w:p w14:paraId="417D32B8" w14:textId="07EF49B2" w:rsidR="00776925" w:rsidRDefault="003D5152" w:rsidP="00725049">
            <w:pPr>
              <w:jc w:val="center"/>
            </w:pPr>
            <w:r>
              <w:rPr>
                <w:sz w:val="20"/>
                <w:szCs w:val="20"/>
              </w:rPr>
              <w:t>4</w:t>
            </w:r>
            <w:r w:rsidR="008E3D3C">
              <w:rPr>
                <w:sz w:val="20"/>
                <w:szCs w:val="20"/>
              </w:rPr>
              <w:t>63</w:t>
            </w:r>
            <w:r w:rsidR="00776925">
              <w:rPr>
                <w:rStyle w:val="FootnoteReference"/>
                <w:sz w:val="20"/>
                <w:szCs w:val="20"/>
              </w:rPr>
              <w:footnoteReference w:id="1"/>
            </w:r>
            <w:r w:rsidR="00776925">
              <w:t xml:space="preserve"> </w:t>
            </w:r>
          </w:p>
          <w:p w14:paraId="247E0C03" w14:textId="22EAD6D7" w:rsidR="00B2727F" w:rsidRPr="000A6A74" w:rsidRDefault="00B2727F" w:rsidP="000F6907">
            <w:pPr>
              <w:jc w:val="center"/>
              <w:rPr>
                <w:sz w:val="20"/>
                <w:szCs w:val="20"/>
              </w:rPr>
            </w:pPr>
          </w:p>
        </w:tc>
      </w:tr>
    </w:tbl>
    <w:p w14:paraId="0C8BE469" w14:textId="77777777" w:rsidR="00E50DF0" w:rsidRPr="000A6A74" w:rsidRDefault="00E50DF0" w:rsidP="00E50DF0">
      <w:pPr>
        <w:spacing w:after="120" w:line="240" w:lineRule="auto"/>
        <w:rPr>
          <w:color w:val="000000" w:themeColor="text1"/>
          <w:sz w:val="20"/>
          <w:szCs w:val="20"/>
        </w:rPr>
      </w:pPr>
    </w:p>
    <w:p w14:paraId="6DC65214" w14:textId="77777777" w:rsidR="00C54D45" w:rsidRPr="000A6A74" w:rsidRDefault="0000436F" w:rsidP="0000436F">
      <w:pPr>
        <w:spacing w:after="0" w:line="240" w:lineRule="auto"/>
        <w:rPr>
          <w:color w:val="000000" w:themeColor="text1"/>
          <w:sz w:val="20"/>
          <w:szCs w:val="20"/>
        </w:rPr>
      </w:pPr>
      <w:bookmarkStart w:id="7" w:name="_Toc355636222"/>
      <w:r w:rsidRPr="000A6A74">
        <w:rPr>
          <w:rStyle w:val="Heading3Char"/>
          <w:rFonts w:asciiTheme="minorHAnsi" w:hAnsiTheme="minorHAnsi"/>
          <w:sz w:val="20"/>
          <w:szCs w:val="20"/>
        </w:rPr>
        <w:t xml:space="preserve">Changes in the lives of </w:t>
      </w:r>
      <w:r w:rsidR="00C54D45" w:rsidRPr="000A6A74">
        <w:rPr>
          <w:rStyle w:val="Heading3Char"/>
          <w:rFonts w:asciiTheme="minorHAnsi" w:hAnsiTheme="minorHAnsi"/>
          <w:sz w:val="20"/>
          <w:szCs w:val="20"/>
        </w:rPr>
        <w:t>beneficiaries at the Project Goal Level</w:t>
      </w:r>
      <w:bookmarkEnd w:id="7"/>
    </w:p>
    <w:p w14:paraId="6C47C379" w14:textId="77777777" w:rsidR="0000436F" w:rsidRPr="000A6A74" w:rsidRDefault="0000436F" w:rsidP="0000436F">
      <w:pPr>
        <w:spacing w:after="0" w:line="240" w:lineRule="auto"/>
        <w:rPr>
          <w:rFonts w:eastAsia="Times New Roman" w:cs="Calibri"/>
          <w:iCs/>
          <w:sz w:val="20"/>
          <w:szCs w:val="20"/>
        </w:rPr>
      </w:pPr>
      <w:r w:rsidRPr="000A6A74">
        <w:rPr>
          <w:rFonts w:eastAsia="Times New Roman" w:cs="Calibri"/>
          <w:iCs/>
          <w:sz w:val="20"/>
          <w:szCs w:val="20"/>
        </w:rPr>
        <w:t>What were the main changes in the beneficiaries’ lives during the reporting period in relation to the specific forms and manifestations of violence addressed?</w:t>
      </w:r>
      <w:r w:rsidRPr="000A6A74">
        <w:rPr>
          <w:color w:val="000000" w:themeColor="text1"/>
          <w:sz w:val="20"/>
          <w:szCs w:val="20"/>
        </w:rPr>
        <w:t xml:space="preserve"> (</w:t>
      </w:r>
      <w:r w:rsidRPr="000A6A74">
        <w:rPr>
          <w:color w:val="FF0000"/>
          <w:sz w:val="20"/>
          <w:szCs w:val="20"/>
        </w:rPr>
        <w:t>Maximum 250 words per beneficiary group</w:t>
      </w:r>
      <w:r w:rsidRPr="000A6A74">
        <w:rPr>
          <w:color w:val="000000" w:themeColor="text1"/>
          <w:sz w:val="20"/>
          <w:szCs w:val="20"/>
        </w:rPr>
        <w:t>).</w:t>
      </w:r>
    </w:p>
    <w:tbl>
      <w:tblPr>
        <w:tblStyle w:val="TableGrid"/>
        <w:tblW w:w="5000" w:type="pct"/>
        <w:tblLook w:val="04A0" w:firstRow="1" w:lastRow="0" w:firstColumn="1" w:lastColumn="0" w:noHBand="0" w:noVBand="1"/>
      </w:tblPr>
      <w:tblGrid>
        <w:gridCol w:w="3680"/>
        <w:gridCol w:w="3007"/>
        <w:gridCol w:w="7261"/>
      </w:tblGrid>
      <w:tr w:rsidR="005B2ED6" w:rsidRPr="000A6A74" w14:paraId="734E7E3D" w14:textId="77777777" w:rsidTr="009C6909">
        <w:tc>
          <w:tcPr>
            <w:tcW w:w="1319" w:type="pct"/>
            <w:shd w:val="clear" w:color="auto" w:fill="DAEEF3" w:themeFill="accent5" w:themeFillTint="33"/>
          </w:tcPr>
          <w:p w14:paraId="1822DCB0" w14:textId="77777777" w:rsidR="005B2ED6" w:rsidRPr="000A6A74" w:rsidRDefault="005B2ED6" w:rsidP="00D02DE8">
            <w:pPr>
              <w:rPr>
                <w:b/>
                <w:sz w:val="20"/>
                <w:szCs w:val="20"/>
              </w:rPr>
            </w:pPr>
            <w:r w:rsidRPr="000A6A74">
              <w:rPr>
                <w:b/>
                <w:sz w:val="20"/>
                <w:szCs w:val="20"/>
              </w:rPr>
              <w:t xml:space="preserve">Targeted beneficiary groups at the project goal level  </w:t>
            </w:r>
          </w:p>
        </w:tc>
        <w:tc>
          <w:tcPr>
            <w:tcW w:w="1078" w:type="pct"/>
            <w:shd w:val="clear" w:color="auto" w:fill="DAEEF3" w:themeFill="accent5" w:themeFillTint="33"/>
          </w:tcPr>
          <w:p w14:paraId="0C791CCA" w14:textId="77777777" w:rsidR="005B2ED6" w:rsidRPr="000A6A74" w:rsidRDefault="005B2ED6" w:rsidP="0010745F">
            <w:pPr>
              <w:rPr>
                <w:b/>
                <w:sz w:val="20"/>
                <w:szCs w:val="20"/>
              </w:rPr>
            </w:pPr>
            <w:r w:rsidRPr="000A6A74">
              <w:rPr>
                <w:b/>
                <w:sz w:val="20"/>
                <w:szCs w:val="20"/>
              </w:rPr>
              <w:t xml:space="preserve">Reporting Period </w:t>
            </w:r>
          </w:p>
        </w:tc>
        <w:tc>
          <w:tcPr>
            <w:tcW w:w="2603" w:type="pct"/>
            <w:shd w:val="clear" w:color="auto" w:fill="DAEEF3" w:themeFill="accent5" w:themeFillTint="33"/>
          </w:tcPr>
          <w:p w14:paraId="1D52247D" w14:textId="77777777" w:rsidR="005B2ED6" w:rsidRPr="000A6A74" w:rsidRDefault="005B2ED6" w:rsidP="0010745F">
            <w:pPr>
              <w:rPr>
                <w:b/>
                <w:sz w:val="20"/>
                <w:szCs w:val="20"/>
              </w:rPr>
            </w:pPr>
            <w:r w:rsidRPr="000A6A74">
              <w:rPr>
                <w:b/>
                <w:sz w:val="20"/>
                <w:szCs w:val="20"/>
              </w:rPr>
              <w:t xml:space="preserve">Current situation of beneficiary groups  </w:t>
            </w:r>
          </w:p>
        </w:tc>
      </w:tr>
      <w:tr w:rsidR="00B2727F" w:rsidRPr="000A6A74" w14:paraId="55AFA0F5" w14:textId="77777777" w:rsidTr="009C6909">
        <w:trPr>
          <w:trHeight w:val="737"/>
        </w:trPr>
        <w:tc>
          <w:tcPr>
            <w:tcW w:w="1319" w:type="pct"/>
            <w:shd w:val="clear" w:color="auto" w:fill="DAEEF3" w:themeFill="accent5" w:themeFillTint="33"/>
          </w:tcPr>
          <w:p w14:paraId="254DD828" w14:textId="77777777" w:rsidR="00B2727F" w:rsidRPr="000A6A74" w:rsidRDefault="00B2727F" w:rsidP="003B01F4">
            <w:pPr>
              <w:rPr>
                <w:sz w:val="20"/>
                <w:szCs w:val="20"/>
              </w:rPr>
            </w:pPr>
            <w:r w:rsidRPr="000A6A74">
              <w:rPr>
                <w:b/>
                <w:sz w:val="20"/>
                <w:szCs w:val="20"/>
              </w:rPr>
              <w:t>Beneficiary Group 1:</w:t>
            </w:r>
            <w:r w:rsidRPr="000A6A74">
              <w:rPr>
                <w:sz w:val="20"/>
                <w:szCs w:val="20"/>
              </w:rPr>
              <w:t xml:space="preserve"> </w:t>
            </w:r>
            <w:r w:rsidR="000A1231" w:rsidRPr="00B2727F">
              <w:rPr>
                <w:rFonts w:cs="CalibriRegular"/>
                <w:color w:val="1C1C1C"/>
                <w:sz w:val="20"/>
                <w:szCs w:val="20"/>
              </w:rPr>
              <w:t>Women/girls survivors of violence</w:t>
            </w:r>
          </w:p>
        </w:tc>
        <w:tc>
          <w:tcPr>
            <w:tcW w:w="1078" w:type="pct"/>
            <w:shd w:val="clear" w:color="auto" w:fill="DAEEF3" w:themeFill="accent5" w:themeFillTint="33"/>
          </w:tcPr>
          <w:p w14:paraId="366A42E2" w14:textId="77777777" w:rsidR="000F6907" w:rsidRDefault="000F6907" w:rsidP="000F6907">
            <w:pPr>
              <w:rPr>
                <w:sz w:val="20"/>
                <w:szCs w:val="20"/>
              </w:rPr>
            </w:pPr>
            <w:r>
              <w:rPr>
                <w:sz w:val="20"/>
                <w:szCs w:val="20"/>
              </w:rPr>
              <w:t xml:space="preserve">Reporting period: </w:t>
            </w:r>
          </w:p>
          <w:p w14:paraId="2594B577" w14:textId="683015BD" w:rsidR="00B2727F" w:rsidRPr="000A6A74" w:rsidRDefault="008168BC" w:rsidP="000F6907">
            <w:pPr>
              <w:rPr>
                <w:color w:val="000000" w:themeColor="text1"/>
                <w:sz w:val="20"/>
                <w:szCs w:val="20"/>
              </w:rPr>
            </w:pPr>
            <w:r>
              <w:rPr>
                <w:sz w:val="20"/>
                <w:szCs w:val="20"/>
              </w:rPr>
              <w:t>Y</w:t>
            </w:r>
            <w:r w:rsidR="00776925">
              <w:rPr>
                <w:sz w:val="20"/>
                <w:szCs w:val="20"/>
              </w:rPr>
              <w:t>3</w:t>
            </w:r>
            <w:r>
              <w:rPr>
                <w:sz w:val="20"/>
                <w:szCs w:val="20"/>
              </w:rPr>
              <w:t xml:space="preserve"> </w:t>
            </w:r>
            <w:r w:rsidR="007D24AE">
              <w:rPr>
                <w:sz w:val="20"/>
                <w:szCs w:val="20"/>
              </w:rPr>
              <w:t xml:space="preserve">Annual </w:t>
            </w:r>
            <w:r>
              <w:rPr>
                <w:sz w:val="20"/>
                <w:szCs w:val="20"/>
              </w:rPr>
              <w:t>Progress Report</w:t>
            </w:r>
            <w:r w:rsidR="00B2727F" w:rsidRPr="000A6A74">
              <w:rPr>
                <w:sz w:val="20"/>
                <w:szCs w:val="20"/>
              </w:rPr>
              <w:t xml:space="preserve">  </w:t>
            </w:r>
          </w:p>
        </w:tc>
        <w:tc>
          <w:tcPr>
            <w:tcW w:w="2603" w:type="pct"/>
            <w:shd w:val="clear" w:color="auto" w:fill="auto"/>
          </w:tcPr>
          <w:p w14:paraId="34FDA039" w14:textId="795F0409" w:rsidR="00776925" w:rsidRPr="00BE648F" w:rsidRDefault="00776925" w:rsidP="00776925">
            <w:pPr>
              <w:jc w:val="both"/>
              <w:rPr>
                <w:rFonts w:cstheme="minorHAnsi"/>
                <w:sz w:val="20"/>
                <w:szCs w:val="20"/>
                <w:lang w:val="en-AU"/>
              </w:rPr>
            </w:pPr>
            <w:r>
              <w:rPr>
                <w:rFonts w:cstheme="minorHAnsi"/>
                <w:sz w:val="20"/>
                <w:szCs w:val="20"/>
                <w:lang w:val="en-AU"/>
              </w:rPr>
              <w:t xml:space="preserve">Since May 2016, VAWG survivors have had access to an amended </w:t>
            </w:r>
            <w:r w:rsidRPr="00BE648F">
              <w:rPr>
                <w:rFonts w:cstheme="minorHAnsi"/>
                <w:sz w:val="20"/>
                <w:szCs w:val="20"/>
                <w:lang w:val="en-AU"/>
              </w:rPr>
              <w:t xml:space="preserve">Penal Code to the Sexual Offences. The Sexual Offences Bill revises and updates the current sexual offences in the Penal Code in accordance with recommendations made by the Law Reform Commission of the MJLA in its Interim Report on Sexual Offences-Sentencing </w:t>
            </w:r>
            <w:r w:rsidRPr="00BE648F">
              <w:rPr>
                <w:rFonts w:cstheme="minorHAnsi"/>
                <w:sz w:val="20"/>
                <w:szCs w:val="20"/>
                <w:lang w:val="en-AU"/>
              </w:rPr>
              <w:lastRenderedPageBreak/>
              <w:t xml:space="preserve">2011, and Second Interim Report Sexual Offences in 2013. The recommendations cover the following offences: rape, sexual abuse of persons with significant disability, indecent assault, incest, sexual intercourse with a child, indecent touching of a child, sexual abuse of child age 15 to 18, persistent abuse of a child, commercial sexual exploitation of children, and child sexual exploitation material. </w:t>
            </w:r>
          </w:p>
          <w:p w14:paraId="22C61E38" w14:textId="77777777" w:rsidR="00776925" w:rsidRPr="00725049" w:rsidRDefault="00776925" w:rsidP="00776925">
            <w:pPr>
              <w:pStyle w:val="Default"/>
              <w:rPr>
                <w:sz w:val="20"/>
                <w:szCs w:val="20"/>
                <w:lang w:val="en-AU"/>
              </w:rPr>
            </w:pPr>
          </w:p>
          <w:p w14:paraId="55025625" w14:textId="7554E634" w:rsidR="00B2727F" w:rsidRPr="000A6A74" w:rsidRDefault="00776925" w:rsidP="00725049">
            <w:pPr>
              <w:pStyle w:val="Default"/>
              <w:jc w:val="both"/>
              <w:rPr>
                <w:b/>
                <w:sz w:val="20"/>
                <w:szCs w:val="20"/>
              </w:rPr>
            </w:pPr>
            <w:r>
              <w:rPr>
                <w:sz w:val="20"/>
                <w:szCs w:val="20"/>
              </w:rPr>
              <w:t xml:space="preserve">Also, since April 2016, VAWG survivors have had access to legislation through the FPA 2014, which provides women with access to protection and justice through police safety notices and restraining orders, and to having their abusers arrested. Solomon Islands is currently in the very early stages of implementation of the FPA 2014, but more time is needed to see how the FPA 2014 impacts VAWG survivors access to essential services for VAWG. </w:t>
            </w:r>
          </w:p>
        </w:tc>
      </w:tr>
    </w:tbl>
    <w:p w14:paraId="287915CC" w14:textId="7CE44946" w:rsidR="00C53685" w:rsidRDefault="00C53685">
      <w:pPr>
        <w:rPr>
          <w:rFonts w:asciiTheme="majorHAnsi" w:eastAsiaTheme="majorEastAsia" w:hAnsiTheme="majorHAnsi" w:cstheme="majorBidi"/>
          <w:b/>
          <w:bCs/>
          <w:color w:val="365F91" w:themeColor="accent1" w:themeShade="BF"/>
          <w:sz w:val="24"/>
          <w:szCs w:val="28"/>
        </w:rPr>
      </w:pPr>
      <w:bookmarkStart w:id="8" w:name="_Toc355636223"/>
    </w:p>
    <w:p w14:paraId="4845F5B8" w14:textId="77777777" w:rsidR="002560AF" w:rsidRPr="003F7646" w:rsidRDefault="002560AF" w:rsidP="000A6A74">
      <w:pPr>
        <w:pStyle w:val="Heading1"/>
        <w:pBdr>
          <w:bottom w:val="single" w:sz="4" w:space="1" w:color="auto"/>
        </w:pBdr>
        <w:rPr>
          <w:sz w:val="24"/>
        </w:rPr>
      </w:pPr>
      <w:r w:rsidRPr="003F7646">
        <w:rPr>
          <w:sz w:val="24"/>
        </w:rPr>
        <w:t xml:space="preserve">II: </w:t>
      </w:r>
      <w:r w:rsidR="003138D4" w:rsidRPr="003F7646">
        <w:rPr>
          <w:sz w:val="24"/>
        </w:rPr>
        <w:t>Outcomes</w:t>
      </w:r>
      <w:bookmarkEnd w:id="8"/>
    </w:p>
    <w:p w14:paraId="3EF0800A" w14:textId="77777777" w:rsidR="002E473D" w:rsidRPr="003F7646" w:rsidRDefault="002E473D" w:rsidP="00AD662D">
      <w:pPr>
        <w:pStyle w:val="Heading2"/>
        <w:rPr>
          <w:rStyle w:val="Heading3Char"/>
          <w:b/>
          <w:bCs/>
          <w:sz w:val="24"/>
        </w:rPr>
      </w:pPr>
      <w:bookmarkStart w:id="9" w:name="_Toc355636224"/>
      <w:r w:rsidRPr="003F7646">
        <w:rPr>
          <w:rStyle w:val="Heading3Char"/>
          <w:b/>
          <w:bCs/>
          <w:sz w:val="24"/>
        </w:rPr>
        <w:t>Outcome 1</w:t>
      </w:r>
      <w:bookmarkEnd w:id="9"/>
    </w:p>
    <w:p w14:paraId="2B6CE490" w14:textId="77777777" w:rsidR="002560AF" w:rsidRPr="000A6A74" w:rsidRDefault="002560AF" w:rsidP="002560AF">
      <w:pPr>
        <w:spacing w:after="0" w:line="240" w:lineRule="auto"/>
        <w:rPr>
          <w:sz w:val="20"/>
          <w:szCs w:val="20"/>
        </w:rPr>
      </w:pPr>
      <w:bookmarkStart w:id="10" w:name="_Toc355636225"/>
      <w:r w:rsidRPr="000A6A74">
        <w:rPr>
          <w:rStyle w:val="Heading3Char"/>
          <w:rFonts w:asciiTheme="minorHAnsi" w:hAnsiTheme="minorHAnsi"/>
          <w:sz w:val="20"/>
          <w:szCs w:val="20"/>
        </w:rPr>
        <w:t>Overall progress</w:t>
      </w:r>
      <w:bookmarkEnd w:id="10"/>
      <w:r w:rsidRPr="000A6A74">
        <w:rPr>
          <w:sz w:val="20"/>
          <w:szCs w:val="20"/>
        </w:rPr>
        <w:t xml:space="preserve">: </w:t>
      </w:r>
      <w:r w:rsidRPr="000A6A74">
        <w:rPr>
          <w:color w:val="000000" w:themeColor="text1"/>
          <w:sz w:val="20"/>
          <w:szCs w:val="20"/>
        </w:rPr>
        <w:t xml:space="preserve">Describe the progress made </w:t>
      </w:r>
      <w:r w:rsidRPr="000A6A74">
        <w:rPr>
          <w:color w:val="000000" w:themeColor="text1"/>
          <w:sz w:val="20"/>
          <w:szCs w:val="20"/>
          <w:shd w:val="clear" w:color="auto" w:fill="FFFFFF" w:themeFill="background1"/>
        </w:rPr>
        <w:t>during the reporting period</w:t>
      </w:r>
      <w:r w:rsidRPr="000A6A74">
        <w:rPr>
          <w:color w:val="000000" w:themeColor="text1"/>
          <w:sz w:val="20"/>
          <w:szCs w:val="20"/>
        </w:rPr>
        <w:t xml:space="preserve"> to achieve the outcome.</w:t>
      </w:r>
      <w:r w:rsidRPr="000A6A74">
        <w:rPr>
          <w:sz w:val="20"/>
          <w:szCs w:val="20"/>
        </w:rPr>
        <w:t xml:space="preserve"> </w:t>
      </w:r>
    </w:p>
    <w:p w14:paraId="0B89357E" w14:textId="77777777" w:rsidR="002560AF" w:rsidRPr="000A6A74" w:rsidRDefault="002560AF" w:rsidP="002560AF">
      <w:pPr>
        <w:pStyle w:val="ListParagraph"/>
        <w:numPr>
          <w:ilvl w:val="0"/>
          <w:numId w:val="25"/>
        </w:numPr>
        <w:spacing w:after="0" w:line="240" w:lineRule="auto"/>
        <w:rPr>
          <w:sz w:val="20"/>
          <w:szCs w:val="20"/>
        </w:rPr>
      </w:pPr>
      <w:r w:rsidRPr="000A6A74">
        <w:rPr>
          <w:sz w:val="20"/>
          <w:szCs w:val="20"/>
        </w:rPr>
        <w:t>If the project has not achieved any result at the outcome level, please describe the progress made thus far, including unexpected any results that have contributed to achieving (or hindering) the outcome. (</w:t>
      </w:r>
      <w:r w:rsidRPr="000A6A74">
        <w:rPr>
          <w:color w:val="FF0000"/>
          <w:sz w:val="20"/>
          <w:szCs w:val="20"/>
        </w:rPr>
        <w:t>Maximum 250 words per outcome</w:t>
      </w:r>
      <w:r w:rsidRPr="000A6A74">
        <w:rPr>
          <w:sz w:val="20"/>
          <w:szCs w:val="20"/>
        </w:rPr>
        <w:t xml:space="preserve">) </w:t>
      </w:r>
    </w:p>
    <w:p w14:paraId="29D5D9B3" w14:textId="77777777" w:rsidR="002560AF" w:rsidRPr="000A6A74" w:rsidRDefault="002560AF" w:rsidP="002560AF">
      <w:pPr>
        <w:spacing w:after="0" w:line="240" w:lineRule="auto"/>
        <w:rPr>
          <w:sz w:val="20"/>
          <w:szCs w:val="20"/>
        </w:rPr>
      </w:pPr>
    </w:p>
    <w:tbl>
      <w:tblPr>
        <w:tblStyle w:val="TableGrid"/>
        <w:tblW w:w="0" w:type="auto"/>
        <w:tblLook w:val="04A0" w:firstRow="1" w:lastRow="0" w:firstColumn="1" w:lastColumn="0" w:noHBand="0" w:noVBand="1"/>
      </w:tblPr>
      <w:tblGrid>
        <w:gridCol w:w="2088"/>
        <w:gridCol w:w="11857"/>
      </w:tblGrid>
      <w:tr w:rsidR="005B2ED6" w:rsidRPr="000A6A74" w14:paraId="6532D42D" w14:textId="77777777" w:rsidTr="009C6909">
        <w:tc>
          <w:tcPr>
            <w:tcW w:w="2088" w:type="dxa"/>
            <w:shd w:val="clear" w:color="auto" w:fill="F2DBDB" w:themeFill="accent2" w:themeFillTint="33"/>
          </w:tcPr>
          <w:p w14:paraId="0C0D60FA" w14:textId="77777777" w:rsidR="005B2ED6" w:rsidRPr="000A6A74" w:rsidRDefault="005B2ED6" w:rsidP="0010745F">
            <w:pPr>
              <w:rPr>
                <w:b/>
                <w:sz w:val="20"/>
                <w:szCs w:val="20"/>
              </w:rPr>
            </w:pPr>
            <w:r w:rsidRPr="000A6A74">
              <w:rPr>
                <w:b/>
                <w:sz w:val="20"/>
                <w:szCs w:val="20"/>
              </w:rPr>
              <w:t>Outcome 1</w:t>
            </w:r>
          </w:p>
        </w:tc>
        <w:tc>
          <w:tcPr>
            <w:tcW w:w="11857" w:type="dxa"/>
            <w:shd w:val="clear" w:color="auto" w:fill="F2DBDB" w:themeFill="accent2" w:themeFillTint="33"/>
          </w:tcPr>
          <w:p w14:paraId="784E0C17" w14:textId="77777777" w:rsidR="005B2ED6" w:rsidRPr="007B47C9" w:rsidRDefault="00193AE4" w:rsidP="007B47C9">
            <w:pPr>
              <w:autoSpaceDE w:val="0"/>
              <w:autoSpaceDN w:val="0"/>
              <w:adjustRightInd w:val="0"/>
              <w:rPr>
                <w:color w:val="FF0000"/>
                <w:sz w:val="20"/>
                <w:szCs w:val="20"/>
              </w:rPr>
            </w:pPr>
            <w:r w:rsidRPr="00193AE4">
              <w:rPr>
                <w:rFonts w:cs="CalibriRegular"/>
                <w:b/>
                <w:sz w:val="20"/>
                <w:szCs w:val="20"/>
              </w:rPr>
              <w:t>National policy frameworks on EVAWG have been strengthened and implemented to support a comprehensive, multi-sectoral response strategy</w:t>
            </w:r>
          </w:p>
        </w:tc>
      </w:tr>
      <w:tr w:rsidR="00406D64" w:rsidRPr="000A6A74" w14:paraId="547F7C1D" w14:textId="77777777" w:rsidTr="009C6909">
        <w:tc>
          <w:tcPr>
            <w:tcW w:w="2088" w:type="dxa"/>
            <w:shd w:val="clear" w:color="auto" w:fill="F2DBDB" w:themeFill="accent2" w:themeFillTint="33"/>
          </w:tcPr>
          <w:p w14:paraId="6A02AC12" w14:textId="77777777" w:rsidR="00406D64" w:rsidRPr="000A6A74" w:rsidRDefault="00406D64" w:rsidP="002D72A8">
            <w:pPr>
              <w:rPr>
                <w:sz w:val="20"/>
                <w:szCs w:val="20"/>
              </w:rPr>
            </w:pPr>
            <w:r w:rsidRPr="000A6A74">
              <w:rPr>
                <w:sz w:val="20"/>
                <w:szCs w:val="20"/>
              </w:rPr>
              <w:t xml:space="preserve">Reporting period: </w:t>
            </w:r>
          </w:p>
          <w:p w14:paraId="039013B2" w14:textId="360711F6" w:rsidR="00406D64" w:rsidRPr="000A6A74" w:rsidRDefault="008168BC" w:rsidP="008168BC">
            <w:pPr>
              <w:rPr>
                <w:color w:val="000000" w:themeColor="text1"/>
                <w:sz w:val="20"/>
                <w:szCs w:val="20"/>
              </w:rPr>
            </w:pPr>
            <w:r>
              <w:rPr>
                <w:sz w:val="20"/>
                <w:szCs w:val="20"/>
              </w:rPr>
              <w:t>Y</w:t>
            </w:r>
            <w:r w:rsidR="00776925">
              <w:rPr>
                <w:sz w:val="20"/>
                <w:szCs w:val="20"/>
              </w:rPr>
              <w:t>3</w:t>
            </w:r>
            <w:r>
              <w:rPr>
                <w:sz w:val="20"/>
                <w:szCs w:val="20"/>
              </w:rPr>
              <w:t xml:space="preserve"> </w:t>
            </w:r>
            <w:r w:rsidR="007D24AE">
              <w:rPr>
                <w:sz w:val="20"/>
                <w:szCs w:val="20"/>
              </w:rPr>
              <w:t xml:space="preserve">Annual </w:t>
            </w:r>
            <w:r>
              <w:rPr>
                <w:sz w:val="20"/>
                <w:szCs w:val="20"/>
              </w:rPr>
              <w:t>Progress Report</w:t>
            </w:r>
            <w:r w:rsidR="00406D64" w:rsidRPr="000A6A74">
              <w:rPr>
                <w:sz w:val="20"/>
                <w:szCs w:val="20"/>
              </w:rPr>
              <w:t xml:space="preserve">  </w:t>
            </w:r>
          </w:p>
        </w:tc>
        <w:tc>
          <w:tcPr>
            <w:tcW w:w="11857" w:type="dxa"/>
            <w:shd w:val="clear" w:color="auto" w:fill="FFFFFF" w:themeFill="background1"/>
          </w:tcPr>
          <w:p w14:paraId="0FCC51A9" w14:textId="77777777" w:rsidR="00D349B2" w:rsidRPr="009378F2" w:rsidRDefault="00D349B2" w:rsidP="00D349B2">
            <w:pPr>
              <w:autoSpaceDE w:val="0"/>
              <w:autoSpaceDN w:val="0"/>
              <w:adjustRightInd w:val="0"/>
              <w:jc w:val="both"/>
              <w:rPr>
                <w:rFonts w:cstheme="minorHAnsi"/>
                <w:sz w:val="20"/>
                <w:szCs w:val="20"/>
              </w:rPr>
            </w:pPr>
            <w:r w:rsidRPr="009378F2">
              <w:rPr>
                <w:rFonts w:cstheme="minorHAnsi"/>
                <w:sz w:val="20"/>
                <w:szCs w:val="20"/>
              </w:rPr>
              <w:t xml:space="preserve">Outcome 1 was focused on strengthening and implementing national policy frameworks on EVAWG to support a comprehensive multi-sectoral response strategy to VAWG.  Over the three-year project period, the UN-SIG JP on EVAWG was unable to document the proportion of agreed upon actions in the policy framework for EVAWG that were implemented by relevant government agencies by stage of implementation. </w:t>
            </w:r>
          </w:p>
          <w:p w14:paraId="2C658B40" w14:textId="77777777" w:rsidR="00D349B2" w:rsidRPr="009378F2" w:rsidRDefault="00D349B2" w:rsidP="00D349B2">
            <w:pPr>
              <w:autoSpaceDE w:val="0"/>
              <w:autoSpaceDN w:val="0"/>
              <w:adjustRightInd w:val="0"/>
              <w:jc w:val="both"/>
              <w:rPr>
                <w:rFonts w:cstheme="minorHAnsi"/>
                <w:sz w:val="20"/>
                <w:szCs w:val="20"/>
              </w:rPr>
            </w:pPr>
          </w:p>
          <w:p w14:paraId="4E9BDB55" w14:textId="77777777" w:rsidR="00D349B2" w:rsidRPr="009378F2" w:rsidRDefault="00D349B2" w:rsidP="00D349B2">
            <w:pPr>
              <w:autoSpaceDE w:val="0"/>
              <w:autoSpaceDN w:val="0"/>
              <w:adjustRightInd w:val="0"/>
              <w:jc w:val="both"/>
              <w:rPr>
                <w:rFonts w:cstheme="minorHAnsi"/>
                <w:sz w:val="20"/>
                <w:szCs w:val="20"/>
              </w:rPr>
            </w:pPr>
            <w:r w:rsidRPr="009378F2">
              <w:rPr>
                <w:rFonts w:cstheme="minorHAnsi"/>
                <w:sz w:val="20"/>
                <w:szCs w:val="20"/>
              </w:rPr>
              <w:t>Nevertheless, respondents reported on average a 3.7 on a 10-point scale of effectiveness when it came to implementing EVAWG policies in 2014. In other words, key stakeholders maintained EVAWG policies were not being effectively implemented in 2014. In comparison, respondents reported on average a 7.2 on a 10-point scale of effectiveness when it came to implementing EVAWG policies in 2017. This is a 3.5-point increase from 2014 to 2017, which is a significant change. This finding demonstrates that in 2017, key stakeholders perceived that EVAW policies, including the FPA, were being effectively implemented and many respondents attributed the increase in effectiveness to work carried out under the guise of the UN-SIG JP on EVAWG.</w:t>
            </w:r>
          </w:p>
          <w:p w14:paraId="4C3A37DA" w14:textId="77777777" w:rsidR="00D349B2" w:rsidRPr="009378F2" w:rsidRDefault="00D349B2" w:rsidP="00D349B2">
            <w:pPr>
              <w:autoSpaceDE w:val="0"/>
              <w:autoSpaceDN w:val="0"/>
              <w:adjustRightInd w:val="0"/>
              <w:jc w:val="both"/>
              <w:rPr>
                <w:rFonts w:cstheme="minorHAnsi"/>
                <w:sz w:val="20"/>
                <w:szCs w:val="20"/>
              </w:rPr>
            </w:pPr>
          </w:p>
          <w:p w14:paraId="707D7637" w14:textId="77777777" w:rsidR="00D349B2" w:rsidRPr="009378F2" w:rsidRDefault="00D349B2" w:rsidP="00D349B2">
            <w:pPr>
              <w:autoSpaceDE w:val="0"/>
              <w:autoSpaceDN w:val="0"/>
              <w:adjustRightInd w:val="0"/>
              <w:jc w:val="both"/>
              <w:rPr>
                <w:sz w:val="20"/>
                <w:szCs w:val="20"/>
              </w:rPr>
            </w:pPr>
            <w:r w:rsidRPr="009378F2">
              <w:rPr>
                <w:sz w:val="20"/>
                <w:szCs w:val="20"/>
              </w:rPr>
              <w:t xml:space="preserve">Key stakeholders also recognized the SAFENET Referral Network (established to strengthen the national multi-sector response to VAWG) has played an important role in coordination and referrals, and has helped to improve the ability of the SIG and CSOs to work together to address </w:t>
            </w:r>
            <w:r w:rsidRPr="009378F2">
              <w:rPr>
                <w:sz w:val="20"/>
                <w:szCs w:val="20"/>
              </w:rPr>
              <w:lastRenderedPageBreak/>
              <w:t>VAWG and to protect and support VAWG survivors. The SAFENET Referral Network has been critical to strengthening the national multi-sectoral response to VAWG, including improving coordination, case management, and referrals. Yet, SAFENET members repeated the need for more capacity building on coordination and case management, and to understand multi-sectoral responses to VAWG.  SAFENET members also reported more teamwork was needed among SAFENET members, including more regular meetings (monthly versus quarterly meetings) and</w:t>
            </w:r>
            <w:r w:rsidRPr="009378F2">
              <w:rPr>
                <w:noProof/>
                <w:sz w:val="20"/>
                <w:szCs w:val="20"/>
              </w:rPr>
              <w:t xml:space="preserve"> </w:t>
            </w:r>
            <w:r w:rsidRPr="009378F2">
              <w:rPr>
                <w:sz w:val="20"/>
                <w:szCs w:val="20"/>
              </w:rPr>
              <w:t>stronger leadership from the SAFENET Coordinator.</w:t>
            </w:r>
          </w:p>
          <w:p w14:paraId="182D1BE3" w14:textId="77777777" w:rsidR="00D349B2" w:rsidRPr="009378F2" w:rsidRDefault="00D349B2" w:rsidP="00D349B2">
            <w:pPr>
              <w:autoSpaceDE w:val="0"/>
              <w:autoSpaceDN w:val="0"/>
              <w:adjustRightInd w:val="0"/>
              <w:jc w:val="both"/>
              <w:rPr>
                <w:rFonts w:cstheme="minorHAnsi"/>
                <w:sz w:val="20"/>
                <w:szCs w:val="20"/>
              </w:rPr>
            </w:pPr>
          </w:p>
          <w:p w14:paraId="29023387" w14:textId="3AA9A713" w:rsidR="00406D64" w:rsidRPr="000A6A74" w:rsidRDefault="00F138FE" w:rsidP="0010745F">
            <w:pPr>
              <w:rPr>
                <w:color w:val="000000" w:themeColor="text1"/>
                <w:sz w:val="20"/>
                <w:szCs w:val="20"/>
              </w:rPr>
            </w:pPr>
            <w:r>
              <w:rPr>
                <w:rFonts w:cstheme="minorHAnsi"/>
                <w:sz w:val="20"/>
                <w:szCs w:val="20"/>
              </w:rPr>
              <w:t xml:space="preserve">The </w:t>
            </w:r>
            <w:r w:rsidR="00D349B2" w:rsidRPr="009378F2">
              <w:rPr>
                <w:rFonts w:cstheme="minorHAnsi"/>
                <w:sz w:val="20"/>
                <w:szCs w:val="20"/>
              </w:rPr>
              <w:t>UN-SIG JP on EVAWG supported discussions and an agreement to develop case management services for the SAFENET Referral Network, along with a formalized referral system. Th</w:t>
            </w:r>
            <w:r w:rsidR="00D349B2" w:rsidRPr="009378F2">
              <w:rPr>
                <w:sz w:val="20"/>
                <w:szCs w:val="20"/>
              </w:rPr>
              <w:t>ere were discussions among key stakeholders that the SAFENET MOU should be revised to include other organizations working on VAWG and engaged in providing VAWG support services.</w:t>
            </w:r>
          </w:p>
        </w:tc>
      </w:tr>
    </w:tbl>
    <w:p w14:paraId="39C9359C" w14:textId="77777777" w:rsidR="002560AF" w:rsidRPr="000A6A74" w:rsidRDefault="002E473D" w:rsidP="002560AF">
      <w:pPr>
        <w:pStyle w:val="Heading3"/>
        <w:rPr>
          <w:rFonts w:asciiTheme="minorHAnsi" w:hAnsiTheme="minorHAnsi"/>
          <w:sz w:val="20"/>
          <w:szCs w:val="20"/>
        </w:rPr>
      </w:pPr>
      <w:bookmarkStart w:id="11" w:name="_Toc355636226"/>
      <w:r w:rsidRPr="000A6A74">
        <w:rPr>
          <w:rFonts w:asciiTheme="minorHAnsi" w:hAnsiTheme="minorHAnsi"/>
          <w:sz w:val="20"/>
          <w:szCs w:val="20"/>
        </w:rPr>
        <w:lastRenderedPageBreak/>
        <w:t xml:space="preserve">Outcome </w:t>
      </w:r>
      <w:r w:rsidR="002560AF" w:rsidRPr="000A6A74">
        <w:rPr>
          <w:rFonts w:asciiTheme="minorHAnsi" w:hAnsiTheme="minorHAnsi"/>
          <w:sz w:val="20"/>
          <w:szCs w:val="20"/>
        </w:rPr>
        <w:t>indicators</w:t>
      </w:r>
      <w:bookmarkEnd w:id="11"/>
    </w:p>
    <w:p w14:paraId="771A69AD" w14:textId="77777777" w:rsidR="002560AF" w:rsidRPr="000A6A74" w:rsidRDefault="002560AF" w:rsidP="002560AF">
      <w:pPr>
        <w:spacing w:after="120" w:line="240" w:lineRule="auto"/>
        <w:rPr>
          <w:color w:val="000000" w:themeColor="text1"/>
          <w:sz w:val="20"/>
          <w:szCs w:val="20"/>
        </w:rPr>
      </w:pPr>
      <w:r w:rsidRPr="000A6A74">
        <w:rPr>
          <w:color w:val="000000" w:themeColor="text1"/>
          <w:sz w:val="20"/>
          <w:szCs w:val="20"/>
        </w:rPr>
        <w:t>Please provide the actual data against eac</w:t>
      </w:r>
      <w:r w:rsidR="007B47C9">
        <w:rPr>
          <w:color w:val="000000" w:themeColor="text1"/>
          <w:sz w:val="20"/>
          <w:szCs w:val="20"/>
        </w:rPr>
        <w:t>h outcome indicator</w:t>
      </w:r>
      <w:r w:rsidRPr="000A6A74">
        <w:rPr>
          <w:color w:val="000000" w:themeColor="text1"/>
          <w:sz w:val="20"/>
          <w:szCs w:val="20"/>
        </w:rPr>
        <w:t xml:space="preserve"> (</w:t>
      </w:r>
      <w:r w:rsidRPr="000A6A74">
        <w:rPr>
          <w:color w:val="FF0000"/>
          <w:sz w:val="20"/>
          <w:szCs w:val="20"/>
        </w:rPr>
        <w:t>maximum 50 words</w:t>
      </w:r>
      <w:r w:rsidR="004C64F8" w:rsidRPr="000A6A74">
        <w:rPr>
          <w:color w:val="FF0000"/>
          <w:sz w:val="20"/>
          <w:szCs w:val="20"/>
        </w:rPr>
        <w:t xml:space="preserve"> per cell</w:t>
      </w:r>
      <w:r w:rsidRPr="000A6A74">
        <w:rPr>
          <w:color w:val="000000" w:themeColor="text1"/>
          <w:sz w:val="20"/>
          <w:szCs w:val="20"/>
        </w:rPr>
        <w:t>)</w:t>
      </w:r>
    </w:p>
    <w:tbl>
      <w:tblPr>
        <w:tblStyle w:val="TableGrid"/>
        <w:tblW w:w="5000" w:type="pct"/>
        <w:tblLook w:val="04A0" w:firstRow="1" w:lastRow="0" w:firstColumn="1" w:lastColumn="0" w:noHBand="0" w:noVBand="1"/>
      </w:tblPr>
      <w:tblGrid>
        <w:gridCol w:w="7049"/>
        <w:gridCol w:w="6899"/>
      </w:tblGrid>
      <w:tr w:rsidR="002560AF" w:rsidRPr="000A6A74" w14:paraId="3A366CE7" w14:textId="77777777" w:rsidTr="00C53685">
        <w:tc>
          <w:tcPr>
            <w:tcW w:w="2527" w:type="pct"/>
            <w:shd w:val="clear" w:color="auto" w:fill="F2DBDB" w:themeFill="accent2" w:themeFillTint="33"/>
          </w:tcPr>
          <w:p w14:paraId="4B55010A" w14:textId="77777777" w:rsidR="002560AF" w:rsidRPr="000A6A74" w:rsidRDefault="002560AF" w:rsidP="00D02DE8">
            <w:pPr>
              <w:rPr>
                <w:b/>
                <w:sz w:val="20"/>
                <w:szCs w:val="20"/>
              </w:rPr>
            </w:pPr>
          </w:p>
        </w:tc>
        <w:tc>
          <w:tcPr>
            <w:tcW w:w="2473" w:type="pct"/>
            <w:shd w:val="clear" w:color="auto" w:fill="F2DBDB" w:themeFill="accent2" w:themeFillTint="33"/>
          </w:tcPr>
          <w:p w14:paraId="1715CBC1" w14:textId="77777777" w:rsidR="002560AF" w:rsidRPr="000A6A74" w:rsidRDefault="002560AF" w:rsidP="00D02DE8">
            <w:pPr>
              <w:jc w:val="center"/>
              <w:rPr>
                <w:b/>
                <w:sz w:val="20"/>
                <w:szCs w:val="20"/>
              </w:rPr>
            </w:pPr>
            <w:r w:rsidRPr="000A6A74">
              <w:rPr>
                <w:b/>
                <w:sz w:val="20"/>
                <w:szCs w:val="20"/>
              </w:rPr>
              <w:t xml:space="preserve">Actual data on each indicator </w:t>
            </w:r>
          </w:p>
        </w:tc>
      </w:tr>
      <w:tr w:rsidR="007B47C9" w:rsidRPr="000A6A74" w14:paraId="3F26F887" w14:textId="77777777" w:rsidTr="00C53685">
        <w:tc>
          <w:tcPr>
            <w:tcW w:w="2527" w:type="pct"/>
            <w:shd w:val="clear" w:color="auto" w:fill="F2DBDB" w:themeFill="accent2" w:themeFillTint="33"/>
          </w:tcPr>
          <w:p w14:paraId="54FC9FD3" w14:textId="77777777" w:rsidR="007B47C9" w:rsidRPr="000A6A74" w:rsidRDefault="007B47C9" w:rsidP="00D02DE8">
            <w:pPr>
              <w:rPr>
                <w:b/>
                <w:sz w:val="20"/>
                <w:szCs w:val="20"/>
              </w:rPr>
            </w:pPr>
            <w:r w:rsidRPr="000A6A74">
              <w:rPr>
                <w:b/>
                <w:sz w:val="20"/>
                <w:szCs w:val="20"/>
              </w:rPr>
              <w:t>Indicators for Outcome 1</w:t>
            </w:r>
          </w:p>
        </w:tc>
        <w:tc>
          <w:tcPr>
            <w:tcW w:w="2473" w:type="pct"/>
            <w:shd w:val="clear" w:color="auto" w:fill="F2DBDB" w:themeFill="accent2" w:themeFillTint="33"/>
          </w:tcPr>
          <w:p w14:paraId="7A8C4D8C" w14:textId="158EB58E" w:rsidR="007B47C9" w:rsidRDefault="007B47C9" w:rsidP="00D4679C">
            <w:pPr>
              <w:rPr>
                <w:b/>
                <w:sz w:val="20"/>
                <w:szCs w:val="20"/>
              </w:rPr>
            </w:pPr>
            <w:r w:rsidRPr="000A6A74">
              <w:rPr>
                <w:b/>
                <w:sz w:val="20"/>
                <w:szCs w:val="20"/>
              </w:rPr>
              <w:t>End of Implementation</w:t>
            </w:r>
            <w:r w:rsidR="00303D29">
              <w:rPr>
                <w:b/>
                <w:sz w:val="20"/>
                <w:szCs w:val="20"/>
              </w:rPr>
              <w:t>:</w:t>
            </w:r>
            <w:r w:rsidRPr="000A6A74">
              <w:rPr>
                <w:b/>
                <w:sz w:val="20"/>
                <w:szCs w:val="20"/>
              </w:rPr>
              <w:t xml:space="preserve"> </w:t>
            </w:r>
            <w:r w:rsidR="00203B28">
              <w:rPr>
                <w:b/>
                <w:sz w:val="20"/>
                <w:szCs w:val="20"/>
              </w:rPr>
              <w:t>Y</w:t>
            </w:r>
            <w:r w:rsidR="00776925">
              <w:rPr>
                <w:b/>
                <w:sz w:val="20"/>
                <w:szCs w:val="20"/>
              </w:rPr>
              <w:t>3</w:t>
            </w:r>
            <w:r w:rsidR="00203B28">
              <w:rPr>
                <w:b/>
                <w:sz w:val="20"/>
                <w:szCs w:val="20"/>
              </w:rPr>
              <w:t xml:space="preserve"> </w:t>
            </w:r>
            <w:r w:rsidR="007D24AE">
              <w:rPr>
                <w:b/>
                <w:sz w:val="20"/>
                <w:szCs w:val="20"/>
              </w:rPr>
              <w:t xml:space="preserve">Annual </w:t>
            </w:r>
            <w:r w:rsidR="00203B28">
              <w:rPr>
                <w:b/>
                <w:sz w:val="20"/>
                <w:szCs w:val="20"/>
              </w:rPr>
              <w:t>Progress Report</w:t>
            </w:r>
          </w:p>
          <w:p w14:paraId="7387E346" w14:textId="66ABD30B" w:rsidR="007B47C9" w:rsidRPr="000A6A74" w:rsidRDefault="007B47C9" w:rsidP="00203B28">
            <w:pPr>
              <w:rPr>
                <w:sz w:val="20"/>
                <w:szCs w:val="20"/>
              </w:rPr>
            </w:pPr>
            <w:r>
              <w:rPr>
                <w:sz w:val="20"/>
                <w:szCs w:val="20"/>
              </w:rPr>
              <w:t xml:space="preserve">(Reporting period: </w:t>
            </w:r>
            <w:r w:rsidR="00203B28">
              <w:rPr>
                <w:sz w:val="20"/>
                <w:szCs w:val="20"/>
              </w:rPr>
              <w:t>January to December 201</w:t>
            </w:r>
            <w:r w:rsidR="00776925">
              <w:rPr>
                <w:sz w:val="20"/>
                <w:szCs w:val="20"/>
              </w:rPr>
              <w:t>7</w:t>
            </w:r>
          </w:p>
        </w:tc>
      </w:tr>
      <w:tr w:rsidR="00776925" w:rsidRPr="000A6A74" w14:paraId="1395D57D" w14:textId="77777777" w:rsidTr="00C53685">
        <w:tc>
          <w:tcPr>
            <w:tcW w:w="2527" w:type="pct"/>
            <w:shd w:val="clear" w:color="auto" w:fill="F2DBDB" w:themeFill="accent2" w:themeFillTint="33"/>
          </w:tcPr>
          <w:p w14:paraId="551935DF" w14:textId="77777777" w:rsidR="00776925" w:rsidRPr="002672C0" w:rsidRDefault="00776925" w:rsidP="00776925">
            <w:pPr>
              <w:autoSpaceDE w:val="0"/>
              <w:autoSpaceDN w:val="0"/>
              <w:adjustRightInd w:val="0"/>
              <w:rPr>
                <w:sz w:val="20"/>
                <w:szCs w:val="20"/>
              </w:rPr>
            </w:pPr>
            <w:r w:rsidRPr="007B47C9">
              <w:rPr>
                <w:b/>
                <w:sz w:val="20"/>
                <w:szCs w:val="20"/>
              </w:rPr>
              <w:t>Indicator 1:</w:t>
            </w:r>
            <w:r w:rsidRPr="007B47C9">
              <w:rPr>
                <w:sz w:val="20"/>
                <w:szCs w:val="20"/>
              </w:rPr>
              <w:t xml:space="preserve"> </w:t>
            </w:r>
            <w:r w:rsidRPr="002672C0">
              <w:rPr>
                <w:rFonts w:cs="CalibriRegular"/>
                <w:color w:val="1C1C1C"/>
                <w:sz w:val="20"/>
                <w:szCs w:val="20"/>
              </w:rPr>
              <w:t>Proportion of agreed actions in the (a) policy framework for EVAW/G that have been</w:t>
            </w:r>
            <w:r>
              <w:rPr>
                <w:rFonts w:cs="CalibriRegular"/>
                <w:color w:val="1C1C1C"/>
                <w:sz w:val="20"/>
                <w:szCs w:val="20"/>
              </w:rPr>
              <w:t xml:space="preserve"> </w:t>
            </w:r>
            <w:r w:rsidRPr="002672C0">
              <w:rPr>
                <w:rFonts w:cs="CalibriRegular"/>
                <w:color w:val="1C1C1C"/>
                <w:sz w:val="20"/>
                <w:szCs w:val="20"/>
              </w:rPr>
              <w:t>implemented by relevant government agencies, by stage of implementation</w:t>
            </w:r>
          </w:p>
        </w:tc>
        <w:tc>
          <w:tcPr>
            <w:tcW w:w="2473" w:type="pct"/>
            <w:shd w:val="clear" w:color="auto" w:fill="FFFFFF" w:themeFill="background1"/>
          </w:tcPr>
          <w:p w14:paraId="5AE7A2D8" w14:textId="06C1297E" w:rsidR="00776925" w:rsidRDefault="00776925" w:rsidP="00776925">
            <w:pPr>
              <w:autoSpaceDE w:val="0"/>
              <w:autoSpaceDN w:val="0"/>
              <w:adjustRightInd w:val="0"/>
              <w:rPr>
                <w:sz w:val="20"/>
                <w:szCs w:val="20"/>
              </w:rPr>
            </w:pPr>
            <w:r w:rsidRPr="00725049">
              <w:rPr>
                <w:sz w:val="20"/>
                <w:szCs w:val="20"/>
              </w:rPr>
              <w:t xml:space="preserve">MWYCFA reported significant challenges obtaining quarterly information from relevant ministries about their annual work plans, and planned and achieved activities to implement the EVAW Policy and NAP, and to support implementation of the FPA.  </w:t>
            </w:r>
          </w:p>
          <w:p w14:paraId="3B616F89" w14:textId="77777777" w:rsidR="00776925" w:rsidRPr="00725049" w:rsidRDefault="00776925" w:rsidP="00725049">
            <w:pPr>
              <w:autoSpaceDE w:val="0"/>
              <w:autoSpaceDN w:val="0"/>
              <w:adjustRightInd w:val="0"/>
              <w:rPr>
                <w:rFonts w:cs="CalibriRegular"/>
                <w:color w:val="1C1C1C"/>
                <w:sz w:val="20"/>
                <w:szCs w:val="20"/>
              </w:rPr>
            </w:pPr>
          </w:p>
          <w:p w14:paraId="035F0F64" w14:textId="77777777" w:rsidR="00776925" w:rsidRPr="00725049" w:rsidRDefault="00776925" w:rsidP="00725049">
            <w:pPr>
              <w:autoSpaceDE w:val="0"/>
              <w:autoSpaceDN w:val="0"/>
              <w:adjustRightInd w:val="0"/>
              <w:rPr>
                <w:rFonts w:cs="CalibriRegular"/>
                <w:color w:val="1C1C1C"/>
                <w:sz w:val="20"/>
                <w:szCs w:val="20"/>
              </w:rPr>
            </w:pPr>
            <w:r w:rsidRPr="00725049">
              <w:rPr>
                <w:sz w:val="20"/>
                <w:szCs w:val="20"/>
              </w:rPr>
              <w:t xml:space="preserve">Given the challenges the MWYCFA faced gathering information from across the ministries, the UN-SIG JP M&amp;E tools were revised and simplified in cooperation with the MWYCFA to improve self-reporting and M&amp;E engagement by each of the relevant ministries and their departments. </w:t>
            </w:r>
          </w:p>
          <w:p w14:paraId="059D7714" w14:textId="77777777" w:rsidR="00776925" w:rsidRDefault="00776925" w:rsidP="00776925">
            <w:pPr>
              <w:autoSpaceDE w:val="0"/>
              <w:autoSpaceDN w:val="0"/>
              <w:adjustRightInd w:val="0"/>
              <w:rPr>
                <w:sz w:val="20"/>
                <w:szCs w:val="20"/>
              </w:rPr>
            </w:pPr>
          </w:p>
          <w:p w14:paraId="70DE176A" w14:textId="4444271E" w:rsidR="00776925" w:rsidRPr="00725049" w:rsidRDefault="00776925" w:rsidP="00725049">
            <w:pPr>
              <w:autoSpaceDE w:val="0"/>
              <w:autoSpaceDN w:val="0"/>
              <w:adjustRightInd w:val="0"/>
              <w:rPr>
                <w:rFonts w:cs="CalibriRegular"/>
                <w:color w:val="1C1C1C"/>
                <w:sz w:val="20"/>
                <w:szCs w:val="20"/>
              </w:rPr>
            </w:pPr>
            <w:r w:rsidRPr="00725049">
              <w:rPr>
                <w:sz w:val="20"/>
                <w:szCs w:val="20"/>
              </w:rPr>
              <w:t>Because of ongoing gaps in ministries’ staffing and understanding of the M&amp;E process, the quarterly self-reporting remained a challenge throughout the project.</w:t>
            </w:r>
          </w:p>
          <w:p w14:paraId="0EE36DC0" w14:textId="77777777" w:rsidR="00776925" w:rsidRDefault="00776925" w:rsidP="00776925">
            <w:pPr>
              <w:rPr>
                <w:sz w:val="20"/>
                <w:szCs w:val="20"/>
              </w:rPr>
            </w:pPr>
          </w:p>
          <w:p w14:paraId="4CC74459" w14:textId="520B90C8" w:rsidR="00776925" w:rsidRPr="000A6A74" w:rsidRDefault="00776925" w:rsidP="00776925">
            <w:pPr>
              <w:rPr>
                <w:sz w:val="20"/>
                <w:szCs w:val="20"/>
              </w:rPr>
            </w:pPr>
            <w:r>
              <w:rPr>
                <w:sz w:val="20"/>
                <w:szCs w:val="20"/>
              </w:rPr>
              <w:t>In Q3 and Q4 of 2016 and Q1 and Q2 of 2017, UN Women provided the MWYCFA with technical assistance to revise the EVAW Policy and NAP, and build the capacities of the MWYCFA to monitor the implementation of the EVAW Policy and NAP, and the FPA.</w:t>
            </w:r>
          </w:p>
        </w:tc>
      </w:tr>
      <w:tr w:rsidR="00776925" w:rsidRPr="000A6A74" w14:paraId="6C33A8CA" w14:textId="77777777" w:rsidTr="00C53685">
        <w:trPr>
          <w:trHeight w:val="1119"/>
        </w:trPr>
        <w:tc>
          <w:tcPr>
            <w:tcW w:w="2527" w:type="pct"/>
            <w:shd w:val="clear" w:color="auto" w:fill="F2DBDB" w:themeFill="accent2" w:themeFillTint="33"/>
          </w:tcPr>
          <w:p w14:paraId="762BD700" w14:textId="77777777" w:rsidR="00776925" w:rsidRPr="007B47C9" w:rsidRDefault="00776925" w:rsidP="00776925">
            <w:pPr>
              <w:autoSpaceDE w:val="0"/>
              <w:autoSpaceDN w:val="0"/>
              <w:adjustRightInd w:val="0"/>
              <w:rPr>
                <w:sz w:val="20"/>
                <w:szCs w:val="20"/>
              </w:rPr>
            </w:pPr>
            <w:r w:rsidRPr="007B47C9">
              <w:rPr>
                <w:b/>
                <w:sz w:val="20"/>
                <w:szCs w:val="20"/>
              </w:rPr>
              <w:t>Indicator 2:</w:t>
            </w:r>
            <w:r w:rsidRPr="007B47C9">
              <w:rPr>
                <w:sz w:val="20"/>
                <w:szCs w:val="20"/>
              </w:rPr>
              <w:t xml:space="preserve"> </w:t>
            </w:r>
            <w:r w:rsidRPr="002672C0">
              <w:rPr>
                <w:rFonts w:cs="CalibriRegular"/>
                <w:sz w:val="20"/>
                <w:szCs w:val="20"/>
              </w:rPr>
              <w:t xml:space="preserve">Perspectives of key stakeholders (relevant ministries and leaders of women’s CSO, </w:t>
            </w:r>
            <w:r>
              <w:rPr>
                <w:rFonts w:cs="CalibriRegular"/>
                <w:sz w:val="20"/>
                <w:szCs w:val="20"/>
              </w:rPr>
              <w:t>faith-</w:t>
            </w:r>
            <w:r w:rsidRPr="002672C0">
              <w:rPr>
                <w:rFonts w:cs="CalibriRegular"/>
                <w:sz w:val="20"/>
                <w:szCs w:val="20"/>
              </w:rPr>
              <w:t>based</w:t>
            </w:r>
            <w:r>
              <w:rPr>
                <w:rFonts w:cs="CalibriRegular"/>
                <w:sz w:val="20"/>
                <w:szCs w:val="20"/>
              </w:rPr>
              <w:t xml:space="preserve"> </w:t>
            </w:r>
            <w:r w:rsidRPr="002672C0">
              <w:rPr>
                <w:rFonts w:cs="CalibriRegular"/>
                <w:sz w:val="20"/>
                <w:szCs w:val="20"/>
              </w:rPr>
              <w:t>organizations and service providers) on the strengths and weakness of the national</w:t>
            </w:r>
            <w:r>
              <w:rPr>
                <w:rFonts w:cs="CalibriRegular"/>
                <w:sz w:val="20"/>
                <w:szCs w:val="20"/>
              </w:rPr>
              <w:t xml:space="preserve"> </w:t>
            </w:r>
            <w:r w:rsidRPr="002672C0">
              <w:rPr>
                <w:rFonts w:cs="CalibriRegular"/>
                <w:sz w:val="20"/>
                <w:szCs w:val="20"/>
              </w:rPr>
              <w:t>multi-sectoral response strategy and its implementation</w:t>
            </w:r>
          </w:p>
        </w:tc>
        <w:tc>
          <w:tcPr>
            <w:tcW w:w="2473" w:type="pct"/>
            <w:shd w:val="clear" w:color="auto" w:fill="FFFFFF" w:themeFill="background1"/>
          </w:tcPr>
          <w:p w14:paraId="0270797B" w14:textId="1EE39275" w:rsidR="00776925" w:rsidRDefault="00776925" w:rsidP="00776925">
            <w:pPr>
              <w:rPr>
                <w:sz w:val="20"/>
                <w:szCs w:val="20"/>
              </w:rPr>
            </w:pPr>
            <w:r w:rsidRPr="00725049">
              <w:rPr>
                <w:sz w:val="20"/>
                <w:szCs w:val="20"/>
              </w:rPr>
              <w:t xml:space="preserve">UN Women, UNFPA, and WHO provided technical assistance to support the MWYCFA, MHMS, and SAFENET referral network to strengthen the national multi-sector response to VAWG, including sexual violence against women and girls. This has led to an increased understanding of the referral process and case </w:t>
            </w:r>
            <w:r w:rsidRPr="00725049">
              <w:rPr>
                <w:sz w:val="20"/>
                <w:szCs w:val="20"/>
              </w:rPr>
              <w:lastRenderedPageBreak/>
              <w:t xml:space="preserve">management, and a multi-sector manual for coordinated response to VAWG and clinical guidelines developed for the MHMS for responding to sexual violence against women and girls. </w:t>
            </w:r>
          </w:p>
          <w:p w14:paraId="1B764B61" w14:textId="77777777" w:rsidR="00776925" w:rsidRPr="00725049" w:rsidRDefault="00776925" w:rsidP="00725049">
            <w:pPr>
              <w:rPr>
                <w:sz w:val="20"/>
                <w:szCs w:val="20"/>
              </w:rPr>
            </w:pPr>
          </w:p>
          <w:p w14:paraId="2FF10A33" w14:textId="703DDB74" w:rsidR="00776925" w:rsidRDefault="00776925" w:rsidP="00776925">
            <w:pPr>
              <w:rPr>
                <w:sz w:val="20"/>
                <w:szCs w:val="20"/>
              </w:rPr>
            </w:pPr>
            <w:r w:rsidRPr="00725049">
              <w:rPr>
                <w:sz w:val="20"/>
                <w:szCs w:val="20"/>
              </w:rPr>
              <w:t xml:space="preserve">Key stakeholders, including SAFENET members suggest there is a need for further capacity building and technical assistance to support improved coordination and functioning of the SAFENET referral network, and SAFENET members’ understanding of the FPA and abilities to carry out case management and referrals, and provide a package of essential services. </w:t>
            </w:r>
          </w:p>
          <w:p w14:paraId="1018F2C5" w14:textId="39307164" w:rsidR="00776925" w:rsidRDefault="00776925" w:rsidP="00776925">
            <w:pPr>
              <w:rPr>
                <w:sz w:val="20"/>
                <w:szCs w:val="20"/>
              </w:rPr>
            </w:pPr>
          </w:p>
          <w:p w14:paraId="4D2107F1" w14:textId="77777777" w:rsidR="00776925" w:rsidRPr="00725049" w:rsidRDefault="00776925" w:rsidP="00725049">
            <w:pPr>
              <w:rPr>
                <w:sz w:val="20"/>
                <w:szCs w:val="20"/>
              </w:rPr>
            </w:pPr>
            <w:r w:rsidRPr="00725049">
              <w:rPr>
                <w:sz w:val="20"/>
                <w:szCs w:val="20"/>
              </w:rPr>
              <w:t xml:space="preserve">SAFENET members agreed upon a case management framework and FSC as the service of case management support for the network. UN Women has been providing SAFENET and FSC with technical assistance and capacity building support to carry out and deliver the case management service. </w:t>
            </w:r>
          </w:p>
          <w:p w14:paraId="2D913E08" w14:textId="77777777" w:rsidR="00776925" w:rsidRDefault="00776925" w:rsidP="00776925">
            <w:pPr>
              <w:rPr>
                <w:sz w:val="20"/>
                <w:szCs w:val="20"/>
              </w:rPr>
            </w:pPr>
          </w:p>
          <w:p w14:paraId="073A88FD" w14:textId="0A530270" w:rsidR="00776925" w:rsidRPr="00725049" w:rsidRDefault="00776925" w:rsidP="00725049">
            <w:pPr>
              <w:rPr>
                <w:sz w:val="20"/>
                <w:szCs w:val="20"/>
              </w:rPr>
            </w:pPr>
            <w:r w:rsidRPr="00725049">
              <w:rPr>
                <w:sz w:val="20"/>
                <w:szCs w:val="20"/>
              </w:rPr>
              <w:t>Key stakeholders recognize the importance of a multi-sectoral response to VAWG, however, need ongoing technical assistance and support to establish a functioning system that will be sustained overtime.</w:t>
            </w:r>
          </w:p>
          <w:p w14:paraId="4495F562" w14:textId="77777777" w:rsidR="00776925" w:rsidRDefault="00776925" w:rsidP="00776925">
            <w:pPr>
              <w:spacing w:after="120"/>
              <w:rPr>
                <w:sz w:val="20"/>
                <w:szCs w:val="20"/>
              </w:rPr>
            </w:pPr>
          </w:p>
          <w:p w14:paraId="1C1145CC" w14:textId="77777777" w:rsidR="00776925" w:rsidRDefault="00776925" w:rsidP="00776925">
            <w:pPr>
              <w:rPr>
                <w:sz w:val="20"/>
                <w:szCs w:val="20"/>
              </w:rPr>
            </w:pPr>
            <w:r w:rsidRPr="00725049">
              <w:rPr>
                <w:sz w:val="20"/>
                <w:szCs w:val="20"/>
              </w:rPr>
              <w:t>Some SAFENET members requested regular meetings to improve the SAFENET referral network and coordination.</w:t>
            </w:r>
          </w:p>
          <w:p w14:paraId="58C38477" w14:textId="77777777" w:rsidR="00776925" w:rsidRDefault="00776925" w:rsidP="00776925">
            <w:pPr>
              <w:rPr>
                <w:sz w:val="20"/>
                <w:szCs w:val="20"/>
              </w:rPr>
            </w:pPr>
          </w:p>
          <w:p w14:paraId="0AE41CDB" w14:textId="10D0BFDE" w:rsidR="00776925" w:rsidRPr="000A6A74" w:rsidRDefault="00776925">
            <w:pPr>
              <w:rPr>
                <w:sz w:val="20"/>
                <w:szCs w:val="20"/>
              </w:rPr>
            </w:pPr>
            <w:r>
              <w:rPr>
                <w:sz w:val="20"/>
                <w:szCs w:val="20"/>
              </w:rPr>
              <w:t xml:space="preserve">In 2017, the UN-SIG JP on EVAWG ended and a UN-SIG JP on Essential Services began to support key stakeholders to deliver an Essential Services Package (ESP) to VAWG survivors. This initiative will continue through until 2019. </w:t>
            </w:r>
          </w:p>
        </w:tc>
      </w:tr>
    </w:tbl>
    <w:p w14:paraId="444E54CE" w14:textId="77777777" w:rsidR="00F73137" w:rsidRDefault="00F73137" w:rsidP="002560AF">
      <w:pPr>
        <w:pStyle w:val="Heading3"/>
        <w:rPr>
          <w:rFonts w:asciiTheme="minorHAnsi" w:hAnsiTheme="minorHAnsi"/>
          <w:sz w:val="20"/>
          <w:szCs w:val="20"/>
        </w:rPr>
      </w:pPr>
      <w:bookmarkStart w:id="12" w:name="_Toc355636227"/>
    </w:p>
    <w:p w14:paraId="1AB11571" w14:textId="77777777" w:rsidR="00F73137" w:rsidRDefault="00F73137">
      <w:pPr>
        <w:rPr>
          <w:rFonts w:eastAsiaTheme="majorEastAsia" w:cstheme="majorBidi"/>
          <w:b/>
          <w:bCs/>
          <w:color w:val="4F81BD" w:themeColor="accent1"/>
          <w:sz w:val="20"/>
          <w:szCs w:val="20"/>
        </w:rPr>
      </w:pPr>
      <w:r>
        <w:rPr>
          <w:sz w:val="20"/>
          <w:szCs w:val="20"/>
        </w:rPr>
        <w:br w:type="page"/>
      </w:r>
    </w:p>
    <w:p w14:paraId="14DF462C" w14:textId="0C1848E4" w:rsidR="002560AF" w:rsidRPr="000A6A74" w:rsidRDefault="002560AF" w:rsidP="002560AF">
      <w:pPr>
        <w:pStyle w:val="Heading3"/>
        <w:rPr>
          <w:rFonts w:asciiTheme="minorHAnsi" w:hAnsiTheme="minorHAnsi"/>
          <w:sz w:val="20"/>
          <w:szCs w:val="20"/>
        </w:rPr>
      </w:pPr>
      <w:r w:rsidRPr="000A6A74">
        <w:rPr>
          <w:rFonts w:asciiTheme="minorHAnsi" w:hAnsiTheme="minorHAnsi"/>
          <w:sz w:val="20"/>
          <w:szCs w:val="20"/>
        </w:rPr>
        <w:lastRenderedPageBreak/>
        <w:t>Number of beneficiaries reached at the Outcome</w:t>
      </w:r>
      <w:bookmarkEnd w:id="12"/>
      <w:r w:rsidRPr="000A6A74">
        <w:rPr>
          <w:rFonts w:asciiTheme="minorHAnsi" w:hAnsiTheme="minorHAnsi"/>
          <w:sz w:val="20"/>
          <w:szCs w:val="20"/>
        </w:rPr>
        <w:t xml:space="preserve"> </w:t>
      </w:r>
    </w:p>
    <w:p w14:paraId="5493B1F7" w14:textId="77777777" w:rsidR="002560AF" w:rsidRPr="000A6A74" w:rsidRDefault="002560AF" w:rsidP="002560AF">
      <w:pPr>
        <w:pStyle w:val="ListParagraph"/>
        <w:numPr>
          <w:ilvl w:val="0"/>
          <w:numId w:val="26"/>
        </w:numPr>
        <w:spacing w:after="0" w:line="240" w:lineRule="auto"/>
        <w:rPr>
          <w:sz w:val="20"/>
          <w:szCs w:val="20"/>
        </w:rPr>
      </w:pPr>
      <w:r w:rsidRPr="000A6A74">
        <w:rPr>
          <w:b/>
          <w:color w:val="000000" w:themeColor="text1"/>
          <w:sz w:val="20"/>
          <w:szCs w:val="20"/>
        </w:rPr>
        <w:t>Number of beneficiaries reached (individual and/or institutional levels)</w:t>
      </w:r>
      <w:r w:rsidRPr="000A6A74">
        <w:rPr>
          <w:color w:val="000000" w:themeColor="text1"/>
          <w:sz w:val="20"/>
          <w:szCs w:val="20"/>
        </w:rPr>
        <w:t>: How many beneficiaries experienced any changes in their behaviors and/or actio</w:t>
      </w:r>
      <w:r w:rsidR="007B2D54">
        <w:rPr>
          <w:color w:val="000000" w:themeColor="text1"/>
          <w:sz w:val="20"/>
          <w:szCs w:val="20"/>
        </w:rPr>
        <w:t>ns during the reporting period?</w:t>
      </w:r>
    </w:p>
    <w:p w14:paraId="411F4279" w14:textId="77777777" w:rsidR="002560AF" w:rsidRPr="000A6A74" w:rsidRDefault="002560AF" w:rsidP="002560AF">
      <w:pPr>
        <w:pStyle w:val="ListParagraph"/>
        <w:numPr>
          <w:ilvl w:val="0"/>
          <w:numId w:val="26"/>
        </w:numPr>
        <w:spacing w:after="0" w:line="240" w:lineRule="auto"/>
        <w:rPr>
          <w:sz w:val="20"/>
          <w:szCs w:val="20"/>
        </w:rPr>
      </w:pPr>
      <w:r w:rsidRPr="000A6A74">
        <w:rPr>
          <w:color w:val="000000" w:themeColor="text1"/>
          <w:sz w:val="20"/>
          <w:szCs w:val="20"/>
        </w:rPr>
        <w:t xml:space="preserve">Please provide the number for each beneficiary group.  </w:t>
      </w:r>
    </w:p>
    <w:p w14:paraId="6745EB74" w14:textId="77777777" w:rsidR="002560AF" w:rsidRPr="000A6A74" w:rsidRDefault="002560AF" w:rsidP="002560AF">
      <w:pPr>
        <w:pStyle w:val="ListParagraph"/>
        <w:numPr>
          <w:ilvl w:val="0"/>
          <w:numId w:val="26"/>
        </w:numPr>
        <w:spacing w:after="0" w:line="240" w:lineRule="auto"/>
        <w:rPr>
          <w:sz w:val="20"/>
          <w:szCs w:val="20"/>
        </w:rPr>
      </w:pPr>
      <w:r w:rsidRPr="000A6A74">
        <w:rPr>
          <w:color w:val="000000" w:themeColor="text1"/>
          <w:sz w:val="20"/>
          <w:szCs w:val="20"/>
        </w:rPr>
        <w:t>To avoid double counting from the previous report(s),</w:t>
      </w:r>
      <w:r w:rsidRPr="000A6A74">
        <w:rPr>
          <w:color w:val="000000" w:themeColor="text1"/>
          <w:sz w:val="20"/>
          <w:szCs w:val="20"/>
          <w:u w:val="single"/>
        </w:rPr>
        <w:t xml:space="preserve"> please do not count the beneficiaries who have been already reported in the previous report(s).</w:t>
      </w:r>
      <w:r w:rsidRPr="000A6A74">
        <w:rPr>
          <w:color w:val="000000" w:themeColor="text1"/>
          <w:sz w:val="20"/>
          <w:szCs w:val="20"/>
        </w:rPr>
        <w:t xml:space="preserve"> </w:t>
      </w:r>
    </w:p>
    <w:p w14:paraId="0066B6A2" w14:textId="27CE1C29" w:rsidR="002560AF" w:rsidRDefault="002560AF" w:rsidP="002560AF">
      <w:pPr>
        <w:spacing w:after="120" w:line="240" w:lineRule="auto"/>
        <w:rPr>
          <w:color w:val="000000" w:themeColor="text1"/>
          <w:sz w:val="20"/>
          <w:szCs w:val="20"/>
        </w:rPr>
      </w:pPr>
      <w:r w:rsidRPr="000A6A74">
        <w:rPr>
          <w:color w:val="000000" w:themeColor="text1"/>
          <w:sz w:val="20"/>
          <w:szCs w:val="20"/>
        </w:rPr>
        <w:t xml:space="preserve"> </w:t>
      </w:r>
    </w:p>
    <w:p w14:paraId="291B275D" w14:textId="77777777" w:rsidR="00776925" w:rsidRPr="000A6A74" w:rsidRDefault="00776925" w:rsidP="002560AF">
      <w:pPr>
        <w:spacing w:after="120" w:line="240" w:lineRule="auto"/>
        <w:rPr>
          <w:color w:val="000000" w:themeColor="text1"/>
          <w:sz w:val="20"/>
          <w:szCs w:val="20"/>
        </w:rPr>
      </w:pPr>
    </w:p>
    <w:tbl>
      <w:tblPr>
        <w:tblStyle w:val="TableGrid"/>
        <w:tblW w:w="5000" w:type="pct"/>
        <w:tblLook w:val="04A0" w:firstRow="1" w:lastRow="0" w:firstColumn="1" w:lastColumn="0" w:noHBand="0" w:noVBand="1"/>
      </w:tblPr>
      <w:tblGrid>
        <w:gridCol w:w="8040"/>
        <w:gridCol w:w="3004"/>
        <w:gridCol w:w="2904"/>
      </w:tblGrid>
      <w:tr w:rsidR="00121BC1" w:rsidRPr="000A6A74" w14:paraId="62932C9A" w14:textId="77777777" w:rsidTr="00C53685">
        <w:tc>
          <w:tcPr>
            <w:tcW w:w="5000" w:type="pct"/>
            <w:gridSpan w:val="3"/>
            <w:shd w:val="clear" w:color="auto" w:fill="F2DBDB" w:themeFill="accent2" w:themeFillTint="33"/>
          </w:tcPr>
          <w:p w14:paraId="7F791121" w14:textId="77777777" w:rsidR="00121BC1" w:rsidRPr="000A6A74" w:rsidRDefault="00121BC1" w:rsidP="005B2ED6">
            <w:pPr>
              <w:jc w:val="center"/>
              <w:rPr>
                <w:b/>
                <w:sz w:val="20"/>
                <w:szCs w:val="20"/>
              </w:rPr>
            </w:pPr>
            <w:r w:rsidRPr="000A6A74">
              <w:rPr>
                <w:b/>
                <w:sz w:val="20"/>
                <w:szCs w:val="20"/>
              </w:rPr>
              <w:t xml:space="preserve">Actual number of beneficiaries reached at the outcome level </w:t>
            </w:r>
          </w:p>
        </w:tc>
      </w:tr>
      <w:tr w:rsidR="007B47C9" w:rsidRPr="000A6A74" w14:paraId="72326DCA" w14:textId="77777777" w:rsidTr="00C53685">
        <w:tc>
          <w:tcPr>
            <w:tcW w:w="2882" w:type="pct"/>
            <w:vMerge w:val="restart"/>
            <w:shd w:val="clear" w:color="auto" w:fill="F2DBDB" w:themeFill="accent2" w:themeFillTint="33"/>
          </w:tcPr>
          <w:p w14:paraId="432303B6" w14:textId="77777777" w:rsidR="00C53685" w:rsidRDefault="00C53685" w:rsidP="00BB6B17">
            <w:pPr>
              <w:rPr>
                <w:b/>
                <w:sz w:val="20"/>
                <w:szCs w:val="20"/>
              </w:rPr>
            </w:pPr>
          </w:p>
          <w:p w14:paraId="315228F2" w14:textId="77777777" w:rsidR="00C53685" w:rsidRDefault="00C53685" w:rsidP="00BB6B17">
            <w:pPr>
              <w:rPr>
                <w:b/>
                <w:sz w:val="20"/>
                <w:szCs w:val="20"/>
              </w:rPr>
            </w:pPr>
          </w:p>
          <w:p w14:paraId="37F99EDC" w14:textId="77777777" w:rsidR="007B47C9" w:rsidRPr="000A6A74" w:rsidRDefault="007B47C9" w:rsidP="00BB6B17">
            <w:pPr>
              <w:rPr>
                <w:b/>
                <w:sz w:val="20"/>
                <w:szCs w:val="20"/>
              </w:rPr>
            </w:pPr>
            <w:r w:rsidRPr="000A6A74">
              <w:rPr>
                <w:b/>
                <w:sz w:val="20"/>
                <w:szCs w:val="20"/>
              </w:rPr>
              <w:t xml:space="preserve">Targeted beneficiary groups </w:t>
            </w:r>
            <w:r>
              <w:rPr>
                <w:b/>
                <w:sz w:val="20"/>
                <w:szCs w:val="20"/>
              </w:rPr>
              <w:t>(</w:t>
            </w:r>
            <w:r w:rsidRPr="000A6A74">
              <w:rPr>
                <w:b/>
                <w:sz w:val="20"/>
                <w:szCs w:val="20"/>
              </w:rPr>
              <w:t>Outcome</w:t>
            </w:r>
            <w:r>
              <w:rPr>
                <w:b/>
                <w:sz w:val="20"/>
                <w:szCs w:val="20"/>
              </w:rPr>
              <w:t xml:space="preserve"> level)</w:t>
            </w:r>
            <w:r w:rsidRPr="000A6A74">
              <w:rPr>
                <w:b/>
                <w:sz w:val="20"/>
                <w:szCs w:val="20"/>
              </w:rPr>
              <w:t xml:space="preserve"> </w:t>
            </w:r>
          </w:p>
        </w:tc>
        <w:tc>
          <w:tcPr>
            <w:tcW w:w="2118" w:type="pct"/>
            <w:gridSpan w:val="2"/>
            <w:tcBorders>
              <w:bottom w:val="single" w:sz="4" w:space="0" w:color="auto"/>
            </w:tcBorders>
            <w:shd w:val="clear" w:color="auto" w:fill="F2DBDB" w:themeFill="accent2" w:themeFillTint="33"/>
          </w:tcPr>
          <w:p w14:paraId="7E503AAE" w14:textId="61B0EDBC" w:rsidR="007B47C9" w:rsidRDefault="007B47C9" w:rsidP="00303D29">
            <w:pPr>
              <w:jc w:val="center"/>
              <w:rPr>
                <w:sz w:val="20"/>
                <w:szCs w:val="20"/>
              </w:rPr>
            </w:pPr>
            <w:r w:rsidRPr="000A6A74">
              <w:rPr>
                <w:sz w:val="20"/>
                <w:szCs w:val="20"/>
              </w:rPr>
              <w:t>Reporting period:</w:t>
            </w:r>
            <w:r w:rsidR="00303D29">
              <w:rPr>
                <w:sz w:val="20"/>
                <w:szCs w:val="20"/>
              </w:rPr>
              <w:t xml:space="preserve"> Y</w:t>
            </w:r>
            <w:r w:rsidR="00776925">
              <w:rPr>
                <w:sz w:val="20"/>
                <w:szCs w:val="20"/>
              </w:rPr>
              <w:t>3</w:t>
            </w:r>
            <w:r w:rsidR="00303D29">
              <w:rPr>
                <w:sz w:val="20"/>
                <w:szCs w:val="20"/>
              </w:rPr>
              <w:t xml:space="preserve"> </w:t>
            </w:r>
            <w:r w:rsidR="007D24AE">
              <w:rPr>
                <w:sz w:val="20"/>
                <w:szCs w:val="20"/>
              </w:rPr>
              <w:t xml:space="preserve">Annual </w:t>
            </w:r>
            <w:r w:rsidR="00303D29">
              <w:rPr>
                <w:sz w:val="20"/>
                <w:szCs w:val="20"/>
              </w:rPr>
              <w:t>Progress Report</w:t>
            </w:r>
          </w:p>
          <w:p w14:paraId="66E82077" w14:textId="7FE314B2" w:rsidR="00303D29" w:rsidRPr="000A6A74" w:rsidRDefault="00303D29" w:rsidP="00303D29">
            <w:pPr>
              <w:jc w:val="center"/>
              <w:rPr>
                <w:sz w:val="20"/>
                <w:szCs w:val="20"/>
              </w:rPr>
            </w:pPr>
            <w:r>
              <w:rPr>
                <w:sz w:val="20"/>
                <w:szCs w:val="20"/>
              </w:rPr>
              <w:t>January to December 201</w:t>
            </w:r>
            <w:r w:rsidR="00776925">
              <w:rPr>
                <w:sz w:val="20"/>
                <w:szCs w:val="20"/>
              </w:rPr>
              <w:t>7</w:t>
            </w:r>
          </w:p>
        </w:tc>
      </w:tr>
      <w:tr w:rsidR="007B47C9" w:rsidRPr="000A6A74" w14:paraId="521007AE" w14:textId="77777777" w:rsidTr="00C53685">
        <w:tc>
          <w:tcPr>
            <w:tcW w:w="2882" w:type="pct"/>
            <w:vMerge/>
            <w:shd w:val="clear" w:color="auto" w:fill="F2DBDB" w:themeFill="accent2" w:themeFillTint="33"/>
          </w:tcPr>
          <w:p w14:paraId="13AAC231" w14:textId="77777777" w:rsidR="007B47C9" w:rsidRPr="000A6A74" w:rsidRDefault="007B47C9" w:rsidP="002E473D">
            <w:pPr>
              <w:rPr>
                <w:b/>
                <w:sz w:val="20"/>
                <w:szCs w:val="20"/>
              </w:rPr>
            </w:pPr>
          </w:p>
        </w:tc>
        <w:tc>
          <w:tcPr>
            <w:tcW w:w="1077" w:type="pct"/>
            <w:tcBorders>
              <w:bottom w:val="single" w:sz="4" w:space="0" w:color="auto"/>
            </w:tcBorders>
            <w:shd w:val="clear" w:color="auto" w:fill="F2DBDB" w:themeFill="accent2" w:themeFillTint="33"/>
          </w:tcPr>
          <w:p w14:paraId="18E8832E" w14:textId="77777777" w:rsidR="007B47C9" w:rsidRPr="000A6A74" w:rsidRDefault="007B47C9" w:rsidP="00C53685">
            <w:pPr>
              <w:jc w:val="center"/>
              <w:rPr>
                <w:sz w:val="20"/>
                <w:szCs w:val="20"/>
              </w:rPr>
            </w:pPr>
            <w:r w:rsidRPr="000A6A74">
              <w:rPr>
                <w:sz w:val="20"/>
                <w:szCs w:val="20"/>
              </w:rPr>
              <w:t>Institutional level</w:t>
            </w:r>
          </w:p>
        </w:tc>
        <w:tc>
          <w:tcPr>
            <w:tcW w:w="1041" w:type="pct"/>
            <w:tcBorders>
              <w:bottom w:val="single" w:sz="4" w:space="0" w:color="auto"/>
            </w:tcBorders>
            <w:shd w:val="clear" w:color="auto" w:fill="F2DBDB" w:themeFill="accent2" w:themeFillTint="33"/>
          </w:tcPr>
          <w:p w14:paraId="2AFD4A16" w14:textId="77777777" w:rsidR="007B47C9" w:rsidRPr="000A6A74" w:rsidRDefault="007B47C9" w:rsidP="00C53685">
            <w:pPr>
              <w:jc w:val="center"/>
              <w:rPr>
                <w:sz w:val="20"/>
                <w:szCs w:val="20"/>
              </w:rPr>
            </w:pPr>
            <w:r w:rsidRPr="000A6A74">
              <w:rPr>
                <w:sz w:val="20"/>
                <w:szCs w:val="20"/>
              </w:rPr>
              <w:t>Individual level</w:t>
            </w:r>
          </w:p>
        </w:tc>
      </w:tr>
      <w:tr w:rsidR="007B47C9" w:rsidRPr="000A6A74" w14:paraId="626FB7DA" w14:textId="77777777" w:rsidTr="00C53685">
        <w:trPr>
          <w:trHeight w:val="152"/>
        </w:trPr>
        <w:tc>
          <w:tcPr>
            <w:tcW w:w="2882" w:type="pct"/>
            <w:shd w:val="clear" w:color="auto" w:fill="F2DBDB" w:themeFill="accent2" w:themeFillTint="33"/>
          </w:tcPr>
          <w:p w14:paraId="4C03884F" w14:textId="77777777" w:rsidR="007B47C9" w:rsidRPr="007B47C9" w:rsidRDefault="007B47C9" w:rsidP="00C53685">
            <w:pPr>
              <w:rPr>
                <w:sz w:val="20"/>
                <w:szCs w:val="20"/>
              </w:rPr>
            </w:pPr>
            <w:r w:rsidRPr="007B47C9">
              <w:rPr>
                <w:b/>
                <w:sz w:val="20"/>
                <w:szCs w:val="20"/>
              </w:rPr>
              <w:t>Beneficiary Group 1:</w:t>
            </w:r>
            <w:r w:rsidRPr="007B47C9">
              <w:rPr>
                <w:sz w:val="20"/>
                <w:szCs w:val="20"/>
              </w:rPr>
              <w:t xml:space="preserve"> </w:t>
            </w:r>
            <w:r w:rsidR="002672C0" w:rsidRPr="002672C0">
              <w:rPr>
                <w:rFonts w:cs="CalibriRegular"/>
                <w:color w:val="1C1C1C"/>
                <w:sz w:val="20"/>
                <w:szCs w:val="20"/>
              </w:rPr>
              <w:t>Civil society organizations (including</w:t>
            </w:r>
            <w:r w:rsidR="00C53685">
              <w:rPr>
                <w:rFonts w:cs="CalibriRegular"/>
                <w:color w:val="1C1C1C"/>
                <w:sz w:val="20"/>
                <w:szCs w:val="20"/>
              </w:rPr>
              <w:t xml:space="preserve"> </w:t>
            </w:r>
            <w:r w:rsidR="002672C0" w:rsidRPr="002672C0">
              <w:rPr>
                <w:rFonts w:cs="CalibriRegular"/>
                <w:color w:val="1C1C1C"/>
                <w:sz w:val="20"/>
                <w:szCs w:val="20"/>
              </w:rPr>
              <w:t>NGOs)</w:t>
            </w:r>
          </w:p>
        </w:tc>
        <w:tc>
          <w:tcPr>
            <w:tcW w:w="1077" w:type="pct"/>
            <w:shd w:val="clear" w:color="auto" w:fill="auto"/>
          </w:tcPr>
          <w:p w14:paraId="3E912055" w14:textId="23684298" w:rsidR="007B47C9" w:rsidRPr="000A6A74" w:rsidRDefault="001C03B7" w:rsidP="00C53685">
            <w:pPr>
              <w:jc w:val="center"/>
              <w:rPr>
                <w:sz w:val="20"/>
                <w:szCs w:val="20"/>
              </w:rPr>
            </w:pPr>
            <w:r>
              <w:rPr>
                <w:sz w:val="20"/>
                <w:szCs w:val="20"/>
              </w:rPr>
              <w:t>3 CSOs</w:t>
            </w:r>
          </w:p>
        </w:tc>
        <w:tc>
          <w:tcPr>
            <w:tcW w:w="1041" w:type="pct"/>
            <w:shd w:val="clear" w:color="auto" w:fill="auto"/>
          </w:tcPr>
          <w:p w14:paraId="60922A5A" w14:textId="4A2AE840" w:rsidR="007B47C9" w:rsidRPr="000A6A74" w:rsidRDefault="00776925" w:rsidP="00C53685">
            <w:pPr>
              <w:jc w:val="center"/>
              <w:rPr>
                <w:sz w:val="20"/>
                <w:szCs w:val="20"/>
              </w:rPr>
            </w:pPr>
            <w:r>
              <w:rPr>
                <w:sz w:val="20"/>
                <w:szCs w:val="20"/>
              </w:rPr>
              <w:t>6 individuals</w:t>
            </w:r>
          </w:p>
        </w:tc>
      </w:tr>
      <w:tr w:rsidR="007B47C9" w:rsidRPr="000A6A74" w14:paraId="64117DA8" w14:textId="77777777" w:rsidTr="00C53685">
        <w:tc>
          <w:tcPr>
            <w:tcW w:w="2882" w:type="pct"/>
            <w:shd w:val="clear" w:color="auto" w:fill="F2DBDB" w:themeFill="accent2" w:themeFillTint="33"/>
          </w:tcPr>
          <w:p w14:paraId="72ED1B61" w14:textId="77777777" w:rsidR="007B47C9" w:rsidRPr="007B47C9" w:rsidRDefault="007B47C9" w:rsidP="00C53685">
            <w:pPr>
              <w:autoSpaceDE w:val="0"/>
              <w:autoSpaceDN w:val="0"/>
              <w:adjustRightInd w:val="0"/>
              <w:rPr>
                <w:sz w:val="20"/>
                <w:szCs w:val="20"/>
              </w:rPr>
            </w:pPr>
            <w:r w:rsidRPr="007B47C9">
              <w:rPr>
                <w:b/>
                <w:sz w:val="20"/>
                <w:szCs w:val="20"/>
              </w:rPr>
              <w:t>Beneficiary Group 2:</w:t>
            </w:r>
            <w:r w:rsidRPr="007B47C9">
              <w:rPr>
                <w:sz w:val="20"/>
                <w:szCs w:val="20"/>
              </w:rPr>
              <w:t xml:space="preserve"> </w:t>
            </w:r>
            <w:r w:rsidR="002672C0" w:rsidRPr="002672C0">
              <w:rPr>
                <w:rFonts w:cs="CalibriRegular"/>
                <w:color w:val="1C1C1C"/>
                <w:sz w:val="20"/>
                <w:szCs w:val="20"/>
              </w:rPr>
              <w:t>Government officials (i.e. decision</w:t>
            </w:r>
            <w:r w:rsidR="00C53685">
              <w:rPr>
                <w:rFonts w:cs="CalibriRegular"/>
                <w:color w:val="1C1C1C"/>
                <w:sz w:val="20"/>
                <w:szCs w:val="20"/>
              </w:rPr>
              <w:t xml:space="preserve"> </w:t>
            </w:r>
            <w:r w:rsidR="002672C0" w:rsidRPr="002672C0">
              <w:rPr>
                <w:rFonts w:cs="CalibriRegular"/>
                <w:color w:val="1C1C1C"/>
                <w:sz w:val="20"/>
                <w:szCs w:val="20"/>
              </w:rPr>
              <w:t>makers, policy implementers)</w:t>
            </w:r>
          </w:p>
        </w:tc>
        <w:tc>
          <w:tcPr>
            <w:tcW w:w="1077" w:type="pct"/>
            <w:shd w:val="clear" w:color="auto" w:fill="auto"/>
          </w:tcPr>
          <w:p w14:paraId="0D405BBE" w14:textId="71B3ED57" w:rsidR="007B47C9" w:rsidRPr="000A6A74" w:rsidRDefault="00083203" w:rsidP="00725049">
            <w:pPr>
              <w:tabs>
                <w:tab w:val="left" w:pos="956"/>
                <w:tab w:val="center" w:pos="1394"/>
              </w:tabs>
              <w:jc w:val="center"/>
              <w:rPr>
                <w:sz w:val="20"/>
                <w:szCs w:val="20"/>
              </w:rPr>
            </w:pPr>
            <w:r>
              <w:rPr>
                <w:sz w:val="20"/>
                <w:szCs w:val="20"/>
              </w:rPr>
              <w:t>11</w:t>
            </w:r>
            <w:r w:rsidR="001C03B7">
              <w:rPr>
                <w:sz w:val="20"/>
                <w:szCs w:val="20"/>
              </w:rPr>
              <w:t xml:space="preserve"> Ministries</w:t>
            </w:r>
            <w:r w:rsidR="00776925">
              <w:rPr>
                <w:sz w:val="20"/>
                <w:szCs w:val="20"/>
              </w:rPr>
              <w:t>/</w:t>
            </w:r>
            <w:r w:rsidR="001C03B7">
              <w:rPr>
                <w:sz w:val="20"/>
                <w:szCs w:val="20"/>
              </w:rPr>
              <w:t>Departments</w:t>
            </w:r>
          </w:p>
        </w:tc>
        <w:tc>
          <w:tcPr>
            <w:tcW w:w="1041" w:type="pct"/>
            <w:shd w:val="clear" w:color="auto" w:fill="auto"/>
          </w:tcPr>
          <w:p w14:paraId="790C331B" w14:textId="04FBAB3A" w:rsidR="007B47C9" w:rsidRPr="000A6A74" w:rsidRDefault="0036320C" w:rsidP="00C53685">
            <w:pPr>
              <w:jc w:val="center"/>
              <w:rPr>
                <w:sz w:val="20"/>
                <w:szCs w:val="20"/>
              </w:rPr>
            </w:pPr>
            <w:r>
              <w:rPr>
                <w:sz w:val="20"/>
                <w:szCs w:val="20"/>
              </w:rPr>
              <w:t>4</w:t>
            </w:r>
            <w:r w:rsidR="00083203">
              <w:rPr>
                <w:sz w:val="20"/>
                <w:szCs w:val="20"/>
              </w:rPr>
              <w:t>5</w:t>
            </w:r>
            <w:r w:rsidR="001C03B7">
              <w:rPr>
                <w:sz w:val="20"/>
                <w:szCs w:val="20"/>
              </w:rPr>
              <w:t xml:space="preserve"> individuals</w:t>
            </w:r>
          </w:p>
        </w:tc>
      </w:tr>
    </w:tbl>
    <w:p w14:paraId="0E0E70C6" w14:textId="77777777" w:rsidR="00B5655A" w:rsidRPr="000A6A74" w:rsidRDefault="00B5655A" w:rsidP="002560AF">
      <w:pPr>
        <w:spacing w:after="120" w:line="240" w:lineRule="auto"/>
        <w:rPr>
          <w:color w:val="000000" w:themeColor="text1"/>
          <w:sz w:val="20"/>
          <w:szCs w:val="20"/>
        </w:rPr>
      </w:pPr>
    </w:p>
    <w:p w14:paraId="5B090E21" w14:textId="77777777" w:rsidR="002560AF" w:rsidRPr="000A6A74" w:rsidRDefault="002560AF" w:rsidP="002560AF">
      <w:pPr>
        <w:spacing w:after="0" w:line="240" w:lineRule="auto"/>
        <w:rPr>
          <w:color w:val="000000" w:themeColor="text1"/>
          <w:sz w:val="20"/>
          <w:szCs w:val="20"/>
        </w:rPr>
      </w:pPr>
      <w:bookmarkStart w:id="13" w:name="_Toc355636228"/>
      <w:r w:rsidRPr="000A6A74">
        <w:rPr>
          <w:rStyle w:val="Heading3Char"/>
          <w:rFonts w:asciiTheme="minorHAnsi" w:hAnsiTheme="minorHAnsi"/>
          <w:sz w:val="20"/>
          <w:szCs w:val="20"/>
        </w:rPr>
        <w:t xml:space="preserve">Changes in the </w:t>
      </w:r>
      <w:r w:rsidR="003138D4" w:rsidRPr="000A6A74">
        <w:rPr>
          <w:rStyle w:val="Heading3Char"/>
          <w:rFonts w:asciiTheme="minorHAnsi" w:hAnsiTheme="minorHAnsi"/>
          <w:sz w:val="20"/>
          <w:szCs w:val="20"/>
        </w:rPr>
        <w:t>behavior/actions of beneficiaries at the outcome level</w:t>
      </w:r>
      <w:bookmarkEnd w:id="13"/>
      <w:r w:rsidR="003138D4" w:rsidRPr="000A6A74">
        <w:rPr>
          <w:rStyle w:val="Heading3Char"/>
          <w:rFonts w:asciiTheme="minorHAnsi" w:hAnsiTheme="minorHAnsi"/>
          <w:sz w:val="20"/>
          <w:szCs w:val="20"/>
        </w:rPr>
        <w:t xml:space="preserve"> </w:t>
      </w:r>
    </w:p>
    <w:p w14:paraId="056FFCA8" w14:textId="77777777" w:rsidR="003138D4" w:rsidRDefault="003138D4" w:rsidP="003138D4">
      <w:pPr>
        <w:spacing w:after="0" w:line="240" w:lineRule="auto"/>
        <w:rPr>
          <w:color w:val="000000" w:themeColor="text1"/>
          <w:sz w:val="20"/>
          <w:szCs w:val="20"/>
        </w:rPr>
      </w:pPr>
      <w:r w:rsidRPr="000A6A74">
        <w:rPr>
          <w:b/>
          <w:sz w:val="20"/>
          <w:szCs w:val="20"/>
        </w:rPr>
        <w:t>Changes in behavior/actions of beneficiaries</w:t>
      </w:r>
      <w:r w:rsidRPr="000A6A74">
        <w:rPr>
          <w:sz w:val="20"/>
          <w:szCs w:val="20"/>
        </w:rPr>
        <w:t xml:space="preserve">: What were the main changes in the beneficiaries’ behaviors and/or actions during the reporting period? </w:t>
      </w:r>
      <w:r w:rsidRPr="000A6A74">
        <w:rPr>
          <w:color w:val="000000" w:themeColor="text1"/>
          <w:sz w:val="20"/>
          <w:szCs w:val="20"/>
        </w:rPr>
        <w:t>(</w:t>
      </w:r>
      <w:r w:rsidRPr="000A6A74">
        <w:rPr>
          <w:color w:val="FF0000"/>
          <w:sz w:val="20"/>
          <w:szCs w:val="20"/>
        </w:rPr>
        <w:t>Maximum 250 words per group</w:t>
      </w:r>
      <w:r w:rsidRPr="000A6A74">
        <w:rPr>
          <w:color w:val="000000" w:themeColor="text1"/>
          <w:sz w:val="20"/>
          <w:szCs w:val="20"/>
        </w:rPr>
        <w:t xml:space="preserve">). </w:t>
      </w:r>
    </w:p>
    <w:p w14:paraId="343C6564" w14:textId="77777777" w:rsidR="000F6907" w:rsidRPr="000A6A74" w:rsidRDefault="000F6907" w:rsidP="003138D4">
      <w:pPr>
        <w:spacing w:after="0" w:line="240" w:lineRule="auto"/>
        <w:rPr>
          <w:sz w:val="20"/>
          <w:szCs w:val="20"/>
        </w:rPr>
      </w:pPr>
    </w:p>
    <w:tbl>
      <w:tblPr>
        <w:tblStyle w:val="TableGrid"/>
        <w:tblW w:w="5000" w:type="pct"/>
        <w:tblLook w:val="04A0" w:firstRow="1" w:lastRow="0" w:firstColumn="1" w:lastColumn="0" w:noHBand="0" w:noVBand="1"/>
      </w:tblPr>
      <w:tblGrid>
        <w:gridCol w:w="2561"/>
        <w:gridCol w:w="2589"/>
        <w:gridCol w:w="8798"/>
      </w:tblGrid>
      <w:tr w:rsidR="005B2ED6" w:rsidRPr="000A6A74" w14:paraId="20E146C7" w14:textId="77777777" w:rsidTr="009C6909">
        <w:tc>
          <w:tcPr>
            <w:tcW w:w="918" w:type="pct"/>
            <w:shd w:val="clear" w:color="auto" w:fill="F2DBDB" w:themeFill="accent2" w:themeFillTint="33"/>
          </w:tcPr>
          <w:p w14:paraId="0C0A7530" w14:textId="77777777" w:rsidR="005B2ED6" w:rsidRPr="000A6A74" w:rsidRDefault="005B2ED6" w:rsidP="00303D29">
            <w:pPr>
              <w:rPr>
                <w:b/>
                <w:sz w:val="20"/>
                <w:szCs w:val="20"/>
              </w:rPr>
            </w:pPr>
            <w:r w:rsidRPr="000A6A74">
              <w:rPr>
                <w:b/>
                <w:sz w:val="20"/>
                <w:szCs w:val="20"/>
              </w:rPr>
              <w:t xml:space="preserve">Targeted beneficiary groups </w:t>
            </w:r>
            <w:r w:rsidR="00BB6B17">
              <w:rPr>
                <w:b/>
                <w:sz w:val="20"/>
                <w:szCs w:val="20"/>
              </w:rPr>
              <w:t>(O</w:t>
            </w:r>
            <w:r w:rsidRPr="000A6A74">
              <w:rPr>
                <w:b/>
                <w:sz w:val="20"/>
                <w:szCs w:val="20"/>
              </w:rPr>
              <w:t>utcome level</w:t>
            </w:r>
            <w:r w:rsidR="00BB6B17">
              <w:rPr>
                <w:b/>
                <w:sz w:val="20"/>
                <w:szCs w:val="20"/>
              </w:rPr>
              <w:t>)</w:t>
            </w:r>
            <w:r w:rsidRPr="000A6A74">
              <w:rPr>
                <w:b/>
                <w:sz w:val="20"/>
                <w:szCs w:val="20"/>
              </w:rPr>
              <w:t xml:space="preserve">  </w:t>
            </w:r>
          </w:p>
        </w:tc>
        <w:tc>
          <w:tcPr>
            <w:tcW w:w="928" w:type="pct"/>
            <w:shd w:val="clear" w:color="auto" w:fill="F2DBDB" w:themeFill="accent2" w:themeFillTint="33"/>
          </w:tcPr>
          <w:p w14:paraId="083E6D56" w14:textId="77777777" w:rsidR="005B2ED6" w:rsidRPr="000A6A74" w:rsidRDefault="005B2ED6" w:rsidP="0010745F">
            <w:pPr>
              <w:rPr>
                <w:b/>
                <w:sz w:val="20"/>
                <w:szCs w:val="20"/>
              </w:rPr>
            </w:pPr>
            <w:r w:rsidRPr="000A6A74">
              <w:rPr>
                <w:b/>
                <w:sz w:val="20"/>
                <w:szCs w:val="20"/>
              </w:rPr>
              <w:t xml:space="preserve">Reporting Period </w:t>
            </w:r>
          </w:p>
        </w:tc>
        <w:tc>
          <w:tcPr>
            <w:tcW w:w="3154" w:type="pct"/>
            <w:shd w:val="clear" w:color="auto" w:fill="F2DBDB" w:themeFill="accent2" w:themeFillTint="33"/>
          </w:tcPr>
          <w:p w14:paraId="5DF526E0" w14:textId="77777777" w:rsidR="005B2ED6" w:rsidRPr="000A6A74" w:rsidRDefault="005B2ED6" w:rsidP="0010745F">
            <w:pPr>
              <w:rPr>
                <w:b/>
                <w:sz w:val="20"/>
                <w:szCs w:val="20"/>
              </w:rPr>
            </w:pPr>
            <w:r w:rsidRPr="000A6A74">
              <w:rPr>
                <w:b/>
                <w:sz w:val="20"/>
                <w:szCs w:val="20"/>
              </w:rPr>
              <w:t xml:space="preserve">Current situation of beneficiary groups  </w:t>
            </w:r>
          </w:p>
        </w:tc>
      </w:tr>
      <w:tr w:rsidR="007B47C9" w:rsidRPr="000A6A74" w14:paraId="1B1E72C6" w14:textId="77777777" w:rsidTr="00725049">
        <w:trPr>
          <w:trHeight w:val="233"/>
        </w:trPr>
        <w:tc>
          <w:tcPr>
            <w:tcW w:w="918" w:type="pct"/>
            <w:shd w:val="clear" w:color="auto" w:fill="F2DBDB" w:themeFill="accent2" w:themeFillTint="33"/>
          </w:tcPr>
          <w:p w14:paraId="7D650D3E" w14:textId="77777777" w:rsidR="007B47C9" w:rsidRPr="000A6A74" w:rsidRDefault="007B47C9" w:rsidP="000F6907">
            <w:pPr>
              <w:rPr>
                <w:sz w:val="20"/>
                <w:szCs w:val="20"/>
              </w:rPr>
            </w:pPr>
            <w:r w:rsidRPr="000A6A74">
              <w:rPr>
                <w:b/>
                <w:sz w:val="20"/>
                <w:szCs w:val="20"/>
              </w:rPr>
              <w:t>Beneficiary Group 1:</w:t>
            </w:r>
            <w:r w:rsidRPr="000A6A74">
              <w:rPr>
                <w:sz w:val="20"/>
                <w:szCs w:val="20"/>
              </w:rPr>
              <w:t xml:space="preserve"> </w:t>
            </w:r>
            <w:r w:rsidR="00B5655A" w:rsidRPr="002672C0">
              <w:rPr>
                <w:rFonts w:cs="CalibriRegular"/>
                <w:color w:val="1C1C1C"/>
                <w:sz w:val="20"/>
                <w:szCs w:val="20"/>
              </w:rPr>
              <w:t>Civil society organizations (including</w:t>
            </w:r>
            <w:r w:rsidR="000F6907">
              <w:rPr>
                <w:rFonts w:cs="CalibriRegular"/>
                <w:color w:val="1C1C1C"/>
                <w:sz w:val="20"/>
                <w:szCs w:val="20"/>
              </w:rPr>
              <w:t xml:space="preserve"> </w:t>
            </w:r>
            <w:r w:rsidR="00B5655A" w:rsidRPr="002672C0">
              <w:rPr>
                <w:rFonts w:cs="CalibriRegular"/>
                <w:color w:val="1C1C1C"/>
                <w:sz w:val="20"/>
                <w:szCs w:val="20"/>
              </w:rPr>
              <w:t>NGOs)</w:t>
            </w:r>
          </w:p>
        </w:tc>
        <w:tc>
          <w:tcPr>
            <w:tcW w:w="928" w:type="pct"/>
            <w:shd w:val="clear" w:color="auto" w:fill="F2DBDB" w:themeFill="accent2" w:themeFillTint="33"/>
          </w:tcPr>
          <w:p w14:paraId="28B9F245" w14:textId="77777777" w:rsidR="007B47C9" w:rsidRPr="000A6A74" w:rsidRDefault="007B47C9" w:rsidP="002D72A8">
            <w:pPr>
              <w:rPr>
                <w:sz w:val="20"/>
                <w:szCs w:val="20"/>
              </w:rPr>
            </w:pPr>
            <w:r w:rsidRPr="000A6A74">
              <w:rPr>
                <w:sz w:val="20"/>
                <w:szCs w:val="20"/>
              </w:rPr>
              <w:t xml:space="preserve">Reporting period: </w:t>
            </w:r>
          </w:p>
          <w:p w14:paraId="00900687" w14:textId="752425D1" w:rsidR="007B47C9" w:rsidRPr="000A6A74" w:rsidRDefault="00FC1A93" w:rsidP="00FC1A93">
            <w:pPr>
              <w:rPr>
                <w:color w:val="000000" w:themeColor="text1"/>
                <w:sz w:val="20"/>
                <w:szCs w:val="20"/>
              </w:rPr>
            </w:pPr>
            <w:r>
              <w:rPr>
                <w:sz w:val="20"/>
                <w:szCs w:val="20"/>
              </w:rPr>
              <w:t>Y</w:t>
            </w:r>
            <w:r w:rsidR="00776925">
              <w:rPr>
                <w:sz w:val="20"/>
                <w:szCs w:val="20"/>
              </w:rPr>
              <w:t>3</w:t>
            </w:r>
            <w:r>
              <w:rPr>
                <w:sz w:val="20"/>
                <w:szCs w:val="20"/>
              </w:rPr>
              <w:t xml:space="preserve"> Annual Progress Report</w:t>
            </w:r>
          </w:p>
        </w:tc>
        <w:tc>
          <w:tcPr>
            <w:tcW w:w="3154" w:type="pct"/>
            <w:shd w:val="clear" w:color="auto" w:fill="auto"/>
          </w:tcPr>
          <w:p w14:paraId="30572B22" w14:textId="77777777" w:rsidR="007B47C9" w:rsidRPr="000A6A74" w:rsidRDefault="00C119F7" w:rsidP="000F6907">
            <w:pPr>
              <w:rPr>
                <w:b/>
                <w:sz w:val="20"/>
                <w:szCs w:val="20"/>
              </w:rPr>
            </w:pPr>
            <w:r>
              <w:rPr>
                <w:sz w:val="20"/>
                <w:szCs w:val="20"/>
              </w:rPr>
              <w:t xml:space="preserve">No change: </w:t>
            </w:r>
            <w:r w:rsidRPr="00C119F7">
              <w:rPr>
                <w:sz w:val="20"/>
                <w:szCs w:val="20"/>
              </w:rPr>
              <w:t>Civil so</w:t>
            </w:r>
            <w:r>
              <w:rPr>
                <w:sz w:val="20"/>
                <w:szCs w:val="20"/>
              </w:rPr>
              <w:t xml:space="preserve">ciety and NGO service providers </w:t>
            </w:r>
            <w:r w:rsidRPr="00C119F7">
              <w:rPr>
                <w:sz w:val="20"/>
                <w:szCs w:val="20"/>
              </w:rPr>
              <w:t>inclu</w:t>
            </w:r>
            <w:r w:rsidR="00AE6709">
              <w:rPr>
                <w:sz w:val="20"/>
                <w:szCs w:val="20"/>
              </w:rPr>
              <w:t xml:space="preserve">ding members of SAFENET </w:t>
            </w:r>
            <w:r>
              <w:rPr>
                <w:sz w:val="20"/>
                <w:szCs w:val="20"/>
              </w:rPr>
              <w:t xml:space="preserve">require </w:t>
            </w:r>
            <w:r w:rsidRPr="00C119F7">
              <w:rPr>
                <w:sz w:val="20"/>
                <w:szCs w:val="20"/>
              </w:rPr>
              <w:t>suppor</w:t>
            </w:r>
            <w:r>
              <w:rPr>
                <w:sz w:val="20"/>
                <w:szCs w:val="20"/>
              </w:rPr>
              <w:t xml:space="preserve">t to implement a multi-sectoral </w:t>
            </w:r>
            <w:r w:rsidRPr="00C119F7">
              <w:rPr>
                <w:sz w:val="20"/>
                <w:szCs w:val="20"/>
              </w:rPr>
              <w:t>system of respon</w:t>
            </w:r>
            <w:r>
              <w:rPr>
                <w:sz w:val="20"/>
                <w:szCs w:val="20"/>
              </w:rPr>
              <w:t>se to VAW. Most b</w:t>
            </w:r>
            <w:r w:rsidRPr="00C119F7">
              <w:rPr>
                <w:sz w:val="20"/>
                <w:szCs w:val="20"/>
              </w:rPr>
              <w:t>eneficiaries</w:t>
            </w:r>
            <w:r>
              <w:rPr>
                <w:sz w:val="20"/>
                <w:szCs w:val="20"/>
              </w:rPr>
              <w:t xml:space="preserve">' mandates and service delivery </w:t>
            </w:r>
            <w:r w:rsidRPr="00C119F7">
              <w:rPr>
                <w:sz w:val="20"/>
                <w:szCs w:val="20"/>
              </w:rPr>
              <w:t xml:space="preserve">models are informed </w:t>
            </w:r>
            <w:r w:rsidR="0098574F">
              <w:rPr>
                <w:sz w:val="20"/>
                <w:szCs w:val="20"/>
              </w:rPr>
              <w:t xml:space="preserve">by clearer national legislation </w:t>
            </w:r>
            <w:r w:rsidRPr="00C119F7">
              <w:rPr>
                <w:sz w:val="20"/>
                <w:szCs w:val="20"/>
              </w:rPr>
              <w:t xml:space="preserve">and policies in </w:t>
            </w:r>
            <w:r>
              <w:rPr>
                <w:sz w:val="20"/>
                <w:szCs w:val="20"/>
              </w:rPr>
              <w:t xml:space="preserve">relation to responding to their </w:t>
            </w:r>
            <w:r w:rsidR="000F6907">
              <w:rPr>
                <w:sz w:val="20"/>
                <w:szCs w:val="20"/>
              </w:rPr>
              <w:t>clients.</w:t>
            </w:r>
          </w:p>
        </w:tc>
      </w:tr>
      <w:tr w:rsidR="007B47C9" w:rsidRPr="000A6A74" w14:paraId="58430154" w14:textId="77777777" w:rsidTr="009C6909">
        <w:trPr>
          <w:trHeight w:val="1221"/>
        </w:trPr>
        <w:tc>
          <w:tcPr>
            <w:tcW w:w="918" w:type="pct"/>
            <w:shd w:val="clear" w:color="auto" w:fill="F2DBDB" w:themeFill="accent2" w:themeFillTint="33"/>
          </w:tcPr>
          <w:p w14:paraId="7A25D67A" w14:textId="77777777" w:rsidR="007B47C9" w:rsidRPr="000A6A74" w:rsidRDefault="007B47C9" w:rsidP="000F6907">
            <w:pPr>
              <w:autoSpaceDE w:val="0"/>
              <w:autoSpaceDN w:val="0"/>
              <w:adjustRightInd w:val="0"/>
              <w:rPr>
                <w:sz w:val="20"/>
                <w:szCs w:val="20"/>
              </w:rPr>
            </w:pPr>
            <w:r w:rsidRPr="000A6A74">
              <w:rPr>
                <w:b/>
                <w:sz w:val="20"/>
                <w:szCs w:val="20"/>
              </w:rPr>
              <w:t>Beneficiary Group 2:</w:t>
            </w:r>
            <w:r w:rsidRPr="000A6A74">
              <w:rPr>
                <w:sz w:val="20"/>
                <w:szCs w:val="20"/>
              </w:rPr>
              <w:t xml:space="preserve"> </w:t>
            </w:r>
            <w:r w:rsidR="00B5655A" w:rsidRPr="002672C0">
              <w:rPr>
                <w:rFonts w:cs="CalibriRegular"/>
                <w:color w:val="1C1C1C"/>
                <w:sz w:val="20"/>
                <w:szCs w:val="20"/>
              </w:rPr>
              <w:t>Government officials (i.e. decision</w:t>
            </w:r>
            <w:r w:rsidR="000F6907">
              <w:rPr>
                <w:rFonts w:cs="CalibriRegular"/>
                <w:color w:val="1C1C1C"/>
                <w:sz w:val="20"/>
                <w:szCs w:val="20"/>
              </w:rPr>
              <w:t xml:space="preserve"> </w:t>
            </w:r>
            <w:r w:rsidR="00B5655A" w:rsidRPr="002672C0">
              <w:rPr>
                <w:rFonts w:cs="CalibriRegular"/>
                <w:color w:val="1C1C1C"/>
                <w:sz w:val="20"/>
                <w:szCs w:val="20"/>
              </w:rPr>
              <w:t>makers, policy implementers)</w:t>
            </w:r>
          </w:p>
        </w:tc>
        <w:tc>
          <w:tcPr>
            <w:tcW w:w="928" w:type="pct"/>
            <w:shd w:val="clear" w:color="auto" w:fill="F2DBDB" w:themeFill="accent2" w:themeFillTint="33"/>
          </w:tcPr>
          <w:p w14:paraId="18A205E3" w14:textId="77777777" w:rsidR="007B47C9" w:rsidRPr="000A6A74" w:rsidRDefault="007B47C9" w:rsidP="002D72A8">
            <w:pPr>
              <w:rPr>
                <w:sz w:val="20"/>
                <w:szCs w:val="20"/>
              </w:rPr>
            </w:pPr>
            <w:r w:rsidRPr="000A6A74">
              <w:rPr>
                <w:sz w:val="20"/>
                <w:szCs w:val="20"/>
              </w:rPr>
              <w:t xml:space="preserve">Reporting period: </w:t>
            </w:r>
          </w:p>
          <w:p w14:paraId="1AC8A591" w14:textId="2BF1D5DA" w:rsidR="007B47C9" w:rsidRPr="000A6A74" w:rsidRDefault="00FC1A93" w:rsidP="00FC1A93">
            <w:pPr>
              <w:rPr>
                <w:color w:val="000000" w:themeColor="text1"/>
                <w:sz w:val="20"/>
                <w:szCs w:val="20"/>
              </w:rPr>
            </w:pPr>
            <w:r>
              <w:rPr>
                <w:sz w:val="20"/>
                <w:szCs w:val="20"/>
              </w:rPr>
              <w:t>Y</w:t>
            </w:r>
            <w:r w:rsidR="00776925">
              <w:rPr>
                <w:sz w:val="20"/>
                <w:szCs w:val="20"/>
              </w:rPr>
              <w:t>3</w:t>
            </w:r>
            <w:r>
              <w:rPr>
                <w:sz w:val="20"/>
                <w:szCs w:val="20"/>
              </w:rPr>
              <w:t xml:space="preserve"> Annual Progress Report</w:t>
            </w:r>
          </w:p>
        </w:tc>
        <w:tc>
          <w:tcPr>
            <w:tcW w:w="3154" w:type="pct"/>
            <w:shd w:val="clear" w:color="auto" w:fill="auto"/>
          </w:tcPr>
          <w:p w14:paraId="1E8465D3" w14:textId="7906BAFF" w:rsidR="007B47C9" w:rsidRPr="000A6A74" w:rsidRDefault="00C119F7" w:rsidP="00725049">
            <w:pPr>
              <w:jc w:val="both"/>
              <w:rPr>
                <w:sz w:val="20"/>
                <w:szCs w:val="20"/>
              </w:rPr>
            </w:pPr>
            <w:r w:rsidRPr="00C119F7">
              <w:rPr>
                <w:sz w:val="20"/>
                <w:szCs w:val="20"/>
              </w:rPr>
              <w:t>Various le</w:t>
            </w:r>
            <w:r>
              <w:rPr>
                <w:sz w:val="20"/>
                <w:szCs w:val="20"/>
              </w:rPr>
              <w:t xml:space="preserve">vels of decision makers, policy </w:t>
            </w:r>
            <w:r w:rsidRPr="00C119F7">
              <w:rPr>
                <w:sz w:val="20"/>
                <w:szCs w:val="20"/>
              </w:rPr>
              <w:t>impl</w:t>
            </w:r>
            <w:r w:rsidR="00936DB1">
              <w:rPr>
                <w:sz w:val="20"/>
                <w:szCs w:val="20"/>
              </w:rPr>
              <w:t xml:space="preserve">ementers, and management within </w:t>
            </w:r>
            <w:r w:rsidRPr="00C119F7">
              <w:rPr>
                <w:sz w:val="20"/>
                <w:szCs w:val="20"/>
              </w:rPr>
              <w:t>service del</w:t>
            </w:r>
            <w:r>
              <w:rPr>
                <w:sz w:val="20"/>
                <w:szCs w:val="20"/>
              </w:rPr>
              <w:t xml:space="preserve">ivery ministries need technical </w:t>
            </w:r>
            <w:r w:rsidRPr="00C119F7">
              <w:rPr>
                <w:sz w:val="20"/>
                <w:szCs w:val="20"/>
              </w:rPr>
              <w:t>support t</w:t>
            </w:r>
            <w:r w:rsidR="00936DB1">
              <w:rPr>
                <w:sz w:val="20"/>
                <w:szCs w:val="20"/>
              </w:rPr>
              <w:t>o implement national policy and l</w:t>
            </w:r>
            <w:r w:rsidRPr="00C119F7">
              <w:rPr>
                <w:sz w:val="20"/>
                <w:szCs w:val="20"/>
              </w:rPr>
              <w:t>egislative frameworks to EVAWG</w:t>
            </w:r>
            <w:r>
              <w:rPr>
                <w:sz w:val="20"/>
                <w:szCs w:val="20"/>
              </w:rPr>
              <w:t xml:space="preserve">. </w:t>
            </w:r>
            <w:r w:rsidR="000A42BC">
              <w:rPr>
                <w:sz w:val="20"/>
                <w:szCs w:val="20"/>
              </w:rPr>
              <w:t xml:space="preserve">In 2017, UN Women also provided technical assistance to the MWYCFA to revise the EVAW Policy and to develop a monitoring framework for implementation of the EVAW Policy, including M&amp;E tools for use by the MWYCFA and other relevant ministries to monitor and report on activities implemented related to the EVAW Policy. In August 2017, the MWYCFA with technical assistance from UN Women followed up with a one-day EVAW Policy monitoring training for the MWYCFA and members of the EVAW Task Force. That same month, the MWYCFA led a workshop for GFPs on the EVAW Policy and M&amp;E tools, during which GFPs communicated that they were facing challenges mainstreaming the EVAW Policy into their ministries work plans and activities; the challenges were the same as had been documented in this report, and the baseline and midline reports. </w:t>
            </w:r>
          </w:p>
        </w:tc>
      </w:tr>
    </w:tbl>
    <w:p w14:paraId="1D96DDC4" w14:textId="77777777" w:rsidR="002560AF" w:rsidRPr="000A6A74" w:rsidRDefault="002560AF" w:rsidP="00C42B7B">
      <w:pPr>
        <w:spacing w:after="0" w:line="240" w:lineRule="auto"/>
        <w:rPr>
          <w:sz w:val="20"/>
          <w:szCs w:val="20"/>
        </w:rPr>
      </w:pPr>
    </w:p>
    <w:p w14:paraId="3FC67169" w14:textId="77777777" w:rsidR="00502A1E" w:rsidRPr="000A6A74" w:rsidRDefault="00502A1E" w:rsidP="00C42B7B">
      <w:pPr>
        <w:spacing w:after="0" w:line="240" w:lineRule="auto"/>
        <w:rPr>
          <w:sz w:val="20"/>
          <w:szCs w:val="20"/>
        </w:rPr>
      </w:pPr>
      <w:r w:rsidRPr="000A6A74">
        <w:rPr>
          <w:sz w:val="20"/>
          <w:szCs w:val="20"/>
        </w:rPr>
        <w:lastRenderedPageBreak/>
        <w:t>--------------------------------------------------------------------------------</w:t>
      </w:r>
    </w:p>
    <w:p w14:paraId="3AF98E61" w14:textId="77777777" w:rsidR="000515AC" w:rsidRPr="003F7646" w:rsidRDefault="000515AC" w:rsidP="000515AC">
      <w:pPr>
        <w:pStyle w:val="Heading2"/>
        <w:rPr>
          <w:rStyle w:val="Heading3Char"/>
          <w:b/>
          <w:bCs/>
          <w:sz w:val="24"/>
        </w:rPr>
      </w:pPr>
      <w:r w:rsidRPr="003F7646">
        <w:rPr>
          <w:rStyle w:val="Heading3Char"/>
          <w:b/>
          <w:bCs/>
          <w:sz w:val="24"/>
        </w:rPr>
        <w:t xml:space="preserve">Outcome </w:t>
      </w:r>
      <w:r>
        <w:rPr>
          <w:rStyle w:val="Heading3Char"/>
          <w:b/>
          <w:bCs/>
          <w:sz w:val="24"/>
        </w:rPr>
        <w:t>2</w:t>
      </w:r>
    </w:p>
    <w:p w14:paraId="12D7F2C9" w14:textId="77777777" w:rsidR="000515AC" w:rsidRPr="000A6A74" w:rsidRDefault="000515AC" w:rsidP="000515AC">
      <w:pPr>
        <w:spacing w:after="0" w:line="240" w:lineRule="auto"/>
        <w:rPr>
          <w:sz w:val="20"/>
          <w:szCs w:val="20"/>
        </w:rPr>
      </w:pPr>
      <w:r w:rsidRPr="000A6A74">
        <w:rPr>
          <w:rStyle w:val="Heading3Char"/>
          <w:rFonts w:asciiTheme="minorHAnsi" w:hAnsiTheme="minorHAnsi"/>
          <w:sz w:val="20"/>
          <w:szCs w:val="20"/>
        </w:rPr>
        <w:t>Overall progress</w:t>
      </w:r>
      <w:r w:rsidRPr="000A6A74">
        <w:rPr>
          <w:sz w:val="20"/>
          <w:szCs w:val="20"/>
        </w:rPr>
        <w:t xml:space="preserve">: </w:t>
      </w:r>
      <w:r w:rsidRPr="000A6A74">
        <w:rPr>
          <w:color w:val="000000" w:themeColor="text1"/>
          <w:sz w:val="20"/>
          <w:szCs w:val="20"/>
        </w:rPr>
        <w:t xml:space="preserve">Describe the progress made </w:t>
      </w:r>
      <w:r w:rsidRPr="000A6A74">
        <w:rPr>
          <w:color w:val="000000" w:themeColor="text1"/>
          <w:sz w:val="20"/>
          <w:szCs w:val="20"/>
          <w:shd w:val="clear" w:color="auto" w:fill="FFFFFF" w:themeFill="background1"/>
        </w:rPr>
        <w:t>during the reporting period</w:t>
      </w:r>
      <w:r w:rsidRPr="000A6A74">
        <w:rPr>
          <w:color w:val="000000" w:themeColor="text1"/>
          <w:sz w:val="20"/>
          <w:szCs w:val="20"/>
        </w:rPr>
        <w:t xml:space="preserve"> to achieve the outcome.</w:t>
      </w:r>
      <w:r w:rsidRPr="000A6A74">
        <w:rPr>
          <w:sz w:val="20"/>
          <w:szCs w:val="20"/>
        </w:rPr>
        <w:t xml:space="preserve"> </w:t>
      </w:r>
    </w:p>
    <w:p w14:paraId="0189D0CE" w14:textId="77777777" w:rsidR="000515AC" w:rsidRPr="000A6A74" w:rsidRDefault="000515AC" w:rsidP="000515AC">
      <w:pPr>
        <w:pStyle w:val="ListParagraph"/>
        <w:numPr>
          <w:ilvl w:val="0"/>
          <w:numId w:val="25"/>
        </w:numPr>
        <w:spacing w:after="0" w:line="240" w:lineRule="auto"/>
        <w:rPr>
          <w:sz w:val="20"/>
          <w:szCs w:val="20"/>
        </w:rPr>
      </w:pPr>
      <w:r w:rsidRPr="000A6A74">
        <w:rPr>
          <w:sz w:val="20"/>
          <w:szCs w:val="20"/>
        </w:rPr>
        <w:t>If the project has not achieved any result at the outcome level, please describe the progress made thus far, including unexpected any results that have contributed to achieving (or hindering) the outcome. (</w:t>
      </w:r>
      <w:r w:rsidRPr="000A6A74">
        <w:rPr>
          <w:color w:val="FF0000"/>
          <w:sz w:val="20"/>
          <w:szCs w:val="20"/>
        </w:rPr>
        <w:t>Maximum 250 words per outcome</w:t>
      </w:r>
      <w:r w:rsidRPr="000A6A74">
        <w:rPr>
          <w:sz w:val="20"/>
          <w:szCs w:val="20"/>
        </w:rPr>
        <w:t xml:space="preserve">) </w:t>
      </w:r>
    </w:p>
    <w:p w14:paraId="1F1C22C3" w14:textId="02180A23" w:rsidR="000515AC" w:rsidRDefault="000515AC" w:rsidP="000515AC">
      <w:pPr>
        <w:spacing w:after="0" w:line="240" w:lineRule="auto"/>
        <w:rPr>
          <w:sz w:val="20"/>
          <w:szCs w:val="20"/>
        </w:rPr>
      </w:pPr>
    </w:p>
    <w:p w14:paraId="6F4987C0" w14:textId="77777777" w:rsidR="00083203" w:rsidRPr="000A6A74" w:rsidRDefault="00083203" w:rsidP="000515AC">
      <w:pPr>
        <w:spacing w:after="0" w:line="240" w:lineRule="auto"/>
        <w:rPr>
          <w:sz w:val="20"/>
          <w:szCs w:val="20"/>
        </w:rPr>
      </w:pPr>
    </w:p>
    <w:tbl>
      <w:tblPr>
        <w:tblStyle w:val="TableGrid"/>
        <w:tblW w:w="5000" w:type="pct"/>
        <w:tblLook w:val="04A0" w:firstRow="1" w:lastRow="0" w:firstColumn="1" w:lastColumn="0" w:noHBand="0" w:noVBand="1"/>
      </w:tblPr>
      <w:tblGrid>
        <w:gridCol w:w="2709"/>
        <w:gridCol w:w="11239"/>
      </w:tblGrid>
      <w:tr w:rsidR="000515AC" w:rsidRPr="000A6A74" w14:paraId="09FB8488" w14:textId="77777777" w:rsidTr="009C6909">
        <w:tc>
          <w:tcPr>
            <w:tcW w:w="971" w:type="pct"/>
            <w:shd w:val="clear" w:color="auto" w:fill="F2DBDB" w:themeFill="accent2" w:themeFillTint="33"/>
          </w:tcPr>
          <w:p w14:paraId="156E67F6" w14:textId="77777777" w:rsidR="000515AC" w:rsidRPr="000A6A74" w:rsidRDefault="000515AC" w:rsidP="000515AC">
            <w:pPr>
              <w:rPr>
                <w:b/>
                <w:sz w:val="20"/>
                <w:szCs w:val="20"/>
              </w:rPr>
            </w:pPr>
            <w:r w:rsidRPr="000A6A74">
              <w:rPr>
                <w:b/>
                <w:sz w:val="20"/>
                <w:szCs w:val="20"/>
              </w:rPr>
              <w:t xml:space="preserve">Outcome </w:t>
            </w:r>
            <w:r>
              <w:rPr>
                <w:b/>
                <w:sz w:val="20"/>
                <w:szCs w:val="20"/>
              </w:rPr>
              <w:t>2</w:t>
            </w:r>
          </w:p>
        </w:tc>
        <w:tc>
          <w:tcPr>
            <w:tcW w:w="4029" w:type="pct"/>
            <w:shd w:val="clear" w:color="auto" w:fill="F2DBDB" w:themeFill="accent2" w:themeFillTint="33"/>
          </w:tcPr>
          <w:p w14:paraId="47971488" w14:textId="77777777" w:rsidR="000515AC" w:rsidRPr="00302F30" w:rsidRDefault="00302F30" w:rsidP="007B47C9">
            <w:pPr>
              <w:jc w:val="both"/>
              <w:rPr>
                <w:b/>
                <w:color w:val="FF0000"/>
                <w:sz w:val="20"/>
                <w:szCs w:val="20"/>
              </w:rPr>
            </w:pPr>
            <w:r w:rsidRPr="00302F30">
              <w:rPr>
                <w:rFonts w:cs="CalibriRegular"/>
                <w:b/>
                <w:color w:val="1C1C1C"/>
                <w:sz w:val="20"/>
                <w:szCs w:val="20"/>
              </w:rPr>
              <w:t>Frontline service providers are able to deliver essential services to survivors of VAWG, and in a more coordinated manner</w:t>
            </w:r>
          </w:p>
        </w:tc>
      </w:tr>
      <w:tr w:rsidR="007B47C9" w:rsidRPr="000A6A74" w14:paraId="2CA28D51" w14:textId="77777777" w:rsidTr="009C6909">
        <w:trPr>
          <w:trHeight w:val="487"/>
        </w:trPr>
        <w:tc>
          <w:tcPr>
            <w:tcW w:w="971" w:type="pct"/>
            <w:shd w:val="clear" w:color="auto" w:fill="F2DBDB" w:themeFill="accent2" w:themeFillTint="33"/>
          </w:tcPr>
          <w:p w14:paraId="11180C68" w14:textId="77777777" w:rsidR="007B47C9" w:rsidRPr="000A6A74" w:rsidRDefault="007B47C9" w:rsidP="00D4679C">
            <w:pPr>
              <w:rPr>
                <w:sz w:val="20"/>
                <w:szCs w:val="20"/>
              </w:rPr>
            </w:pPr>
            <w:r w:rsidRPr="000A6A74">
              <w:rPr>
                <w:sz w:val="20"/>
                <w:szCs w:val="20"/>
              </w:rPr>
              <w:t xml:space="preserve">Reporting period: </w:t>
            </w:r>
          </w:p>
          <w:p w14:paraId="62A0B1B1" w14:textId="57D41F69" w:rsidR="00303D29" w:rsidRDefault="00303D29" w:rsidP="00303D29">
            <w:pPr>
              <w:rPr>
                <w:sz w:val="20"/>
                <w:szCs w:val="20"/>
              </w:rPr>
            </w:pPr>
            <w:r>
              <w:rPr>
                <w:sz w:val="20"/>
                <w:szCs w:val="20"/>
              </w:rPr>
              <w:t>Y</w:t>
            </w:r>
            <w:r w:rsidR="000A42BC">
              <w:rPr>
                <w:sz w:val="20"/>
                <w:szCs w:val="20"/>
              </w:rPr>
              <w:t>3</w:t>
            </w:r>
            <w:r>
              <w:rPr>
                <w:sz w:val="20"/>
                <w:szCs w:val="20"/>
              </w:rPr>
              <w:t xml:space="preserve"> </w:t>
            </w:r>
            <w:r w:rsidR="007D24AE">
              <w:rPr>
                <w:sz w:val="20"/>
                <w:szCs w:val="20"/>
              </w:rPr>
              <w:t xml:space="preserve">Annual </w:t>
            </w:r>
            <w:r>
              <w:rPr>
                <w:sz w:val="20"/>
                <w:szCs w:val="20"/>
              </w:rPr>
              <w:t>Progress Report</w:t>
            </w:r>
          </w:p>
          <w:p w14:paraId="49CDD12E" w14:textId="66083FB3" w:rsidR="007B47C9" w:rsidRPr="000A6A74" w:rsidRDefault="00303D29" w:rsidP="00303D29">
            <w:pPr>
              <w:rPr>
                <w:sz w:val="20"/>
                <w:szCs w:val="20"/>
              </w:rPr>
            </w:pPr>
            <w:r>
              <w:rPr>
                <w:sz w:val="20"/>
                <w:szCs w:val="20"/>
              </w:rPr>
              <w:t>January to December 201</w:t>
            </w:r>
            <w:r w:rsidR="000A42BC">
              <w:rPr>
                <w:sz w:val="20"/>
                <w:szCs w:val="20"/>
              </w:rPr>
              <w:t>7</w:t>
            </w:r>
          </w:p>
        </w:tc>
        <w:tc>
          <w:tcPr>
            <w:tcW w:w="4029" w:type="pct"/>
            <w:shd w:val="clear" w:color="auto" w:fill="FFFFFF" w:themeFill="background1"/>
          </w:tcPr>
          <w:p w14:paraId="74DBB47A" w14:textId="77777777" w:rsidR="00F138FE" w:rsidRPr="009378F2" w:rsidRDefault="00F138FE" w:rsidP="00F138FE">
            <w:pPr>
              <w:autoSpaceDE w:val="0"/>
              <w:autoSpaceDN w:val="0"/>
              <w:adjustRightInd w:val="0"/>
              <w:jc w:val="both"/>
              <w:rPr>
                <w:rFonts w:cstheme="minorHAnsi"/>
                <w:sz w:val="20"/>
                <w:szCs w:val="20"/>
              </w:rPr>
            </w:pPr>
            <w:r w:rsidRPr="009378F2">
              <w:rPr>
                <w:rFonts w:cstheme="minorHAnsi"/>
                <w:sz w:val="20"/>
                <w:szCs w:val="20"/>
              </w:rPr>
              <w:t>Outcome 2 was focused on building the capacities of f</w:t>
            </w:r>
            <w:r w:rsidRPr="009378F2">
              <w:rPr>
                <w:sz w:val="20"/>
                <w:szCs w:val="20"/>
              </w:rPr>
              <w:t xml:space="preserve">rontline service providers to deliver essential services to VAWG survivors, and in a more coordinated manner. The roll-out of technical assistance and trainings to develop the capacities of frontline service providers to deliver coordinated, essential services to VAWG survivors was slow, but key activities were achieved between January 2015 and October 2017, and more were planned for the last two months of the project period. This included technical assistance and capacity building for SAFENET Referral Network members related to the case management framework and formal referral system, and delivery of the ESP. The most notable accomplishment was that in </w:t>
            </w:r>
            <w:r w:rsidRPr="009378F2">
              <w:rPr>
                <w:rFonts w:cstheme="minorHAnsi"/>
                <w:sz w:val="20"/>
                <w:szCs w:val="20"/>
              </w:rPr>
              <w:t xml:space="preserve">2016 and 2017, UN Women provided technical assistance to SAFENET and CARECOM to monitor the coordination and implementation of the SAFENET MOU and Protocol, and to strengthen the capacity of SAFENET members to start up and deliver VAWG support services, including case management services offered by FSC and a formal referral system. </w:t>
            </w:r>
          </w:p>
          <w:p w14:paraId="2BA7AB66" w14:textId="77777777" w:rsidR="00F138FE" w:rsidRPr="009378F2" w:rsidRDefault="00F138FE" w:rsidP="00F138FE">
            <w:pPr>
              <w:autoSpaceDE w:val="0"/>
              <w:autoSpaceDN w:val="0"/>
              <w:adjustRightInd w:val="0"/>
              <w:jc w:val="both"/>
              <w:rPr>
                <w:rFonts w:cstheme="minorHAnsi"/>
                <w:sz w:val="20"/>
                <w:szCs w:val="20"/>
              </w:rPr>
            </w:pPr>
          </w:p>
          <w:p w14:paraId="7835972C" w14:textId="77777777" w:rsidR="00F138FE" w:rsidRPr="009378F2" w:rsidRDefault="00F138FE" w:rsidP="00F138FE">
            <w:pPr>
              <w:autoSpaceDE w:val="0"/>
              <w:autoSpaceDN w:val="0"/>
              <w:adjustRightInd w:val="0"/>
              <w:jc w:val="both"/>
              <w:rPr>
                <w:rFonts w:cstheme="minorHAnsi"/>
                <w:sz w:val="20"/>
                <w:szCs w:val="20"/>
              </w:rPr>
            </w:pPr>
            <w:r w:rsidRPr="009378F2">
              <w:rPr>
                <w:rFonts w:cstheme="minorHAnsi"/>
                <w:sz w:val="20"/>
                <w:szCs w:val="20"/>
              </w:rPr>
              <w:t>The launch of the FPA in April 2016 was a catalyst for improving the capabilities of frontline service providers to deliver coordinated, essential services to VAWG survivors because it resulted in capacity building trainings and increased understanding as to what is family/domestic violence and the consequences of such violence.</w:t>
            </w:r>
          </w:p>
          <w:p w14:paraId="3AF57390" w14:textId="77777777" w:rsidR="00F138FE" w:rsidRPr="009378F2" w:rsidRDefault="00F138FE" w:rsidP="00F138FE">
            <w:pPr>
              <w:autoSpaceDE w:val="0"/>
              <w:autoSpaceDN w:val="0"/>
              <w:adjustRightInd w:val="0"/>
              <w:jc w:val="both"/>
              <w:rPr>
                <w:rFonts w:cstheme="minorHAnsi"/>
                <w:sz w:val="20"/>
                <w:szCs w:val="20"/>
              </w:rPr>
            </w:pPr>
          </w:p>
          <w:p w14:paraId="0D846EFD" w14:textId="7DD39E6F" w:rsidR="006B097F" w:rsidRPr="00823444" w:rsidRDefault="00F138FE" w:rsidP="00725049">
            <w:pPr>
              <w:rPr>
                <w:color w:val="000000" w:themeColor="text1"/>
                <w:sz w:val="20"/>
                <w:szCs w:val="20"/>
              </w:rPr>
            </w:pPr>
            <w:r w:rsidRPr="009378F2">
              <w:rPr>
                <w:rFonts w:cstheme="minorHAnsi"/>
                <w:sz w:val="20"/>
                <w:szCs w:val="20"/>
              </w:rPr>
              <w:t xml:space="preserve">UNFPA and the WHO helped to develop protocols and guidelines that now guide health service providers in their responses to VAWG. </w:t>
            </w:r>
            <w:r w:rsidRPr="009378F2">
              <w:rPr>
                <w:sz w:val="20"/>
                <w:szCs w:val="20"/>
              </w:rPr>
              <w:t xml:space="preserve">In 2017, following a two-year pilot, two training manuals were developed by AUT were published by UNFPA, i.e., </w:t>
            </w:r>
            <w:r w:rsidRPr="009378F2">
              <w:rPr>
                <w:i/>
                <w:sz w:val="20"/>
                <w:szCs w:val="20"/>
              </w:rPr>
              <w:t>Strengthening the Health Response to Violence Against Women and Children: A Practice Training Manual for Health Care Professionals</w:t>
            </w:r>
            <w:r w:rsidRPr="009378F2">
              <w:rPr>
                <w:sz w:val="20"/>
                <w:szCs w:val="20"/>
              </w:rPr>
              <w:t xml:space="preserve"> and </w:t>
            </w:r>
            <w:r w:rsidRPr="009378F2">
              <w:rPr>
                <w:i/>
                <w:sz w:val="20"/>
                <w:szCs w:val="20"/>
              </w:rPr>
              <w:t xml:space="preserve">Facilitator’s Handbook: A Training Programme to Strengthen the Health Response to Violence against Women and Children. </w:t>
            </w:r>
            <w:r w:rsidRPr="009378F2">
              <w:rPr>
                <w:sz w:val="20"/>
                <w:szCs w:val="20"/>
              </w:rPr>
              <w:t xml:space="preserve">In the same year, the WHO and MHMS </w:t>
            </w:r>
            <w:r w:rsidRPr="009378F2">
              <w:rPr>
                <w:rFonts w:cstheme="minorHAnsi"/>
                <w:sz w:val="20"/>
                <w:szCs w:val="20"/>
              </w:rPr>
              <w:t xml:space="preserve">published and launched the </w:t>
            </w:r>
            <w:r w:rsidRPr="009378F2">
              <w:rPr>
                <w:rFonts w:cstheme="minorHAnsi"/>
                <w:i/>
                <w:sz w:val="20"/>
                <w:szCs w:val="20"/>
              </w:rPr>
              <w:t>Guidelines for Minimum Standards of Management of Care for Survivors of Sexual and Gender-Based Violence.</w:t>
            </w:r>
          </w:p>
        </w:tc>
      </w:tr>
    </w:tbl>
    <w:p w14:paraId="7314391C" w14:textId="77777777" w:rsidR="000515AC" w:rsidRPr="000A6A74" w:rsidRDefault="000515AC" w:rsidP="000515AC">
      <w:pPr>
        <w:pStyle w:val="Heading3"/>
        <w:rPr>
          <w:rFonts w:asciiTheme="minorHAnsi" w:hAnsiTheme="minorHAnsi"/>
          <w:sz w:val="20"/>
          <w:szCs w:val="20"/>
        </w:rPr>
      </w:pPr>
      <w:r w:rsidRPr="000A6A74">
        <w:rPr>
          <w:rFonts w:asciiTheme="minorHAnsi" w:hAnsiTheme="minorHAnsi"/>
          <w:sz w:val="20"/>
          <w:szCs w:val="20"/>
        </w:rPr>
        <w:t>Outcome indicators</w:t>
      </w:r>
    </w:p>
    <w:p w14:paraId="69DFDB75" w14:textId="77777777" w:rsidR="000515AC" w:rsidRPr="000A6A74" w:rsidRDefault="000515AC" w:rsidP="000515AC">
      <w:pPr>
        <w:spacing w:after="120" w:line="240" w:lineRule="auto"/>
        <w:rPr>
          <w:color w:val="000000" w:themeColor="text1"/>
          <w:sz w:val="20"/>
          <w:szCs w:val="20"/>
        </w:rPr>
      </w:pPr>
      <w:r w:rsidRPr="000A6A74">
        <w:rPr>
          <w:color w:val="000000" w:themeColor="text1"/>
          <w:sz w:val="20"/>
          <w:szCs w:val="20"/>
        </w:rPr>
        <w:t xml:space="preserve">Please provide the actual data </w:t>
      </w:r>
      <w:r w:rsidR="007B47C9">
        <w:rPr>
          <w:color w:val="000000" w:themeColor="text1"/>
          <w:sz w:val="20"/>
          <w:szCs w:val="20"/>
        </w:rPr>
        <w:t>against each outcome indicator</w:t>
      </w:r>
      <w:r w:rsidRPr="000A6A74">
        <w:rPr>
          <w:color w:val="000000" w:themeColor="text1"/>
          <w:sz w:val="20"/>
          <w:szCs w:val="20"/>
        </w:rPr>
        <w:t xml:space="preserve"> (</w:t>
      </w:r>
      <w:r w:rsidRPr="000A6A74">
        <w:rPr>
          <w:color w:val="FF0000"/>
          <w:sz w:val="20"/>
          <w:szCs w:val="20"/>
        </w:rPr>
        <w:t>maximum 50 words per cell</w:t>
      </w:r>
      <w:r w:rsidRPr="000A6A74">
        <w:rPr>
          <w:color w:val="000000" w:themeColor="text1"/>
          <w:sz w:val="20"/>
          <w:szCs w:val="20"/>
        </w:rPr>
        <w:t>)</w:t>
      </w:r>
    </w:p>
    <w:tbl>
      <w:tblPr>
        <w:tblStyle w:val="TableGrid"/>
        <w:tblW w:w="5000" w:type="pct"/>
        <w:tblLook w:val="04A0" w:firstRow="1" w:lastRow="0" w:firstColumn="1" w:lastColumn="0" w:noHBand="0" w:noVBand="1"/>
      </w:tblPr>
      <w:tblGrid>
        <w:gridCol w:w="7072"/>
        <w:gridCol w:w="6876"/>
      </w:tblGrid>
      <w:tr w:rsidR="000515AC" w:rsidRPr="000A6A74" w14:paraId="7C09F03B" w14:textId="77777777" w:rsidTr="000F6907">
        <w:tc>
          <w:tcPr>
            <w:tcW w:w="2535" w:type="pct"/>
            <w:shd w:val="clear" w:color="auto" w:fill="F2DBDB" w:themeFill="accent2" w:themeFillTint="33"/>
          </w:tcPr>
          <w:p w14:paraId="4BF3141C" w14:textId="77777777" w:rsidR="000515AC" w:rsidRPr="000A6A74" w:rsidRDefault="000515AC" w:rsidP="00D4679C">
            <w:pPr>
              <w:rPr>
                <w:b/>
                <w:sz w:val="20"/>
                <w:szCs w:val="20"/>
              </w:rPr>
            </w:pPr>
          </w:p>
        </w:tc>
        <w:tc>
          <w:tcPr>
            <w:tcW w:w="2465" w:type="pct"/>
            <w:shd w:val="clear" w:color="auto" w:fill="F2DBDB" w:themeFill="accent2" w:themeFillTint="33"/>
          </w:tcPr>
          <w:p w14:paraId="475752A2" w14:textId="77777777" w:rsidR="000515AC" w:rsidRPr="000A6A74" w:rsidRDefault="000515AC" w:rsidP="00D4679C">
            <w:pPr>
              <w:jc w:val="center"/>
              <w:rPr>
                <w:b/>
                <w:sz w:val="20"/>
                <w:szCs w:val="20"/>
              </w:rPr>
            </w:pPr>
            <w:r w:rsidRPr="000A6A74">
              <w:rPr>
                <w:b/>
                <w:sz w:val="20"/>
                <w:szCs w:val="20"/>
              </w:rPr>
              <w:t xml:space="preserve">Actual data on each indicator </w:t>
            </w:r>
          </w:p>
        </w:tc>
      </w:tr>
      <w:tr w:rsidR="007B47C9" w:rsidRPr="000A6A74" w14:paraId="12F861A9" w14:textId="77777777" w:rsidTr="000F6907">
        <w:tc>
          <w:tcPr>
            <w:tcW w:w="2535" w:type="pct"/>
            <w:shd w:val="clear" w:color="auto" w:fill="F2DBDB" w:themeFill="accent2" w:themeFillTint="33"/>
          </w:tcPr>
          <w:p w14:paraId="24521068" w14:textId="77777777" w:rsidR="007B47C9" w:rsidRPr="000A6A74" w:rsidRDefault="007B47C9" w:rsidP="000515AC">
            <w:pPr>
              <w:rPr>
                <w:b/>
                <w:sz w:val="20"/>
                <w:szCs w:val="20"/>
              </w:rPr>
            </w:pPr>
            <w:r w:rsidRPr="000A6A74">
              <w:rPr>
                <w:b/>
                <w:sz w:val="20"/>
                <w:szCs w:val="20"/>
              </w:rPr>
              <w:t xml:space="preserve">Indicators for Outcome </w:t>
            </w:r>
            <w:r>
              <w:rPr>
                <w:b/>
                <w:sz w:val="20"/>
                <w:szCs w:val="20"/>
              </w:rPr>
              <w:t>2</w:t>
            </w:r>
          </w:p>
        </w:tc>
        <w:tc>
          <w:tcPr>
            <w:tcW w:w="2465" w:type="pct"/>
            <w:shd w:val="clear" w:color="auto" w:fill="F2DBDB" w:themeFill="accent2" w:themeFillTint="33"/>
          </w:tcPr>
          <w:p w14:paraId="7B4C1AC1" w14:textId="50E89CCE" w:rsidR="007B47C9" w:rsidRDefault="007B47C9" w:rsidP="00D4679C">
            <w:pPr>
              <w:rPr>
                <w:sz w:val="20"/>
                <w:szCs w:val="20"/>
              </w:rPr>
            </w:pPr>
            <w:r w:rsidRPr="000A6A74">
              <w:rPr>
                <w:b/>
                <w:sz w:val="20"/>
                <w:szCs w:val="20"/>
              </w:rPr>
              <w:t>End of Implementation</w:t>
            </w:r>
            <w:r w:rsidR="00B5655A">
              <w:rPr>
                <w:b/>
                <w:sz w:val="20"/>
                <w:szCs w:val="20"/>
              </w:rPr>
              <w:t xml:space="preserve">: </w:t>
            </w:r>
            <w:r w:rsidR="00203B28">
              <w:rPr>
                <w:b/>
                <w:sz w:val="20"/>
                <w:szCs w:val="20"/>
              </w:rPr>
              <w:t>Y</w:t>
            </w:r>
            <w:r w:rsidR="000A42BC">
              <w:rPr>
                <w:b/>
                <w:sz w:val="20"/>
                <w:szCs w:val="20"/>
              </w:rPr>
              <w:t>3</w:t>
            </w:r>
            <w:r w:rsidR="00203B28">
              <w:rPr>
                <w:b/>
                <w:sz w:val="20"/>
                <w:szCs w:val="20"/>
              </w:rPr>
              <w:t xml:space="preserve"> </w:t>
            </w:r>
            <w:r w:rsidR="007D24AE">
              <w:rPr>
                <w:b/>
                <w:sz w:val="20"/>
                <w:szCs w:val="20"/>
              </w:rPr>
              <w:t xml:space="preserve">Annual </w:t>
            </w:r>
            <w:r w:rsidR="00203B28">
              <w:rPr>
                <w:b/>
                <w:sz w:val="20"/>
                <w:szCs w:val="20"/>
              </w:rPr>
              <w:t>Progress Report</w:t>
            </w:r>
            <w:r w:rsidR="00303D29">
              <w:rPr>
                <w:b/>
                <w:sz w:val="20"/>
                <w:szCs w:val="20"/>
              </w:rPr>
              <w:t xml:space="preserve"> </w:t>
            </w:r>
          </w:p>
          <w:p w14:paraId="31AB4810" w14:textId="7B0A08A2" w:rsidR="007B47C9" w:rsidRPr="000A6A74" w:rsidRDefault="007B47C9" w:rsidP="00203B28">
            <w:pPr>
              <w:rPr>
                <w:sz w:val="20"/>
                <w:szCs w:val="20"/>
              </w:rPr>
            </w:pPr>
            <w:r>
              <w:rPr>
                <w:sz w:val="20"/>
                <w:szCs w:val="20"/>
              </w:rPr>
              <w:t xml:space="preserve">(Reporting period: </w:t>
            </w:r>
            <w:r w:rsidR="00203B28">
              <w:rPr>
                <w:sz w:val="20"/>
                <w:szCs w:val="20"/>
              </w:rPr>
              <w:t>January to December 201</w:t>
            </w:r>
            <w:r w:rsidR="000A42BC">
              <w:rPr>
                <w:sz w:val="20"/>
                <w:szCs w:val="20"/>
              </w:rPr>
              <w:t>7</w:t>
            </w:r>
            <w:r w:rsidR="00476BE2">
              <w:rPr>
                <w:sz w:val="20"/>
                <w:szCs w:val="20"/>
              </w:rPr>
              <w:t>)</w:t>
            </w:r>
          </w:p>
        </w:tc>
      </w:tr>
      <w:tr w:rsidR="00083203" w:rsidRPr="000A6A74" w14:paraId="13FFA619" w14:textId="77777777" w:rsidTr="000F6907">
        <w:tc>
          <w:tcPr>
            <w:tcW w:w="2535" w:type="pct"/>
            <w:shd w:val="clear" w:color="auto" w:fill="F2DBDB" w:themeFill="accent2" w:themeFillTint="33"/>
          </w:tcPr>
          <w:p w14:paraId="5DC74DAF" w14:textId="77777777" w:rsidR="00083203" w:rsidRPr="00AD662D" w:rsidRDefault="00083203" w:rsidP="00083203">
            <w:pPr>
              <w:autoSpaceDE w:val="0"/>
              <w:autoSpaceDN w:val="0"/>
              <w:adjustRightInd w:val="0"/>
              <w:rPr>
                <w:color w:val="FF0000"/>
                <w:sz w:val="20"/>
                <w:szCs w:val="20"/>
              </w:rPr>
            </w:pPr>
            <w:r w:rsidRPr="007B47C9">
              <w:rPr>
                <w:b/>
                <w:sz w:val="20"/>
                <w:szCs w:val="20"/>
              </w:rPr>
              <w:t>Indicator 1</w:t>
            </w:r>
            <w:r>
              <w:rPr>
                <w:b/>
                <w:sz w:val="20"/>
                <w:szCs w:val="20"/>
              </w:rPr>
              <w:t>:</w:t>
            </w:r>
            <w:r>
              <w:t xml:space="preserve"> </w:t>
            </w:r>
            <w:r w:rsidRPr="008168BC">
              <w:rPr>
                <w:sz w:val="20"/>
                <w:szCs w:val="20"/>
              </w:rPr>
              <w:t>Percentage of frontline service providers who report having knowledge, attitudes, and skills to</w:t>
            </w:r>
            <w:r>
              <w:rPr>
                <w:sz w:val="20"/>
                <w:szCs w:val="20"/>
              </w:rPr>
              <w:t xml:space="preserve"> </w:t>
            </w:r>
            <w:r w:rsidRPr="008168BC">
              <w:rPr>
                <w:sz w:val="20"/>
                <w:szCs w:val="20"/>
              </w:rPr>
              <w:t>respond to the needs of VAWG survivors, and do so in a coordinated manner (6 months after</w:t>
            </w:r>
            <w:r>
              <w:rPr>
                <w:sz w:val="20"/>
                <w:szCs w:val="20"/>
              </w:rPr>
              <w:t xml:space="preserve"> training)</w:t>
            </w:r>
          </w:p>
        </w:tc>
        <w:tc>
          <w:tcPr>
            <w:tcW w:w="2465" w:type="pct"/>
            <w:shd w:val="clear" w:color="auto" w:fill="FFFFFF" w:themeFill="background1"/>
          </w:tcPr>
          <w:p w14:paraId="72D36D8D" w14:textId="0F131708" w:rsidR="00083203" w:rsidRDefault="00083203" w:rsidP="00083203">
            <w:pPr>
              <w:autoSpaceDE w:val="0"/>
              <w:autoSpaceDN w:val="0"/>
              <w:adjustRightInd w:val="0"/>
              <w:jc w:val="both"/>
              <w:rPr>
                <w:rFonts w:cs="CalibriRegular"/>
                <w:color w:val="1C1C1C"/>
                <w:sz w:val="20"/>
                <w:szCs w:val="20"/>
              </w:rPr>
            </w:pPr>
            <w:r w:rsidRPr="00725049">
              <w:rPr>
                <w:rFonts w:cs="CalibriRegular"/>
                <w:color w:val="1C1C1C"/>
                <w:sz w:val="20"/>
                <w:szCs w:val="20"/>
              </w:rPr>
              <w:t xml:space="preserve">UN Women, UNFPA, and WHO provided technical expertise and assistance, and capacity building to SAFENET and SAFENET members, including service providers, health workers, and justice officials. </w:t>
            </w:r>
          </w:p>
          <w:p w14:paraId="6A6756A9" w14:textId="77777777" w:rsidR="00083203" w:rsidRPr="00725049" w:rsidRDefault="00083203" w:rsidP="00725049">
            <w:pPr>
              <w:autoSpaceDE w:val="0"/>
              <w:autoSpaceDN w:val="0"/>
              <w:adjustRightInd w:val="0"/>
              <w:jc w:val="both"/>
              <w:rPr>
                <w:rFonts w:cs="CalibriRegular"/>
                <w:color w:val="1C1C1C"/>
                <w:sz w:val="20"/>
                <w:szCs w:val="20"/>
              </w:rPr>
            </w:pPr>
          </w:p>
          <w:p w14:paraId="341EBE9F" w14:textId="1E48584D" w:rsidR="00083203" w:rsidRDefault="00083203" w:rsidP="00083203">
            <w:pPr>
              <w:autoSpaceDE w:val="0"/>
              <w:autoSpaceDN w:val="0"/>
              <w:adjustRightInd w:val="0"/>
              <w:jc w:val="both"/>
              <w:rPr>
                <w:sz w:val="20"/>
                <w:szCs w:val="20"/>
              </w:rPr>
            </w:pPr>
            <w:r w:rsidRPr="00725049">
              <w:rPr>
                <w:rFonts w:cs="CalibriRegular"/>
                <w:color w:val="1C1C1C"/>
                <w:sz w:val="20"/>
                <w:szCs w:val="20"/>
              </w:rPr>
              <w:t xml:space="preserve">Auckland University of Technology (AUT) developed a pre- and post-test KAP survey for use with UNFPA’s trainings of health care workers. A pilot test of the KAP survey was conducted with one of the trainings. Survey findings reportedly demonstrated </w:t>
            </w:r>
            <w:r w:rsidRPr="00725049">
              <w:rPr>
                <w:sz w:val="20"/>
                <w:szCs w:val="20"/>
              </w:rPr>
              <w:t>increased capacity, capability, and confidence of the health workers to respond appropriately and safely to survivors of VAWG. Given the survey data or findings were not shared, they are not included in this report.</w:t>
            </w:r>
          </w:p>
          <w:p w14:paraId="58703DD7" w14:textId="77777777" w:rsidR="00083203" w:rsidRPr="00725049" w:rsidRDefault="00083203" w:rsidP="00725049">
            <w:pPr>
              <w:autoSpaceDE w:val="0"/>
              <w:autoSpaceDN w:val="0"/>
              <w:adjustRightInd w:val="0"/>
              <w:jc w:val="both"/>
              <w:rPr>
                <w:rFonts w:cs="CalibriRegular"/>
                <w:color w:val="1C1C1C"/>
                <w:sz w:val="20"/>
                <w:szCs w:val="20"/>
              </w:rPr>
            </w:pPr>
          </w:p>
          <w:p w14:paraId="6CF1D184" w14:textId="3F4F81E6" w:rsidR="00083203" w:rsidRPr="000F6907" w:rsidRDefault="00083203" w:rsidP="00083203">
            <w:pPr>
              <w:autoSpaceDE w:val="0"/>
              <w:autoSpaceDN w:val="0"/>
              <w:adjustRightInd w:val="0"/>
              <w:jc w:val="both"/>
              <w:rPr>
                <w:sz w:val="20"/>
                <w:szCs w:val="20"/>
              </w:rPr>
            </w:pPr>
            <w:r w:rsidRPr="002436EB">
              <w:rPr>
                <w:sz w:val="20"/>
                <w:szCs w:val="20"/>
              </w:rPr>
              <w:t xml:space="preserve">A KAP survey was developed by </w:t>
            </w:r>
            <w:r>
              <w:rPr>
                <w:sz w:val="20"/>
                <w:szCs w:val="20"/>
              </w:rPr>
              <w:t xml:space="preserve">the </w:t>
            </w:r>
            <w:r w:rsidRPr="002436EB">
              <w:rPr>
                <w:sz w:val="20"/>
                <w:szCs w:val="20"/>
              </w:rPr>
              <w:t xml:space="preserve">UN Women </w:t>
            </w:r>
            <w:r>
              <w:rPr>
                <w:sz w:val="20"/>
                <w:szCs w:val="20"/>
              </w:rPr>
              <w:t xml:space="preserve">MRE Specialist </w:t>
            </w:r>
            <w:r w:rsidRPr="002436EB">
              <w:rPr>
                <w:sz w:val="20"/>
                <w:szCs w:val="20"/>
              </w:rPr>
              <w:t xml:space="preserve">for use with frontline service providers, including health workers and service providers. The KAP survey </w:t>
            </w:r>
            <w:r>
              <w:rPr>
                <w:sz w:val="20"/>
                <w:szCs w:val="20"/>
              </w:rPr>
              <w:t xml:space="preserve">was piloted during the baseline study (2015), and administered to some health workers and service providers in and around Honiara during the midline assessment (June 2016). The survey </w:t>
            </w:r>
            <w:r w:rsidRPr="002436EB">
              <w:rPr>
                <w:sz w:val="20"/>
                <w:szCs w:val="20"/>
              </w:rPr>
              <w:t xml:space="preserve">revealed that frontline service providers have some knowledge and understanding of VAWG; however, tend to hold attitudes that blame the victim. These attitudes can serve as </w:t>
            </w:r>
            <w:r>
              <w:rPr>
                <w:sz w:val="20"/>
                <w:szCs w:val="20"/>
              </w:rPr>
              <w:t xml:space="preserve">a </w:t>
            </w:r>
            <w:r w:rsidRPr="002436EB">
              <w:rPr>
                <w:sz w:val="20"/>
                <w:szCs w:val="20"/>
              </w:rPr>
              <w:t>barrier for women attempt</w:t>
            </w:r>
            <w:r>
              <w:rPr>
                <w:sz w:val="20"/>
                <w:szCs w:val="20"/>
              </w:rPr>
              <w:t>ing</w:t>
            </w:r>
            <w:r w:rsidRPr="002436EB">
              <w:rPr>
                <w:sz w:val="20"/>
                <w:szCs w:val="20"/>
              </w:rPr>
              <w:t xml:space="preserve"> to seek help and assistance for VAWG. The KAP survey also revealed </w:t>
            </w:r>
            <w:r>
              <w:rPr>
                <w:sz w:val="20"/>
                <w:szCs w:val="20"/>
              </w:rPr>
              <w:t xml:space="preserve">that </w:t>
            </w:r>
            <w:r w:rsidRPr="002436EB">
              <w:rPr>
                <w:sz w:val="20"/>
                <w:szCs w:val="20"/>
              </w:rPr>
              <w:t>while frontline service providers have some ability to identify and respond to VAWG, they feel they need more training and technical assistance to improve their response and to understand the FPA.</w:t>
            </w:r>
            <w:r>
              <w:rPr>
                <w:sz w:val="20"/>
                <w:szCs w:val="20"/>
              </w:rPr>
              <w:t xml:space="preserve"> The KAP survey was not administered at the endline.</w:t>
            </w:r>
          </w:p>
        </w:tc>
      </w:tr>
      <w:tr w:rsidR="00083203" w:rsidRPr="000A6A74" w14:paraId="426E3A32" w14:textId="77777777" w:rsidTr="000F6907">
        <w:tc>
          <w:tcPr>
            <w:tcW w:w="2535" w:type="pct"/>
            <w:shd w:val="clear" w:color="auto" w:fill="F2DBDB" w:themeFill="accent2" w:themeFillTint="33"/>
          </w:tcPr>
          <w:p w14:paraId="5193D6BC" w14:textId="77777777" w:rsidR="00083203" w:rsidRPr="007B47C9" w:rsidRDefault="00083203" w:rsidP="00083203">
            <w:pPr>
              <w:autoSpaceDE w:val="0"/>
              <w:autoSpaceDN w:val="0"/>
              <w:adjustRightInd w:val="0"/>
              <w:rPr>
                <w:b/>
                <w:sz w:val="20"/>
                <w:szCs w:val="20"/>
              </w:rPr>
            </w:pPr>
            <w:r w:rsidRPr="008168BC">
              <w:rPr>
                <w:b/>
                <w:sz w:val="20"/>
                <w:szCs w:val="20"/>
              </w:rPr>
              <w:lastRenderedPageBreak/>
              <w:t>Indicator 2:</w:t>
            </w:r>
            <w:r>
              <w:rPr>
                <w:sz w:val="20"/>
                <w:szCs w:val="20"/>
              </w:rPr>
              <w:t xml:space="preserve"> </w:t>
            </w:r>
            <w:r w:rsidRPr="008168BC">
              <w:rPr>
                <w:sz w:val="20"/>
                <w:szCs w:val="20"/>
              </w:rPr>
              <w:t>Number of referral cases tracked through the referral system in the past 6 months, by Type of</w:t>
            </w:r>
            <w:r>
              <w:rPr>
                <w:sz w:val="20"/>
                <w:szCs w:val="20"/>
              </w:rPr>
              <w:t xml:space="preserve"> </w:t>
            </w:r>
            <w:r w:rsidRPr="008168BC">
              <w:rPr>
                <w:sz w:val="20"/>
                <w:szCs w:val="20"/>
              </w:rPr>
              <w:t>services</w:t>
            </w:r>
          </w:p>
        </w:tc>
        <w:tc>
          <w:tcPr>
            <w:tcW w:w="2465" w:type="pct"/>
            <w:shd w:val="clear" w:color="auto" w:fill="FFFFFF" w:themeFill="background1"/>
          </w:tcPr>
          <w:p w14:paraId="44D9F63D" w14:textId="3BBE73BB" w:rsidR="00083203" w:rsidRDefault="00083203" w:rsidP="00083203">
            <w:pPr>
              <w:jc w:val="both"/>
              <w:rPr>
                <w:sz w:val="20"/>
                <w:szCs w:val="20"/>
              </w:rPr>
            </w:pPr>
            <w:r w:rsidRPr="00725049">
              <w:rPr>
                <w:sz w:val="20"/>
                <w:szCs w:val="20"/>
              </w:rPr>
              <w:t xml:space="preserve">When the UNTF proposal was written it was envisioned the World Bank funded referral tracking database would be developed and utilized by SAFENET to track referrals of cases through the referral system; however, given funding challenges and other delays the referral tracking database was never developed. </w:t>
            </w:r>
          </w:p>
          <w:p w14:paraId="146A9E62" w14:textId="77777777" w:rsidR="00083203" w:rsidRPr="00725049" w:rsidRDefault="00083203" w:rsidP="00725049">
            <w:pPr>
              <w:jc w:val="both"/>
              <w:rPr>
                <w:rFonts w:cs="CalibriRegular"/>
                <w:sz w:val="20"/>
                <w:szCs w:val="20"/>
              </w:rPr>
            </w:pPr>
          </w:p>
          <w:p w14:paraId="78C85DA5" w14:textId="1A1ECA1F" w:rsidR="00083203" w:rsidRDefault="00083203" w:rsidP="00083203">
            <w:pPr>
              <w:jc w:val="both"/>
              <w:rPr>
                <w:rFonts w:cs="CalibriRegular"/>
                <w:sz w:val="20"/>
                <w:szCs w:val="20"/>
              </w:rPr>
            </w:pPr>
            <w:r w:rsidRPr="00725049">
              <w:rPr>
                <w:sz w:val="20"/>
                <w:szCs w:val="20"/>
              </w:rPr>
              <w:t xml:space="preserve">Given this limitation, steps were taken to incorporate into </w:t>
            </w:r>
            <w:r w:rsidRPr="00725049">
              <w:rPr>
                <w:rFonts w:cs="CalibriRegular"/>
                <w:i/>
                <w:sz w:val="20"/>
                <w:szCs w:val="20"/>
              </w:rPr>
              <w:t>Self-Report VAWG Data Collection Forms</w:t>
            </w:r>
            <w:r w:rsidRPr="00725049">
              <w:rPr>
                <w:rFonts w:cs="CalibriRegular"/>
                <w:sz w:val="20"/>
                <w:szCs w:val="20"/>
              </w:rPr>
              <w:t xml:space="preserve"> a component that will allow for the measurement of the number of VAWG cases referred to and from service providers, hospital/health clinics, police, and justice system agencies. It is important to note that most organizations/agencies have not historically recorded referral data, so these are early attempts to capture such data, and some organizations/agencies did not report this data in the </w:t>
            </w:r>
            <w:r w:rsidRPr="00725049">
              <w:rPr>
                <w:rFonts w:cs="CalibriRegular"/>
                <w:i/>
                <w:sz w:val="20"/>
                <w:szCs w:val="20"/>
              </w:rPr>
              <w:t>Self-Report VAWG Data Collection Forms</w:t>
            </w:r>
            <w:r w:rsidRPr="00725049">
              <w:rPr>
                <w:rFonts w:cs="CalibriRegular"/>
                <w:sz w:val="20"/>
                <w:szCs w:val="20"/>
              </w:rPr>
              <w:t xml:space="preserve">. The accuracy of such data remains in question, as many referrals go unrecorded and survivors often access more than one service provider so their maybe double counting in the numbers. The formalized case management framework and referral system that is being developed by SAFENET with support from UN Women should help to improve tracking of referrals. </w:t>
            </w:r>
          </w:p>
          <w:p w14:paraId="2A3CB831" w14:textId="77777777" w:rsidR="00083203" w:rsidRPr="00725049" w:rsidRDefault="00083203" w:rsidP="00725049">
            <w:pPr>
              <w:jc w:val="both"/>
              <w:rPr>
                <w:sz w:val="20"/>
                <w:szCs w:val="20"/>
              </w:rPr>
            </w:pPr>
          </w:p>
          <w:p w14:paraId="39BD7AD4" w14:textId="5C70FD5C" w:rsidR="00083203" w:rsidRDefault="00083203" w:rsidP="00083203">
            <w:pPr>
              <w:jc w:val="both"/>
              <w:rPr>
                <w:rFonts w:cs="CalibriRegular"/>
                <w:sz w:val="20"/>
                <w:szCs w:val="20"/>
              </w:rPr>
            </w:pPr>
            <w:r w:rsidRPr="00725049">
              <w:rPr>
                <w:rFonts w:cs="CalibriRegular"/>
                <w:sz w:val="20"/>
                <w:szCs w:val="20"/>
              </w:rPr>
              <w:lastRenderedPageBreak/>
              <w:t xml:space="preserve">Based upon referral data collected using the </w:t>
            </w:r>
            <w:r w:rsidRPr="00725049">
              <w:rPr>
                <w:rFonts w:cs="CalibriRegular"/>
                <w:i/>
                <w:sz w:val="20"/>
                <w:szCs w:val="20"/>
              </w:rPr>
              <w:t>Self-Report VAWG Data Collection Forms</w:t>
            </w:r>
            <w:r w:rsidRPr="00725049">
              <w:rPr>
                <w:rFonts w:cs="CalibriRegular"/>
                <w:sz w:val="20"/>
                <w:szCs w:val="20"/>
              </w:rPr>
              <w:t xml:space="preserve">, a greater number of agencies and CSOs reported referring VAWG survivors to the police, CCC, and FSC, compared to other service providers and justice system agencies. A significant proportion of agencies and CSOs also referred VAWG survivors to the hospital and health clinics. </w:t>
            </w:r>
          </w:p>
          <w:p w14:paraId="75B49506" w14:textId="77777777" w:rsidR="00083203" w:rsidRPr="00725049" w:rsidRDefault="00083203" w:rsidP="00725049">
            <w:pPr>
              <w:jc w:val="both"/>
              <w:rPr>
                <w:sz w:val="20"/>
                <w:szCs w:val="20"/>
              </w:rPr>
            </w:pPr>
          </w:p>
          <w:p w14:paraId="42B55AEE" w14:textId="777AAD4B" w:rsidR="00083203" w:rsidRPr="000F6907" w:rsidRDefault="00083203" w:rsidP="00083203">
            <w:pPr>
              <w:jc w:val="both"/>
              <w:rPr>
                <w:sz w:val="20"/>
                <w:szCs w:val="20"/>
              </w:rPr>
            </w:pPr>
            <w:r w:rsidRPr="008C7528">
              <w:rPr>
                <w:rFonts w:cs="CalibriRegular"/>
                <w:sz w:val="20"/>
                <w:szCs w:val="20"/>
              </w:rPr>
              <w:t xml:space="preserve">A greater number of agencies and CSOs reported VAWG survivors were referred to their agency </w:t>
            </w:r>
            <w:r>
              <w:rPr>
                <w:rFonts w:cs="CalibriRegular"/>
                <w:sz w:val="20"/>
                <w:szCs w:val="20"/>
              </w:rPr>
              <w:t>from Seif Ples and t</w:t>
            </w:r>
            <w:r w:rsidRPr="008C7528">
              <w:rPr>
                <w:rFonts w:cs="CalibriRegular"/>
                <w:sz w:val="20"/>
                <w:szCs w:val="20"/>
              </w:rPr>
              <w:t xml:space="preserve">he police. </w:t>
            </w:r>
          </w:p>
        </w:tc>
      </w:tr>
      <w:tr w:rsidR="00083203" w:rsidRPr="000A6A74" w14:paraId="45B7BDA6" w14:textId="77777777" w:rsidTr="000F6907">
        <w:tc>
          <w:tcPr>
            <w:tcW w:w="2535" w:type="pct"/>
            <w:shd w:val="clear" w:color="auto" w:fill="F2DBDB" w:themeFill="accent2" w:themeFillTint="33"/>
          </w:tcPr>
          <w:p w14:paraId="19BB72EC" w14:textId="77777777" w:rsidR="00083203" w:rsidRPr="00302F30" w:rsidRDefault="00083203" w:rsidP="00083203">
            <w:pPr>
              <w:rPr>
                <w:sz w:val="20"/>
                <w:szCs w:val="20"/>
              </w:rPr>
            </w:pPr>
            <w:r>
              <w:rPr>
                <w:b/>
                <w:sz w:val="20"/>
                <w:szCs w:val="20"/>
              </w:rPr>
              <w:lastRenderedPageBreak/>
              <w:t>Indicator 3</w:t>
            </w:r>
            <w:r w:rsidRPr="007B47C9">
              <w:rPr>
                <w:b/>
                <w:sz w:val="20"/>
                <w:szCs w:val="20"/>
              </w:rPr>
              <w:t>:</w:t>
            </w:r>
            <w:r>
              <w:t xml:space="preserve"> </w:t>
            </w:r>
            <w:r w:rsidRPr="00B648D2">
              <w:rPr>
                <w:sz w:val="20"/>
                <w:szCs w:val="20"/>
              </w:rPr>
              <w:t>Number of primary referrals made in the past 6 months, Type of services</w:t>
            </w:r>
          </w:p>
        </w:tc>
        <w:tc>
          <w:tcPr>
            <w:tcW w:w="2465" w:type="pct"/>
            <w:shd w:val="clear" w:color="auto" w:fill="FFFFFF" w:themeFill="background1"/>
          </w:tcPr>
          <w:p w14:paraId="71C7EC9C" w14:textId="39C5FCCD" w:rsidR="00083203" w:rsidRDefault="00083203" w:rsidP="00083203">
            <w:pPr>
              <w:rPr>
                <w:sz w:val="20"/>
                <w:szCs w:val="20"/>
              </w:rPr>
            </w:pPr>
            <w:r w:rsidRPr="00725049">
              <w:rPr>
                <w:sz w:val="20"/>
                <w:szCs w:val="20"/>
              </w:rPr>
              <w:t xml:space="preserve">It is not clear how many primary referrals were made given the World Bank funded referral tracking database was never developed. </w:t>
            </w:r>
          </w:p>
          <w:p w14:paraId="7B8028E0" w14:textId="77777777" w:rsidR="00083203" w:rsidRPr="00725049" w:rsidRDefault="00083203" w:rsidP="00725049">
            <w:pPr>
              <w:rPr>
                <w:rFonts w:cs="CalibriRegular"/>
                <w:color w:val="1C1C1C"/>
                <w:sz w:val="20"/>
                <w:szCs w:val="20"/>
              </w:rPr>
            </w:pPr>
          </w:p>
          <w:p w14:paraId="47348AA5" w14:textId="23F9E8D7" w:rsidR="00083203" w:rsidRPr="008C1E79" w:rsidRDefault="00083203" w:rsidP="00083203">
            <w:pPr>
              <w:rPr>
                <w:rFonts w:eastAsiaTheme="minorHAnsi"/>
                <w:sz w:val="20"/>
                <w:szCs w:val="20"/>
                <w:lang w:val="en-US" w:eastAsia="en-US"/>
              </w:rPr>
            </w:pPr>
            <w:r>
              <w:rPr>
                <w:sz w:val="20"/>
                <w:szCs w:val="20"/>
              </w:rPr>
              <w:t>FSC is in the process of implementing a computer-based case management system that should allow them in the future to provide more accurate information on the number of primary referrals.</w:t>
            </w:r>
          </w:p>
        </w:tc>
      </w:tr>
    </w:tbl>
    <w:p w14:paraId="34F35DC0" w14:textId="77777777" w:rsidR="000515AC" w:rsidRPr="000A6A74" w:rsidRDefault="000515AC" w:rsidP="000515AC">
      <w:pPr>
        <w:pStyle w:val="Heading3"/>
        <w:rPr>
          <w:rFonts w:asciiTheme="minorHAnsi" w:hAnsiTheme="minorHAnsi"/>
          <w:sz w:val="20"/>
          <w:szCs w:val="20"/>
        </w:rPr>
      </w:pPr>
      <w:r w:rsidRPr="000A6A74">
        <w:rPr>
          <w:rFonts w:asciiTheme="minorHAnsi" w:hAnsiTheme="minorHAnsi"/>
          <w:sz w:val="20"/>
          <w:szCs w:val="20"/>
        </w:rPr>
        <w:t xml:space="preserve">Number of beneficiaries reached at the Outcome </w:t>
      </w:r>
    </w:p>
    <w:p w14:paraId="77605D6C" w14:textId="77777777" w:rsidR="000515AC" w:rsidRPr="000A6A74" w:rsidRDefault="000515AC" w:rsidP="000515AC">
      <w:pPr>
        <w:pStyle w:val="ListParagraph"/>
        <w:numPr>
          <w:ilvl w:val="0"/>
          <w:numId w:val="31"/>
        </w:numPr>
        <w:spacing w:after="0" w:line="240" w:lineRule="auto"/>
        <w:rPr>
          <w:sz w:val="20"/>
          <w:szCs w:val="20"/>
        </w:rPr>
      </w:pPr>
      <w:r w:rsidRPr="000A6A74">
        <w:rPr>
          <w:b/>
          <w:color w:val="000000" w:themeColor="text1"/>
          <w:sz w:val="20"/>
          <w:szCs w:val="20"/>
        </w:rPr>
        <w:t>Number of beneficiaries reached (individual and/or institutional levels)</w:t>
      </w:r>
      <w:r w:rsidRPr="000A6A74">
        <w:rPr>
          <w:color w:val="000000" w:themeColor="text1"/>
          <w:sz w:val="20"/>
          <w:szCs w:val="20"/>
        </w:rPr>
        <w:t xml:space="preserve">: How many beneficiaries experienced any changes in their </w:t>
      </w:r>
      <w:r w:rsidR="002B124B" w:rsidRPr="000A6A74">
        <w:rPr>
          <w:color w:val="000000" w:themeColor="text1"/>
          <w:sz w:val="20"/>
          <w:szCs w:val="20"/>
        </w:rPr>
        <w:t>behaviours</w:t>
      </w:r>
      <w:r w:rsidRPr="000A6A74">
        <w:rPr>
          <w:color w:val="000000" w:themeColor="text1"/>
          <w:sz w:val="20"/>
          <w:szCs w:val="20"/>
        </w:rPr>
        <w:t xml:space="preserve"> and/or actions during the reporting period? </w:t>
      </w:r>
    </w:p>
    <w:p w14:paraId="46ECEDCC" w14:textId="77777777" w:rsidR="000515AC" w:rsidRPr="000A6A74" w:rsidRDefault="000515AC" w:rsidP="000515AC">
      <w:pPr>
        <w:pStyle w:val="ListParagraph"/>
        <w:numPr>
          <w:ilvl w:val="0"/>
          <w:numId w:val="31"/>
        </w:numPr>
        <w:spacing w:after="0" w:line="240" w:lineRule="auto"/>
        <w:rPr>
          <w:sz w:val="20"/>
          <w:szCs w:val="20"/>
        </w:rPr>
      </w:pPr>
      <w:r w:rsidRPr="000A6A74">
        <w:rPr>
          <w:color w:val="000000" w:themeColor="text1"/>
          <w:sz w:val="20"/>
          <w:szCs w:val="20"/>
        </w:rPr>
        <w:t xml:space="preserve">Please provide the number for each beneficiary group.  </w:t>
      </w:r>
    </w:p>
    <w:p w14:paraId="0A6B84CD" w14:textId="77777777" w:rsidR="000515AC" w:rsidRPr="000A6A74" w:rsidRDefault="000515AC" w:rsidP="000515AC">
      <w:pPr>
        <w:pStyle w:val="ListParagraph"/>
        <w:numPr>
          <w:ilvl w:val="0"/>
          <w:numId w:val="31"/>
        </w:numPr>
        <w:spacing w:after="0" w:line="240" w:lineRule="auto"/>
        <w:rPr>
          <w:sz w:val="20"/>
          <w:szCs w:val="20"/>
        </w:rPr>
      </w:pPr>
      <w:r w:rsidRPr="000A6A74">
        <w:rPr>
          <w:color w:val="000000" w:themeColor="text1"/>
          <w:sz w:val="20"/>
          <w:szCs w:val="20"/>
        </w:rPr>
        <w:t>To avoid double counting from the previous report(s),</w:t>
      </w:r>
      <w:r w:rsidRPr="000A6A74">
        <w:rPr>
          <w:color w:val="000000" w:themeColor="text1"/>
          <w:sz w:val="20"/>
          <w:szCs w:val="20"/>
          <w:u w:val="single"/>
        </w:rPr>
        <w:t xml:space="preserve"> please do not count the beneficiaries who have been already reported in the previous report(s).</w:t>
      </w:r>
      <w:r w:rsidRPr="000A6A74">
        <w:rPr>
          <w:color w:val="000000" w:themeColor="text1"/>
          <w:sz w:val="20"/>
          <w:szCs w:val="20"/>
        </w:rPr>
        <w:t xml:space="preserve"> </w:t>
      </w:r>
    </w:p>
    <w:p w14:paraId="1EB6BFD0" w14:textId="6D3A8A0F" w:rsidR="000515AC" w:rsidRPr="000A6A74" w:rsidRDefault="000515AC" w:rsidP="000515AC">
      <w:pPr>
        <w:spacing w:after="120" w:line="240" w:lineRule="auto"/>
        <w:rPr>
          <w:color w:val="000000" w:themeColor="text1"/>
          <w:sz w:val="20"/>
          <w:szCs w:val="20"/>
        </w:rPr>
      </w:pPr>
      <w:r w:rsidRPr="000A6A74">
        <w:rPr>
          <w:color w:val="000000" w:themeColor="text1"/>
          <w:sz w:val="20"/>
          <w:szCs w:val="20"/>
        </w:rPr>
        <w:t xml:space="preserve"> </w:t>
      </w:r>
    </w:p>
    <w:tbl>
      <w:tblPr>
        <w:tblStyle w:val="TableGrid"/>
        <w:tblW w:w="5000" w:type="pct"/>
        <w:tblLook w:val="04A0" w:firstRow="1" w:lastRow="0" w:firstColumn="1" w:lastColumn="0" w:noHBand="0" w:noVBand="1"/>
      </w:tblPr>
      <w:tblGrid>
        <w:gridCol w:w="7848"/>
        <w:gridCol w:w="3004"/>
        <w:gridCol w:w="3096"/>
      </w:tblGrid>
      <w:tr w:rsidR="000515AC" w:rsidRPr="000A6A74" w14:paraId="7BD50BF0" w14:textId="77777777" w:rsidTr="00203B28">
        <w:tc>
          <w:tcPr>
            <w:tcW w:w="5000" w:type="pct"/>
            <w:gridSpan w:val="3"/>
            <w:shd w:val="clear" w:color="auto" w:fill="F2DBDB" w:themeFill="accent2" w:themeFillTint="33"/>
          </w:tcPr>
          <w:p w14:paraId="792782E2" w14:textId="77777777" w:rsidR="000515AC" w:rsidRPr="000A6A74" w:rsidRDefault="000515AC" w:rsidP="00D4679C">
            <w:pPr>
              <w:jc w:val="center"/>
              <w:rPr>
                <w:b/>
                <w:sz w:val="20"/>
                <w:szCs w:val="20"/>
              </w:rPr>
            </w:pPr>
            <w:r w:rsidRPr="000A6A74">
              <w:rPr>
                <w:b/>
                <w:sz w:val="20"/>
                <w:szCs w:val="20"/>
              </w:rPr>
              <w:t xml:space="preserve">Actual number of beneficiaries reached at the outcome level </w:t>
            </w:r>
          </w:p>
        </w:tc>
      </w:tr>
      <w:tr w:rsidR="00070183" w:rsidRPr="000A6A74" w14:paraId="2608C2F1" w14:textId="77777777" w:rsidTr="00203B28">
        <w:tc>
          <w:tcPr>
            <w:tcW w:w="2813" w:type="pct"/>
            <w:vMerge w:val="restart"/>
            <w:shd w:val="clear" w:color="auto" w:fill="F2DBDB" w:themeFill="accent2" w:themeFillTint="33"/>
          </w:tcPr>
          <w:p w14:paraId="3737EF7F" w14:textId="77777777" w:rsidR="00070183" w:rsidRPr="000A6A74" w:rsidRDefault="00070183" w:rsidP="00D4679C">
            <w:pPr>
              <w:rPr>
                <w:b/>
                <w:sz w:val="20"/>
                <w:szCs w:val="20"/>
              </w:rPr>
            </w:pPr>
            <w:r w:rsidRPr="000A6A74">
              <w:rPr>
                <w:b/>
                <w:sz w:val="20"/>
                <w:szCs w:val="20"/>
              </w:rPr>
              <w:t xml:space="preserve">Targeted beneficiary groups </w:t>
            </w:r>
            <w:r>
              <w:rPr>
                <w:b/>
                <w:sz w:val="20"/>
                <w:szCs w:val="20"/>
              </w:rPr>
              <w:t>(</w:t>
            </w:r>
            <w:r w:rsidRPr="000A6A74">
              <w:rPr>
                <w:b/>
                <w:sz w:val="20"/>
                <w:szCs w:val="20"/>
              </w:rPr>
              <w:t>Outcome</w:t>
            </w:r>
            <w:r>
              <w:rPr>
                <w:b/>
                <w:sz w:val="20"/>
                <w:szCs w:val="20"/>
              </w:rPr>
              <w:t xml:space="preserve"> level)</w:t>
            </w:r>
            <w:r w:rsidRPr="000A6A74">
              <w:rPr>
                <w:b/>
                <w:sz w:val="20"/>
                <w:szCs w:val="20"/>
              </w:rPr>
              <w:t xml:space="preserve"> </w:t>
            </w:r>
          </w:p>
        </w:tc>
        <w:tc>
          <w:tcPr>
            <w:tcW w:w="2187" w:type="pct"/>
            <w:gridSpan w:val="2"/>
            <w:tcBorders>
              <w:bottom w:val="single" w:sz="4" w:space="0" w:color="auto"/>
            </w:tcBorders>
            <w:shd w:val="clear" w:color="auto" w:fill="F2DBDB" w:themeFill="accent2" w:themeFillTint="33"/>
          </w:tcPr>
          <w:p w14:paraId="77EBB7F8" w14:textId="1DD11EE9" w:rsidR="00070183" w:rsidRDefault="00070183" w:rsidP="00303D29">
            <w:pPr>
              <w:jc w:val="center"/>
              <w:rPr>
                <w:sz w:val="20"/>
                <w:szCs w:val="20"/>
              </w:rPr>
            </w:pPr>
            <w:r w:rsidRPr="000A6A74">
              <w:rPr>
                <w:sz w:val="20"/>
                <w:szCs w:val="20"/>
              </w:rPr>
              <w:t>Reporting period:</w:t>
            </w:r>
            <w:r w:rsidR="00303D29">
              <w:rPr>
                <w:sz w:val="20"/>
                <w:szCs w:val="20"/>
              </w:rPr>
              <w:t xml:space="preserve"> </w:t>
            </w:r>
            <w:r w:rsidR="00B47E3F">
              <w:rPr>
                <w:sz w:val="20"/>
                <w:szCs w:val="20"/>
              </w:rPr>
              <w:t>Y</w:t>
            </w:r>
            <w:r w:rsidR="00476BE2">
              <w:rPr>
                <w:sz w:val="20"/>
                <w:szCs w:val="20"/>
              </w:rPr>
              <w:t>3</w:t>
            </w:r>
            <w:r w:rsidR="007D24AE">
              <w:rPr>
                <w:sz w:val="20"/>
                <w:szCs w:val="20"/>
              </w:rPr>
              <w:t xml:space="preserve"> Annual </w:t>
            </w:r>
            <w:r w:rsidR="00B47E3F">
              <w:rPr>
                <w:sz w:val="20"/>
                <w:szCs w:val="20"/>
              </w:rPr>
              <w:t>Progress Report</w:t>
            </w:r>
          </w:p>
          <w:p w14:paraId="28FDA752" w14:textId="1603998B" w:rsidR="00303D29" w:rsidRPr="000A6A74" w:rsidRDefault="00303D29" w:rsidP="00303D29">
            <w:pPr>
              <w:jc w:val="center"/>
              <w:rPr>
                <w:sz w:val="20"/>
                <w:szCs w:val="20"/>
              </w:rPr>
            </w:pPr>
            <w:r>
              <w:rPr>
                <w:sz w:val="20"/>
                <w:szCs w:val="20"/>
              </w:rPr>
              <w:t>January to December 201</w:t>
            </w:r>
            <w:r w:rsidR="00476BE2">
              <w:rPr>
                <w:sz w:val="20"/>
                <w:szCs w:val="20"/>
              </w:rPr>
              <w:t>7</w:t>
            </w:r>
          </w:p>
        </w:tc>
      </w:tr>
      <w:tr w:rsidR="00070183" w:rsidRPr="000A6A74" w14:paraId="6B448993" w14:textId="77777777" w:rsidTr="00203B28">
        <w:tc>
          <w:tcPr>
            <w:tcW w:w="2813" w:type="pct"/>
            <w:vMerge/>
            <w:shd w:val="clear" w:color="auto" w:fill="F2DBDB" w:themeFill="accent2" w:themeFillTint="33"/>
          </w:tcPr>
          <w:p w14:paraId="392B5C56" w14:textId="77777777" w:rsidR="00070183" w:rsidRPr="000A6A74" w:rsidRDefault="00070183" w:rsidP="00D4679C">
            <w:pPr>
              <w:rPr>
                <w:b/>
                <w:sz w:val="20"/>
                <w:szCs w:val="20"/>
              </w:rPr>
            </w:pPr>
          </w:p>
        </w:tc>
        <w:tc>
          <w:tcPr>
            <w:tcW w:w="1077" w:type="pct"/>
            <w:tcBorders>
              <w:bottom w:val="single" w:sz="4" w:space="0" w:color="auto"/>
            </w:tcBorders>
            <w:shd w:val="clear" w:color="auto" w:fill="F2DBDB" w:themeFill="accent2" w:themeFillTint="33"/>
          </w:tcPr>
          <w:p w14:paraId="4F821F57" w14:textId="77777777" w:rsidR="00070183" w:rsidRPr="000A6A74" w:rsidRDefault="00070183" w:rsidP="00203B28">
            <w:pPr>
              <w:jc w:val="center"/>
              <w:rPr>
                <w:sz w:val="20"/>
                <w:szCs w:val="20"/>
              </w:rPr>
            </w:pPr>
            <w:r w:rsidRPr="000A6A74">
              <w:rPr>
                <w:sz w:val="20"/>
                <w:szCs w:val="20"/>
              </w:rPr>
              <w:t>Institutional level</w:t>
            </w:r>
          </w:p>
        </w:tc>
        <w:tc>
          <w:tcPr>
            <w:tcW w:w="1110" w:type="pct"/>
            <w:tcBorders>
              <w:bottom w:val="single" w:sz="4" w:space="0" w:color="auto"/>
            </w:tcBorders>
            <w:shd w:val="clear" w:color="auto" w:fill="F2DBDB" w:themeFill="accent2" w:themeFillTint="33"/>
          </w:tcPr>
          <w:p w14:paraId="4DF92D1D" w14:textId="77777777" w:rsidR="00070183" w:rsidRPr="000A6A74" w:rsidRDefault="00070183" w:rsidP="00203B28">
            <w:pPr>
              <w:jc w:val="center"/>
              <w:rPr>
                <w:sz w:val="20"/>
                <w:szCs w:val="20"/>
              </w:rPr>
            </w:pPr>
            <w:r w:rsidRPr="000A6A74">
              <w:rPr>
                <w:sz w:val="20"/>
                <w:szCs w:val="20"/>
              </w:rPr>
              <w:t>Individual level</w:t>
            </w:r>
          </w:p>
        </w:tc>
      </w:tr>
      <w:tr w:rsidR="00070183" w:rsidRPr="000A6A74" w14:paraId="20D65B00" w14:textId="77777777" w:rsidTr="00303D29">
        <w:trPr>
          <w:trHeight w:val="89"/>
        </w:trPr>
        <w:tc>
          <w:tcPr>
            <w:tcW w:w="2813" w:type="pct"/>
            <w:shd w:val="clear" w:color="auto" w:fill="F2DBDB" w:themeFill="accent2" w:themeFillTint="33"/>
          </w:tcPr>
          <w:p w14:paraId="3F5EB6A7" w14:textId="77777777" w:rsidR="00070183" w:rsidRPr="00070183" w:rsidRDefault="00070183" w:rsidP="00203B28">
            <w:pPr>
              <w:autoSpaceDE w:val="0"/>
              <w:autoSpaceDN w:val="0"/>
              <w:adjustRightInd w:val="0"/>
              <w:rPr>
                <w:sz w:val="20"/>
                <w:szCs w:val="20"/>
              </w:rPr>
            </w:pPr>
            <w:r w:rsidRPr="00070183">
              <w:rPr>
                <w:b/>
                <w:sz w:val="20"/>
                <w:szCs w:val="20"/>
              </w:rPr>
              <w:t>Beneficiary Group 1:</w:t>
            </w:r>
            <w:r w:rsidRPr="00070183">
              <w:rPr>
                <w:sz w:val="20"/>
                <w:szCs w:val="20"/>
              </w:rPr>
              <w:t xml:space="preserve"> </w:t>
            </w:r>
            <w:r w:rsidR="00302F30" w:rsidRPr="00302F30">
              <w:rPr>
                <w:rFonts w:cs="CalibriRegular"/>
                <w:sz w:val="20"/>
                <w:szCs w:val="20"/>
              </w:rPr>
              <w:t>Civil society organizations (including</w:t>
            </w:r>
            <w:r w:rsidR="00203B28">
              <w:rPr>
                <w:rFonts w:cs="CalibriRegular"/>
                <w:sz w:val="20"/>
                <w:szCs w:val="20"/>
              </w:rPr>
              <w:t xml:space="preserve"> </w:t>
            </w:r>
            <w:r w:rsidR="00302F30" w:rsidRPr="00302F30">
              <w:rPr>
                <w:rFonts w:cs="CalibriRegular"/>
                <w:sz w:val="20"/>
                <w:szCs w:val="20"/>
              </w:rPr>
              <w:t>NGOs)</w:t>
            </w:r>
          </w:p>
        </w:tc>
        <w:tc>
          <w:tcPr>
            <w:tcW w:w="1077" w:type="pct"/>
            <w:shd w:val="clear" w:color="auto" w:fill="auto"/>
          </w:tcPr>
          <w:p w14:paraId="2F91EE06" w14:textId="77777777" w:rsidR="00070183" w:rsidRPr="00653BE6" w:rsidRDefault="0021097B" w:rsidP="0021097B">
            <w:pPr>
              <w:jc w:val="center"/>
              <w:rPr>
                <w:color w:val="FFFFFF" w:themeColor="background1"/>
                <w:sz w:val="20"/>
                <w:szCs w:val="20"/>
              </w:rPr>
            </w:pPr>
            <w:r>
              <w:rPr>
                <w:sz w:val="20"/>
                <w:szCs w:val="20"/>
              </w:rPr>
              <w:t>3</w:t>
            </w:r>
            <w:r w:rsidR="0029391C">
              <w:rPr>
                <w:sz w:val="20"/>
                <w:szCs w:val="20"/>
              </w:rPr>
              <w:t xml:space="preserve"> CSOs (i.e. that participated in specific trainings and received technical support)</w:t>
            </w:r>
          </w:p>
        </w:tc>
        <w:tc>
          <w:tcPr>
            <w:tcW w:w="1110" w:type="pct"/>
            <w:shd w:val="clear" w:color="auto" w:fill="auto"/>
          </w:tcPr>
          <w:p w14:paraId="0C652F5B" w14:textId="77777777" w:rsidR="00070183" w:rsidRPr="000A6A74" w:rsidRDefault="0021097B" w:rsidP="00203B28">
            <w:pPr>
              <w:jc w:val="center"/>
              <w:rPr>
                <w:sz w:val="20"/>
                <w:szCs w:val="20"/>
              </w:rPr>
            </w:pPr>
            <w:r>
              <w:rPr>
                <w:sz w:val="20"/>
                <w:szCs w:val="20"/>
              </w:rPr>
              <w:t>29</w:t>
            </w:r>
            <w:r w:rsidR="0029391C">
              <w:rPr>
                <w:sz w:val="20"/>
                <w:szCs w:val="20"/>
              </w:rPr>
              <w:t xml:space="preserve"> individuals (i.e. that participated in specific trainings and received technical support)</w:t>
            </w:r>
          </w:p>
        </w:tc>
      </w:tr>
      <w:tr w:rsidR="008C1E79" w:rsidRPr="000A6A74" w14:paraId="7B9360F5" w14:textId="77777777" w:rsidTr="00203B28">
        <w:tc>
          <w:tcPr>
            <w:tcW w:w="2813" w:type="pct"/>
            <w:shd w:val="clear" w:color="auto" w:fill="F2DBDB" w:themeFill="accent2" w:themeFillTint="33"/>
          </w:tcPr>
          <w:p w14:paraId="5A6DD788" w14:textId="77777777" w:rsidR="008C1E79" w:rsidRPr="00070183" w:rsidRDefault="008C1E79" w:rsidP="008C1E79">
            <w:pPr>
              <w:autoSpaceDE w:val="0"/>
              <w:autoSpaceDN w:val="0"/>
              <w:adjustRightInd w:val="0"/>
              <w:rPr>
                <w:sz w:val="20"/>
                <w:szCs w:val="20"/>
              </w:rPr>
            </w:pPr>
            <w:r w:rsidRPr="00070183">
              <w:rPr>
                <w:b/>
                <w:sz w:val="20"/>
                <w:szCs w:val="20"/>
              </w:rPr>
              <w:t>Beneficiary Group 2:</w:t>
            </w:r>
            <w:r w:rsidRPr="00070183">
              <w:rPr>
                <w:sz w:val="20"/>
                <w:szCs w:val="20"/>
              </w:rPr>
              <w:t xml:space="preserve"> </w:t>
            </w:r>
            <w:r w:rsidRPr="00302F30">
              <w:rPr>
                <w:rFonts w:cs="CalibriRegular"/>
                <w:sz w:val="20"/>
                <w:szCs w:val="20"/>
              </w:rPr>
              <w:t>Government officials (i.e. decision</w:t>
            </w:r>
            <w:r>
              <w:rPr>
                <w:rFonts w:cs="CalibriRegular"/>
                <w:sz w:val="20"/>
                <w:szCs w:val="20"/>
              </w:rPr>
              <w:t xml:space="preserve"> </w:t>
            </w:r>
            <w:r w:rsidRPr="00302F30">
              <w:rPr>
                <w:rFonts w:cs="CalibriRegular"/>
                <w:sz w:val="20"/>
                <w:szCs w:val="20"/>
              </w:rPr>
              <w:t>makers, policy implementers)</w:t>
            </w:r>
          </w:p>
        </w:tc>
        <w:tc>
          <w:tcPr>
            <w:tcW w:w="1077" w:type="pct"/>
            <w:shd w:val="clear" w:color="auto" w:fill="auto"/>
          </w:tcPr>
          <w:p w14:paraId="42F24FA7" w14:textId="58995DDF" w:rsidR="008C1E79" w:rsidRPr="000A6A74" w:rsidRDefault="00083203" w:rsidP="00725049">
            <w:pPr>
              <w:jc w:val="center"/>
              <w:rPr>
                <w:sz w:val="20"/>
                <w:szCs w:val="20"/>
              </w:rPr>
            </w:pPr>
            <w:r>
              <w:rPr>
                <w:sz w:val="20"/>
                <w:szCs w:val="20"/>
              </w:rPr>
              <w:t>3 (i.e., MWYCFA, MHMS, SAFENET Coordinator, and CARECOM)</w:t>
            </w:r>
          </w:p>
        </w:tc>
        <w:tc>
          <w:tcPr>
            <w:tcW w:w="1110" w:type="pct"/>
            <w:shd w:val="clear" w:color="auto" w:fill="auto"/>
          </w:tcPr>
          <w:p w14:paraId="64E68BF0" w14:textId="77777777" w:rsidR="008C1E79" w:rsidRPr="008C1E79" w:rsidRDefault="008C1E79" w:rsidP="008C1E79">
            <w:pPr>
              <w:jc w:val="center"/>
              <w:rPr>
                <w:sz w:val="20"/>
                <w:szCs w:val="20"/>
              </w:rPr>
            </w:pPr>
            <w:r>
              <w:rPr>
                <w:sz w:val="20"/>
                <w:szCs w:val="20"/>
              </w:rPr>
              <w:t>3</w:t>
            </w:r>
          </w:p>
        </w:tc>
      </w:tr>
    </w:tbl>
    <w:p w14:paraId="5FFB90FC" w14:textId="77777777" w:rsidR="000515AC" w:rsidRPr="000A6A74" w:rsidRDefault="000515AC" w:rsidP="000515AC">
      <w:pPr>
        <w:spacing w:after="120" w:line="240" w:lineRule="auto"/>
        <w:rPr>
          <w:color w:val="000000" w:themeColor="text1"/>
          <w:sz w:val="20"/>
          <w:szCs w:val="20"/>
        </w:rPr>
      </w:pPr>
    </w:p>
    <w:p w14:paraId="5B4394C1" w14:textId="77777777" w:rsidR="00F73137" w:rsidRDefault="00F73137">
      <w:pPr>
        <w:rPr>
          <w:rStyle w:val="Heading3Char"/>
          <w:rFonts w:asciiTheme="minorHAnsi" w:hAnsiTheme="minorHAnsi"/>
          <w:sz w:val="20"/>
          <w:szCs w:val="20"/>
        </w:rPr>
      </w:pPr>
      <w:r>
        <w:rPr>
          <w:rStyle w:val="Heading3Char"/>
          <w:rFonts w:asciiTheme="minorHAnsi" w:hAnsiTheme="minorHAnsi"/>
          <w:sz w:val="20"/>
          <w:szCs w:val="20"/>
        </w:rPr>
        <w:br w:type="page"/>
      </w:r>
    </w:p>
    <w:p w14:paraId="50F608A9" w14:textId="7F46D418" w:rsidR="000515AC" w:rsidRPr="000A6A74" w:rsidRDefault="000515AC" w:rsidP="000515AC">
      <w:pPr>
        <w:spacing w:after="0" w:line="240" w:lineRule="auto"/>
        <w:rPr>
          <w:color w:val="000000" w:themeColor="text1"/>
          <w:sz w:val="20"/>
          <w:szCs w:val="20"/>
        </w:rPr>
      </w:pPr>
      <w:r w:rsidRPr="000A6A74">
        <w:rPr>
          <w:rStyle w:val="Heading3Char"/>
          <w:rFonts w:asciiTheme="minorHAnsi" w:hAnsiTheme="minorHAnsi"/>
          <w:sz w:val="20"/>
          <w:szCs w:val="20"/>
        </w:rPr>
        <w:lastRenderedPageBreak/>
        <w:t xml:space="preserve">Changes in the behavior/actions of beneficiaries at the outcome level </w:t>
      </w:r>
    </w:p>
    <w:p w14:paraId="09B71191" w14:textId="77777777" w:rsidR="000515AC" w:rsidRDefault="000515AC" w:rsidP="000515AC">
      <w:pPr>
        <w:spacing w:after="0" w:line="240" w:lineRule="auto"/>
        <w:rPr>
          <w:color w:val="000000" w:themeColor="text1"/>
          <w:sz w:val="20"/>
          <w:szCs w:val="20"/>
        </w:rPr>
      </w:pPr>
      <w:r w:rsidRPr="000A6A74">
        <w:rPr>
          <w:b/>
          <w:sz w:val="20"/>
          <w:szCs w:val="20"/>
        </w:rPr>
        <w:t>Changes in behavior/actions of beneficiaries</w:t>
      </w:r>
      <w:r w:rsidRPr="000A6A74">
        <w:rPr>
          <w:sz w:val="20"/>
          <w:szCs w:val="20"/>
        </w:rPr>
        <w:t xml:space="preserve">: What were the main changes in the beneficiaries’ behaviors and/or actions during the reporting period? </w:t>
      </w:r>
      <w:r w:rsidRPr="000A6A74">
        <w:rPr>
          <w:color w:val="000000" w:themeColor="text1"/>
          <w:sz w:val="20"/>
          <w:szCs w:val="20"/>
        </w:rPr>
        <w:t>(</w:t>
      </w:r>
      <w:r w:rsidRPr="000A6A74">
        <w:rPr>
          <w:color w:val="FF0000"/>
          <w:sz w:val="20"/>
          <w:szCs w:val="20"/>
        </w:rPr>
        <w:t>Maximum 250 words per group</w:t>
      </w:r>
      <w:r w:rsidRPr="000A6A74">
        <w:rPr>
          <w:color w:val="000000" w:themeColor="text1"/>
          <w:sz w:val="20"/>
          <w:szCs w:val="20"/>
        </w:rPr>
        <w:t xml:space="preserve">). </w:t>
      </w:r>
    </w:p>
    <w:p w14:paraId="4F2996CE" w14:textId="77777777" w:rsidR="009C6909" w:rsidRPr="000A6A74" w:rsidRDefault="009C6909" w:rsidP="000515AC">
      <w:pPr>
        <w:spacing w:after="0" w:line="240" w:lineRule="auto"/>
        <w:rPr>
          <w:sz w:val="20"/>
          <w:szCs w:val="20"/>
        </w:rPr>
      </w:pPr>
    </w:p>
    <w:tbl>
      <w:tblPr>
        <w:tblStyle w:val="TableGrid"/>
        <w:tblW w:w="5000" w:type="pct"/>
        <w:tblLook w:val="04A0" w:firstRow="1" w:lastRow="0" w:firstColumn="1" w:lastColumn="0" w:noHBand="0" w:noVBand="1"/>
      </w:tblPr>
      <w:tblGrid>
        <w:gridCol w:w="3258"/>
        <w:gridCol w:w="2611"/>
        <w:gridCol w:w="8079"/>
      </w:tblGrid>
      <w:tr w:rsidR="000515AC" w:rsidRPr="000A6A74" w14:paraId="1EA7DF23" w14:textId="77777777" w:rsidTr="009C6909">
        <w:tc>
          <w:tcPr>
            <w:tcW w:w="1168" w:type="pct"/>
            <w:shd w:val="clear" w:color="auto" w:fill="F2DBDB" w:themeFill="accent2" w:themeFillTint="33"/>
          </w:tcPr>
          <w:p w14:paraId="098B4058" w14:textId="77777777" w:rsidR="000515AC" w:rsidRPr="000A6A74" w:rsidRDefault="000515AC" w:rsidP="00D4679C">
            <w:pPr>
              <w:rPr>
                <w:b/>
                <w:sz w:val="20"/>
                <w:szCs w:val="20"/>
              </w:rPr>
            </w:pPr>
            <w:r w:rsidRPr="000A6A74">
              <w:rPr>
                <w:b/>
                <w:sz w:val="20"/>
                <w:szCs w:val="20"/>
              </w:rPr>
              <w:t xml:space="preserve">Targeted beneficiary groups </w:t>
            </w:r>
            <w:r>
              <w:rPr>
                <w:b/>
                <w:sz w:val="20"/>
                <w:szCs w:val="20"/>
              </w:rPr>
              <w:t>(O</w:t>
            </w:r>
            <w:r w:rsidRPr="000A6A74">
              <w:rPr>
                <w:b/>
                <w:sz w:val="20"/>
                <w:szCs w:val="20"/>
              </w:rPr>
              <w:t>utcome level</w:t>
            </w:r>
            <w:r>
              <w:rPr>
                <w:b/>
                <w:sz w:val="20"/>
                <w:szCs w:val="20"/>
              </w:rPr>
              <w:t>)</w:t>
            </w:r>
            <w:r w:rsidRPr="000A6A74">
              <w:rPr>
                <w:b/>
                <w:sz w:val="20"/>
                <w:szCs w:val="20"/>
              </w:rPr>
              <w:t xml:space="preserve">   </w:t>
            </w:r>
          </w:p>
        </w:tc>
        <w:tc>
          <w:tcPr>
            <w:tcW w:w="936" w:type="pct"/>
            <w:shd w:val="clear" w:color="auto" w:fill="F2DBDB" w:themeFill="accent2" w:themeFillTint="33"/>
          </w:tcPr>
          <w:p w14:paraId="3E302BD6" w14:textId="77777777" w:rsidR="000515AC" w:rsidRPr="000A6A74" w:rsidRDefault="000515AC" w:rsidP="00D4679C">
            <w:pPr>
              <w:rPr>
                <w:b/>
                <w:sz w:val="20"/>
                <w:szCs w:val="20"/>
              </w:rPr>
            </w:pPr>
            <w:r w:rsidRPr="000A6A74">
              <w:rPr>
                <w:b/>
                <w:sz w:val="20"/>
                <w:szCs w:val="20"/>
              </w:rPr>
              <w:t xml:space="preserve">Reporting Period </w:t>
            </w:r>
          </w:p>
        </w:tc>
        <w:tc>
          <w:tcPr>
            <w:tcW w:w="2896" w:type="pct"/>
            <w:shd w:val="clear" w:color="auto" w:fill="F2DBDB" w:themeFill="accent2" w:themeFillTint="33"/>
          </w:tcPr>
          <w:p w14:paraId="590E8F9A" w14:textId="77777777" w:rsidR="000515AC" w:rsidRPr="000A6A74" w:rsidRDefault="000515AC" w:rsidP="00D4679C">
            <w:pPr>
              <w:rPr>
                <w:b/>
                <w:sz w:val="20"/>
                <w:szCs w:val="20"/>
              </w:rPr>
            </w:pPr>
            <w:r w:rsidRPr="000A6A74">
              <w:rPr>
                <w:b/>
                <w:sz w:val="20"/>
                <w:szCs w:val="20"/>
              </w:rPr>
              <w:t xml:space="preserve">Current situation of beneficiary groups  </w:t>
            </w:r>
          </w:p>
        </w:tc>
      </w:tr>
      <w:tr w:rsidR="00070183" w:rsidRPr="000A6A74" w14:paraId="3FDC6CCE" w14:textId="77777777" w:rsidTr="00725049">
        <w:trPr>
          <w:trHeight w:val="485"/>
        </w:trPr>
        <w:tc>
          <w:tcPr>
            <w:tcW w:w="1168" w:type="pct"/>
            <w:shd w:val="clear" w:color="auto" w:fill="F2DBDB" w:themeFill="accent2" w:themeFillTint="33"/>
          </w:tcPr>
          <w:p w14:paraId="2928138A" w14:textId="77777777" w:rsidR="00070183" w:rsidRPr="000A6A74" w:rsidRDefault="00070183" w:rsidP="0021097B">
            <w:pPr>
              <w:autoSpaceDE w:val="0"/>
              <w:autoSpaceDN w:val="0"/>
              <w:adjustRightInd w:val="0"/>
              <w:rPr>
                <w:sz w:val="20"/>
                <w:szCs w:val="20"/>
              </w:rPr>
            </w:pPr>
            <w:r w:rsidRPr="000A6A74">
              <w:rPr>
                <w:b/>
                <w:sz w:val="20"/>
                <w:szCs w:val="20"/>
              </w:rPr>
              <w:t>Beneficiary Group 1:</w:t>
            </w:r>
            <w:r w:rsidRPr="000A6A74">
              <w:rPr>
                <w:sz w:val="20"/>
                <w:szCs w:val="20"/>
              </w:rPr>
              <w:t xml:space="preserve"> </w:t>
            </w:r>
            <w:r w:rsidR="000C2585" w:rsidRPr="00302F30">
              <w:rPr>
                <w:rFonts w:cs="CalibriRegular"/>
                <w:sz w:val="20"/>
                <w:szCs w:val="20"/>
              </w:rPr>
              <w:t>Civil society organizations (including</w:t>
            </w:r>
            <w:r w:rsidR="0021097B">
              <w:rPr>
                <w:rFonts w:cs="CalibriRegular"/>
                <w:sz w:val="20"/>
                <w:szCs w:val="20"/>
              </w:rPr>
              <w:t xml:space="preserve"> </w:t>
            </w:r>
            <w:r w:rsidR="000C2585" w:rsidRPr="00302F30">
              <w:rPr>
                <w:rFonts w:cs="CalibriRegular"/>
                <w:sz w:val="20"/>
                <w:szCs w:val="20"/>
              </w:rPr>
              <w:t>NGOs)</w:t>
            </w:r>
          </w:p>
        </w:tc>
        <w:tc>
          <w:tcPr>
            <w:tcW w:w="936" w:type="pct"/>
            <w:shd w:val="clear" w:color="auto" w:fill="F2DBDB" w:themeFill="accent2" w:themeFillTint="33"/>
          </w:tcPr>
          <w:p w14:paraId="0182561A" w14:textId="77777777" w:rsidR="0021097B" w:rsidRDefault="0021097B" w:rsidP="00D4679C">
            <w:pPr>
              <w:rPr>
                <w:sz w:val="20"/>
                <w:szCs w:val="20"/>
              </w:rPr>
            </w:pPr>
            <w:r>
              <w:rPr>
                <w:sz w:val="20"/>
                <w:szCs w:val="20"/>
              </w:rPr>
              <w:t xml:space="preserve">Reporting period: </w:t>
            </w:r>
          </w:p>
          <w:p w14:paraId="002DC312" w14:textId="5E305976" w:rsidR="00070183" w:rsidRDefault="0021097B" w:rsidP="00D4679C">
            <w:pPr>
              <w:rPr>
                <w:sz w:val="20"/>
                <w:szCs w:val="20"/>
              </w:rPr>
            </w:pPr>
            <w:r>
              <w:rPr>
                <w:sz w:val="20"/>
                <w:szCs w:val="20"/>
              </w:rPr>
              <w:t>Y</w:t>
            </w:r>
            <w:r w:rsidR="00083203">
              <w:rPr>
                <w:sz w:val="20"/>
                <w:szCs w:val="20"/>
              </w:rPr>
              <w:t>3</w:t>
            </w:r>
            <w:r>
              <w:rPr>
                <w:sz w:val="20"/>
                <w:szCs w:val="20"/>
              </w:rPr>
              <w:t xml:space="preserve"> </w:t>
            </w:r>
            <w:r w:rsidR="007D24AE">
              <w:rPr>
                <w:sz w:val="20"/>
                <w:szCs w:val="20"/>
              </w:rPr>
              <w:t xml:space="preserve">Annual </w:t>
            </w:r>
            <w:r>
              <w:rPr>
                <w:sz w:val="20"/>
                <w:szCs w:val="20"/>
              </w:rPr>
              <w:t>Progress Report</w:t>
            </w:r>
          </w:p>
          <w:p w14:paraId="76A12FAD" w14:textId="1C51DAFB" w:rsidR="0021097B" w:rsidRPr="000A6A74" w:rsidRDefault="0021097B" w:rsidP="00D4679C">
            <w:pPr>
              <w:rPr>
                <w:sz w:val="20"/>
                <w:szCs w:val="20"/>
              </w:rPr>
            </w:pPr>
            <w:r>
              <w:rPr>
                <w:sz w:val="20"/>
                <w:szCs w:val="20"/>
              </w:rPr>
              <w:t>January to December 201</w:t>
            </w:r>
            <w:r w:rsidR="00083203">
              <w:rPr>
                <w:sz w:val="20"/>
                <w:szCs w:val="20"/>
              </w:rPr>
              <w:t>7</w:t>
            </w:r>
          </w:p>
          <w:p w14:paraId="20AEF6A6" w14:textId="77777777" w:rsidR="00070183" w:rsidRPr="000A6A74" w:rsidRDefault="00070183" w:rsidP="00D4679C">
            <w:pPr>
              <w:rPr>
                <w:sz w:val="20"/>
                <w:szCs w:val="20"/>
              </w:rPr>
            </w:pPr>
            <w:r w:rsidRPr="000A6A74">
              <w:rPr>
                <w:sz w:val="20"/>
                <w:szCs w:val="20"/>
              </w:rPr>
              <w:t xml:space="preserve"> </w:t>
            </w:r>
          </w:p>
          <w:p w14:paraId="7338F094" w14:textId="77777777" w:rsidR="00070183" w:rsidRPr="000A6A74" w:rsidRDefault="00070183" w:rsidP="00D4679C">
            <w:pPr>
              <w:rPr>
                <w:color w:val="000000" w:themeColor="text1"/>
                <w:sz w:val="20"/>
                <w:szCs w:val="20"/>
              </w:rPr>
            </w:pPr>
          </w:p>
        </w:tc>
        <w:tc>
          <w:tcPr>
            <w:tcW w:w="2896" w:type="pct"/>
            <w:shd w:val="clear" w:color="auto" w:fill="auto"/>
          </w:tcPr>
          <w:p w14:paraId="6A725965" w14:textId="77777777" w:rsidR="00070183" w:rsidRPr="00653BE6" w:rsidRDefault="00653BE6" w:rsidP="0021097B">
            <w:pPr>
              <w:rPr>
                <w:sz w:val="20"/>
                <w:szCs w:val="20"/>
              </w:rPr>
            </w:pPr>
            <w:r w:rsidRPr="00653BE6">
              <w:rPr>
                <w:sz w:val="20"/>
                <w:szCs w:val="20"/>
              </w:rPr>
              <w:t>Th</w:t>
            </w:r>
            <w:r>
              <w:rPr>
                <w:sz w:val="20"/>
                <w:szCs w:val="20"/>
              </w:rPr>
              <w:t xml:space="preserve">ere are </w:t>
            </w:r>
            <w:r w:rsidR="0021097B">
              <w:rPr>
                <w:sz w:val="20"/>
                <w:szCs w:val="20"/>
              </w:rPr>
              <w:t>very fe</w:t>
            </w:r>
            <w:r>
              <w:rPr>
                <w:sz w:val="20"/>
                <w:szCs w:val="20"/>
              </w:rPr>
              <w:t xml:space="preserve">w CSOs providing </w:t>
            </w:r>
            <w:r w:rsidRPr="00653BE6">
              <w:rPr>
                <w:sz w:val="20"/>
                <w:szCs w:val="20"/>
              </w:rPr>
              <w:t>supp</w:t>
            </w:r>
            <w:r>
              <w:rPr>
                <w:sz w:val="20"/>
                <w:szCs w:val="20"/>
              </w:rPr>
              <w:t xml:space="preserve">ort to women and girls who have </w:t>
            </w:r>
            <w:r w:rsidRPr="00653BE6">
              <w:rPr>
                <w:sz w:val="20"/>
                <w:szCs w:val="20"/>
              </w:rPr>
              <w:t>exper</w:t>
            </w:r>
            <w:r>
              <w:rPr>
                <w:sz w:val="20"/>
                <w:szCs w:val="20"/>
              </w:rPr>
              <w:t xml:space="preserve">ienced </w:t>
            </w:r>
            <w:r w:rsidR="0021097B">
              <w:rPr>
                <w:sz w:val="20"/>
                <w:szCs w:val="20"/>
              </w:rPr>
              <w:t xml:space="preserve">VAWG </w:t>
            </w:r>
            <w:r>
              <w:rPr>
                <w:sz w:val="20"/>
                <w:szCs w:val="20"/>
              </w:rPr>
              <w:t xml:space="preserve">and the current </w:t>
            </w:r>
            <w:r w:rsidRPr="00653BE6">
              <w:rPr>
                <w:sz w:val="20"/>
                <w:szCs w:val="20"/>
              </w:rPr>
              <w:t>system of identification, response,</w:t>
            </w:r>
            <w:r>
              <w:rPr>
                <w:sz w:val="20"/>
                <w:szCs w:val="20"/>
              </w:rPr>
              <w:t xml:space="preserve"> </w:t>
            </w:r>
            <w:r w:rsidRPr="00653BE6">
              <w:rPr>
                <w:sz w:val="20"/>
                <w:szCs w:val="20"/>
              </w:rPr>
              <w:t>referral a</w:t>
            </w:r>
            <w:r>
              <w:rPr>
                <w:sz w:val="20"/>
                <w:szCs w:val="20"/>
              </w:rPr>
              <w:t xml:space="preserve">nd support is uncoordinated. Two CSOs </w:t>
            </w:r>
            <w:r w:rsidRPr="00653BE6">
              <w:rPr>
                <w:sz w:val="20"/>
                <w:szCs w:val="20"/>
              </w:rPr>
              <w:t>are members of S</w:t>
            </w:r>
            <w:r>
              <w:rPr>
                <w:sz w:val="20"/>
                <w:szCs w:val="20"/>
              </w:rPr>
              <w:t>AF</w:t>
            </w:r>
            <w:r w:rsidR="001D72B1">
              <w:rPr>
                <w:sz w:val="20"/>
                <w:szCs w:val="20"/>
              </w:rPr>
              <w:t>ENET, and they</w:t>
            </w:r>
            <w:r w:rsidR="001D72B1" w:rsidRPr="001D72B1">
              <w:rPr>
                <w:sz w:val="20"/>
                <w:szCs w:val="20"/>
              </w:rPr>
              <w:t xml:space="preserve"> have increased their knowledge and skills</w:t>
            </w:r>
            <w:r w:rsidR="00AE6709">
              <w:rPr>
                <w:sz w:val="20"/>
                <w:szCs w:val="20"/>
              </w:rPr>
              <w:t xml:space="preserve"> on data collection</w:t>
            </w:r>
            <w:r w:rsidR="001D72B1">
              <w:rPr>
                <w:sz w:val="20"/>
                <w:szCs w:val="20"/>
              </w:rPr>
              <w:t>, which led to improvement in record</w:t>
            </w:r>
            <w:r w:rsidR="0021097B">
              <w:rPr>
                <w:sz w:val="20"/>
                <w:szCs w:val="20"/>
              </w:rPr>
              <w:t>-</w:t>
            </w:r>
            <w:r w:rsidR="001D72B1">
              <w:rPr>
                <w:sz w:val="20"/>
                <w:szCs w:val="20"/>
              </w:rPr>
              <w:t xml:space="preserve">keeping of </w:t>
            </w:r>
            <w:r w:rsidR="0021097B">
              <w:rPr>
                <w:sz w:val="20"/>
                <w:szCs w:val="20"/>
              </w:rPr>
              <w:t xml:space="preserve">client data and </w:t>
            </w:r>
            <w:r w:rsidR="001D72B1">
              <w:rPr>
                <w:sz w:val="20"/>
                <w:szCs w:val="20"/>
              </w:rPr>
              <w:t>referral data.</w:t>
            </w:r>
          </w:p>
        </w:tc>
      </w:tr>
      <w:tr w:rsidR="00070183" w:rsidRPr="000A6A74" w14:paraId="27C1969F" w14:textId="77777777" w:rsidTr="009C6909">
        <w:trPr>
          <w:trHeight w:val="1221"/>
        </w:trPr>
        <w:tc>
          <w:tcPr>
            <w:tcW w:w="1168" w:type="pct"/>
            <w:shd w:val="clear" w:color="auto" w:fill="F2DBDB" w:themeFill="accent2" w:themeFillTint="33"/>
          </w:tcPr>
          <w:p w14:paraId="0646F102" w14:textId="77777777" w:rsidR="00070183" w:rsidRPr="000A6A74" w:rsidRDefault="00070183" w:rsidP="0021097B">
            <w:pPr>
              <w:autoSpaceDE w:val="0"/>
              <w:autoSpaceDN w:val="0"/>
              <w:adjustRightInd w:val="0"/>
              <w:rPr>
                <w:sz w:val="20"/>
                <w:szCs w:val="20"/>
              </w:rPr>
            </w:pPr>
            <w:r w:rsidRPr="000A6A74">
              <w:rPr>
                <w:b/>
                <w:sz w:val="20"/>
                <w:szCs w:val="20"/>
              </w:rPr>
              <w:t>Beneficiary Group 2:</w:t>
            </w:r>
            <w:r w:rsidRPr="000A6A74">
              <w:rPr>
                <w:sz w:val="20"/>
                <w:szCs w:val="20"/>
              </w:rPr>
              <w:t xml:space="preserve"> </w:t>
            </w:r>
            <w:r w:rsidR="000C2585" w:rsidRPr="00302F30">
              <w:rPr>
                <w:rFonts w:cs="CalibriRegular"/>
                <w:sz w:val="20"/>
                <w:szCs w:val="20"/>
              </w:rPr>
              <w:t>Government officials (i.e. decision</w:t>
            </w:r>
            <w:r w:rsidR="0021097B">
              <w:rPr>
                <w:rFonts w:cs="CalibriRegular"/>
                <w:sz w:val="20"/>
                <w:szCs w:val="20"/>
              </w:rPr>
              <w:t xml:space="preserve"> </w:t>
            </w:r>
            <w:r w:rsidR="000C2585" w:rsidRPr="00302F30">
              <w:rPr>
                <w:rFonts w:cs="CalibriRegular"/>
                <w:sz w:val="20"/>
                <w:szCs w:val="20"/>
              </w:rPr>
              <w:t>makers, policy implementers)</w:t>
            </w:r>
          </w:p>
        </w:tc>
        <w:tc>
          <w:tcPr>
            <w:tcW w:w="936" w:type="pct"/>
            <w:shd w:val="clear" w:color="auto" w:fill="F2DBDB" w:themeFill="accent2" w:themeFillTint="33"/>
          </w:tcPr>
          <w:p w14:paraId="6A9888DB" w14:textId="77777777" w:rsidR="00070183" w:rsidRPr="000A6A74" w:rsidRDefault="00070183" w:rsidP="00D4679C">
            <w:pPr>
              <w:rPr>
                <w:sz w:val="20"/>
                <w:szCs w:val="20"/>
              </w:rPr>
            </w:pPr>
            <w:r w:rsidRPr="000A6A74">
              <w:rPr>
                <w:sz w:val="20"/>
                <w:szCs w:val="20"/>
              </w:rPr>
              <w:t xml:space="preserve">Reporting period: </w:t>
            </w:r>
          </w:p>
          <w:p w14:paraId="78C71D0F" w14:textId="09B4BA3D" w:rsidR="0021097B" w:rsidRDefault="0021097B" w:rsidP="00D4679C">
            <w:pPr>
              <w:rPr>
                <w:sz w:val="20"/>
                <w:szCs w:val="20"/>
              </w:rPr>
            </w:pPr>
            <w:r>
              <w:rPr>
                <w:sz w:val="20"/>
                <w:szCs w:val="20"/>
              </w:rPr>
              <w:t>Y</w:t>
            </w:r>
            <w:r w:rsidR="00083203">
              <w:rPr>
                <w:sz w:val="20"/>
                <w:szCs w:val="20"/>
              </w:rPr>
              <w:t>3</w:t>
            </w:r>
            <w:r>
              <w:rPr>
                <w:sz w:val="20"/>
                <w:szCs w:val="20"/>
              </w:rPr>
              <w:t xml:space="preserve"> </w:t>
            </w:r>
            <w:r w:rsidR="007D24AE">
              <w:rPr>
                <w:sz w:val="20"/>
                <w:szCs w:val="20"/>
              </w:rPr>
              <w:t xml:space="preserve">Annual </w:t>
            </w:r>
            <w:r>
              <w:rPr>
                <w:sz w:val="20"/>
                <w:szCs w:val="20"/>
              </w:rPr>
              <w:t>Progress Report</w:t>
            </w:r>
          </w:p>
          <w:p w14:paraId="09B2D10C" w14:textId="342DF5F3" w:rsidR="00070183" w:rsidRPr="000A6A74" w:rsidRDefault="0021097B" w:rsidP="0021097B">
            <w:pPr>
              <w:rPr>
                <w:color w:val="000000" w:themeColor="text1"/>
                <w:sz w:val="20"/>
                <w:szCs w:val="20"/>
              </w:rPr>
            </w:pPr>
            <w:r>
              <w:rPr>
                <w:sz w:val="20"/>
                <w:szCs w:val="20"/>
              </w:rPr>
              <w:t>January to December 201</w:t>
            </w:r>
            <w:r w:rsidR="00083203">
              <w:rPr>
                <w:sz w:val="20"/>
                <w:szCs w:val="20"/>
              </w:rPr>
              <w:t>7</w:t>
            </w:r>
          </w:p>
        </w:tc>
        <w:tc>
          <w:tcPr>
            <w:tcW w:w="2896" w:type="pct"/>
            <w:shd w:val="clear" w:color="auto" w:fill="auto"/>
          </w:tcPr>
          <w:p w14:paraId="2C0A71EF" w14:textId="2189F524" w:rsidR="00070183" w:rsidRPr="00776D87" w:rsidRDefault="00653BE6" w:rsidP="00381224">
            <w:pPr>
              <w:rPr>
                <w:sz w:val="20"/>
                <w:szCs w:val="20"/>
              </w:rPr>
            </w:pPr>
            <w:r w:rsidRPr="00776D87">
              <w:rPr>
                <w:sz w:val="20"/>
                <w:szCs w:val="20"/>
              </w:rPr>
              <w:t>Key decision makers and policy</w:t>
            </w:r>
            <w:r w:rsidR="001D72B1" w:rsidRPr="00776D87">
              <w:rPr>
                <w:sz w:val="20"/>
                <w:szCs w:val="20"/>
              </w:rPr>
              <w:t xml:space="preserve"> </w:t>
            </w:r>
            <w:r w:rsidRPr="00776D87">
              <w:rPr>
                <w:sz w:val="20"/>
                <w:szCs w:val="20"/>
              </w:rPr>
              <w:t>implementers are currently aware of the</w:t>
            </w:r>
            <w:r w:rsidR="001D72B1" w:rsidRPr="00776D87">
              <w:rPr>
                <w:sz w:val="20"/>
                <w:szCs w:val="20"/>
              </w:rPr>
              <w:t xml:space="preserve"> </w:t>
            </w:r>
            <w:r w:rsidRPr="00776D87">
              <w:rPr>
                <w:sz w:val="20"/>
                <w:szCs w:val="20"/>
              </w:rPr>
              <w:t>gaps in the service system responses but</w:t>
            </w:r>
            <w:r w:rsidR="001D72B1" w:rsidRPr="00776D87">
              <w:rPr>
                <w:sz w:val="20"/>
                <w:szCs w:val="20"/>
              </w:rPr>
              <w:t xml:space="preserve"> </w:t>
            </w:r>
            <w:r w:rsidRPr="00776D87">
              <w:rPr>
                <w:sz w:val="20"/>
                <w:szCs w:val="20"/>
              </w:rPr>
              <w:t>lack the technical capacity to build a</w:t>
            </w:r>
            <w:r w:rsidR="001D72B1" w:rsidRPr="00776D87">
              <w:rPr>
                <w:sz w:val="20"/>
                <w:szCs w:val="20"/>
              </w:rPr>
              <w:t xml:space="preserve"> </w:t>
            </w:r>
            <w:r w:rsidRPr="00776D87">
              <w:rPr>
                <w:sz w:val="20"/>
                <w:szCs w:val="20"/>
              </w:rPr>
              <w:t xml:space="preserve">multi-sectoral </w:t>
            </w:r>
            <w:r w:rsidR="00381224">
              <w:rPr>
                <w:sz w:val="20"/>
                <w:szCs w:val="20"/>
              </w:rPr>
              <w:t xml:space="preserve">response </w:t>
            </w:r>
            <w:r w:rsidRPr="00776D87">
              <w:rPr>
                <w:sz w:val="20"/>
                <w:szCs w:val="20"/>
              </w:rPr>
              <w:t>system to VAWG</w:t>
            </w:r>
            <w:r w:rsidR="00AE6709" w:rsidRPr="00776D87">
              <w:rPr>
                <w:sz w:val="20"/>
                <w:szCs w:val="20"/>
              </w:rPr>
              <w:t xml:space="preserve">. </w:t>
            </w:r>
          </w:p>
        </w:tc>
      </w:tr>
    </w:tbl>
    <w:p w14:paraId="48BC1F76" w14:textId="77777777" w:rsidR="00502A1E" w:rsidRPr="00D4679C" w:rsidRDefault="00502A1E" w:rsidP="000A6A74">
      <w:pPr>
        <w:pStyle w:val="Heading1"/>
        <w:pBdr>
          <w:bottom w:val="single" w:sz="4" w:space="1" w:color="auto"/>
        </w:pBdr>
        <w:rPr>
          <w:sz w:val="24"/>
        </w:rPr>
      </w:pPr>
      <w:bookmarkStart w:id="14" w:name="_Toc355636234"/>
      <w:r w:rsidRPr="00D4679C">
        <w:rPr>
          <w:sz w:val="24"/>
        </w:rPr>
        <w:t>III: Outputs</w:t>
      </w:r>
      <w:r w:rsidR="003C7811" w:rsidRPr="00D4679C">
        <w:rPr>
          <w:sz w:val="24"/>
        </w:rPr>
        <w:t xml:space="preserve"> and Project Activities</w:t>
      </w:r>
      <w:bookmarkEnd w:id="14"/>
      <w:r w:rsidR="003C7811" w:rsidRPr="00D4679C">
        <w:rPr>
          <w:sz w:val="24"/>
        </w:rPr>
        <w:t xml:space="preserve"> </w:t>
      </w:r>
    </w:p>
    <w:p w14:paraId="1F1A7881" w14:textId="6A042782" w:rsidR="009A27E1" w:rsidRPr="000A6A74" w:rsidRDefault="00502A1E" w:rsidP="00725049">
      <w:pPr>
        <w:pStyle w:val="Heading2"/>
        <w:rPr>
          <w:sz w:val="20"/>
          <w:szCs w:val="20"/>
        </w:rPr>
      </w:pPr>
      <w:bookmarkStart w:id="15" w:name="_Toc355636235"/>
      <w:r w:rsidRPr="000A6A74">
        <w:rPr>
          <w:rFonts w:asciiTheme="minorHAnsi" w:hAnsiTheme="minorHAnsi"/>
          <w:sz w:val="20"/>
          <w:szCs w:val="20"/>
        </w:rPr>
        <w:t xml:space="preserve">Outputs </w:t>
      </w:r>
      <w:r w:rsidR="00B62080" w:rsidRPr="000A6A74">
        <w:rPr>
          <w:rFonts w:asciiTheme="minorHAnsi" w:hAnsiTheme="minorHAnsi"/>
          <w:sz w:val="20"/>
          <w:szCs w:val="20"/>
        </w:rPr>
        <w:t>under Outcome 1</w:t>
      </w:r>
      <w:bookmarkEnd w:id="15"/>
      <w:r w:rsidR="00083203">
        <w:rPr>
          <w:rFonts w:asciiTheme="minorHAnsi" w:hAnsiTheme="minorHAnsi"/>
          <w:sz w:val="20"/>
          <w:szCs w:val="20"/>
        </w:rPr>
        <w:t>4</w:t>
      </w:r>
      <w:bookmarkStart w:id="16" w:name="_Toc355636236"/>
      <w:r w:rsidRPr="000A6A74">
        <w:rPr>
          <w:rStyle w:val="Heading3Char"/>
          <w:rFonts w:asciiTheme="minorHAnsi" w:hAnsiTheme="minorHAnsi"/>
          <w:sz w:val="20"/>
          <w:szCs w:val="20"/>
        </w:rPr>
        <w:t>Overall progress:</w:t>
      </w:r>
      <w:bookmarkEnd w:id="16"/>
      <w:r w:rsidRPr="000A6A74">
        <w:rPr>
          <w:sz w:val="20"/>
          <w:szCs w:val="20"/>
        </w:rPr>
        <w:t xml:space="preserve"> Describe the current situation of the output and how it is contributing to (or hindering) the intended outcome(s). Please explain any difference in achieved versus planned outputs during the reporting period. If the project has not yet delivered this output, please describe the progress made thus far, including any unexpected circumstances that have contributed to (or hindered) the output. (</w:t>
      </w:r>
      <w:r w:rsidRPr="000A6A74">
        <w:rPr>
          <w:color w:val="FF0000"/>
          <w:sz w:val="20"/>
          <w:szCs w:val="20"/>
        </w:rPr>
        <w:t>maximum 250 words par output</w:t>
      </w:r>
      <w:r w:rsidRPr="000A6A74">
        <w:rPr>
          <w:sz w:val="20"/>
          <w:szCs w:val="20"/>
        </w:rPr>
        <w:t>)</w:t>
      </w:r>
    </w:p>
    <w:p w14:paraId="558DA4D5" w14:textId="77777777" w:rsidR="009A27E1" w:rsidRPr="000A6A74" w:rsidRDefault="009A27E1" w:rsidP="009A27E1">
      <w:pPr>
        <w:pStyle w:val="ListParagraph"/>
        <w:numPr>
          <w:ilvl w:val="0"/>
          <w:numId w:val="25"/>
        </w:numPr>
        <w:spacing w:after="0" w:line="240" w:lineRule="auto"/>
        <w:rPr>
          <w:sz w:val="20"/>
          <w:szCs w:val="20"/>
        </w:rPr>
      </w:pPr>
      <w:bookmarkStart w:id="17" w:name="_Toc355636237"/>
      <w:r w:rsidRPr="000A6A74">
        <w:rPr>
          <w:rStyle w:val="Heading3Char"/>
          <w:rFonts w:asciiTheme="minorHAnsi" w:hAnsiTheme="minorHAnsi"/>
          <w:sz w:val="20"/>
          <w:szCs w:val="20"/>
        </w:rPr>
        <w:t>Current status of output indicator:</w:t>
      </w:r>
      <w:bookmarkEnd w:id="17"/>
      <w:r w:rsidRPr="000A6A74">
        <w:rPr>
          <w:sz w:val="20"/>
          <w:szCs w:val="20"/>
        </w:rPr>
        <w:t xml:space="preserve"> Please provide quantitative and/or qualitative data on the current status of each output indicator</w:t>
      </w:r>
      <w:r w:rsidR="00286265" w:rsidRPr="000A6A74">
        <w:rPr>
          <w:sz w:val="20"/>
          <w:szCs w:val="20"/>
        </w:rPr>
        <w:t xml:space="preserve"> (</w:t>
      </w:r>
      <w:r w:rsidR="00286265" w:rsidRPr="000A6A74">
        <w:rPr>
          <w:color w:val="FF0000"/>
          <w:sz w:val="20"/>
          <w:szCs w:val="20"/>
        </w:rPr>
        <w:t>maximum 50 words</w:t>
      </w:r>
      <w:r w:rsidR="00532C57" w:rsidRPr="000A6A74">
        <w:rPr>
          <w:color w:val="FF0000"/>
          <w:sz w:val="20"/>
          <w:szCs w:val="20"/>
        </w:rPr>
        <w:t xml:space="preserve"> per cell</w:t>
      </w:r>
      <w:r w:rsidR="00286265" w:rsidRPr="000A6A74">
        <w:rPr>
          <w:sz w:val="20"/>
          <w:szCs w:val="20"/>
        </w:rPr>
        <w:t>)</w:t>
      </w:r>
      <w:r w:rsidRPr="000A6A74">
        <w:rPr>
          <w:sz w:val="20"/>
          <w:szCs w:val="20"/>
        </w:rPr>
        <w:t xml:space="preserve">.  </w:t>
      </w:r>
      <w:r w:rsidRPr="000A6A74">
        <w:rPr>
          <w:color w:val="000000" w:themeColor="text1"/>
          <w:sz w:val="20"/>
          <w:szCs w:val="20"/>
          <w:u w:val="single"/>
        </w:rPr>
        <w:t>To avoid double counting from the previous report(s), please do not count the achieved outputs that have been already reported in the previous report(s).</w:t>
      </w:r>
    </w:p>
    <w:p w14:paraId="35F97385" w14:textId="77777777" w:rsidR="00B62080" w:rsidRPr="000A6A74" w:rsidRDefault="00B62080" w:rsidP="00B62080">
      <w:pPr>
        <w:pStyle w:val="Heading2"/>
        <w:rPr>
          <w:rFonts w:asciiTheme="minorHAnsi" w:hAnsiTheme="minorHAnsi"/>
          <w:sz w:val="20"/>
          <w:szCs w:val="20"/>
        </w:rPr>
      </w:pPr>
      <w:bookmarkStart w:id="18" w:name="_Toc355636238"/>
      <w:r w:rsidRPr="000A6A74">
        <w:rPr>
          <w:rFonts w:asciiTheme="minorHAnsi" w:hAnsiTheme="minorHAnsi"/>
          <w:sz w:val="20"/>
          <w:szCs w:val="20"/>
        </w:rPr>
        <w:t>Project Activities</w:t>
      </w:r>
      <w:bookmarkEnd w:id="18"/>
      <w:r w:rsidRPr="000A6A74">
        <w:rPr>
          <w:rFonts w:asciiTheme="minorHAnsi" w:hAnsiTheme="minorHAnsi"/>
          <w:sz w:val="20"/>
          <w:szCs w:val="20"/>
        </w:rPr>
        <w:t xml:space="preserve"> </w:t>
      </w:r>
      <w:r w:rsidR="004C64F8" w:rsidRPr="000A6A74">
        <w:rPr>
          <w:rFonts w:asciiTheme="minorHAnsi" w:hAnsiTheme="minorHAnsi"/>
          <w:sz w:val="20"/>
          <w:szCs w:val="20"/>
        </w:rPr>
        <w:t xml:space="preserve">under the Output </w:t>
      </w:r>
    </w:p>
    <w:p w14:paraId="3DD17D9F" w14:textId="77777777" w:rsidR="00242E97" w:rsidRPr="000A6A74" w:rsidRDefault="00242E97" w:rsidP="00242E97">
      <w:pPr>
        <w:pStyle w:val="ListParagraph"/>
        <w:numPr>
          <w:ilvl w:val="0"/>
          <w:numId w:val="25"/>
        </w:numPr>
        <w:spacing w:after="0" w:line="240" w:lineRule="auto"/>
        <w:rPr>
          <w:b/>
          <w:sz w:val="20"/>
          <w:szCs w:val="20"/>
        </w:rPr>
      </w:pPr>
      <w:bookmarkStart w:id="19" w:name="_Toc355636239"/>
      <w:r w:rsidRPr="000A6A74">
        <w:rPr>
          <w:rStyle w:val="Heading3Char"/>
          <w:rFonts w:asciiTheme="minorHAnsi" w:hAnsiTheme="minorHAnsi"/>
          <w:sz w:val="20"/>
          <w:szCs w:val="20"/>
        </w:rPr>
        <w:t>Activity Update</w:t>
      </w:r>
      <w:bookmarkEnd w:id="19"/>
      <w:r w:rsidRPr="000A6A74">
        <w:rPr>
          <w:b/>
          <w:sz w:val="20"/>
          <w:szCs w:val="20"/>
        </w:rPr>
        <w:t xml:space="preserve">: </w:t>
      </w:r>
      <w:r w:rsidRPr="000A6A74">
        <w:rPr>
          <w:sz w:val="20"/>
          <w:szCs w:val="20"/>
        </w:rPr>
        <w:t>Please provide a brief description on the current status of each project activity.  If relevant, explain delays in activity implementation, the nature of the constraints, and the actions taken to mitigate future delays. (</w:t>
      </w:r>
      <w:r w:rsidRPr="000A6A74">
        <w:rPr>
          <w:color w:val="FF0000"/>
          <w:sz w:val="20"/>
          <w:szCs w:val="20"/>
        </w:rPr>
        <w:t>maximum 250 words</w:t>
      </w:r>
      <w:r w:rsidRPr="000A6A74">
        <w:rPr>
          <w:sz w:val="20"/>
          <w:szCs w:val="20"/>
        </w:rPr>
        <w:t xml:space="preserve">) </w:t>
      </w:r>
    </w:p>
    <w:p w14:paraId="28CD2178" w14:textId="77777777" w:rsidR="003C7811" w:rsidRDefault="003C7811" w:rsidP="003C7811">
      <w:pPr>
        <w:spacing w:after="0" w:line="240" w:lineRule="auto"/>
        <w:ind w:left="360"/>
        <w:rPr>
          <w:sz w:val="20"/>
          <w:szCs w:val="20"/>
        </w:rPr>
      </w:pPr>
    </w:p>
    <w:tbl>
      <w:tblPr>
        <w:tblStyle w:val="TableGrid"/>
        <w:tblW w:w="5089" w:type="pct"/>
        <w:tblInd w:w="-5" w:type="dxa"/>
        <w:tblLook w:val="04A0" w:firstRow="1" w:lastRow="0" w:firstColumn="1" w:lastColumn="0" w:noHBand="0" w:noVBand="1"/>
      </w:tblPr>
      <w:tblGrid>
        <w:gridCol w:w="2164"/>
        <w:gridCol w:w="1130"/>
        <w:gridCol w:w="2328"/>
        <w:gridCol w:w="8327"/>
        <w:gridCol w:w="11"/>
        <w:gridCol w:w="236"/>
      </w:tblGrid>
      <w:tr w:rsidR="00502A1E" w:rsidRPr="000A6A74" w14:paraId="4535B4EE" w14:textId="77777777" w:rsidTr="00FC1A93">
        <w:trPr>
          <w:gridAfter w:val="2"/>
          <w:wAfter w:w="85" w:type="pct"/>
        </w:trPr>
        <w:tc>
          <w:tcPr>
            <w:tcW w:w="762" w:type="pct"/>
            <w:shd w:val="clear" w:color="auto" w:fill="EAF1DD" w:themeFill="accent3" w:themeFillTint="33"/>
          </w:tcPr>
          <w:p w14:paraId="6089B0DD" w14:textId="77777777" w:rsidR="00502A1E" w:rsidRPr="000A6A74" w:rsidRDefault="00502A1E" w:rsidP="00D02DE8">
            <w:pPr>
              <w:rPr>
                <w:b/>
                <w:sz w:val="20"/>
                <w:szCs w:val="20"/>
              </w:rPr>
            </w:pPr>
            <w:r w:rsidRPr="000A6A74">
              <w:rPr>
                <w:b/>
                <w:sz w:val="20"/>
                <w:szCs w:val="20"/>
              </w:rPr>
              <w:t>Output 1.1</w:t>
            </w:r>
          </w:p>
        </w:tc>
        <w:tc>
          <w:tcPr>
            <w:tcW w:w="4151" w:type="pct"/>
            <w:gridSpan w:val="3"/>
            <w:shd w:val="clear" w:color="auto" w:fill="EAF1DD" w:themeFill="accent3" w:themeFillTint="33"/>
          </w:tcPr>
          <w:p w14:paraId="1D52F7F0" w14:textId="77777777" w:rsidR="000C2585" w:rsidRPr="000C2585" w:rsidRDefault="000C2585" w:rsidP="000C2585">
            <w:pPr>
              <w:autoSpaceDE w:val="0"/>
              <w:autoSpaceDN w:val="0"/>
              <w:adjustRightInd w:val="0"/>
              <w:rPr>
                <w:rFonts w:cs="CalibriRegular"/>
                <w:b/>
                <w:color w:val="1C1C1C"/>
                <w:sz w:val="20"/>
                <w:szCs w:val="20"/>
              </w:rPr>
            </w:pPr>
            <w:r w:rsidRPr="000C2585">
              <w:rPr>
                <w:rFonts w:cs="CalibriRegular"/>
                <w:b/>
                <w:color w:val="1C1C1C"/>
                <w:sz w:val="20"/>
                <w:szCs w:val="20"/>
              </w:rPr>
              <w:t>More key government</w:t>
            </w:r>
            <w:r>
              <w:rPr>
                <w:rFonts w:cs="CalibriRegular"/>
                <w:b/>
                <w:color w:val="1C1C1C"/>
                <w:sz w:val="20"/>
                <w:szCs w:val="20"/>
              </w:rPr>
              <w:t xml:space="preserve"> </w:t>
            </w:r>
            <w:r w:rsidRPr="000C2585">
              <w:rPr>
                <w:rFonts w:cs="CalibriRegular"/>
                <w:b/>
                <w:color w:val="1C1C1C"/>
                <w:sz w:val="20"/>
                <w:szCs w:val="20"/>
              </w:rPr>
              <w:t>agencies have</w:t>
            </w:r>
            <w:r>
              <w:rPr>
                <w:rFonts w:cs="CalibriRegular"/>
                <w:b/>
                <w:color w:val="1C1C1C"/>
                <w:sz w:val="20"/>
                <w:szCs w:val="20"/>
              </w:rPr>
              <w:t xml:space="preserve"> </w:t>
            </w:r>
            <w:r w:rsidRPr="000C2585">
              <w:rPr>
                <w:rFonts w:cs="CalibriRegular"/>
                <w:b/>
                <w:color w:val="1C1C1C"/>
                <w:sz w:val="20"/>
                <w:szCs w:val="20"/>
              </w:rPr>
              <w:t>implemented new and/or</w:t>
            </w:r>
            <w:r>
              <w:rPr>
                <w:rFonts w:cs="CalibriRegular"/>
                <w:b/>
                <w:color w:val="1C1C1C"/>
                <w:sz w:val="20"/>
                <w:szCs w:val="20"/>
              </w:rPr>
              <w:t xml:space="preserve"> </w:t>
            </w:r>
            <w:r w:rsidRPr="000C2585">
              <w:rPr>
                <w:rFonts w:cs="CalibriRegular"/>
                <w:b/>
                <w:color w:val="1C1C1C"/>
                <w:sz w:val="20"/>
                <w:szCs w:val="20"/>
              </w:rPr>
              <w:t>improved work plans or</w:t>
            </w:r>
            <w:r>
              <w:rPr>
                <w:rFonts w:cs="CalibriRegular"/>
                <w:b/>
                <w:color w:val="1C1C1C"/>
                <w:sz w:val="20"/>
                <w:szCs w:val="20"/>
              </w:rPr>
              <w:t xml:space="preserve"> </w:t>
            </w:r>
            <w:r w:rsidRPr="000C2585">
              <w:rPr>
                <w:rFonts w:cs="CalibriRegular"/>
                <w:b/>
                <w:color w:val="1C1C1C"/>
                <w:sz w:val="20"/>
                <w:szCs w:val="20"/>
              </w:rPr>
              <w:t>programmes for</w:t>
            </w:r>
            <w:r>
              <w:rPr>
                <w:rFonts w:cs="CalibriRegular"/>
                <w:b/>
                <w:color w:val="1C1C1C"/>
                <w:sz w:val="20"/>
                <w:szCs w:val="20"/>
              </w:rPr>
              <w:t xml:space="preserve"> </w:t>
            </w:r>
            <w:r w:rsidRPr="000C2585">
              <w:rPr>
                <w:rFonts w:cs="CalibriRegular"/>
                <w:b/>
                <w:color w:val="1C1C1C"/>
                <w:sz w:val="20"/>
                <w:szCs w:val="20"/>
              </w:rPr>
              <w:t>implementing key</w:t>
            </w:r>
          </w:p>
          <w:p w14:paraId="12FE6A03" w14:textId="77777777" w:rsidR="00813DA0" w:rsidRPr="00813DA0" w:rsidRDefault="000C2585" w:rsidP="000C2585">
            <w:pPr>
              <w:autoSpaceDE w:val="0"/>
              <w:autoSpaceDN w:val="0"/>
              <w:adjustRightInd w:val="0"/>
              <w:rPr>
                <w:rFonts w:cs="CalibriRegular"/>
                <w:b/>
                <w:color w:val="1C1C1C"/>
                <w:sz w:val="20"/>
                <w:szCs w:val="20"/>
              </w:rPr>
            </w:pPr>
            <w:r w:rsidRPr="000C2585">
              <w:rPr>
                <w:rFonts w:cs="CalibriRegular"/>
                <w:b/>
                <w:color w:val="1C1C1C"/>
                <w:sz w:val="20"/>
                <w:szCs w:val="20"/>
              </w:rPr>
              <w:t>policies related to</w:t>
            </w:r>
            <w:r>
              <w:rPr>
                <w:rFonts w:cs="CalibriRegular"/>
                <w:b/>
                <w:color w:val="1C1C1C"/>
                <w:sz w:val="20"/>
                <w:szCs w:val="20"/>
              </w:rPr>
              <w:t xml:space="preserve"> </w:t>
            </w:r>
            <w:r w:rsidRPr="000C2585">
              <w:rPr>
                <w:rFonts w:cs="CalibriRegular"/>
                <w:b/>
                <w:color w:val="1C1C1C"/>
                <w:sz w:val="20"/>
                <w:szCs w:val="20"/>
              </w:rPr>
              <w:t>EVAWG</w:t>
            </w:r>
          </w:p>
        </w:tc>
      </w:tr>
      <w:tr w:rsidR="00D4679C" w:rsidRPr="000A6A74" w14:paraId="3F1FE43A" w14:textId="77777777" w:rsidTr="00FC1A93">
        <w:trPr>
          <w:gridAfter w:val="2"/>
          <w:wAfter w:w="85" w:type="pct"/>
        </w:trPr>
        <w:tc>
          <w:tcPr>
            <w:tcW w:w="762" w:type="pct"/>
            <w:tcBorders>
              <w:bottom w:val="single" w:sz="4" w:space="0" w:color="auto"/>
            </w:tcBorders>
            <w:shd w:val="clear" w:color="auto" w:fill="EAF1DD" w:themeFill="accent3" w:themeFillTint="33"/>
          </w:tcPr>
          <w:p w14:paraId="386ADF02" w14:textId="77777777" w:rsidR="00D4679C" w:rsidRPr="000A6A74" w:rsidRDefault="00D4679C" w:rsidP="00D4679C">
            <w:pPr>
              <w:rPr>
                <w:sz w:val="20"/>
                <w:szCs w:val="20"/>
              </w:rPr>
            </w:pPr>
            <w:r w:rsidRPr="000A6A74">
              <w:rPr>
                <w:sz w:val="20"/>
                <w:szCs w:val="20"/>
              </w:rPr>
              <w:t xml:space="preserve">Reporting period: </w:t>
            </w:r>
          </w:p>
          <w:p w14:paraId="76FA33AE" w14:textId="5A4AF26A" w:rsidR="00D4679C" w:rsidRDefault="000431F6" w:rsidP="000431F6">
            <w:pPr>
              <w:rPr>
                <w:sz w:val="20"/>
                <w:szCs w:val="20"/>
              </w:rPr>
            </w:pPr>
            <w:r>
              <w:rPr>
                <w:sz w:val="20"/>
                <w:szCs w:val="20"/>
              </w:rPr>
              <w:t>Y</w:t>
            </w:r>
            <w:r w:rsidR="00476BE2">
              <w:rPr>
                <w:sz w:val="20"/>
                <w:szCs w:val="20"/>
              </w:rPr>
              <w:t>3</w:t>
            </w:r>
            <w:r>
              <w:rPr>
                <w:sz w:val="20"/>
                <w:szCs w:val="20"/>
              </w:rPr>
              <w:t xml:space="preserve"> Annual Progress Report</w:t>
            </w:r>
          </w:p>
          <w:p w14:paraId="779D7FE3" w14:textId="77777777" w:rsidR="000431F6" w:rsidRPr="000A6A74" w:rsidRDefault="000431F6" w:rsidP="000431F6">
            <w:pPr>
              <w:rPr>
                <w:b/>
                <w:sz w:val="20"/>
                <w:szCs w:val="20"/>
              </w:rPr>
            </w:pPr>
          </w:p>
        </w:tc>
        <w:tc>
          <w:tcPr>
            <w:tcW w:w="4151" w:type="pct"/>
            <w:gridSpan w:val="3"/>
            <w:tcBorders>
              <w:bottom w:val="single" w:sz="4" w:space="0" w:color="auto"/>
            </w:tcBorders>
            <w:shd w:val="clear" w:color="auto" w:fill="auto"/>
          </w:tcPr>
          <w:p w14:paraId="2219495B" w14:textId="5303317A" w:rsidR="00F35BDF" w:rsidRPr="000A6A74" w:rsidRDefault="00F73137" w:rsidP="007D24AE">
            <w:pPr>
              <w:rPr>
                <w:color w:val="FF0000"/>
                <w:sz w:val="20"/>
                <w:szCs w:val="20"/>
              </w:rPr>
            </w:pPr>
            <w:r w:rsidRPr="00A969E8">
              <w:rPr>
                <w:rFonts w:cstheme="minorHAnsi"/>
                <w:sz w:val="20"/>
                <w:szCs w:val="20"/>
              </w:rPr>
              <w:t>Due to human resource limitations and budget constraints the MWYCFA was unable to review the work plans from the nine other ministries and two agencies or to report on relevant government agencies that have work plans or programmes reflecting commitments agreed on in the implement plan of the FAP and/or the NAP for the EVAW Policy. This was a significant limitation for the MRE process, despite the technical assistance provided by UN Women to support the MWYCFA with reporting on this indicator.</w:t>
            </w:r>
          </w:p>
        </w:tc>
      </w:tr>
      <w:tr w:rsidR="00813DA0" w:rsidRPr="000A6A74" w14:paraId="51CEE4CC" w14:textId="77777777" w:rsidTr="00FC1A93">
        <w:trPr>
          <w:gridAfter w:val="2"/>
          <w:wAfter w:w="85" w:type="pct"/>
        </w:trPr>
        <w:tc>
          <w:tcPr>
            <w:tcW w:w="762" w:type="pct"/>
            <w:tcBorders>
              <w:left w:val="nil"/>
              <w:bottom w:val="nil"/>
              <w:right w:val="nil"/>
            </w:tcBorders>
            <w:shd w:val="clear" w:color="auto" w:fill="FFFFFF" w:themeFill="background1"/>
          </w:tcPr>
          <w:p w14:paraId="45835971" w14:textId="77777777" w:rsidR="00813DA0" w:rsidRPr="000A6A74" w:rsidRDefault="00813DA0" w:rsidP="00D4679C">
            <w:pPr>
              <w:rPr>
                <w:sz w:val="20"/>
                <w:szCs w:val="20"/>
              </w:rPr>
            </w:pPr>
          </w:p>
        </w:tc>
        <w:tc>
          <w:tcPr>
            <w:tcW w:w="4151" w:type="pct"/>
            <w:gridSpan w:val="3"/>
            <w:tcBorders>
              <w:left w:val="nil"/>
              <w:bottom w:val="nil"/>
              <w:right w:val="nil"/>
            </w:tcBorders>
            <w:shd w:val="clear" w:color="auto" w:fill="auto"/>
          </w:tcPr>
          <w:p w14:paraId="5B0B0BC1" w14:textId="77777777" w:rsidR="00813DA0" w:rsidRPr="000A6A74" w:rsidRDefault="00813DA0" w:rsidP="00D4679C">
            <w:pPr>
              <w:rPr>
                <w:color w:val="000000" w:themeColor="text1"/>
                <w:sz w:val="20"/>
                <w:szCs w:val="20"/>
              </w:rPr>
            </w:pPr>
          </w:p>
        </w:tc>
      </w:tr>
      <w:tr w:rsidR="007A0496" w:rsidRPr="000A6A74" w14:paraId="14E6D1BA" w14:textId="77777777" w:rsidTr="00FC1A93">
        <w:tc>
          <w:tcPr>
            <w:tcW w:w="1160" w:type="pct"/>
            <w:gridSpan w:val="2"/>
            <w:tcBorders>
              <w:top w:val="nil"/>
              <w:left w:val="nil"/>
              <w:right w:val="nil"/>
            </w:tcBorders>
            <w:shd w:val="clear" w:color="auto" w:fill="FFFFFF" w:themeFill="background1"/>
          </w:tcPr>
          <w:p w14:paraId="092C3F5A" w14:textId="77777777" w:rsidR="007A0496" w:rsidRPr="000A6A74" w:rsidRDefault="007A0496" w:rsidP="00D4679C">
            <w:pPr>
              <w:rPr>
                <w:sz w:val="20"/>
                <w:szCs w:val="20"/>
              </w:rPr>
            </w:pPr>
          </w:p>
        </w:tc>
        <w:tc>
          <w:tcPr>
            <w:tcW w:w="3757" w:type="pct"/>
            <w:gridSpan w:val="3"/>
            <w:tcBorders>
              <w:top w:val="nil"/>
              <w:left w:val="nil"/>
              <w:right w:val="nil"/>
            </w:tcBorders>
            <w:shd w:val="clear" w:color="auto" w:fill="auto"/>
          </w:tcPr>
          <w:p w14:paraId="01871FFD" w14:textId="77777777" w:rsidR="007A0496" w:rsidRPr="000A6A74" w:rsidRDefault="007A0496" w:rsidP="00D4679C">
            <w:pPr>
              <w:rPr>
                <w:color w:val="000000" w:themeColor="text1"/>
                <w:sz w:val="20"/>
                <w:szCs w:val="20"/>
              </w:rPr>
            </w:pPr>
          </w:p>
        </w:tc>
        <w:tc>
          <w:tcPr>
            <w:tcW w:w="83" w:type="pct"/>
            <w:tcBorders>
              <w:top w:val="nil"/>
              <w:left w:val="nil"/>
              <w:bottom w:val="nil"/>
              <w:right w:val="nil"/>
            </w:tcBorders>
            <w:shd w:val="clear" w:color="auto" w:fill="auto"/>
          </w:tcPr>
          <w:p w14:paraId="37E2DA8B" w14:textId="77777777" w:rsidR="007A0496" w:rsidRPr="000A6A74" w:rsidRDefault="007A0496" w:rsidP="00D4679C">
            <w:pPr>
              <w:rPr>
                <w:color w:val="000000" w:themeColor="text1"/>
                <w:sz w:val="20"/>
                <w:szCs w:val="20"/>
              </w:rPr>
            </w:pPr>
          </w:p>
        </w:tc>
      </w:tr>
      <w:tr w:rsidR="00813DA0" w:rsidRPr="000A6A74" w14:paraId="71C8FF16" w14:textId="77777777" w:rsidTr="00FC1A93">
        <w:trPr>
          <w:gridAfter w:val="1"/>
          <w:wAfter w:w="83" w:type="pct"/>
        </w:trPr>
        <w:tc>
          <w:tcPr>
            <w:tcW w:w="1160" w:type="pct"/>
            <w:gridSpan w:val="2"/>
            <w:vMerge w:val="restart"/>
            <w:shd w:val="clear" w:color="auto" w:fill="EAF1DD" w:themeFill="accent3" w:themeFillTint="33"/>
          </w:tcPr>
          <w:p w14:paraId="76089998" w14:textId="77777777" w:rsidR="00813DA0" w:rsidRPr="000A6A74" w:rsidRDefault="00813DA0" w:rsidP="00D02DE8">
            <w:pPr>
              <w:rPr>
                <w:b/>
                <w:sz w:val="20"/>
                <w:szCs w:val="20"/>
              </w:rPr>
            </w:pPr>
            <w:r w:rsidRPr="000A6A74">
              <w:rPr>
                <w:b/>
                <w:sz w:val="20"/>
                <w:szCs w:val="20"/>
              </w:rPr>
              <w:t>Output Indicator Update</w:t>
            </w:r>
          </w:p>
        </w:tc>
        <w:tc>
          <w:tcPr>
            <w:tcW w:w="3757" w:type="pct"/>
            <w:gridSpan w:val="3"/>
            <w:tcBorders>
              <w:bottom w:val="single" w:sz="4" w:space="0" w:color="auto"/>
            </w:tcBorders>
            <w:shd w:val="clear" w:color="auto" w:fill="EAF1DD" w:themeFill="accent3" w:themeFillTint="33"/>
          </w:tcPr>
          <w:p w14:paraId="42F951EE" w14:textId="557A08E7" w:rsidR="007D24AE" w:rsidRPr="000A6A74" w:rsidRDefault="00813DA0" w:rsidP="007D24AE">
            <w:pPr>
              <w:rPr>
                <w:sz w:val="20"/>
                <w:szCs w:val="20"/>
              </w:rPr>
            </w:pPr>
            <w:r w:rsidRPr="000A6A74">
              <w:rPr>
                <w:sz w:val="20"/>
                <w:szCs w:val="20"/>
              </w:rPr>
              <w:t xml:space="preserve">Reporting period: </w:t>
            </w:r>
            <w:r w:rsidR="007D24AE">
              <w:rPr>
                <w:sz w:val="20"/>
                <w:szCs w:val="20"/>
              </w:rPr>
              <w:t>Y</w:t>
            </w:r>
            <w:r w:rsidR="00476BE2">
              <w:rPr>
                <w:sz w:val="20"/>
                <w:szCs w:val="20"/>
              </w:rPr>
              <w:t>3</w:t>
            </w:r>
            <w:r w:rsidR="007D24AE">
              <w:rPr>
                <w:sz w:val="20"/>
                <w:szCs w:val="20"/>
              </w:rPr>
              <w:t xml:space="preserve"> Annual Progress Report, January to December 201</w:t>
            </w:r>
            <w:r w:rsidR="00476BE2">
              <w:rPr>
                <w:sz w:val="20"/>
                <w:szCs w:val="20"/>
              </w:rPr>
              <w:t>7</w:t>
            </w:r>
          </w:p>
        </w:tc>
      </w:tr>
      <w:tr w:rsidR="00813DA0" w:rsidRPr="000A6A74" w14:paraId="06BEE93E" w14:textId="77777777" w:rsidTr="00FC1A93">
        <w:trPr>
          <w:gridAfter w:val="1"/>
          <w:wAfter w:w="83" w:type="pct"/>
        </w:trPr>
        <w:tc>
          <w:tcPr>
            <w:tcW w:w="1160" w:type="pct"/>
            <w:gridSpan w:val="2"/>
            <w:vMerge/>
            <w:shd w:val="clear" w:color="auto" w:fill="EAF1DD" w:themeFill="accent3" w:themeFillTint="33"/>
          </w:tcPr>
          <w:p w14:paraId="46EED0D9" w14:textId="77777777" w:rsidR="00813DA0" w:rsidRPr="000A6A74" w:rsidRDefault="00813DA0" w:rsidP="00D02DE8">
            <w:pPr>
              <w:rPr>
                <w:b/>
                <w:sz w:val="20"/>
                <w:szCs w:val="20"/>
              </w:rPr>
            </w:pPr>
          </w:p>
        </w:tc>
        <w:tc>
          <w:tcPr>
            <w:tcW w:w="820" w:type="pct"/>
            <w:tcBorders>
              <w:bottom w:val="single" w:sz="4" w:space="0" w:color="auto"/>
            </w:tcBorders>
            <w:shd w:val="clear" w:color="auto" w:fill="EAF1DD" w:themeFill="accent3" w:themeFillTint="33"/>
          </w:tcPr>
          <w:p w14:paraId="52CEF75D" w14:textId="77777777" w:rsidR="00813DA0" w:rsidRPr="000A6A74" w:rsidRDefault="00813DA0" w:rsidP="00D02DE8">
            <w:pPr>
              <w:rPr>
                <w:b/>
                <w:sz w:val="20"/>
                <w:szCs w:val="20"/>
              </w:rPr>
            </w:pPr>
            <w:r w:rsidRPr="000A6A74">
              <w:rPr>
                <w:b/>
                <w:sz w:val="20"/>
                <w:szCs w:val="20"/>
              </w:rPr>
              <w:t xml:space="preserve">Quantitative Information </w:t>
            </w:r>
          </w:p>
        </w:tc>
        <w:tc>
          <w:tcPr>
            <w:tcW w:w="2937" w:type="pct"/>
            <w:gridSpan w:val="2"/>
            <w:tcBorders>
              <w:bottom w:val="single" w:sz="4" w:space="0" w:color="auto"/>
            </w:tcBorders>
            <w:shd w:val="clear" w:color="auto" w:fill="EAF1DD" w:themeFill="accent3" w:themeFillTint="33"/>
          </w:tcPr>
          <w:p w14:paraId="68F47F27" w14:textId="77777777" w:rsidR="00813DA0" w:rsidRPr="000A6A74" w:rsidRDefault="00813DA0" w:rsidP="0010745F">
            <w:pPr>
              <w:rPr>
                <w:b/>
                <w:sz w:val="20"/>
                <w:szCs w:val="20"/>
              </w:rPr>
            </w:pPr>
            <w:r w:rsidRPr="000A6A74">
              <w:rPr>
                <w:b/>
                <w:sz w:val="20"/>
                <w:szCs w:val="20"/>
              </w:rPr>
              <w:t xml:space="preserve">Qualitative Information </w:t>
            </w:r>
          </w:p>
        </w:tc>
      </w:tr>
      <w:tr w:rsidR="00813DA0" w:rsidRPr="000A6A74" w14:paraId="01E62ECC" w14:textId="77777777" w:rsidTr="00FC1A93">
        <w:trPr>
          <w:gridAfter w:val="1"/>
          <w:wAfter w:w="83" w:type="pct"/>
        </w:trPr>
        <w:tc>
          <w:tcPr>
            <w:tcW w:w="1160" w:type="pct"/>
            <w:gridSpan w:val="2"/>
            <w:shd w:val="clear" w:color="auto" w:fill="EAF1DD" w:themeFill="accent3" w:themeFillTint="33"/>
          </w:tcPr>
          <w:p w14:paraId="65069C7A" w14:textId="010F26D1" w:rsidR="00813DA0" w:rsidRPr="00813DA0" w:rsidRDefault="007D24AE" w:rsidP="001A50EA">
            <w:pPr>
              <w:autoSpaceDE w:val="0"/>
              <w:autoSpaceDN w:val="0"/>
              <w:adjustRightInd w:val="0"/>
              <w:rPr>
                <w:sz w:val="20"/>
                <w:szCs w:val="20"/>
              </w:rPr>
            </w:pPr>
            <w:r>
              <w:br w:type="page"/>
            </w:r>
            <w:r w:rsidR="00813DA0" w:rsidRPr="00813DA0">
              <w:rPr>
                <w:b/>
                <w:sz w:val="20"/>
                <w:szCs w:val="20"/>
              </w:rPr>
              <w:t>Output Indicator 1:</w:t>
            </w:r>
            <w:r w:rsidR="00813DA0" w:rsidRPr="00813DA0">
              <w:rPr>
                <w:sz w:val="20"/>
                <w:szCs w:val="20"/>
              </w:rPr>
              <w:t xml:space="preserve"> </w:t>
            </w:r>
            <w:r w:rsidR="000C2585" w:rsidRPr="000C2585">
              <w:rPr>
                <w:rFonts w:cs="CalibriRegular"/>
                <w:color w:val="1C1C1C"/>
                <w:sz w:val="20"/>
                <w:szCs w:val="20"/>
              </w:rPr>
              <w:t>Proportion of relevant</w:t>
            </w:r>
            <w:r>
              <w:rPr>
                <w:rFonts w:cs="CalibriRegular"/>
                <w:color w:val="1C1C1C"/>
                <w:sz w:val="20"/>
                <w:szCs w:val="20"/>
              </w:rPr>
              <w:t xml:space="preserve"> </w:t>
            </w:r>
            <w:r w:rsidR="000C2585" w:rsidRPr="000C2585">
              <w:rPr>
                <w:rFonts w:cs="CalibriRegular"/>
                <w:color w:val="1C1C1C"/>
                <w:sz w:val="20"/>
                <w:szCs w:val="20"/>
              </w:rPr>
              <w:t>government agencies</w:t>
            </w:r>
            <w:r>
              <w:rPr>
                <w:rFonts w:cs="CalibriRegular"/>
                <w:color w:val="1C1C1C"/>
                <w:sz w:val="20"/>
                <w:szCs w:val="20"/>
              </w:rPr>
              <w:t xml:space="preserve"> </w:t>
            </w:r>
            <w:r w:rsidR="000C2585" w:rsidRPr="000C2585">
              <w:rPr>
                <w:rFonts w:cs="CalibriRegular"/>
                <w:color w:val="1C1C1C"/>
                <w:sz w:val="20"/>
                <w:szCs w:val="20"/>
              </w:rPr>
              <w:t>that have work plans or</w:t>
            </w:r>
            <w:r w:rsidR="000C2585">
              <w:rPr>
                <w:rFonts w:cs="CalibriRegular"/>
                <w:color w:val="1C1C1C"/>
                <w:sz w:val="20"/>
                <w:szCs w:val="20"/>
              </w:rPr>
              <w:t xml:space="preserve"> </w:t>
            </w:r>
            <w:r w:rsidR="000C2585" w:rsidRPr="000C2585">
              <w:rPr>
                <w:rFonts w:cs="CalibriRegular"/>
                <w:color w:val="1C1C1C"/>
                <w:sz w:val="20"/>
                <w:szCs w:val="20"/>
              </w:rPr>
              <w:t>programmes reflecting</w:t>
            </w:r>
            <w:r w:rsidR="000C2585">
              <w:rPr>
                <w:rFonts w:cs="CalibriRegular"/>
                <w:color w:val="1C1C1C"/>
                <w:sz w:val="20"/>
                <w:szCs w:val="20"/>
              </w:rPr>
              <w:t xml:space="preserve"> </w:t>
            </w:r>
            <w:r w:rsidR="000C2585" w:rsidRPr="000C2585">
              <w:rPr>
                <w:rFonts w:cs="CalibriRegular"/>
                <w:color w:val="1C1C1C"/>
                <w:sz w:val="20"/>
                <w:szCs w:val="20"/>
              </w:rPr>
              <w:t>commitments</w:t>
            </w:r>
            <w:r w:rsidR="001A50EA">
              <w:rPr>
                <w:rFonts w:cs="CalibriRegular"/>
                <w:color w:val="1C1C1C"/>
                <w:sz w:val="20"/>
                <w:szCs w:val="20"/>
              </w:rPr>
              <w:t xml:space="preserve"> </w:t>
            </w:r>
            <w:r w:rsidR="000C2585" w:rsidRPr="000C2585">
              <w:rPr>
                <w:rFonts w:cs="CalibriRegular"/>
                <w:color w:val="1C1C1C"/>
                <w:sz w:val="20"/>
                <w:szCs w:val="20"/>
              </w:rPr>
              <w:t>agreed on in the</w:t>
            </w:r>
            <w:r w:rsidR="001A50EA">
              <w:rPr>
                <w:rFonts w:cs="CalibriRegular"/>
                <w:color w:val="1C1C1C"/>
                <w:sz w:val="20"/>
                <w:szCs w:val="20"/>
              </w:rPr>
              <w:t xml:space="preserve"> </w:t>
            </w:r>
            <w:r w:rsidR="000C2585" w:rsidRPr="000C2585">
              <w:rPr>
                <w:rFonts w:cs="CalibriRegular"/>
                <w:color w:val="1C1C1C"/>
                <w:sz w:val="20"/>
                <w:szCs w:val="20"/>
              </w:rPr>
              <w:t>implementation plan of</w:t>
            </w:r>
            <w:r w:rsidR="000C2585">
              <w:rPr>
                <w:rFonts w:cs="CalibriRegular"/>
                <w:color w:val="1C1C1C"/>
                <w:sz w:val="20"/>
                <w:szCs w:val="20"/>
              </w:rPr>
              <w:t xml:space="preserve"> </w:t>
            </w:r>
            <w:r w:rsidR="000C2585" w:rsidRPr="000C2585">
              <w:rPr>
                <w:rFonts w:cs="CalibriRegular"/>
                <w:color w:val="1C1C1C"/>
                <w:sz w:val="20"/>
                <w:szCs w:val="20"/>
              </w:rPr>
              <w:t xml:space="preserve">the FPA and </w:t>
            </w:r>
            <w:r w:rsidR="001A50EA">
              <w:rPr>
                <w:rFonts w:cs="CalibriRegular"/>
                <w:color w:val="1C1C1C"/>
                <w:sz w:val="20"/>
                <w:szCs w:val="20"/>
              </w:rPr>
              <w:t xml:space="preserve">the </w:t>
            </w:r>
            <w:r w:rsidR="000C2585" w:rsidRPr="000C2585">
              <w:rPr>
                <w:rFonts w:cs="CalibriRegular"/>
                <w:color w:val="1C1C1C"/>
                <w:sz w:val="20"/>
                <w:szCs w:val="20"/>
              </w:rPr>
              <w:t>NAP for the</w:t>
            </w:r>
            <w:r w:rsidR="000C2585">
              <w:rPr>
                <w:rFonts w:cs="CalibriRegular"/>
                <w:color w:val="1C1C1C"/>
                <w:sz w:val="20"/>
                <w:szCs w:val="20"/>
              </w:rPr>
              <w:t xml:space="preserve"> </w:t>
            </w:r>
            <w:r w:rsidR="000C2585" w:rsidRPr="000C2585">
              <w:rPr>
                <w:rFonts w:cs="CalibriRegular"/>
                <w:color w:val="1C1C1C"/>
                <w:sz w:val="20"/>
                <w:szCs w:val="20"/>
              </w:rPr>
              <w:t>EVAWG Policy, by stage</w:t>
            </w:r>
            <w:r w:rsidR="000C2585">
              <w:rPr>
                <w:rFonts w:cs="CalibriRegular"/>
                <w:color w:val="1C1C1C"/>
                <w:sz w:val="20"/>
                <w:szCs w:val="20"/>
              </w:rPr>
              <w:t xml:space="preserve"> </w:t>
            </w:r>
            <w:r w:rsidR="000C2585" w:rsidRPr="000C2585">
              <w:rPr>
                <w:rFonts w:cs="CalibriRegular"/>
                <w:color w:val="1C1C1C"/>
                <w:sz w:val="20"/>
                <w:szCs w:val="20"/>
              </w:rPr>
              <w:t xml:space="preserve">of </w:t>
            </w:r>
            <w:r w:rsidR="00476BE2">
              <w:rPr>
                <w:rFonts w:cs="CalibriRegular"/>
                <w:color w:val="1C1C1C"/>
                <w:sz w:val="20"/>
                <w:szCs w:val="20"/>
              </w:rPr>
              <w:t>d</w:t>
            </w:r>
            <w:r w:rsidR="000C2585" w:rsidRPr="000C2585">
              <w:rPr>
                <w:rFonts w:cs="CalibriRegular"/>
                <w:color w:val="1C1C1C"/>
                <w:sz w:val="20"/>
                <w:szCs w:val="20"/>
              </w:rPr>
              <w:t>evelopment/</w:t>
            </w:r>
            <w:r w:rsidR="00476BE2">
              <w:rPr>
                <w:rFonts w:cs="CalibriRegular"/>
                <w:color w:val="1C1C1C"/>
                <w:sz w:val="20"/>
                <w:szCs w:val="20"/>
              </w:rPr>
              <w:t xml:space="preserve"> </w:t>
            </w:r>
            <w:r w:rsidR="000C2585" w:rsidRPr="000C2585">
              <w:rPr>
                <w:rFonts w:cs="CalibriRegular"/>
                <w:color w:val="1C1C1C"/>
                <w:sz w:val="20"/>
                <w:szCs w:val="20"/>
              </w:rPr>
              <w:t>implementation (in</w:t>
            </w:r>
            <w:r w:rsidR="001A50EA">
              <w:rPr>
                <w:rFonts w:cs="CalibriRegular"/>
                <w:color w:val="1C1C1C"/>
                <w:sz w:val="20"/>
                <w:szCs w:val="20"/>
              </w:rPr>
              <w:t xml:space="preserve"> </w:t>
            </w:r>
            <w:r w:rsidR="000C2585" w:rsidRPr="000C2585">
              <w:rPr>
                <w:rFonts w:cs="CalibriRegular"/>
                <w:color w:val="1C1C1C"/>
                <w:sz w:val="20"/>
                <w:szCs w:val="20"/>
              </w:rPr>
              <w:t>development, finalized,</w:t>
            </w:r>
            <w:r w:rsidR="000C2585">
              <w:rPr>
                <w:rFonts w:cs="CalibriRegular"/>
                <w:color w:val="1C1C1C"/>
                <w:sz w:val="20"/>
                <w:szCs w:val="20"/>
              </w:rPr>
              <w:t xml:space="preserve"> </w:t>
            </w:r>
            <w:r w:rsidR="000C2585" w:rsidRPr="000C2585">
              <w:rPr>
                <w:rFonts w:cs="CalibriRegular"/>
                <w:color w:val="1C1C1C"/>
                <w:sz w:val="20"/>
                <w:szCs w:val="20"/>
              </w:rPr>
              <w:t>funded, implemented,</w:t>
            </w:r>
            <w:r w:rsidR="001A50EA">
              <w:rPr>
                <w:rFonts w:cs="CalibriRegular"/>
                <w:color w:val="1C1C1C"/>
                <w:sz w:val="20"/>
                <w:szCs w:val="20"/>
              </w:rPr>
              <w:t xml:space="preserve"> </w:t>
            </w:r>
            <w:r w:rsidR="000C2585" w:rsidRPr="000C2585">
              <w:rPr>
                <w:rFonts w:cs="CalibriRegular"/>
                <w:color w:val="1C1C1C"/>
                <w:sz w:val="20"/>
                <w:szCs w:val="20"/>
              </w:rPr>
              <w:t>monitored)</w:t>
            </w:r>
          </w:p>
        </w:tc>
        <w:tc>
          <w:tcPr>
            <w:tcW w:w="820" w:type="pct"/>
            <w:shd w:val="clear" w:color="auto" w:fill="auto"/>
          </w:tcPr>
          <w:p w14:paraId="38B728F6" w14:textId="020AAF6A" w:rsidR="00813DA0" w:rsidRPr="000A6A74" w:rsidRDefault="00863028" w:rsidP="00725049">
            <w:pPr>
              <w:jc w:val="center"/>
              <w:rPr>
                <w:sz w:val="20"/>
                <w:szCs w:val="20"/>
              </w:rPr>
            </w:pPr>
            <w:r>
              <w:rPr>
                <w:sz w:val="20"/>
                <w:szCs w:val="20"/>
              </w:rPr>
              <w:t>NA</w:t>
            </w:r>
          </w:p>
        </w:tc>
        <w:tc>
          <w:tcPr>
            <w:tcW w:w="2937" w:type="pct"/>
            <w:gridSpan w:val="2"/>
            <w:shd w:val="clear" w:color="auto" w:fill="FFFFFF" w:themeFill="background1"/>
          </w:tcPr>
          <w:p w14:paraId="6CA666E1" w14:textId="77777777" w:rsidR="00476BE2" w:rsidRPr="00725049" w:rsidRDefault="00476BE2" w:rsidP="00725049">
            <w:pPr>
              <w:autoSpaceDE w:val="0"/>
              <w:autoSpaceDN w:val="0"/>
              <w:adjustRightInd w:val="0"/>
              <w:jc w:val="both"/>
              <w:rPr>
                <w:rFonts w:cstheme="minorHAnsi"/>
                <w:sz w:val="20"/>
                <w:szCs w:val="20"/>
              </w:rPr>
            </w:pPr>
            <w:r w:rsidRPr="00725049">
              <w:rPr>
                <w:rFonts w:cstheme="minorHAnsi"/>
                <w:sz w:val="20"/>
                <w:szCs w:val="20"/>
              </w:rPr>
              <w:t>Due to human resource limitations and budget constraints the MWYCFA was unable to review the work plans from the nine other ministries and two agencies or to report on relevant government agencies that have work plans or programmes reflecting commitments agreed on in the implement plan of the FAP and/or the NAP for the EVAW Policy. This was a significant limitation for the MRE process, despite the technical assistance provided by UN Women to support the MWYCFA with reporting on this indicator.</w:t>
            </w:r>
          </w:p>
          <w:p w14:paraId="47FAF718" w14:textId="24503B62" w:rsidR="00813DA0" w:rsidRPr="000A6A74" w:rsidRDefault="00813DA0" w:rsidP="008519E1">
            <w:pPr>
              <w:rPr>
                <w:sz w:val="20"/>
                <w:szCs w:val="20"/>
              </w:rPr>
            </w:pPr>
          </w:p>
        </w:tc>
      </w:tr>
      <w:tr w:rsidR="00813DA0" w:rsidRPr="000A6A74" w14:paraId="7FCEBB0D" w14:textId="77777777" w:rsidTr="00FC1A93">
        <w:trPr>
          <w:gridAfter w:val="1"/>
          <w:wAfter w:w="83" w:type="pct"/>
        </w:trPr>
        <w:tc>
          <w:tcPr>
            <w:tcW w:w="1160" w:type="pct"/>
            <w:gridSpan w:val="2"/>
            <w:shd w:val="clear" w:color="auto" w:fill="EAF1DD" w:themeFill="accent3" w:themeFillTint="33"/>
          </w:tcPr>
          <w:p w14:paraId="769E0672" w14:textId="77777777" w:rsidR="00813DA0" w:rsidRPr="00813DA0" w:rsidRDefault="00813DA0" w:rsidP="001A50EA">
            <w:pPr>
              <w:autoSpaceDE w:val="0"/>
              <w:autoSpaceDN w:val="0"/>
              <w:adjustRightInd w:val="0"/>
              <w:rPr>
                <w:sz w:val="20"/>
                <w:szCs w:val="20"/>
              </w:rPr>
            </w:pPr>
            <w:r w:rsidRPr="00813DA0">
              <w:rPr>
                <w:b/>
                <w:sz w:val="20"/>
                <w:szCs w:val="20"/>
              </w:rPr>
              <w:t>Output Indicator 2:</w:t>
            </w:r>
            <w:r w:rsidRPr="00813DA0">
              <w:rPr>
                <w:sz w:val="20"/>
                <w:szCs w:val="20"/>
              </w:rPr>
              <w:t xml:space="preserve"> </w:t>
            </w:r>
            <w:r w:rsidR="000C2585" w:rsidRPr="000C2585">
              <w:rPr>
                <w:rFonts w:cs="CalibriRegular"/>
                <w:color w:val="1C1C1C"/>
                <w:sz w:val="20"/>
                <w:szCs w:val="20"/>
              </w:rPr>
              <w:t>Extent to which UPR and</w:t>
            </w:r>
            <w:r w:rsidR="000C2585">
              <w:rPr>
                <w:rFonts w:cs="CalibriRegular"/>
                <w:color w:val="1C1C1C"/>
                <w:sz w:val="20"/>
                <w:szCs w:val="20"/>
              </w:rPr>
              <w:t xml:space="preserve"> </w:t>
            </w:r>
            <w:r w:rsidR="000C2585" w:rsidRPr="000C2585">
              <w:rPr>
                <w:rFonts w:cs="CalibriRegular"/>
                <w:color w:val="1C1C1C"/>
                <w:sz w:val="20"/>
                <w:szCs w:val="20"/>
              </w:rPr>
              <w:t>CEDAW</w:t>
            </w:r>
            <w:r w:rsidR="000C2585">
              <w:rPr>
                <w:rFonts w:cs="CalibriRegular"/>
                <w:color w:val="1C1C1C"/>
                <w:sz w:val="20"/>
                <w:szCs w:val="20"/>
              </w:rPr>
              <w:t xml:space="preserve"> </w:t>
            </w:r>
            <w:r w:rsidR="000C2585" w:rsidRPr="000C2585">
              <w:rPr>
                <w:rFonts w:cs="CalibriRegular"/>
                <w:color w:val="1C1C1C"/>
                <w:sz w:val="20"/>
                <w:szCs w:val="20"/>
              </w:rPr>
              <w:t>recommendations directly</w:t>
            </w:r>
            <w:r w:rsidR="000C2585">
              <w:rPr>
                <w:rFonts w:cs="CalibriRegular"/>
                <w:color w:val="1C1C1C"/>
                <w:sz w:val="20"/>
                <w:szCs w:val="20"/>
              </w:rPr>
              <w:t xml:space="preserve"> </w:t>
            </w:r>
            <w:r w:rsidR="000C2585" w:rsidRPr="000C2585">
              <w:rPr>
                <w:rFonts w:cs="CalibriRegular"/>
                <w:color w:val="1C1C1C"/>
                <w:sz w:val="20"/>
                <w:szCs w:val="20"/>
              </w:rPr>
              <w:t>related to EVAWG are</w:t>
            </w:r>
            <w:r w:rsidR="000C2585">
              <w:rPr>
                <w:rFonts w:cs="CalibriRegular"/>
                <w:color w:val="1C1C1C"/>
                <w:sz w:val="20"/>
                <w:szCs w:val="20"/>
              </w:rPr>
              <w:t xml:space="preserve"> </w:t>
            </w:r>
            <w:r w:rsidR="000C2585" w:rsidRPr="000C2585">
              <w:rPr>
                <w:rFonts w:cs="CalibriRegular"/>
                <w:color w:val="1C1C1C"/>
                <w:sz w:val="20"/>
                <w:szCs w:val="20"/>
              </w:rPr>
              <w:t>addressed and</w:t>
            </w:r>
            <w:r w:rsidR="000C2585">
              <w:rPr>
                <w:rFonts w:cs="CalibriRegular"/>
                <w:color w:val="1C1C1C"/>
                <w:sz w:val="20"/>
                <w:szCs w:val="20"/>
              </w:rPr>
              <w:t xml:space="preserve"> </w:t>
            </w:r>
            <w:r w:rsidR="000C2585" w:rsidRPr="000C2585">
              <w:rPr>
                <w:rFonts w:cs="CalibriRegular"/>
                <w:color w:val="1C1C1C"/>
                <w:sz w:val="20"/>
                <w:szCs w:val="20"/>
              </w:rPr>
              <w:t>Implementation</w:t>
            </w:r>
            <w:r w:rsidR="001A50EA">
              <w:rPr>
                <w:rFonts w:cs="CalibriRegular"/>
                <w:color w:val="1C1C1C"/>
                <w:sz w:val="20"/>
                <w:szCs w:val="20"/>
              </w:rPr>
              <w:t xml:space="preserve"> </w:t>
            </w:r>
            <w:r w:rsidR="000C2585" w:rsidRPr="000C2585">
              <w:rPr>
                <w:rFonts w:cs="CalibriRegular"/>
                <w:color w:val="1C1C1C"/>
                <w:sz w:val="20"/>
                <w:szCs w:val="20"/>
              </w:rPr>
              <w:t>supported by stage:</w:t>
            </w:r>
            <w:r w:rsidR="001A50EA">
              <w:rPr>
                <w:rFonts w:cs="CalibriRegular"/>
                <w:color w:val="1C1C1C"/>
                <w:sz w:val="20"/>
                <w:szCs w:val="20"/>
              </w:rPr>
              <w:t xml:space="preserve"> </w:t>
            </w:r>
            <w:r w:rsidR="000C2585" w:rsidRPr="000C2585">
              <w:rPr>
                <w:rFonts w:cs="CalibriRegular"/>
                <w:color w:val="1C1C1C"/>
                <w:sz w:val="20"/>
                <w:szCs w:val="20"/>
              </w:rPr>
              <w:t>- IMPLEMENTED- formally</w:t>
            </w:r>
            <w:r w:rsidR="000C2585">
              <w:rPr>
                <w:rFonts w:cs="CalibriRegular"/>
                <w:color w:val="1C1C1C"/>
                <w:sz w:val="20"/>
                <w:szCs w:val="20"/>
              </w:rPr>
              <w:t xml:space="preserve"> </w:t>
            </w:r>
            <w:r w:rsidR="000C2585" w:rsidRPr="000C2585">
              <w:rPr>
                <w:rFonts w:cs="CalibriRegular"/>
                <w:color w:val="1C1C1C"/>
                <w:sz w:val="20"/>
                <w:szCs w:val="20"/>
              </w:rPr>
              <w:t>acknowledged in a</w:t>
            </w:r>
            <w:r w:rsidR="001A50EA">
              <w:rPr>
                <w:rFonts w:cs="CalibriRegular"/>
                <w:color w:val="1C1C1C"/>
                <w:sz w:val="20"/>
                <w:szCs w:val="20"/>
              </w:rPr>
              <w:t xml:space="preserve"> </w:t>
            </w:r>
            <w:r w:rsidR="000C2585" w:rsidRPr="000C2585">
              <w:rPr>
                <w:rFonts w:cs="CalibriRegular"/>
                <w:color w:val="1C1C1C"/>
                <w:sz w:val="20"/>
                <w:szCs w:val="20"/>
              </w:rPr>
              <w:t>written form</w:t>
            </w:r>
            <w:r w:rsidR="000C2585">
              <w:rPr>
                <w:rFonts w:cs="CalibriRegular"/>
                <w:color w:val="1C1C1C"/>
                <w:sz w:val="20"/>
                <w:szCs w:val="20"/>
              </w:rPr>
              <w:t xml:space="preserve"> </w:t>
            </w:r>
            <w:r w:rsidR="000C2585" w:rsidRPr="000C2585">
              <w:rPr>
                <w:rFonts w:cs="CalibriRegular"/>
                <w:color w:val="1C1C1C"/>
                <w:sz w:val="20"/>
                <w:szCs w:val="20"/>
              </w:rPr>
              <w:t xml:space="preserve"> ADDRESSED </w:t>
            </w:r>
            <w:r w:rsidR="001A50EA">
              <w:rPr>
                <w:rFonts w:cs="CalibriRegular"/>
                <w:color w:val="1C1C1C"/>
                <w:sz w:val="20"/>
                <w:szCs w:val="20"/>
              </w:rPr>
              <w:t>–</w:t>
            </w:r>
            <w:r w:rsidR="000C2585" w:rsidRPr="000C2585">
              <w:rPr>
                <w:rFonts w:cs="CalibriRegular"/>
                <w:color w:val="1C1C1C"/>
                <w:sz w:val="20"/>
                <w:szCs w:val="20"/>
              </w:rPr>
              <w:t xml:space="preserve"> process</w:t>
            </w:r>
            <w:r w:rsidR="001A50EA">
              <w:rPr>
                <w:rFonts w:cs="CalibriRegular"/>
                <w:color w:val="1C1C1C"/>
                <w:sz w:val="20"/>
                <w:szCs w:val="20"/>
              </w:rPr>
              <w:t xml:space="preserve"> </w:t>
            </w:r>
            <w:r w:rsidR="000C2585" w:rsidRPr="000C2585">
              <w:rPr>
                <w:rFonts w:cs="CalibriRegular"/>
                <w:color w:val="1C1C1C"/>
                <w:sz w:val="20"/>
                <w:szCs w:val="20"/>
              </w:rPr>
              <w:t>Developed</w:t>
            </w:r>
            <w:r w:rsidR="000C2585">
              <w:rPr>
                <w:rFonts w:cs="CalibriRegular"/>
                <w:color w:val="1C1C1C"/>
                <w:sz w:val="20"/>
                <w:szCs w:val="20"/>
              </w:rPr>
              <w:t xml:space="preserve"> </w:t>
            </w:r>
            <w:r w:rsidR="001A50EA">
              <w:rPr>
                <w:rFonts w:cs="CalibriRegular"/>
                <w:color w:val="1C1C1C"/>
                <w:sz w:val="20"/>
                <w:szCs w:val="20"/>
              </w:rPr>
              <w:t>–</w:t>
            </w:r>
            <w:r w:rsidR="000C2585" w:rsidRPr="000C2585">
              <w:rPr>
                <w:rFonts w:cs="CalibriRegular"/>
                <w:color w:val="1C1C1C"/>
                <w:sz w:val="20"/>
                <w:szCs w:val="20"/>
              </w:rPr>
              <w:t xml:space="preserve"> FUNDED</w:t>
            </w:r>
            <w:r w:rsidR="001A50EA">
              <w:rPr>
                <w:rFonts w:cs="CalibriRegular"/>
                <w:color w:val="1C1C1C"/>
                <w:sz w:val="20"/>
                <w:szCs w:val="20"/>
              </w:rPr>
              <w:t xml:space="preserve"> </w:t>
            </w:r>
            <w:r w:rsidR="000C2585" w:rsidRPr="000C2585">
              <w:rPr>
                <w:rFonts w:cs="CalibriRegular"/>
                <w:color w:val="1C1C1C"/>
                <w:sz w:val="20"/>
                <w:szCs w:val="20"/>
              </w:rPr>
              <w:t>-</w:t>
            </w:r>
            <w:r w:rsidR="000C2585">
              <w:rPr>
                <w:rFonts w:cs="CalibriRegular"/>
                <w:color w:val="1C1C1C"/>
                <w:sz w:val="20"/>
                <w:szCs w:val="20"/>
              </w:rPr>
              <w:t>M</w:t>
            </w:r>
            <w:r w:rsidR="000C2585" w:rsidRPr="000C2585">
              <w:rPr>
                <w:rFonts w:cs="CalibriRegular"/>
                <w:color w:val="1C1C1C"/>
                <w:sz w:val="20"/>
                <w:szCs w:val="20"/>
              </w:rPr>
              <w:t>ONITORED</w:t>
            </w:r>
          </w:p>
        </w:tc>
        <w:tc>
          <w:tcPr>
            <w:tcW w:w="820" w:type="pct"/>
            <w:shd w:val="clear" w:color="auto" w:fill="FFFFFF" w:themeFill="background1"/>
          </w:tcPr>
          <w:p w14:paraId="276A486A" w14:textId="6073DB39" w:rsidR="00813DA0" w:rsidRPr="000A6A74" w:rsidRDefault="00863028" w:rsidP="00725049">
            <w:pPr>
              <w:jc w:val="center"/>
              <w:rPr>
                <w:sz w:val="20"/>
                <w:szCs w:val="20"/>
              </w:rPr>
            </w:pPr>
            <w:r>
              <w:rPr>
                <w:sz w:val="20"/>
                <w:szCs w:val="20"/>
              </w:rPr>
              <w:t>NA</w:t>
            </w:r>
          </w:p>
        </w:tc>
        <w:tc>
          <w:tcPr>
            <w:tcW w:w="2937" w:type="pct"/>
            <w:gridSpan w:val="2"/>
            <w:shd w:val="clear" w:color="auto" w:fill="FFFFFF" w:themeFill="background1"/>
          </w:tcPr>
          <w:p w14:paraId="07146DB0" w14:textId="77777777" w:rsidR="00476BE2" w:rsidRPr="00725049" w:rsidRDefault="00476BE2" w:rsidP="00725049">
            <w:pPr>
              <w:shd w:val="clear" w:color="auto" w:fill="FFFFFF" w:themeFill="background1"/>
              <w:autoSpaceDE w:val="0"/>
              <w:autoSpaceDN w:val="0"/>
              <w:adjustRightInd w:val="0"/>
              <w:jc w:val="both"/>
              <w:rPr>
                <w:rFonts w:cstheme="minorHAnsi"/>
                <w:sz w:val="20"/>
                <w:szCs w:val="20"/>
              </w:rPr>
            </w:pPr>
            <w:r w:rsidRPr="00725049">
              <w:rPr>
                <w:rFonts w:cstheme="minorHAnsi"/>
                <w:sz w:val="20"/>
                <w:szCs w:val="20"/>
              </w:rPr>
              <w:t>Due to human resource limitations and budget constraints the MWYCFA was unable to report on the extent to which UPR and CEDAW recommendations directly related to EVAWG had been addressed, implemented, and/or supported. Although the UN-SIG JP on EVAWG was unable to report on this indicator, the evaluation did find that some progress was made implementing two of UPR recommendations, particularly reform of the Penal Code Related to Sexual Offenses and implementation of the FPA. Also, collection of VAWG administrative data was reportedly a CEDAW recommendation that was implemented with support from the UN-SGI JP on EVAWG.</w:t>
            </w:r>
          </w:p>
          <w:p w14:paraId="1FE06D53" w14:textId="6D946685" w:rsidR="00F35BDF" w:rsidRPr="00F35BDF" w:rsidRDefault="00F35BDF" w:rsidP="00725049"/>
        </w:tc>
      </w:tr>
      <w:tr w:rsidR="00813DA0" w:rsidRPr="000A6A74" w14:paraId="05B5D449" w14:textId="77777777" w:rsidTr="00FC1A93">
        <w:trPr>
          <w:gridAfter w:val="1"/>
          <w:wAfter w:w="83" w:type="pct"/>
        </w:trPr>
        <w:tc>
          <w:tcPr>
            <w:tcW w:w="1160" w:type="pct"/>
            <w:gridSpan w:val="2"/>
            <w:tcBorders>
              <w:bottom w:val="single" w:sz="4" w:space="0" w:color="auto"/>
            </w:tcBorders>
            <w:shd w:val="clear" w:color="auto" w:fill="EAF1DD" w:themeFill="accent3" w:themeFillTint="33"/>
          </w:tcPr>
          <w:p w14:paraId="38EAE0E0" w14:textId="77777777" w:rsidR="00813DA0" w:rsidRPr="000C2585" w:rsidRDefault="00813DA0" w:rsidP="00206C12">
            <w:pPr>
              <w:autoSpaceDE w:val="0"/>
              <w:autoSpaceDN w:val="0"/>
              <w:adjustRightInd w:val="0"/>
              <w:rPr>
                <w:sz w:val="20"/>
                <w:szCs w:val="20"/>
              </w:rPr>
            </w:pPr>
            <w:r w:rsidRPr="00813DA0">
              <w:rPr>
                <w:b/>
                <w:sz w:val="20"/>
                <w:szCs w:val="20"/>
              </w:rPr>
              <w:t>Output Indicator 3:</w:t>
            </w:r>
            <w:r w:rsidRPr="00813DA0">
              <w:rPr>
                <w:sz w:val="20"/>
                <w:szCs w:val="20"/>
              </w:rPr>
              <w:t xml:space="preserve"> </w:t>
            </w:r>
            <w:r w:rsidR="000C2585" w:rsidRPr="000C2585">
              <w:rPr>
                <w:sz w:val="20"/>
                <w:szCs w:val="20"/>
              </w:rPr>
              <w:t>Percentage of key policy</w:t>
            </w:r>
            <w:r w:rsidR="00206C12">
              <w:rPr>
                <w:sz w:val="20"/>
                <w:szCs w:val="20"/>
              </w:rPr>
              <w:t xml:space="preserve"> </w:t>
            </w:r>
            <w:r w:rsidR="00206C12" w:rsidRPr="00206C12">
              <w:rPr>
                <w:sz w:val="20"/>
                <w:szCs w:val="20"/>
              </w:rPr>
              <w:t>Programme managers</w:t>
            </w:r>
            <w:r w:rsidR="00206C12">
              <w:rPr>
                <w:sz w:val="20"/>
                <w:szCs w:val="20"/>
              </w:rPr>
              <w:t xml:space="preserve"> </w:t>
            </w:r>
            <w:r w:rsidR="00206C12" w:rsidRPr="00206C12">
              <w:rPr>
                <w:sz w:val="20"/>
                <w:szCs w:val="20"/>
              </w:rPr>
              <w:t>trained who demonstrate</w:t>
            </w:r>
            <w:r w:rsidR="00206C12">
              <w:rPr>
                <w:sz w:val="20"/>
                <w:szCs w:val="20"/>
              </w:rPr>
              <w:t xml:space="preserve"> </w:t>
            </w:r>
            <w:r w:rsidR="00206C12" w:rsidRPr="00206C12">
              <w:rPr>
                <w:sz w:val="20"/>
                <w:szCs w:val="20"/>
              </w:rPr>
              <w:t>improved knowledge,</w:t>
            </w:r>
            <w:r w:rsidR="00206C12">
              <w:rPr>
                <w:sz w:val="20"/>
                <w:szCs w:val="20"/>
              </w:rPr>
              <w:t xml:space="preserve"> </w:t>
            </w:r>
            <w:r w:rsidR="00206C12" w:rsidRPr="00206C12">
              <w:rPr>
                <w:sz w:val="20"/>
                <w:szCs w:val="20"/>
              </w:rPr>
              <w:t>attitudes, and skills of</w:t>
            </w:r>
            <w:r w:rsidR="00206C12">
              <w:rPr>
                <w:sz w:val="20"/>
                <w:szCs w:val="20"/>
              </w:rPr>
              <w:t xml:space="preserve"> </w:t>
            </w:r>
            <w:r w:rsidR="00206C12" w:rsidRPr="00206C12">
              <w:rPr>
                <w:sz w:val="20"/>
                <w:szCs w:val="20"/>
              </w:rPr>
              <w:t>how to effectively</w:t>
            </w:r>
            <w:r w:rsidR="00206C12">
              <w:rPr>
                <w:sz w:val="20"/>
                <w:szCs w:val="20"/>
              </w:rPr>
              <w:t xml:space="preserve"> </w:t>
            </w:r>
            <w:r w:rsidR="00206C12" w:rsidRPr="00206C12">
              <w:rPr>
                <w:sz w:val="20"/>
                <w:szCs w:val="20"/>
              </w:rPr>
              <w:t>implement the Family</w:t>
            </w:r>
            <w:r w:rsidR="00206C12">
              <w:rPr>
                <w:sz w:val="20"/>
                <w:szCs w:val="20"/>
              </w:rPr>
              <w:t xml:space="preserve"> </w:t>
            </w:r>
            <w:r w:rsidR="00206C12" w:rsidRPr="00206C12">
              <w:rPr>
                <w:sz w:val="20"/>
                <w:szCs w:val="20"/>
              </w:rPr>
              <w:t>Protection Act and</w:t>
            </w:r>
            <w:r w:rsidR="00206C12">
              <w:rPr>
                <w:sz w:val="20"/>
                <w:szCs w:val="20"/>
              </w:rPr>
              <w:t xml:space="preserve"> </w:t>
            </w:r>
            <w:r w:rsidR="00206C12" w:rsidRPr="00206C12">
              <w:rPr>
                <w:sz w:val="20"/>
                <w:szCs w:val="20"/>
              </w:rPr>
              <w:t>EVAWG policies</w:t>
            </w:r>
            <w:r w:rsidR="00206C12">
              <w:rPr>
                <w:sz w:val="20"/>
                <w:szCs w:val="20"/>
              </w:rPr>
              <w:t xml:space="preserve"> </w:t>
            </w:r>
            <w:r w:rsidR="00206C12" w:rsidRPr="00206C12">
              <w:rPr>
                <w:sz w:val="20"/>
                <w:szCs w:val="20"/>
              </w:rPr>
              <w:t>(including monitoring of</w:t>
            </w:r>
            <w:r w:rsidR="00206C12">
              <w:rPr>
                <w:sz w:val="20"/>
                <w:szCs w:val="20"/>
              </w:rPr>
              <w:t xml:space="preserve"> </w:t>
            </w:r>
            <w:r w:rsidR="00206C12" w:rsidRPr="00206C12">
              <w:rPr>
                <w:sz w:val="20"/>
                <w:szCs w:val="20"/>
              </w:rPr>
              <w:t>implementation)</w:t>
            </w:r>
          </w:p>
        </w:tc>
        <w:tc>
          <w:tcPr>
            <w:tcW w:w="820" w:type="pct"/>
            <w:tcBorders>
              <w:bottom w:val="single" w:sz="4" w:space="0" w:color="auto"/>
            </w:tcBorders>
            <w:shd w:val="clear" w:color="auto" w:fill="FFFFFF" w:themeFill="background1"/>
          </w:tcPr>
          <w:p w14:paraId="25C1D4A8" w14:textId="5FCAED26" w:rsidR="00813DA0" w:rsidRPr="000A6A74" w:rsidRDefault="00863028" w:rsidP="00725049">
            <w:pPr>
              <w:jc w:val="center"/>
              <w:rPr>
                <w:sz w:val="20"/>
                <w:szCs w:val="20"/>
              </w:rPr>
            </w:pPr>
            <w:r>
              <w:rPr>
                <w:sz w:val="20"/>
                <w:szCs w:val="20"/>
              </w:rPr>
              <w:t>NA</w:t>
            </w:r>
          </w:p>
        </w:tc>
        <w:tc>
          <w:tcPr>
            <w:tcW w:w="2937" w:type="pct"/>
            <w:gridSpan w:val="2"/>
            <w:tcBorders>
              <w:bottom w:val="single" w:sz="4" w:space="0" w:color="auto"/>
            </w:tcBorders>
            <w:shd w:val="clear" w:color="auto" w:fill="FFFFFF" w:themeFill="background1"/>
          </w:tcPr>
          <w:p w14:paraId="1807FE5C" w14:textId="7228EAC7" w:rsidR="00813DA0" w:rsidRPr="000A6A74" w:rsidRDefault="00476BE2" w:rsidP="00D02DE8">
            <w:pPr>
              <w:rPr>
                <w:sz w:val="20"/>
                <w:szCs w:val="20"/>
              </w:rPr>
            </w:pPr>
            <w:r w:rsidRPr="001317F9">
              <w:rPr>
                <w:rFonts w:cstheme="minorHAnsi"/>
                <w:sz w:val="20"/>
                <w:szCs w:val="20"/>
              </w:rPr>
              <w:t xml:space="preserve">There were no specific trainings delivered to key policy and decision-makers and programme managers during 2015 or 2016; therefore, there was no opportunity to deliver the KAA Survey to this target group of individuals. </w:t>
            </w:r>
            <w:r w:rsidRPr="001317F9">
              <w:rPr>
                <w:sz w:val="20"/>
                <w:szCs w:val="20"/>
              </w:rPr>
              <w:t xml:space="preserve">In August 2017, the MWYCFA with technical assistance from UN Women </w:t>
            </w:r>
            <w:r>
              <w:rPr>
                <w:sz w:val="20"/>
                <w:szCs w:val="20"/>
              </w:rPr>
              <w:t>conducted a o</w:t>
            </w:r>
            <w:r w:rsidRPr="001317F9">
              <w:rPr>
                <w:sz w:val="20"/>
                <w:szCs w:val="20"/>
              </w:rPr>
              <w:t>ne-day EVAW Policy monitoring training for the MWYCFA and members of the EVAW Task Force</w:t>
            </w:r>
            <w:r>
              <w:rPr>
                <w:sz w:val="20"/>
                <w:szCs w:val="20"/>
              </w:rPr>
              <w:t>; however, the KAA Survey was not administered at this training. Given the reality, it is unclear that the targets were met, and the UN-SIG JP on EVAWG was unable to report on the percentage of key policy and decision-makers, and programme managers trained who demonstrated improved knowledge, attitudes or skills on how to effectively implement the FPA and/or the EVAW Policy.</w:t>
            </w:r>
          </w:p>
        </w:tc>
      </w:tr>
    </w:tbl>
    <w:p w14:paraId="2B9DA539" w14:textId="62D5F26B" w:rsidR="001A50EA" w:rsidRDefault="001A50EA"/>
    <w:tbl>
      <w:tblPr>
        <w:tblStyle w:val="TableGrid"/>
        <w:tblW w:w="5000" w:type="pct"/>
        <w:tblLook w:val="04A0" w:firstRow="1" w:lastRow="0" w:firstColumn="1" w:lastColumn="0" w:noHBand="0" w:noVBand="1"/>
      </w:tblPr>
      <w:tblGrid>
        <w:gridCol w:w="3372"/>
        <w:gridCol w:w="2384"/>
        <w:gridCol w:w="8202"/>
      </w:tblGrid>
      <w:tr w:rsidR="007A0496" w:rsidRPr="000A6A74" w14:paraId="1CC2EE3B" w14:textId="77777777" w:rsidTr="001A50EA">
        <w:tc>
          <w:tcPr>
            <w:tcW w:w="1208" w:type="pct"/>
            <w:tcBorders>
              <w:top w:val="nil"/>
              <w:left w:val="nil"/>
              <w:bottom w:val="nil"/>
              <w:right w:val="nil"/>
            </w:tcBorders>
            <w:shd w:val="clear" w:color="auto" w:fill="FFFFFF" w:themeFill="background1"/>
          </w:tcPr>
          <w:p w14:paraId="59D85818" w14:textId="77777777" w:rsidR="007A0496" w:rsidRPr="00813DA0" w:rsidRDefault="007A0496" w:rsidP="00813DA0">
            <w:pPr>
              <w:autoSpaceDE w:val="0"/>
              <w:autoSpaceDN w:val="0"/>
              <w:adjustRightInd w:val="0"/>
              <w:rPr>
                <w:b/>
                <w:sz w:val="20"/>
                <w:szCs w:val="20"/>
              </w:rPr>
            </w:pPr>
          </w:p>
        </w:tc>
        <w:tc>
          <w:tcPr>
            <w:tcW w:w="854" w:type="pct"/>
            <w:tcBorders>
              <w:top w:val="nil"/>
              <w:left w:val="nil"/>
              <w:bottom w:val="nil"/>
              <w:right w:val="nil"/>
            </w:tcBorders>
            <w:shd w:val="clear" w:color="auto" w:fill="FFFFFF" w:themeFill="background1"/>
          </w:tcPr>
          <w:p w14:paraId="5BB86922" w14:textId="77777777" w:rsidR="007A0496" w:rsidRPr="000A6A74" w:rsidRDefault="007A0496" w:rsidP="00D02DE8">
            <w:pPr>
              <w:rPr>
                <w:sz w:val="20"/>
                <w:szCs w:val="20"/>
              </w:rPr>
            </w:pPr>
          </w:p>
        </w:tc>
        <w:tc>
          <w:tcPr>
            <w:tcW w:w="2938" w:type="pct"/>
            <w:tcBorders>
              <w:top w:val="nil"/>
              <w:left w:val="nil"/>
              <w:bottom w:val="nil"/>
              <w:right w:val="nil"/>
            </w:tcBorders>
            <w:shd w:val="clear" w:color="auto" w:fill="FFFFFF" w:themeFill="background1"/>
          </w:tcPr>
          <w:p w14:paraId="4CA62414" w14:textId="77777777" w:rsidR="003A69AD" w:rsidRPr="000A6A74" w:rsidRDefault="003A69AD" w:rsidP="00D02DE8">
            <w:pPr>
              <w:rPr>
                <w:sz w:val="20"/>
                <w:szCs w:val="20"/>
              </w:rPr>
            </w:pPr>
          </w:p>
        </w:tc>
      </w:tr>
    </w:tbl>
    <w:p w14:paraId="53291862" w14:textId="77777777" w:rsidR="00F73137" w:rsidRDefault="00F73137">
      <w:r>
        <w:br w:type="page"/>
      </w:r>
    </w:p>
    <w:tbl>
      <w:tblPr>
        <w:tblStyle w:val="TableGrid"/>
        <w:tblW w:w="5004" w:type="pct"/>
        <w:tblInd w:w="-5" w:type="dxa"/>
        <w:tblLook w:val="04A0" w:firstRow="1" w:lastRow="0" w:firstColumn="1" w:lastColumn="0" w:noHBand="0" w:noVBand="1"/>
      </w:tblPr>
      <w:tblGrid>
        <w:gridCol w:w="3372"/>
        <w:gridCol w:w="10587"/>
      </w:tblGrid>
      <w:tr w:rsidR="00D4679C" w:rsidRPr="000A6A74" w14:paraId="3832DA6F" w14:textId="77777777" w:rsidTr="00725049">
        <w:tc>
          <w:tcPr>
            <w:tcW w:w="5000" w:type="pct"/>
            <w:gridSpan w:val="2"/>
            <w:shd w:val="clear" w:color="auto" w:fill="FBD4B4" w:themeFill="accent6" w:themeFillTint="66"/>
          </w:tcPr>
          <w:p w14:paraId="7D3A148A" w14:textId="5D48F698" w:rsidR="00D4679C" w:rsidRPr="000A6A74" w:rsidRDefault="00D4679C" w:rsidP="00D02DE8">
            <w:pPr>
              <w:rPr>
                <w:b/>
                <w:sz w:val="20"/>
                <w:szCs w:val="20"/>
              </w:rPr>
            </w:pPr>
            <w:r w:rsidRPr="000A6A74">
              <w:rPr>
                <w:b/>
                <w:sz w:val="20"/>
                <w:szCs w:val="20"/>
              </w:rPr>
              <w:lastRenderedPageBreak/>
              <w:t xml:space="preserve">Activity Update </w:t>
            </w:r>
          </w:p>
        </w:tc>
      </w:tr>
      <w:tr w:rsidR="00D4679C" w:rsidRPr="000A6A74" w14:paraId="65493698" w14:textId="77777777" w:rsidTr="00725049">
        <w:tc>
          <w:tcPr>
            <w:tcW w:w="5000" w:type="pct"/>
            <w:gridSpan w:val="2"/>
            <w:shd w:val="clear" w:color="auto" w:fill="FBD4B4" w:themeFill="accent6" w:themeFillTint="66"/>
          </w:tcPr>
          <w:p w14:paraId="11F2A82C" w14:textId="77777777" w:rsidR="00861748" w:rsidRPr="00861748" w:rsidRDefault="00D4679C" w:rsidP="00861748">
            <w:pPr>
              <w:rPr>
                <w:rFonts w:cs="CalibriRegular"/>
                <w:color w:val="1C1C1C"/>
                <w:sz w:val="20"/>
                <w:szCs w:val="20"/>
              </w:rPr>
            </w:pPr>
            <w:r w:rsidRPr="007A0496">
              <w:rPr>
                <w:b/>
                <w:sz w:val="20"/>
                <w:szCs w:val="20"/>
              </w:rPr>
              <w:t xml:space="preserve">Activity 1: </w:t>
            </w:r>
            <w:r w:rsidR="00861748" w:rsidRPr="00861748">
              <w:rPr>
                <w:rFonts w:cs="CalibriRegular"/>
                <w:color w:val="1C1C1C"/>
                <w:sz w:val="20"/>
                <w:szCs w:val="20"/>
              </w:rPr>
              <w:t>Provide technical assistance for the implementation of the Family</w:t>
            </w:r>
            <w:r w:rsidR="00861748">
              <w:rPr>
                <w:rFonts w:cs="CalibriRegular"/>
                <w:color w:val="1C1C1C"/>
                <w:sz w:val="20"/>
                <w:szCs w:val="20"/>
              </w:rPr>
              <w:t xml:space="preserve"> </w:t>
            </w:r>
            <w:r w:rsidR="00861748" w:rsidRPr="00861748">
              <w:rPr>
                <w:rFonts w:cs="CalibriRegular"/>
                <w:color w:val="1C1C1C"/>
                <w:sz w:val="20"/>
                <w:szCs w:val="20"/>
              </w:rPr>
              <w:t>Protection Act and EVAWG policies with a focus on training key policy and</w:t>
            </w:r>
          </w:p>
          <w:p w14:paraId="252A5D47" w14:textId="77777777" w:rsidR="00D4679C" w:rsidRPr="007A0496" w:rsidRDefault="00861748" w:rsidP="00861748">
            <w:pPr>
              <w:rPr>
                <w:b/>
                <w:sz w:val="20"/>
                <w:szCs w:val="20"/>
              </w:rPr>
            </w:pPr>
            <w:r w:rsidRPr="00861748">
              <w:rPr>
                <w:rFonts w:cs="CalibriRegular"/>
                <w:color w:val="1C1C1C"/>
                <w:sz w:val="20"/>
                <w:szCs w:val="20"/>
              </w:rPr>
              <w:t>decision-makers, and programme managers</w:t>
            </w:r>
          </w:p>
        </w:tc>
      </w:tr>
      <w:tr w:rsidR="007A0496" w:rsidRPr="000A6A74" w14:paraId="002FED04" w14:textId="77777777" w:rsidTr="00725049">
        <w:trPr>
          <w:trHeight w:val="465"/>
        </w:trPr>
        <w:tc>
          <w:tcPr>
            <w:tcW w:w="1208" w:type="pct"/>
            <w:shd w:val="clear" w:color="auto" w:fill="FBD4B4" w:themeFill="accent6" w:themeFillTint="66"/>
          </w:tcPr>
          <w:p w14:paraId="44C06233" w14:textId="77777777" w:rsidR="007A0496" w:rsidRPr="000A6A74" w:rsidRDefault="007A0496" w:rsidP="002D72A8">
            <w:pPr>
              <w:rPr>
                <w:sz w:val="20"/>
                <w:szCs w:val="20"/>
              </w:rPr>
            </w:pPr>
            <w:r w:rsidRPr="000A6A74">
              <w:rPr>
                <w:sz w:val="20"/>
                <w:szCs w:val="20"/>
              </w:rPr>
              <w:t xml:space="preserve">Reporting period: </w:t>
            </w:r>
          </w:p>
          <w:p w14:paraId="23841778" w14:textId="308A7775" w:rsidR="007A0496" w:rsidRPr="008519E1" w:rsidRDefault="00861748" w:rsidP="002D72A8">
            <w:pPr>
              <w:rPr>
                <w:color w:val="000000" w:themeColor="text1"/>
                <w:sz w:val="20"/>
                <w:szCs w:val="20"/>
              </w:rPr>
            </w:pPr>
            <w:r>
              <w:rPr>
                <w:sz w:val="20"/>
                <w:szCs w:val="20"/>
              </w:rPr>
              <w:t>Y</w:t>
            </w:r>
            <w:r w:rsidR="00476BE2">
              <w:rPr>
                <w:sz w:val="20"/>
                <w:szCs w:val="20"/>
              </w:rPr>
              <w:t>3</w:t>
            </w:r>
            <w:r>
              <w:rPr>
                <w:sz w:val="20"/>
                <w:szCs w:val="20"/>
              </w:rPr>
              <w:t xml:space="preserve"> </w:t>
            </w:r>
            <w:r w:rsidR="001A50EA">
              <w:rPr>
                <w:sz w:val="20"/>
                <w:szCs w:val="20"/>
              </w:rPr>
              <w:t xml:space="preserve">Annual </w:t>
            </w:r>
            <w:r>
              <w:rPr>
                <w:sz w:val="20"/>
                <w:szCs w:val="20"/>
              </w:rPr>
              <w:t xml:space="preserve">Progress Report </w:t>
            </w:r>
          </w:p>
        </w:tc>
        <w:tc>
          <w:tcPr>
            <w:tcW w:w="3792" w:type="pct"/>
            <w:shd w:val="clear" w:color="auto" w:fill="FFFFFF" w:themeFill="background1"/>
          </w:tcPr>
          <w:p w14:paraId="10B16302" w14:textId="1719633B" w:rsidR="00F35BDF" w:rsidRPr="000A6A74" w:rsidRDefault="00F138FE">
            <w:r w:rsidRPr="00F138FE">
              <w:rPr>
                <w:rFonts w:cstheme="minorHAnsi"/>
                <w:sz w:val="20"/>
                <w:szCs w:val="20"/>
              </w:rPr>
              <w:t>As part of the review and revise process, c</w:t>
            </w:r>
            <w:r w:rsidRPr="00F138FE">
              <w:rPr>
                <w:rFonts w:cstheme="minorHAnsi"/>
                <w:color w:val="000000"/>
                <w:sz w:val="20"/>
                <w:szCs w:val="20"/>
              </w:rPr>
              <w:t>onsultations were held with stakeholders in Honiara and in two provinces to ensure a wide range of feedback. Priorities recommended for the new EVAW Policy 2016-2020, included a specific focus on women and girls living with disabilities, and improving coordination to enable access to VAWG services in rural areas and the provinces. Consultations also highlighted that consistency in messaging by EVAWG partners is important, as are activities to raise awareness on the FPA 2014, as opposed to only focusing on how provisions of the FPA 2014 are applied by the police, health workers, and social service providers. The revised EVAW Policy 2016-2020 was finalized in the 4</w:t>
            </w:r>
            <w:r w:rsidRPr="00F138FE">
              <w:rPr>
                <w:rFonts w:cstheme="minorHAnsi"/>
                <w:color w:val="000000"/>
                <w:sz w:val="20"/>
                <w:szCs w:val="20"/>
                <w:vertAlign w:val="superscript"/>
              </w:rPr>
              <w:t>th</w:t>
            </w:r>
            <w:r w:rsidRPr="00F138FE">
              <w:rPr>
                <w:rFonts w:cstheme="minorHAnsi"/>
                <w:color w:val="000000"/>
                <w:sz w:val="20"/>
                <w:szCs w:val="20"/>
              </w:rPr>
              <w:t xml:space="preserve"> Quarter of 2016, and approved by the Cabinet in 2017. The </w:t>
            </w:r>
            <w:r w:rsidRPr="00F138FE">
              <w:rPr>
                <w:rFonts w:cstheme="minorHAnsi"/>
                <w:sz w:val="20"/>
                <w:szCs w:val="20"/>
              </w:rPr>
              <w:t xml:space="preserve">EVAW Policy 2016-2020 highlights five priority outcome areas: 1) prevent VAWG; 2) strengthen legal frameworks, law enforcement, and the justice system; 3) strengthen and improve protective, social, and support services; 4) rehabilitate and hold perpetrators accountable; and, 5) develop national commitments and coordinate services. </w:t>
            </w:r>
          </w:p>
        </w:tc>
      </w:tr>
      <w:tr w:rsidR="00D4679C" w:rsidRPr="000A6A74" w14:paraId="4362C793" w14:textId="77777777" w:rsidTr="00725049">
        <w:tc>
          <w:tcPr>
            <w:tcW w:w="5000" w:type="pct"/>
            <w:gridSpan w:val="2"/>
            <w:shd w:val="clear" w:color="auto" w:fill="FBD4B4" w:themeFill="accent6" w:themeFillTint="66"/>
          </w:tcPr>
          <w:p w14:paraId="49A46927" w14:textId="77777777" w:rsidR="00D4679C" w:rsidRPr="007A0496" w:rsidRDefault="00D4679C" w:rsidP="00861748">
            <w:pPr>
              <w:rPr>
                <w:sz w:val="20"/>
                <w:szCs w:val="20"/>
              </w:rPr>
            </w:pPr>
            <w:r w:rsidRPr="007A0496">
              <w:rPr>
                <w:b/>
                <w:sz w:val="20"/>
                <w:szCs w:val="20"/>
              </w:rPr>
              <w:t xml:space="preserve">Activity 2: </w:t>
            </w:r>
            <w:r w:rsidR="00861748" w:rsidRPr="00861748">
              <w:rPr>
                <w:rFonts w:cs="CalibriRegular"/>
                <w:color w:val="1C1C1C"/>
                <w:sz w:val="20"/>
                <w:szCs w:val="20"/>
              </w:rPr>
              <w:t>Support review of Gender Equality and Women Development Policy and the</w:t>
            </w:r>
            <w:r w:rsidR="00861748">
              <w:rPr>
                <w:rFonts w:cs="CalibriRegular"/>
                <w:color w:val="1C1C1C"/>
                <w:sz w:val="20"/>
                <w:szCs w:val="20"/>
              </w:rPr>
              <w:t xml:space="preserve"> </w:t>
            </w:r>
            <w:r w:rsidR="00861748" w:rsidRPr="00861748">
              <w:rPr>
                <w:rFonts w:cs="CalibriRegular"/>
                <w:color w:val="1C1C1C"/>
                <w:sz w:val="20"/>
                <w:szCs w:val="20"/>
              </w:rPr>
              <w:t>revision of the EVAW Policy and National Action Plan</w:t>
            </w:r>
          </w:p>
        </w:tc>
      </w:tr>
      <w:tr w:rsidR="00F91265" w:rsidRPr="000A6A74" w14:paraId="1D967E67" w14:textId="77777777" w:rsidTr="00725049">
        <w:trPr>
          <w:trHeight w:val="449"/>
        </w:trPr>
        <w:tc>
          <w:tcPr>
            <w:tcW w:w="1208" w:type="pct"/>
            <w:shd w:val="clear" w:color="auto" w:fill="FBD4B4" w:themeFill="accent6" w:themeFillTint="66"/>
          </w:tcPr>
          <w:p w14:paraId="3F8F226D" w14:textId="77777777" w:rsidR="00F91265" w:rsidRPr="000A6A74" w:rsidRDefault="00F91265" w:rsidP="00F91265">
            <w:pPr>
              <w:rPr>
                <w:sz w:val="20"/>
                <w:szCs w:val="20"/>
              </w:rPr>
            </w:pPr>
            <w:r w:rsidRPr="000A6A74">
              <w:rPr>
                <w:sz w:val="20"/>
                <w:szCs w:val="20"/>
              </w:rPr>
              <w:t xml:space="preserve">Reporting period: </w:t>
            </w:r>
          </w:p>
          <w:p w14:paraId="71288922" w14:textId="74305FB2" w:rsidR="00F91265" w:rsidRPr="007A0496" w:rsidRDefault="00F91265" w:rsidP="00F91265">
            <w:pPr>
              <w:rPr>
                <w:sz w:val="20"/>
                <w:szCs w:val="20"/>
              </w:rPr>
            </w:pPr>
            <w:r>
              <w:rPr>
                <w:sz w:val="20"/>
                <w:szCs w:val="20"/>
              </w:rPr>
              <w:t>Y</w:t>
            </w:r>
            <w:r w:rsidR="00476BE2">
              <w:rPr>
                <w:sz w:val="20"/>
                <w:szCs w:val="20"/>
              </w:rPr>
              <w:t>3</w:t>
            </w:r>
            <w:r>
              <w:rPr>
                <w:sz w:val="20"/>
                <w:szCs w:val="20"/>
              </w:rPr>
              <w:t xml:space="preserve"> Annual Progress Report</w:t>
            </w:r>
          </w:p>
        </w:tc>
        <w:tc>
          <w:tcPr>
            <w:tcW w:w="3792" w:type="pct"/>
            <w:shd w:val="clear" w:color="auto" w:fill="FFFFFF" w:themeFill="background1"/>
          </w:tcPr>
          <w:p w14:paraId="3B21DFE1" w14:textId="1DF05475" w:rsidR="00F91265" w:rsidRPr="000A6A74" w:rsidRDefault="00F138FE" w:rsidP="00725049">
            <w:pPr>
              <w:autoSpaceDE w:val="0"/>
              <w:autoSpaceDN w:val="0"/>
              <w:adjustRightInd w:val="0"/>
              <w:jc w:val="both"/>
              <w:rPr>
                <w:sz w:val="20"/>
                <w:szCs w:val="20"/>
              </w:rPr>
            </w:pPr>
            <w:r w:rsidRPr="00725049">
              <w:rPr>
                <w:rFonts w:cstheme="minorHAnsi"/>
                <w:sz w:val="20"/>
                <w:szCs w:val="20"/>
              </w:rPr>
              <w:t xml:space="preserve">In August 2017, the MWYCFA trained MWYCFA staff, EVAW Task Force members, and Gender Focal Points (GFPs) on the EVAW Policy 2016-2020, including the and monitoring framework for implementation of the EVAW Policy and NAP, and the FPA. </w:t>
            </w:r>
            <w:r w:rsidRPr="00725049">
              <w:rPr>
                <w:rFonts w:cstheme="minorHAnsi"/>
                <w:color w:val="000000"/>
                <w:sz w:val="20"/>
                <w:szCs w:val="20"/>
              </w:rPr>
              <w:t xml:space="preserve">The MWYCFA faced significant challenges getting information from the various ministries and departments about their annual work plans in relation to implementing the EVAW Policy and related NAP, and the FPA 2014. Moreover, it was not until 2017 that the EVAW Policy 2016-2021 was endorsed by the Cabinet. At the end of the project period, relevant ministries and departments had yet to communicate to the MWYCFA their efforts to adopt or implement gender aware or gender mainstreaming policies, as gender mainstreaming and gender budgeting was not fully understood, nor were resources adequately allocated for it to happen at meaningful levels. </w:t>
            </w:r>
          </w:p>
        </w:tc>
      </w:tr>
      <w:tr w:rsidR="00F91265" w:rsidRPr="000A6A74" w14:paraId="79C20970" w14:textId="77777777" w:rsidTr="00725049">
        <w:tc>
          <w:tcPr>
            <w:tcW w:w="5000" w:type="pct"/>
            <w:gridSpan w:val="2"/>
            <w:shd w:val="clear" w:color="auto" w:fill="FBD4B4" w:themeFill="accent6" w:themeFillTint="66"/>
          </w:tcPr>
          <w:p w14:paraId="317BE9B8" w14:textId="77777777" w:rsidR="00F91265" w:rsidRPr="00861748" w:rsidRDefault="00F91265" w:rsidP="00F91265">
            <w:pPr>
              <w:autoSpaceDE w:val="0"/>
              <w:autoSpaceDN w:val="0"/>
              <w:adjustRightInd w:val="0"/>
              <w:rPr>
                <w:sz w:val="20"/>
                <w:szCs w:val="20"/>
              </w:rPr>
            </w:pPr>
            <w:r w:rsidRPr="007A0496">
              <w:rPr>
                <w:b/>
                <w:sz w:val="20"/>
                <w:szCs w:val="20"/>
              </w:rPr>
              <w:t xml:space="preserve">Activity 3: </w:t>
            </w:r>
            <w:r w:rsidRPr="00861748">
              <w:rPr>
                <w:rFonts w:ascii="CalibriRegular" w:hAnsi="CalibriRegular" w:cs="CalibriRegular"/>
                <w:color w:val="1C1C1C"/>
              </w:rPr>
              <w:t>S</w:t>
            </w:r>
            <w:r w:rsidRPr="00861748">
              <w:rPr>
                <w:rFonts w:cs="CalibriRegular"/>
                <w:color w:val="1C1C1C"/>
                <w:sz w:val="20"/>
                <w:szCs w:val="20"/>
              </w:rPr>
              <w:t>upport the co-ordination for the advancement of the Universal Periodic Review (UPR) and CEDAW implementation and monitoring related to EVAWG and National Action Plan</w:t>
            </w:r>
          </w:p>
        </w:tc>
      </w:tr>
      <w:tr w:rsidR="00F91265" w:rsidRPr="000A6A74" w14:paraId="39259D21" w14:textId="77777777" w:rsidTr="00725049">
        <w:trPr>
          <w:trHeight w:val="533"/>
        </w:trPr>
        <w:tc>
          <w:tcPr>
            <w:tcW w:w="1208" w:type="pct"/>
            <w:shd w:val="clear" w:color="auto" w:fill="FBD4B4" w:themeFill="accent6" w:themeFillTint="66"/>
          </w:tcPr>
          <w:p w14:paraId="23F10679" w14:textId="77777777" w:rsidR="00F91265" w:rsidRPr="000A6A74" w:rsidRDefault="00F91265" w:rsidP="00F91265">
            <w:pPr>
              <w:rPr>
                <w:sz w:val="20"/>
                <w:szCs w:val="20"/>
              </w:rPr>
            </w:pPr>
            <w:r w:rsidRPr="000A6A74">
              <w:rPr>
                <w:sz w:val="20"/>
                <w:szCs w:val="20"/>
              </w:rPr>
              <w:t xml:space="preserve">Reporting period: </w:t>
            </w:r>
          </w:p>
          <w:p w14:paraId="7092224D" w14:textId="4198ED40" w:rsidR="00F91265" w:rsidRPr="008519E1" w:rsidRDefault="00F91265" w:rsidP="00F91265">
            <w:pPr>
              <w:rPr>
                <w:sz w:val="20"/>
                <w:szCs w:val="20"/>
              </w:rPr>
            </w:pPr>
            <w:r>
              <w:rPr>
                <w:sz w:val="20"/>
                <w:szCs w:val="20"/>
              </w:rPr>
              <w:t>Y</w:t>
            </w:r>
            <w:r w:rsidR="00476BE2">
              <w:rPr>
                <w:sz w:val="20"/>
                <w:szCs w:val="20"/>
              </w:rPr>
              <w:t>3</w:t>
            </w:r>
            <w:r>
              <w:rPr>
                <w:sz w:val="20"/>
                <w:szCs w:val="20"/>
              </w:rPr>
              <w:t>1 Annual Progress Report</w:t>
            </w:r>
          </w:p>
        </w:tc>
        <w:tc>
          <w:tcPr>
            <w:tcW w:w="3792" w:type="pct"/>
            <w:shd w:val="clear" w:color="auto" w:fill="FFFFFF" w:themeFill="background1"/>
          </w:tcPr>
          <w:p w14:paraId="605BCB81" w14:textId="77777777" w:rsidR="00F138FE" w:rsidRPr="00725049" w:rsidRDefault="00F138FE" w:rsidP="00725049">
            <w:pPr>
              <w:shd w:val="clear" w:color="auto" w:fill="FFFFFF" w:themeFill="background1"/>
              <w:autoSpaceDE w:val="0"/>
              <w:autoSpaceDN w:val="0"/>
              <w:adjustRightInd w:val="0"/>
              <w:jc w:val="both"/>
              <w:rPr>
                <w:rFonts w:cstheme="minorHAnsi"/>
                <w:color w:val="000000"/>
                <w:sz w:val="20"/>
                <w:szCs w:val="20"/>
              </w:rPr>
            </w:pPr>
            <w:r w:rsidRPr="00725049">
              <w:rPr>
                <w:rFonts w:cstheme="minorHAnsi"/>
                <w:sz w:val="20"/>
                <w:szCs w:val="20"/>
              </w:rPr>
              <w:t>In 2016, t</w:t>
            </w:r>
            <w:r w:rsidRPr="00725049">
              <w:rPr>
                <w:rFonts w:cstheme="minorHAnsi"/>
                <w:color w:val="000000"/>
                <w:sz w:val="20"/>
                <w:szCs w:val="20"/>
              </w:rPr>
              <w:t xml:space="preserve">he Solomon Islands National Advisory Committee on CEDAW (SINACC) was hosted by the MWYCFA with support of a UN-SIG JP on EVAWG-funded local technical consultant. The meeting was funded by the UN-SIG JP on EVAWG. The SINACC was attended by 16 government officials from the Prime Minister’s Office, Ministry of Foreign Affairs (MFA), Ministry of Home Affairs (MHA), MHMS, Ministry of Lands and Housing (MLH), MEHRD, and the Office of Commissioner of the RSIFP. The SINACC endorsed reporting the following progress: </w:t>
            </w:r>
          </w:p>
          <w:p w14:paraId="3C9AF160" w14:textId="77777777" w:rsidR="00F138FE" w:rsidRPr="006E1B40" w:rsidRDefault="00F138FE" w:rsidP="00F138FE">
            <w:pPr>
              <w:pStyle w:val="ListParagraph"/>
              <w:numPr>
                <w:ilvl w:val="0"/>
                <w:numId w:val="5"/>
              </w:numPr>
              <w:autoSpaceDE w:val="0"/>
              <w:autoSpaceDN w:val="0"/>
              <w:adjustRightInd w:val="0"/>
              <w:jc w:val="both"/>
              <w:rPr>
                <w:rFonts w:cstheme="minorHAnsi"/>
                <w:color w:val="000000"/>
                <w:sz w:val="20"/>
                <w:szCs w:val="20"/>
              </w:rPr>
            </w:pPr>
            <w:r w:rsidRPr="006E1B40">
              <w:rPr>
                <w:rFonts w:cstheme="minorHAnsi"/>
                <w:color w:val="000000"/>
                <w:sz w:val="20"/>
                <w:szCs w:val="20"/>
              </w:rPr>
              <w:t xml:space="preserve">Adoption of a new Federal Constitution, including provisions of equality between men and women; there is a 2017 projected time frame for the final draft with ratification and adoption by 2018). Worthy of specific mention is Clause 19 (1) and (2) which provide for equality between men and women, and a specific prohibition of ‘direct and ‘indirect’ discrimination. Also, Clause 19 (3) prohibits multiple and intersecting discrimination, and sanctions for discrimination. Finally, Clause 49 (5) and (6) outlines to protect or advance the National Human Rights Commission, and Clause 198 (3) outlines investigation for government and persons in other spheres that discriminate. </w:t>
            </w:r>
          </w:p>
          <w:p w14:paraId="1F2ABDBA" w14:textId="77777777" w:rsidR="00F138FE" w:rsidRPr="006E1B40" w:rsidRDefault="00F138FE" w:rsidP="00F138FE">
            <w:pPr>
              <w:pStyle w:val="ListParagraph"/>
              <w:numPr>
                <w:ilvl w:val="0"/>
                <w:numId w:val="5"/>
              </w:numPr>
              <w:autoSpaceDE w:val="0"/>
              <w:autoSpaceDN w:val="0"/>
              <w:adjustRightInd w:val="0"/>
              <w:jc w:val="both"/>
              <w:rPr>
                <w:rFonts w:cstheme="minorHAnsi"/>
                <w:color w:val="000000"/>
                <w:sz w:val="20"/>
                <w:szCs w:val="20"/>
              </w:rPr>
            </w:pPr>
            <w:r w:rsidRPr="006E1B40">
              <w:rPr>
                <w:rFonts w:cstheme="minorHAnsi"/>
                <w:color w:val="000000"/>
                <w:sz w:val="20"/>
                <w:szCs w:val="20"/>
              </w:rPr>
              <w:t xml:space="preserve">Development of measures to ensure that police respond to and investigate complaints regarding VAWG, including the development of the RSIPF Zero Tolerance Policy, Sexual Assault Investigation Policy, Family Violence Policy, Standard Operating Procedures, and Crime Prevention Strategy 2017-2020. </w:t>
            </w:r>
          </w:p>
          <w:p w14:paraId="45BD57D8" w14:textId="77777777" w:rsidR="00F138FE" w:rsidRPr="006E1B40" w:rsidRDefault="00F138FE" w:rsidP="00F138FE">
            <w:pPr>
              <w:pStyle w:val="ListParagraph"/>
              <w:numPr>
                <w:ilvl w:val="0"/>
                <w:numId w:val="5"/>
              </w:numPr>
              <w:autoSpaceDE w:val="0"/>
              <w:autoSpaceDN w:val="0"/>
              <w:adjustRightInd w:val="0"/>
              <w:jc w:val="both"/>
              <w:rPr>
                <w:rFonts w:cstheme="minorHAnsi"/>
                <w:color w:val="000000"/>
                <w:sz w:val="20"/>
                <w:szCs w:val="20"/>
              </w:rPr>
            </w:pPr>
            <w:r w:rsidRPr="006E1B40">
              <w:rPr>
                <w:rFonts w:cstheme="minorHAnsi"/>
                <w:color w:val="000000"/>
                <w:sz w:val="20"/>
                <w:szCs w:val="20"/>
              </w:rPr>
              <w:lastRenderedPageBreak/>
              <w:t xml:space="preserve">Adoption of the Second Chance Education Policy. The MEHRD put forth: 1) the SITESA Bill and School Education Bill; 2) the Education Strategic Framework 2016-2030, referencing long term goals for action and efforts to address gender equality; 3) the National Disability Inclusive Education Policy 2016-2020; 4) the Strategic Support Unit which conducts research and data collection on early school leaving (ESL) to inform the Second Chance Education Policy; and 5) gender mainstreaming practices in the Gender Equality in Education (GEE) Policy. </w:t>
            </w:r>
          </w:p>
          <w:p w14:paraId="0BDFDA0E" w14:textId="77777777" w:rsidR="00F138FE" w:rsidRPr="006E1B40" w:rsidRDefault="00F138FE" w:rsidP="00F138FE">
            <w:pPr>
              <w:pStyle w:val="ListParagraph"/>
              <w:numPr>
                <w:ilvl w:val="0"/>
                <w:numId w:val="5"/>
              </w:numPr>
              <w:autoSpaceDE w:val="0"/>
              <w:autoSpaceDN w:val="0"/>
              <w:adjustRightInd w:val="0"/>
              <w:jc w:val="both"/>
              <w:rPr>
                <w:rFonts w:cstheme="minorHAnsi"/>
                <w:color w:val="000000"/>
                <w:sz w:val="20"/>
                <w:szCs w:val="20"/>
              </w:rPr>
            </w:pPr>
            <w:r w:rsidRPr="006E1B40">
              <w:rPr>
                <w:rFonts w:cstheme="minorHAnsi"/>
                <w:color w:val="000000"/>
                <w:sz w:val="20"/>
                <w:szCs w:val="20"/>
              </w:rPr>
              <w:t xml:space="preserve">Development of age-appropriate education on sexual and reproductive health that has been included in the Annual Operation Plan and National Heath Strategic Plan. Also, the delivery of programmes targeting children/youth, such as: Family Life Education (FLE), FLE Information Corners, and FLE trainings for teachers and peer educators. </w:t>
            </w:r>
          </w:p>
          <w:p w14:paraId="39DA1146" w14:textId="77777777" w:rsidR="00F138FE" w:rsidRDefault="00F138FE" w:rsidP="00F138FE">
            <w:pPr>
              <w:shd w:val="clear" w:color="auto" w:fill="FFFFFF" w:themeFill="background1"/>
              <w:autoSpaceDE w:val="0"/>
              <w:autoSpaceDN w:val="0"/>
              <w:adjustRightInd w:val="0"/>
              <w:jc w:val="both"/>
              <w:rPr>
                <w:rFonts w:cstheme="minorHAnsi"/>
                <w:sz w:val="20"/>
                <w:szCs w:val="20"/>
              </w:rPr>
            </w:pPr>
          </w:p>
          <w:p w14:paraId="313AD5B7" w14:textId="26F73720" w:rsidR="00F91265" w:rsidRPr="000A6A74" w:rsidRDefault="00F138FE" w:rsidP="00725049">
            <w:pPr>
              <w:shd w:val="clear" w:color="auto" w:fill="FFFFFF" w:themeFill="background1"/>
              <w:autoSpaceDE w:val="0"/>
              <w:autoSpaceDN w:val="0"/>
              <w:adjustRightInd w:val="0"/>
              <w:jc w:val="both"/>
              <w:rPr>
                <w:sz w:val="20"/>
                <w:szCs w:val="20"/>
              </w:rPr>
            </w:pPr>
            <w:r w:rsidRPr="00725049">
              <w:rPr>
                <w:rFonts w:cstheme="minorHAnsi"/>
                <w:sz w:val="20"/>
                <w:szCs w:val="20"/>
              </w:rPr>
              <w:t>In 2017, due to human resource limitations and budget constraints the MWYCFA was unable to report to the UN-SIG JP on EVAWG the extent to which UPR and CEDAW recommendations directly related to EVAWG had been addressed, implemented, and/or supported. Yet, the evaluation did find that some progress was made implementing two of UPR recommendations, particularly reform of the Penal Code Related to Sexual Offenses and implementation of the FPA. Also, collection of VAWG administrative data was reportedly a CEDAW recommendation that was implemented with support from the UN-SGI JP on EVAWG.</w:t>
            </w:r>
          </w:p>
        </w:tc>
      </w:tr>
    </w:tbl>
    <w:p w14:paraId="7309D80C" w14:textId="77777777" w:rsidR="00D02DE8" w:rsidRDefault="00D02DE8" w:rsidP="00C42B7B">
      <w:pPr>
        <w:spacing w:after="0" w:line="240" w:lineRule="auto"/>
        <w:rPr>
          <w:sz w:val="20"/>
          <w:szCs w:val="20"/>
        </w:rPr>
      </w:pPr>
    </w:p>
    <w:p w14:paraId="5BB23520" w14:textId="77777777" w:rsidR="00593314" w:rsidRDefault="00593314" w:rsidP="00C42B7B">
      <w:pPr>
        <w:spacing w:after="0" w:line="240" w:lineRule="auto"/>
        <w:rPr>
          <w:sz w:val="20"/>
          <w:szCs w:val="20"/>
        </w:rPr>
      </w:pPr>
    </w:p>
    <w:tbl>
      <w:tblPr>
        <w:tblStyle w:val="TableGrid"/>
        <w:tblW w:w="5091" w:type="pct"/>
        <w:tblLook w:val="04A0" w:firstRow="1" w:lastRow="0" w:firstColumn="1" w:lastColumn="0" w:noHBand="0" w:noVBand="1"/>
      </w:tblPr>
      <w:tblGrid>
        <w:gridCol w:w="3388"/>
        <w:gridCol w:w="10561"/>
        <w:gridCol w:w="253"/>
      </w:tblGrid>
      <w:tr w:rsidR="009848F8" w:rsidRPr="000A6A74" w14:paraId="19F62F1D" w14:textId="77777777" w:rsidTr="0026298E">
        <w:trPr>
          <w:gridAfter w:val="1"/>
          <w:wAfter w:w="89" w:type="pct"/>
        </w:trPr>
        <w:tc>
          <w:tcPr>
            <w:tcW w:w="1193" w:type="pct"/>
            <w:shd w:val="clear" w:color="auto" w:fill="EAF1DD" w:themeFill="accent3" w:themeFillTint="33"/>
          </w:tcPr>
          <w:p w14:paraId="5EACF4B3" w14:textId="77777777" w:rsidR="009848F8" w:rsidRPr="000A6A74" w:rsidRDefault="009848F8" w:rsidP="009848F8">
            <w:pPr>
              <w:rPr>
                <w:b/>
                <w:sz w:val="20"/>
                <w:szCs w:val="20"/>
              </w:rPr>
            </w:pPr>
            <w:r w:rsidRPr="000A6A74">
              <w:rPr>
                <w:b/>
                <w:sz w:val="20"/>
                <w:szCs w:val="20"/>
              </w:rPr>
              <w:t>Output 1.</w:t>
            </w:r>
            <w:r>
              <w:rPr>
                <w:b/>
                <w:sz w:val="20"/>
                <w:szCs w:val="20"/>
              </w:rPr>
              <w:t>2</w:t>
            </w:r>
          </w:p>
        </w:tc>
        <w:tc>
          <w:tcPr>
            <w:tcW w:w="3718" w:type="pct"/>
            <w:shd w:val="clear" w:color="auto" w:fill="EAF1DD" w:themeFill="accent3" w:themeFillTint="33"/>
          </w:tcPr>
          <w:p w14:paraId="2C345C55" w14:textId="77777777" w:rsidR="00B47E3F" w:rsidRPr="00B47E3F" w:rsidRDefault="00B47E3F" w:rsidP="00B47E3F">
            <w:pPr>
              <w:autoSpaceDE w:val="0"/>
              <w:autoSpaceDN w:val="0"/>
              <w:adjustRightInd w:val="0"/>
              <w:rPr>
                <w:sz w:val="20"/>
                <w:szCs w:val="20"/>
              </w:rPr>
            </w:pPr>
            <w:r w:rsidRPr="00B47E3F">
              <w:rPr>
                <w:sz w:val="20"/>
                <w:szCs w:val="20"/>
              </w:rPr>
              <w:t>There is an effective task</w:t>
            </w:r>
            <w:r>
              <w:rPr>
                <w:sz w:val="20"/>
                <w:szCs w:val="20"/>
              </w:rPr>
              <w:t xml:space="preserve"> </w:t>
            </w:r>
            <w:r w:rsidRPr="00B47E3F">
              <w:rPr>
                <w:sz w:val="20"/>
                <w:szCs w:val="20"/>
              </w:rPr>
              <w:t>force and Result</w:t>
            </w:r>
            <w:r>
              <w:rPr>
                <w:sz w:val="20"/>
                <w:szCs w:val="20"/>
              </w:rPr>
              <w:t xml:space="preserve"> </w:t>
            </w:r>
            <w:r w:rsidRPr="00B47E3F">
              <w:rPr>
                <w:sz w:val="20"/>
                <w:szCs w:val="20"/>
              </w:rPr>
              <w:t>Framework in place to</w:t>
            </w:r>
            <w:r>
              <w:rPr>
                <w:sz w:val="20"/>
                <w:szCs w:val="20"/>
              </w:rPr>
              <w:t xml:space="preserve"> </w:t>
            </w:r>
            <w:r w:rsidRPr="00B47E3F">
              <w:rPr>
                <w:sz w:val="20"/>
                <w:szCs w:val="20"/>
              </w:rPr>
              <w:t>monitor progress on the</w:t>
            </w:r>
            <w:r>
              <w:rPr>
                <w:sz w:val="20"/>
                <w:szCs w:val="20"/>
              </w:rPr>
              <w:t xml:space="preserve"> </w:t>
            </w:r>
            <w:r w:rsidRPr="00B47E3F">
              <w:rPr>
                <w:sz w:val="20"/>
                <w:szCs w:val="20"/>
              </w:rPr>
              <w:t>EVAWG and key</w:t>
            </w:r>
          </w:p>
          <w:p w14:paraId="6FC6F288" w14:textId="77777777" w:rsidR="00B47E3F" w:rsidRPr="00B47E3F" w:rsidRDefault="00B47E3F" w:rsidP="00B47E3F">
            <w:pPr>
              <w:autoSpaceDE w:val="0"/>
              <w:autoSpaceDN w:val="0"/>
              <w:adjustRightInd w:val="0"/>
              <w:rPr>
                <w:sz w:val="20"/>
                <w:szCs w:val="20"/>
              </w:rPr>
            </w:pPr>
            <w:r w:rsidRPr="00B47E3F">
              <w:rPr>
                <w:sz w:val="20"/>
                <w:szCs w:val="20"/>
              </w:rPr>
              <w:t>Government agencies</w:t>
            </w:r>
            <w:r>
              <w:rPr>
                <w:sz w:val="20"/>
                <w:szCs w:val="20"/>
              </w:rPr>
              <w:t xml:space="preserve"> </w:t>
            </w:r>
            <w:r w:rsidRPr="00B47E3F">
              <w:rPr>
                <w:sz w:val="20"/>
                <w:szCs w:val="20"/>
              </w:rPr>
              <w:t>and partners (including</w:t>
            </w:r>
            <w:r>
              <w:rPr>
                <w:sz w:val="20"/>
                <w:szCs w:val="20"/>
              </w:rPr>
              <w:t xml:space="preserve"> </w:t>
            </w:r>
            <w:r w:rsidRPr="00B47E3F">
              <w:rPr>
                <w:sz w:val="20"/>
                <w:szCs w:val="20"/>
              </w:rPr>
              <w:t>Gender Focal Points)</w:t>
            </w:r>
            <w:r>
              <w:rPr>
                <w:sz w:val="20"/>
                <w:szCs w:val="20"/>
              </w:rPr>
              <w:t xml:space="preserve"> </w:t>
            </w:r>
            <w:r w:rsidRPr="00B47E3F">
              <w:rPr>
                <w:sz w:val="20"/>
                <w:szCs w:val="20"/>
              </w:rPr>
              <w:t>understand their role in it</w:t>
            </w:r>
            <w:r>
              <w:rPr>
                <w:sz w:val="20"/>
                <w:szCs w:val="20"/>
              </w:rPr>
              <w:t xml:space="preserve"> </w:t>
            </w:r>
            <w:r w:rsidRPr="00B47E3F">
              <w:rPr>
                <w:sz w:val="20"/>
                <w:szCs w:val="20"/>
              </w:rPr>
              <w:t>and in responding and</w:t>
            </w:r>
          </w:p>
          <w:p w14:paraId="3E533A73" w14:textId="77777777" w:rsidR="009848F8" w:rsidRPr="000A6A74" w:rsidRDefault="00B47E3F" w:rsidP="00B47E3F">
            <w:pPr>
              <w:autoSpaceDE w:val="0"/>
              <w:autoSpaceDN w:val="0"/>
              <w:adjustRightInd w:val="0"/>
              <w:rPr>
                <w:color w:val="FF0000"/>
                <w:sz w:val="20"/>
                <w:szCs w:val="20"/>
              </w:rPr>
            </w:pPr>
            <w:r w:rsidRPr="00B47E3F">
              <w:rPr>
                <w:sz w:val="20"/>
                <w:szCs w:val="20"/>
              </w:rPr>
              <w:t>preventing VAWG</w:t>
            </w:r>
          </w:p>
        </w:tc>
      </w:tr>
      <w:tr w:rsidR="009848F8" w:rsidRPr="000A6A74" w14:paraId="714499CE" w14:textId="77777777" w:rsidTr="0026298E">
        <w:trPr>
          <w:gridAfter w:val="1"/>
          <w:wAfter w:w="89" w:type="pct"/>
        </w:trPr>
        <w:tc>
          <w:tcPr>
            <w:tcW w:w="1193" w:type="pct"/>
            <w:tcBorders>
              <w:bottom w:val="single" w:sz="4" w:space="0" w:color="auto"/>
            </w:tcBorders>
            <w:shd w:val="clear" w:color="auto" w:fill="EAF1DD" w:themeFill="accent3" w:themeFillTint="33"/>
          </w:tcPr>
          <w:p w14:paraId="147A1D24" w14:textId="77777777" w:rsidR="009848F8" w:rsidRPr="000A6A74" w:rsidRDefault="009848F8" w:rsidP="00B2727F">
            <w:pPr>
              <w:rPr>
                <w:sz w:val="20"/>
                <w:szCs w:val="20"/>
              </w:rPr>
            </w:pPr>
            <w:r w:rsidRPr="000A6A74">
              <w:rPr>
                <w:sz w:val="20"/>
                <w:szCs w:val="20"/>
              </w:rPr>
              <w:t xml:space="preserve">Reporting period: </w:t>
            </w:r>
          </w:p>
          <w:p w14:paraId="2BBCAAFF" w14:textId="60E08122" w:rsidR="00B47E3F" w:rsidRPr="000A6A74" w:rsidRDefault="00B47E3F" w:rsidP="00B47E3F">
            <w:pPr>
              <w:rPr>
                <w:sz w:val="20"/>
                <w:szCs w:val="20"/>
              </w:rPr>
            </w:pPr>
            <w:r>
              <w:rPr>
                <w:sz w:val="20"/>
                <w:szCs w:val="20"/>
              </w:rPr>
              <w:t>Y</w:t>
            </w:r>
            <w:r w:rsidR="00476BE2">
              <w:rPr>
                <w:sz w:val="20"/>
                <w:szCs w:val="20"/>
              </w:rPr>
              <w:t>3</w:t>
            </w:r>
            <w:r>
              <w:rPr>
                <w:sz w:val="20"/>
                <w:szCs w:val="20"/>
              </w:rPr>
              <w:t xml:space="preserve"> </w:t>
            </w:r>
            <w:r w:rsidR="0026298E">
              <w:rPr>
                <w:sz w:val="20"/>
                <w:szCs w:val="20"/>
              </w:rPr>
              <w:t xml:space="preserve">Annual </w:t>
            </w:r>
            <w:r>
              <w:rPr>
                <w:sz w:val="20"/>
                <w:szCs w:val="20"/>
              </w:rPr>
              <w:t>Progress Report</w:t>
            </w:r>
          </w:p>
          <w:p w14:paraId="7FF8C5F6" w14:textId="77777777" w:rsidR="009848F8" w:rsidRPr="000A6A74" w:rsidRDefault="009848F8" w:rsidP="007A0496">
            <w:pPr>
              <w:rPr>
                <w:b/>
                <w:sz w:val="20"/>
                <w:szCs w:val="20"/>
              </w:rPr>
            </w:pPr>
          </w:p>
        </w:tc>
        <w:tc>
          <w:tcPr>
            <w:tcW w:w="3718" w:type="pct"/>
            <w:tcBorders>
              <w:bottom w:val="single" w:sz="4" w:space="0" w:color="auto"/>
            </w:tcBorders>
            <w:shd w:val="clear" w:color="auto" w:fill="auto"/>
          </w:tcPr>
          <w:p w14:paraId="41122C91" w14:textId="208C7684" w:rsidR="00F91265" w:rsidRPr="000A6A74" w:rsidRDefault="00F73137" w:rsidP="00F91265">
            <w:pPr>
              <w:rPr>
                <w:color w:val="FF0000"/>
                <w:sz w:val="20"/>
                <w:szCs w:val="20"/>
              </w:rPr>
            </w:pPr>
            <w:r>
              <w:rPr>
                <w:sz w:val="20"/>
                <w:szCs w:val="20"/>
              </w:rPr>
              <w:t xml:space="preserve">In 2016 and 2017, UN Women also provided technical assistance to the MWYCFA to revise the EVAW Policy and to develop a monitoring framework for implementation of the EVAW Policy, including M&amp;E tools for use by the MWYCFA and other relevant ministries to monitor and report on activities implemented related to the EVAW Policy. In August 2017, the MWYCFA with technical assistance from UN Women followed up with a one-day EVAW Policy monitoring training for the MWYCFA and members of the EVAW Task Force. That same month, the MWYCFA led a workshop for GFPs on the EVAW Policy and M&amp;E tools, during which GFPs communicated that they were facing challenges mainstreaming the EVAW Policy into their ministries work plans and activities; the challenges were the same as had been documented in this report, and the baseline and midline reports. </w:t>
            </w:r>
          </w:p>
        </w:tc>
      </w:tr>
      <w:tr w:rsidR="007A0496" w:rsidRPr="000A6A74" w14:paraId="38033225" w14:textId="77777777" w:rsidTr="0026298E">
        <w:trPr>
          <w:gridAfter w:val="1"/>
          <w:wAfter w:w="89" w:type="pct"/>
        </w:trPr>
        <w:tc>
          <w:tcPr>
            <w:tcW w:w="1193" w:type="pct"/>
            <w:tcBorders>
              <w:left w:val="nil"/>
              <w:bottom w:val="nil"/>
              <w:right w:val="nil"/>
            </w:tcBorders>
            <w:shd w:val="clear" w:color="auto" w:fill="FFFFFF" w:themeFill="background1"/>
          </w:tcPr>
          <w:p w14:paraId="6FCD67F9" w14:textId="77777777" w:rsidR="007A0496" w:rsidRPr="000A6A74" w:rsidRDefault="007A0496" w:rsidP="00B2727F">
            <w:pPr>
              <w:rPr>
                <w:sz w:val="20"/>
                <w:szCs w:val="20"/>
              </w:rPr>
            </w:pPr>
          </w:p>
        </w:tc>
        <w:tc>
          <w:tcPr>
            <w:tcW w:w="3718" w:type="pct"/>
            <w:tcBorders>
              <w:left w:val="nil"/>
              <w:bottom w:val="nil"/>
              <w:right w:val="nil"/>
            </w:tcBorders>
            <w:shd w:val="clear" w:color="auto" w:fill="FFFFFF" w:themeFill="background1"/>
          </w:tcPr>
          <w:p w14:paraId="361AAA47" w14:textId="77777777" w:rsidR="007A0496" w:rsidRPr="000A6A74" w:rsidRDefault="007A0496" w:rsidP="00B2727F">
            <w:pPr>
              <w:rPr>
                <w:color w:val="000000" w:themeColor="text1"/>
                <w:sz w:val="20"/>
                <w:szCs w:val="20"/>
              </w:rPr>
            </w:pPr>
          </w:p>
        </w:tc>
      </w:tr>
      <w:tr w:rsidR="00A03251" w:rsidRPr="000A6A74" w14:paraId="75C0E167" w14:textId="77777777" w:rsidTr="009C6909">
        <w:tc>
          <w:tcPr>
            <w:tcW w:w="1193" w:type="pct"/>
            <w:tcBorders>
              <w:top w:val="nil"/>
              <w:left w:val="nil"/>
              <w:bottom w:val="single" w:sz="4" w:space="0" w:color="auto"/>
              <w:right w:val="nil"/>
            </w:tcBorders>
            <w:shd w:val="clear" w:color="auto" w:fill="FFFFFF" w:themeFill="background1"/>
          </w:tcPr>
          <w:p w14:paraId="6DA792CD" w14:textId="77777777" w:rsidR="00A03251" w:rsidRPr="000A6A74" w:rsidRDefault="00A03251" w:rsidP="00B2727F">
            <w:pPr>
              <w:rPr>
                <w:sz w:val="20"/>
                <w:szCs w:val="20"/>
              </w:rPr>
            </w:pPr>
          </w:p>
        </w:tc>
        <w:tc>
          <w:tcPr>
            <w:tcW w:w="3718" w:type="pct"/>
            <w:tcBorders>
              <w:top w:val="nil"/>
              <w:left w:val="nil"/>
              <w:bottom w:val="single" w:sz="4" w:space="0" w:color="auto"/>
              <w:right w:val="nil"/>
            </w:tcBorders>
            <w:shd w:val="clear" w:color="auto" w:fill="auto"/>
          </w:tcPr>
          <w:p w14:paraId="50B7A8C0" w14:textId="77777777" w:rsidR="00A03251" w:rsidRPr="000A6A74" w:rsidRDefault="00A03251" w:rsidP="00B2727F">
            <w:pPr>
              <w:rPr>
                <w:color w:val="000000" w:themeColor="text1"/>
                <w:sz w:val="20"/>
                <w:szCs w:val="20"/>
              </w:rPr>
            </w:pPr>
          </w:p>
        </w:tc>
        <w:tc>
          <w:tcPr>
            <w:tcW w:w="89" w:type="pct"/>
            <w:tcBorders>
              <w:top w:val="nil"/>
              <w:left w:val="nil"/>
              <w:bottom w:val="single" w:sz="4" w:space="0" w:color="auto"/>
              <w:right w:val="nil"/>
            </w:tcBorders>
            <w:shd w:val="clear" w:color="auto" w:fill="auto"/>
          </w:tcPr>
          <w:p w14:paraId="30D1A558" w14:textId="77777777" w:rsidR="00A03251" w:rsidRPr="000A6A74" w:rsidRDefault="00A03251" w:rsidP="00B2727F">
            <w:pPr>
              <w:rPr>
                <w:color w:val="000000" w:themeColor="text1"/>
                <w:sz w:val="20"/>
                <w:szCs w:val="20"/>
              </w:rPr>
            </w:pPr>
          </w:p>
        </w:tc>
      </w:tr>
    </w:tbl>
    <w:p w14:paraId="039434B7" w14:textId="42E95F42" w:rsidR="004326D4" w:rsidRDefault="004326D4" w:rsidP="009C6909">
      <w:pPr>
        <w:pBdr>
          <w:top w:val="single" w:sz="4" w:space="1" w:color="auto"/>
        </w:pBdr>
      </w:pPr>
    </w:p>
    <w:tbl>
      <w:tblPr>
        <w:tblStyle w:val="TableGrid"/>
        <w:tblW w:w="5091" w:type="pct"/>
        <w:tblLook w:val="04A0" w:firstRow="1" w:lastRow="0" w:firstColumn="1" w:lastColumn="0" w:noHBand="0" w:noVBand="1"/>
      </w:tblPr>
      <w:tblGrid>
        <w:gridCol w:w="3388"/>
        <w:gridCol w:w="2906"/>
        <w:gridCol w:w="7655"/>
        <w:gridCol w:w="253"/>
      </w:tblGrid>
      <w:tr w:rsidR="007A0496" w:rsidRPr="000A6A74" w14:paraId="44C7E1A3" w14:textId="77777777" w:rsidTr="0026298E">
        <w:trPr>
          <w:gridAfter w:val="1"/>
          <w:wAfter w:w="89" w:type="pct"/>
        </w:trPr>
        <w:tc>
          <w:tcPr>
            <w:tcW w:w="1193" w:type="pct"/>
            <w:vMerge w:val="restart"/>
            <w:shd w:val="clear" w:color="auto" w:fill="EAF1DD" w:themeFill="accent3" w:themeFillTint="33"/>
          </w:tcPr>
          <w:p w14:paraId="67B7138A" w14:textId="77777777" w:rsidR="007A0496" w:rsidRPr="000A6A74" w:rsidRDefault="007A0496" w:rsidP="00B2727F">
            <w:pPr>
              <w:rPr>
                <w:b/>
                <w:sz w:val="20"/>
                <w:szCs w:val="20"/>
              </w:rPr>
            </w:pPr>
            <w:r w:rsidRPr="000A6A74">
              <w:rPr>
                <w:b/>
                <w:sz w:val="20"/>
                <w:szCs w:val="20"/>
              </w:rPr>
              <w:t>Output Indicator Update</w:t>
            </w:r>
          </w:p>
        </w:tc>
        <w:tc>
          <w:tcPr>
            <w:tcW w:w="3718" w:type="pct"/>
            <w:gridSpan w:val="2"/>
            <w:tcBorders>
              <w:bottom w:val="single" w:sz="4" w:space="0" w:color="auto"/>
            </w:tcBorders>
            <w:shd w:val="clear" w:color="auto" w:fill="EAF1DD" w:themeFill="accent3" w:themeFillTint="33"/>
          </w:tcPr>
          <w:p w14:paraId="757584C6" w14:textId="77777777" w:rsidR="007A0496" w:rsidRPr="000A6A74" w:rsidRDefault="007A0496" w:rsidP="00B2727F">
            <w:pPr>
              <w:rPr>
                <w:sz w:val="20"/>
                <w:szCs w:val="20"/>
              </w:rPr>
            </w:pPr>
            <w:r w:rsidRPr="000A6A74">
              <w:rPr>
                <w:sz w:val="20"/>
                <w:szCs w:val="20"/>
              </w:rPr>
              <w:t xml:space="preserve">Reporting period: </w:t>
            </w:r>
          </w:p>
          <w:p w14:paraId="3873927F" w14:textId="78AB8AED" w:rsidR="007A0496" w:rsidRPr="000A6A74" w:rsidRDefault="00B47E3F" w:rsidP="0026298E">
            <w:pPr>
              <w:rPr>
                <w:sz w:val="20"/>
                <w:szCs w:val="20"/>
              </w:rPr>
            </w:pPr>
            <w:r>
              <w:rPr>
                <w:sz w:val="20"/>
                <w:szCs w:val="20"/>
              </w:rPr>
              <w:t>Y</w:t>
            </w:r>
            <w:r w:rsidR="00476BE2">
              <w:rPr>
                <w:sz w:val="20"/>
                <w:szCs w:val="20"/>
              </w:rPr>
              <w:t>3</w:t>
            </w:r>
            <w:r>
              <w:rPr>
                <w:sz w:val="20"/>
                <w:szCs w:val="20"/>
              </w:rPr>
              <w:t xml:space="preserve"> Progress Report</w:t>
            </w:r>
            <w:r w:rsidR="007A0496" w:rsidRPr="000A6A74">
              <w:rPr>
                <w:sz w:val="20"/>
                <w:szCs w:val="20"/>
              </w:rPr>
              <w:t xml:space="preserve"> </w:t>
            </w:r>
          </w:p>
        </w:tc>
      </w:tr>
      <w:tr w:rsidR="007A0496" w:rsidRPr="000A6A74" w14:paraId="11097308" w14:textId="77777777" w:rsidTr="004326D4">
        <w:trPr>
          <w:gridAfter w:val="1"/>
          <w:wAfter w:w="89" w:type="pct"/>
        </w:trPr>
        <w:tc>
          <w:tcPr>
            <w:tcW w:w="1193" w:type="pct"/>
            <w:vMerge/>
            <w:shd w:val="clear" w:color="auto" w:fill="EAF1DD" w:themeFill="accent3" w:themeFillTint="33"/>
          </w:tcPr>
          <w:p w14:paraId="4327F957" w14:textId="77777777" w:rsidR="007A0496" w:rsidRPr="000A6A74" w:rsidRDefault="007A0496" w:rsidP="00B2727F">
            <w:pPr>
              <w:rPr>
                <w:b/>
                <w:sz w:val="20"/>
                <w:szCs w:val="20"/>
              </w:rPr>
            </w:pPr>
          </w:p>
        </w:tc>
        <w:tc>
          <w:tcPr>
            <w:tcW w:w="1023" w:type="pct"/>
            <w:tcBorders>
              <w:bottom w:val="single" w:sz="4" w:space="0" w:color="auto"/>
            </w:tcBorders>
            <w:shd w:val="clear" w:color="auto" w:fill="EAF1DD" w:themeFill="accent3" w:themeFillTint="33"/>
          </w:tcPr>
          <w:p w14:paraId="6F955140" w14:textId="77777777" w:rsidR="007A0496" w:rsidRPr="000A6A74" w:rsidRDefault="007A0496" w:rsidP="00B2727F">
            <w:pPr>
              <w:rPr>
                <w:b/>
                <w:sz w:val="20"/>
                <w:szCs w:val="20"/>
              </w:rPr>
            </w:pPr>
            <w:r w:rsidRPr="000A6A74">
              <w:rPr>
                <w:b/>
                <w:sz w:val="20"/>
                <w:szCs w:val="20"/>
              </w:rPr>
              <w:t xml:space="preserve">Quantitative Information </w:t>
            </w:r>
          </w:p>
        </w:tc>
        <w:tc>
          <w:tcPr>
            <w:tcW w:w="2695" w:type="pct"/>
            <w:tcBorders>
              <w:bottom w:val="single" w:sz="4" w:space="0" w:color="auto"/>
            </w:tcBorders>
            <w:shd w:val="clear" w:color="auto" w:fill="EAF1DD" w:themeFill="accent3" w:themeFillTint="33"/>
          </w:tcPr>
          <w:p w14:paraId="4E5AEB80" w14:textId="77777777" w:rsidR="007A0496" w:rsidRPr="000A6A74" w:rsidRDefault="007A0496" w:rsidP="00B2727F">
            <w:pPr>
              <w:rPr>
                <w:b/>
                <w:sz w:val="20"/>
                <w:szCs w:val="20"/>
              </w:rPr>
            </w:pPr>
            <w:r w:rsidRPr="000A6A74">
              <w:rPr>
                <w:b/>
                <w:sz w:val="20"/>
                <w:szCs w:val="20"/>
              </w:rPr>
              <w:t xml:space="preserve">Qualitative Information </w:t>
            </w:r>
          </w:p>
        </w:tc>
      </w:tr>
      <w:tr w:rsidR="007A0496" w:rsidRPr="000A6A74" w14:paraId="7D6749F3" w14:textId="77777777" w:rsidTr="004326D4">
        <w:trPr>
          <w:gridAfter w:val="1"/>
          <w:wAfter w:w="89" w:type="pct"/>
        </w:trPr>
        <w:tc>
          <w:tcPr>
            <w:tcW w:w="1193" w:type="pct"/>
            <w:shd w:val="clear" w:color="auto" w:fill="EAF1DD" w:themeFill="accent3" w:themeFillTint="33"/>
          </w:tcPr>
          <w:p w14:paraId="328EB21B" w14:textId="77777777" w:rsidR="00B648D2" w:rsidRPr="0026298E" w:rsidRDefault="007A0496" w:rsidP="00B648D2">
            <w:pPr>
              <w:autoSpaceDE w:val="0"/>
              <w:autoSpaceDN w:val="0"/>
              <w:adjustRightInd w:val="0"/>
              <w:rPr>
                <w:rFonts w:cs="CalibriRegular"/>
                <w:color w:val="1C1C1C"/>
                <w:sz w:val="20"/>
                <w:szCs w:val="20"/>
              </w:rPr>
            </w:pPr>
            <w:r w:rsidRPr="0026298E">
              <w:rPr>
                <w:sz w:val="20"/>
                <w:szCs w:val="20"/>
              </w:rPr>
              <w:t xml:space="preserve">Output Indicator 1: </w:t>
            </w:r>
            <w:r w:rsidR="00B648D2" w:rsidRPr="0026298E">
              <w:rPr>
                <w:rFonts w:cs="CalibriRegular"/>
                <w:color w:val="1C1C1C"/>
                <w:sz w:val="20"/>
                <w:szCs w:val="20"/>
              </w:rPr>
              <w:t>Proportion of government</w:t>
            </w:r>
            <w:r w:rsidR="0026298E">
              <w:rPr>
                <w:rFonts w:cs="CalibriRegular"/>
                <w:color w:val="1C1C1C"/>
                <w:sz w:val="20"/>
                <w:szCs w:val="20"/>
              </w:rPr>
              <w:t xml:space="preserve"> </w:t>
            </w:r>
            <w:r w:rsidR="00B648D2" w:rsidRPr="0026298E">
              <w:rPr>
                <w:rFonts w:cs="CalibriRegular"/>
                <w:color w:val="1C1C1C"/>
                <w:sz w:val="20"/>
                <w:szCs w:val="20"/>
              </w:rPr>
              <w:t>agencies who are</w:t>
            </w:r>
          </w:p>
          <w:p w14:paraId="27537221" w14:textId="77777777" w:rsidR="007A0496" w:rsidRPr="0026298E" w:rsidRDefault="00B648D2" w:rsidP="00B648D2">
            <w:pPr>
              <w:rPr>
                <w:sz w:val="20"/>
                <w:szCs w:val="20"/>
              </w:rPr>
            </w:pPr>
            <w:r w:rsidRPr="0026298E">
              <w:rPr>
                <w:rFonts w:cs="CalibriRegular"/>
                <w:color w:val="1C1C1C"/>
                <w:sz w:val="20"/>
                <w:szCs w:val="20"/>
              </w:rPr>
              <w:lastRenderedPageBreak/>
              <w:t>reporting to the EVAW Task Force</w:t>
            </w:r>
          </w:p>
        </w:tc>
        <w:tc>
          <w:tcPr>
            <w:tcW w:w="1023" w:type="pct"/>
            <w:shd w:val="clear" w:color="auto" w:fill="FFFFFF" w:themeFill="background1"/>
          </w:tcPr>
          <w:p w14:paraId="474E17EE" w14:textId="0C7F53F0" w:rsidR="007A0496" w:rsidRPr="000A6A74" w:rsidRDefault="00863028" w:rsidP="00725049">
            <w:pPr>
              <w:jc w:val="center"/>
              <w:rPr>
                <w:sz w:val="20"/>
                <w:szCs w:val="20"/>
              </w:rPr>
            </w:pPr>
            <w:r>
              <w:rPr>
                <w:sz w:val="20"/>
                <w:szCs w:val="20"/>
              </w:rPr>
              <w:lastRenderedPageBreak/>
              <w:t>NA</w:t>
            </w:r>
          </w:p>
        </w:tc>
        <w:tc>
          <w:tcPr>
            <w:tcW w:w="2695" w:type="pct"/>
            <w:shd w:val="clear" w:color="auto" w:fill="FFFFFF" w:themeFill="background1"/>
          </w:tcPr>
          <w:p w14:paraId="19F8EB4B" w14:textId="58A951BD" w:rsidR="007A0496" w:rsidRPr="00725049" w:rsidRDefault="00863028" w:rsidP="00725049">
            <w:pPr>
              <w:autoSpaceDE w:val="0"/>
              <w:autoSpaceDN w:val="0"/>
              <w:adjustRightInd w:val="0"/>
              <w:jc w:val="both"/>
              <w:rPr>
                <w:sz w:val="20"/>
                <w:szCs w:val="20"/>
              </w:rPr>
            </w:pPr>
            <w:r w:rsidRPr="00725049">
              <w:rPr>
                <w:rFonts w:cs="Calibri"/>
                <w:sz w:val="20"/>
                <w:szCs w:val="20"/>
              </w:rPr>
              <w:t xml:space="preserve">Initially, the EVAW Policy was supposed to be implemented by a national EVAW Task Force comprised of representatives of VAWG support agencies, including police, health/medical </w:t>
            </w:r>
            <w:r w:rsidRPr="00725049">
              <w:rPr>
                <w:rFonts w:cs="Calibri"/>
                <w:sz w:val="20"/>
                <w:szCs w:val="20"/>
              </w:rPr>
              <w:lastRenderedPageBreak/>
              <w:t xml:space="preserve">services, education, and victim support agencies; however, the EVAW Task Force was eventually disbanded given its duplication in membership and focus with other government tasks forces. In 2016, there was discussions to re-establish the EVAW Task Force to support the EVAW Policy, and in 2017 it was re-established and mechanisms for government agencies to report to the EVAW Task Force were established. At the time of this evaluation government agencies had yet to start reporting to the EVAW Task Force.  </w:t>
            </w:r>
          </w:p>
        </w:tc>
      </w:tr>
      <w:tr w:rsidR="007A0496" w:rsidRPr="000A6A74" w14:paraId="0597261F" w14:textId="77777777" w:rsidTr="004326D4">
        <w:trPr>
          <w:gridAfter w:val="1"/>
          <w:wAfter w:w="89" w:type="pct"/>
        </w:trPr>
        <w:tc>
          <w:tcPr>
            <w:tcW w:w="1193" w:type="pct"/>
            <w:shd w:val="clear" w:color="auto" w:fill="EAF1DD" w:themeFill="accent3" w:themeFillTint="33"/>
          </w:tcPr>
          <w:p w14:paraId="7E8CE7D5" w14:textId="77777777" w:rsidR="007A0496" w:rsidRPr="0026298E" w:rsidRDefault="007A0496" w:rsidP="0026298E">
            <w:pPr>
              <w:autoSpaceDE w:val="0"/>
              <w:autoSpaceDN w:val="0"/>
              <w:adjustRightInd w:val="0"/>
              <w:rPr>
                <w:sz w:val="20"/>
                <w:szCs w:val="20"/>
              </w:rPr>
            </w:pPr>
            <w:r w:rsidRPr="0026298E">
              <w:rPr>
                <w:sz w:val="20"/>
                <w:szCs w:val="20"/>
              </w:rPr>
              <w:lastRenderedPageBreak/>
              <w:t xml:space="preserve">Output Indicator 2: </w:t>
            </w:r>
            <w:r w:rsidR="00B648D2" w:rsidRPr="0026298E">
              <w:rPr>
                <w:sz w:val="20"/>
                <w:szCs w:val="20"/>
              </w:rPr>
              <w:t>E</w:t>
            </w:r>
            <w:r w:rsidR="00B648D2" w:rsidRPr="0026298E">
              <w:rPr>
                <w:rFonts w:cs="CalibriRegular"/>
                <w:color w:val="1C1C1C"/>
                <w:sz w:val="20"/>
                <w:szCs w:val="20"/>
              </w:rPr>
              <w:t>vidence of national and provincial Gender Focal</w:t>
            </w:r>
            <w:r w:rsidR="0026298E">
              <w:rPr>
                <w:rFonts w:cs="CalibriRegular"/>
                <w:color w:val="1C1C1C"/>
                <w:sz w:val="20"/>
                <w:szCs w:val="20"/>
              </w:rPr>
              <w:t xml:space="preserve"> </w:t>
            </w:r>
            <w:r w:rsidR="00B648D2" w:rsidRPr="0026298E">
              <w:rPr>
                <w:rFonts w:cs="CalibriRegular"/>
                <w:color w:val="1C1C1C"/>
                <w:sz w:val="20"/>
                <w:szCs w:val="20"/>
              </w:rPr>
              <w:t>Points (GFPs) who</w:t>
            </w:r>
            <w:r w:rsidR="0026298E">
              <w:rPr>
                <w:rFonts w:cs="CalibriRegular"/>
                <w:color w:val="1C1C1C"/>
                <w:sz w:val="20"/>
                <w:szCs w:val="20"/>
              </w:rPr>
              <w:t xml:space="preserve"> d</w:t>
            </w:r>
            <w:r w:rsidR="00B648D2" w:rsidRPr="0026298E">
              <w:rPr>
                <w:rFonts w:cs="CalibriRegular"/>
                <w:color w:val="1C1C1C"/>
                <w:sz w:val="20"/>
                <w:szCs w:val="20"/>
              </w:rPr>
              <w:t xml:space="preserve">emonstrate improved </w:t>
            </w:r>
            <w:r w:rsidR="0026298E">
              <w:rPr>
                <w:rFonts w:cs="CalibriRegular"/>
                <w:color w:val="1C1C1C"/>
                <w:sz w:val="20"/>
                <w:szCs w:val="20"/>
              </w:rPr>
              <w:t>K</w:t>
            </w:r>
            <w:r w:rsidR="00B648D2" w:rsidRPr="0026298E">
              <w:rPr>
                <w:rFonts w:cs="CalibriRegular"/>
                <w:color w:val="1C1C1C"/>
                <w:sz w:val="20"/>
                <w:szCs w:val="20"/>
              </w:rPr>
              <w:t>nowledge, attitudes, and skills related to Family Protection Act and</w:t>
            </w:r>
            <w:r w:rsidR="0026298E">
              <w:rPr>
                <w:rFonts w:cs="CalibriRegular"/>
                <w:color w:val="1C1C1C"/>
                <w:sz w:val="20"/>
                <w:szCs w:val="20"/>
              </w:rPr>
              <w:t xml:space="preserve"> </w:t>
            </w:r>
            <w:r w:rsidR="00B648D2" w:rsidRPr="0026298E">
              <w:rPr>
                <w:rFonts w:cs="CalibriRegular"/>
                <w:color w:val="1C1C1C"/>
                <w:sz w:val="20"/>
                <w:szCs w:val="20"/>
              </w:rPr>
              <w:t>EVAWG policies, their role as well as monitoring and reporting processes</w:t>
            </w:r>
          </w:p>
        </w:tc>
        <w:tc>
          <w:tcPr>
            <w:tcW w:w="1023" w:type="pct"/>
            <w:shd w:val="clear" w:color="auto" w:fill="FFFFFF" w:themeFill="background1"/>
          </w:tcPr>
          <w:p w14:paraId="7EA6E09E" w14:textId="3EAEE772" w:rsidR="007A0496" w:rsidRPr="000A6A74" w:rsidRDefault="00863028" w:rsidP="00725049">
            <w:pPr>
              <w:jc w:val="center"/>
              <w:rPr>
                <w:sz w:val="20"/>
                <w:szCs w:val="20"/>
              </w:rPr>
            </w:pPr>
            <w:r>
              <w:rPr>
                <w:sz w:val="20"/>
                <w:szCs w:val="20"/>
              </w:rPr>
              <w:t>NA</w:t>
            </w:r>
          </w:p>
        </w:tc>
        <w:tc>
          <w:tcPr>
            <w:tcW w:w="2695" w:type="pct"/>
            <w:shd w:val="clear" w:color="auto" w:fill="FFFFFF" w:themeFill="background1"/>
          </w:tcPr>
          <w:p w14:paraId="6F074962" w14:textId="514AA20B" w:rsidR="007A0496" w:rsidRPr="00DA4F0C" w:rsidRDefault="00863028" w:rsidP="00DA4F0C">
            <w:pPr>
              <w:rPr>
                <w:sz w:val="20"/>
                <w:szCs w:val="20"/>
              </w:rPr>
            </w:pPr>
            <w:r w:rsidRPr="00725049">
              <w:rPr>
                <w:rFonts w:cstheme="minorHAnsi"/>
                <w:sz w:val="20"/>
                <w:szCs w:val="20"/>
              </w:rPr>
              <w:t xml:space="preserve">There were no specific trainings delivered to GFPs or provincial desk officers as part of the UN-SIG JP on EVAWG in 2015 or 2016 that would have provided an opportunity to deliver the KAA Survey to GFPs. During the baseline study in 2015 and the midline assessment in 2016, at least five GFPs from different ministries participated in focus group discussions where GFPs discussed the challenges they faced in their respective ministries as GFPs and in terms of mainstreaming gender, as well as their knowledge and abilities to effectively implement the FPA and/or the EVAW Policy in their respective ministries. </w:t>
            </w:r>
            <w:r w:rsidRPr="00725049">
              <w:rPr>
                <w:sz w:val="20"/>
                <w:szCs w:val="20"/>
              </w:rPr>
              <w:t>In August 2017, the MWYCFA with technical assistance from UN Women conducted a one-day workshop for GFPs on the EVAW Policy and M&amp;E tools; however, the KAA Survey was not administered to GFPs at this training. GFPs did communicate that they were still facing challenges in their respective ministries when it came to mainstreaming gender and the EVAW Policy into their ministries’ work plans and activities. The challenges were reportedly the same or similar as the challenges that had been documented in the baseline and midline M&amp;E reports for the UN-SIG JP on EVAWG.  Given the challenges faced by GFPs, it was unclear that the targets were met and the UN-SIG JP on EVAWG was unable to provide evidence of national and provincial GFPs who demonstrated improved knowledge, attitudes and skills related to the FPA and the EVAW Policy, including their roles in monitoring and reporting on the efforts of their ministries to implement these policies.</w:t>
            </w:r>
          </w:p>
        </w:tc>
      </w:tr>
      <w:tr w:rsidR="00A03251" w:rsidRPr="000A6A74" w14:paraId="60B76F87" w14:textId="77777777" w:rsidTr="004326D4">
        <w:tc>
          <w:tcPr>
            <w:tcW w:w="1193" w:type="pct"/>
            <w:tcBorders>
              <w:left w:val="nil"/>
              <w:right w:val="nil"/>
            </w:tcBorders>
            <w:shd w:val="clear" w:color="auto" w:fill="FFFFFF" w:themeFill="background1"/>
          </w:tcPr>
          <w:p w14:paraId="129E2DEF" w14:textId="77777777" w:rsidR="00A03251" w:rsidRDefault="00A03251" w:rsidP="007A0496">
            <w:pPr>
              <w:autoSpaceDE w:val="0"/>
              <w:autoSpaceDN w:val="0"/>
              <w:adjustRightInd w:val="0"/>
              <w:rPr>
                <w:b/>
                <w:sz w:val="20"/>
                <w:szCs w:val="20"/>
              </w:rPr>
            </w:pPr>
          </w:p>
          <w:p w14:paraId="5954E5EA" w14:textId="77777777" w:rsidR="00B648D2" w:rsidRDefault="00B648D2" w:rsidP="007A0496">
            <w:pPr>
              <w:autoSpaceDE w:val="0"/>
              <w:autoSpaceDN w:val="0"/>
              <w:adjustRightInd w:val="0"/>
              <w:rPr>
                <w:b/>
                <w:sz w:val="20"/>
                <w:szCs w:val="20"/>
              </w:rPr>
            </w:pPr>
          </w:p>
          <w:p w14:paraId="290535C6" w14:textId="77777777" w:rsidR="00B648D2" w:rsidRPr="007A0496" w:rsidRDefault="00B648D2" w:rsidP="007A0496">
            <w:pPr>
              <w:autoSpaceDE w:val="0"/>
              <w:autoSpaceDN w:val="0"/>
              <w:adjustRightInd w:val="0"/>
              <w:rPr>
                <w:b/>
                <w:sz w:val="20"/>
                <w:szCs w:val="20"/>
              </w:rPr>
            </w:pPr>
          </w:p>
        </w:tc>
        <w:tc>
          <w:tcPr>
            <w:tcW w:w="1023" w:type="pct"/>
            <w:tcBorders>
              <w:left w:val="nil"/>
              <w:right w:val="nil"/>
            </w:tcBorders>
            <w:shd w:val="clear" w:color="auto" w:fill="FFFFFF" w:themeFill="background1"/>
          </w:tcPr>
          <w:p w14:paraId="47ECB8C2" w14:textId="77777777" w:rsidR="00A03251" w:rsidRPr="000A6A74" w:rsidRDefault="00A03251" w:rsidP="00B2727F">
            <w:pPr>
              <w:rPr>
                <w:sz w:val="20"/>
                <w:szCs w:val="20"/>
              </w:rPr>
            </w:pPr>
          </w:p>
        </w:tc>
        <w:tc>
          <w:tcPr>
            <w:tcW w:w="2695" w:type="pct"/>
            <w:tcBorders>
              <w:left w:val="nil"/>
              <w:right w:val="nil"/>
            </w:tcBorders>
            <w:shd w:val="clear" w:color="auto" w:fill="FFFFFF" w:themeFill="background1"/>
          </w:tcPr>
          <w:p w14:paraId="5F78BD6C" w14:textId="77777777" w:rsidR="00A03251" w:rsidRPr="000A6A74" w:rsidRDefault="00A03251" w:rsidP="00B2727F">
            <w:pPr>
              <w:rPr>
                <w:sz w:val="20"/>
                <w:szCs w:val="20"/>
              </w:rPr>
            </w:pPr>
          </w:p>
        </w:tc>
        <w:tc>
          <w:tcPr>
            <w:tcW w:w="89" w:type="pct"/>
            <w:tcBorders>
              <w:top w:val="nil"/>
              <w:left w:val="nil"/>
              <w:right w:val="nil"/>
            </w:tcBorders>
            <w:shd w:val="clear" w:color="auto" w:fill="FFFFFF" w:themeFill="background1"/>
          </w:tcPr>
          <w:p w14:paraId="3607B4FF" w14:textId="77777777" w:rsidR="00A03251" w:rsidRPr="000A6A74" w:rsidRDefault="00A03251" w:rsidP="00B2727F">
            <w:pPr>
              <w:rPr>
                <w:sz w:val="20"/>
                <w:szCs w:val="20"/>
              </w:rPr>
            </w:pPr>
          </w:p>
        </w:tc>
      </w:tr>
      <w:tr w:rsidR="009848F8" w:rsidRPr="000A6A74" w14:paraId="11BBC5E2" w14:textId="77777777" w:rsidTr="0026298E">
        <w:trPr>
          <w:gridAfter w:val="1"/>
          <w:wAfter w:w="89" w:type="pct"/>
        </w:trPr>
        <w:tc>
          <w:tcPr>
            <w:tcW w:w="4911" w:type="pct"/>
            <w:gridSpan w:val="3"/>
            <w:shd w:val="clear" w:color="auto" w:fill="FBD4B4" w:themeFill="accent6" w:themeFillTint="66"/>
          </w:tcPr>
          <w:p w14:paraId="783E8686" w14:textId="77777777" w:rsidR="009848F8" w:rsidRPr="000A6A74" w:rsidRDefault="009848F8" w:rsidP="00B2727F">
            <w:pPr>
              <w:rPr>
                <w:b/>
                <w:sz w:val="20"/>
                <w:szCs w:val="20"/>
              </w:rPr>
            </w:pPr>
            <w:r w:rsidRPr="000A6A74">
              <w:rPr>
                <w:b/>
                <w:sz w:val="20"/>
                <w:szCs w:val="20"/>
              </w:rPr>
              <w:t xml:space="preserve">Activity Update </w:t>
            </w:r>
          </w:p>
        </w:tc>
      </w:tr>
      <w:tr w:rsidR="009848F8" w:rsidRPr="000A6A74" w14:paraId="6CC2D5D0" w14:textId="77777777" w:rsidTr="0026298E">
        <w:trPr>
          <w:gridAfter w:val="1"/>
          <w:wAfter w:w="89" w:type="pct"/>
        </w:trPr>
        <w:tc>
          <w:tcPr>
            <w:tcW w:w="4911" w:type="pct"/>
            <w:gridSpan w:val="3"/>
            <w:shd w:val="clear" w:color="auto" w:fill="FBD4B4" w:themeFill="accent6" w:themeFillTint="66"/>
          </w:tcPr>
          <w:p w14:paraId="6BA324AC" w14:textId="77777777" w:rsidR="009848F8" w:rsidRPr="00A03251" w:rsidRDefault="009848F8" w:rsidP="00B648D2">
            <w:pPr>
              <w:rPr>
                <w:b/>
                <w:sz w:val="20"/>
                <w:szCs w:val="20"/>
              </w:rPr>
            </w:pPr>
            <w:r w:rsidRPr="00A03251">
              <w:rPr>
                <w:b/>
                <w:sz w:val="20"/>
                <w:szCs w:val="20"/>
              </w:rPr>
              <w:t>Activity 1</w:t>
            </w:r>
            <w:r w:rsidR="00B648D2">
              <w:t xml:space="preserve"> </w:t>
            </w:r>
            <w:r w:rsidR="00B648D2" w:rsidRPr="00B12373">
              <w:rPr>
                <w:sz w:val="20"/>
                <w:szCs w:val="20"/>
              </w:rPr>
              <w:t>Support National EVAW Task Force to implement and monitor with a results framework, and assess progress of EVAW Policy</w:t>
            </w:r>
          </w:p>
        </w:tc>
      </w:tr>
      <w:tr w:rsidR="009848F8" w:rsidRPr="000A6A74" w14:paraId="2890ABF7" w14:textId="77777777" w:rsidTr="0026298E">
        <w:trPr>
          <w:gridAfter w:val="1"/>
          <w:wAfter w:w="89" w:type="pct"/>
        </w:trPr>
        <w:tc>
          <w:tcPr>
            <w:tcW w:w="1193" w:type="pct"/>
            <w:shd w:val="clear" w:color="auto" w:fill="FBD4B4" w:themeFill="accent6" w:themeFillTint="66"/>
          </w:tcPr>
          <w:p w14:paraId="09918C2B" w14:textId="77777777" w:rsidR="009848F8" w:rsidRPr="000A6A74" w:rsidRDefault="009848F8" w:rsidP="00B2727F">
            <w:pPr>
              <w:rPr>
                <w:sz w:val="20"/>
                <w:szCs w:val="20"/>
              </w:rPr>
            </w:pPr>
            <w:r w:rsidRPr="000A6A74">
              <w:rPr>
                <w:sz w:val="20"/>
                <w:szCs w:val="20"/>
              </w:rPr>
              <w:t xml:space="preserve">Reporting period: </w:t>
            </w:r>
          </w:p>
          <w:p w14:paraId="2FBB0DFC" w14:textId="3514C811" w:rsidR="009848F8" w:rsidRPr="000A6A74" w:rsidRDefault="00B47E3F" w:rsidP="00A03251">
            <w:pPr>
              <w:rPr>
                <w:color w:val="000000" w:themeColor="text1"/>
                <w:sz w:val="20"/>
                <w:szCs w:val="20"/>
              </w:rPr>
            </w:pPr>
            <w:r>
              <w:rPr>
                <w:sz w:val="20"/>
                <w:szCs w:val="20"/>
              </w:rPr>
              <w:t>Y</w:t>
            </w:r>
            <w:r w:rsidR="00476BE2">
              <w:rPr>
                <w:sz w:val="20"/>
                <w:szCs w:val="20"/>
              </w:rPr>
              <w:t>3</w:t>
            </w:r>
            <w:r>
              <w:rPr>
                <w:sz w:val="20"/>
                <w:szCs w:val="20"/>
              </w:rPr>
              <w:t xml:space="preserve"> </w:t>
            </w:r>
            <w:r w:rsidR="007A25A6">
              <w:rPr>
                <w:sz w:val="20"/>
                <w:szCs w:val="20"/>
              </w:rPr>
              <w:t xml:space="preserve">Annual </w:t>
            </w:r>
            <w:r>
              <w:rPr>
                <w:sz w:val="20"/>
                <w:szCs w:val="20"/>
              </w:rPr>
              <w:t>Progress Report</w:t>
            </w:r>
            <w:r w:rsidR="009848F8" w:rsidRPr="000A6A74">
              <w:rPr>
                <w:sz w:val="20"/>
                <w:szCs w:val="20"/>
              </w:rPr>
              <w:t xml:space="preserve">  </w:t>
            </w:r>
          </w:p>
        </w:tc>
        <w:tc>
          <w:tcPr>
            <w:tcW w:w="3718" w:type="pct"/>
            <w:gridSpan w:val="2"/>
            <w:shd w:val="clear" w:color="auto" w:fill="FFFFFF" w:themeFill="background1"/>
          </w:tcPr>
          <w:p w14:paraId="456E03B2" w14:textId="45383D70" w:rsidR="009848F8" w:rsidRPr="000A6A74" w:rsidRDefault="00F138FE" w:rsidP="00F91265">
            <w:pPr>
              <w:rPr>
                <w:sz w:val="20"/>
                <w:szCs w:val="20"/>
              </w:rPr>
            </w:pPr>
            <w:r w:rsidRPr="00725049">
              <w:rPr>
                <w:rFonts w:cstheme="minorHAnsi"/>
                <w:sz w:val="20"/>
                <w:szCs w:val="20"/>
              </w:rPr>
              <w:t xml:space="preserve">Initially, the EVAW Policy was supposed to be implemented by a national EVAW Task Force comprised of representatives of VAWG support agencies, including police, health/medical services, education, and victim support agencies; however, the EVAW Task Force was eventually disbanded given its duplication in membership and focus with other government tasks forces. In 2016, there was discussions to re-establish the EVAW Task Force to support the EVAW Policy, and in 2017 it was re-established and roles and responsibilities of EVAW Task Force members and implementing partners were clearly defined. The EVAW Task Force is the </w:t>
            </w:r>
            <w:r w:rsidRPr="00725049">
              <w:rPr>
                <w:rFonts w:cstheme="minorHAnsi"/>
                <w:color w:val="000000"/>
                <w:sz w:val="20"/>
                <w:szCs w:val="20"/>
              </w:rPr>
              <w:t xml:space="preserve">oversight body for the EVAW Policy. In August 2017, a training was conducted for EVAW Task Force members on the EVAW Policy and monitoring framework.  </w:t>
            </w:r>
          </w:p>
        </w:tc>
      </w:tr>
      <w:tr w:rsidR="009848F8" w:rsidRPr="000A6A74" w14:paraId="1EFD490F" w14:textId="77777777" w:rsidTr="0026298E">
        <w:trPr>
          <w:gridAfter w:val="1"/>
          <w:wAfter w:w="89" w:type="pct"/>
        </w:trPr>
        <w:tc>
          <w:tcPr>
            <w:tcW w:w="4911" w:type="pct"/>
            <w:gridSpan w:val="3"/>
            <w:shd w:val="clear" w:color="auto" w:fill="FBD4B4" w:themeFill="accent6" w:themeFillTint="66"/>
          </w:tcPr>
          <w:p w14:paraId="5121F693" w14:textId="77777777" w:rsidR="009848F8" w:rsidRPr="00A03251" w:rsidRDefault="009848F8" w:rsidP="00B648D2">
            <w:pPr>
              <w:rPr>
                <w:sz w:val="20"/>
                <w:szCs w:val="20"/>
              </w:rPr>
            </w:pPr>
            <w:r w:rsidRPr="00A03251">
              <w:rPr>
                <w:b/>
                <w:sz w:val="20"/>
                <w:szCs w:val="20"/>
              </w:rPr>
              <w:t>Activity 2:</w:t>
            </w:r>
            <w:r w:rsidR="00B648D2">
              <w:t xml:space="preserve"> </w:t>
            </w:r>
            <w:r w:rsidR="00B648D2" w:rsidRPr="00B12373">
              <w:rPr>
                <w:sz w:val="20"/>
                <w:szCs w:val="20"/>
              </w:rPr>
              <w:t>Support capacity building of a core group of national and provincial Gender Focal Points (GFPs) on gender equality, VAWG, and M&amp;E in order for GFPs to carry out their role effectively</w:t>
            </w:r>
          </w:p>
        </w:tc>
      </w:tr>
      <w:tr w:rsidR="009848F8" w:rsidRPr="000A6A74" w14:paraId="0C9517BB" w14:textId="77777777" w:rsidTr="0026298E">
        <w:trPr>
          <w:gridAfter w:val="1"/>
          <w:wAfter w:w="89" w:type="pct"/>
        </w:trPr>
        <w:tc>
          <w:tcPr>
            <w:tcW w:w="1193" w:type="pct"/>
            <w:shd w:val="clear" w:color="auto" w:fill="FBD4B4" w:themeFill="accent6" w:themeFillTint="66"/>
          </w:tcPr>
          <w:p w14:paraId="75E88E40" w14:textId="77777777" w:rsidR="009848F8" w:rsidRPr="000A6A74" w:rsidRDefault="009848F8" w:rsidP="00B2727F">
            <w:pPr>
              <w:rPr>
                <w:sz w:val="20"/>
                <w:szCs w:val="20"/>
              </w:rPr>
            </w:pPr>
            <w:r w:rsidRPr="000A6A74">
              <w:rPr>
                <w:sz w:val="20"/>
                <w:szCs w:val="20"/>
              </w:rPr>
              <w:lastRenderedPageBreak/>
              <w:t xml:space="preserve">Reporting period: </w:t>
            </w:r>
          </w:p>
          <w:p w14:paraId="75A62A3A" w14:textId="14BDA327" w:rsidR="009848F8" w:rsidRPr="000A6A74" w:rsidRDefault="00476BE2" w:rsidP="00A03251">
            <w:pPr>
              <w:rPr>
                <w:color w:val="000000" w:themeColor="text1"/>
                <w:sz w:val="20"/>
                <w:szCs w:val="20"/>
              </w:rPr>
            </w:pPr>
            <w:r>
              <w:rPr>
                <w:sz w:val="20"/>
                <w:szCs w:val="20"/>
              </w:rPr>
              <w:t>Y3</w:t>
            </w:r>
            <w:r w:rsidR="00B47E3F">
              <w:rPr>
                <w:sz w:val="20"/>
                <w:szCs w:val="20"/>
              </w:rPr>
              <w:t xml:space="preserve"> </w:t>
            </w:r>
            <w:r w:rsidR="007A25A6">
              <w:rPr>
                <w:sz w:val="20"/>
                <w:szCs w:val="20"/>
              </w:rPr>
              <w:t xml:space="preserve">Annual </w:t>
            </w:r>
            <w:r w:rsidR="00B47E3F">
              <w:rPr>
                <w:sz w:val="20"/>
                <w:szCs w:val="20"/>
              </w:rPr>
              <w:t>Progress Report</w:t>
            </w:r>
            <w:r w:rsidR="009848F8" w:rsidRPr="000A6A74">
              <w:rPr>
                <w:sz w:val="20"/>
                <w:szCs w:val="20"/>
              </w:rPr>
              <w:t xml:space="preserve">  </w:t>
            </w:r>
          </w:p>
        </w:tc>
        <w:tc>
          <w:tcPr>
            <w:tcW w:w="3718" w:type="pct"/>
            <w:gridSpan w:val="2"/>
            <w:shd w:val="clear" w:color="auto" w:fill="FFFFFF" w:themeFill="background1"/>
          </w:tcPr>
          <w:p w14:paraId="02AEF261" w14:textId="3D5BB6F4" w:rsidR="009848F8" w:rsidRPr="000A6A74" w:rsidRDefault="00F138FE" w:rsidP="00F91265">
            <w:pPr>
              <w:rPr>
                <w:sz w:val="20"/>
                <w:szCs w:val="20"/>
              </w:rPr>
            </w:pPr>
            <w:r w:rsidRPr="006E1B40">
              <w:rPr>
                <w:rFonts w:cstheme="minorHAnsi"/>
                <w:color w:val="000000"/>
                <w:sz w:val="20"/>
                <w:szCs w:val="20"/>
              </w:rPr>
              <w:t xml:space="preserve">One important lessons that emerged over the course of the three-year project period was that capabilities and capacities of GFPs varies significant across ministries and related departments, revealing a gap in technical support from the MWYCFA. GFPs needs range from access to effective and easy-to-deliver IEC products related to the FPA 2014 and EVAW Policy 2016-2020, through to specific technical support on developing gender aware and gender mainstreaming policies, as well more training on human rights-based and gender responsive lens from which to address budgeting and resource allocation within ministries and related departments. Among the six relevant ministries, three more capable GFPs – MHMS, MEHRD, and Ministry of Environment, Climate Change, Disaster Management and Meteorology (MECDM) – have had significant development and donor partner investment to support gender aware and gender mainstreaming policies. Ultimately, the M&amp;E process for the UN-SIG JP on EVAWG highlighted significant technical gaps. </w:t>
            </w:r>
            <w:r w:rsidRPr="006E1B40">
              <w:rPr>
                <w:rFonts w:cstheme="minorHAnsi"/>
                <w:sz w:val="20"/>
                <w:szCs w:val="20"/>
              </w:rPr>
              <w:t xml:space="preserve">In August 2017, the MWYCFA with technical assistance from UN Women conducted a one-day workshop for GFPs on the EVAW Policy and M&amp;E tools where challenges faced by GFPs were against discussed. Given the challenges faced by GFPs, the MWYCFA was planning to take steps to attempt to address some of these challenges in partnership with the SIG and relevant ministries. </w:t>
            </w:r>
          </w:p>
        </w:tc>
      </w:tr>
    </w:tbl>
    <w:p w14:paraId="4EBC2605" w14:textId="77777777" w:rsidR="00E36BAE" w:rsidRDefault="00E36BAE" w:rsidP="00C42B7B">
      <w:pPr>
        <w:spacing w:after="0" w:line="240" w:lineRule="auto"/>
        <w:rPr>
          <w:sz w:val="20"/>
          <w:szCs w:val="20"/>
        </w:rPr>
      </w:pPr>
    </w:p>
    <w:p w14:paraId="230B6A6C" w14:textId="77777777" w:rsidR="00242E97" w:rsidRPr="000A6A74" w:rsidRDefault="00242E97" w:rsidP="00C42B7B">
      <w:pPr>
        <w:spacing w:after="0" w:line="240" w:lineRule="auto"/>
        <w:rPr>
          <w:sz w:val="20"/>
          <w:szCs w:val="20"/>
        </w:rPr>
      </w:pPr>
      <w:r w:rsidRPr="000A6A74">
        <w:rPr>
          <w:sz w:val="20"/>
          <w:szCs w:val="20"/>
        </w:rPr>
        <w:t>-----------------------------------------------------------------------------------------------</w:t>
      </w:r>
    </w:p>
    <w:p w14:paraId="07FE68E9" w14:textId="77777777" w:rsidR="009848F8" w:rsidRPr="000A6A74" w:rsidRDefault="009848F8" w:rsidP="009848F8">
      <w:pPr>
        <w:pStyle w:val="Heading2"/>
        <w:rPr>
          <w:rFonts w:asciiTheme="minorHAnsi" w:hAnsiTheme="minorHAnsi"/>
          <w:sz w:val="20"/>
          <w:szCs w:val="20"/>
        </w:rPr>
      </w:pPr>
      <w:bookmarkStart w:id="20" w:name="_Toc355636240"/>
      <w:r w:rsidRPr="000A6A74">
        <w:rPr>
          <w:rFonts w:asciiTheme="minorHAnsi" w:hAnsiTheme="minorHAnsi"/>
          <w:sz w:val="20"/>
          <w:szCs w:val="20"/>
        </w:rPr>
        <w:t xml:space="preserve">Outputs under Outcome </w:t>
      </w:r>
      <w:r>
        <w:rPr>
          <w:rFonts w:asciiTheme="minorHAnsi" w:hAnsiTheme="minorHAnsi"/>
          <w:sz w:val="20"/>
          <w:szCs w:val="20"/>
        </w:rPr>
        <w:t>2</w:t>
      </w:r>
    </w:p>
    <w:p w14:paraId="460B648C" w14:textId="77777777" w:rsidR="009848F8" w:rsidRPr="000A6A74" w:rsidRDefault="009848F8" w:rsidP="009848F8">
      <w:pPr>
        <w:pStyle w:val="ListParagraph"/>
        <w:numPr>
          <w:ilvl w:val="0"/>
          <w:numId w:val="25"/>
        </w:numPr>
        <w:spacing w:after="0" w:line="240" w:lineRule="auto"/>
        <w:rPr>
          <w:sz w:val="20"/>
          <w:szCs w:val="20"/>
        </w:rPr>
      </w:pPr>
      <w:r w:rsidRPr="000A6A74">
        <w:rPr>
          <w:rStyle w:val="Heading3Char"/>
          <w:rFonts w:asciiTheme="minorHAnsi" w:hAnsiTheme="minorHAnsi"/>
          <w:sz w:val="20"/>
          <w:szCs w:val="20"/>
        </w:rPr>
        <w:t>Overall progress:</w:t>
      </w:r>
      <w:r w:rsidRPr="000A6A74">
        <w:rPr>
          <w:sz w:val="20"/>
          <w:szCs w:val="20"/>
        </w:rPr>
        <w:t xml:space="preserve"> Describe the current situation of the output and how it is contributing to (or hindering) the intended outcome(s). Please explain any difference in achieved versus planned outputs during the reporting period. If the project has not yet delivered this output, please describe the progress made thus far, including any unexpected circumstances that have contributed to (or hindered) the output. (</w:t>
      </w:r>
      <w:r w:rsidRPr="000A6A74">
        <w:rPr>
          <w:color w:val="FF0000"/>
          <w:sz w:val="20"/>
          <w:szCs w:val="20"/>
        </w:rPr>
        <w:t>maximum 250 words par output</w:t>
      </w:r>
      <w:r w:rsidRPr="000A6A74">
        <w:rPr>
          <w:sz w:val="20"/>
          <w:szCs w:val="20"/>
        </w:rPr>
        <w:t>)</w:t>
      </w:r>
    </w:p>
    <w:p w14:paraId="3E1D27A6" w14:textId="77777777" w:rsidR="009848F8" w:rsidRPr="000A6A74" w:rsidRDefault="009848F8" w:rsidP="009848F8">
      <w:pPr>
        <w:pStyle w:val="ListParagraph"/>
        <w:numPr>
          <w:ilvl w:val="0"/>
          <w:numId w:val="25"/>
        </w:numPr>
        <w:spacing w:after="0" w:line="240" w:lineRule="auto"/>
        <w:rPr>
          <w:sz w:val="20"/>
          <w:szCs w:val="20"/>
        </w:rPr>
      </w:pPr>
      <w:r w:rsidRPr="000A6A74">
        <w:rPr>
          <w:rStyle w:val="Heading3Char"/>
          <w:rFonts w:asciiTheme="minorHAnsi" w:hAnsiTheme="minorHAnsi"/>
          <w:sz w:val="20"/>
          <w:szCs w:val="20"/>
        </w:rPr>
        <w:t>Current status of output indicator:</w:t>
      </w:r>
      <w:r w:rsidRPr="000A6A74">
        <w:rPr>
          <w:sz w:val="20"/>
          <w:szCs w:val="20"/>
        </w:rPr>
        <w:t xml:space="preserve"> Please provide quantitative and/or qualitative data on the current status of each output indicator (</w:t>
      </w:r>
      <w:r w:rsidRPr="000A6A74">
        <w:rPr>
          <w:color w:val="FF0000"/>
          <w:sz w:val="20"/>
          <w:szCs w:val="20"/>
        </w:rPr>
        <w:t>maximum 50 words per cell</w:t>
      </w:r>
      <w:r w:rsidRPr="000A6A74">
        <w:rPr>
          <w:sz w:val="20"/>
          <w:szCs w:val="20"/>
        </w:rPr>
        <w:t xml:space="preserve">).  </w:t>
      </w:r>
      <w:r w:rsidRPr="000A6A74">
        <w:rPr>
          <w:color w:val="000000" w:themeColor="text1"/>
          <w:sz w:val="20"/>
          <w:szCs w:val="20"/>
          <w:u w:val="single"/>
        </w:rPr>
        <w:t>To avoid double counting from the previous report(s), please do not count the achieved outputs that have been already reported in the previous report(s).</w:t>
      </w:r>
    </w:p>
    <w:p w14:paraId="7F86EE82" w14:textId="77777777" w:rsidR="009848F8" w:rsidRPr="000A6A74" w:rsidRDefault="009848F8" w:rsidP="009848F8">
      <w:pPr>
        <w:pStyle w:val="Heading2"/>
        <w:rPr>
          <w:rFonts w:asciiTheme="minorHAnsi" w:hAnsiTheme="minorHAnsi"/>
          <w:sz w:val="20"/>
          <w:szCs w:val="20"/>
        </w:rPr>
      </w:pPr>
      <w:r w:rsidRPr="000A6A74">
        <w:rPr>
          <w:rFonts w:asciiTheme="minorHAnsi" w:hAnsiTheme="minorHAnsi"/>
          <w:sz w:val="20"/>
          <w:szCs w:val="20"/>
        </w:rPr>
        <w:t xml:space="preserve">Project Activities under the Output </w:t>
      </w:r>
    </w:p>
    <w:p w14:paraId="7678DDF2" w14:textId="77777777" w:rsidR="009848F8" w:rsidRPr="000A6A74" w:rsidRDefault="009848F8" w:rsidP="009848F8">
      <w:pPr>
        <w:pStyle w:val="ListParagraph"/>
        <w:numPr>
          <w:ilvl w:val="0"/>
          <w:numId w:val="25"/>
        </w:numPr>
        <w:spacing w:after="0" w:line="240" w:lineRule="auto"/>
        <w:rPr>
          <w:b/>
          <w:sz w:val="20"/>
          <w:szCs w:val="20"/>
        </w:rPr>
      </w:pPr>
      <w:r w:rsidRPr="000A6A74">
        <w:rPr>
          <w:rStyle w:val="Heading3Char"/>
          <w:rFonts w:asciiTheme="minorHAnsi" w:hAnsiTheme="minorHAnsi"/>
          <w:sz w:val="20"/>
          <w:szCs w:val="20"/>
        </w:rPr>
        <w:t>Activity Update</w:t>
      </w:r>
      <w:r w:rsidRPr="000A6A74">
        <w:rPr>
          <w:b/>
          <w:sz w:val="20"/>
          <w:szCs w:val="20"/>
        </w:rPr>
        <w:t xml:space="preserve">: </w:t>
      </w:r>
      <w:r w:rsidRPr="000A6A74">
        <w:rPr>
          <w:sz w:val="20"/>
          <w:szCs w:val="20"/>
        </w:rPr>
        <w:t>Please provide a brief description on the current status of each project activity.  If relevant, explain delays in activity implementation, the nature of the constraints, and the actions taken to mitigate future delays. (</w:t>
      </w:r>
      <w:r w:rsidRPr="000A6A74">
        <w:rPr>
          <w:color w:val="FF0000"/>
          <w:sz w:val="20"/>
          <w:szCs w:val="20"/>
        </w:rPr>
        <w:t>maximum 250 words</w:t>
      </w:r>
      <w:r w:rsidRPr="000A6A74">
        <w:rPr>
          <w:sz w:val="20"/>
          <w:szCs w:val="20"/>
        </w:rPr>
        <w:t xml:space="preserve">) </w:t>
      </w:r>
    </w:p>
    <w:p w14:paraId="15E77C56" w14:textId="77777777" w:rsidR="009848F8" w:rsidRPr="000A6A74" w:rsidRDefault="009848F8" w:rsidP="009848F8">
      <w:pPr>
        <w:spacing w:after="0" w:line="240" w:lineRule="auto"/>
        <w:ind w:left="360"/>
        <w:rPr>
          <w:sz w:val="20"/>
          <w:szCs w:val="20"/>
        </w:rPr>
      </w:pPr>
    </w:p>
    <w:tbl>
      <w:tblPr>
        <w:tblStyle w:val="TableGrid"/>
        <w:tblW w:w="5091" w:type="pct"/>
        <w:tblLook w:val="04A0" w:firstRow="1" w:lastRow="0" w:firstColumn="1" w:lastColumn="0" w:noHBand="0" w:noVBand="1"/>
      </w:tblPr>
      <w:tblGrid>
        <w:gridCol w:w="2709"/>
        <w:gridCol w:w="6005"/>
        <w:gridCol w:w="5241"/>
        <w:gridCol w:w="247"/>
      </w:tblGrid>
      <w:tr w:rsidR="009848F8" w:rsidRPr="000A6A74" w14:paraId="6D2CA9CE" w14:textId="77777777" w:rsidTr="00827039">
        <w:trPr>
          <w:gridAfter w:val="1"/>
          <w:wAfter w:w="87" w:type="pct"/>
        </w:trPr>
        <w:tc>
          <w:tcPr>
            <w:tcW w:w="954" w:type="pct"/>
            <w:shd w:val="clear" w:color="auto" w:fill="EAF1DD" w:themeFill="accent3" w:themeFillTint="33"/>
          </w:tcPr>
          <w:p w14:paraId="6C99A69D" w14:textId="77777777" w:rsidR="009848F8" w:rsidRPr="000A6A74" w:rsidRDefault="009848F8" w:rsidP="009848F8">
            <w:pPr>
              <w:rPr>
                <w:b/>
                <w:sz w:val="20"/>
                <w:szCs w:val="20"/>
              </w:rPr>
            </w:pPr>
            <w:r w:rsidRPr="000A6A74">
              <w:rPr>
                <w:b/>
                <w:sz w:val="20"/>
                <w:szCs w:val="20"/>
              </w:rPr>
              <w:t xml:space="preserve">Output </w:t>
            </w:r>
            <w:r>
              <w:rPr>
                <w:b/>
                <w:sz w:val="20"/>
                <w:szCs w:val="20"/>
              </w:rPr>
              <w:t>2</w:t>
            </w:r>
            <w:r w:rsidRPr="000A6A74">
              <w:rPr>
                <w:b/>
                <w:sz w:val="20"/>
                <w:szCs w:val="20"/>
              </w:rPr>
              <w:t>.1</w:t>
            </w:r>
          </w:p>
        </w:tc>
        <w:tc>
          <w:tcPr>
            <w:tcW w:w="3959" w:type="pct"/>
            <w:gridSpan w:val="2"/>
            <w:shd w:val="clear" w:color="auto" w:fill="EAF1DD" w:themeFill="accent3" w:themeFillTint="33"/>
          </w:tcPr>
          <w:p w14:paraId="5D99B7CA" w14:textId="77777777" w:rsidR="009848F8" w:rsidRPr="00F82F91" w:rsidRDefault="00B648D2" w:rsidP="00576C68">
            <w:pPr>
              <w:autoSpaceDE w:val="0"/>
              <w:autoSpaceDN w:val="0"/>
              <w:adjustRightInd w:val="0"/>
              <w:rPr>
                <w:color w:val="FF0000"/>
                <w:sz w:val="20"/>
                <w:szCs w:val="20"/>
              </w:rPr>
            </w:pPr>
            <w:r w:rsidRPr="00F82F91">
              <w:rPr>
                <w:rFonts w:cs="CalibriRegular"/>
                <w:color w:val="1C1C1C"/>
                <w:sz w:val="20"/>
                <w:szCs w:val="20"/>
              </w:rPr>
              <w:t>Frontline service providers are able to deliver essential services to survivors of VAWG, and in a more coordinated manner</w:t>
            </w:r>
          </w:p>
        </w:tc>
      </w:tr>
      <w:tr w:rsidR="009848F8" w:rsidRPr="000A6A74" w14:paraId="5D3970E6" w14:textId="77777777" w:rsidTr="00827039">
        <w:trPr>
          <w:gridAfter w:val="1"/>
          <w:wAfter w:w="87" w:type="pct"/>
        </w:trPr>
        <w:tc>
          <w:tcPr>
            <w:tcW w:w="954" w:type="pct"/>
            <w:tcBorders>
              <w:bottom w:val="single" w:sz="4" w:space="0" w:color="auto"/>
            </w:tcBorders>
            <w:shd w:val="clear" w:color="auto" w:fill="EAF1DD" w:themeFill="accent3" w:themeFillTint="33"/>
          </w:tcPr>
          <w:p w14:paraId="657B337A" w14:textId="77777777" w:rsidR="009848F8" w:rsidRPr="000A6A74" w:rsidRDefault="009848F8" w:rsidP="00B2727F">
            <w:pPr>
              <w:rPr>
                <w:sz w:val="20"/>
                <w:szCs w:val="20"/>
              </w:rPr>
            </w:pPr>
            <w:r w:rsidRPr="000A6A74">
              <w:rPr>
                <w:sz w:val="20"/>
                <w:szCs w:val="20"/>
              </w:rPr>
              <w:t xml:space="preserve">Reporting period: </w:t>
            </w:r>
          </w:p>
          <w:p w14:paraId="4272C209" w14:textId="7CDB21F5" w:rsidR="009848F8" w:rsidRPr="000A6A74" w:rsidRDefault="00476BE2" w:rsidP="00576C68">
            <w:pPr>
              <w:rPr>
                <w:b/>
                <w:sz w:val="20"/>
                <w:szCs w:val="20"/>
              </w:rPr>
            </w:pPr>
            <w:r>
              <w:rPr>
                <w:sz w:val="20"/>
                <w:szCs w:val="20"/>
              </w:rPr>
              <w:t>Y3</w:t>
            </w:r>
            <w:r w:rsidR="00B47E3F">
              <w:rPr>
                <w:sz w:val="20"/>
                <w:szCs w:val="20"/>
              </w:rPr>
              <w:t xml:space="preserve"> </w:t>
            </w:r>
            <w:r w:rsidR="007A25A6">
              <w:rPr>
                <w:sz w:val="20"/>
                <w:szCs w:val="20"/>
              </w:rPr>
              <w:t xml:space="preserve">Annual </w:t>
            </w:r>
            <w:r w:rsidR="00B47E3F">
              <w:rPr>
                <w:sz w:val="20"/>
                <w:szCs w:val="20"/>
              </w:rPr>
              <w:t>Progress Report</w:t>
            </w:r>
          </w:p>
        </w:tc>
        <w:tc>
          <w:tcPr>
            <w:tcW w:w="3959" w:type="pct"/>
            <w:gridSpan w:val="2"/>
            <w:tcBorders>
              <w:bottom w:val="single" w:sz="4" w:space="0" w:color="auto"/>
            </w:tcBorders>
            <w:shd w:val="clear" w:color="auto" w:fill="auto"/>
          </w:tcPr>
          <w:p w14:paraId="2C3736AE" w14:textId="5BF50DAF" w:rsidR="00FC106B" w:rsidRPr="00725049" w:rsidRDefault="00F73137" w:rsidP="00725049">
            <w:pPr>
              <w:pStyle w:val="NormalWeb"/>
              <w:rPr>
                <w:color w:val="FF0000"/>
                <w:sz w:val="20"/>
                <w:szCs w:val="20"/>
              </w:rPr>
            </w:pPr>
            <w:r w:rsidRPr="00725049">
              <w:rPr>
                <w:rFonts w:cstheme="minorHAnsi"/>
                <w:sz w:val="20"/>
                <w:szCs w:val="20"/>
              </w:rPr>
              <w:t>In 2017, the UN Women provided technical assistance to support the SAFENET Referral Network to develop a case</w:t>
            </w:r>
            <w:r w:rsidRPr="00725049">
              <w:rPr>
                <w:sz w:val="20"/>
                <w:szCs w:val="20"/>
              </w:rPr>
              <w:t xml:space="preserve"> management framework and formalized referral system, and worked to develop the capacities of FSC to carry out case management for the SAFENET Referral Network. This consultant was currently in the process of undertaking the baseline assessment needed for the JP to deliver an ESP to VAWG survivors, which is an extension of the UN-SIG JP on EVAW.</w:t>
            </w:r>
          </w:p>
        </w:tc>
      </w:tr>
      <w:tr w:rsidR="00576C68" w:rsidRPr="000A6A74" w14:paraId="559CC416" w14:textId="77777777" w:rsidTr="00827039">
        <w:trPr>
          <w:gridAfter w:val="1"/>
          <w:wAfter w:w="87" w:type="pct"/>
        </w:trPr>
        <w:tc>
          <w:tcPr>
            <w:tcW w:w="954" w:type="pct"/>
            <w:tcBorders>
              <w:left w:val="nil"/>
              <w:bottom w:val="nil"/>
              <w:right w:val="nil"/>
            </w:tcBorders>
            <w:shd w:val="clear" w:color="auto" w:fill="FFFFFF" w:themeFill="background1"/>
          </w:tcPr>
          <w:p w14:paraId="7FAD1087" w14:textId="77777777" w:rsidR="00576C68" w:rsidRPr="000A6A74" w:rsidRDefault="00576C68" w:rsidP="00B2727F">
            <w:pPr>
              <w:rPr>
                <w:sz w:val="20"/>
                <w:szCs w:val="20"/>
              </w:rPr>
            </w:pPr>
          </w:p>
        </w:tc>
        <w:tc>
          <w:tcPr>
            <w:tcW w:w="3959" w:type="pct"/>
            <w:gridSpan w:val="2"/>
            <w:tcBorders>
              <w:left w:val="nil"/>
              <w:bottom w:val="nil"/>
              <w:right w:val="nil"/>
            </w:tcBorders>
            <w:shd w:val="clear" w:color="auto" w:fill="FFFFFF" w:themeFill="background1"/>
          </w:tcPr>
          <w:p w14:paraId="2D5FF73E" w14:textId="77777777" w:rsidR="00576C68" w:rsidRPr="000A6A74" w:rsidRDefault="00576C68" w:rsidP="00B2727F">
            <w:pPr>
              <w:rPr>
                <w:color w:val="000000" w:themeColor="text1"/>
                <w:sz w:val="20"/>
                <w:szCs w:val="20"/>
              </w:rPr>
            </w:pPr>
          </w:p>
        </w:tc>
      </w:tr>
      <w:tr w:rsidR="00576C68" w:rsidRPr="000A6A74" w14:paraId="08B5BA2F" w14:textId="77777777" w:rsidTr="00827039">
        <w:tc>
          <w:tcPr>
            <w:tcW w:w="954" w:type="pct"/>
            <w:tcBorders>
              <w:top w:val="nil"/>
              <w:left w:val="nil"/>
              <w:right w:val="nil"/>
            </w:tcBorders>
            <w:shd w:val="clear" w:color="auto" w:fill="FFFFFF" w:themeFill="background1"/>
          </w:tcPr>
          <w:p w14:paraId="7A1B7387" w14:textId="77777777" w:rsidR="00576C68" w:rsidRPr="000A6A74" w:rsidRDefault="00576C68" w:rsidP="00B2727F">
            <w:pPr>
              <w:rPr>
                <w:sz w:val="20"/>
                <w:szCs w:val="20"/>
              </w:rPr>
            </w:pPr>
          </w:p>
        </w:tc>
        <w:tc>
          <w:tcPr>
            <w:tcW w:w="3959" w:type="pct"/>
            <w:gridSpan w:val="2"/>
            <w:tcBorders>
              <w:top w:val="nil"/>
              <w:left w:val="nil"/>
              <w:right w:val="nil"/>
            </w:tcBorders>
            <w:shd w:val="clear" w:color="auto" w:fill="auto"/>
          </w:tcPr>
          <w:p w14:paraId="0A2C05B2" w14:textId="77777777" w:rsidR="00576C68" w:rsidRPr="000A6A74" w:rsidRDefault="00576C68" w:rsidP="00B2727F">
            <w:pPr>
              <w:rPr>
                <w:color w:val="000000" w:themeColor="text1"/>
                <w:sz w:val="20"/>
                <w:szCs w:val="20"/>
              </w:rPr>
            </w:pPr>
          </w:p>
        </w:tc>
        <w:tc>
          <w:tcPr>
            <w:tcW w:w="87" w:type="pct"/>
            <w:tcBorders>
              <w:top w:val="nil"/>
              <w:left w:val="nil"/>
              <w:bottom w:val="nil"/>
              <w:right w:val="nil"/>
            </w:tcBorders>
            <w:shd w:val="clear" w:color="auto" w:fill="auto"/>
          </w:tcPr>
          <w:p w14:paraId="55E336AF" w14:textId="77777777" w:rsidR="00576C68" w:rsidRPr="000A6A74" w:rsidRDefault="00576C68" w:rsidP="00B2727F">
            <w:pPr>
              <w:rPr>
                <w:color w:val="000000" w:themeColor="text1"/>
                <w:sz w:val="20"/>
                <w:szCs w:val="20"/>
              </w:rPr>
            </w:pPr>
          </w:p>
        </w:tc>
      </w:tr>
      <w:tr w:rsidR="00576C68" w:rsidRPr="000A6A74" w14:paraId="28932A65" w14:textId="77777777" w:rsidTr="00827039">
        <w:trPr>
          <w:gridAfter w:val="1"/>
          <w:wAfter w:w="87" w:type="pct"/>
        </w:trPr>
        <w:tc>
          <w:tcPr>
            <w:tcW w:w="954" w:type="pct"/>
            <w:vMerge w:val="restart"/>
            <w:shd w:val="clear" w:color="auto" w:fill="EAF1DD" w:themeFill="accent3" w:themeFillTint="33"/>
          </w:tcPr>
          <w:p w14:paraId="3EB4520D" w14:textId="77777777" w:rsidR="00576C68" w:rsidRPr="000A6A74" w:rsidRDefault="00576C68" w:rsidP="00B2727F">
            <w:pPr>
              <w:rPr>
                <w:b/>
                <w:sz w:val="20"/>
                <w:szCs w:val="20"/>
              </w:rPr>
            </w:pPr>
            <w:r w:rsidRPr="000A6A74">
              <w:rPr>
                <w:b/>
                <w:sz w:val="20"/>
                <w:szCs w:val="20"/>
              </w:rPr>
              <w:t>Output Indicator Update</w:t>
            </w:r>
          </w:p>
        </w:tc>
        <w:tc>
          <w:tcPr>
            <w:tcW w:w="3959" w:type="pct"/>
            <w:gridSpan w:val="2"/>
            <w:tcBorders>
              <w:bottom w:val="single" w:sz="4" w:space="0" w:color="auto"/>
            </w:tcBorders>
            <w:shd w:val="clear" w:color="auto" w:fill="EAF1DD" w:themeFill="accent3" w:themeFillTint="33"/>
          </w:tcPr>
          <w:p w14:paraId="26BC804F" w14:textId="27628C58" w:rsidR="00576C68" w:rsidRPr="000A6A74" w:rsidRDefault="00576C68" w:rsidP="004326D4">
            <w:pPr>
              <w:rPr>
                <w:sz w:val="20"/>
                <w:szCs w:val="20"/>
              </w:rPr>
            </w:pPr>
            <w:r w:rsidRPr="000A6A74">
              <w:rPr>
                <w:sz w:val="20"/>
                <w:szCs w:val="20"/>
              </w:rPr>
              <w:t xml:space="preserve">Reporting period: </w:t>
            </w:r>
            <w:r w:rsidR="00476BE2">
              <w:rPr>
                <w:sz w:val="20"/>
                <w:szCs w:val="20"/>
              </w:rPr>
              <w:t>Y3</w:t>
            </w:r>
            <w:r w:rsidRPr="000A6A74">
              <w:rPr>
                <w:sz w:val="20"/>
                <w:szCs w:val="20"/>
              </w:rPr>
              <w:t xml:space="preserve"> </w:t>
            </w:r>
            <w:r w:rsidR="004326D4">
              <w:rPr>
                <w:sz w:val="20"/>
                <w:szCs w:val="20"/>
              </w:rPr>
              <w:t xml:space="preserve">Annual </w:t>
            </w:r>
            <w:r w:rsidRPr="000A6A74">
              <w:rPr>
                <w:sz w:val="20"/>
                <w:szCs w:val="20"/>
              </w:rPr>
              <w:t xml:space="preserve">Progress Report   </w:t>
            </w:r>
          </w:p>
        </w:tc>
      </w:tr>
      <w:tr w:rsidR="00576C68" w:rsidRPr="000A6A74" w14:paraId="1FC17942" w14:textId="77777777" w:rsidTr="00827039">
        <w:trPr>
          <w:gridAfter w:val="1"/>
          <w:wAfter w:w="87" w:type="pct"/>
        </w:trPr>
        <w:tc>
          <w:tcPr>
            <w:tcW w:w="954" w:type="pct"/>
            <w:vMerge/>
            <w:shd w:val="clear" w:color="auto" w:fill="EAF1DD" w:themeFill="accent3" w:themeFillTint="33"/>
          </w:tcPr>
          <w:p w14:paraId="30CE3A69" w14:textId="77777777" w:rsidR="00576C68" w:rsidRPr="000A6A74" w:rsidRDefault="00576C68" w:rsidP="00B2727F">
            <w:pPr>
              <w:rPr>
                <w:b/>
                <w:sz w:val="20"/>
                <w:szCs w:val="20"/>
              </w:rPr>
            </w:pPr>
          </w:p>
        </w:tc>
        <w:tc>
          <w:tcPr>
            <w:tcW w:w="2114" w:type="pct"/>
            <w:tcBorders>
              <w:bottom w:val="single" w:sz="4" w:space="0" w:color="auto"/>
            </w:tcBorders>
            <w:shd w:val="clear" w:color="auto" w:fill="EAF1DD" w:themeFill="accent3" w:themeFillTint="33"/>
          </w:tcPr>
          <w:p w14:paraId="72A3A030" w14:textId="77777777" w:rsidR="00576C68" w:rsidRPr="000A6A74" w:rsidRDefault="00576C68" w:rsidP="00B2727F">
            <w:pPr>
              <w:rPr>
                <w:b/>
                <w:sz w:val="20"/>
                <w:szCs w:val="20"/>
              </w:rPr>
            </w:pPr>
            <w:r w:rsidRPr="000A6A74">
              <w:rPr>
                <w:b/>
                <w:sz w:val="20"/>
                <w:szCs w:val="20"/>
              </w:rPr>
              <w:t xml:space="preserve">Quantitative Information </w:t>
            </w:r>
          </w:p>
        </w:tc>
        <w:tc>
          <w:tcPr>
            <w:tcW w:w="1845" w:type="pct"/>
            <w:tcBorders>
              <w:bottom w:val="single" w:sz="4" w:space="0" w:color="auto"/>
            </w:tcBorders>
            <w:shd w:val="clear" w:color="auto" w:fill="EAF1DD" w:themeFill="accent3" w:themeFillTint="33"/>
          </w:tcPr>
          <w:p w14:paraId="0A454DAC" w14:textId="77777777" w:rsidR="00576C68" w:rsidRPr="000A6A74" w:rsidRDefault="00576C68" w:rsidP="00B2727F">
            <w:pPr>
              <w:rPr>
                <w:b/>
                <w:sz w:val="20"/>
                <w:szCs w:val="20"/>
              </w:rPr>
            </w:pPr>
            <w:r w:rsidRPr="000A6A74">
              <w:rPr>
                <w:b/>
                <w:sz w:val="20"/>
                <w:szCs w:val="20"/>
              </w:rPr>
              <w:t xml:space="preserve">Qualitative Information </w:t>
            </w:r>
          </w:p>
        </w:tc>
      </w:tr>
      <w:tr w:rsidR="00D50535" w:rsidRPr="000A6A74" w14:paraId="2EA1FEF7" w14:textId="77777777" w:rsidTr="00827039">
        <w:trPr>
          <w:gridAfter w:val="1"/>
          <w:wAfter w:w="87" w:type="pct"/>
        </w:trPr>
        <w:tc>
          <w:tcPr>
            <w:tcW w:w="954" w:type="pct"/>
            <w:shd w:val="clear" w:color="auto" w:fill="EAF1DD" w:themeFill="accent3" w:themeFillTint="33"/>
          </w:tcPr>
          <w:p w14:paraId="5C558E2D" w14:textId="77777777" w:rsidR="00D50535" w:rsidRPr="00576C68" w:rsidRDefault="00D50535" w:rsidP="00D50535">
            <w:pPr>
              <w:autoSpaceDE w:val="0"/>
              <w:autoSpaceDN w:val="0"/>
              <w:adjustRightInd w:val="0"/>
              <w:rPr>
                <w:sz w:val="20"/>
                <w:szCs w:val="20"/>
              </w:rPr>
            </w:pPr>
            <w:r w:rsidRPr="00576C68">
              <w:rPr>
                <w:b/>
                <w:sz w:val="20"/>
                <w:szCs w:val="20"/>
              </w:rPr>
              <w:t>Output Indicator 1:</w:t>
            </w:r>
            <w:r w:rsidRPr="00576C68">
              <w:rPr>
                <w:sz w:val="20"/>
                <w:szCs w:val="20"/>
              </w:rPr>
              <w:t xml:space="preserve"> </w:t>
            </w:r>
            <w:r w:rsidRPr="00B648D2">
              <w:rPr>
                <w:sz w:val="20"/>
                <w:szCs w:val="20"/>
              </w:rPr>
              <w:t xml:space="preserve">Percentage of frontline </w:t>
            </w:r>
            <w:r>
              <w:rPr>
                <w:sz w:val="20"/>
                <w:szCs w:val="20"/>
              </w:rPr>
              <w:t>service providers who</w:t>
            </w:r>
            <w:r w:rsidRPr="00B648D2">
              <w:rPr>
                <w:sz w:val="20"/>
                <w:szCs w:val="20"/>
              </w:rPr>
              <w:t xml:space="preserve"> demonstrate</w:t>
            </w:r>
            <w:r>
              <w:rPr>
                <w:sz w:val="20"/>
                <w:szCs w:val="20"/>
              </w:rPr>
              <w:t xml:space="preserve"> </w:t>
            </w:r>
            <w:r w:rsidRPr="00B648D2">
              <w:rPr>
                <w:sz w:val="20"/>
                <w:szCs w:val="20"/>
              </w:rPr>
              <w:lastRenderedPageBreak/>
              <w:t>improved knowledge,</w:t>
            </w:r>
            <w:r>
              <w:rPr>
                <w:sz w:val="20"/>
                <w:szCs w:val="20"/>
              </w:rPr>
              <w:t xml:space="preserve"> </w:t>
            </w:r>
            <w:r w:rsidRPr="00B648D2">
              <w:rPr>
                <w:sz w:val="20"/>
                <w:szCs w:val="20"/>
              </w:rPr>
              <w:t>attitudes, and skills to</w:t>
            </w:r>
            <w:r>
              <w:rPr>
                <w:sz w:val="20"/>
                <w:szCs w:val="20"/>
              </w:rPr>
              <w:t xml:space="preserve"> </w:t>
            </w:r>
            <w:r w:rsidRPr="00B648D2">
              <w:rPr>
                <w:sz w:val="20"/>
                <w:szCs w:val="20"/>
              </w:rPr>
              <w:t>coordinate effectively</w:t>
            </w:r>
            <w:r>
              <w:rPr>
                <w:sz w:val="20"/>
                <w:szCs w:val="20"/>
              </w:rPr>
              <w:t xml:space="preserve"> </w:t>
            </w:r>
            <w:r w:rsidRPr="00B648D2">
              <w:rPr>
                <w:sz w:val="20"/>
                <w:szCs w:val="20"/>
              </w:rPr>
              <w:t>within the referral system</w:t>
            </w:r>
          </w:p>
        </w:tc>
        <w:tc>
          <w:tcPr>
            <w:tcW w:w="2114" w:type="pct"/>
            <w:shd w:val="clear" w:color="auto" w:fill="FFFFFF" w:themeFill="background1"/>
          </w:tcPr>
          <w:p w14:paraId="593C2CD6" w14:textId="560E50A8" w:rsidR="00D50535" w:rsidRPr="00D50535" w:rsidRDefault="00D349B2" w:rsidP="00D50535">
            <w:pPr>
              <w:rPr>
                <w:sz w:val="20"/>
                <w:szCs w:val="20"/>
              </w:rPr>
            </w:pPr>
            <w:r w:rsidRPr="00A969E8">
              <w:rPr>
                <w:rFonts w:cstheme="minorHAnsi"/>
                <w:sz w:val="20"/>
                <w:szCs w:val="20"/>
              </w:rPr>
              <w:lastRenderedPageBreak/>
              <w:t xml:space="preserve">In 2016, during the midline assessment, the KAP Survey was administered to </w:t>
            </w:r>
            <w:r w:rsidRPr="00A969E8">
              <w:rPr>
                <w:sz w:val="20"/>
                <w:szCs w:val="20"/>
              </w:rPr>
              <w:t xml:space="preserve">16 frontline service providers from only one of the three CSO service provider organizations and GBV nurses at seven of </w:t>
            </w:r>
            <w:r w:rsidRPr="00A969E8">
              <w:rPr>
                <w:sz w:val="20"/>
                <w:szCs w:val="20"/>
              </w:rPr>
              <w:lastRenderedPageBreak/>
              <w:t xml:space="preserve">the eight health clinics in Honiara. This was only a small proportion of frontline service providers in Honiara, so the sample is not reflective of the population of service providers in Honiara. Despite the small sample size, it was found that 93.8% of respondents reported they had not received enough training to provide support or to work with VAWG survivors, and 50.0% held the belief that physical violence in the family is justified in some circumstances. In addition, 25.0% of respondents held the belief that a woman should tolerate some violence in her marriage in order to keep her family together, and 37.5% held the belief that if a woman is submissive to her husband there will be no family violence. Only 62.5% of respondents reported they would know how to safely intervene if they saw or heard about an incident of VAWG; yet, 93.8% reported they would know what to do if an adult woman reports and incident of VAWG, and 87.5% would know what to do if a child/girl reports an incident of VAWG. In addition, 93.8% of respondents knew about the FPA, but only 31.3% understood the FPA and how to use it to support women/girls who experience family violence, 18.8% received formal training on the FPA, and 12.5% used the FPA to provide support to women/girls who experience family violence. These findings are a one-time snapshot of knowledge, attitudes and skills of 16 frontline service providers in Honiara in 2016; these findings could not be compared to any other points in time because the KAP Survey was not administered in 2015 or in 2017. </w:t>
            </w:r>
          </w:p>
        </w:tc>
        <w:tc>
          <w:tcPr>
            <w:tcW w:w="1845" w:type="pct"/>
            <w:shd w:val="clear" w:color="auto" w:fill="FFFFFF" w:themeFill="background1"/>
          </w:tcPr>
          <w:p w14:paraId="158AC4B1" w14:textId="3B29622D" w:rsidR="00D349B2" w:rsidRPr="00725049" w:rsidRDefault="00D349B2" w:rsidP="00725049">
            <w:pPr>
              <w:autoSpaceDE w:val="0"/>
              <w:autoSpaceDN w:val="0"/>
              <w:adjustRightInd w:val="0"/>
              <w:jc w:val="both"/>
              <w:rPr>
                <w:sz w:val="20"/>
                <w:szCs w:val="20"/>
              </w:rPr>
            </w:pPr>
            <w:r w:rsidRPr="00725049">
              <w:rPr>
                <w:rFonts w:cstheme="minorHAnsi"/>
                <w:sz w:val="20"/>
                <w:szCs w:val="20"/>
              </w:rPr>
              <w:lastRenderedPageBreak/>
              <w:t xml:space="preserve">Over the three-year project period frontline service providers received various trainings, however, the KAP Survey was not </w:t>
            </w:r>
            <w:r w:rsidRPr="00725049">
              <w:rPr>
                <w:rFonts w:cstheme="minorHAnsi"/>
                <w:sz w:val="20"/>
                <w:szCs w:val="20"/>
              </w:rPr>
              <w:lastRenderedPageBreak/>
              <w:t xml:space="preserve">administered from year-to-year to frontline service providers, not even SAFENET members. </w:t>
            </w:r>
          </w:p>
          <w:p w14:paraId="790ACE87" w14:textId="77777777" w:rsidR="00D50535" w:rsidRPr="00D50535" w:rsidRDefault="00D50535" w:rsidP="00D50535">
            <w:pPr>
              <w:rPr>
                <w:sz w:val="20"/>
                <w:szCs w:val="20"/>
              </w:rPr>
            </w:pPr>
          </w:p>
        </w:tc>
      </w:tr>
      <w:tr w:rsidR="00576C68" w:rsidRPr="000A6A74" w14:paraId="48F3C64D" w14:textId="77777777" w:rsidTr="00827039">
        <w:trPr>
          <w:gridAfter w:val="1"/>
          <w:wAfter w:w="87" w:type="pct"/>
          <w:trHeight w:val="1682"/>
        </w:trPr>
        <w:tc>
          <w:tcPr>
            <w:tcW w:w="954" w:type="pct"/>
            <w:shd w:val="clear" w:color="auto" w:fill="EAF1DD" w:themeFill="accent3" w:themeFillTint="33"/>
          </w:tcPr>
          <w:p w14:paraId="17BF0F31" w14:textId="77777777" w:rsidR="00576C68" w:rsidRPr="00576C68" w:rsidRDefault="00576C68" w:rsidP="004326D4">
            <w:pPr>
              <w:autoSpaceDE w:val="0"/>
              <w:autoSpaceDN w:val="0"/>
              <w:adjustRightInd w:val="0"/>
              <w:rPr>
                <w:sz w:val="20"/>
                <w:szCs w:val="20"/>
              </w:rPr>
            </w:pPr>
            <w:r w:rsidRPr="00576C68">
              <w:rPr>
                <w:b/>
                <w:sz w:val="20"/>
                <w:szCs w:val="20"/>
              </w:rPr>
              <w:lastRenderedPageBreak/>
              <w:t>Output Indicator 2:</w:t>
            </w:r>
            <w:r w:rsidRPr="00576C68">
              <w:rPr>
                <w:sz w:val="20"/>
                <w:szCs w:val="20"/>
              </w:rPr>
              <w:t xml:space="preserve"> </w:t>
            </w:r>
            <w:r w:rsidR="00B648D2" w:rsidRPr="00B648D2">
              <w:rPr>
                <w:rFonts w:cs="CalibriRegular"/>
                <w:color w:val="1C1C1C"/>
                <w:sz w:val="20"/>
                <w:szCs w:val="20"/>
              </w:rPr>
              <w:t>Proportion of SAFENET</w:t>
            </w:r>
            <w:r w:rsidR="004326D4">
              <w:rPr>
                <w:rFonts w:cs="CalibriRegular"/>
                <w:color w:val="1C1C1C"/>
                <w:sz w:val="20"/>
                <w:szCs w:val="20"/>
              </w:rPr>
              <w:t xml:space="preserve"> </w:t>
            </w:r>
            <w:r w:rsidR="00B648D2" w:rsidRPr="00B648D2">
              <w:rPr>
                <w:rFonts w:cs="CalibriRegular"/>
                <w:color w:val="1C1C1C"/>
                <w:sz w:val="20"/>
                <w:szCs w:val="20"/>
              </w:rPr>
              <w:t>members (CCC, FSC,</w:t>
            </w:r>
            <w:r w:rsidR="004326D4">
              <w:rPr>
                <w:rFonts w:cs="CalibriRegular"/>
                <w:color w:val="1C1C1C"/>
                <w:sz w:val="20"/>
                <w:szCs w:val="20"/>
              </w:rPr>
              <w:t xml:space="preserve"> </w:t>
            </w:r>
            <w:r w:rsidR="00B648D2" w:rsidRPr="00B648D2">
              <w:rPr>
                <w:rFonts w:cs="CalibriRegular"/>
                <w:color w:val="1C1C1C"/>
                <w:sz w:val="20"/>
                <w:szCs w:val="20"/>
              </w:rPr>
              <w:t>RISPF, PSO, 4 x MHMS:</w:t>
            </w:r>
            <w:r w:rsidR="004326D4">
              <w:rPr>
                <w:rFonts w:cs="CalibriRegular"/>
                <w:color w:val="1C1C1C"/>
                <w:sz w:val="20"/>
                <w:szCs w:val="20"/>
              </w:rPr>
              <w:t xml:space="preserve"> </w:t>
            </w:r>
            <w:r w:rsidR="00B648D2" w:rsidRPr="00B648D2">
              <w:rPr>
                <w:rFonts w:cs="CalibriRegular"/>
                <w:color w:val="1C1C1C"/>
                <w:sz w:val="20"/>
                <w:szCs w:val="20"/>
              </w:rPr>
              <w:t>SWD,RH,IMH &amp; NRH)</w:t>
            </w:r>
            <w:r w:rsidR="004326D4">
              <w:rPr>
                <w:rFonts w:cs="CalibriRegular"/>
                <w:color w:val="1C1C1C"/>
                <w:sz w:val="20"/>
                <w:szCs w:val="20"/>
              </w:rPr>
              <w:t xml:space="preserve"> </w:t>
            </w:r>
            <w:r w:rsidR="00B648D2" w:rsidRPr="00B648D2">
              <w:rPr>
                <w:rFonts w:cs="CalibriRegular"/>
                <w:color w:val="1C1C1C"/>
                <w:sz w:val="20"/>
                <w:szCs w:val="20"/>
              </w:rPr>
              <w:t>contributing to</w:t>
            </w:r>
            <w:r w:rsidR="004326D4">
              <w:rPr>
                <w:rFonts w:cs="CalibriRegular"/>
                <w:color w:val="1C1C1C"/>
                <w:sz w:val="20"/>
                <w:szCs w:val="20"/>
              </w:rPr>
              <w:t xml:space="preserve"> </w:t>
            </w:r>
            <w:r w:rsidR="00B648D2" w:rsidRPr="00B648D2">
              <w:rPr>
                <w:rFonts w:cs="CalibriRegular"/>
                <w:color w:val="1C1C1C"/>
                <w:sz w:val="20"/>
                <w:szCs w:val="20"/>
              </w:rPr>
              <w:t>coordinated data</w:t>
            </w:r>
            <w:r w:rsidR="004326D4">
              <w:rPr>
                <w:rFonts w:cs="CalibriRegular"/>
                <w:color w:val="1C1C1C"/>
                <w:sz w:val="20"/>
                <w:szCs w:val="20"/>
              </w:rPr>
              <w:t xml:space="preserve"> </w:t>
            </w:r>
            <w:r w:rsidR="00B648D2" w:rsidRPr="00B648D2">
              <w:rPr>
                <w:rFonts w:cs="CalibriRegular"/>
                <w:color w:val="1C1C1C"/>
                <w:sz w:val="20"/>
                <w:szCs w:val="20"/>
              </w:rPr>
              <w:t>collection, case</w:t>
            </w:r>
            <w:r w:rsidR="004326D4">
              <w:rPr>
                <w:rFonts w:cs="CalibriRegular"/>
                <w:color w:val="1C1C1C"/>
                <w:sz w:val="20"/>
                <w:szCs w:val="20"/>
              </w:rPr>
              <w:t xml:space="preserve"> </w:t>
            </w:r>
            <w:r w:rsidR="00B648D2" w:rsidRPr="00B648D2">
              <w:rPr>
                <w:rFonts w:cs="CalibriRegular"/>
                <w:color w:val="1C1C1C"/>
                <w:sz w:val="20"/>
                <w:szCs w:val="20"/>
              </w:rPr>
              <w:t>management and referral</w:t>
            </w:r>
            <w:r w:rsidR="004326D4">
              <w:rPr>
                <w:rFonts w:cs="CalibriRegular"/>
                <w:color w:val="1C1C1C"/>
                <w:sz w:val="20"/>
                <w:szCs w:val="20"/>
              </w:rPr>
              <w:t xml:space="preserve"> </w:t>
            </w:r>
            <w:r w:rsidR="00B648D2" w:rsidRPr="00B648D2">
              <w:rPr>
                <w:rFonts w:cs="CalibriRegular"/>
                <w:color w:val="1C1C1C"/>
                <w:sz w:val="20"/>
                <w:szCs w:val="20"/>
              </w:rPr>
              <w:t>systems (including review</w:t>
            </w:r>
            <w:r w:rsidR="004326D4">
              <w:rPr>
                <w:rFonts w:cs="CalibriRegular"/>
                <w:color w:val="1C1C1C"/>
                <w:sz w:val="20"/>
                <w:szCs w:val="20"/>
              </w:rPr>
              <w:t xml:space="preserve"> </w:t>
            </w:r>
            <w:r w:rsidR="00B648D2" w:rsidRPr="00B648D2">
              <w:rPr>
                <w:rFonts w:cs="CalibriRegular"/>
                <w:color w:val="1C1C1C"/>
                <w:sz w:val="20"/>
                <w:szCs w:val="20"/>
              </w:rPr>
              <w:t>of case study)</w:t>
            </w:r>
          </w:p>
        </w:tc>
        <w:tc>
          <w:tcPr>
            <w:tcW w:w="2114" w:type="pct"/>
            <w:shd w:val="clear" w:color="auto" w:fill="FFFFFF" w:themeFill="background1"/>
          </w:tcPr>
          <w:p w14:paraId="17B68CE4" w14:textId="6E237CD2" w:rsidR="00576C68" w:rsidRPr="000A6A74" w:rsidRDefault="00D349B2" w:rsidP="00725049">
            <w:pPr>
              <w:autoSpaceDE w:val="0"/>
              <w:autoSpaceDN w:val="0"/>
              <w:adjustRightInd w:val="0"/>
              <w:jc w:val="both"/>
              <w:rPr>
                <w:sz w:val="20"/>
                <w:szCs w:val="20"/>
              </w:rPr>
            </w:pPr>
            <w:r w:rsidRPr="00A969E8">
              <w:rPr>
                <w:rFonts w:cstheme="minorHAnsi"/>
                <w:sz w:val="20"/>
                <w:szCs w:val="20"/>
              </w:rPr>
              <w:t xml:space="preserve">In terms of coordinated data collection, with technical assistance from UN Women, the SAFENET Referral Network was able to collect and compile monthly VAWG administrative data from each of the three CSO service providers, SWD, eight health clinics, the RSIPF Domestic Violence Unit and Sexual Violence Unit, and the PSO. This was a significant accomplishment as monthly VAWG administrative data was systematically collected for 33 months (January 2015 – September 2017) of the 36-month or three-year project period (January 2015 – December 2017). This monthly VAWG administrative data was compiled, analysed, and reported on by the UN Women MRE Specialist to the UN-SIG JP on EVAWG on a six- month and annual basis, and was included as longitudinal data in the baseline, midline, and endline reports. It was not clear that UN-SIG JP members or SAFENET members </w:t>
            </w:r>
            <w:r w:rsidRPr="00A969E8">
              <w:rPr>
                <w:rFonts w:cstheme="minorHAnsi"/>
                <w:sz w:val="20"/>
                <w:szCs w:val="20"/>
              </w:rPr>
              <w:lastRenderedPageBreak/>
              <w:t xml:space="preserve">used the VAWG administrative data in any way to inform programming, capacity building, or training. </w:t>
            </w:r>
          </w:p>
        </w:tc>
        <w:tc>
          <w:tcPr>
            <w:tcW w:w="1845" w:type="pct"/>
            <w:shd w:val="clear" w:color="auto" w:fill="FFFFFF" w:themeFill="background1"/>
          </w:tcPr>
          <w:p w14:paraId="5147C23F" w14:textId="0F1E8FBC" w:rsidR="00576C68" w:rsidRPr="000A6A74" w:rsidRDefault="00D349B2" w:rsidP="00725049">
            <w:pPr>
              <w:autoSpaceDE w:val="0"/>
              <w:autoSpaceDN w:val="0"/>
              <w:adjustRightInd w:val="0"/>
              <w:jc w:val="both"/>
              <w:rPr>
                <w:sz w:val="20"/>
                <w:szCs w:val="20"/>
              </w:rPr>
            </w:pPr>
            <w:r w:rsidRPr="00725049">
              <w:rPr>
                <w:rFonts w:cstheme="minorHAnsi"/>
                <w:sz w:val="20"/>
                <w:szCs w:val="20"/>
              </w:rPr>
              <w:lastRenderedPageBreak/>
              <w:t xml:space="preserve">It was not clear that these targets were met or that this indicator was ever accomplished. One of the challenges was that CARECOM did not convene regularly in 2015 or 2016. With technical assistance from UN Women, SAFENET members did agree upon a case management framework and referral system, and these were implemented in 2017 as part of a three-year pilot project for the new UN-SIG JP on ESP. In 2017, a standard referral form was developed with technical support from UN Women; however, it is not yet being used by SAFENET members. It did not appear that SAFENET members were producing individual quarterly reports on a set of measurable indicators of input, output, and impact or submitting those reports to CARECOM. </w:t>
            </w:r>
          </w:p>
        </w:tc>
      </w:tr>
      <w:tr w:rsidR="00576C68" w:rsidRPr="000A6A74" w14:paraId="32F06B4D" w14:textId="77777777" w:rsidTr="00827039">
        <w:trPr>
          <w:gridAfter w:val="1"/>
          <w:wAfter w:w="87" w:type="pct"/>
        </w:trPr>
        <w:tc>
          <w:tcPr>
            <w:tcW w:w="954" w:type="pct"/>
            <w:shd w:val="clear" w:color="auto" w:fill="EAF1DD" w:themeFill="accent3" w:themeFillTint="33"/>
          </w:tcPr>
          <w:p w14:paraId="4B0B4287" w14:textId="77777777" w:rsidR="00576C68" w:rsidRPr="00576C68" w:rsidRDefault="00576C68" w:rsidP="00B648D2">
            <w:pPr>
              <w:autoSpaceDE w:val="0"/>
              <w:autoSpaceDN w:val="0"/>
              <w:adjustRightInd w:val="0"/>
              <w:rPr>
                <w:sz w:val="20"/>
                <w:szCs w:val="20"/>
              </w:rPr>
            </w:pPr>
            <w:r w:rsidRPr="00576C68">
              <w:rPr>
                <w:b/>
                <w:sz w:val="20"/>
                <w:szCs w:val="20"/>
              </w:rPr>
              <w:t>Output Indicator 3:</w:t>
            </w:r>
            <w:r w:rsidRPr="00576C68">
              <w:rPr>
                <w:sz w:val="20"/>
                <w:szCs w:val="20"/>
              </w:rPr>
              <w:t xml:space="preserve"> </w:t>
            </w:r>
            <w:r w:rsidR="00B648D2" w:rsidRPr="00B648D2">
              <w:rPr>
                <w:rFonts w:cs="CalibriRegular"/>
                <w:color w:val="1C1C1C"/>
                <w:sz w:val="20"/>
                <w:szCs w:val="20"/>
              </w:rPr>
              <w:t>Number of EVAWG cases</w:t>
            </w:r>
            <w:r w:rsidR="00B648D2">
              <w:rPr>
                <w:rFonts w:cs="CalibriRegular"/>
                <w:color w:val="1C1C1C"/>
                <w:sz w:val="20"/>
                <w:szCs w:val="20"/>
              </w:rPr>
              <w:t xml:space="preserve"> </w:t>
            </w:r>
            <w:r w:rsidR="00B648D2" w:rsidRPr="00B648D2">
              <w:rPr>
                <w:rFonts w:cs="CalibriRegular"/>
                <w:color w:val="1C1C1C"/>
                <w:sz w:val="20"/>
                <w:szCs w:val="20"/>
              </w:rPr>
              <w:t>reviewed by the members</w:t>
            </w:r>
            <w:r w:rsidR="00B648D2">
              <w:rPr>
                <w:rFonts w:cs="CalibriRegular"/>
                <w:color w:val="1C1C1C"/>
                <w:sz w:val="20"/>
                <w:szCs w:val="20"/>
              </w:rPr>
              <w:t xml:space="preserve"> </w:t>
            </w:r>
            <w:r w:rsidR="00B648D2" w:rsidRPr="00B648D2">
              <w:rPr>
                <w:rFonts w:cs="CalibriRegular"/>
                <w:color w:val="1C1C1C"/>
                <w:sz w:val="20"/>
                <w:szCs w:val="20"/>
              </w:rPr>
              <w:t>in the last 6 months</w:t>
            </w:r>
          </w:p>
        </w:tc>
        <w:tc>
          <w:tcPr>
            <w:tcW w:w="2114" w:type="pct"/>
            <w:shd w:val="clear" w:color="auto" w:fill="FFFFFF" w:themeFill="background1"/>
          </w:tcPr>
          <w:p w14:paraId="0A04049F" w14:textId="6E6EA810" w:rsidR="00576C68" w:rsidRPr="000A6A74" w:rsidRDefault="00D349B2" w:rsidP="00725049">
            <w:pPr>
              <w:jc w:val="center"/>
              <w:rPr>
                <w:sz w:val="20"/>
                <w:szCs w:val="20"/>
              </w:rPr>
            </w:pPr>
            <w:r>
              <w:rPr>
                <w:sz w:val="20"/>
                <w:szCs w:val="20"/>
              </w:rPr>
              <w:t>NA</w:t>
            </w:r>
          </w:p>
        </w:tc>
        <w:tc>
          <w:tcPr>
            <w:tcW w:w="1845" w:type="pct"/>
            <w:shd w:val="clear" w:color="auto" w:fill="FFFFFF" w:themeFill="background1"/>
          </w:tcPr>
          <w:p w14:paraId="5731F77D" w14:textId="41DC00E9" w:rsidR="00576C68" w:rsidRPr="000A6A74" w:rsidRDefault="00D349B2" w:rsidP="00725049">
            <w:pPr>
              <w:autoSpaceDE w:val="0"/>
              <w:autoSpaceDN w:val="0"/>
              <w:adjustRightInd w:val="0"/>
              <w:jc w:val="both"/>
              <w:rPr>
                <w:sz w:val="20"/>
                <w:szCs w:val="20"/>
              </w:rPr>
            </w:pPr>
            <w:r w:rsidRPr="00725049">
              <w:rPr>
                <w:rFonts w:cstheme="minorHAnsi"/>
                <w:sz w:val="20"/>
                <w:szCs w:val="20"/>
              </w:rPr>
              <w:t>During the three-year project period SAFENET members did not hold case management meetings because they had no process or framework for case management; therefore, the targets related to this indicator were not met. A case management framework for the SAFENET Referral Network was discussed in 2016 and agreed upon in 2017 in consultation with SAFENET members and with technical support from UN Women. In the later part of 2017, the case management framework started to be piloted under the guise of the UN-SIG JP on ESP.</w:t>
            </w:r>
          </w:p>
        </w:tc>
      </w:tr>
    </w:tbl>
    <w:p w14:paraId="4C512A3C" w14:textId="79EFA3EC" w:rsidR="00827039" w:rsidRDefault="00827039"/>
    <w:tbl>
      <w:tblPr>
        <w:tblStyle w:val="TableGrid"/>
        <w:tblW w:w="4999" w:type="pct"/>
        <w:tblInd w:w="5" w:type="dxa"/>
        <w:tblLook w:val="04A0" w:firstRow="1" w:lastRow="0" w:firstColumn="1" w:lastColumn="0" w:noHBand="0" w:noVBand="1"/>
      </w:tblPr>
      <w:tblGrid>
        <w:gridCol w:w="2872"/>
        <w:gridCol w:w="5844"/>
        <w:gridCol w:w="5239"/>
      </w:tblGrid>
      <w:tr w:rsidR="00576C68" w:rsidRPr="000A6A74" w14:paraId="6479997A" w14:textId="77777777" w:rsidTr="00827039">
        <w:tc>
          <w:tcPr>
            <w:tcW w:w="1029" w:type="pct"/>
            <w:tcBorders>
              <w:top w:val="nil"/>
              <w:left w:val="nil"/>
              <w:right w:val="nil"/>
            </w:tcBorders>
            <w:shd w:val="clear" w:color="auto" w:fill="FFFFFF" w:themeFill="background1"/>
          </w:tcPr>
          <w:p w14:paraId="60CE21A7" w14:textId="77777777" w:rsidR="00576C68" w:rsidRPr="000A6A74" w:rsidRDefault="00576C68" w:rsidP="00B2727F">
            <w:pPr>
              <w:rPr>
                <w:b/>
                <w:sz w:val="20"/>
                <w:szCs w:val="20"/>
              </w:rPr>
            </w:pPr>
          </w:p>
        </w:tc>
        <w:tc>
          <w:tcPr>
            <w:tcW w:w="2094" w:type="pct"/>
            <w:tcBorders>
              <w:top w:val="nil"/>
              <w:left w:val="nil"/>
              <w:right w:val="nil"/>
            </w:tcBorders>
            <w:shd w:val="clear" w:color="auto" w:fill="FFFFFF" w:themeFill="background1"/>
          </w:tcPr>
          <w:p w14:paraId="5EEDE60C" w14:textId="77777777" w:rsidR="00576C68" w:rsidRPr="000A6A74" w:rsidRDefault="00576C68" w:rsidP="00B2727F">
            <w:pPr>
              <w:rPr>
                <w:sz w:val="20"/>
                <w:szCs w:val="20"/>
              </w:rPr>
            </w:pPr>
          </w:p>
        </w:tc>
        <w:tc>
          <w:tcPr>
            <w:tcW w:w="1878" w:type="pct"/>
            <w:tcBorders>
              <w:top w:val="nil"/>
              <w:left w:val="nil"/>
              <w:right w:val="nil"/>
            </w:tcBorders>
            <w:shd w:val="clear" w:color="auto" w:fill="FFFFFF" w:themeFill="background1"/>
          </w:tcPr>
          <w:p w14:paraId="679F4727" w14:textId="77777777" w:rsidR="00576C68" w:rsidRPr="000A6A74" w:rsidRDefault="00576C68" w:rsidP="00B2727F">
            <w:pPr>
              <w:rPr>
                <w:sz w:val="20"/>
                <w:szCs w:val="20"/>
              </w:rPr>
            </w:pPr>
          </w:p>
        </w:tc>
      </w:tr>
      <w:tr w:rsidR="009848F8" w:rsidRPr="000A6A74" w14:paraId="69855BE5" w14:textId="77777777" w:rsidTr="00827039">
        <w:tc>
          <w:tcPr>
            <w:tcW w:w="5000" w:type="pct"/>
            <w:gridSpan w:val="3"/>
            <w:shd w:val="clear" w:color="auto" w:fill="FBD4B4" w:themeFill="accent6" w:themeFillTint="66"/>
          </w:tcPr>
          <w:p w14:paraId="2801D642" w14:textId="77777777" w:rsidR="009848F8" w:rsidRPr="000A6A74" w:rsidRDefault="009848F8" w:rsidP="00B2727F">
            <w:pPr>
              <w:rPr>
                <w:b/>
                <w:sz w:val="20"/>
                <w:szCs w:val="20"/>
              </w:rPr>
            </w:pPr>
            <w:r w:rsidRPr="000A6A74">
              <w:rPr>
                <w:b/>
                <w:sz w:val="20"/>
                <w:szCs w:val="20"/>
              </w:rPr>
              <w:t xml:space="preserve">Activity Update </w:t>
            </w:r>
          </w:p>
        </w:tc>
      </w:tr>
      <w:tr w:rsidR="009848F8" w:rsidRPr="000A6A74" w14:paraId="30CEDB8D" w14:textId="77777777" w:rsidTr="00827039">
        <w:tc>
          <w:tcPr>
            <w:tcW w:w="5000" w:type="pct"/>
            <w:gridSpan w:val="3"/>
            <w:shd w:val="clear" w:color="auto" w:fill="FBD4B4" w:themeFill="accent6" w:themeFillTint="66"/>
          </w:tcPr>
          <w:p w14:paraId="3C2349B1" w14:textId="77777777" w:rsidR="009848F8" w:rsidRPr="000A6A74" w:rsidRDefault="009848F8" w:rsidP="00E66D17">
            <w:pPr>
              <w:autoSpaceDE w:val="0"/>
              <w:autoSpaceDN w:val="0"/>
              <w:adjustRightInd w:val="0"/>
              <w:rPr>
                <w:b/>
                <w:sz w:val="20"/>
                <w:szCs w:val="20"/>
              </w:rPr>
            </w:pPr>
            <w:r w:rsidRPr="00576C68">
              <w:rPr>
                <w:b/>
                <w:sz w:val="20"/>
                <w:szCs w:val="20"/>
              </w:rPr>
              <w:t xml:space="preserve">Activity 1: </w:t>
            </w:r>
            <w:r w:rsidR="00E66D17" w:rsidRPr="00E66D17">
              <w:rPr>
                <w:rFonts w:cs="CalibriRegular"/>
                <w:color w:val="1C1C1C"/>
                <w:sz w:val="20"/>
                <w:szCs w:val="20"/>
              </w:rPr>
              <w:t>Provide technical support for monitoring the co-ordination and</w:t>
            </w:r>
            <w:r w:rsidR="00E66D17">
              <w:rPr>
                <w:rFonts w:cs="CalibriRegular"/>
                <w:color w:val="1C1C1C"/>
                <w:sz w:val="20"/>
                <w:szCs w:val="20"/>
              </w:rPr>
              <w:t xml:space="preserve"> </w:t>
            </w:r>
            <w:r w:rsidR="00E66D17" w:rsidRPr="00E66D17">
              <w:rPr>
                <w:rFonts w:cs="CalibriRegular"/>
                <w:color w:val="1C1C1C"/>
                <w:sz w:val="20"/>
                <w:szCs w:val="20"/>
              </w:rPr>
              <w:t>implementation of the SAFENET MoU and protocol</w:t>
            </w:r>
          </w:p>
        </w:tc>
      </w:tr>
      <w:tr w:rsidR="009848F8" w:rsidRPr="000A6A74" w14:paraId="7D832DDB" w14:textId="77777777" w:rsidTr="00827039">
        <w:tc>
          <w:tcPr>
            <w:tcW w:w="1029" w:type="pct"/>
            <w:shd w:val="clear" w:color="auto" w:fill="FBD4B4" w:themeFill="accent6" w:themeFillTint="66"/>
          </w:tcPr>
          <w:p w14:paraId="0AC9784F" w14:textId="77777777" w:rsidR="009848F8" w:rsidRPr="000A6A74" w:rsidRDefault="009848F8" w:rsidP="00B2727F">
            <w:pPr>
              <w:rPr>
                <w:sz w:val="20"/>
                <w:szCs w:val="20"/>
              </w:rPr>
            </w:pPr>
            <w:r w:rsidRPr="000A6A74">
              <w:rPr>
                <w:sz w:val="20"/>
                <w:szCs w:val="20"/>
              </w:rPr>
              <w:t xml:space="preserve">Reporting period: </w:t>
            </w:r>
          </w:p>
          <w:p w14:paraId="6E191822" w14:textId="7864CCC3" w:rsidR="009848F8" w:rsidRPr="000A6A74" w:rsidRDefault="00476BE2" w:rsidP="00576C68">
            <w:pPr>
              <w:rPr>
                <w:color w:val="000000" w:themeColor="text1"/>
                <w:sz w:val="20"/>
                <w:szCs w:val="20"/>
              </w:rPr>
            </w:pPr>
            <w:r>
              <w:rPr>
                <w:sz w:val="20"/>
                <w:szCs w:val="20"/>
              </w:rPr>
              <w:t>Y3</w:t>
            </w:r>
            <w:r w:rsidR="00B47E3F">
              <w:rPr>
                <w:sz w:val="20"/>
                <w:szCs w:val="20"/>
              </w:rPr>
              <w:t xml:space="preserve"> </w:t>
            </w:r>
            <w:r w:rsidR="009C6909">
              <w:rPr>
                <w:sz w:val="20"/>
                <w:szCs w:val="20"/>
              </w:rPr>
              <w:t xml:space="preserve">Annual </w:t>
            </w:r>
            <w:r w:rsidR="00B47E3F">
              <w:rPr>
                <w:sz w:val="20"/>
                <w:szCs w:val="20"/>
              </w:rPr>
              <w:t>Progress Report</w:t>
            </w:r>
            <w:r w:rsidR="009848F8" w:rsidRPr="000A6A74">
              <w:rPr>
                <w:sz w:val="20"/>
                <w:szCs w:val="20"/>
              </w:rPr>
              <w:t xml:space="preserve">  </w:t>
            </w:r>
          </w:p>
        </w:tc>
        <w:tc>
          <w:tcPr>
            <w:tcW w:w="3971" w:type="pct"/>
            <w:gridSpan w:val="2"/>
            <w:shd w:val="clear" w:color="auto" w:fill="FFFFFF" w:themeFill="background1"/>
          </w:tcPr>
          <w:p w14:paraId="53BFBB59" w14:textId="21A2C2CB" w:rsidR="009848F8" w:rsidRPr="000A6A74" w:rsidRDefault="00F138FE" w:rsidP="00725049">
            <w:pPr>
              <w:pStyle w:val="NormalWeb"/>
              <w:shd w:val="clear" w:color="auto" w:fill="FFFFFF"/>
              <w:spacing w:before="0" w:beforeAutospacing="0" w:after="0" w:afterAutospacing="0"/>
              <w:jc w:val="both"/>
              <w:rPr>
                <w:sz w:val="20"/>
                <w:szCs w:val="20"/>
              </w:rPr>
            </w:pPr>
            <w:r w:rsidRPr="006E1B40">
              <w:rPr>
                <w:rFonts w:asciiTheme="minorHAnsi" w:hAnsiTheme="minorHAnsi" w:cstheme="minorHAnsi"/>
                <w:sz w:val="20"/>
                <w:szCs w:val="20"/>
              </w:rPr>
              <w:t xml:space="preserve">n 2016 and 2017, UN Women also provided technical assistance to CARECOM to monitor the coordination and implementation of the SAFENET MOU and Protocol, and to strengthen the capacity of SAFENET members to start up and deliver VAWG support services, including case management services offered by FSC and a formal referral system. This technical assistance led to the </w:t>
            </w:r>
            <w:r w:rsidRPr="006E1B40">
              <w:rPr>
                <w:rFonts w:asciiTheme="minorHAnsi" w:eastAsiaTheme="minorHAnsi" w:hAnsiTheme="minorHAnsi" w:cstheme="minorHAnsi"/>
                <w:sz w:val="20"/>
                <w:szCs w:val="20"/>
              </w:rPr>
              <w:t>development of a training and orientation manual on case management and referral pathways, a SAFENET case management practice guide, a revised MOU reflecting roles and responsibilities outlined in the FPA, a revised SOP, recommendations for SAFENET M&amp;E, targeted case</w:t>
            </w:r>
            <w:r w:rsidRPr="006E1B40">
              <w:rPr>
                <w:rFonts w:asciiTheme="minorHAnsi" w:hAnsiTheme="minorHAnsi" w:cstheme="minorHAnsi"/>
                <w:sz w:val="20"/>
                <w:szCs w:val="20"/>
              </w:rPr>
              <w:t xml:space="preserve"> management training and a capacity development report, and an updated SAFENET GBV manual with the case management modules. In 2017, UN Women was providing technical assistance to the SAFENET Referral Network and FSC to develop their capacities to effectively implement the case management framework and referral system. UN Women was also in the process of undertaking the baseline assessment needed for the UN-SIG JP on ESP, which is an extension of the UN-SIG JP on EVAWG. </w:t>
            </w:r>
          </w:p>
        </w:tc>
      </w:tr>
      <w:tr w:rsidR="009848F8" w:rsidRPr="000A6A74" w14:paraId="3B889524" w14:textId="77777777" w:rsidTr="00827039">
        <w:tc>
          <w:tcPr>
            <w:tcW w:w="5000" w:type="pct"/>
            <w:gridSpan w:val="3"/>
            <w:shd w:val="clear" w:color="auto" w:fill="FBD4B4" w:themeFill="accent6" w:themeFillTint="66"/>
          </w:tcPr>
          <w:p w14:paraId="2C83134F" w14:textId="77777777" w:rsidR="009848F8" w:rsidRPr="00E66D17" w:rsidRDefault="009848F8" w:rsidP="00E66D17">
            <w:pPr>
              <w:autoSpaceDE w:val="0"/>
              <w:autoSpaceDN w:val="0"/>
              <w:adjustRightInd w:val="0"/>
              <w:rPr>
                <w:sz w:val="20"/>
                <w:szCs w:val="20"/>
              </w:rPr>
            </w:pPr>
            <w:r w:rsidRPr="00576C68">
              <w:rPr>
                <w:b/>
                <w:sz w:val="20"/>
                <w:szCs w:val="20"/>
              </w:rPr>
              <w:t xml:space="preserve">Activity 2: </w:t>
            </w:r>
            <w:r w:rsidR="00E66D17" w:rsidRPr="00E66D17">
              <w:rPr>
                <w:rFonts w:cs="CalibriRegular"/>
                <w:color w:val="1C1C1C"/>
                <w:sz w:val="20"/>
                <w:szCs w:val="20"/>
              </w:rPr>
              <w:t>Strengthen data collection and analysis by SAFENET for use by police,</w:t>
            </w:r>
            <w:r w:rsidR="00E66D17">
              <w:rPr>
                <w:rFonts w:cs="CalibriRegular"/>
                <w:color w:val="1C1C1C"/>
                <w:sz w:val="20"/>
                <w:szCs w:val="20"/>
              </w:rPr>
              <w:t xml:space="preserve"> </w:t>
            </w:r>
            <w:r w:rsidR="00E66D17" w:rsidRPr="00E66D17">
              <w:rPr>
                <w:rFonts w:cs="CalibriRegular"/>
                <w:color w:val="1C1C1C"/>
                <w:sz w:val="20"/>
                <w:szCs w:val="20"/>
              </w:rPr>
              <w:t>judiciary, health and social welfare, including case management and data</w:t>
            </w:r>
            <w:r w:rsidR="00E66D17">
              <w:rPr>
                <w:rFonts w:cs="CalibriRegular"/>
                <w:color w:val="1C1C1C"/>
                <w:sz w:val="20"/>
                <w:szCs w:val="20"/>
              </w:rPr>
              <w:t xml:space="preserve"> </w:t>
            </w:r>
            <w:r w:rsidR="00E66D17" w:rsidRPr="00E66D17">
              <w:rPr>
                <w:rFonts w:cs="CalibriRegular"/>
                <w:color w:val="1C1C1C"/>
                <w:sz w:val="20"/>
                <w:szCs w:val="20"/>
              </w:rPr>
              <w:t>sharing on VAWG</w:t>
            </w:r>
          </w:p>
        </w:tc>
      </w:tr>
      <w:tr w:rsidR="009848F8" w:rsidRPr="000A6A74" w14:paraId="01F5B790" w14:textId="77777777" w:rsidTr="00827039">
        <w:tc>
          <w:tcPr>
            <w:tcW w:w="1029" w:type="pct"/>
            <w:shd w:val="clear" w:color="auto" w:fill="FBD4B4" w:themeFill="accent6" w:themeFillTint="66"/>
          </w:tcPr>
          <w:p w14:paraId="01CE5EF2" w14:textId="77777777" w:rsidR="009848F8" w:rsidRPr="000A6A74" w:rsidRDefault="009848F8" w:rsidP="00B2727F">
            <w:pPr>
              <w:rPr>
                <w:sz w:val="20"/>
                <w:szCs w:val="20"/>
              </w:rPr>
            </w:pPr>
            <w:r w:rsidRPr="000A6A74">
              <w:rPr>
                <w:sz w:val="20"/>
                <w:szCs w:val="20"/>
              </w:rPr>
              <w:t xml:space="preserve">Reporting period: </w:t>
            </w:r>
          </w:p>
          <w:p w14:paraId="651D2DB9" w14:textId="56526A57" w:rsidR="009848F8" w:rsidRPr="000A6A74" w:rsidRDefault="00476BE2" w:rsidP="00576C68">
            <w:pPr>
              <w:rPr>
                <w:color w:val="000000" w:themeColor="text1"/>
                <w:sz w:val="20"/>
                <w:szCs w:val="20"/>
              </w:rPr>
            </w:pPr>
            <w:r>
              <w:rPr>
                <w:sz w:val="20"/>
                <w:szCs w:val="20"/>
              </w:rPr>
              <w:t>Y3</w:t>
            </w:r>
            <w:r w:rsidR="00B47E3F">
              <w:rPr>
                <w:sz w:val="20"/>
                <w:szCs w:val="20"/>
              </w:rPr>
              <w:t xml:space="preserve"> </w:t>
            </w:r>
            <w:r w:rsidR="009C6909">
              <w:rPr>
                <w:sz w:val="20"/>
                <w:szCs w:val="20"/>
              </w:rPr>
              <w:t xml:space="preserve">Annual </w:t>
            </w:r>
            <w:r w:rsidR="00B47E3F">
              <w:rPr>
                <w:sz w:val="20"/>
                <w:szCs w:val="20"/>
              </w:rPr>
              <w:t>Progress Report</w:t>
            </w:r>
            <w:r w:rsidR="009848F8" w:rsidRPr="000A6A74">
              <w:rPr>
                <w:sz w:val="20"/>
                <w:szCs w:val="20"/>
              </w:rPr>
              <w:t xml:space="preserve">  </w:t>
            </w:r>
          </w:p>
        </w:tc>
        <w:tc>
          <w:tcPr>
            <w:tcW w:w="3971" w:type="pct"/>
            <w:gridSpan w:val="2"/>
            <w:shd w:val="clear" w:color="auto" w:fill="FFFFFF" w:themeFill="background1"/>
          </w:tcPr>
          <w:p w14:paraId="4B77BFA2" w14:textId="77777777" w:rsidR="00F138FE" w:rsidRPr="00725049" w:rsidRDefault="00F138FE" w:rsidP="00725049">
            <w:pPr>
              <w:autoSpaceDE w:val="0"/>
              <w:autoSpaceDN w:val="0"/>
              <w:adjustRightInd w:val="0"/>
              <w:jc w:val="both"/>
              <w:rPr>
                <w:rFonts w:cstheme="minorHAnsi"/>
                <w:sz w:val="20"/>
                <w:szCs w:val="20"/>
              </w:rPr>
            </w:pPr>
            <w:r w:rsidRPr="00725049">
              <w:rPr>
                <w:rFonts w:cstheme="minorHAnsi"/>
                <w:sz w:val="20"/>
                <w:szCs w:val="20"/>
              </w:rPr>
              <w:t xml:space="preserve">In terms of coordinated data collection, with technical assistance from UN Women, the SAFENET Referral Network was able to collect and compile monthly VAWG administrative data from each of the three CSO service providers, SWD, eight health clinics, the RSIPF Domestic Violence Unit and Sexual Violence Unit, and the PSO. This was a significant accomplishment as monthly VAWG administrative data was systematically collected for 33 months (January 2015 – September 2017) of the 36-month or three-year project period (January 2015 – December 2017). VAWG administrative data that was collected was extensive, including:  number of hotline class </w:t>
            </w:r>
            <w:r w:rsidRPr="00725049">
              <w:rPr>
                <w:rFonts w:cstheme="minorHAnsi"/>
                <w:sz w:val="20"/>
                <w:szCs w:val="20"/>
              </w:rPr>
              <w:lastRenderedPageBreak/>
              <w:t xml:space="preserve">related to VAWG and by type of caller; number of women and girls accessing VAWG services and by type of VAWG and service provider; number of women and girls accessing shelter for VAWG and by type of VAWG and service provider; number of domestic violence incidents registered by the police in Honiara and by province; number of PSNs issued by the police in Honiara and by province; number of sexual violence cases handlined by the Sexual Assault/Rape Unit and by type of sexual violence; number of sexual violence victims handlined by the Sexual Assault/Rape Unit by gender and age grouping; number of restraining orders issued to VAWG survivors; number of women and girls who sought medical care for VAWG-related injuries by type of VAWG and health clinic; and, number of VAWG survivors referred to/from agencies/organisations/centres. </w:t>
            </w:r>
          </w:p>
          <w:p w14:paraId="375F228F" w14:textId="77777777" w:rsidR="00F138FE" w:rsidRDefault="00F138FE" w:rsidP="00F138FE">
            <w:pPr>
              <w:jc w:val="both"/>
              <w:rPr>
                <w:rFonts w:cstheme="minorHAnsi"/>
                <w:sz w:val="20"/>
                <w:szCs w:val="20"/>
              </w:rPr>
            </w:pPr>
          </w:p>
          <w:p w14:paraId="0115B022" w14:textId="78F8E66D" w:rsidR="00F138FE" w:rsidRPr="006E1B40" w:rsidRDefault="00F138FE" w:rsidP="00725049">
            <w:pPr>
              <w:jc w:val="both"/>
              <w:rPr>
                <w:rFonts w:cstheme="minorHAnsi"/>
                <w:sz w:val="20"/>
                <w:szCs w:val="20"/>
              </w:rPr>
            </w:pPr>
            <w:r w:rsidRPr="006E1B40">
              <w:rPr>
                <w:rFonts w:cstheme="minorHAnsi"/>
                <w:sz w:val="20"/>
                <w:szCs w:val="20"/>
              </w:rPr>
              <w:t>In Solomon Islands, this was the first attempt to collect and compile VAWG administrative data from SAFENET members, and it was recognized by SAFENET</w:t>
            </w:r>
            <w:r>
              <w:rPr>
                <w:rFonts w:cstheme="minorHAnsi"/>
                <w:sz w:val="20"/>
                <w:szCs w:val="20"/>
              </w:rPr>
              <w:t xml:space="preserve"> </w:t>
            </w:r>
            <w:r w:rsidRPr="006E1B40">
              <w:rPr>
                <w:rFonts w:cstheme="minorHAnsi"/>
                <w:sz w:val="20"/>
                <w:szCs w:val="20"/>
              </w:rPr>
              <w:t xml:space="preserve">members as a significant accomplishment. All monthly longitudinal VAWG administrative data was charted and explained in the baseline, midline and endline reports for the UN-SIG JP on EVAWG. The endline report included monthly longitudinal data was presented in charts to reveal differences in data (reporting and registration) for before and after the launch of the FPA in April 2016, as well as calculations and reporting on the increases and decreases in annual numbers. Lesson learned from this activity is that the capacities to collect and compile this VAWG administrative data were retained by UN Women’s MRE Specialist; the SAFENET Coordinator and Referral Network would need increased technical assistance and capacity building to take on the roles and responsibilities of VAWG administrative data collection, compilation, and reporting, although the recognize the importance of the practice. </w:t>
            </w:r>
          </w:p>
          <w:p w14:paraId="028C61E1" w14:textId="77777777" w:rsidR="00F138FE" w:rsidRDefault="00F138FE" w:rsidP="00F138FE">
            <w:pPr>
              <w:pStyle w:val="Default"/>
              <w:jc w:val="both"/>
              <w:rPr>
                <w:rFonts w:asciiTheme="minorHAnsi" w:hAnsiTheme="minorHAnsi" w:cstheme="minorHAnsi"/>
                <w:sz w:val="20"/>
                <w:szCs w:val="20"/>
              </w:rPr>
            </w:pPr>
          </w:p>
          <w:p w14:paraId="41E7A3C0" w14:textId="7B8398DD" w:rsidR="00F138FE" w:rsidRPr="006E1B40" w:rsidRDefault="00F138FE" w:rsidP="00725049">
            <w:pPr>
              <w:pStyle w:val="Default"/>
              <w:jc w:val="both"/>
              <w:rPr>
                <w:rFonts w:asciiTheme="minorHAnsi" w:hAnsiTheme="minorHAnsi" w:cstheme="minorHAnsi"/>
                <w:sz w:val="20"/>
                <w:szCs w:val="20"/>
              </w:rPr>
            </w:pPr>
            <w:r w:rsidRPr="006E1B40">
              <w:rPr>
                <w:rFonts w:asciiTheme="minorHAnsi" w:hAnsiTheme="minorHAnsi" w:cstheme="minorHAnsi"/>
                <w:sz w:val="20"/>
                <w:szCs w:val="20"/>
              </w:rPr>
              <w:t>The Justice Information Management System (JIMS) is an Australian DFAT-funded initiative under its Justice Program. The JIMS is being used to varying degrees by the RSIPF, PSO, Office of the Director of Public Prosecutions, Magistrate Courts, the High Court, the National Judiciary (which is responsible for administering the courts), and the Correctional Services of Solomon Islands (CSSI). The RSIPF adapted data fields of the JIMS to be able to track calls entering its toll-free numbers and minimal data related to family violence-related calls. The JIMS has been approved for rollout by the Commissioner of the RSIPF and an application will be located on terminals of approved officers. Data fields will include such information as the numbers of cases which will enable tracking of cases across agencies.</w:t>
            </w:r>
          </w:p>
          <w:p w14:paraId="51BE55B3" w14:textId="77777777" w:rsidR="00F138FE" w:rsidRDefault="00F138FE" w:rsidP="00F138FE">
            <w:pPr>
              <w:pStyle w:val="Default"/>
              <w:jc w:val="both"/>
              <w:rPr>
                <w:rFonts w:asciiTheme="minorHAnsi" w:hAnsiTheme="minorHAnsi" w:cstheme="minorHAnsi"/>
                <w:sz w:val="20"/>
                <w:szCs w:val="20"/>
              </w:rPr>
            </w:pPr>
          </w:p>
          <w:p w14:paraId="2B6FFAD0" w14:textId="6C236DB1" w:rsidR="009848F8" w:rsidRPr="00D50535" w:rsidRDefault="00F138FE" w:rsidP="00725049">
            <w:pPr>
              <w:pStyle w:val="Default"/>
              <w:jc w:val="both"/>
              <w:rPr>
                <w:sz w:val="20"/>
                <w:szCs w:val="20"/>
              </w:rPr>
            </w:pPr>
            <w:r w:rsidRPr="006E1B40">
              <w:rPr>
                <w:rFonts w:asciiTheme="minorHAnsi" w:hAnsiTheme="minorHAnsi" w:cstheme="minorHAnsi"/>
                <w:sz w:val="20"/>
                <w:szCs w:val="20"/>
              </w:rPr>
              <w:t>In 2017, the MHMS also began to collect VAWG related data from health clinics and the hospitals in their Health Information Management System.</w:t>
            </w:r>
          </w:p>
        </w:tc>
      </w:tr>
      <w:tr w:rsidR="009848F8" w:rsidRPr="000A6A74" w14:paraId="05D4EC38" w14:textId="77777777" w:rsidTr="00827039">
        <w:tc>
          <w:tcPr>
            <w:tcW w:w="5000" w:type="pct"/>
            <w:gridSpan w:val="3"/>
            <w:shd w:val="clear" w:color="auto" w:fill="FBD4B4" w:themeFill="accent6" w:themeFillTint="66"/>
          </w:tcPr>
          <w:p w14:paraId="4A8FB30E" w14:textId="77777777" w:rsidR="009848F8" w:rsidRPr="00576C68" w:rsidRDefault="00E66D17" w:rsidP="00576C68">
            <w:pPr>
              <w:autoSpaceDE w:val="0"/>
              <w:autoSpaceDN w:val="0"/>
              <w:adjustRightInd w:val="0"/>
              <w:rPr>
                <w:sz w:val="20"/>
                <w:szCs w:val="20"/>
              </w:rPr>
            </w:pPr>
            <w:r>
              <w:rPr>
                <w:b/>
                <w:sz w:val="20"/>
                <w:szCs w:val="20"/>
              </w:rPr>
              <w:lastRenderedPageBreak/>
              <w:t>Activity 3</w:t>
            </w:r>
            <w:r w:rsidR="009848F8" w:rsidRPr="00576C68">
              <w:rPr>
                <w:b/>
                <w:sz w:val="20"/>
                <w:szCs w:val="20"/>
              </w:rPr>
              <w:t xml:space="preserve">: </w:t>
            </w:r>
            <w:r w:rsidRPr="00E66D17">
              <w:rPr>
                <w:rFonts w:cs="CalibriRegular"/>
                <w:color w:val="1C1C1C"/>
                <w:sz w:val="20"/>
                <w:szCs w:val="20"/>
              </w:rPr>
              <w:t>Support development of a comprehensive training package for multi</w:t>
            </w:r>
            <w:r w:rsidR="008F4F97">
              <w:rPr>
                <w:rFonts w:cs="CalibriRegular"/>
                <w:color w:val="1C1C1C"/>
                <w:sz w:val="20"/>
                <w:szCs w:val="20"/>
              </w:rPr>
              <w:t>-</w:t>
            </w:r>
            <w:r w:rsidRPr="00E66D17">
              <w:rPr>
                <w:rFonts w:cs="CalibriRegular"/>
                <w:color w:val="1C1C1C"/>
                <w:sz w:val="20"/>
                <w:szCs w:val="20"/>
              </w:rPr>
              <w:t>sectoral response of VAWG for frontline service providers ( for FPA, and SAFENET) and training for frontline service providers</w:t>
            </w:r>
          </w:p>
        </w:tc>
      </w:tr>
      <w:tr w:rsidR="009848F8" w:rsidRPr="000A6A74" w14:paraId="376CEDE9" w14:textId="77777777" w:rsidTr="00827039">
        <w:tc>
          <w:tcPr>
            <w:tcW w:w="1029" w:type="pct"/>
            <w:shd w:val="clear" w:color="auto" w:fill="FBD4B4" w:themeFill="accent6" w:themeFillTint="66"/>
          </w:tcPr>
          <w:p w14:paraId="5476D970" w14:textId="77777777" w:rsidR="009848F8" w:rsidRPr="000A6A74" w:rsidRDefault="009848F8" w:rsidP="00B2727F">
            <w:pPr>
              <w:rPr>
                <w:sz w:val="20"/>
                <w:szCs w:val="20"/>
              </w:rPr>
            </w:pPr>
            <w:r w:rsidRPr="000A6A74">
              <w:rPr>
                <w:sz w:val="20"/>
                <w:szCs w:val="20"/>
              </w:rPr>
              <w:t xml:space="preserve">Reporting period: </w:t>
            </w:r>
          </w:p>
          <w:p w14:paraId="6E808742" w14:textId="4346AC50" w:rsidR="009848F8" w:rsidRPr="000A6A74" w:rsidRDefault="00476BE2" w:rsidP="00576C68">
            <w:pPr>
              <w:rPr>
                <w:color w:val="000000" w:themeColor="text1"/>
                <w:sz w:val="20"/>
                <w:szCs w:val="20"/>
              </w:rPr>
            </w:pPr>
            <w:r>
              <w:rPr>
                <w:sz w:val="20"/>
                <w:szCs w:val="20"/>
              </w:rPr>
              <w:t>Y3</w:t>
            </w:r>
            <w:r w:rsidR="00B47E3F">
              <w:rPr>
                <w:sz w:val="20"/>
                <w:szCs w:val="20"/>
              </w:rPr>
              <w:t xml:space="preserve"> </w:t>
            </w:r>
            <w:r w:rsidR="009C6909">
              <w:rPr>
                <w:sz w:val="20"/>
                <w:szCs w:val="20"/>
              </w:rPr>
              <w:t xml:space="preserve">Anuual </w:t>
            </w:r>
            <w:r w:rsidR="00B47E3F">
              <w:rPr>
                <w:sz w:val="20"/>
                <w:szCs w:val="20"/>
              </w:rPr>
              <w:t>Progress Report</w:t>
            </w:r>
            <w:r w:rsidR="009848F8" w:rsidRPr="000A6A74">
              <w:rPr>
                <w:sz w:val="20"/>
                <w:szCs w:val="20"/>
              </w:rPr>
              <w:t xml:space="preserve">  </w:t>
            </w:r>
          </w:p>
        </w:tc>
        <w:tc>
          <w:tcPr>
            <w:tcW w:w="3971" w:type="pct"/>
            <w:gridSpan w:val="2"/>
            <w:shd w:val="clear" w:color="auto" w:fill="FFFFFF" w:themeFill="background1"/>
          </w:tcPr>
          <w:p w14:paraId="043E0A29" w14:textId="77777777" w:rsidR="00F138FE" w:rsidRPr="00725049" w:rsidRDefault="00F138FE" w:rsidP="00725049">
            <w:pPr>
              <w:autoSpaceDE w:val="0"/>
              <w:autoSpaceDN w:val="0"/>
              <w:adjustRightInd w:val="0"/>
              <w:jc w:val="both"/>
              <w:rPr>
                <w:rFonts w:cstheme="minorHAnsi"/>
                <w:color w:val="000000"/>
                <w:sz w:val="20"/>
                <w:szCs w:val="20"/>
              </w:rPr>
            </w:pPr>
            <w:r w:rsidRPr="00725049">
              <w:rPr>
                <w:rFonts w:cstheme="minorHAnsi"/>
                <w:color w:val="000000"/>
                <w:sz w:val="20"/>
                <w:szCs w:val="20"/>
              </w:rPr>
              <w:t xml:space="preserve">UN Women, UNFPA, and the WHO provided technical expertise and support to the SAFENET Referral Network members and affiliates, including frontline service providers, health workers, police, and justice officials to improve the delivery of coordinated, essential services to VAWG survivors. Trainings were aligned with a vision for enhanced multi-sectoral service delivery, including implementation of an agreed upon formal case management framework and referral system, and minimum standards of care and victim-centred approach to service delivery. </w:t>
            </w:r>
          </w:p>
          <w:p w14:paraId="5B187580" w14:textId="77777777" w:rsidR="00F138FE" w:rsidRPr="006E1B40" w:rsidRDefault="00F138FE" w:rsidP="00F138FE">
            <w:pPr>
              <w:autoSpaceDE w:val="0"/>
              <w:autoSpaceDN w:val="0"/>
              <w:adjustRightInd w:val="0"/>
              <w:jc w:val="both"/>
              <w:rPr>
                <w:rFonts w:cstheme="minorHAnsi"/>
                <w:sz w:val="20"/>
                <w:szCs w:val="20"/>
              </w:rPr>
            </w:pPr>
          </w:p>
          <w:p w14:paraId="53D1EC8E" w14:textId="4ABE9A43" w:rsidR="009848F8" w:rsidRPr="00D50535" w:rsidRDefault="00F138FE" w:rsidP="00725049">
            <w:pPr>
              <w:autoSpaceDE w:val="0"/>
              <w:autoSpaceDN w:val="0"/>
              <w:adjustRightInd w:val="0"/>
              <w:ind w:right="288"/>
              <w:jc w:val="both"/>
              <w:rPr>
                <w:sz w:val="20"/>
                <w:szCs w:val="20"/>
              </w:rPr>
            </w:pPr>
            <w:r>
              <w:rPr>
                <w:rFonts w:cstheme="minorHAnsi"/>
                <w:color w:val="000000"/>
                <w:sz w:val="20"/>
                <w:szCs w:val="20"/>
              </w:rPr>
              <w:t>U</w:t>
            </w:r>
            <w:r w:rsidRPr="006E1B40">
              <w:rPr>
                <w:rFonts w:cstheme="minorHAnsi"/>
                <w:color w:val="000000"/>
                <w:sz w:val="20"/>
                <w:szCs w:val="20"/>
              </w:rPr>
              <w:t xml:space="preserve">N Women and the WHO supported the SAFENET Referral Network by progressing key steps from SAFENET technical input, including a case management framework and formal referral system. Both UN Women and the WHO worked with the Family Support Centre (FSC) to review current practices and identify resource and capacity gaps, and to develop competency-based </w:t>
            </w:r>
            <w:r w:rsidRPr="006E1B40">
              <w:rPr>
                <w:rFonts w:cstheme="minorHAnsi"/>
                <w:color w:val="000000"/>
                <w:sz w:val="20"/>
                <w:szCs w:val="20"/>
              </w:rPr>
              <w:lastRenderedPageBreak/>
              <w:t>protocols to integrate survivor-centred case management services into its existing services. In addition to foundational skills in psychological first-aid, basic counselling, and ethics/professionalism, the case management competencies include: informed consent; intake/risk assessment; safety planning; empowerment counselling; action planning; advocacy; and, caseload management. Support also included initial database development to support monitoring and reporting of outcomes on case management activities. Results of the review of current FSC practices and steps for alignment with a case management framework to the FSC Board of Directors in 2017. This was coupled with parallel efforts to mobilize additional funding to stage a pilot roll out of the case management framework through the Family Support Centre and the formal referral pathway agreed upon by the SAFENET Referral Network. A new UN-SIG JP on ESP was established to implement this three-year pilot project (2017-2019) to deliver ESP.</w:t>
            </w:r>
          </w:p>
        </w:tc>
      </w:tr>
    </w:tbl>
    <w:p w14:paraId="68EFD3D1" w14:textId="0E2CD798" w:rsidR="009848F8" w:rsidRDefault="009848F8" w:rsidP="009848F8">
      <w:pPr>
        <w:spacing w:after="0" w:line="240" w:lineRule="auto"/>
        <w:rPr>
          <w:sz w:val="20"/>
          <w:szCs w:val="20"/>
        </w:rPr>
      </w:pPr>
    </w:p>
    <w:p w14:paraId="69579312" w14:textId="77777777" w:rsidR="00D349B2" w:rsidRDefault="00D349B2" w:rsidP="009848F8">
      <w:pPr>
        <w:spacing w:after="0" w:line="240" w:lineRule="auto"/>
        <w:rPr>
          <w:sz w:val="20"/>
          <w:szCs w:val="20"/>
        </w:rPr>
      </w:pPr>
    </w:p>
    <w:tbl>
      <w:tblPr>
        <w:tblStyle w:val="TableGrid"/>
        <w:tblW w:w="5001" w:type="pct"/>
        <w:tblLook w:val="04A0" w:firstRow="1" w:lastRow="0" w:firstColumn="1" w:lastColumn="0" w:noHBand="0" w:noVBand="1"/>
      </w:tblPr>
      <w:tblGrid>
        <w:gridCol w:w="3145"/>
        <w:gridCol w:w="10806"/>
      </w:tblGrid>
      <w:tr w:rsidR="009848F8" w:rsidRPr="000A6A74" w14:paraId="04B87E56" w14:textId="77777777" w:rsidTr="00725049">
        <w:tc>
          <w:tcPr>
            <w:tcW w:w="1127" w:type="pct"/>
            <w:tcBorders>
              <w:bottom w:val="single" w:sz="4" w:space="0" w:color="auto"/>
            </w:tcBorders>
            <w:shd w:val="clear" w:color="auto" w:fill="EAF1DD" w:themeFill="accent3" w:themeFillTint="33"/>
          </w:tcPr>
          <w:p w14:paraId="539DE067" w14:textId="77777777" w:rsidR="009848F8" w:rsidRPr="000A6A74" w:rsidRDefault="009848F8" w:rsidP="009848F8">
            <w:pPr>
              <w:rPr>
                <w:b/>
                <w:sz w:val="20"/>
                <w:szCs w:val="20"/>
              </w:rPr>
            </w:pPr>
            <w:r w:rsidRPr="000A6A74">
              <w:rPr>
                <w:b/>
                <w:sz w:val="20"/>
                <w:szCs w:val="20"/>
              </w:rPr>
              <w:t xml:space="preserve">Output </w:t>
            </w:r>
            <w:r>
              <w:rPr>
                <w:b/>
                <w:sz w:val="20"/>
                <w:szCs w:val="20"/>
              </w:rPr>
              <w:t>2</w:t>
            </w:r>
            <w:r w:rsidRPr="000A6A74">
              <w:rPr>
                <w:b/>
                <w:sz w:val="20"/>
                <w:szCs w:val="20"/>
              </w:rPr>
              <w:t>.</w:t>
            </w:r>
            <w:r>
              <w:rPr>
                <w:b/>
                <w:sz w:val="20"/>
                <w:szCs w:val="20"/>
              </w:rPr>
              <w:t>2</w:t>
            </w:r>
          </w:p>
        </w:tc>
        <w:tc>
          <w:tcPr>
            <w:tcW w:w="3873" w:type="pct"/>
            <w:tcBorders>
              <w:bottom w:val="single" w:sz="4" w:space="0" w:color="auto"/>
            </w:tcBorders>
            <w:shd w:val="clear" w:color="auto" w:fill="EAF1DD" w:themeFill="accent3" w:themeFillTint="33"/>
          </w:tcPr>
          <w:p w14:paraId="6AB6A356" w14:textId="77777777" w:rsidR="00E66D17" w:rsidRPr="00F82F91" w:rsidRDefault="00E66D17" w:rsidP="00E66D17">
            <w:pPr>
              <w:autoSpaceDE w:val="0"/>
              <w:autoSpaceDN w:val="0"/>
              <w:adjustRightInd w:val="0"/>
              <w:rPr>
                <w:rFonts w:cs="CalibriRegular"/>
                <w:color w:val="1C1C1C"/>
                <w:sz w:val="20"/>
                <w:szCs w:val="20"/>
              </w:rPr>
            </w:pPr>
            <w:r w:rsidRPr="00F82F91">
              <w:rPr>
                <w:rFonts w:cs="CalibriRegular"/>
                <w:color w:val="1C1C1C"/>
                <w:sz w:val="20"/>
                <w:szCs w:val="20"/>
              </w:rPr>
              <w:t>Health service providers understand and follow new and improved protocols with regard to responding to the needs</w:t>
            </w:r>
          </w:p>
          <w:p w14:paraId="7BA504DD" w14:textId="77777777" w:rsidR="009848F8" w:rsidRPr="00E66D17" w:rsidRDefault="00E66D17" w:rsidP="00E66D17">
            <w:pPr>
              <w:autoSpaceDE w:val="0"/>
              <w:autoSpaceDN w:val="0"/>
              <w:adjustRightInd w:val="0"/>
              <w:rPr>
                <w:color w:val="FF0000"/>
                <w:sz w:val="20"/>
                <w:szCs w:val="20"/>
              </w:rPr>
            </w:pPr>
            <w:r w:rsidRPr="00F82F91">
              <w:rPr>
                <w:rFonts w:cs="CalibriRegular"/>
                <w:color w:val="1C1C1C"/>
                <w:sz w:val="20"/>
                <w:szCs w:val="20"/>
              </w:rPr>
              <w:t>of survivors of VAWG</w:t>
            </w:r>
            <w:r>
              <w:rPr>
                <w:rFonts w:ascii="CalibriRegular" w:hAnsi="CalibriRegular" w:cs="CalibriRegular"/>
                <w:color w:val="1C1C1C"/>
              </w:rPr>
              <w:t xml:space="preserve"> </w:t>
            </w:r>
          </w:p>
        </w:tc>
      </w:tr>
      <w:tr w:rsidR="00D22914" w:rsidRPr="000A6A74" w14:paraId="0F92BFA3" w14:textId="77777777" w:rsidTr="00725049">
        <w:tc>
          <w:tcPr>
            <w:tcW w:w="1127" w:type="pct"/>
            <w:tcBorders>
              <w:bottom w:val="single" w:sz="4" w:space="0" w:color="auto"/>
            </w:tcBorders>
            <w:shd w:val="clear" w:color="auto" w:fill="EAF1DD" w:themeFill="accent3" w:themeFillTint="33"/>
          </w:tcPr>
          <w:p w14:paraId="34D35A06" w14:textId="77777777" w:rsidR="00D22914" w:rsidRPr="000A6A74" w:rsidRDefault="00D22914" w:rsidP="00D22914">
            <w:pPr>
              <w:rPr>
                <w:sz w:val="20"/>
                <w:szCs w:val="20"/>
              </w:rPr>
            </w:pPr>
            <w:r w:rsidRPr="000A6A74">
              <w:rPr>
                <w:sz w:val="20"/>
                <w:szCs w:val="20"/>
              </w:rPr>
              <w:t xml:space="preserve">Reporting period: </w:t>
            </w:r>
          </w:p>
          <w:p w14:paraId="2B31552C" w14:textId="1EF1462D" w:rsidR="00D22914" w:rsidRPr="000A6A74" w:rsidRDefault="00D22914" w:rsidP="00D22914">
            <w:pPr>
              <w:rPr>
                <w:b/>
                <w:sz w:val="20"/>
                <w:szCs w:val="20"/>
              </w:rPr>
            </w:pPr>
            <w:r>
              <w:rPr>
                <w:sz w:val="20"/>
                <w:szCs w:val="20"/>
              </w:rPr>
              <w:t>Y3 Annual Progress Report</w:t>
            </w:r>
          </w:p>
        </w:tc>
        <w:tc>
          <w:tcPr>
            <w:tcW w:w="3873" w:type="pct"/>
            <w:tcBorders>
              <w:bottom w:val="single" w:sz="4" w:space="0" w:color="auto"/>
            </w:tcBorders>
            <w:shd w:val="clear" w:color="auto" w:fill="auto"/>
          </w:tcPr>
          <w:p w14:paraId="58395C04" w14:textId="77777777" w:rsidR="00D22914" w:rsidRPr="00A969E8" w:rsidRDefault="00D22914" w:rsidP="00D22914">
            <w:pPr>
              <w:autoSpaceDE w:val="0"/>
              <w:autoSpaceDN w:val="0"/>
              <w:adjustRightInd w:val="0"/>
              <w:jc w:val="both"/>
              <w:rPr>
                <w:rFonts w:cstheme="minorHAnsi"/>
                <w:sz w:val="20"/>
                <w:szCs w:val="20"/>
              </w:rPr>
            </w:pPr>
            <w:r w:rsidRPr="00A969E8">
              <w:rPr>
                <w:rFonts w:cstheme="minorHAnsi"/>
                <w:sz w:val="20"/>
                <w:szCs w:val="20"/>
              </w:rPr>
              <w:t xml:space="preserve">With technical support from UNFPA and the WHO, the MHMS was able to revise and improve upon MHMS SOPs, guidelines, and protocols related to VAWG. In 2017, the MHMS adopted and published three key documents including: </w:t>
            </w:r>
            <w:r w:rsidRPr="00A969E8">
              <w:rPr>
                <w:rFonts w:cstheme="minorHAnsi"/>
                <w:i/>
                <w:sz w:val="20"/>
                <w:szCs w:val="20"/>
              </w:rPr>
              <w:t xml:space="preserve">Strengthening the Health Response to Violence Against Women and Children: A Practice Training Manual for Health Care Professionals </w:t>
            </w:r>
            <w:r w:rsidRPr="00A969E8">
              <w:rPr>
                <w:rFonts w:cstheme="minorHAnsi"/>
                <w:sz w:val="20"/>
                <w:szCs w:val="20"/>
              </w:rPr>
              <w:t xml:space="preserve">(supported by UNFPA); </w:t>
            </w:r>
            <w:r w:rsidRPr="00A969E8">
              <w:rPr>
                <w:rFonts w:cstheme="minorHAnsi"/>
                <w:i/>
                <w:sz w:val="20"/>
                <w:szCs w:val="20"/>
              </w:rPr>
              <w:t xml:space="preserve">Facilitator’s Handbook: A Training Programme to Strengthen the Health Response to Violence against Women and Children </w:t>
            </w:r>
            <w:r w:rsidRPr="00A969E8">
              <w:rPr>
                <w:rFonts w:cstheme="minorHAnsi"/>
                <w:sz w:val="20"/>
                <w:szCs w:val="20"/>
              </w:rPr>
              <w:t xml:space="preserve">(supported by UNFPA); and, </w:t>
            </w:r>
            <w:r w:rsidRPr="00A969E8">
              <w:rPr>
                <w:rFonts w:cstheme="minorHAnsi"/>
                <w:i/>
                <w:sz w:val="20"/>
                <w:szCs w:val="20"/>
              </w:rPr>
              <w:t xml:space="preserve">Guidelines for Minimum Standards of Management of Care for Survivors of Sexual and Gender-Based Violence </w:t>
            </w:r>
            <w:r w:rsidRPr="00A969E8">
              <w:rPr>
                <w:rFonts w:cstheme="minorHAnsi"/>
                <w:sz w:val="20"/>
                <w:szCs w:val="20"/>
              </w:rPr>
              <w:t>(supported by WHO)</w:t>
            </w:r>
          </w:p>
          <w:p w14:paraId="2B8BDE52" w14:textId="77777777" w:rsidR="00D22914" w:rsidRDefault="00D22914" w:rsidP="00D22914">
            <w:pPr>
              <w:autoSpaceDE w:val="0"/>
              <w:autoSpaceDN w:val="0"/>
              <w:adjustRightInd w:val="0"/>
              <w:jc w:val="both"/>
              <w:rPr>
                <w:rFonts w:cstheme="minorHAnsi"/>
                <w:sz w:val="20"/>
                <w:szCs w:val="20"/>
              </w:rPr>
            </w:pPr>
          </w:p>
          <w:p w14:paraId="2FDCB39A" w14:textId="77777777" w:rsidR="00D22914" w:rsidRPr="00A969E8" w:rsidRDefault="00D22914" w:rsidP="00D22914">
            <w:pPr>
              <w:autoSpaceDE w:val="0"/>
              <w:autoSpaceDN w:val="0"/>
              <w:adjustRightInd w:val="0"/>
              <w:jc w:val="both"/>
              <w:rPr>
                <w:rFonts w:cstheme="minorHAnsi"/>
                <w:color w:val="000000"/>
                <w:sz w:val="20"/>
                <w:szCs w:val="20"/>
              </w:rPr>
            </w:pPr>
            <w:r w:rsidRPr="00A969E8">
              <w:rPr>
                <w:rFonts w:cstheme="minorHAnsi"/>
                <w:sz w:val="20"/>
                <w:szCs w:val="20"/>
              </w:rPr>
              <w:t>In 2016 and 2017, UN FPA and the WHO s</w:t>
            </w:r>
            <w:r w:rsidRPr="00A969E8">
              <w:rPr>
                <w:rFonts w:cstheme="minorHAnsi"/>
                <w:color w:val="000000"/>
                <w:sz w:val="20"/>
                <w:szCs w:val="20"/>
              </w:rPr>
              <w:t xml:space="preserve">upported the MHMS GBV Coordinator/SAFENET Coordinator to roll out a package of training for health workers in responding to VAWG/GBV. Trainings supported by UNFPA were conducted in Honiara and three provinces (Temotu, Makira and Western Provinces) covering a total of 61 beneficiaries. These trainings comprised five-day training with a mix of modules on clinical training and gender responsive and human rights-based approaches to VAWG/GBV. The provincial rollout of the training manual was purposely to validate the manual to ensure relevant alignment to the essential service package, further ensure that provincial perspectives on the ground and recent developments of gender work in the health sector are captured. The training was also extended to wider-range of EVAWG stakeholders (non-health workers) in each of the three provinces, reinforcing referral networks existing (albeit informally) already. This training program rolled out in the provinces was informed by the </w:t>
            </w:r>
            <w:r w:rsidRPr="00A969E8">
              <w:rPr>
                <w:rFonts w:cstheme="minorHAnsi"/>
                <w:i/>
                <w:sz w:val="20"/>
                <w:szCs w:val="20"/>
              </w:rPr>
              <w:t xml:space="preserve">Strengthening the Health Response to Violence Against Women and Children: A Practice Training Manual for Health Care Professionals </w:t>
            </w:r>
            <w:r w:rsidRPr="00A969E8">
              <w:rPr>
                <w:rFonts w:cstheme="minorHAnsi"/>
                <w:sz w:val="20"/>
                <w:szCs w:val="20"/>
              </w:rPr>
              <w:t xml:space="preserve">and the </w:t>
            </w:r>
            <w:r w:rsidRPr="00A969E8">
              <w:rPr>
                <w:rFonts w:cstheme="minorHAnsi"/>
                <w:i/>
                <w:sz w:val="20"/>
                <w:szCs w:val="20"/>
              </w:rPr>
              <w:t>Facilitator’s Handbook: A Training Programme to Strengthen the Health Response to Violence against Women and Children</w:t>
            </w:r>
            <w:r w:rsidRPr="00A969E8">
              <w:rPr>
                <w:rFonts w:cstheme="minorHAnsi"/>
                <w:color w:val="000000"/>
                <w:sz w:val="20"/>
                <w:szCs w:val="20"/>
              </w:rPr>
              <w:t xml:space="preserve">. </w:t>
            </w:r>
          </w:p>
          <w:p w14:paraId="40E2DD2F" w14:textId="77777777" w:rsidR="00D22914" w:rsidRPr="006E1B40" w:rsidRDefault="00D22914" w:rsidP="00D22914">
            <w:pPr>
              <w:pStyle w:val="ListParagraph"/>
              <w:autoSpaceDE w:val="0"/>
              <w:autoSpaceDN w:val="0"/>
              <w:adjustRightInd w:val="0"/>
              <w:ind w:left="360"/>
              <w:jc w:val="both"/>
              <w:rPr>
                <w:rFonts w:cstheme="minorHAnsi"/>
                <w:sz w:val="20"/>
                <w:szCs w:val="20"/>
              </w:rPr>
            </w:pPr>
          </w:p>
          <w:p w14:paraId="13AA83E6" w14:textId="078BDF21" w:rsidR="00D22914" w:rsidRPr="008F4F97" w:rsidRDefault="00D22914" w:rsidP="00D22914">
            <w:pPr>
              <w:rPr>
                <w:color w:val="FF0000"/>
                <w:sz w:val="20"/>
                <w:szCs w:val="20"/>
                <w:highlight w:val="yellow"/>
              </w:rPr>
            </w:pPr>
            <w:r w:rsidRPr="00A969E8">
              <w:rPr>
                <w:rFonts w:cstheme="minorHAnsi"/>
                <w:sz w:val="20"/>
                <w:szCs w:val="20"/>
              </w:rPr>
              <w:t xml:space="preserve">A training package for </w:t>
            </w:r>
            <w:r w:rsidRPr="00A969E8">
              <w:rPr>
                <w:rFonts w:cstheme="minorHAnsi"/>
                <w:i/>
                <w:sz w:val="20"/>
                <w:szCs w:val="20"/>
              </w:rPr>
              <w:t>Guidelines for Minimum Standards of Management of Care for Survivors of Sexual and Gender-Based Violence</w:t>
            </w:r>
            <w:r w:rsidRPr="00A969E8">
              <w:rPr>
                <w:rFonts w:cstheme="minorHAnsi"/>
                <w:sz w:val="20"/>
                <w:szCs w:val="20"/>
              </w:rPr>
              <w:t xml:space="preserve"> which was being rolled out in 2017 and 2018 to nurses in Honiara and the provinces by the </w:t>
            </w:r>
            <w:r w:rsidRPr="00A969E8">
              <w:rPr>
                <w:rFonts w:cstheme="minorHAnsi"/>
                <w:color w:val="1C1C1C"/>
                <w:sz w:val="20"/>
                <w:szCs w:val="20"/>
              </w:rPr>
              <w:t>MHMS GBV Coordinator and Seif Ples.</w:t>
            </w:r>
          </w:p>
        </w:tc>
      </w:tr>
      <w:tr w:rsidR="00D22914" w:rsidRPr="000A6A74" w14:paraId="2EAF3F45" w14:textId="77777777" w:rsidTr="00725049">
        <w:tc>
          <w:tcPr>
            <w:tcW w:w="1127" w:type="pct"/>
            <w:tcBorders>
              <w:top w:val="single" w:sz="4" w:space="0" w:color="auto"/>
              <w:left w:val="nil"/>
              <w:bottom w:val="nil"/>
              <w:right w:val="nil"/>
            </w:tcBorders>
            <w:shd w:val="clear" w:color="auto" w:fill="FFFFFF" w:themeFill="background1"/>
          </w:tcPr>
          <w:p w14:paraId="0BCE82B8" w14:textId="77777777" w:rsidR="00D22914" w:rsidRPr="000A6A74" w:rsidRDefault="00D22914" w:rsidP="00D22914">
            <w:pPr>
              <w:rPr>
                <w:sz w:val="20"/>
                <w:szCs w:val="20"/>
              </w:rPr>
            </w:pPr>
          </w:p>
        </w:tc>
        <w:tc>
          <w:tcPr>
            <w:tcW w:w="3873" w:type="pct"/>
            <w:tcBorders>
              <w:top w:val="single" w:sz="4" w:space="0" w:color="auto"/>
              <w:left w:val="nil"/>
              <w:bottom w:val="nil"/>
              <w:right w:val="nil"/>
            </w:tcBorders>
            <w:shd w:val="clear" w:color="auto" w:fill="FFFFFF" w:themeFill="background1"/>
          </w:tcPr>
          <w:p w14:paraId="0C7990A8" w14:textId="77777777" w:rsidR="00D22914" w:rsidRPr="000A6A74" w:rsidRDefault="00D22914" w:rsidP="00D22914">
            <w:pPr>
              <w:rPr>
                <w:color w:val="000000" w:themeColor="text1"/>
                <w:sz w:val="20"/>
                <w:szCs w:val="20"/>
              </w:rPr>
            </w:pPr>
          </w:p>
        </w:tc>
      </w:tr>
    </w:tbl>
    <w:p w14:paraId="6C801D29" w14:textId="77777777" w:rsidR="00D22914" w:rsidRDefault="00D22914">
      <w:r>
        <w:br w:type="page"/>
      </w:r>
    </w:p>
    <w:tbl>
      <w:tblPr>
        <w:tblStyle w:val="TableGrid"/>
        <w:tblW w:w="5081" w:type="pct"/>
        <w:tblInd w:w="5" w:type="dxa"/>
        <w:tblLook w:val="04A0" w:firstRow="1" w:lastRow="0" w:firstColumn="1" w:lastColumn="0" w:noHBand="0" w:noVBand="1"/>
      </w:tblPr>
      <w:tblGrid>
        <w:gridCol w:w="3146"/>
        <w:gridCol w:w="4947"/>
        <w:gridCol w:w="5858"/>
        <w:gridCol w:w="233"/>
      </w:tblGrid>
      <w:tr w:rsidR="00D22914" w:rsidRPr="000A6A74" w14:paraId="54E4F299" w14:textId="77777777" w:rsidTr="00725049">
        <w:tc>
          <w:tcPr>
            <w:tcW w:w="1109" w:type="pct"/>
            <w:tcBorders>
              <w:top w:val="nil"/>
              <w:left w:val="nil"/>
              <w:right w:val="nil"/>
            </w:tcBorders>
            <w:shd w:val="clear" w:color="auto" w:fill="FFFFFF" w:themeFill="background1"/>
          </w:tcPr>
          <w:p w14:paraId="141B036D" w14:textId="12269072" w:rsidR="00D22914" w:rsidRPr="000A6A74" w:rsidRDefault="00D22914" w:rsidP="00D22914">
            <w:pPr>
              <w:rPr>
                <w:sz w:val="20"/>
                <w:szCs w:val="20"/>
              </w:rPr>
            </w:pPr>
          </w:p>
        </w:tc>
        <w:tc>
          <w:tcPr>
            <w:tcW w:w="3809" w:type="pct"/>
            <w:gridSpan w:val="2"/>
            <w:tcBorders>
              <w:top w:val="nil"/>
              <w:left w:val="nil"/>
              <w:right w:val="nil"/>
            </w:tcBorders>
            <w:shd w:val="clear" w:color="auto" w:fill="FFFFFF" w:themeFill="background1"/>
          </w:tcPr>
          <w:p w14:paraId="6B5F1967" w14:textId="77777777" w:rsidR="00D22914" w:rsidRPr="000A6A74" w:rsidRDefault="00D22914" w:rsidP="00D22914">
            <w:pPr>
              <w:rPr>
                <w:color w:val="000000" w:themeColor="text1"/>
                <w:sz w:val="20"/>
                <w:szCs w:val="20"/>
              </w:rPr>
            </w:pPr>
          </w:p>
        </w:tc>
        <w:tc>
          <w:tcPr>
            <w:tcW w:w="82" w:type="pct"/>
            <w:tcBorders>
              <w:top w:val="nil"/>
              <w:left w:val="nil"/>
              <w:bottom w:val="nil"/>
              <w:right w:val="nil"/>
            </w:tcBorders>
            <w:shd w:val="clear" w:color="auto" w:fill="FFFFFF" w:themeFill="background1"/>
          </w:tcPr>
          <w:p w14:paraId="3A5E7616" w14:textId="77777777" w:rsidR="00D22914" w:rsidRPr="000A6A74" w:rsidRDefault="00D22914" w:rsidP="00D22914">
            <w:pPr>
              <w:rPr>
                <w:color w:val="000000" w:themeColor="text1"/>
                <w:sz w:val="20"/>
                <w:szCs w:val="20"/>
              </w:rPr>
            </w:pPr>
          </w:p>
        </w:tc>
      </w:tr>
      <w:tr w:rsidR="00D22914" w:rsidRPr="000A6A74" w14:paraId="17A3A834" w14:textId="77777777" w:rsidTr="00725049">
        <w:trPr>
          <w:gridAfter w:val="1"/>
          <w:wAfter w:w="82" w:type="pct"/>
          <w:trHeight w:val="314"/>
        </w:trPr>
        <w:tc>
          <w:tcPr>
            <w:tcW w:w="1109" w:type="pct"/>
            <w:vMerge w:val="restart"/>
            <w:shd w:val="clear" w:color="auto" w:fill="EAF1DD" w:themeFill="accent3" w:themeFillTint="33"/>
          </w:tcPr>
          <w:p w14:paraId="6E3BB1CB" w14:textId="77777777" w:rsidR="00D22914" w:rsidRPr="000A6A74" w:rsidRDefault="00D22914" w:rsidP="00D22914">
            <w:pPr>
              <w:rPr>
                <w:b/>
                <w:sz w:val="20"/>
                <w:szCs w:val="20"/>
              </w:rPr>
            </w:pPr>
            <w:r w:rsidRPr="000A6A74">
              <w:rPr>
                <w:b/>
                <w:sz w:val="20"/>
                <w:szCs w:val="20"/>
              </w:rPr>
              <w:t>Output Indicator Update</w:t>
            </w:r>
          </w:p>
        </w:tc>
        <w:tc>
          <w:tcPr>
            <w:tcW w:w="3809" w:type="pct"/>
            <w:gridSpan w:val="2"/>
            <w:tcBorders>
              <w:bottom w:val="single" w:sz="4" w:space="0" w:color="auto"/>
            </w:tcBorders>
            <w:shd w:val="clear" w:color="auto" w:fill="EAF1DD" w:themeFill="accent3" w:themeFillTint="33"/>
          </w:tcPr>
          <w:p w14:paraId="0320AD43" w14:textId="7211A19A" w:rsidR="00D22914" w:rsidRPr="000A6A74" w:rsidRDefault="00D22914" w:rsidP="00D22914">
            <w:pPr>
              <w:rPr>
                <w:sz w:val="20"/>
                <w:szCs w:val="20"/>
              </w:rPr>
            </w:pPr>
            <w:r w:rsidRPr="000A6A74">
              <w:rPr>
                <w:sz w:val="20"/>
                <w:szCs w:val="20"/>
              </w:rPr>
              <w:t xml:space="preserve">Reporting period: </w:t>
            </w:r>
            <w:r>
              <w:rPr>
                <w:sz w:val="20"/>
                <w:szCs w:val="20"/>
              </w:rPr>
              <w:t>Y3 Progress Report</w:t>
            </w:r>
            <w:r w:rsidRPr="000A6A74">
              <w:rPr>
                <w:sz w:val="20"/>
                <w:szCs w:val="20"/>
              </w:rPr>
              <w:t xml:space="preserve">   </w:t>
            </w:r>
          </w:p>
        </w:tc>
      </w:tr>
      <w:tr w:rsidR="00D22914" w:rsidRPr="000A6A74" w14:paraId="5964B05E" w14:textId="77777777" w:rsidTr="00725049">
        <w:trPr>
          <w:gridAfter w:val="1"/>
          <w:wAfter w:w="82" w:type="pct"/>
        </w:trPr>
        <w:tc>
          <w:tcPr>
            <w:tcW w:w="1109" w:type="pct"/>
            <w:vMerge/>
            <w:shd w:val="clear" w:color="auto" w:fill="EAF1DD" w:themeFill="accent3" w:themeFillTint="33"/>
          </w:tcPr>
          <w:p w14:paraId="7C788398" w14:textId="77777777" w:rsidR="00D22914" w:rsidRPr="000A6A74" w:rsidRDefault="00D22914" w:rsidP="00D22914">
            <w:pPr>
              <w:rPr>
                <w:b/>
                <w:sz w:val="20"/>
                <w:szCs w:val="20"/>
              </w:rPr>
            </w:pPr>
          </w:p>
        </w:tc>
        <w:tc>
          <w:tcPr>
            <w:tcW w:w="1744" w:type="pct"/>
            <w:tcBorders>
              <w:bottom w:val="single" w:sz="4" w:space="0" w:color="auto"/>
            </w:tcBorders>
            <w:shd w:val="clear" w:color="auto" w:fill="EAF1DD" w:themeFill="accent3" w:themeFillTint="33"/>
          </w:tcPr>
          <w:p w14:paraId="365D519C" w14:textId="77777777" w:rsidR="00D22914" w:rsidRPr="000A6A74" w:rsidRDefault="00D22914" w:rsidP="00D22914">
            <w:pPr>
              <w:rPr>
                <w:b/>
                <w:sz w:val="20"/>
                <w:szCs w:val="20"/>
              </w:rPr>
            </w:pPr>
            <w:r w:rsidRPr="000A6A74">
              <w:rPr>
                <w:b/>
                <w:sz w:val="20"/>
                <w:szCs w:val="20"/>
              </w:rPr>
              <w:t xml:space="preserve">Quantitative Information </w:t>
            </w:r>
          </w:p>
        </w:tc>
        <w:tc>
          <w:tcPr>
            <w:tcW w:w="2065" w:type="pct"/>
            <w:tcBorders>
              <w:bottom w:val="single" w:sz="4" w:space="0" w:color="auto"/>
            </w:tcBorders>
            <w:shd w:val="clear" w:color="auto" w:fill="EAF1DD" w:themeFill="accent3" w:themeFillTint="33"/>
          </w:tcPr>
          <w:p w14:paraId="35109D06" w14:textId="77777777" w:rsidR="00D22914" w:rsidRPr="000A6A74" w:rsidRDefault="00D22914" w:rsidP="00D22914">
            <w:pPr>
              <w:rPr>
                <w:b/>
                <w:sz w:val="20"/>
                <w:szCs w:val="20"/>
              </w:rPr>
            </w:pPr>
            <w:r w:rsidRPr="000A6A74">
              <w:rPr>
                <w:b/>
                <w:sz w:val="20"/>
                <w:szCs w:val="20"/>
              </w:rPr>
              <w:t xml:space="preserve">Qualitative Information </w:t>
            </w:r>
          </w:p>
        </w:tc>
      </w:tr>
      <w:tr w:rsidR="00D22914" w:rsidRPr="000A6A74" w14:paraId="3EE8A661" w14:textId="77777777" w:rsidTr="00725049">
        <w:trPr>
          <w:gridAfter w:val="1"/>
          <w:wAfter w:w="82" w:type="pct"/>
        </w:trPr>
        <w:tc>
          <w:tcPr>
            <w:tcW w:w="1109" w:type="pct"/>
            <w:shd w:val="clear" w:color="auto" w:fill="EAF1DD" w:themeFill="accent3" w:themeFillTint="33"/>
          </w:tcPr>
          <w:p w14:paraId="06CEE10A" w14:textId="77777777" w:rsidR="00D22914" w:rsidRPr="004A31B0" w:rsidRDefault="00D22914" w:rsidP="00D22914">
            <w:pPr>
              <w:autoSpaceDE w:val="0"/>
              <w:autoSpaceDN w:val="0"/>
              <w:adjustRightInd w:val="0"/>
              <w:rPr>
                <w:sz w:val="20"/>
                <w:szCs w:val="20"/>
              </w:rPr>
            </w:pPr>
            <w:r w:rsidRPr="004A31B0">
              <w:rPr>
                <w:b/>
                <w:sz w:val="20"/>
                <w:szCs w:val="20"/>
              </w:rPr>
              <w:t>Output Indicator 1:</w:t>
            </w:r>
            <w:r w:rsidRPr="004A31B0">
              <w:rPr>
                <w:sz w:val="20"/>
                <w:szCs w:val="20"/>
              </w:rPr>
              <w:t xml:space="preserve"> </w:t>
            </w:r>
            <w:r w:rsidRPr="00E66D17">
              <w:rPr>
                <w:rFonts w:cs="CalibriRegular"/>
                <w:color w:val="1C1C1C"/>
                <w:sz w:val="20"/>
                <w:szCs w:val="20"/>
              </w:rPr>
              <w:t>Percentage of health</w:t>
            </w:r>
            <w:r>
              <w:rPr>
                <w:rFonts w:cs="CalibriRegular"/>
                <w:color w:val="1C1C1C"/>
                <w:sz w:val="20"/>
                <w:szCs w:val="20"/>
              </w:rPr>
              <w:t xml:space="preserve"> </w:t>
            </w:r>
            <w:r w:rsidRPr="00E66D17">
              <w:rPr>
                <w:rFonts w:cs="CalibriRegular"/>
                <w:color w:val="1C1C1C"/>
                <w:sz w:val="20"/>
                <w:szCs w:val="20"/>
              </w:rPr>
              <w:t xml:space="preserve">workers who </w:t>
            </w:r>
            <w:r>
              <w:rPr>
                <w:rFonts w:cs="CalibriRegular"/>
                <w:color w:val="1C1C1C"/>
                <w:sz w:val="20"/>
                <w:szCs w:val="20"/>
              </w:rPr>
              <w:t>d</w:t>
            </w:r>
            <w:r w:rsidRPr="00E66D17">
              <w:rPr>
                <w:rFonts w:cs="CalibriRegular"/>
                <w:color w:val="1C1C1C"/>
                <w:sz w:val="20"/>
                <w:szCs w:val="20"/>
              </w:rPr>
              <w:t>emonstrate</w:t>
            </w:r>
            <w:r>
              <w:rPr>
                <w:rFonts w:cs="CalibriRegular"/>
                <w:color w:val="1C1C1C"/>
                <w:sz w:val="20"/>
                <w:szCs w:val="20"/>
              </w:rPr>
              <w:t xml:space="preserve"> </w:t>
            </w:r>
            <w:r w:rsidRPr="00E66D17">
              <w:rPr>
                <w:rFonts w:cs="CalibriRegular"/>
                <w:color w:val="1C1C1C"/>
                <w:sz w:val="20"/>
                <w:szCs w:val="20"/>
              </w:rPr>
              <w:t>attitudes,</w:t>
            </w:r>
            <w:r>
              <w:rPr>
                <w:rFonts w:cs="CalibriRegular"/>
                <w:color w:val="1C1C1C"/>
                <w:sz w:val="20"/>
                <w:szCs w:val="20"/>
              </w:rPr>
              <w:t xml:space="preserve"> </w:t>
            </w:r>
            <w:r w:rsidRPr="00E66D17">
              <w:rPr>
                <w:rFonts w:cs="CalibriRegular"/>
                <w:color w:val="1C1C1C"/>
                <w:sz w:val="20"/>
                <w:szCs w:val="20"/>
              </w:rPr>
              <w:t>knowledge, and ability to</w:t>
            </w:r>
            <w:r>
              <w:rPr>
                <w:rFonts w:cs="CalibriRegular"/>
                <w:color w:val="1C1C1C"/>
                <w:sz w:val="20"/>
                <w:szCs w:val="20"/>
              </w:rPr>
              <w:t xml:space="preserve"> </w:t>
            </w:r>
            <w:r w:rsidRPr="00E66D17">
              <w:rPr>
                <w:rFonts w:cs="CalibriRegular"/>
                <w:color w:val="1C1C1C"/>
                <w:sz w:val="20"/>
                <w:szCs w:val="20"/>
              </w:rPr>
              <w:t>respond to the needs of</w:t>
            </w:r>
            <w:r>
              <w:rPr>
                <w:rFonts w:cs="CalibriRegular"/>
                <w:color w:val="1C1C1C"/>
                <w:sz w:val="20"/>
                <w:szCs w:val="20"/>
              </w:rPr>
              <w:t xml:space="preserve"> </w:t>
            </w:r>
            <w:r w:rsidRPr="00E66D17">
              <w:rPr>
                <w:rFonts w:cs="CalibriRegular"/>
                <w:color w:val="1C1C1C"/>
                <w:sz w:val="20"/>
                <w:szCs w:val="20"/>
              </w:rPr>
              <w:t>survivors of VAWG</w:t>
            </w:r>
          </w:p>
        </w:tc>
        <w:tc>
          <w:tcPr>
            <w:tcW w:w="1744" w:type="pct"/>
            <w:shd w:val="clear" w:color="auto" w:fill="FFFFFF" w:themeFill="background1"/>
          </w:tcPr>
          <w:p w14:paraId="499BFCC5" w14:textId="44B7F91B" w:rsidR="00D22914" w:rsidRPr="00D50535" w:rsidRDefault="00D22914" w:rsidP="00725049">
            <w:pPr>
              <w:jc w:val="center"/>
              <w:rPr>
                <w:sz w:val="20"/>
                <w:szCs w:val="20"/>
              </w:rPr>
            </w:pPr>
            <w:r>
              <w:rPr>
                <w:sz w:val="20"/>
                <w:szCs w:val="20"/>
              </w:rPr>
              <w:t>NA</w:t>
            </w:r>
          </w:p>
        </w:tc>
        <w:tc>
          <w:tcPr>
            <w:tcW w:w="2065" w:type="pct"/>
            <w:shd w:val="clear" w:color="auto" w:fill="FFFFFF" w:themeFill="background1"/>
          </w:tcPr>
          <w:p w14:paraId="74EB3E39" w14:textId="77777777" w:rsidR="00D22914" w:rsidRDefault="00D22914" w:rsidP="00D22914">
            <w:pPr>
              <w:autoSpaceDE w:val="0"/>
              <w:autoSpaceDN w:val="0"/>
              <w:adjustRightInd w:val="0"/>
              <w:spacing w:after="120"/>
              <w:jc w:val="both"/>
              <w:rPr>
                <w:sz w:val="20"/>
                <w:szCs w:val="20"/>
              </w:rPr>
            </w:pPr>
            <w:r w:rsidRPr="00725049">
              <w:rPr>
                <w:rFonts w:cstheme="minorHAnsi"/>
                <w:sz w:val="20"/>
                <w:szCs w:val="20"/>
              </w:rPr>
              <w:t xml:space="preserve">Over the three-year project period health workers in Honiara and Isabel received various trainings with technical assistance from UNFPA and WHO, however, the KAP Survey was not systematically administered from year-to-year to health workers. </w:t>
            </w:r>
            <w:r w:rsidRPr="00725049">
              <w:rPr>
                <w:rFonts w:cs="CalibriRegular"/>
                <w:color w:val="1C1C1C"/>
                <w:sz w:val="20"/>
                <w:szCs w:val="20"/>
              </w:rPr>
              <w:t xml:space="preserve">Auckland University of Technology (AUT) developed a pre- and post-test KAP survey for use with UNFPA’s trainings of health care workers. A pilot test of the KAP survey was conducted with one of the trainings in 2015. Survey findings reportedly demonstrated </w:t>
            </w:r>
            <w:r w:rsidRPr="00725049">
              <w:rPr>
                <w:sz w:val="20"/>
                <w:szCs w:val="20"/>
              </w:rPr>
              <w:t xml:space="preserve">increased capacity, capability, and confidence of the health workers to respond appropriately and safely to survivors of VAWG. Given the fact that survey data and findings were not shared with the UN-SIG JP on EVAWG, they were not included in either the baseline, midline or endline reports. </w:t>
            </w:r>
          </w:p>
          <w:p w14:paraId="003CFDFE" w14:textId="786E935C" w:rsidR="00D22914" w:rsidRPr="00D50535" w:rsidRDefault="00D22914" w:rsidP="00725049">
            <w:pPr>
              <w:autoSpaceDE w:val="0"/>
              <w:autoSpaceDN w:val="0"/>
              <w:adjustRightInd w:val="0"/>
              <w:spacing w:after="120"/>
              <w:jc w:val="both"/>
              <w:rPr>
                <w:sz w:val="20"/>
                <w:szCs w:val="20"/>
              </w:rPr>
            </w:pPr>
            <w:r>
              <w:rPr>
                <w:sz w:val="20"/>
                <w:szCs w:val="20"/>
              </w:rPr>
              <w:t xml:space="preserve">The </w:t>
            </w:r>
            <w:r w:rsidRPr="00727868">
              <w:rPr>
                <w:sz w:val="20"/>
                <w:szCs w:val="20"/>
              </w:rPr>
              <w:t xml:space="preserve">KAP Survey developed </w:t>
            </w:r>
            <w:r>
              <w:rPr>
                <w:sz w:val="20"/>
                <w:szCs w:val="20"/>
              </w:rPr>
              <w:t xml:space="preserve">for frontline service providers with technical support from UN Women was administered to </w:t>
            </w:r>
            <w:r w:rsidRPr="00727868">
              <w:rPr>
                <w:sz w:val="20"/>
                <w:szCs w:val="20"/>
              </w:rPr>
              <w:t>16 frontline service providers</w:t>
            </w:r>
            <w:r>
              <w:rPr>
                <w:sz w:val="20"/>
                <w:szCs w:val="20"/>
              </w:rPr>
              <w:t xml:space="preserve">, including seven </w:t>
            </w:r>
            <w:r w:rsidRPr="00727868">
              <w:rPr>
                <w:sz w:val="20"/>
                <w:szCs w:val="20"/>
              </w:rPr>
              <w:t xml:space="preserve">health workers in Honiara in 2016. </w:t>
            </w:r>
            <w:r>
              <w:rPr>
                <w:sz w:val="20"/>
                <w:szCs w:val="20"/>
              </w:rPr>
              <w:t>As previously mentioned, t</w:t>
            </w:r>
            <w:r w:rsidRPr="00727868">
              <w:rPr>
                <w:sz w:val="20"/>
                <w:szCs w:val="20"/>
              </w:rPr>
              <w:t>he survey revealed that frontline service providers had some knowledge and understanding of VAWG; however, tended to hold attitudes that blame</w:t>
            </w:r>
            <w:r>
              <w:rPr>
                <w:sz w:val="20"/>
                <w:szCs w:val="20"/>
              </w:rPr>
              <w:t>d</w:t>
            </w:r>
            <w:r w:rsidRPr="00727868">
              <w:rPr>
                <w:sz w:val="20"/>
                <w:szCs w:val="20"/>
              </w:rPr>
              <w:t xml:space="preserve"> the victim. These attitudes can serve as a barrier for women attempting to seek help and assistance for VAWG. The KAP survey also revealed that while frontline service providers had some ability to identify and respond to VAWG, they felt they needed more training and technical assistance to improve their response and to understand the FPA. </w:t>
            </w:r>
            <w:r>
              <w:rPr>
                <w:sz w:val="20"/>
                <w:szCs w:val="20"/>
              </w:rPr>
              <w:t xml:space="preserve">These findings are a one-time snapshot of knowledge, attitudes and skills of 16 frontline service providers in Honiara in 2016; these findings could not be compared to any other points in time because the KAP Survey was not administered in 2015 or in 2017. </w:t>
            </w:r>
          </w:p>
        </w:tc>
      </w:tr>
      <w:tr w:rsidR="00D22914" w:rsidRPr="000A6A74" w14:paraId="13328018" w14:textId="77777777" w:rsidTr="00725049">
        <w:trPr>
          <w:gridAfter w:val="1"/>
          <w:wAfter w:w="82" w:type="pct"/>
        </w:trPr>
        <w:tc>
          <w:tcPr>
            <w:tcW w:w="1109" w:type="pct"/>
            <w:shd w:val="clear" w:color="auto" w:fill="EAF1DD" w:themeFill="accent3" w:themeFillTint="33"/>
          </w:tcPr>
          <w:p w14:paraId="7E43BE6A" w14:textId="77777777" w:rsidR="00D22914" w:rsidRPr="00D50535" w:rsidRDefault="00D22914" w:rsidP="00D22914">
            <w:pPr>
              <w:autoSpaceDE w:val="0"/>
              <w:autoSpaceDN w:val="0"/>
              <w:adjustRightInd w:val="0"/>
              <w:rPr>
                <w:sz w:val="20"/>
                <w:szCs w:val="20"/>
              </w:rPr>
            </w:pPr>
            <w:r w:rsidRPr="00D50535">
              <w:rPr>
                <w:b/>
                <w:sz w:val="20"/>
                <w:szCs w:val="20"/>
              </w:rPr>
              <w:t>Output Indicator 2:</w:t>
            </w:r>
            <w:r w:rsidRPr="00D50535">
              <w:rPr>
                <w:sz w:val="20"/>
                <w:szCs w:val="20"/>
              </w:rPr>
              <w:t xml:space="preserve"> </w:t>
            </w:r>
            <w:r w:rsidRPr="00D50535">
              <w:rPr>
                <w:rFonts w:cs="CalibriRegular"/>
                <w:color w:val="1C1C1C"/>
                <w:sz w:val="20"/>
                <w:szCs w:val="20"/>
              </w:rPr>
              <w:t>Number of MHMS SOPs, guidelines, and protocols related to VAWG revised and improved to be survivor-centered</w:t>
            </w:r>
          </w:p>
        </w:tc>
        <w:tc>
          <w:tcPr>
            <w:tcW w:w="1744" w:type="pct"/>
            <w:shd w:val="clear" w:color="auto" w:fill="FFFFFF" w:themeFill="background1"/>
          </w:tcPr>
          <w:p w14:paraId="07ECD54F" w14:textId="7DFE04D6" w:rsidR="00D22914" w:rsidRPr="00D50535" w:rsidRDefault="00D22914" w:rsidP="00725049">
            <w:pPr>
              <w:jc w:val="center"/>
              <w:rPr>
                <w:sz w:val="20"/>
                <w:szCs w:val="20"/>
              </w:rPr>
            </w:pPr>
            <w:r>
              <w:rPr>
                <w:sz w:val="20"/>
                <w:szCs w:val="20"/>
              </w:rPr>
              <w:t>NA</w:t>
            </w:r>
          </w:p>
        </w:tc>
        <w:tc>
          <w:tcPr>
            <w:tcW w:w="2065" w:type="pct"/>
            <w:shd w:val="clear" w:color="auto" w:fill="FFFFFF" w:themeFill="background1"/>
          </w:tcPr>
          <w:p w14:paraId="23BFE149" w14:textId="3768C902" w:rsidR="00D22914" w:rsidRPr="00D50535" w:rsidRDefault="00D22914" w:rsidP="00725049">
            <w:pPr>
              <w:autoSpaceDE w:val="0"/>
              <w:autoSpaceDN w:val="0"/>
              <w:adjustRightInd w:val="0"/>
              <w:jc w:val="both"/>
              <w:rPr>
                <w:sz w:val="20"/>
                <w:szCs w:val="20"/>
              </w:rPr>
            </w:pPr>
            <w:r w:rsidRPr="00725049">
              <w:rPr>
                <w:rFonts w:cstheme="minorHAnsi"/>
                <w:sz w:val="20"/>
                <w:szCs w:val="20"/>
              </w:rPr>
              <w:t>With technical support from UNFPA and the WHO, the MHMS was able to revise and improve upon MHMS SOPs, guidelines, and protocols related to VAWG. In 2017, the MHMS adopted and published three key documents including:</w:t>
            </w:r>
            <w:r>
              <w:rPr>
                <w:rFonts w:cstheme="minorHAnsi"/>
                <w:sz w:val="20"/>
                <w:szCs w:val="20"/>
              </w:rPr>
              <w:t xml:space="preserve"> </w:t>
            </w:r>
            <w:r w:rsidRPr="00CA4E04">
              <w:rPr>
                <w:rFonts w:cstheme="minorHAnsi"/>
                <w:i/>
                <w:sz w:val="20"/>
                <w:szCs w:val="20"/>
              </w:rPr>
              <w:t>S</w:t>
            </w:r>
            <w:r w:rsidRPr="00CA4E04">
              <w:rPr>
                <w:i/>
                <w:sz w:val="20"/>
                <w:szCs w:val="20"/>
              </w:rPr>
              <w:t>trengthening the Health Response to Violence Against Women and Children: A Practice Training Manual for Health Care Professionals</w:t>
            </w:r>
            <w:r>
              <w:rPr>
                <w:i/>
                <w:sz w:val="20"/>
                <w:szCs w:val="20"/>
              </w:rPr>
              <w:t xml:space="preserve"> </w:t>
            </w:r>
            <w:r w:rsidRPr="00CA4E04">
              <w:rPr>
                <w:sz w:val="20"/>
                <w:szCs w:val="20"/>
              </w:rPr>
              <w:t>(supported by UNFPA)</w:t>
            </w:r>
            <w:r>
              <w:rPr>
                <w:sz w:val="20"/>
                <w:szCs w:val="20"/>
              </w:rPr>
              <w:t xml:space="preserve">; </w:t>
            </w:r>
            <w:r w:rsidRPr="00CA4E04">
              <w:rPr>
                <w:i/>
                <w:sz w:val="20"/>
                <w:szCs w:val="20"/>
              </w:rPr>
              <w:lastRenderedPageBreak/>
              <w:t>Facilitator’s Handbook: A Training Programme to Strengthen the Health Response to Violence against Women and Children</w:t>
            </w:r>
            <w:r>
              <w:rPr>
                <w:i/>
                <w:sz w:val="20"/>
                <w:szCs w:val="20"/>
              </w:rPr>
              <w:t xml:space="preserve"> </w:t>
            </w:r>
            <w:r w:rsidRPr="00CA4E04">
              <w:rPr>
                <w:sz w:val="20"/>
                <w:szCs w:val="20"/>
              </w:rPr>
              <w:t>(supported by UNFPA)</w:t>
            </w:r>
            <w:r>
              <w:rPr>
                <w:sz w:val="20"/>
                <w:szCs w:val="20"/>
              </w:rPr>
              <w:t xml:space="preserve">; and </w:t>
            </w:r>
            <w:r w:rsidRPr="00CA4E04">
              <w:rPr>
                <w:rFonts w:cstheme="minorHAnsi"/>
                <w:i/>
                <w:sz w:val="20"/>
                <w:szCs w:val="20"/>
              </w:rPr>
              <w:t>Guidelines for Minimum Standards of Management of Care for Survivors of Sexual and Gender-Based Violence</w:t>
            </w:r>
            <w:r w:rsidRPr="00CA4E04">
              <w:rPr>
                <w:i/>
                <w:sz w:val="20"/>
                <w:szCs w:val="20"/>
              </w:rPr>
              <w:t xml:space="preserve"> </w:t>
            </w:r>
            <w:r w:rsidRPr="00CA4E04">
              <w:rPr>
                <w:sz w:val="20"/>
                <w:szCs w:val="20"/>
              </w:rPr>
              <w:t>(supported by WHO)</w:t>
            </w:r>
          </w:p>
        </w:tc>
      </w:tr>
      <w:tr w:rsidR="00D22914" w:rsidRPr="000A6A74" w14:paraId="2C537B41" w14:textId="77777777" w:rsidTr="00725049">
        <w:tc>
          <w:tcPr>
            <w:tcW w:w="1109" w:type="pct"/>
            <w:tcBorders>
              <w:left w:val="nil"/>
              <w:right w:val="nil"/>
            </w:tcBorders>
            <w:shd w:val="clear" w:color="auto" w:fill="FFFFFF" w:themeFill="background1"/>
          </w:tcPr>
          <w:p w14:paraId="1368D2A4" w14:textId="77777777" w:rsidR="00D22914" w:rsidRPr="000A6A74" w:rsidRDefault="00D22914" w:rsidP="00D22914">
            <w:pPr>
              <w:rPr>
                <w:b/>
                <w:sz w:val="20"/>
                <w:szCs w:val="20"/>
              </w:rPr>
            </w:pPr>
          </w:p>
        </w:tc>
        <w:tc>
          <w:tcPr>
            <w:tcW w:w="1744" w:type="pct"/>
            <w:tcBorders>
              <w:left w:val="nil"/>
              <w:right w:val="nil"/>
            </w:tcBorders>
            <w:shd w:val="clear" w:color="auto" w:fill="FFFFFF" w:themeFill="background1"/>
          </w:tcPr>
          <w:p w14:paraId="3765A0B7" w14:textId="77777777" w:rsidR="00D22914" w:rsidRPr="000A6A74" w:rsidRDefault="00D22914" w:rsidP="00D22914">
            <w:pPr>
              <w:rPr>
                <w:sz w:val="20"/>
                <w:szCs w:val="20"/>
              </w:rPr>
            </w:pPr>
          </w:p>
        </w:tc>
        <w:tc>
          <w:tcPr>
            <w:tcW w:w="2065" w:type="pct"/>
            <w:tcBorders>
              <w:left w:val="nil"/>
              <w:right w:val="nil"/>
            </w:tcBorders>
            <w:shd w:val="clear" w:color="auto" w:fill="FFFFFF" w:themeFill="background1"/>
          </w:tcPr>
          <w:p w14:paraId="50D35CBA" w14:textId="77777777" w:rsidR="00D22914" w:rsidRPr="000A6A74" w:rsidRDefault="00D22914" w:rsidP="00D22914">
            <w:pPr>
              <w:rPr>
                <w:sz w:val="20"/>
                <w:szCs w:val="20"/>
              </w:rPr>
            </w:pPr>
          </w:p>
        </w:tc>
        <w:tc>
          <w:tcPr>
            <w:tcW w:w="82" w:type="pct"/>
            <w:tcBorders>
              <w:top w:val="nil"/>
              <w:left w:val="nil"/>
              <w:right w:val="nil"/>
            </w:tcBorders>
            <w:shd w:val="clear" w:color="auto" w:fill="FFFFFF" w:themeFill="background1"/>
          </w:tcPr>
          <w:p w14:paraId="57993A03" w14:textId="77777777" w:rsidR="00D22914" w:rsidRPr="000A6A74" w:rsidRDefault="00D22914" w:rsidP="00D22914">
            <w:pPr>
              <w:rPr>
                <w:sz w:val="20"/>
                <w:szCs w:val="20"/>
              </w:rPr>
            </w:pPr>
          </w:p>
        </w:tc>
      </w:tr>
    </w:tbl>
    <w:p w14:paraId="19AC3140" w14:textId="77777777" w:rsidR="008F4F97" w:rsidRDefault="008F4F97"/>
    <w:tbl>
      <w:tblPr>
        <w:tblStyle w:val="TableGrid"/>
        <w:tblW w:w="5001" w:type="pct"/>
        <w:tblLook w:val="04A0" w:firstRow="1" w:lastRow="0" w:firstColumn="1" w:lastColumn="0" w:noHBand="0" w:noVBand="1"/>
      </w:tblPr>
      <w:tblGrid>
        <w:gridCol w:w="2874"/>
        <w:gridCol w:w="11077"/>
      </w:tblGrid>
      <w:tr w:rsidR="009848F8" w:rsidRPr="000A6A74" w14:paraId="1AD072E6" w14:textId="77777777" w:rsidTr="008F4F97">
        <w:tc>
          <w:tcPr>
            <w:tcW w:w="5000" w:type="pct"/>
            <w:gridSpan w:val="2"/>
            <w:shd w:val="clear" w:color="auto" w:fill="FBD4B4" w:themeFill="accent6" w:themeFillTint="66"/>
          </w:tcPr>
          <w:p w14:paraId="7DEA2669" w14:textId="77777777" w:rsidR="009848F8" w:rsidRPr="000A6A74" w:rsidRDefault="009848F8" w:rsidP="00B2727F">
            <w:pPr>
              <w:rPr>
                <w:b/>
                <w:sz w:val="20"/>
                <w:szCs w:val="20"/>
              </w:rPr>
            </w:pPr>
            <w:r w:rsidRPr="000A6A74">
              <w:rPr>
                <w:b/>
                <w:sz w:val="20"/>
                <w:szCs w:val="20"/>
              </w:rPr>
              <w:t xml:space="preserve">Activity Update </w:t>
            </w:r>
          </w:p>
        </w:tc>
      </w:tr>
      <w:tr w:rsidR="009848F8" w:rsidRPr="000A6A74" w14:paraId="7B0A29B7" w14:textId="77777777" w:rsidTr="008F4F97">
        <w:tc>
          <w:tcPr>
            <w:tcW w:w="5000" w:type="pct"/>
            <w:gridSpan w:val="2"/>
            <w:shd w:val="clear" w:color="auto" w:fill="FBD4B4" w:themeFill="accent6" w:themeFillTint="66"/>
          </w:tcPr>
          <w:p w14:paraId="49D492A2" w14:textId="77777777" w:rsidR="009848F8" w:rsidRPr="00145CAE" w:rsidRDefault="009848F8" w:rsidP="00964B4F">
            <w:pPr>
              <w:autoSpaceDE w:val="0"/>
              <w:autoSpaceDN w:val="0"/>
              <w:adjustRightInd w:val="0"/>
              <w:rPr>
                <w:b/>
                <w:sz w:val="20"/>
                <w:szCs w:val="20"/>
              </w:rPr>
            </w:pPr>
            <w:r w:rsidRPr="004A31B0">
              <w:rPr>
                <w:b/>
                <w:sz w:val="20"/>
                <w:szCs w:val="20"/>
              </w:rPr>
              <w:t xml:space="preserve">Activity 1: </w:t>
            </w:r>
            <w:r w:rsidR="00145CAE" w:rsidRPr="00145CAE">
              <w:rPr>
                <w:rFonts w:cs="CalibriRegular"/>
                <w:color w:val="1C1C1C"/>
                <w:sz w:val="20"/>
                <w:szCs w:val="20"/>
              </w:rPr>
              <w:t>Support training and mentorship of MHMS staff responsible for</w:t>
            </w:r>
            <w:r w:rsidR="00964B4F">
              <w:rPr>
                <w:rFonts w:cs="CalibriRegular"/>
                <w:color w:val="1C1C1C"/>
                <w:sz w:val="20"/>
                <w:szCs w:val="20"/>
              </w:rPr>
              <w:t xml:space="preserve"> </w:t>
            </w:r>
            <w:r w:rsidR="00145CAE" w:rsidRPr="00145CAE">
              <w:rPr>
                <w:rFonts w:cs="CalibriRegular"/>
                <w:color w:val="1C1C1C"/>
                <w:sz w:val="20"/>
                <w:szCs w:val="20"/>
              </w:rPr>
              <w:t>implementing health guidelines on sexual assault care and legal literacy</w:t>
            </w:r>
          </w:p>
        </w:tc>
      </w:tr>
      <w:tr w:rsidR="009848F8" w:rsidRPr="000A6A74" w14:paraId="6BA75ACC" w14:textId="77777777" w:rsidTr="008F4F97">
        <w:tc>
          <w:tcPr>
            <w:tcW w:w="1030" w:type="pct"/>
            <w:shd w:val="clear" w:color="auto" w:fill="FBD4B4" w:themeFill="accent6" w:themeFillTint="66"/>
          </w:tcPr>
          <w:p w14:paraId="4FEF3BA7" w14:textId="77777777" w:rsidR="009848F8" w:rsidRPr="000A6A74" w:rsidRDefault="009848F8" w:rsidP="00B2727F">
            <w:pPr>
              <w:rPr>
                <w:sz w:val="20"/>
                <w:szCs w:val="20"/>
              </w:rPr>
            </w:pPr>
            <w:r w:rsidRPr="000A6A74">
              <w:rPr>
                <w:sz w:val="20"/>
                <w:szCs w:val="20"/>
              </w:rPr>
              <w:t xml:space="preserve">Reporting period: </w:t>
            </w:r>
          </w:p>
          <w:p w14:paraId="27D05E58" w14:textId="5A2E2C81" w:rsidR="009848F8" w:rsidRPr="000A6A74" w:rsidRDefault="00476BE2" w:rsidP="004A31B0">
            <w:pPr>
              <w:rPr>
                <w:color w:val="000000" w:themeColor="text1"/>
                <w:sz w:val="20"/>
                <w:szCs w:val="20"/>
              </w:rPr>
            </w:pPr>
            <w:r>
              <w:rPr>
                <w:sz w:val="20"/>
                <w:szCs w:val="20"/>
              </w:rPr>
              <w:t>Y3</w:t>
            </w:r>
            <w:r w:rsidR="00B47E3F">
              <w:rPr>
                <w:sz w:val="20"/>
                <w:szCs w:val="20"/>
              </w:rPr>
              <w:t xml:space="preserve"> </w:t>
            </w:r>
            <w:r w:rsidR="00983D15">
              <w:rPr>
                <w:sz w:val="20"/>
                <w:szCs w:val="20"/>
              </w:rPr>
              <w:t xml:space="preserve">Annual </w:t>
            </w:r>
            <w:r w:rsidR="00B47E3F">
              <w:rPr>
                <w:sz w:val="20"/>
                <w:szCs w:val="20"/>
              </w:rPr>
              <w:t>Progress Report</w:t>
            </w:r>
            <w:r w:rsidR="009848F8" w:rsidRPr="000A6A74">
              <w:rPr>
                <w:sz w:val="20"/>
                <w:szCs w:val="20"/>
              </w:rPr>
              <w:t xml:space="preserve">  </w:t>
            </w:r>
          </w:p>
        </w:tc>
        <w:tc>
          <w:tcPr>
            <w:tcW w:w="3970" w:type="pct"/>
            <w:shd w:val="clear" w:color="auto" w:fill="FFFFFF" w:themeFill="background1"/>
          </w:tcPr>
          <w:p w14:paraId="322647EC" w14:textId="77777777" w:rsidR="00F138FE" w:rsidRPr="00725049" w:rsidRDefault="00F138FE" w:rsidP="00725049">
            <w:pPr>
              <w:autoSpaceDE w:val="0"/>
              <w:autoSpaceDN w:val="0"/>
              <w:adjustRightInd w:val="0"/>
              <w:jc w:val="both"/>
              <w:rPr>
                <w:rFonts w:cstheme="minorHAnsi"/>
                <w:sz w:val="20"/>
                <w:szCs w:val="20"/>
              </w:rPr>
            </w:pPr>
            <w:r w:rsidRPr="00725049">
              <w:rPr>
                <w:rFonts w:cstheme="minorHAnsi"/>
                <w:sz w:val="20"/>
                <w:szCs w:val="20"/>
              </w:rPr>
              <w:t xml:space="preserve">With technical support from UNFPA and the WHO, the MHMS was able to revise and improve upon MHMS SOPs, guidelines, and protocols related to VAWG. In 2017, the MHMS adopted and published three key documents including: </w:t>
            </w:r>
            <w:r w:rsidRPr="00725049">
              <w:rPr>
                <w:rFonts w:cstheme="minorHAnsi"/>
                <w:i/>
                <w:sz w:val="20"/>
                <w:szCs w:val="20"/>
              </w:rPr>
              <w:t xml:space="preserve">Strengthening the Health Response to Violence Against Women and Children: A Practice Training Manual for Health Care Professionals </w:t>
            </w:r>
            <w:r w:rsidRPr="00725049">
              <w:rPr>
                <w:rFonts w:cstheme="minorHAnsi"/>
                <w:sz w:val="20"/>
                <w:szCs w:val="20"/>
              </w:rPr>
              <w:t xml:space="preserve">(supported by UNFPA); </w:t>
            </w:r>
            <w:r w:rsidRPr="00725049">
              <w:rPr>
                <w:rFonts w:cstheme="minorHAnsi"/>
                <w:i/>
                <w:sz w:val="20"/>
                <w:szCs w:val="20"/>
              </w:rPr>
              <w:t xml:space="preserve">Facilitator’s Handbook: A Training Programme to Strengthen the Health Response to Violence against Women and Children </w:t>
            </w:r>
            <w:r w:rsidRPr="00725049">
              <w:rPr>
                <w:rFonts w:cstheme="minorHAnsi"/>
                <w:sz w:val="20"/>
                <w:szCs w:val="20"/>
              </w:rPr>
              <w:t xml:space="preserve">(supported by UNFPA); and, </w:t>
            </w:r>
            <w:r w:rsidRPr="00725049">
              <w:rPr>
                <w:rFonts w:cstheme="minorHAnsi"/>
                <w:i/>
                <w:sz w:val="20"/>
                <w:szCs w:val="20"/>
              </w:rPr>
              <w:t xml:space="preserve">Guidelines for Minimum Standards of Management of Care for Survivors of Sexual and Gender-Based Violence </w:t>
            </w:r>
            <w:r w:rsidRPr="00725049">
              <w:rPr>
                <w:rFonts w:cstheme="minorHAnsi"/>
                <w:sz w:val="20"/>
                <w:szCs w:val="20"/>
              </w:rPr>
              <w:t>(supported by WHO)</w:t>
            </w:r>
          </w:p>
          <w:p w14:paraId="3D332ACD" w14:textId="77777777" w:rsidR="00F138FE" w:rsidRDefault="00F138FE" w:rsidP="00F138FE">
            <w:pPr>
              <w:autoSpaceDE w:val="0"/>
              <w:autoSpaceDN w:val="0"/>
              <w:adjustRightInd w:val="0"/>
              <w:jc w:val="both"/>
              <w:rPr>
                <w:rFonts w:cstheme="minorHAnsi"/>
                <w:sz w:val="20"/>
                <w:szCs w:val="20"/>
              </w:rPr>
            </w:pPr>
          </w:p>
          <w:p w14:paraId="3EF07715" w14:textId="0F369D09" w:rsidR="00F138FE" w:rsidRPr="00725049" w:rsidRDefault="00F138FE" w:rsidP="00725049">
            <w:pPr>
              <w:autoSpaceDE w:val="0"/>
              <w:autoSpaceDN w:val="0"/>
              <w:adjustRightInd w:val="0"/>
              <w:jc w:val="both"/>
              <w:rPr>
                <w:rFonts w:cstheme="minorHAnsi"/>
                <w:color w:val="000000"/>
                <w:sz w:val="20"/>
                <w:szCs w:val="20"/>
              </w:rPr>
            </w:pPr>
            <w:r w:rsidRPr="00725049">
              <w:rPr>
                <w:rFonts w:cstheme="minorHAnsi"/>
                <w:sz w:val="20"/>
                <w:szCs w:val="20"/>
              </w:rPr>
              <w:t>In 2016 and 2017, UN FPA and the WHO s</w:t>
            </w:r>
            <w:r w:rsidRPr="00725049">
              <w:rPr>
                <w:rFonts w:cstheme="minorHAnsi"/>
                <w:color w:val="000000"/>
                <w:sz w:val="20"/>
                <w:szCs w:val="20"/>
              </w:rPr>
              <w:t xml:space="preserve">upported the MHMS GBV Coordinator/SAFENET Coordinator to roll out a package of training for health workers in responding to VAWG/GBV. Trainings supported by UNFPA were conducted in Honiara and three provinces (Temotu, Makira and Western Provinces) covering a total of 61 beneficiaries. These trainings comprised five-day training with a mix of modules on clinical training and gender responsive and human rights-based approaches to VAWG/GBV. The provincial rollout of the training manual was purposely to validate the manual to ensure relevant alignment to the essential service package, further ensure that provincial perspectives on the ground and recent developments of gender work in the health sector are captured. The training was also extended to wider-range of EVAWG stakeholders (non-health workers) in each of the three provinces, reinforcing referral networks existing (albeit informally) already. This training program rolled out in the provinces was informed by the </w:t>
            </w:r>
            <w:r w:rsidRPr="00725049">
              <w:rPr>
                <w:rFonts w:cstheme="minorHAnsi"/>
                <w:i/>
                <w:sz w:val="20"/>
                <w:szCs w:val="20"/>
              </w:rPr>
              <w:t xml:space="preserve">Strengthening the Health Response to Violence Against Women and Children: A Practice Training Manual for Health Care Professionals </w:t>
            </w:r>
            <w:r w:rsidRPr="00725049">
              <w:rPr>
                <w:rFonts w:cstheme="minorHAnsi"/>
                <w:sz w:val="20"/>
                <w:szCs w:val="20"/>
              </w:rPr>
              <w:t xml:space="preserve">and the </w:t>
            </w:r>
            <w:r w:rsidRPr="00725049">
              <w:rPr>
                <w:rFonts w:cstheme="minorHAnsi"/>
                <w:i/>
                <w:sz w:val="20"/>
                <w:szCs w:val="20"/>
              </w:rPr>
              <w:t>Facilitator’s Handbook: A Training Programme to Strengthen the Health Response to Violence against Women and Children</w:t>
            </w:r>
            <w:r w:rsidRPr="00725049">
              <w:rPr>
                <w:rFonts w:cstheme="minorHAnsi"/>
                <w:color w:val="000000"/>
                <w:sz w:val="20"/>
                <w:szCs w:val="20"/>
              </w:rPr>
              <w:t xml:space="preserve">. </w:t>
            </w:r>
          </w:p>
          <w:p w14:paraId="2A1546AF" w14:textId="77777777" w:rsidR="00F138FE" w:rsidRPr="006E1B40" w:rsidRDefault="00F138FE" w:rsidP="00F138FE">
            <w:pPr>
              <w:pStyle w:val="ListParagraph"/>
              <w:autoSpaceDE w:val="0"/>
              <w:autoSpaceDN w:val="0"/>
              <w:adjustRightInd w:val="0"/>
              <w:ind w:left="360"/>
              <w:jc w:val="both"/>
              <w:rPr>
                <w:rFonts w:cstheme="minorHAnsi"/>
                <w:sz w:val="20"/>
                <w:szCs w:val="20"/>
              </w:rPr>
            </w:pPr>
          </w:p>
          <w:p w14:paraId="2D5331B9" w14:textId="4FE3126F" w:rsidR="004150C6" w:rsidRPr="004150C6" w:rsidRDefault="00F138FE" w:rsidP="004150C6">
            <w:pPr>
              <w:rPr>
                <w:sz w:val="20"/>
                <w:szCs w:val="20"/>
              </w:rPr>
            </w:pPr>
            <w:r w:rsidRPr="00725049">
              <w:rPr>
                <w:rFonts w:cstheme="minorHAnsi"/>
                <w:sz w:val="20"/>
                <w:szCs w:val="20"/>
              </w:rPr>
              <w:t xml:space="preserve">A training package for </w:t>
            </w:r>
            <w:r w:rsidRPr="00725049">
              <w:rPr>
                <w:rFonts w:cstheme="minorHAnsi"/>
                <w:i/>
                <w:sz w:val="20"/>
                <w:szCs w:val="20"/>
              </w:rPr>
              <w:t>Guidelines for Minimum Standards of Management of Care for Survivors of Sexual and Gender-Based Violence</w:t>
            </w:r>
            <w:r w:rsidRPr="00725049">
              <w:rPr>
                <w:rFonts w:cstheme="minorHAnsi"/>
                <w:sz w:val="20"/>
                <w:szCs w:val="20"/>
              </w:rPr>
              <w:t xml:space="preserve"> which was being rolled out in 2017 and 2018 to nurses in Honiara and the provinces by the </w:t>
            </w:r>
            <w:r w:rsidRPr="00725049">
              <w:rPr>
                <w:rFonts w:cstheme="minorHAnsi"/>
                <w:color w:val="1C1C1C"/>
                <w:sz w:val="20"/>
                <w:szCs w:val="20"/>
              </w:rPr>
              <w:t>MHMS GBV Coordinator and Seif Ples.</w:t>
            </w:r>
          </w:p>
        </w:tc>
      </w:tr>
      <w:tr w:rsidR="009848F8" w:rsidRPr="000A6A74" w14:paraId="2BDADDF3" w14:textId="77777777" w:rsidTr="008F4F97">
        <w:tc>
          <w:tcPr>
            <w:tcW w:w="5000" w:type="pct"/>
            <w:gridSpan w:val="2"/>
            <w:shd w:val="clear" w:color="auto" w:fill="FBD4B4" w:themeFill="accent6" w:themeFillTint="66"/>
          </w:tcPr>
          <w:p w14:paraId="0E534716" w14:textId="77777777" w:rsidR="009848F8" w:rsidRPr="004150C6" w:rsidRDefault="009848F8" w:rsidP="00145CAE">
            <w:pPr>
              <w:autoSpaceDE w:val="0"/>
              <w:autoSpaceDN w:val="0"/>
              <w:adjustRightInd w:val="0"/>
              <w:rPr>
                <w:sz w:val="20"/>
                <w:szCs w:val="20"/>
              </w:rPr>
            </w:pPr>
            <w:r w:rsidRPr="004150C6">
              <w:rPr>
                <w:b/>
                <w:sz w:val="20"/>
                <w:szCs w:val="20"/>
              </w:rPr>
              <w:t xml:space="preserve">Activity 2: </w:t>
            </w:r>
            <w:r w:rsidR="00145CAE" w:rsidRPr="004150C6">
              <w:rPr>
                <w:rFonts w:cs="CalibriRegular"/>
                <w:color w:val="1C1C1C"/>
                <w:sz w:val="20"/>
                <w:szCs w:val="20"/>
              </w:rPr>
              <w:t>Support the MHMS with its plan to roll out EVAWG-related essential services in the Isabel Province, including reaching people living with disabilities</w:t>
            </w:r>
          </w:p>
        </w:tc>
      </w:tr>
      <w:tr w:rsidR="009848F8" w:rsidRPr="000A6A74" w14:paraId="7BC49E9A" w14:textId="77777777" w:rsidTr="008F4F97">
        <w:tc>
          <w:tcPr>
            <w:tcW w:w="1030" w:type="pct"/>
            <w:shd w:val="clear" w:color="auto" w:fill="FBD4B4" w:themeFill="accent6" w:themeFillTint="66"/>
          </w:tcPr>
          <w:p w14:paraId="06818DA5" w14:textId="77777777" w:rsidR="009848F8" w:rsidRPr="004150C6" w:rsidRDefault="009848F8" w:rsidP="00B2727F">
            <w:pPr>
              <w:rPr>
                <w:sz w:val="20"/>
                <w:szCs w:val="20"/>
              </w:rPr>
            </w:pPr>
            <w:r w:rsidRPr="004150C6">
              <w:rPr>
                <w:sz w:val="20"/>
                <w:szCs w:val="20"/>
              </w:rPr>
              <w:t xml:space="preserve">Reporting period: </w:t>
            </w:r>
          </w:p>
          <w:p w14:paraId="3323A8AB" w14:textId="3726BB21" w:rsidR="009848F8" w:rsidRPr="004150C6" w:rsidRDefault="00476BE2" w:rsidP="004A31B0">
            <w:pPr>
              <w:rPr>
                <w:color w:val="000000" w:themeColor="text1"/>
                <w:sz w:val="20"/>
                <w:szCs w:val="20"/>
              </w:rPr>
            </w:pPr>
            <w:r>
              <w:rPr>
                <w:sz w:val="20"/>
                <w:szCs w:val="20"/>
              </w:rPr>
              <w:t>Y3</w:t>
            </w:r>
            <w:r w:rsidR="00B47E3F" w:rsidRPr="004150C6">
              <w:rPr>
                <w:sz w:val="20"/>
                <w:szCs w:val="20"/>
              </w:rPr>
              <w:t xml:space="preserve"> </w:t>
            </w:r>
            <w:r w:rsidR="00983D15" w:rsidRPr="004150C6">
              <w:rPr>
                <w:sz w:val="20"/>
                <w:szCs w:val="20"/>
              </w:rPr>
              <w:t xml:space="preserve">Annual </w:t>
            </w:r>
            <w:r w:rsidR="00B47E3F" w:rsidRPr="004150C6">
              <w:rPr>
                <w:sz w:val="20"/>
                <w:szCs w:val="20"/>
              </w:rPr>
              <w:t>Progress Report</w:t>
            </w:r>
            <w:r w:rsidR="009848F8" w:rsidRPr="004150C6">
              <w:rPr>
                <w:sz w:val="20"/>
                <w:szCs w:val="20"/>
              </w:rPr>
              <w:t xml:space="preserve">  </w:t>
            </w:r>
          </w:p>
        </w:tc>
        <w:tc>
          <w:tcPr>
            <w:tcW w:w="3970" w:type="pct"/>
            <w:shd w:val="clear" w:color="auto" w:fill="FFFFFF" w:themeFill="background1"/>
          </w:tcPr>
          <w:p w14:paraId="7A0A64A9" w14:textId="37E4BAB7" w:rsidR="009848F8" w:rsidRPr="004150C6" w:rsidRDefault="00F138FE" w:rsidP="00B2727F">
            <w:pPr>
              <w:rPr>
                <w:sz w:val="20"/>
                <w:szCs w:val="20"/>
              </w:rPr>
            </w:pPr>
            <w:r w:rsidRPr="006E1B40">
              <w:rPr>
                <w:rFonts w:cstheme="minorHAnsi"/>
                <w:sz w:val="20"/>
                <w:szCs w:val="20"/>
              </w:rPr>
              <w:t xml:space="preserve">Over the three-year project period, health workers in Honiara and Isabel received various trainings with technical assistance from UNFPA and WHO; however, there was not a focus on reaching people living with disabilities. The MHMS has been focused on delivering trainings for health workers in keeping with implementation of the </w:t>
            </w:r>
            <w:r w:rsidRPr="006E1B40">
              <w:rPr>
                <w:rFonts w:cstheme="minorHAnsi"/>
                <w:color w:val="000000"/>
                <w:sz w:val="20"/>
                <w:szCs w:val="20"/>
              </w:rPr>
              <w:t>National Health Strategic Plan 2016-2020.</w:t>
            </w:r>
          </w:p>
        </w:tc>
      </w:tr>
    </w:tbl>
    <w:p w14:paraId="6C5EBC0D" w14:textId="77777777" w:rsidR="009848F8" w:rsidRDefault="009848F8" w:rsidP="009848F8">
      <w:pPr>
        <w:spacing w:after="0" w:line="240" w:lineRule="auto"/>
        <w:rPr>
          <w:sz w:val="20"/>
          <w:szCs w:val="20"/>
        </w:rPr>
      </w:pPr>
    </w:p>
    <w:p w14:paraId="488DFAA2" w14:textId="77777777" w:rsidR="00D22914" w:rsidRDefault="00D22914">
      <w:pPr>
        <w:rPr>
          <w:sz w:val="24"/>
        </w:rPr>
      </w:pPr>
      <w:bookmarkStart w:id="21" w:name="_Toc355636245"/>
      <w:bookmarkEnd w:id="20"/>
      <w:r>
        <w:rPr>
          <w:sz w:val="24"/>
        </w:rPr>
        <w:br w:type="page"/>
      </w:r>
    </w:p>
    <w:p w14:paraId="7272DEF2" w14:textId="77777777" w:rsidR="00F507C1" w:rsidRPr="00827039" w:rsidRDefault="00B25719" w:rsidP="00986119">
      <w:pPr>
        <w:rPr>
          <w:b/>
          <w:sz w:val="24"/>
        </w:rPr>
      </w:pPr>
      <w:r w:rsidRPr="00827039">
        <w:rPr>
          <w:b/>
          <w:sz w:val="24"/>
        </w:rPr>
        <w:lastRenderedPageBreak/>
        <w:t xml:space="preserve">IV: </w:t>
      </w:r>
      <w:r w:rsidR="00F507C1" w:rsidRPr="00827039">
        <w:rPr>
          <w:b/>
          <w:sz w:val="24"/>
        </w:rPr>
        <w:t>M&amp;E and Audit Activities</w:t>
      </w:r>
      <w:bookmarkEnd w:id="21"/>
      <w:r w:rsidR="00F507C1" w:rsidRPr="00827039">
        <w:rPr>
          <w:b/>
          <w:sz w:val="24"/>
        </w:rPr>
        <w:t xml:space="preserve"> </w:t>
      </w:r>
    </w:p>
    <w:p w14:paraId="3BDFE074" w14:textId="77777777" w:rsidR="00F507C1" w:rsidRPr="000A6A74" w:rsidRDefault="00F507C1" w:rsidP="00F507C1">
      <w:pPr>
        <w:spacing w:after="0" w:line="240" w:lineRule="auto"/>
        <w:rPr>
          <w:sz w:val="20"/>
          <w:szCs w:val="20"/>
        </w:rPr>
      </w:pPr>
      <w:bookmarkStart w:id="22" w:name="_Toc355636246"/>
      <w:r w:rsidRPr="000A6A74">
        <w:rPr>
          <w:rStyle w:val="Heading2Char"/>
          <w:rFonts w:asciiTheme="minorHAnsi" w:hAnsiTheme="minorHAnsi"/>
          <w:sz w:val="20"/>
          <w:szCs w:val="20"/>
        </w:rPr>
        <w:t>M&amp;E and Audit Activity Update</w:t>
      </w:r>
      <w:bookmarkEnd w:id="22"/>
      <w:r w:rsidRPr="000A6A74">
        <w:rPr>
          <w:b/>
          <w:sz w:val="20"/>
          <w:szCs w:val="20"/>
        </w:rPr>
        <w:t xml:space="preserve">: </w:t>
      </w:r>
      <w:r w:rsidRPr="000A6A74">
        <w:rPr>
          <w:sz w:val="20"/>
          <w:szCs w:val="20"/>
        </w:rPr>
        <w:t>Briefly explain the current status of each M&amp;E and/or audit activity. If relevant, please explain the delays in activity implementation, the nature of the constraints, and the actions taken to mitigate future delays. (</w:t>
      </w:r>
      <w:r w:rsidRPr="0005531D">
        <w:rPr>
          <w:color w:val="FF0000"/>
          <w:sz w:val="20"/>
          <w:szCs w:val="20"/>
        </w:rPr>
        <w:t>maximum 250 words</w:t>
      </w:r>
      <w:r w:rsidRPr="000A6A74">
        <w:rPr>
          <w:sz w:val="20"/>
          <w:szCs w:val="20"/>
        </w:rPr>
        <w:t>)</w:t>
      </w:r>
    </w:p>
    <w:p w14:paraId="16B28368" w14:textId="77777777" w:rsidR="00015DA3" w:rsidRPr="000A6A74" w:rsidRDefault="00015DA3" w:rsidP="00F507C1">
      <w:pPr>
        <w:spacing w:after="0" w:line="240" w:lineRule="auto"/>
        <w:rPr>
          <w:b/>
          <w:sz w:val="20"/>
          <w:szCs w:val="20"/>
        </w:rPr>
      </w:pPr>
    </w:p>
    <w:tbl>
      <w:tblPr>
        <w:tblStyle w:val="TableGrid"/>
        <w:tblW w:w="5000" w:type="pct"/>
        <w:tblLook w:val="04A0" w:firstRow="1" w:lastRow="0" w:firstColumn="1" w:lastColumn="0" w:noHBand="0" w:noVBand="1"/>
      </w:tblPr>
      <w:tblGrid>
        <w:gridCol w:w="2876"/>
        <w:gridCol w:w="11072"/>
      </w:tblGrid>
      <w:tr w:rsidR="00015DA3" w:rsidRPr="000A6A74" w14:paraId="0246A7D1" w14:textId="77777777" w:rsidTr="00983D15">
        <w:tc>
          <w:tcPr>
            <w:tcW w:w="5000" w:type="pct"/>
            <w:gridSpan w:val="2"/>
            <w:shd w:val="clear" w:color="auto" w:fill="DDD9C3" w:themeFill="background2" w:themeFillShade="E6"/>
          </w:tcPr>
          <w:p w14:paraId="5967E846" w14:textId="77777777" w:rsidR="00015DA3" w:rsidRPr="000A6A74" w:rsidRDefault="00015DA3" w:rsidP="002D72A8">
            <w:pPr>
              <w:rPr>
                <w:b/>
                <w:sz w:val="20"/>
                <w:szCs w:val="20"/>
              </w:rPr>
            </w:pPr>
            <w:r w:rsidRPr="000A6A74">
              <w:rPr>
                <w:b/>
                <w:sz w:val="20"/>
                <w:szCs w:val="20"/>
              </w:rPr>
              <w:t xml:space="preserve">M&amp;E and Audit Activity Update </w:t>
            </w:r>
          </w:p>
        </w:tc>
      </w:tr>
      <w:tr w:rsidR="00015DA3" w:rsidRPr="000A6A74" w14:paraId="0BB3B297" w14:textId="77777777" w:rsidTr="00983D15">
        <w:tc>
          <w:tcPr>
            <w:tcW w:w="5000" w:type="pct"/>
            <w:gridSpan w:val="2"/>
            <w:shd w:val="clear" w:color="auto" w:fill="DDD9C3" w:themeFill="background2" w:themeFillShade="E6"/>
          </w:tcPr>
          <w:p w14:paraId="6BA09CFE" w14:textId="77777777" w:rsidR="00015DA3" w:rsidRPr="001D7CC2" w:rsidRDefault="00015DA3" w:rsidP="0005531D">
            <w:pPr>
              <w:rPr>
                <w:b/>
                <w:sz w:val="20"/>
                <w:szCs w:val="20"/>
              </w:rPr>
            </w:pPr>
            <w:r w:rsidRPr="001D7CC2">
              <w:rPr>
                <w:b/>
                <w:sz w:val="20"/>
                <w:szCs w:val="20"/>
              </w:rPr>
              <w:t xml:space="preserve">M&amp;E Activity 1: </w:t>
            </w:r>
            <w:r w:rsidR="004A31B0" w:rsidRPr="001D7CC2">
              <w:rPr>
                <w:rFonts w:cs="CalibriRegular"/>
                <w:color w:val="1C1C1C"/>
                <w:sz w:val="20"/>
                <w:szCs w:val="20"/>
              </w:rPr>
              <w:t>Conduct a final external project evalua</w:t>
            </w:r>
            <w:r w:rsidR="004A31B0" w:rsidRPr="001D7CC2">
              <w:rPr>
                <w:rFonts w:cs="Arial"/>
                <w:color w:val="1C1C1C"/>
                <w:sz w:val="20"/>
                <w:szCs w:val="20"/>
              </w:rPr>
              <w:t>ti</w:t>
            </w:r>
            <w:r w:rsidR="004A31B0" w:rsidRPr="001D7CC2">
              <w:rPr>
                <w:rFonts w:cs="CalibriRegular"/>
                <w:color w:val="1C1C1C"/>
                <w:sz w:val="20"/>
                <w:szCs w:val="20"/>
              </w:rPr>
              <w:t>on</w:t>
            </w:r>
          </w:p>
        </w:tc>
      </w:tr>
      <w:tr w:rsidR="00406D64" w:rsidRPr="000A6A74" w14:paraId="44BB65D7" w14:textId="77777777" w:rsidTr="00983D15">
        <w:tc>
          <w:tcPr>
            <w:tcW w:w="1031" w:type="pct"/>
            <w:shd w:val="clear" w:color="auto" w:fill="DDD9C3" w:themeFill="background2" w:themeFillShade="E6"/>
          </w:tcPr>
          <w:p w14:paraId="07D70E12" w14:textId="77777777" w:rsidR="00406D64" w:rsidRPr="001D7CC2" w:rsidRDefault="00406D64" w:rsidP="002D72A8">
            <w:pPr>
              <w:rPr>
                <w:sz w:val="20"/>
                <w:szCs w:val="20"/>
              </w:rPr>
            </w:pPr>
            <w:r w:rsidRPr="001D7CC2">
              <w:rPr>
                <w:sz w:val="20"/>
                <w:szCs w:val="20"/>
              </w:rPr>
              <w:t xml:space="preserve">Reporting period: </w:t>
            </w:r>
          </w:p>
          <w:p w14:paraId="60437964" w14:textId="7724FADB" w:rsidR="00406D64" w:rsidRPr="001D7CC2" w:rsidRDefault="00476BE2" w:rsidP="004A31B0">
            <w:pPr>
              <w:rPr>
                <w:color w:val="000000" w:themeColor="text1"/>
                <w:sz w:val="20"/>
                <w:szCs w:val="20"/>
              </w:rPr>
            </w:pPr>
            <w:r>
              <w:rPr>
                <w:sz w:val="20"/>
                <w:szCs w:val="20"/>
              </w:rPr>
              <w:t>Y3</w:t>
            </w:r>
            <w:r w:rsidR="00B47E3F">
              <w:rPr>
                <w:sz w:val="20"/>
                <w:szCs w:val="20"/>
              </w:rPr>
              <w:t xml:space="preserve"> </w:t>
            </w:r>
            <w:r w:rsidR="00983D15">
              <w:rPr>
                <w:sz w:val="20"/>
                <w:szCs w:val="20"/>
              </w:rPr>
              <w:t xml:space="preserve">Annual </w:t>
            </w:r>
            <w:r w:rsidR="00B47E3F">
              <w:rPr>
                <w:sz w:val="20"/>
                <w:szCs w:val="20"/>
              </w:rPr>
              <w:t>Progress Report</w:t>
            </w:r>
            <w:r w:rsidR="00406D64" w:rsidRPr="001D7CC2">
              <w:rPr>
                <w:sz w:val="20"/>
                <w:szCs w:val="20"/>
              </w:rPr>
              <w:t xml:space="preserve">  </w:t>
            </w:r>
          </w:p>
        </w:tc>
        <w:tc>
          <w:tcPr>
            <w:tcW w:w="3969" w:type="pct"/>
            <w:shd w:val="clear" w:color="auto" w:fill="FFFFFF" w:themeFill="background1"/>
          </w:tcPr>
          <w:p w14:paraId="1794DBA7" w14:textId="390BDA25" w:rsidR="00406D64" w:rsidRPr="001D7CC2" w:rsidRDefault="007B1A7D" w:rsidP="002D72A8">
            <w:pPr>
              <w:rPr>
                <w:sz w:val="20"/>
                <w:szCs w:val="20"/>
              </w:rPr>
            </w:pPr>
            <w:r>
              <w:rPr>
                <w:sz w:val="20"/>
                <w:szCs w:val="20"/>
              </w:rPr>
              <w:t>The final evaluation was undertaken in from October to December 2017, including an in-country mission trip from 17-31 October 2017. A final evaluation report has been prepared.</w:t>
            </w:r>
          </w:p>
        </w:tc>
      </w:tr>
      <w:tr w:rsidR="00015DA3" w:rsidRPr="000A6A74" w14:paraId="58D4B80C" w14:textId="77777777" w:rsidTr="00983D15">
        <w:tc>
          <w:tcPr>
            <w:tcW w:w="5000" w:type="pct"/>
            <w:gridSpan w:val="2"/>
            <w:shd w:val="clear" w:color="auto" w:fill="DDD9C3" w:themeFill="background2" w:themeFillShade="E6"/>
          </w:tcPr>
          <w:p w14:paraId="643ED094" w14:textId="77777777" w:rsidR="00015DA3" w:rsidRPr="00986119" w:rsidRDefault="00015DA3" w:rsidP="00986119">
            <w:pPr>
              <w:autoSpaceDE w:val="0"/>
              <w:autoSpaceDN w:val="0"/>
              <w:adjustRightInd w:val="0"/>
              <w:rPr>
                <w:sz w:val="20"/>
                <w:szCs w:val="20"/>
              </w:rPr>
            </w:pPr>
            <w:r w:rsidRPr="001D7CC2">
              <w:rPr>
                <w:b/>
                <w:sz w:val="20"/>
                <w:szCs w:val="20"/>
              </w:rPr>
              <w:t xml:space="preserve">M&amp;E Activity 2: </w:t>
            </w:r>
            <w:r w:rsidR="00986119" w:rsidRPr="00986119">
              <w:rPr>
                <w:rFonts w:cs="CalibriRegular"/>
                <w:color w:val="1C1C1C"/>
                <w:sz w:val="20"/>
                <w:szCs w:val="20"/>
              </w:rPr>
              <w:t>Collect and compile baseline data in collaboration with UN agencies, govt partners and CSOs, and providing ongoing M&amp;E support</w:t>
            </w:r>
          </w:p>
        </w:tc>
      </w:tr>
      <w:tr w:rsidR="00406D64" w:rsidRPr="000A6A74" w14:paraId="72177952" w14:textId="77777777" w:rsidTr="00983D15">
        <w:tc>
          <w:tcPr>
            <w:tcW w:w="1031" w:type="pct"/>
            <w:shd w:val="clear" w:color="auto" w:fill="DDD9C3" w:themeFill="background2" w:themeFillShade="E6"/>
          </w:tcPr>
          <w:p w14:paraId="73A58EFB" w14:textId="77777777" w:rsidR="00406D64" w:rsidRPr="001D7CC2" w:rsidRDefault="00406D64" w:rsidP="002D72A8">
            <w:pPr>
              <w:rPr>
                <w:sz w:val="20"/>
                <w:szCs w:val="20"/>
              </w:rPr>
            </w:pPr>
            <w:r w:rsidRPr="001D7CC2">
              <w:rPr>
                <w:sz w:val="20"/>
                <w:szCs w:val="20"/>
              </w:rPr>
              <w:t xml:space="preserve">Reporting period: </w:t>
            </w:r>
          </w:p>
          <w:p w14:paraId="316B1F3B" w14:textId="75698B05" w:rsidR="00406D64" w:rsidRPr="001D7CC2" w:rsidRDefault="00476BE2" w:rsidP="004A31B0">
            <w:pPr>
              <w:rPr>
                <w:color w:val="000000" w:themeColor="text1"/>
                <w:sz w:val="20"/>
                <w:szCs w:val="20"/>
              </w:rPr>
            </w:pPr>
            <w:r>
              <w:rPr>
                <w:sz w:val="20"/>
                <w:szCs w:val="20"/>
              </w:rPr>
              <w:t>Y3</w:t>
            </w:r>
            <w:r w:rsidR="00B47E3F">
              <w:rPr>
                <w:sz w:val="20"/>
                <w:szCs w:val="20"/>
              </w:rPr>
              <w:t xml:space="preserve"> </w:t>
            </w:r>
            <w:r w:rsidR="00983D15">
              <w:rPr>
                <w:sz w:val="20"/>
                <w:szCs w:val="20"/>
              </w:rPr>
              <w:t xml:space="preserve">Annual </w:t>
            </w:r>
            <w:r w:rsidR="00B47E3F">
              <w:rPr>
                <w:sz w:val="20"/>
                <w:szCs w:val="20"/>
              </w:rPr>
              <w:t>Progress Report</w:t>
            </w:r>
            <w:r w:rsidR="00406D64" w:rsidRPr="001D7CC2">
              <w:rPr>
                <w:sz w:val="20"/>
                <w:szCs w:val="20"/>
              </w:rPr>
              <w:t xml:space="preserve">  </w:t>
            </w:r>
          </w:p>
        </w:tc>
        <w:tc>
          <w:tcPr>
            <w:tcW w:w="3969" w:type="pct"/>
            <w:shd w:val="clear" w:color="auto" w:fill="FFFFFF" w:themeFill="background1"/>
          </w:tcPr>
          <w:p w14:paraId="619AE320" w14:textId="640C0661" w:rsidR="00F73137" w:rsidRDefault="00F73137" w:rsidP="00F73137">
            <w:pPr>
              <w:pStyle w:val="CommentText"/>
              <w:jc w:val="both"/>
            </w:pPr>
            <w:r>
              <w:t>A</w:t>
            </w:r>
            <w:r w:rsidRPr="00D376BF">
              <w:t>dministration of the MRE approach was a team effort. The MRE approach and data collection tools were developed by the UN Women MRE Specialist, Dr. Robin Haarr, and was approved by UN Women, UN-SIG JP members, and the SAFENET Coordinator. Given the number of contract days for the MRE Specialist was limited each year, implementation of the M&amp;E approach and data tools, including systematic data collection, fell to the responsibility of the UN Women JP Coordinator</w:t>
            </w:r>
            <w:r w:rsidRPr="00D376BF">
              <w:rPr>
                <w:rStyle w:val="FootnoteReference"/>
              </w:rPr>
              <w:footnoteReference w:id="2"/>
            </w:r>
            <w:r w:rsidRPr="00D376BF">
              <w:t>, with support from the SAFENET Coordinator for the collection of VAWG administrative data from SAFENET Referral Network members and Seif Ples. This was a challenge given the M&amp;E responsibilities were often labour intensive and were in addition to the UN JP Coordinator’s and SAFENET Coordinator’s assigned responsibilities</w:t>
            </w:r>
            <w:r>
              <w:t>, and neither the UN JP Coordinator or the SAFENET Coordinator had M&amp;E expertise</w:t>
            </w:r>
            <w:r w:rsidRPr="00D376BF">
              <w:t xml:space="preserve">. It was also a challenge that resources were not allocated by the MHMS to the SAFENET Coordinator to support travel to each of the agencies/organizations to collect the VAWG administrative data on a regular basis (preferred monthly data collection). The UN-SIG JP and UN Women would have benefited by contracting a national consultant with expertise in M&amp;E who could have supported the MRE Specialist, the UN JP Coordinator, and the SAFENET Coordinator to ensure the M&amp;E approach was properly and fully implemented over the three-year period of the project. </w:t>
            </w:r>
          </w:p>
          <w:p w14:paraId="3C5D9CD7" w14:textId="77777777" w:rsidR="00F73137" w:rsidRPr="00D376BF" w:rsidRDefault="00F73137" w:rsidP="00F73137">
            <w:pPr>
              <w:pStyle w:val="CommentText"/>
              <w:jc w:val="both"/>
            </w:pPr>
          </w:p>
          <w:p w14:paraId="0E083784" w14:textId="64E64186" w:rsidR="00F73137" w:rsidRDefault="00F73137" w:rsidP="00F73137">
            <w:pPr>
              <w:pStyle w:val="CommentText"/>
              <w:jc w:val="both"/>
            </w:pPr>
            <w:r w:rsidRPr="00D376BF">
              <w:t xml:space="preserve">A lot of responsibility was also placed upon the MWYCFA, UN-SIG JP members, and SAFENET Referral Network to collect information and data, and to complete self-report monitoring forms that would contributed information and data on a regular basis to the MRE process. The MWYCFA and SAFENET members needed capacity building and support from the UN JP Coordinator and the SAFENET Coordinator. Again, this is where the UN-SIG JP and UN Women would have benefited significantly from having a national consultant with expertise in M&amp;E who could have worked with the MWYCFA and SAFENET members to build their capacities to collect administrative data related to VAWG, compile and review ministries’ annual workplans, to conduct pre- and post-training surveys, to conduct satisfaction surveys of VAWG survivors who sought VAWG services, and to carrying out self-monitoring activities that were needed to support the M&amp;E approach. </w:t>
            </w:r>
          </w:p>
          <w:p w14:paraId="706CA751" w14:textId="77777777" w:rsidR="00F73137" w:rsidRPr="00D376BF" w:rsidRDefault="00F73137" w:rsidP="00F73137">
            <w:pPr>
              <w:pStyle w:val="CommentText"/>
              <w:jc w:val="both"/>
            </w:pPr>
          </w:p>
          <w:p w14:paraId="3DFB707E" w14:textId="341EEA43" w:rsidR="00FF3606" w:rsidRPr="003B6BAA" w:rsidRDefault="00F73137" w:rsidP="00725049">
            <w:pPr>
              <w:pStyle w:val="CommentText"/>
            </w:pPr>
            <w:r w:rsidRPr="00D376BF">
              <w:t xml:space="preserve">The MRE Specialist was responsible for conducting the baseline study during a 10-day mission trip to Honiara in May 2015, the midline assessment during a 6-day mission trip to Honiara in June 2016, and the endline assessment during a 13-day mission trip to </w:t>
            </w:r>
            <w:r w:rsidRPr="00D376BF">
              <w:lastRenderedPageBreak/>
              <w:t xml:space="preserve">Honiara in October 2017. Six-month and annual reports to the UNTF were drafted by the UN JP Coordinator and then finalized in cooperation with the MRE Specialist. </w:t>
            </w:r>
          </w:p>
        </w:tc>
      </w:tr>
      <w:tr w:rsidR="00015DA3" w:rsidRPr="000A6A74" w14:paraId="6423A635" w14:textId="77777777" w:rsidTr="00983D15">
        <w:tc>
          <w:tcPr>
            <w:tcW w:w="5000" w:type="pct"/>
            <w:gridSpan w:val="2"/>
            <w:shd w:val="clear" w:color="auto" w:fill="DDD9C3" w:themeFill="background2" w:themeFillShade="E6"/>
          </w:tcPr>
          <w:p w14:paraId="0996400B" w14:textId="77777777" w:rsidR="00015DA3" w:rsidRPr="00986119" w:rsidRDefault="00015DA3" w:rsidP="004A31B0">
            <w:pPr>
              <w:rPr>
                <w:sz w:val="20"/>
                <w:szCs w:val="20"/>
              </w:rPr>
            </w:pPr>
            <w:r w:rsidRPr="001D7CC2">
              <w:rPr>
                <w:b/>
                <w:sz w:val="20"/>
                <w:szCs w:val="20"/>
              </w:rPr>
              <w:lastRenderedPageBreak/>
              <w:t xml:space="preserve">M&amp;E Activity 3: </w:t>
            </w:r>
            <w:r w:rsidR="00986119" w:rsidRPr="00986119">
              <w:rPr>
                <w:rFonts w:cs="CalibriRegular"/>
                <w:color w:val="1C1C1C"/>
                <w:sz w:val="20"/>
                <w:szCs w:val="20"/>
              </w:rPr>
              <w:t>Workshops on JP data collection methods, plans and progress</w:t>
            </w:r>
          </w:p>
        </w:tc>
      </w:tr>
      <w:tr w:rsidR="00406D64" w:rsidRPr="000A6A74" w14:paraId="5E934E36" w14:textId="77777777" w:rsidTr="00983D15">
        <w:tc>
          <w:tcPr>
            <w:tcW w:w="1031" w:type="pct"/>
            <w:shd w:val="clear" w:color="auto" w:fill="DDD9C3" w:themeFill="background2" w:themeFillShade="E6"/>
          </w:tcPr>
          <w:p w14:paraId="46AC32A5" w14:textId="77777777" w:rsidR="00406D64" w:rsidRPr="001D7CC2" w:rsidRDefault="00406D64" w:rsidP="002D72A8">
            <w:pPr>
              <w:rPr>
                <w:sz w:val="20"/>
                <w:szCs w:val="20"/>
              </w:rPr>
            </w:pPr>
            <w:r w:rsidRPr="001D7CC2">
              <w:rPr>
                <w:sz w:val="20"/>
                <w:szCs w:val="20"/>
              </w:rPr>
              <w:t xml:space="preserve">Reporting period: </w:t>
            </w:r>
          </w:p>
          <w:p w14:paraId="571FB34A" w14:textId="0093801F" w:rsidR="00406D64" w:rsidRPr="001D7CC2" w:rsidRDefault="00476BE2" w:rsidP="004A31B0">
            <w:pPr>
              <w:rPr>
                <w:color w:val="000000" w:themeColor="text1"/>
                <w:sz w:val="20"/>
                <w:szCs w:val="20"/>
              </w:rPr>
            </w:pPr>
            <w:r>
              <w:rPr>
                <w:sz w:val="20"/>
                <w:szCs w:val="20"/>
              </w:rPr>
              <w:t>Y3</w:t>
            </w:r>
            <w:r w:rsidR="00B47E3F">
              <w:rPr>
                <w:sz w:val="20"/>
                <w:szCs w:val="20"/>
              </w:rPr>
              <w:t xml:space="preserve"> </w:t>
            </w:r>
            <w:r w:rsidR="00983D15">
              <w:rPr>
                <w:sz w:val="20"/>
                <w:szCs w:val="20"/>
              </w:rPr>
              <w:t xml:space="preserve">Annual </w:t>
            </w:r>
            <w:r w:rsidR="00B47E3F">
              <w:rPr>
                <w:sz w:val="20"/>
                <w:szCs w:val="20"/>
              </w:rPr>
              <w:t>Progress Report</w:t>
            </w:r>
            <w:r w:rsidR="00406D64" w:rsidRPr="001D7CC2">
              <w:rPr>
                <w:sz w:val="20"/>
                <w:szCs w:val="20"/>
              </w:rPr>
              <w:t xml:space="preserve">  </w:t>
            </w:r>
          </w:p>
        </w:tc>
        <w:tc>
          <w:tcPr>
            <w:tcW w:w="3969" w:type="pct"/>
            <w:shd w:val="clear" w:color="auto" w:fill="FFFFFF" w:themeFill="background1"/>
          </w:tcPr>
          <w:p w14:paraId="762E056E" w14:textId="0B256CEF" w:rsidR="005E4D45" w:rsidRPr="001D7CC2" w:rsidRDefault="00F73137" w:rsidP="00983D15">
            <w:pPr>
              <w:rPr>
                <w:sz w:val="20"/>
                <w:szCs w:val="20"/>
              </w:rPr>
            </w:pPr>
            <w:r>
              <w:rPr>
                <w:sz w:val="20"/>
                <w:szCs w:val="20"/>
              </w:rPr>
              <w:t>Completed in 2015 at the time of the baseline, and in 2016 at the time of the midline assessment.</w:t>
            </w:r>
          </w:p>
        </w:tc>
      </w:tr>
      <w:tr w:rsidR="00015DA3" w:rsidRPr="000A6A74" w14:paraId="43A6CF31" w14:textId="77777777" w:rsidTr="00983D15">
        <w:tc>
          <w:tcPr>
            <w:tcW w:w="5000" w:type="pct"/>
            <w:gridSpan w:val="2"/>
            <w:shd w:val="clear" w:color="auto" w:fill="DDD9C3" w:themeFill="background2" w:themeFillShade="E6"/>
          </w:tcPr>
          <w:p w14:paraId="542C5431" w14:textId="77777777" w:rsidR="00015DA3" w:rsidRPr="00986119" w:rsidRDefault="00015DA3" w:rsidP="001D7CC2">
            <w:pPr>
              <w:rPr>
                <w:sz w:val="20"/>
                <w:szCs w:val="20"/>
              </w:rPr>
            </w:pPr>
            <w:r w:rsidRPr="001D7CC2">
              <w:rPr>
                <w:b/>
                <w:sz w:val="20"/>
                <w:szCs w:val="20"/>
              </w:rPr>
              <w:t xml:space="preserve">M&amp;E Activity 4: </w:t>
            </w:r>
            <w:r w:rsidR="00986119" w:rsidRPr="00986119">
              <w:rPr>
                <w:rFonts w:cs="CalibriRegular"/>
                <w:color w:val="1C1C1C"/>
                <w:sz w:val="20"/>
                <w:szCs w:val="20"/>
              </w:rPr>
              <w:t>Quarterly and annual report preparatio</w:t>
            </w:r>
            <w:r w:rsidR="007232E3">
              <w:rPr>
                <w:rFonts w:cs="CalibriRegular"/>
                <w:color w:val="1C1C1C"/>
                <w:sz w:val="20"/>
                <w:szCs w:val="20"/>
              </w:rPr>
              <w:t>n</w:t>
            </w:r>
          </w:p>
        </w:tc>
      </w:tr>
      <w:tr w:rsidR="00406D64" w:rsidRPr="000A6A74" w14:paraId="525280B6" w14:textId="77777777" w:rsidTr="00983D15">
        <w:tc>
          <w:tcPr>
            <w:tcW w:w="1031" w:type="pct"/>
            <w:shd w:val="clear" w:color="auto" w:fill="DDD9C3" w:themeFill="background2" w:themeFillShade="E6"/>
          </w:tcPr>
          <w:p w14:paraId="71675A26" w14:textId="77777777" w:rsidR="00406D64" w:rsidRPr="001D7CC2" w:rsidRDefault="00406D64" w:rsidP="002D72A8">
            <w:pPr>
              <w:rPr>
                <w:sz w:val="20"/>
                <w:szCs w:val="20"/>
              </w:rPr>
            </w:pPr>
            <w:r w:rsidRPr="001D7CC2">
              <w:rPr>
                <w:sz w:val="20"/>
                <w:szCs w:val="20"/>
              </w:rPr>
              <w:t xml:space="preserve">Reporting period: </w:t>
            </w:r>
          </w:p>
          <w:p w14:paraId="24FA4B5C" w14:textId="348101F0" w:rsidR="00406D64" w:rsidRPr="001D7CC2" w:rsidRDefault="00476BE2" w:rsidP="001D7CC2">
            <w:pPr>
              <w:rPr>
                <w:color w:val="000000" w:themeColor="text1"/>
                <w:sz w:val="20"/>
                <w:szCs w:val="20"/>
              </w:rPr>
            </w:pPr>
            <w:r>
              <w:rPr>
                <w:sz w:val="20"/>
                <w:szCs w:val="20"/>
              </w:rPr>
              <w:t>Y3</w:t>
            </w:r>
            <w:r w:rsidR="00B47E3F">
              <w:rPr>
                <w:sz w:val="20"/>
                <w:szCs w:val="20"/>
              </w:rPr>
              <w:t xml:space="preserve"> </w:t>
            </w:r>
            <w:r w:rsidR="00983D15">
              <w:rPr>
                <w:sz w:val="20"/>
                <w:szCs w:val="20"/>
              </w:rPr>
              <w:t xml:space="preserve">Annual </w:t>
            </w:r>
            <w:r w:rsidR="00B47E3F">
              <w:rPr>
                <w:sz w:val="20"/>
                <w:szCs w:val="20"/>
              </w:rPr>
              <w:t>Progress Report</w:t>
            </w:r>
            <w:r w:rsidR="00406D64" w:rsidRPr="001D7CC2">
              <w:rPr>
                <w:sz w:val="20"/>
                <w:szCs w:val="20"/>
              </w:rPr>
              <w:t xml:space="preserve">  </w:t>
            </w:r>
          </w:p>
        </w:tc>
        <w:tc>
          <w:tcPr>
            <w:tcW w:w="3969" w:type="pct"/>
            <w:shd w:val="clear" w:color="auto" w:fill="FFFFFF" w:themeFill="background1"/>
          </w:tcPr>
          <w:p w14:paraId="29483629" w14:textId="7A4B378F" w:rsidR="00406D64" w:rsidRPr="001D7CC2" w:rsidRDefault="00F73137" w:rsidP="00983D15">
            <w:pPr>
              <w:rPr>
                <w:sz w:val="20"/>
                <w:szCs w:val="20"/>
              </w:rPr>
            </w:pPr>
            <w:r>
              <w:rPr>
                <w:sz w:val="20"/>
                <w:szCs w:val="20"/>
              </w:rPr>
              <w:t>The six-month reports and annual reports were completed in 2015 and 2016, along with a baseline report in 2015 , midline assessment report in 2016, and endline report in 2017.</w:t>
            </w:r>
          </w:p>
        </w:tc>
      </w:tr>
      <w:tr w:rsidR="00015DA3" w:rsidRPr="000A6A74" w14:paraId="77CDB55F" w14:textId="77777777" w:rsidTr="00983D15">
        <w:trPr>
          <w:trHeight w:val="166"/>
        </w:trPr>
        <w:tc>
          <w:tcPr>
            <w:tcW w:w="5000" w:type="pct"/>
            <w:gridSpan w:val="2"/>
            <w:shd w:val="clear" w:color="auto" w:fill="DDD9C3" w:themeFill="background2" w:themeFillShade="E6"/>
          </w:tcPr>
          <w:p w14:paraId="42209A56" w14:textId="77777777" w:rsidR="00015DA3" w:rsidRPr="00986119" w:rsidRDefault="00015DA3" w:rsidP="001D7CC2">
            <w:pPr>
              <w:autoSpaceDE w:val="0"/>
              <w:autoSpaceDN w:val="0"/>
              <w:adjustRightInd w:val="0"/>
              <w:rPr>
                <w:sz w:val="20"/>
                <w:szCs w:val="20"/>
              </w:rPr>
            </w:pPr>
            <w:r w:rsidRPr="001D7CC2">
              <w:rPr>
                <w:b/>
                <w:sz w:val="20"/>
                <w:szCs w:val="20"/>
              </w:rPr>
              <w:t xml:space="preserve">M&amp;E Activity 5: </w:t>
            </w:r>
            <w:r w:rsidR="00986119" w:rsidRPr="00986119">
              <w:rPr>
                <w:rFonts w:cs="CalibriRegular"/>
                <w:color w:val="1C1C1C"/>
                <w:sz w:val="20"/>
                <w:szCs w:val="20"/>
              </w:rPr>
              <w:t>Midline assessment of indicators and progress</w:t>
            </w:r>
          </w:p>
        </w:tc>
      </w:tr>
      <w:tr w:rsidR="00406D64" w:rsidRPr="000A6A74" w14:paraId="1F2530C6" w14:textId="77777777" w:rsidTr="00983D15">
        <w:tc>
          <w:tcPr>
            <w:tcW w:w="1031" w:type="pct"/>
            <w:shd w:val="clear" w:color="auto" w:fill="DDD9C3" w:themeFill="background2" w:themeFillShade="E6"/>
          </w:tcPr>
          <w:p w14:paraId="29B3FF70" w14:textId="77777777" w:rsidR="00406D64" w:rsidRPr="000A6A74" w:rsidRDefault="00406D64" w:rsidP="002D72A8">
            <w:pPr>
              <w:rPr>
                <w:sz w:val="20"/>
                <w:szCs w:val="20"/>
              </w:rPr>
            </w:pPr>
            <w:r w:rsidRPr="000A6A74">
              <w:rPr>
                <w:sz w:val="20"/>
                <w:szCs w:val="20"/>
              </w:rPr>
              <w:t xml:space="preserve">Reporting period: </w:t>
            </w:r>
          </w:p>
          <w:p w14:paraId="795B4453" w14:textId="1839AB44" w:rsidR="00406D64" w:rsidRPr="000A6A74" w:rsidRDefault="00476BE2" w:rsidP="001D7CC2">
            <w:pPr>
              <w:rPr>
                <w:color w:val="000000" w:themeColor="text1"/>
                <w:sz w:val="20"/>
                <w:szCs w:val="20"/>
              </w:rPr>
            </w:pPr>
            <w:r>
              <w:rPr>
                <w:sz w:val="20"/>
                <w:szCs w:val="20"/>
              </w:rPr>
              <w:t>Y3</w:t>
            </w:r>
            <w:r w:rsidR="00B47E3F">
              <w:rPr>
                <w:sz w:val="20"/>
                <w:szCs w:val="20"/>
              </w:rPr>
              <w:t xml:space="preserve"> </w:t>
            </w:r>
            <w:r w:rsidR="00CE449F">
              <w:rPr>
                <w:sz w:val="20"/>
                <w:szCs w:val="20"/>
              </w:rPr>
              <w:t xml:space="preserve">Annual </w:t>
            </w:r>
            <w:r w:rsidR="00B47E3F">
              <w:rPr>
                <w:sz w:val="20"/>
                <w:szCs w:val="20"/>
              </w:rPr>
              <w:t>Progress Report</w:t>
            </w:r>
            <w:r w:rsidR="00406D64" w:rsidRPr="000A6A74">
              <w:rPr>
                <w:sz w:val="20"/>
                <w:szCs w:val="20"/>
              </w:rPr>
              <w:t xml:space="preserve">  </w:t>
            </w:r>
          </w:p>
        </w:tc>
        <w:tc>
          <w:tcPr>
            <w:tcW w:w="3969" w:type="pct"/>
            <w:shd w:val="clear" w:color="auto" w:fill="FFFFFF" w:themeFill="background1"/>
          </w:tcPr>
          <w:p w14:paraId="3D591FC9" w14:textId="0803885E" w:rsidR="00406D64" w:rsidRPr="000A6A74" w:rsidRDefault="00F73137" w:rsidP="00725049">
            <w:pPr>
              <w:pStyle w:val="Default"/>
              <w:rPr>
                <w:sz w:val="20"/>
                <w:szCs w:val="20"/>
              </w:rPr>
            </w:pPr>
            <w:r>
              <w:rPr>
                <w:sz w:val="20"/>
                <w:szCs w:val="20"/>
              </w:rPr>
              <w:t xml:space="preserve">The midline assessment of indicators and progress were completed in June 2016 and the midline report was completed in July 2016, inclusive of all data and analyses, which were incorporated into the six-month and annual progress reports for 2016 and this data and information has been incorporated into this results and activity report. </w:t>
            </w:r>
          </w:p>
        </w:tc>
      </w:tr>
      <w:tr w:rsidR="00015DA3" w:rsidRPr="000A6A74" w14:paraId="7BB0C0C9" w14:textId="77777777" w:rsidTr="00983D15">
        <w:tc>
          <w:tcPr>
            <w:tcW w:w="5000" w:type="pct"/>
            <w:gridSpan w:val="2"/>
            <w:shd w:val="clear" w:color="auto" w:fill="D9D9D9" w:themeFill="background1" w:themeFillShade="D9"/>
          </w:tcPr>
          <w:p w14:paraId="70CCCBBB" w14:textId="77777777" w:rsidR="00015DA3" w:rsidRPr="001D7CC2" w:rsidRDefault="00015DA3" w:rsidP="0005531D">
            <w:pPr>
              <w:rPr>
                <w:sz w:val="20"/>
                <w:szCs w:val="20"/>
              </w:rPr>
            </w:pPr>
            <w:r w:rsidRPr="001D7CC2">
              <w:rPr>
                <w:b/>
                <w:sz w:val="20"/>
                <w:szCs w:val="20"/>
              </w:rPr>
              <w:t xml:space="preserve">Audit Activity 1: </w:t>
            </w:r>
            <w:r w:rsidR="001D7CC2" w:rsidRPr="001D7CC2">
              <w:rPr>
                <w:rFonts w:cs="CalibriRegular"/>
                <w:color w:val="1C1C1C"/>
                <w:sz w:val="20"/>
                <w:szCs w:val="20"/>
              </w:rPr>
              <w:t>Conduct a final project audit</w:t>
            </w:r>
          </w:p>
        </w:tc>
      </w:tr>
      <w:tr w:rsidR="00406D64" w:rsidRPr="000A6A74" w14:paraId="29F843F7" w14:textId="77777777" w:rsidTr="00983D15">
        <w:tc>
          <w:tcPr>
            <w:tcW w:w="1031" w:type="pct"/>
            <w:shd w:val="clear" w:color="auto" w:fill="D9D9D9" w:themeFill="background1" w:themeFillShade="D9"/>
          </w:tcPr>
          <w:p w14:paraId="46E0E8F6" w14:textId="77777777" w:rsidR="00406D64" w:rsidRPr="000A6A74" w:rsidRDefault="00406D64" w:rsidP="002D72A8">
            <w:pPr>
              <w:rPr>
                <w:sz w:val="20"/>
                <w:szCs w:val="20"/>
              </w:rPr>
            </w:pPr>
            <w:r w:rsidRPr="000A6A74">
              <w:rPr>
                <w:sz w:val="20"/>
                <w:szCs w:val="20"/>
              </w:rPr>
              <w:t xml:space="preserve">Reporting period: </w:t>
            </w:r>
          </w:p>
          <w:p w14:paraId="3D560EA4" w14:textId="0AFD7282" w:rsidR="00406D64" w:rsidRPr="000A6A74" w:rsidRDefault="00476BE2" w:rsidP="001D7CC2">
            <w:pPr>
              <w:rPr>
                <w:color w:val="000000" w:themeColor="text1"/>
                <w:sz w:val="20"/>
                <w:szCs w:val="20"/>
              </w:rPr>
            </w:pPr>
            <w:r>
              <w:rPr>
                <w:sz w:val="20"/>
                <w:szCs w:val="20"/>
              </w:rPr>
              <w:t>Y3</w:t>
            </w:r>
            <w:r w:rsidR="00B47E3F">
              <w:rPr>
                <w:sz w:val="20"/>
                <w:szCs w:val="20"/>
              </w:rPr>
              <w:t xml:space="preserve"> </w:t>
            </w:r>
            <w:r w:rsidR="00CE449F">
              <w:rPr>
                <w:sz w:val="20"/>
                <w:szCs w:val="20"/>
              </w:rPr>
              <w:t xml:space="preserve">Annual </w:t>
            </w:r>
            <w:r w:rsidR="00B47E3F">
              <w:rPr>
                <w:sz w:val="20"/>
                <w:szCs w:val="20"/>
              </w:rPr>
              <w:t>Progress Report</w:t>
            </w:r>
            <w:r w:rsidR="00406D64" w:rsidRPr="000A6A74">
              <w:rPr>
                <w:sz w:val="20"/>
                <w:szCs w:val="20"/>
              </w:rPr>
              <w:t xml:space="preserve">  </w:t>
            </w:r>
          </w:p>
        </w:tc>
        <w:tc>
          <w:tcPr>
            <w:tcW w:w="3969" w:type="pct"/>
            <w:shd w:val="clear" w:color="auto" w:fill="FFFFFF" w:themeFill="background1"/>
          </w:tcPr>
          <w:p w14:paraId="297C8B49" w14:textId="5DE5BC38" w:rsidR="00406D64" w:rsidRPr="000A6A74" w:rsidRDefault="00F73137" w:rsidP="002D72A8">
            <w:pPr>
              <w:rPr>
                <w:sz w:val="20"/>
                <w:szCs w:val="20"/>
              </w:rPr>
            </w:pPr>
            <w:r>
              <w:rPr>
                <w:sz w:val="20"/>
                <w:szCs w:val="20"/>
              </w:rPr>
              <w:t>N/A</w:t>
            </w:r>
          </w:p>
        </w:tc>
      </w:tr>
    </w:tbl>
    <w:p w14:paraId="34542968" w14:textId="77777777" w:rsidR="00015DA3" w:rsidRPr="000A6A74" w:rsidRDefault="00015DA3" w:rsidP="00F507C1">
      <w:pPr>
        <w:spacing w:after="0" w:line="240" w:lineRule="auto"/>
        <w:rPr>
          <w:b/>
          <w:sz w:val="20"/>
          <w:szCs w:val="20"/>
        </w:rPr>
      </w:pPr>
    </w:p>
    <w:p w14:paraId="1BC549FC" w14:textId="77777777" w:rsidR="00015DA3" w:rsidRPr="000A6A74" w:rsidRDefault="00015DA3" w:rsidP="00F507C1">
      <w:pPr>
        <w:spacing w:after="0" w:line="240" w:lineRule="auto"/>
        <w:rPr>
          <w:b/>
          <w:sz w:val="20"/>
          <w:szCs w:val="20"/>
        </w:rPr>
      </w:pPr>
    </w:p>
    <w:p w14:paraId="7AB3FBCB" w14:textId="77777777" w:rsidR="00F507C1" w:rsidRPr="000A6A74" w:rsidRDefault="00F507C1" w:rsidP="00C42B7B">
      <w:pPr>
        <w:spacing w:after="0" w:line="240" w:lineRule="auto"/>
        <w:rPr>
          <w:sz w:val="20"/>
          <w:szCs w:val="20"/>
        </w:rPr>
      </w:pPr>
    </w:p>
    <w:sectPr w:rsidR="00F507C1" w:rsidRPr="000A6A74" w:rsidSect="009C6909">
      <w:headerReference w:type="default" r:id="rId9"/>
      <w:footerReference w:type="default" r:id="rId10"/>
      <w:pgSz w:w="16838" w:h="11906" w:orient="landscape" w:code="9"/>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E8BC" w14:textId="77777777" w:rsidR="00071547" w:rsidRDefault="00071547" w:rsidP="0005263A">
      <w:pPr>
        <w:spacing w:after="0" w:line="240" w:lineRule="auto"/>
      </w:pPr>
      <w:r>
        <w:separator/>
      </w:r>
    </w:p>
  </w:endnote>
  <w:endnote w:type="continuationSeparator" w:id="0">
    <w:p w14:paraId="3AF3423C" w14:textId="77777777" w:rsidR="00071547" w:rsidRDefault="00071547" w:rsidP="0005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29651"/>
      <w:docPartObj>
        <w:docPartGallery w:val="Page Numbers (Bottom of Page)"/>
        <w:docPartUnique/>
      </w:docPartObj>
    </w:sdtPr>
    <w:sdtEndPr>
      <w:rPr>
        <w:noProof/>
        <w:sz w:val="20"/>
        <w:szCs w:val="20"/>
      </w:rPr>
    </w:sdtEndPr>
    <w:sdtContent>
      <w:p w14:paraId="6CDCBA9D" w14:textId="6B591162" w:rsidR="007B1A7D" w:rsidRPr="00E6021E" w:rsidRDefault="007B1A7D">
        <w:pPr>
          <w:pStyle w:val="Footer"/>
          <w:jc w:val="center"/>
          <w:rPr>
            <w:sz w:val="20"/>
            <w:szCs w:val="20"/>
          </w:rPr>
        </w:pPr>
        <w:r w:rsidRPr="00E6021E">
          <w:rPr>
            <w:sz w:val="20"/>
            <w:szCs w:val="20"/>
          </w:rPr>
          <w:fldChar w:fldCharType="begin"/>
        </w:r>
        <w:r w:rsidRPr="00E6021E">
          <w:rPr>
            <w:sz w:val="20"/>
            <w:szCs w:val="20"/>
          </w:rPr>
          <w:instrText xml:space="preserve"> PAGE   \* MERGEFORMAT </w:instrText>
        </w:r>
        <w:r w:rsidRPr="00E6021E">
          <w:rPr>
            <w:sz w:val="20"/>
            <w:szCs w:val="20"/>
          </w:rPr>
          <w:fldChar w:fldCharType="separate"/>
        </w:r>
        <w:r w:rsidR="00725049">
          <w:rPr>
            <w:noProof/>
            <w:sz w:val="20"/>
            <w:szCs w:val="20"/>
          </w:rPr>
          <w:t>25</w:t>
        </w:r>
        <w:r w:rsidRPr="00E6021E">
          <w:rPr>
            <w:noProof/>
            <w:sz w:val="20"/>
            <w:szCs w:val="20"/>
          </w:rPr>
          <w:fldChar w:fldCharType="end"/>
        </w:r>
      </w:p>
    </w:sdtContent>
  </w:sdt>
  <w:p w14:paraId="6AF007B4" w14:textId="77777777" w:rsidR="007B1A7D" w:rsidRDefault="007B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7AB4" w14:textId="77777777" w:rsidR="00071547" w:rsidRDefault="00071547" w:rsidP="0005263A">
      <w:pPr>
        <w:spacing w:after="0" w:line="240" w:lineRule="auto"/>
      </w:pPr>
      <w:r>
        <w:separator/>
      </w:r>
    </w:p>
  </w:footnote>
  <w:footnote w:type="continuationSeparator" w:id="0">
    <w:p w14:paraId="325DE769" w14:textId="77777777" w:rsidR="00071547" w:rsidRDefault="00071547" w:rsidP="0005263A">
      <w:pPr>
        <w:spacing w:after="0" w:line="240" w:lineRule="auto"/>
      </w:pPr>
      <w:r>
        <w:continuationSeparator/>
      </w:r>
    </w:p>
  </w:footnote>
  <w:footnote w:id="1">
    <w:p w14:paraId="01EAEFC9" w14:textId="1439FE93" w:rsidR="007B1A7D" w:rsidRPr="00725049" w:rsidRDefault="007B1A7D">
      <w:pPr>
        <w:pStyle w:val="FootnoteText"/>
        <w:rPr>
          <w:lang w:val="en-US"/>
        </w:rPr>
      </w:pPr>
      <w:r>
        <w:rPr>
          <w:rStyle w:val="FootnoteReference"/>
        </w:rPr>
        <w:footnoteRef/>
      </w:r>
      <w:r>
        <w:t xml:space="preserve"> These figures come from </w:t>
      </w:r>
      <w:r>
        <w:rPr>
          <w:sz w:val="16"/>
          <w:szCs w:val="16"/>
        </w:rPr>
        <w:t xml:space="preserve">monthly data reported by the three VAWG service providers (i.e., Christian Care Centre, Family Support Centre, and Seif Ples); however, </w:t>
      </w:r>
      <w:r w:rsidRPr="00455B49">
        <w:rPr>
          <w:rFonts w:cs="CalibriRegular"/>
          <w:sz w:val="18"/>
          <w:szCs w:val="18"/>
        </w:rPr>
        <w:t>Seif Ples data are missing for</w:t>
      </w:r>
      <w:r>
        <w:rPr>
          <w:rFonts w:cs="CalibriRegular"/>
          <w:sz w:val="18"/>
          <w:szCs w:val="18"/>
        </w:rPr>
        <w:t xml:space="preserve"> January </w:t>
      </w:r>
      <w:r w:rsidRPr="00455B49">
        <w:rPr>
          <w:rFonts w:cs="CalibriRegular"/>
          <w:sz w:val="18"/>
          <w:szCs w:val="18"/>
        </w:rPr>
        <w:t xml:space="preserve">to </w:t>
      </w:r>
      <w:r>
        <w:rPr>
          <w:rFonts w:cs="CalibriRegular"/>
          <w:sz w:val="18"/>
          <w:szCs w:val="18"/>
        </w:rPr>
        <w:t>September 2017</w:t>
      </w:r>
      <w:r>
        <w:rPr>
          <w:rFonts w:cs="CalibriRegular"/>
          <w:sz w:val="18"/>
          <w:szCs w:val="18"/>
          <w:lang w:val="en-US"/>
        </w:rPr>
        <w:t>.</w:t>
      </w:r>
    </w:p>
  </w:footnote>
  <w:footnote w:id="2">
    <w:p w14:paraId="684B13D6" w14:textId="77777777" w:rsidR="00F73137" w:rsidRPr="009F3D03" w:rsidRDefault="00F73137" w:rsidP="00F73137">
      <w:pPr>
        <w:pStyle w:val="FootnoteText"/>
        <w:rPr>
          <w:sz w:val="18"/>
          <w:szCs w:val="18"/>
        </w:rPr>
      </w:pPr>
      <w:r w:rsidRPr="009F3D03">
        <w:rPr>
          <w:rStyle w:val="FootnoteReference"/>
          <w:sz w:val="18"/>
          <w:szCs w:val="18"/>
        </w:rPr>
        <w:footnoteRef/>
      </w:r>
      <w:r w:rsidRPr="009F3D03">
        <w:rPr>
          <w:sz w:val="18"/>
          <w:szCs w:val="18"/>
        </w:rPr>
        <w:t xml:space="preserve"> There was high turnover in the position of UN Women </w:t>
      </w:r>
      <w:r>
        <w:rPr>
          <w:sz w:val="18"/>
          <w:szCs w:val="18"/>
        </w:rPr>
        <w:t xml:space="preserve">UN </w:t>
      </w:r>
      <w:r w:rsidRPr="009F3D03">
        <w:rPr>
          <w:sz w:val="18"/>
          <w:szCs w:val="18"/>
        </w:rPr>
        <w:t>JP Coordinator from 2015 to 2017, as the position and/or responsibilities for the position were filled on a temporary basis by four different individuals, including two international volunteers, one national consultant, and in the end one national staff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1F51" w14:textId="77777777" w:rsidR="007B1A7D" w:rsidRPr="0068332C" w:rsidRDefault="007B1A7D" w:rsidP="00D969D4">
    <w:pPr>
      <w:pStyle w:val="Header"/>
      <w:jc w:val="right"/>
      <w:rPr>
        <w:sz w:val="16"/>
        <w:szCs w:val="16"/>
      </w:rPr>
    </w:pPr>
    <w:r>
      <w:rPr>
        <w:sz w:val="16"/>
        <w:szCs w:val="16"/>
      </w:rPr>
      <w:t>Result/Activity Report-Solomon Islands Joint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65B"/>
    <w:multiLevelType w:val="hybridMultilevel"/>
    <w:tmpl w:val="2D62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AEB"/>
    <w:multiLevelType w:val="hybridMultilevel"/>
    <w:tmpl w:val="CBB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D7B"/>
    <w:multiLevelType w:val="hybridMultilevel"/>
    <w:tmpl w:val="B164E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A4489"/>
    <w:multiLevelType w:val="hybridMultilevel"/>
    <w:tmpl w:val="1F62538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264D"/>
    <w:multiLevelType w:val="hybridMultilevel"/>
    <w:tmpl w:val="03260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A75"/>
    <w:multiLevelType w:val="multilevel"/>
    <w:tmpl w:val="B158F9A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A335BA"/>
    <w:multiLevelType w:val="hybridMultilevel"/>
    <w:tmpl w:val="7B5CF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F82600"/>
    <w:multiLevelType w:val="hybridMultilevel"/>
    <w:tmpl w:val="02F4C05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19976601"/>
    <w:multiLevelType w:val="hybridMultilevel"/>
    <w:tmpl w:val="E006FA5C"/>
    <w:lvl w:ilvl="0" w:tplc="6CF46148">
      <w:start w:val="1"/>
      <w:numFmt w:val="bullet"/>
      <w:lvlText w:val=""/>
      <w:lvlJc w:val="left"/>
      <w:pPr>
        <w:ind w:left="360" w:hanging="360"/>
      </w:pPr>
      <w:rPr>
        <w:rFonts w:ascii="Symbol" w:hAnsi="Symbol" w:hint="default"/>
        <w:u w:color="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F08BE"/>
    <w:multiLevelType w:val="hybridMultilevel"/>
    <w:tmpl w:val="2D62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4FFB"/>
    <w:multiLevelType w:val="hybridMultilevel"/>
    <w:tmpl w:val="375E8C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41DEA"/>
    <w:multiLevelType w:val="hybridMultilevel"/>
    <w:tmpl w:val="03260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2F7E"/>
    <w:multiLevelType w:val="hybridMultilevel"/>
    <w:tmpl w:val="2D62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43F5D"/>
    <w:multiLevelType w:val="hybridMultilevel"/>
    <w:tmpl w:val="20EEA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61ABA"/>
    <w:multiLevelType w:val="hybridMultilevel"/>
    <w:tmpl w:val="1F6824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10C42"/>
    <w:multiLevelType w:val="multilevel"/>
    <w:tmpl w:val="E6BE96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F57097"/>
    <w:multiLevelType w:val="multilevel"/>
    <w:tmpl w:val="FE52530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1B244D3"/>
    <w:multiLevelType w:val="hybridMultilevel"/>
    <w:tmpl w:val="4C54C5C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050F29"/>
    <w:multiLevelType w:val="hybridMultilevel"/>
    <w:tmpl w:val="008A2E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E16248"/>
    <w:multiLevelType w:val="hybridMultilevel"/>
    <w:tmpl w:val="604E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92690"/>
    <w:multiLevelType w:val="hybridMultilevel"/>
    <w:tmpl w:val="1F543312"/>
    <w:lvl w:ilvl="0" w:tplc="0409000D">
      <w:start w:val="1"/>
      <w:numFmt w:val="bullet"/>
      <w:lvlText w:val=""/>
      <w:lvlJc w:val="left"/>
      <w:pPr>
        <w:ind w:left="1080" w:hanging="360"/>
      </w:pPr>
      <w:rPr>
        <w:rFonts w:ascii="Wingdings" w:hAnsi="Wingdings" w:hint="default"/>
        <w:color w:val="auto"/>
        <w:u w:color="0070C0"/>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A7270A"/>
    <w:multiLevelType w:val="hybridMultilevel"/>
    <w:tmpl w:val="A6A8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72AEA"/>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B44C1"/>
    <w:multiLevelType w:val="multilevel"/>
    <w:tmpl w:val="84844AE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B72325"/>
    <w:multiLevelType w:val="hybridMultilevel"/>
    <w:tmpl w:val="4F3C26BE"/>
    <w:lvl w:ilvl="0" w:tplc="04090001">
      <w:start w:val="1"/>
      <w:numFmt w:val="bullet"/>
      <w:lvlText w:val=""/>
      <w:lvlJc w:val="left"/>
      <w:pPr>
        <w:ind w:left="360" w:hanging="360"/>
      </w:pPr>
      <w:rPr>
        <w:rFonts w:ascii="Symbol" w:hAnsi="Symbol" w:hint="default"/>
        <w:b/>
        <w:sz w:val="22"/>
        <w:szCs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8A13F9"/>
    <w:multiLevelType w:val="multilevel"/>
    <w:tmpl w:val="B158F9A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AF0427"/>
    <w:multiLevelType w:val="hybridMultilevel"/>
    <w:tmpl w:val="195077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F822283"/>
    <w:multiLevelType w:val="hybridMultilevel"/>
    <w:tmpl w:val="4906E6AC"/>
    <w:lvl w:ilvl="0" w:tplc="14090001">
      <w:start w:val="1"/>
      <w:numFmt w:val="bullet"/>
      <w:lvlText w:val=""/>
      <w:lvlJc w:val="left"/>
      <w:pPr>
        <w:ind w:left="720" w:hanging="360"/>
      </w:pPr>
      <w:rPr>
        <w:rFonts w:ascii="Symbol" w:hAnsi="Symbol" w:hint="default"/>
      </w:rPr>
    </w:lvl>
    <w:lvl w:ilvl="1" w:tplc="79BCBB0C">
      <w:numFmt w:val="bullet"/>
      <w:lvlText w:val="-"/>
      <w:lvlJc w:val="left"/>
      <w:pPr>
        <w:ind w:left="1800" w:hanging="720"/>
      </w:pPr>
      <w:rPr>
        <w:rFonts w:ascii="Calibri" w:eastAsiaTheme="minorEastAsia"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AE0F63"/>
    <w:multiLevelType w:val="hybridMultilevel"/>
    <w:tmpl w:val="48D225E2"/>
    <w:lvl w:ilvl="0" w:tplc="C3589CF8">
      <w:start w:val="1"/>
      <w:numFmt w:val="decimal"/>
      <w:lvlText w:val="%1."/>
      <w:lvlJc w:val="left"/>
      <w:pPr>
        <w:ind w:left="360" w:hanging="360"/>
      </w:pPr>
      <w:rPr>
        <w:rFonts w:asciiTheme="minorHAnsi" w:eastAsiaTheme="minorHAnsi" w:hAnsiTheme="minorHAnsi" w:cstheme="minorHAnsi"/>
      </w:rPr>
    </w:lvl>
    <w:lvl w:ilvl="1" w:tplc="6CF46148">
      <w:start w:val="1"/>
      <w:numFmt w:val="bullet"/>
      <w:lvlText w:val=""/>
      <w:lvlJc w:val="left"/>
      <w:pPr>
        <w:ind w:left="1080" w:hanging="360"/>
      </w:pPr>
      <w:rPr>
        <w:rFonts w:ascii="Symbol" w:hAnsi="Symbol" w:hint="default"/>
        <w:u w:color="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201C2E"/>
    <w:multiLevelType w:val="hybridMultilevel"/>
    <w:tmpl w:val="9ACC2520"/>
    <w:lvl w:ilvl="0" w:tplc="8D98AA5A">
      <w:start w:val="1"/>
      <w:numFmt w:val="decimal"/>
      <w:lvlText w:val="%1."/>
      <w:lvlJc w:val="left"/>
      <w:pPr>
        <w:ind w:left="360" w:hanging="360"/>
      </w:pPr>
      <w:rPr>
        <w:rFonts w:asciiTheme="minorHAnsi" w:eastAsiaTheme="minorEastAsi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706FE"/>
    <w:multiLevelType w:val="hybridMultilevel"/>
    <w:tmpl w:val="64A4449C"/>
    <w:lvl w:ilvl="0" w:tplc="8794E0CE">
      <w:start w:val="1"/>
      <w:numFmt w:val="decimal"/>
      <w:lvlText w:val="%1."/>
      <w:lvlJc w:val="left"/>
      <w:pPr>
        <w:ind w:left="648" w:hanging="360"/>
      </w:pPr>
      <w:rPr>
        <w:rFonts w:asciiTheme="minorHAnsi" w:eastAsiaTheme="minorEastAsia" w:hAnsiTheme="minorHAnsi" w:cstheme="minorHAnsi"/>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0A64229"/>
    <w:multiLevelType w:val="hybridMultilevel"/>
    <w:tmpl w:val="7EC6E3BE"/>
    <w:lvl w:ilvl="0" w:tplc="5F3846D4">
      <w:start w:val="6"/>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006E00"/>
    <w:multiLevelType w:val="hybridMultilevel"/>
    <w:tmpl w:val="A8D481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59624453"/>
    <w:multiLevelType w:val="hybridMultilevel"/>
    <w:tmpl w:val="EC5057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C556A4"/>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A26E5"/>
    <w:multiLevelType w:val="hybridMultilevel"/>
    <w:tmpl w:val="5E101F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C690330"/>
    <w:multiLevelType w:val="hybridMultilevel"/>
    <w:tmpl w:val="ABB6F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2B14D1"/>
    <w:multiLevelType w:val="hybridMultilevel"/>
    <w:tmpl w:val="23FABA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A1978"/>
    <w:multiLevelType w:val="multilevel"/>
    <w:tmpl w:val="B158F9A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10B20B3"/>
    <w:multiLevelType w:val="hybridMultilevel"/>
    <w:tmpl w:val="5A20DB2C"/>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EC61C6"/>
    <w:multiLevelType w:val="multilevel"/>
    <w:tmpl w:val="6D46B7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u w:color="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9C18EB"/>
    <w:multiLevelType w:val="hybridMultilevel"/>
    <w:tmpl w:val="3B66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1D11E3"/>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A70B6"/>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91EC4"/>
    <w:multiLevelType w:val="hybridMultilevel"/>
    <w:tmpl w:val="D832B1E2"/>
    <w:lvl w:ilvl="0" w:tplc="7F846622">
      <w:start w:val="1"/>
      <w:numFmt w:val="bullet"/>
      <w:lvlText w:val=""/>
      <w:lvlJc w:val="left"/>
      <w:pPr>
        <w:ind w:left="720" w:hanging="360"/>
      </w:pPr>
      <w:rPr>
        <w:rFonts w:ascii="Symbol" w:hAnsi="Symbol"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2040B"/>
    <w:multiLevelType w:val="hybridMultilevel"/>
    <w:tmpl w:val="991E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6D1F22"/>
    <w:multiLevelType w:val="hybridMultilevel"/>
    <w:tmpl w:val="3F3AEF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10F54"/>
    <w:multiLevelType w:val="hybridMultilevel"/>
    <w:tmpl w:val="6D3C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13EED"/>
    <w:multiLevelType w:val="hybridMultilevel"/>
    <w:tmpl w:val="070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C952D6"/>
    <w:multiLevelType w:val="hybridMultilevel"/>
    <w:tmpl w:val="3C5AA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73658"/>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07423"/>
    <w:multiLevelType w:val="hybridMultilevel"/>
    <w:tmpl w:val="297029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9"/>
  </w:num>
  <w:num w:numId="4">
    <w:abstractNumId w:val="23"/>
  </w:num>
  <w:num w:numId="5">
    <w:abstractNumId w:val="24"/>
  </w:num>
  <w:num w:numId="6">
    <w:abstractNumId w:val="37"/>
  </w:num>
  <w:num w:numId="7">
    <w:abstractNumId w:val="3"/>
  </w:num>
  <w:num w:numId="8">
    <w:abstractNumId w:val="36"/>
  </w:num>
  <w:num w:numId="9">
    <w:abstractNumId w:val="7"/>
  </w:num>
  <w:num w:numId="10">
    <w:abstractNumId w:val="17"/>
  </w:num>
  <w:num w:numId="11">
    <w:abstractNumId w:val="35"/>
  </w:num>
  <w:num w:numId="12">
    <w:abstractNumId w:val="4"/>
  </w:num>
  <w:num w:numId="13">
    <w:abstractNumId w:val="13"/>
  </w:num>
  <w:num w:numId="14">
    <w:abstractNumId w:val="19"/>
  </w:num>
  <w:num w:numId="15">
    <w:abstractNumId w:val="15"/>
  </w:num>
  <w:num w:numId="16">
    <w:abstractNumId w:val="16"/>
  </w:num>
  <w:num w:numId="17">
    <w:abstractNumId w:val="1"/>
  </w:num>
  <w:num w:numId="18">
    <w:abstractNumId w:val="47"/>
  </w:num>
  <w:num w:numId="19">
    <w:abstractNumId w:val="32"/>
  </w:num>
  <w:num w:numId="20">
    <w:abstractNumId w:val="11"/>
  </w:num>
  <w:num w:numId="21">
    <w:abstractNumId w:val="25"/>
  </w:num>
  <w:num w:numId="22">
    <w:abstractNumId w:val="5"/>
  </w:num>
  <w:num w:numId="23">
    <w:abstractNumId w:val="21"/>
  </w:num>
  <w:num w:numId="24">
    <w:abstractNumId w:val="43"/>
  </w:num>
  <w:num w:numId="25">
    <w:abstractNumId w:val="48"/>
  </w:num>
  <w:num w:numId="26">
    <w:abstractNumId w:val="42"/>
  </w:num>
  <w:num w:numId="27">
    <w:abstractNumId w:val="50"/>
  </w:num>
  <w:num w:numId="28">
    <w:abstractNumId w:val="12"/>
  </w:num>
  <w:num w:numId="29">
    <w:abstractNumId w:val="0"/>
  </w:num>
  <w:num w:numId="30">
    <w:abstractNumId w:val="10"/>
  </w:num>
  <w:num w:numId="31">
    <w:abstractNumId w:val="22"/>
  </w:num>
  <w:num w:numId="32">
    <w:abstractNumId w:val="27"/>
  </w:num>
  <w:num w:numId="33">
    <w:abstractNumId w:val="51"/>
  </w:num>
  <w:num w:numId="34">
    <w:abstractNumId w:val="31"/>
  </w:num>
  <w:num w:numId="35">
    <w:abstractNumId w:val="41"/>
  </w:num>
  <w:num w:numId="36">
    <w:abstractNumId w:val="26"/>
  </w:num>
  <w:num w:numId="37">
    <w:abstractNumId w:val="2"/>
  </w:num>
  <w:num w:numId="38">
    <w:abstractNumId w:val="39"/>
  </w:num>
  <w:num w:numId="39">
    <w:abstractNumId w:val="18"/>
  </w:num>
  <w:num w:numId="40">
    <w:abstractNumId w:val="49"/>
  </w:num>
  <w:num w:numId="41">
    <w:abstractNumId w:val="14"/>
  </w:num>
  <w:num w:numId="42">
    <w:abstractNumId w:val="28"/>
  </w:num>
  <w:num w:numId="43">
    <w:abstractNumId w:val="8"/>
  </w:num>
  <w:num w:numId="44">
    <w:abstractNumId w:val="40"/>
  </w:num>
  <w:num w:numId="45">
    <w:abstractNumId w:val="46"/>
  </w:num>
  <w:num w:numId="46">
    <w:abstractNumId w:val="20"/>
  </w:num>
  <w:num w:numId="47">
    <w:abstractNumId w:val="44"/>
  </w:num>
  <w:num w:numId="48">
    <w:abstractNumId w:val="45"/>
  </w:num>
  <w:num w:numId="49">
    <w:abstractNumId w:val="33"/>
  </w:num>
  <w:num w:numId="50">
    <w:abstractNumId w:val="6"/>
  </w:num>
  <w:num w:numId="51">
    <w:abstractNumId w:val="29"/>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E"/>
    <w:rsid w:val="000029F3"/>
    <w:rsid w:val="0000436F"/>
    <w:rsid w:val="000044E6"/>
    <w:rsid w:val="00004722"/>
    <w:rsid w:val="00010499"/>
    <w:rsid w:val="00014E85"/>
    <w:rsid w:val="00015085"/>
    <w:rsid w:val="00015DA3"/>
    <w:rsid w:val="0001741C"/>
    <w:rsid w:val="0002007A"/>
    <w:rsid w:val="0003450F"/>
    <w:rsid w:val="000355A1"/>
    <w:rsid w:val="0003681F"/>
    <w:rsid w:val="00037295"/>
    <w:rsid w:val="0003783B"/>
    <w:rsid w:val="00041406"/>
    <w:rsid w:val="00041FCF"/>
    <w:rsid w:val="000431F6"/>
    <w:rsid w:val="00045EF6"/>
    <w:rsid w:val="000463E4"/>
    <w:rsid w:val="0005089E"/>
    <w:rsid w:val="00051406"/>
    <w:rsid w:val="000515AC"/>
    <w:rsid w:val="00052453"/>
    <w:rsid w:val="0005263A"/>
    <w:rsid w:val="0005531D"/>
    <w:rsid w:val="00060589"/>
    <w:rsid w:val="00062D96"/>
    <w:rsid w:val="000647E2"/>
    <w:rsid w:val="00067B11"/>
    <w:rsid w:val="00070183"/>
    <w:rsid w:val="00071547"/>
    <w:rsid w:val="00074B2B"/>
    <w:rsid w:val="00074D57"/>
    <w:rsid w:val="00075A72"/>
    <w:rsid w:val="00075B1D"/>
    <w:rsid w:val="00076168"/>
    <w:rsid w:val="00076750"/>
    <w:rsid w:val="00077F78"/>
    <w:rsid w:val="00083203"/>
    <w:rsid w:val="000876FB"/>
    <w:rsid w:val="00091F75"/>
    <w:rsid w:val="00092680"/>
    <w:rsid w:val="000A1231"/>
    <w:rsid w:val="000A1FA1"/>
    <w:rsid w:val="000A2411"/>
    <w:rsid w:val="000A2AAD"/>
    <w:rsid w:val="000A2CD6"/>
    <w:rsid w:val="000A42BC"/>
    <w:rsid w:val="000A6A74"/>
    <w:rsid w:val="000B1D2A"/>
    <w:rsid w:val="000B3700"/>
    <w:rsid w:val="000B63B0"/>
    <w:rsid w:val="000B78A6"/>
    <w:rsid w:val="000C2585"/>
    <w:rsid w:val="000C412B"/>
    <w:rsid w:val="000D3289"/>
    <w:rsid w:val="000D55FB"/>
    <w:rsid w:val="000D6434"/>
    <w:rsid w:val="000D7798"/>
    <w:rsid w:val="000E3781"/>
    <w:rsid w:val="000E41C8"/>
    <w:rsid w:val="000E4DE3"/>
    <w:rsid w:val="000E6CF3"/>
    <w:rsid w:val="000E7804"/>
    <w:rsid w:val="000F0839"/>
    <w:rsid w:val="000F101E"/>
    <w:rsid w:val="000F5570"/>
    <w:rsid w:val="000F6907"/>
    <w:rsid w:val="00100F0E"/>
    <w:rsid w:val="00101F61"/>
    <w:rsid w:val="001052A5"/>
    <w:rsid w:val="00105540"/>
    <w:rsid w:val="001059BB"/>
    <w:rsid w:val="00105B19"/>
    <w:rsid w:val="00106C3B"/>
    <w:rsid w:val="00106D0F"/>
    <w:rsid w:val="0010745F"/>
    <w:rsid w:val="00112086"/>
    <w:rsid w:val="001147F9"/>
    <w:rsid w:val="001158DB"/>
    <w:rsid w:val="00115936"/>
    <w:rsid w:val="0011695F"/>
    <w:rsid w:val="00121BC1"/>
    <w:rsid w:val="00122196"/>
    <w:rsid w:val="00122ED5"/>
    <w:rsid w:val="001276CF"/>
    <w:rsid w:val="00132DB3"/>
    <w:rsid w:val="0013556A"/>
    <w:rsid w:val="00136544"/>
    <w:rsid w:val="00136800"/>
    <w:rsid w:val="00136AB7"/>
    <w:rsid w:val="00136EAE"/>
    <w:rsid w:val="0014138C"/>
    <w:rsid w:val="00141941"/>
    <w:rsid w:val="00143071"/>
    <w:rsid w:val="001447A4"/>
    <w:rsid w:val="001455EA"/>
    <w:rsid w:val="00145CAE"/>
    <w:rsid w:val="0016139A"/>
    <w:rsid w:val="00163EB4"/>
    <w:rsid w:val="00163F6E"/>
    <w:rsid w:val="001704B3"/>
    <w:rsid w:val="001717C0"/>
    <w:rsid w:val="001717D7"/>
    <w:rsid w:val="00171D37"/>
    <w:rsid w:val="00172687"/>
    <w:rsid w:val="001726B3"/>
    <w:rsid w:val="001739E3"/>
    <w:rsid w:val="00173D00"/>
    <w:rsid w:val="00175005"/>
    <w:rsid w:val="001758BD"/>
    <w:rsid w:val="00176A0A"/>
    <w:rsid w:val="00177307"/>
    <w:rsid w:val="00183085"/>
    <w:rsid w:val="00186C2E"/>
    <w:rsid w:val="001873A8"/>
    <w:rsid w:val="00191868"/>
    <w:rsid w:val="00191E84"/>
    <w:rsid w:val="00193AE4"/>
    <w:rsid w:val="00194CF8"/>
    <w:rsid w:val="00195D85"/>
    <w:rsid w:val="001A1925"/>
    <w:rsid w:val="001A25F9"/>
    <w:rsid w:val="001A3FDC"/>
    <w:rsid w:val="001A43EF"/>
    <w:rsid w:val="001A50EA"/>
    <w:rsid w:val="001A74A6"/>
    <w:rsid w:val="001B1132"/>
    <w:rsid w:val="001B37F4"/>
    <w:rsid w:val="001B4FB2"/>
    <w:rsid w:val="001C00C6"/>
    <w:rsid w:val="001C03B7"/>
    <w:rsid w:val="001C112E"/>
    <w:rsid w:val="001C17E3"/>
    <w:rsid w:val="001C5938"/>
    <w:rsid w:val="001D5FE8"/>
    <w:rsid w:val="001D6FF4"/>
    <w:rsid w:val="001D72B1"/>
    <w:rsid w:val="001D7CC2"/>
    <w:rsid w:val="001E0D45"/>
    <w:rsid w:val="001E4B02"/>
    <w:rsid w:val="001E4B87"/>
    <w:rsid w:val="001E63C2"/>
    <w:rsid w:val="001F0995"/>
    <w:rsid w:val="001F13F8"/>
    <w:rsid w:val="001F3CB4"/>
    <w:rsid w:val="001F62AB"/>
    <w:rsid w:val="0020081B"/>
    <w:rsid w:val="00200F5F"/>
    <w:rsid w:val="002017C7"/>
    <w:rsid w:val="00202EA6"/>
    <w:rsid w:val="00203B28"/>
    <w:rsid w:val="00204128"/>
    <w:rsid w:val="00206C12"/>
    <w:rsid w:val="00206F3D"/>
    <w:rsid w:val="00207FD6"/>
    <w:rsid w:val="0021097B"/>
    <w:rsid w:val="00211708"/>
    <w:rsid w:val="00213D6F"/>
    <w:rsid w:val="00214FD3"/>
    <w:rsid w:val="00215B74"/>
    <w:rsid w:val="00217D69"/>
    <w:rsid w:val="00222B8B"/>
    <w:rsid w:val="002255E2"/>
    <w:rsid w:val="002269FB"/>
    <w:rsid w:val="00236413"/>
    <w:rsid w:val="00242E97"/>
    <w:rsid w:val="002435DA"/>
    <w:rsid w:val="00245E63"/>
    <w:rsid w:val="00247855"/>
    <w:rsid w:val="002478F1"/>
    <w:rsid w:val="00247EF6"/>
    <w:rsid w:val="00250C85"/>
    <w:rsid w:val="00253F18"/>
    <w:rsid w:val="0025503E"/>
    <w:rsid w:val="00255C8A"/>
    <w:rsid w:val="002560AF"/>
    <w:rsid w:val="00256962"/>
    <w:rsid w:val="002600AE"/>
    <w:rsid w:val="00260CCF"/>
    <w:rsid w:val="00261B1A"/>
    <w:rsid w:val="002627B2"/>
    <w:rsid w:val="0026298E"/>
    <w:rsid w:val="00263032"/>
    <w:rsid w:val="00264F20"/>
    <w:rsid w:val="002672C0"/>
    <w:rsid w:val="00267B80"/>
    <w:rsid w:val="00267B85"/>
    <w:rsid w:val="00270814"/>
    <w:rsid w:val="00271D59"/>
    <w:rsid w:val="00272467"/>
    <w:rsid w:val="00273F69"/>
    <w:rsid w:val="00285F80"/>
    <w:rsid w:val="00286265"/>
    <w:rsid w:val="00287C75"/>
    <w:rsid w:val="0029024B"/>
    <w:rsid w:val="002906D9"/>
    <w:rsid w:val="0029391C"/>
    <w:rsid w:val="00294556"/>
    <w:rsid w:val="002A1036"/>
    <w:rsid w:val="002A1F33"/>
    <w:rsid w:val="002A5183"/>
    <w:rsid w:val="002A7B33"/>
    <w:rsid w:val="002B0A7B"/>
    <w:rsid w:val="002B124B"/>
    <w:rsid w:val="002B1C19"/>
    <w:rsid w:val="002B1F72"/>
    <w:rsid w:val="002C0B42"/>
    <w:rsid w:val="002C55EE"/>
    <w:rsid w:val="002C7576"/>
    <w:rsid w:val="002D1BCB"/>
    <w:rsid w:val="002D4495"/>
    <w:rsid w:val="002D4696"/>
    <w:rsid w:val="002D72A8"/>
    <w:rsid w:val="002E2AC9"/>
    <w:rsid w:val="002E473D"/>
    <w:rsid w:val="002E4E29"/>
    <w:rsid w:val="002E6455"/>
    <w:rsid w:val="002F4E96"/>
    <w:rsid w:val="0030031C"/>
    <w:rsid w:val="00302F30"/>
    <w:rsid w:val="00303CF1"/>
    <w:rsid w:val="00303D29"/>
    <w:rsid w:val="0030455E"/>
    <w:rsid w:val="003051EF"/>
    <w:rsid w:val="00306F11"/>
    <w:rsid w:val="00310CD7"/>
    <w:rsid w:val="0031109E"/>
    <w:rsid w:val="003138D4"/>
    <w:rsid w:val="003210A1"/>
    <w:rsid w:val="00323081"/>
    <w:rsid w:val="003302ED"/>
    <w:rsid w:val="00330806"/>
    <w:rsid w:val="00332D12"/>
    <w:rsid w:val="00334366"/>
    <w:rsid w:val="0033642C"/>
    <w:rsid w:val="00336F34"/>
    <w:rsid w:val="003408AD"/>
    <w:rsid w:val="003408F0"/>
    <w:rsid w:val="00344F2A"/>
    <w:rsid w:val="00345F59"/>
    <w:rsid w:val="00352145"/>
    <w:rsid w:val="00356A33"/>
    <w:rsid w:val="00357123"/>
    <w:rsid w:val="0036320C"/>
    <w:rsid w:val="00372A47"/>
    <w:rsid w:val="00374CF1"/>
    <w:rsid w:val="003764C9"/>
    <w:rsid w:val="003767B5"/>
    <w:rsid w:val="003771B2"/>
    <w:rsid w:val="00377C5C"/>
    <w:rsid w:val="00380039"/>
    <w:rsid w:val="00381224"/>
    <w:rsid w:val="00384E5A"/>
    <w:rsid w:val="00387CBC"/>
    <w:rsid w:val="003909EB"/>
    <w:rsid w:val="003A1C3E"/>
    <w:rsid w:val="003A3011"/>
    <w:rsid w:val="003A5DBC"/>
    <w:rsid w:val="003A66A5"/>
    <w:rsid w:val="003A69AD"/>
    <w:rsid w:val="003B01F4"/>
    <w:rsid w:val="003B0E10"/>
    <w:rsid w:val="003B1C5F"/>
    <w:rsid w:val="003B371E"/>
    <w:rsid w:val="003B6A98"/>
    <w:rsid w:val="003B6BAA"/>
    <w:rsid w:val="003B6C54"/>
    <w:rsid w:val="003B730E"/>
    <w:rsid w:val="003C09CE"/>
    <w:rsid w:val="003C1A74"/>
    <w:rsid w:val="003C1ACF"/>
    <w:rsid w:val="003C60FD"/>
    <w:rsid w:val="003C7811"/>
    <w:rsid w:val="003D0329"/>
    <w:rsid w:val="003D2D5C"/>
    <w:rsid w:val="003D3A86"/>
    <w:rsid w:val="003D458D"/>
    <w:rsid w:val="003D5152"/>
    <w:rsid w:val="003D573F"/>
    <w:rsid w:val="003E25C1"/>
    <w:rsid w:val="003E35DF"/>
    <w:rsid w:val="003F1369"/>
    <w:rsid w:val="003F2DB3"/>
    <w:rsid w:val="003F2EF7"/>
    <w:rsid w:val="003F3199"/>
    <w:rsid w:val="003F44FA"/>
    <w:rsid w:val="003F4B69"/>
    <w:rsid w:val="003F58CD"/>
    <w:rsid w:val="003F733E"/>
    <w:rsid w:val="003F7646"/>
    <w:rsid w:val="00400A2C"/>
    <w:rsid w:val="00405D86"/>
    <w:rsid w:val="00406D64"/>
    <w:rsid w:val="00407AFA"/>
    <w:rsid w:val="00410D83"/>
    <w:rsid w:val="004139A8"/>
    <w:rsid w:val="00413FEF"/>
    <w:rsid w:val="004150C6"/>
    <w:rsid w:val="00416FCD"/>
    <w:rsid w:val="0041705A"/>
    <w:rsid w:val="0042012B"/>
    <w:rsid w:val="00422262"/>
    <w:rsid w:val="00423B0E"/>
    <w:rsid w:val="00423BEF"/>
    <w:rsid w:val="00423E17"/>
    <w:rsid w:val="00426002"/>
    <w:rsid w:val="004267A8"/>
    <w:rsid w:val="00426910"/>
    <w:rsid w:val="004274C4"/>
    <w:rsid w:val="00430C90"/>
    <w:rsid w:val="00430DF7"/>
    <w:rsid w:val="004323FA"/>
    <w:rsid w:val="004326D4"/>
    <w:rsid w:val="00432F40"/>
    <w:rsid w:val="00437354"/>
    <w:rsid w:val="00437902"/>
    <w:rsid w:val="00440782"/>
    <w:rsid w:val="00440DBF"/>
    <w:rsid w:val="0044251C"/>
    <w:rsid w:val="00442EF6"/>
    <w:rsid w:val="004514CA"/>
    <w:rsid w:val="004515C3"/>
    <w:rsid w:val="00452327"/>
    <w:rsid w:val="00453721"/>
    <w:rsid w:val="004608BA"/>
    <w:rsid w:val="004623BB"/>
    <w:rsid w:val="00462C11"/>
    <w:rsid w:val="00465739"/>
    <w:rsid w:val="00467527"/>
    <w:rsid w:val="0047389A"/>
    <w:rsid w:val="0047539A"/>
    <w:rsid w:val="00476BE2"/>
    <w:rsid w:val="00481A61"/>
    <w:rsid w:val="0048235A"/>
    <w:rsid w:val="004838B5"/>
    <w:rsid w:val="00493AC9"/>
    <w:rsid w:val="004944C2"/>
    <w:rsid w:val="00496ABA"/>
    <w:rsid w:val="00497489"/>
    <w:rsid w:val="004A31B0"/>
    <w:rsid w:val="004A44D4"/>
    <w:rsid w:val="004B07D3"/>
    <w:rsid w:val="004B0A5D"/>
    <w:rsid w:val="004B3761"/>
    <w:rsid w:val="004B3865"/>
    <w:rsid w:val="004B496C"/>
    <w:rsid w:val="004B5310"/>
    <w:rsid w:val="004C229D"/>
    <w:rsid w:val="004C38F4"/>
    <w:rsid w:val="004C5B21"/>
    <w:rsid w:val="004C64F8"/>
    <w:rsid w:val="004D7343"/>
    <w:rsid w:val="004E0BDA"/>
    <w:rsid w:val="004E1AFF"/>
    <w:rsid w:val="004E1B7A"/>
    <w:rsid w:val="004E2308"/>
    <w:rsid w:val="004E23F3"/>
    <w:rsid w:val="004E2ED7"/>
    <w:rsid w:val="004E35A4"/>
    <w:rsid w:val="004E4A0F"/>
    <w:rsid w:val="004E58AD"/>
    <w:rsid w:val="004E71A7"/>
    <w:rsid w:val="004F0612"/>
    <w:rsid w:val="004F0D42"/>
    <w:rsid w:val="004F1760"/>
    <w:rsid w:val="004F23D1"/>
    <w:rsid w:val="004F4D9C"/>
    <w:rsid w:val="004F5ECA"/>
    <w:rsid w:val="00501538"/>
    <w:rsid w:val="00501CCD"/>
    <w:rsid w:val="00502A1E"/>
    <w:rsid w:val="00505DAF"/>
    <w:rsid w:val="00511A58"/>
    <w:rsid w:val="00511EF6"/>
    <w:rsid w:val="00512055"/>
    <w:rsid w:val="005120A4"/>
    <w:rsid w:val="00512B8A"/>
    <w:rsid w:val="00516D6C"/>
    <w:rsid w:val="00522753"/>
    <w:rsid w:val="00523E5C"/>
    <w:rsid w:val="005246E8"/>
    <w:rsid w:val="00524EB6"/>
    <w:rsid w:val="005257BC"/>
    <w:rsid w:val="00525AAD"/>
    <w:rsid w:val="00531739"/>
    <w:rsid w:val="00531968"/>
    <w:rsid w:val="00532C57"/>
    <w:rsid w:val="00537021"/>
    <w:rsid w:val="00540C23"/>
    <w:rsid w:val="00542821"/>
    <w:rsid w:val="00550C53"/>
    <w:rsid w:val="00550DAD"/>
    <w:rsid w:val="00551149"/>
    <w:rsid w:val="0055134D"/>
    <w:rsid w:val="0055150A"/>
    <w:rsid w:val="00551912"/>
    <w:rsid w:val="00554084"/>
    <w:rsid w:val="0055619E"/>
    <w:rsid w:val="00556E6C"/>
    <w:rsid w:val="0056473B"/>
    <w:rsid w:val="005657B2"/>
    <w:rsid w:val="00566D0C"/>
    <w:rsid w:val="00567FF3"/>
    <w:rsid w:val="00570BAF"/>
    <w:rsid w:val="0057494F"/>
    <w:rsid w:val="005765CC"/>
    <w:rsid w:val="00576C68"/>
    <w:rsid w:val="005814DE"/>
    <w:rsid w:val="00587985"/>
    <w:rsid w:val="00593314"/>
    <w:rsid w:val="00593E88"/>
    <w:rsid w:val="00594609"/>
    <w:rsid w:val="0059574C"/>
    <w:rsid w:val="00597782"/>
    <w:rsid w:val="005A2E41"/>
    <w:rsid w:val="005A4EAF"/>
    <w:rsid w:val="005B2518"/>
    <w:rsid w:val="005B2ED6"/>
    <w:rsid w:val="005B3596"/>
    <w:rsid w:val="005B3E16"/>
    <w:rsid w:val="005B3E6C"/>
    <w:rsid w:val="005B45C4"/>
    <w:rsid w:val="005B62A6"/>
    <w:rsid w:val="005B6FE8"/>
    <w:rsid w:val="005B74C3"/>
    <w:rsid w:val="005B796D"/>
    <w:rsid w:val="005C4A17"/>
    <w:rsid w:val="005C55E8"/>
    <w:rsid w:val="005D2EDE"/>
    <w:rsid w:val="005D533E"/>
    <w:rsid w:val="005E01A6"/>
    <w:rsid w:val="005E073E"/>
    <w:rsid w:val="005E0B85"/>
    <w:rsid w:val="005E4523"/>
    <w:rsid w:val="005E47CD"/>
    <w:rsid w:val="005E4D45"/>
    <w:rsid w:val="005E5587"/>
    <w:rsid w:val="005E7FBD"/>
    <w:rsid w:val="005F0423"/>
    <w:rsid w:val="005F1426"/>
    <w:rsid w:val="005F4248"/>
    <w:rsid w:val="005F4D45"/>
    <w:rsid w:val="005F55EC"/>
    <w:rsid w:val="005F5C0B"/>
    <w:rsid w:val="00601BFE"/>
    <w:rsid w:val="006028B2"/>
    <w:rsid w:val="00606BB0"/>
    <w:rsid w:val="006102CF"/>
    <w:rsid w:val="00610C97"/>
    <w:rsid w:val="00612A4D"/>
    <w:rsid w:val="00612D31"/>
    <w:rsid w:val="0061302E"/>
    <w:rsid w:val="006130E4"/>
    <w:rsid w:val="00613969"/>
    <w:rsid w:val="00613A8C"/>
    <w:rsid w:val="00615396"/>
    <w:rsid w:val="00617186"/>
    <w:rsid w:val="0062178B"/>
    <w:rsid w:val="00623F91"/>
    <w:rsid w:val="00624025"/>
    <w:rsid w:val="00627491"/>
    <w:rsid w:val="00627803"/>
    <w:rsid w:val="00632EF2"/>
    <w:rsid w:val="00634B2A"/>
    <w:rsid w:val="0064055D"/>
    <w:rsid w:val="006463FF"/>
    <w:rsid w:val="00650E1B"/>
    <w:rsid w:val="00650F4C"/>
    <w:rsid w:val="006534CA"/>
    <w:rsid w:val="006536C5"/>
    <w:rsid w:val="00653BE6"/>
    <w:rsid w:val="00654821"/>
    <w:rsid w:val="006561C5"/>
    <w:rsid w:val="0065645D"/>
    <w:rsid w:val="0066171D"/>
    <w:rsid w:val="00663876"/>
    <w:rsid w:val="00664976"/>
    <w:rsid w:val="00675CF6"/>
    <w:rsid w:val="0068095C"/>
    <w:rsid w:val="00680B75"/>
    <w:rsid w:val="00681982"/>
    <w:rsid w:val="00683008"/>
    <w:rsid w:val="0068332C"/>
    <w:rsid w:val="006854BB"/>
    <w:rsid w:val="00685DE7"/>
    <w:rsid w:val="006864A6"/>
    <w:rsid w:val="006868BD"/>
    <w:rsid w:val="00687388"/>
    <w:rsid w:val="0069112C"/>
    <w:rsid w:val="00693B77"/>
    <w:rsid w:val="006A3C7C"/>
    <w:rsid w:val="006A47E8"/>
    <w:rsid w:val="006A58D6"/>
    <w:rsid w:val="006A5A9A"/>
    <w:rsid w:val="006A6572"/>
    <w:rsid w:val="006B097F"/>
    <w:rsid w:val="006B715C"/>
    <w:rsid w:val="006C0307"/>
    <w:rsid w:val="006C2460"/>
    <w:rsid w:val="006C49F5"/>
    <w:rsid w:val="006C7825"/>
    <w:rsid w:val="006D0912"/>
    <w:rsid w:val="006D1FF9"/>
    <w:rsid w:val="006D37B8"/>
    <w:rsid w:val="006D63AC"/>
    <w:rsid w:val="006E089D"/>
    <w:rsid w:val="006E3637"/>
    <w:rsid w:val="006E4129"/>
    <w:rsid w:val="006E6B35"/>
    <w:rsid w:val="006E7164"/>
    <w:rsid w:val="006F0675"/>
    <w:rsid w:val="006F538A"/>
    <w:rsid w:val="00704F0D"/>
    <w:rsid w:val="00705EC9"/>
    <w:rsid w:val="00707F96"/>
    <w:rsid w:val="00712215"/>
    <w:rsid w:val="00714A6E"/>
    <w:rsid w:val="0071638B"/>
    <w:rsid w:val="007221CA"/>
    <w:rsid w:val="00722CEE"/>
    <w:rsid w:val="007232E3"/>
    <w:rsid w:val="00725049"/>
    <w:rsid w:val="00725670"/>
    <w:rsid w:val="007258CB"/>
    <w:rsid w:val="00731BFA"/>
    <w:rsid w:val="007336BB"/>
    <w:rsid w:val="00734648"/>
    <w:rsid w:val="00735373"/>
    <w:rsid w:val="00736F45"/>
    <w:rsid w:val="007407A9"/>
    <w:rsid w:val="00756A76"/>
    <w:rsid w:val="00756F67"/>
    <w:rsid w:val="00757BB6"/>
    <w:rsid w:val="00760142"/>
    <w:rsid w:val="007617EA"/>
    <w:rsid w:val="007618B4"/>
    <w:rsid w:val="007638D2"/>
    <w:rsid w:val="0076403B"/>
    <w:rsid w:val="0076427D"/>
    <w:rsid w:val="00766323"/>
    <w:rsid w:val="007702A5"/>
    <w:rsid w:val="00771F65"/>
    <w:rsid w:val="00773626"/>
    <w:rsid w:val="00773A08"/>
    <w:rsid w:val="00776925"/>
    <w:rsid w:val="00776D87"/>
    <w:rsid w:val="007822FF"/>
    <w:rsid w:val="00782420"/>
    <w:rsid w:val="0078367F"/>
    <w:rsid w:val="0078522E"/>
    <w:rsid w:val="007866BF"/>
    <w:rsid w:val="0079064C"/>
    <w:rsid w:val="00792DCD"/>
    <w:rsid w:val="00792FF0"/>
    <w:rsid w:val="00793B35"/>
    <w:rsid w:val="00796AAE"/>
    <w:rsid w:val="007A0496"/>
    <w:rsid w:val="007A2598"/>
    <w:rsid w:val="007A25A6"/>
    <w:rsid w:val="007A3917"/>
    <w:rsid w:val="007A4580"/>
    <w:rsid w:val="007A45B5"/>
    <w:rsid w:val="007A5AC7"/>
    <w:rsid w:val="007A75BC"/>
    <w:rsid w:val="007A7D32"/>
    <w:rsid w:val="007B0AD1"/>
    <w:rsid w:val="007B1A7D"/>
    <w:rsid w:val="007B28C3"/>
    <w:rsid w:val="007B2D54"/>
    <w:rsid w:val="007B34FA"/>
    <w:rsid w:val="007B39A8"/>
    <w:rsid w:val="007B3D2B"/>
    <w:rsid w:val="007B47C9"/>
    <w:rsid w:val="007B6073"/>
    <w:rsid w:val="007B682A"/>
    <w:rsid w:val="007B69BB"/>
    <w:rsid w:val="007C188F"/>
    <w:rsid w:val="007C22D2"/>
    <w:rsid w:val="007C73A8"/>
    <w:rsid w:val="007C7562"/>
    <w:rsid w:val="007D09ED"/>
    <w:rsid w:val="007D1E99"/>
    <w:rsid w:val="007D24AE"/>
    <w:rsid w:val="007D3572"/>
    <w:rsid w:val="007D7899"/>
    <w:rsid w:val="007D7D6E"/>
    <w:rsid w:val="007E0AC0"/>
    <w:rsid w:val="007E3801"/>
    <w:rsid w:val="007E3EF5"/>
    <w:rsid w:val="007E4692"/>
    <w:rsid w:val="007E5C6D"/>
    <w:rsid w:val="007E68CE"/>
    <w:rsid w:val="007E6BEE"/>
    <w:rsid w:val="007E769F"/>
    <w:rsid w:val="007F0559"/>
    <w:rsid w:val="007F3A4A"/>
    <w:rsid w:val="007F4E8F"/>
    <w:rsid w:val="007F5271"/>
    <w:rsid w:val="007F5AC8"/>
    <w:rsid w:val="007F7601"/>
    <w:rsid w:val="008028AD"/>
    <w:rsid w:val="00803088"/>
    <w:rsid w:val="0080510F"/>
    <w:rsid w:val="008061C0"/>
    <w:rsid w:val="00810DB4"/>
    <w:rsid w:val="00812A81"/>
    <w:rsid w:val="00812E86"/>
    <w:rsid w:val="00813DA0"/>
    <w:rsid w:val="008142DB"/>
    <w:rsid w:val="00814B88"/>
    <w:rsid w:val="00815B55"/>
    <w:rsid w:val="0081637B"/>
    <w:rsid w:val="008168BC"/>
    <w:rsid w:val="00820BEB"/>
    <w:rsid w:val="008226C3"/>
    <w:rsid w:val="0082330A"/>
    <w:rsid w:val="00823444"/>
    <w:rsid w:val="008243C0"/>
    <w:rsid w:val="00827039"/>
    <w:rsid w:val="008326DB"/>
    <w:rsid w:val="008339B9"/>
    <w:rsid w:val="00834C2C"/>
    <w:rsid w:val="008376F3"/>
    <w:rsid w:val="008406A6"/>
    <w:rsid w:val="00841E10"/>
    <w:rsid w:val="00842109"/>
    <w:rsid w:val="008519E1"/>
    <w:rsid w:val="008548DB"/>
    <w:rsid w:val="00854A46"/>
    <w:rsid w:val="00854F60"/>
    <w:rsid w:val="008571B2"/>
    <w:rsid w:val="008607D9"/>
    <w:rsid w:val="00861748"/>
    <w:rsid w:val="00863028"/>
    <w:rsid w:val="0086440F"/>
    <w:rsid w:val="00865222"/>
    <w:rsid w:val="00870AC3"/>
    <w:rsid w:val="00872074"/>
    <w:rsid w:val="00875B20"/>
    <w:rsid w:val="0088001A"/>
    <w:rsid w:val="00883D26"/>
    <w:rsid w:val="00890262"/>
    <w:rsid w:val="00892DBB"/>
    <w:rsid w:val="0089482D"/>
    <w:rsid w:val="0089705C"/>
    <w:rsid w:val="00897E97"/>
    <w:rsid w:val="008A2AE5"/>
    <w:rsid w:val="008A3380"/>
    <w:rsid w:val="008A5119"/>
    <w:rsid w:val="008A7E7C"/>
    <w:rsid w:val="008B0B00"/>
    <w:rsid w:val="008B39CE"/>
    <w:rsid w:val="008B51EE"/>
    <w:rsid w:val="008B6FAB"/>
    <w:rsid w:val="008B7E4A"/>
    <w:rsid w:val="008B7FC3"/>
    <w:rsid w:val="008C0B0F"/>
    <w:rsid w:val="008C1CB6"/>
    <w:rsid w:val="008C1E79"/>
    <w:rsid w:val="008D1C82"/>
    <w:rsid w:val="008D453C"/>
    <w:rsid w:val="008E1E81"/>
    <w:rsid w:val="008E21F6"/>
    <w:rsid w:val="008E373C"/>
    <w:rsid w:val="008E3D3C"/>
    <w:rsid w:val="008E603A"/>
    <w:rsid w:val="008E73C3"/>
    <w:rsid w:val="008F1A71"/>
    <w:rsid w:val="008F3E45"/>
    <w:rsid w:val="008F48DB"/>
    <w:rsid w:val="008F4F97"/>
    <w:rsid w:val="008F6866"/>
    <w:rsid w:val="00900EB9"/>
    <w:rsid w:val="00902951"/>
    <w:rsid w:val="00904F25"/>
    <w:rsid w:val="00906F07"/>
    <w:rsid w:val="009070C2"/>
    <w:rsid w:val="00907AEF"/>
    <w:rsid w:val="00907C17"/>
    <w:rsid w:val="009104CD"/>
    <w:rsid w:val="0091218F"/>
    <w:rsid w:val="00912542"/>
    <w:rsid w:val="00912BD2"/>
    <w:rsid w:val="00912ED3"/>
    <w:rsid w:val="0091691F"/>
    <w:rsid w:val="009207F1"/>
    <w:rsid w:val="009210BB"/>
    <w:rsid w:val="009224FC"/>
    <w:rsid w:val="00926C36"/>
    <w:rsid w:val="0093030D"/>
    <w:rsid w:val="009307FD"/>
    <w:rsid w:val="0093093F"/>
    <w:rsid w:val="009313EE"/>
    <w:rsid w:val="00936DB1"/>
    <w:rsid w:val="00937FBC"/>
    <w:rsid w:val="00944DA5"/>
    <w:rsid w:val="00945614"/>
    <w:rsid w:val="00945795"/>
    <w:rsid w:val="0094598D"/>
    <w:rsid w:val="00947CE9"/>
    <w:rsid w:val="009504FC"/>
    <w:rsid w:val="00950AAA"/>
    <w:rsid w:val="009512E8"/>
    <w:rsid w:val="0095147A"/>
    <w:rsid w:val="00953FB3"/>
    <w:rsid w:val="00956B3A"/>
    <w:rsid w:val="00956BD9"/>
    <w:rsid w:val="00957EC7"/>
    <w:rsid w:val="00962D99"/>
    <w:rsid w:val="00963C19"/>
    <w:rsid w:val="00963F4A"/>
    <w:rsid w:val="00964B4F"/>
    <w:rsid w:val="00965165"/>
    <w:rsid w:val="00965CF1"/>
    <w:rsid w:val="00971E9F"/>
    <w:rsid w:val="0097639F"/>
    <w:rsid w:val="00983D15"/>
    <w:rsid w:val="00984735"/>
    <w:rsid w:val="009848F8"/>
    <w:rsid w:val="0098574F"/>
    <w:rsid w:val="00986119"/>
    <w:rsid w:val="00986C62"/>
    <w:rsid w:val="00986E1B"/>
    <w:rsid w:val="00987DCE"/>
    <w:rsid w:val="00992A60"/>
    <w:rsid w:val="009A0CDD"/>
    <w:rsid w:val="009A1FA2"/>
    <w:rsid w:val="009A26C8"/>
    <w:rsid w:val="009A27E1"/>
    <w:rsid w:val="009A5A9C"/>
    <w:rsid w:val="009A5CA1"/>
    <w:rsid w:val="009A72D1"/>
    <w:rsid w:val="009A787C"/>
    <w:rsid w:val="009A7E06"/>
    <w:rsid w:val="009B03C2"/>
    <w:rsid w:val="009B103F"/>
    <w:rsid w:val="009B5F3C"/>
    <w:rsid w:val="009C1D1E"/>
    <w:rsid w:val="009C6909"/>
    <w:rsid w:val="009D09ED"/>
    <w:rsid w:val="009D4FEA"/>
    <w:rsid w:val="009D52BF"/>
    <w:rsid w:val="009E0D39"/>
    <w:rsid w:val="009E0F0E"/>
    <w:rsid w:val="009E13CE"/>
    <w:rsid w:val="009E42C2"/>
    <w:rsid w:val="009F2323"/>
    <w:rsid w:val="009F41F3"/>
    <w:rsid w:val="009F6FB6"/>
    <w:rsid w:val="00A01244"/>
    <w:rsid w:val="00A02F6A"/>
    <w:rsid w:val="00A03251"/>
    <w:rsid w:val="00A06BDB"/>
    <w:rsid w:val="00A06DBA"/>
    <w:rsid w:val="00A108CC"/>
    <w:rsid w:val="00A111C3"/>
    <w:rsid w:val="00A11411"/>
    <w:rsid w:val="00A1280A"/>
    <w:rsid w:val="00A1334F"/>
    <w:rsid w:val="00A1398E"/>
    <w:rsid w:val="00A21569"/>
    <w:rsid w:val="00A24864"/>
    <w:rsid w:val="00A266F7"/>
    <w:rsid w:val="00A269FB"/>
    <w:rsid w:val="00A34D3B"/>
    <w:rsid w:val="00A40F75"/>
    <w:rsid w:val="00A4127B"/>
    <w:rsid w:val="00A43037"/>
    <w:rsid w:val="00A45AAB"/>
    <w:rsid w:val="00A520F7"/>
    <w:rsid w:val="00A5467F"/>
    <w:rsid w:val="00A62EC2"/>
    <w:rsid w:val="00A645AE"/>
    <w:rsid w:val="00A65743"/>
    <w:rsid w:val="00A70746"/>
    <w:rsid w:val="00A740E1"/>
    <w:rsid w:val="00A74FEA"/>
    <w:rsid w:val="00A8058C"/>
    <w:rsid w:val="00A81B38"/>
    <w:rsid w:val="00A81FEA"/>
    <w:rsid w:val="00A8268E"/>
    <w:rsid w:val="00A82C5E"/>
    <w:rsid w:val="00A84355"/>
    <w:rsid w:val="00A8604E"/>
    <w:rsid w:val="00A90E14"/>
    <w:rsid w:val="00A91BF9"/>
    <w:rsid w:val="00A91CAA"/>
    <w:rsid w:val="00A91D1B"/>
    <w:rsid w:val="00A91E77"/>
    <w:rsid w:val="00A92BEB"/>
    <w:rsid w:val="00A9383D"/>
    <w:rsid w:val="00A95523"/>
    <w:rsid w:val="00AA0BBE"/>
    <w:rsid w:val="00AA16EF"/>
    <w:rsid w:val="00AA1B26"/>
    <w:rsid w:val="00AA225F"/>
    <w:rsid w:val="00AA52D6"/>
    <w:rsid w:val="00AA5CCC"/>
    <w:rsid w:val="00AA5E7B"/>
    <w:rsid w:val="00AA6924"/>
    <w:rsid w:val="00AA7421"/>
    <w:rsid w:val="00AB1F75"/>
    <w:rsid w:val="00AB2339"/>
    <w:rsid w:val="00AB2842"/>
    <w:rsid w:val="00AB29E7"/>
    <w:rsid w:val="00AB4A55"/>
    <w:rsid w:val="00AB4B8C"/>
    <w:rsid w:val="00AB7470"/>
    <w:rsid w:val="00AC0782"/>
    <w:rsid w:val="00AC297B"/>
    <w:rsid w:val="00AC2BF7"/>
    <w:rsid w:val="00AC6321"/>
    <w:rsid w:val="00AC655F"/>
    <w:rsid w:val="00AC6638"/>
    <w:rsid w:val="00AC76B1"/>
    <w:rsid w:val="00AC7728"/>
    <w:rsid w:val="00AC7C15"/>
    <w:rsid w:val="00AC7E6B"/>
    <w:rsid w:val="00AD38F0"/>
    <w:rsid w:val="00AD3AAC"/>
    <w:rsid w:val="00AD662D"/>
    <w:rsid w:val="00AD6847"/>
    <w:rsid w:val="00AD6B06"/>
    <w:rsid w:val="00AD7728"/>
    <w:rsid w:val="00AE157A"/>
    <w:rsid w:val="00AE202E"/>
    <w:rsid w:val="00AE6709"/>
    <w:rsid w:val="00AE6B7D"/>
    <w:rsid w:val="00AE77D3"/>
    <w:rsid w:val="00AF231D"/>
    <w:rsid w:val="00B00FB6"/>
    <w:rsid w:val="00B017BF"/>
    <w:rsid w:val="00B120CE"/>
    <w:rsid w:val="00B12373"/>
    <w:rsid w:val="00B13715"/>
    <w:rsid w:val="00B15955"/>
    <w:rsid w:val="00B250A5"/>
    <w:rsid w:val="00B25719"/>
    <w:rsid w:val="00B2727F"/>
    <w:rsid w:val="00B326A8"/>
    <w:rsid w:val="00B328AD"/>
    <w:rsid w:val="00B337FA"/>
    <w:rsid w:val="00B350C7"/>
    <w:rsid w:val="00B36D55"/>
    <w:rsid w:val="00B40F71"/>
    <w:rsid w:val="00B4125B"/>
    <w:rsid w:val="00B4252B"/>
    <w:rsid w:val="00B42AEB"/>
    <w:rsid w:val="00B44D93"/>
    <w:rsid w:val="00B4635C"/>
    <w:rsid w:val="00B47E3F"/>
    <w:rsid w:val="00B50B40"/>
    <w:rsid w:val="00B52081"/>
    <w:rsid w:val="00B5400C"/>
    <w:rsid w:val="00B5655A"/>
    <w:rsid w:val="00B61939"/>
    <w:rsid w:val="00B62080"/>
    <w:rsid w:val="00B62C91"/>
    <w:rsid w:val="00B648D2"/>
    <w:rsid w:val="00B70F47"/>
    <w:rsid w:val="00B71FD9"/>
    <w:rsid w:val="00B7226C"/>
    <w:rsid w:val="00B74673"/>
    <w:rsid w:val="00B75ABD"/>
    <w:rsid w:val="00B778AF"/>
    <w:rsid w:val="00B80412"/>
    <w:rsid w:val="00B80F43"/>
    <w:rsid w:val="00B820B1"/>
    <w:rsid w:val="00B85C47"/>
    <w:rsid w:val="00B90595"/>
    <w:rsid w:val="00B91425"/>
    <w:rsid w:val="00B947CD"/>
    <w:rsid w:val="00BA11A7"/>
    <w:rsid w:val="00BA41D5"/>
    <w:rsid w:val="00BA5294"/>
    <w:rsid w:val="00BB0140"/>
    <w:rsid w:val="00BB0732"/>
    <w:rsid w:val="00BB24B2"/>
    <w:rsid w:val="00BB48BD"/>
    <w:rsid w:val="00BB5ACF"/>
    <w:rsid w:val="00BB6B17"/>
    <w:rsid w:val="00BC055A"/>
    <w:rsid w:val="00BC1CD7"/>
    <w:rsid w:val="00BC2AB8"/>
    <w:rsid w:val="00BC3E5F"/>
    <w:rsid w:val="00BC4DD7"/>
    <w:rsid w:val="00BC5231"/>
    <w:rsid w:val="00BD095A"/>
    <w:rsid w:val="00BD20AC"/>
    <w:rsid w:val="00BD301F"/>
    <w:rsid w:val="00BD43E3"/>
    <w:rsid w:val="00BD494F"/>
    <w:rsid w:val="00BD59F3"/>
    <w:rsid w:val="00BD6A29"/>
    <w:rsid w:val="00BD738C"/>
    <w:rsid w:val="00BE1AD2"/>
    <w:rsid w:val="00BE2A73"/>
    <w:rsid w:val="00BE4C6C"/>
    <w:rsid w:val="00BE754E"/>
    <w:rsid w:val="00BF3009"/>
    <w:rsid w:val="00BF41DA"/>
    <w:rsid w:val="00BF519E"/>
    <w:rsid w:val="00BF5DCA"/>
    <w:rsid w:val="00BF61E6"/>
    <w:rsid w:val="00BF6F55"/>
    <w:rsid w:val="00BF6F9B"/>
    <w:rsid w:val="00BF79E2"/>
    <w:rsid w:val="00BF7A18"/>
    <w:rsid w:val="00C00B32"/>
    <w:rsid w:val="00C036C1"/>
    <w:rsid w:val="00C06065"/>
    <w:rsid w:val="00C06FD7"/>
    <w:rsid w:val="00C07EA7"/>
    <w:rsid w:val="00C10300"/>
    <w:rsid w:val="00C10567"/>
    <w:rsid w:val="00C108A5"/>
    <w:rsid w:val="00C11064"/>
    <w:rsid w:val="00C119F7"/>
    <w:rsid w:val="00C121E2"/>
    <w:rsid w:val="00C145D2"/>
    <w:rsid w:val="00C22C13"/>
    <w:rsid w:val="00C23290"/>
    <w:rsid w:val="00C23847"/>
    <w:rsid w:val="00C23F2A"/>
    <w:rsid w:val="00C3004C"/>
    <w:rsid w:val="00C34C21"/>
    <w:rsid w:val="00C418FD"/>
    <w:rsid w:val="00C41C8D"/>
    <w:rsid w:val="00C42B7B"/>
    <w:rsid w:val="00C43723"/>
    <w:rsid w:val="00C454BA"/>
    <w:rsid w:val="00C53685"/>
    <w:rsid w:val="00C53AC2"/>
    <w:rsid w:val="00C54D45"/>
    <w:rsid w:val="00C57B54"/>
    <w:rsid w:val="00C61138"/>
    <w:rsid w:val="00C61698"/>
    <w:rsid w:val="00C61F1C"/>
    <w:rsid w:val="00C74788"/>
    <w:rsid w:val="00C76AD2"/>
    <w:rsid w:val="00C77300"/>
    <w:rsid w:val="00C808A2"/>
    <w:rsid w:val="00C83A41"/>
    <w:rsid w:val="00C83AB4"/>
    <w:rsid w:val="00C86FC2"/>
    <w:rsid w:val="00C8706C"/>
    <w:rsid w:val="00C910A7"/>
    <w:rsid w:val="00C931A0"/>
    <w:rsid w:val="00C95877"/>
    <w:rsid w:val="00C965D9"/>
    <w:rsid w:val="00C9675C"/>
    <w:rsid w:val="00C96D1E"/>
    <w:rsid w:val="00C978B7"/>
    <w:rsid w:val="00CA0D88"/>
    <w:rsid w:val="00CA14D9"/>
    <w:rsid w:val="00CA1EE2"/>
    <w:rsid w:val="00CA5C2A"/>
    <w:rsid w:val="00CA6842"/>
    <w:rsid w:val="00CB78C5"/>
    <w:rsid w:val="00CC1645"/>
    <w:rsid w:val="00CC5470"/>
    <w:rsid w:val="00CC54E5"/>
    <w:rsid w:val="00CC627A"/>
    <w:rsid w:val="00CC71A1"/>
    <w:rsid w:val="00CD36FF"/>
    <w:rsid w:val="00CD52BE"/>
    <w:rsid w:val="00CD6A73"/>
    <w:rsid w:val="00CE1C69"/>
    <w:rsid w:val="00CE3A3B"/>
    <w:rsid w:val="00CE449F"/>
    <w:rsid w:val="00CE49EF"/>
    <w:rsid w:val="00CE71F4"/>
    <w:rsid w:val="00CF11E3"/>
    <w:rsid w:val="00CF4B4E"/>
    <w:rsid w:val="00D009BA"/>
    <w:rsid w:val="00D01794"/>
    <w:rsid w:val="00D02357"/>
    <w:rsid w:val="00D02DE8"/>
    <w:rsid w:val="00D03BBB"/>
    <w:rsid w:val="00D04F5A"/>
    <w:rsid w:val="00D072DB"/>
    <w:rsid w:val="00D07BB2"/>
    <w:rsid w:val="00D11577"/>
    <w:rsid w:val="00D125F6"/>
    <w:rsid w:val="00D1779D"/>
    <w:rsid w:val="00D218E3"/>
    <w:rsid w:val="00D22914"/>
    <w:rsid w:val="00D2424A"/>
    <w:rsid w:val="00D311C7"/>
    <w:rsid w:val="00D313EE"/>
    <w:rsid w:val="00D326ED"/>
    <w:rsid w:val="00D349B2"/>
    <w:rsid w:val="00D35F84"/>
    <w:rsid w:val="00D4362F"/>
    <w:rsid w:val="00D4679C"/>
    <w:rsid w:val="00D468CA"/>
    <w:rsid w:val="00D47049"/>
    <w:rsid w:val="00D47217"/>
    <w:rsid w:val="00D50535"/>
    <w:rsid w:val="00D513FB"/>
    <w:rsid w:val="00D5173D"/>
    <w:rsid w:val="00D52EB5"/>
    <w:rsid w:val="00D555F9"/>
    <w:rsid w:val="00D574B3"/>
    <w:rsid w:val="00D62166"/>
    <w:rsid w:val="00D65FD5"/>
    <w:rsid w:val="00D6733D"/>
    <w:rsid w:val="00D764FE"/>
    <w:rsid w:val="00D816D8"/>
    <w:rsid w:val="00D825EE"/>
    <w:rsid w:val="00D8453E"/>
    <w:rsid w:val="00D90859"/>
    <w:rsid w:val="00D91806"/>
    <w:rsid w:val="00D957BA"/>
    <w:rsid w:val="00D969D4"/>
    <w:rsid w:val="00D9788E"/>
    <w:rsid w:val="00DA4F0C"/>
    <w:rsid w:val="00DB10F2"/>
    <w:rsid w:val="00DB638E"/>
    <w:rsid w:val="00DB6DDF"/>
    <w:rsid w:val="00DC0058"/>
    <w:rsid w:val="00DC2A03"/>
    <w:rsid w:val="00DC2B0F"/>
    <w:rsid w:val="00DC50C0"/>
    <w:rsid w:val="00DC7682"/>
    <w:rsid w:val="00DD0CB8"/>
    <w:rsid w:val="00DD15F9"/>
    <w:rsid w:val="00DD2444"/>
    <w:rsid w:val="00DD461D"/>
    <w:rsid w:val="00DD60CC"/>
    <w:rsid w:val="00DD6C25"/>
    <w:rsid w:val="00DD7E91"/>
    <w:rsid w:val="00DE06C4"/>
    <w:rsid w:val="00DE3A32"/>
    <w:rsid w:val="00DE5E29"/>
    <w:rsid w:val="00DE785C"/>
    <w:rsid w:val="00DF08A0"/>
    <w:rsid w:val="00DF135B"/>
    <w:rsid w:val="00DF4D24"/>
    <w:rsid w:val="00DF5ABA"/>
    <w:rsid w:val="00DF6789"/>
    <w:rsid w:val="00DF6CBF"/>
    <w:rsid w:val="00DF73A9"/>
    <w:rsid w:val="00E02BF4"/>
    <w:rsid w:val="00E03918"/>
    <w:rsid w:val="00E075A0"/>
    <w:rsid w:val="00E13C20"/>
    <w:rsid w:val="00E14121"/>
    <w:rsid w:val="00E14F61"/>
    <w:rsid w:val="00E162F2"/>
    <w:rsid w:val="00E164EF"/>
    <w:rsid w:val="00E2095D"/>
    <w:rsid w:val="00E22B6D"/>
    <w:rsid w:val="00E242B4"/>
    <w:rsid w:val="00E26694"/>
    <w:rsid w:val="00E26F69"/>
    <w:rsid w:val="00E323D9"/>
    <w:rsid w:val="00E3516F"/>
    <w:rsid w:val="00E35F0F"/>
    <w:rsid w:val="00E36BAE"/>
    <w:rsid w:val="00E37463"/>
    <w:rsid w:val="00E409D3"/>
    <w:rsid w:val="00E4257C"/>
    <w:rsid w:val="00E4277A"/>
    <w:rsid w:val="00E43EE4"/>
    <w:rsid w:val="00E44248"/>
    <w:rsid w:val="00E50DF0"/>
    <w:rsid w:val="00E5110C"/>
    <w:rsid w:val="00E512E4"/>
    <w:rsid w:val="00E5188E"/>
    <w:rsid w:val="00E5203C"/>
    <w:rsid w:val="00E539B0"/>
    <w:rsid w:val="00E53DA5"/>
    <w:rsid w:val="00E5772B"/>
    <w:rsid w:val="00E6021E"/>
    <w:rsid w:val="00E6378D"/>
    <w:rsid w:val="00E63D36"/>
    <w:rsid w:val="00E660D7"/>
    <w:rsid w:val="00E66235"/>
    <w:rsid w:val="00E66D17"/>
    <w:rsid w:val="00E70D49"/>
    <w:rsid w:val="00E7210C"/>
    <w:rsid w:val="00E7247E"/>
    <w:rsid w:val="00E74E84"/>
    <w:rsid w:val="00E757E9"/>
    <w:rsid w:val="00E760A0"/>
    <w:rsid w:val="00E76112"/>
    <w:rsid w:val="00E80936"/>
    <w:rsid w:val="00E81ADB"/>
    <w:rsid w:val="00E831AD"/>
    <w:rsid w:val="00E83490"/>
    <w:rsid w:val="00E84029"/>
    <w:rsid w:val="00E84226"/>
    <w:rsid w:val="00E85FDA"/>
    <w:rsid w:val="00E86EA2"/>
    <w:rsid w:val="00E91416"/>
    <w:rsid w:val="00E925DB"/>
    <w:rsid w:val="00E945BA"/>
    <w:rsid w:val="00E9466F"/>
    <w:rsid w:val="00E94B8E"/>
    <w:rsid w:val="00E9702F"/>
    <w:rsid w:val="00EA00BB"/>
    <w:rsid w:val="00EA1B0F"/>
    <w:rsid w:val="00EA3A1C"/>
    <w:rsid w:val="00EA47CA"/>
    <w:rsid w:val="00EA525F"/>
    <w:rsid w:val="00EA6572"/>
    <w:rsid w:val="00EA6972"/>
    <w:rsid w:val="00EB0727"/>
    <w:rsid w:val="00EB3C7E"/>
    <w:rsid w:val="00EB5C5F"/>
    <w:rsid w:val="00EC0E2E"/>
    <w:rsid w:val="00EC2CE5"/>
    <w:rsid w:val="00EC38FF"/>
    <w:rsid w:val="00EC53CF"/>
    <w:rsid w:val="00ED4B97"/>
    <w:rsid w:val="00EE2992"/>
    <w:rsid w:val="00EE4C78"/>
    <w:rsid w:val="00EE55EC"/>
    <w:rsid w:val="00EE674F"/>
    <w:rsid w:val="00EF0219"/>
    <w:rsid w:val="00EF164C"/>
    <w:rsid w:val="00EF316D"/>
    <w:rsid w:val="00EF3C12"/>
    <w:rsid w:val="00EF5D7E"/>
    <w:rsid w:val="00EF7916"/>
    <w:rsid w:val="00F00FE3"/>
    <w:rsid w:val="00F02043"/>
    <w:rsid w:val="00F11B06"/>
    <w:rsid w:val="00F138FE"/>
    <w:rsid w:val="00F15720"/>
    <w:rsid w:val="00F16764"/>
    <w:rsid w:val="00F2226C"/>
    <w:rsid w:val="00F223EF"/>
    <w:rsid w:val="00F23722"/>
    <w:rsid w:val="00F24FCA"/>
    <w:rsid w:val="00F273E0"/>
    <w:rsid w:val="00F35439"/>
    <w:rsid w:val="00F35BDF"/>
    <w:rsid w:val="00F35E53"/>
    <w:rsid w:val="00F37708"/>
    <w:rsid w:val="00F44B58"/>
    <w:rsid w:val="00F50388"/>
    <w:rsid w:val="00F507C1"/>
    <w:rsid w:val="00F51E27"/>
    <w:rsid w:val="00F524A3"/>
    <w:rsid w:val="00F526D0"/>
    <w:rsid w:val="00F61002"/>
    <w:rsid w:val="00F6725E"/>
    <w:rsid w:val="00F70C37"/>
    <w:rsid w:val="00F711D8"/>
    <w:rsid w:val="00F72037"/>
    <w:rsid w:val="00F73137"/>
    <w:rsid w:val="00F76064"/>
    <w:rsid w:val="00F7637F"/>
    <w:rsid w:val="00F767D2"/>
    <w:rsid w:val="00F77509"/>
    <w:rsid w:val="00F776B5"/>
    <w:rsid w:val="00F811A0"/>
    <w:rsid w:val="00F81CC1"/>
    <w:rsid w:val="00F8286A"/>
    <w:rsid w:val="00F82DA4"/>
    <w:rsid w:val="00F82F91"/>
    <w:rsid w:val="00F8334C"/>
    <w:rsid w:val="00F84452"/>
    <w:rsid w:val="00F849C7"/>
    <w:rsid w:val="00F84A07"/>
    <w:rsid w:val="00F91265"/>
    <w:rsid w:val="00F94AC1"/>
    <w:rsid w:val="00F95E77"/>
    <w:rsid w:val="00F967E7"/>
    <w:rsid w:val="00F96848"/>
    <w:rsid w:val="00FA2B86"/>
    <w:rsid w:val="00FA746C"/>
    <w:rsid w:val="00FB47CA"/>
    <w:rsid w:val="00FC106B"/>
    <w:rsid w:val="00FC1A93"/>
    <w:rsid w:val="00FC1BB0"/>
    <w:rsid w:val="00FC1DAE"/>
    <w:rsid w:val="00FC721F"/>
    <w:rsid w:val="00FD0D6C"/>
    <w:rsid w:val="00FD5B59"/>
    <w:rsid w:val="00FE0C07"/>
    <w:rsid w:val="00FE13AD"/>
    <w:rsid w:val="00FE1DE1"/>
    <w:rsid w:val="00FE2546"/>
    <w:rsid w:val="00FF3606"/>
    <w:rsid w:val="00FF3E1F"/>
    <w:rsid w:val="00FF4BEC"/>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CF01"/>
  <w15:docId w15:val="{2686B82D-8C41-41D1-BC15-648212E4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3E"/>
    <w:rPr>
      <w:lang w:val="en-NZ"/>
    </w:rPr>
  </w:style>
  <w:style w:type="paragraph" w:styleId="Heading1">
    <w:name w:val="heading 1"/>
    <w:basedOn w:val="Normal"/>
    <w:next w:val="Normal"/>
    <w:link w:val="Heading1Char"/>
    <w:uiPriority w:val="9"/>
    <w:qFormat/>
    <w:rsid w:val="00CD3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F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6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33E"/>
    <w:rPr>
      <w:sz w:val="16"/>
      <w:szCs w:val="16"/>
    </w:rPr>
  </w:style>
  <w:style w:type="paragraph" w:styleId="CommentText">
    <w:name w:val="annotation text"/>
    <w:basedOn w:val="Normal"/>
    <w:link w:val="CommentTextChar"/>
    <w:uiPriority w:val="99"/>
    <w:unhideWhenUsed/>
    <w:rsid w:val="003F733E"/>
    <w:pPr>
      <w:spacing w:line="240" w:lineRule="auto"/>
    </w:pPr>
    <w:rPr>
      <w:sz w:val="20"/>
      <w:szCs w:val="20"/>
    </w:rPr>
  </w:style>
  <w:style w:type="character" w:customStyle="1" w:styleId="CommentTextChar">
    <w:name w:val="Comment Text Char"/>
    <w:basedOn w:val="DefaultParagraphFont"/>
    <w:link w:val="CommentText"/>
    <w:uiPriority w:val="99"/>
    <w:rsid w:val="003F733E"/>
    <w:rPr>
      <w:sz w:val="20"/>
      <w:szCs w:val="20"/>
    </w:rPr>
  </w:style>
  <w:style w:type="paragraph" w:styleId="BalloonText">
    <w:name w:val="Balloon Text"/>
    <w:basedOn w:val="Normal"/>
    <w:link w:val="BalloonTextChar"/>
    <w:uiPriority w:val="99"/>
    <w:semiHidden/>
    <w:unhideWhenUsed/>
    <w:rsid w:val="003F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3E"/>
    <w:rPr>
      <w:rFonts w:ascii="Tahoma" w:hAnsi="Tahoma" w:cs="Tahoma"/>
      <w:sz w:val="16"/>
      <w:szCs w:val="16"/>
    </w:rPr>
  </w:style>
  <w:style w:type="paragraph" w:styleId="ListParagraph">
    <w:name w:val="List Paragraph"/>
    <w:basedOn w:val="Normal"/>
    <w:link w:val="ListParagraphChar"/>
    <w:uiPriority w:val="34"/>
    <w:qFormat/>
    <w:rsid w:val="003408F0"/>
    <w:pPr>
      <w:ind w:left="720"/>
      <w:contextualSpacing/>
    </w:pPr>
  </w:style>
  <w:style w:type="paragraph" w:styleId="CommentSubject">
    <w:name w:val="annotation subject"/>
    <w:basedOn w:val="CommentText"/>
    <w:next w:val="CommentText"/>
    <w:link w:val="CommentSubjectChar"/>
    <w:uiPriority w:val="99"/>
    <w:semiHidden/>
    <w:unhideWhenUsed/>
    <w:rsid w:val="003408F0"/>
    <w:rPr>
      <w:b/>
      <w:bCs/>
    </w:rPr>
  </w:style>
  <w:style w:type="character" w:customStyle="1" w:styleId="CommentSubjectChar">
    <w:name w:val="Comment Subject Char"/>
    <w:basedOn w:val="CommentTextChar"/>
    <w:link w:val="CommentSubject"/>
    <w:uiPriority w:val="99"/>
    <w:semiHidden/>
    <w:rsid w:val="003408F0"/>
    <w:rPr>
      <w:b/>
      <w:bCs/>
      <w:sz w:val="20"/>
      <w:szCs w:val="20"/>
    </w:rPr>
  </w:style>
  <w:style w:type="character" w:styleId="Hyperlink">
    <w:name w:val="Hyperlink"/>
    <w:basedOn w:val="DefaultParagraphFont"/>
    <w:uiPriority w:val="99"/>
    <w:unhideWhenUsed/>
    <w:rsid w:val="00615396"/>
    <w:rPr>
      <w:color w:val="0000FF" w:themeColor="hyperlink"/>
      <w:u w:val="single"/>
    </w:rPr>
  </w:style>
  <w:style w:type="paragraph" w:styleId="Header">
    <w:name w:val="header"/>
    <w:basedOn w:val="Normal"/>
    <w:link w:val="HeaderChar"/>
    <w:uiPriority w:val="99"/>
    <w:unhideWhenUsed/>
    <w:rsid w:val="0005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3A"/>
  </w:style>
  <w:style w:type="paragraph" w:styleId="Footer">
    <w:name w:val="footer"/>
    <w:basedOn w:val="Normal"/>
    <w:link w:val="FooterChar"/>
    <w:uiPriority w:val="99"/>
    <w:unhideWhenUsed/>
    <w:rsid w:val="0005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3A"/>
  </w:style>
  <w:style w:type="character" w:customStyle="1" w:styleId="Heading1Char">
    <w:name w:val="Heading 1 Char"/>
    <w:basedOn w:val="DefaultParagraphFont"/>
    <w:link w:val="Heading1"/>
    <w:uiPriority w:val="9"/>
    <w:rsid w:val="00CD36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58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11411"/>
    <w:pPr>
      <w:outlineLvl w:val="9"/>
    </w:pPr>
  </w:style>
  <w:style w:type="paragraph" w:styleId="TOC1">
    <w:name w:val="toc 1"/>
    <w:basedOn w:val="Normal"/>
    <w:next w:val="Normal"/>
    <w:autoRedefine/>
    <w:uiPriority w:val="39"/>
    <w:unhideWhenUsed/>
    <w:rsid w:val="00A11411"/>
    <w:pPr>
      <w:spacing w:after="100"/>
    </w:pPr>
  </w:style>
  <w:style w:type="paragraph" w:styleId="TOC2">
    <w:name w:val="toc 2"/>
    <w:basedOn w:val="Normal"/>
    <w:next w:val="Normal"/>
    <w:autoRedefine/>
    <w:uiPriority w:val="39"/>
    <w:unhideWhenUsed/>
    <w:rsid w:val="00BC1CD7"/>
    <w:pPr>
      <w:tabs>
        <w:tab w:val="left" w:pos="880"/>
        <w:tab w:val="right" w:leader="dot" w:pos="12950"/>
      </w:tabs>
      <w:spacing w:after="0" w:line="240" w:lineRule="auto"/>
      <w:ind w:left="216"/>
    </w:pPr>
  </w:style>
  <w:style w:type="paragraph" w:styleId="BodyText">
    <w:name w:val="Body Text"/>
    <w:basedOn w:val="Normal"/>
    <w:link w:val="BodyTextChar"/>
    <w:unhideWhenUsed/>
    <w:rsid w:val="00AA0BBE"/>
    <w:pPr>
      <w:spacing w:after="0" w:line="240" w:lineRule="auto"/>
    </w:pPr>
    <w:rPr>
      <w:rFonts w:ascii="Arial" w:eastAsia="Times New Roman" w:hAnsi="Arial" w:cs="Arial"/>
      <w:sz w:val="20"/>
      <w:szCs w:val="20"/>
      <w:lang w:eastAsia="en-US"/>
    </w:rPr>
  </w:style>
  <w:style w:type="character" w:customStyle="1" w:styleId="BodyTextChar">
    <w:name w:val="Body Text Char"/>
    <w:basedOn w:val="DefaultParagraphFont"/>
    <w:link w:val="BodyText"/>
    <w:rsid w:val="00AA0BBE"/>
    <w:rPr>
      <w:rFonts w:ascii="Arial" w:eastAsia="Times New Roman" w:hAnsi="Arial" w:cs="Arial"/>
      <w:sz w:val="20"/>
      <w:szCs w:val="20"/>
      <w:lang w:eastAsia="en-US"/>
    </w:rPr>
  </w:style>
  <w:style w:type="paragraph" w:styleId="FootnoteText">
    <w:name w:val="footnote text"/>
    <w:aliases w:val="ft,single space,footnote text,Footnote Text Char Char,Texto nota pie Car Car Car,FOOTNOTES,fn,Footnote Text1 Char,Footnote Text2,Footnote Text Char Char Char1 Char,Footnote Text Char Char Char1,ADB,Footnote,f,WB-Fußnotentext,Fußnote,Geneva"/>
    <w:basedOn w:val="Normal"/>
    <w:link w:val="FootnoteTextChar"/>
    <w:unhideWhenUsed/>
    <w:rsid w:val="00C61138"/>
    <w:pPr>
      <w:spacing w:after="0" w:line="240" w:lineRule="auto"/>
      <w:jc w:val="both"/>
    </w:pPr>
    <w:rPr>
      <w:rFonts w:ascii="Calibri" w:eastAsia="Cambria" w:hAnsi="Calibri" w:cs="Times New Roman"/>
      <w:sz w:val="20"/>
      <w:szCs w:val="20"/>
      <w:lang w:val="x-none" w:eastAsia="x-none"/>
    </w:rPr>
  </w:style>
  <w:style w:type="character" w:customStyle="1" w:styleId="FootnoteTextChar">
    <w:name w:val="Footnote Text Char"/>
    <w:aliases w:val="ft Char,single space Char,footnote text Char,Footnote Text Char Char Char,Texto nota pie Car Car Car Char,FOOTNOTES Char,fn Char,Footnote Text1 Char Char,Footnote Text2 Char,Footnote Text Char Char Char1 Char Char,ADB Char,f Char"/>
    <w:basedOn w:val="DefaultParagraphFont"/>
    <w:link w:val="FootnoteText"/>
    <w:rsid w:val="00C61138"/>
    <w:rPr>
      <w:rFonts w:ascii="Calibri" w:eastAsia="Cambria" w:hAnsi="Calibri" w:cs="Times New Roman"/>
      <w:sz w:val="20"/>
      <w:szCs w:val="20"/>
      <w:lang w:val="x-none" w:eastAsia="x-none"/>
    </w:rPr>
  </w:style>
  <w:style w:type="character" w:styleId="FootnoteReference">
    <w:name w:val="footnote reference"/>
    <w:aliases w:val="ftref,16 Point,Superscript 6 Point,BVI fnr,Ref,de nota al pie,ASI Footer,BVI fnr Car Car,BVI fnr Car,BVI fnr Car Car Car Car,BVI fnr Car Car Car Car Char,Appel note de bas de p.,Error-Fußnotenzeichen5,Error-Fußnotenzeichen6, BVI fnr"/>
    <w:unhideWhenUsed/>
    <w:qFormat/>
    <w:rsid w:val="00C61138"/>
    <w:rPr>
      <w:vertAlign w:val="superscript"/>
    </w:rPr>
  </w:style>
  <w:style w:type="character" w:customStyle="1" w:styleId="Heading3Char">
    <w:name w:val="Heading 3 Char"/>
    <w:basedOn w:val="DefaultParagraphFont"/>
    <w:link w:val="Heading3"/>
    <w:uiPriority w:val="9"/>
    <w:rsid w:val="00736F4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25719"/>
    <w:pPr>
      <w:tabs>
        <w:tab w:val="right" w:leader="dot" w:pos="12950"/>
      </w:tabs>
      <w:spacing w:after="0" w:line="240" w:lineRule="auto"/>
      <w:ind w:left="446"/>
    </w:pPr>
  </w:style>
  <w:style w:type="character" w:customStyle="1" w:styleId="Heading4Char">
    <w:name w:val="Heading 4 Char"/>
    <w:basedOn w:val="DefaultParagraphFont"/>
    <w:link w:val="Heading4"/>
    <w:uiPriority w:val="9"/>
    <w:rsid w:val="00A266F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86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D2A"/>
    <w:pPr>
      <w:spacing w:after="0" w:line="240" w:lineRule="auto"/>
    </w:pPr>
  </w:style>
  <w:style w:type="paragraph" w:customStyle="1" w:styleId="Default">
    <w:name w:val="Default"/>
    <w:rsid w:val="00E4424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7247E"/>
    <w:rPr>
      <w:i/>
      <w:iCs/>
    </w:rPr>
  </w:style>
  <w:style w:type="character" w:customStyle="1" w:styleId="ListParagraphChar">
    <w:name w:val="List Paragraph Char"/>
    <w:link w:val="ListParagraph"/>
    <w:uiPriority w:val="34"/>
    <w:locked/>
    <w:rsid w:val="000F6907"/>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3522">
      <w:bodyDiv w:val="1"/>
      <w:marLeft w:val="0"/>
      <w:marRight w:val="0"/>
      <w:marTop w:val="0"/>
      <w:marBottom w:val="0"/>
      <w:divBdr>
        <w:top w:val="none" w:sz="0" w:space="0" w:color="auto"/>
        <w:left w:val="none" w:sz="0" w:space="0" w:color="auto"/>
        <w:bottom w:val="none" w:sz="0" w:space="0" w:color="auto"/>
        <w:right w:val="none" w:sz="0" w:space="0" w:color="auto"/>
      </w:divBdr>
    </w:div>
    <w:div w:id="236747208">
      <w:bodyDiv w:val="1"/>
      <w:marLeft w:val="0"/>
      <w:marRight w:val="0"/>
      <w:marTop w:val="0"/>
      <w:marBottom w:val="0"/>
      <w:divBdr>
        <w:top w:val="none" w:sz="0" w:space="0" w:color="auto"/>
        <w:left w:val="none" w:sz="0" w:space="0" w:color="auto"/>
        <w:bottom w:val="none" w:sz="0" w:space="0" w:color="auto"/>
        <w:right w:val="none" w:sz="0" w:space="0" w:color="auto"/>
      </w:divBdr>
    </w:div>
    <w:div w:id="422847636">
      <w:bodyDiv w:val="1"/>
      <w:marLeft w:val="0"/>
      <w:marRight w:val="0"/>
      <w:marTop w:val="0"/>
      <w:marBottom w:val="0"/>
      <w:divBdr>
        <w:top w:val="none" w:sz="0" w:space="0" w:color="auto"/>
        <w:left w:val="none" w:sz="0" w:space="0" w:color="auto"/>
        <w:bottom w:val="none" w:sz="0" w:space="0" w:color="auto"/>
        <w:right w:val="none" w:sz="0" w:space="0" w:color="auto"/>
      </w:divBdr>
    </w:div>
    <w:div w:id="662317520">
      <w:bodyDiv w:val="1"/>
      <w:marLeft w:val="0"/>
      <w:marRight w:val="0"/>
      <w:marTop w:val="0"/>
      <w:marBottom w:val="0"/>
      <w:divBdr>
        <w:top w:val="none" w:sz="0" w:space="0" w:color="auto"/>
        <w:left w:val="none" w:sz="0" w:space="0" w:color="auto"/>
        <w:bottom w:val="none" w:sz="0" w:space="0" w:color="auto"/>
        <w:right w:val="none" w:sz="0" w:space="0" w:color="auto"/>
      </w:divBdr>
    </w:div>
    <w:div w:id="833837569">
      <w:bodyDiv w:val="1"/>
      <w:marLeft w:val="0"/>
      <w:marRight w:val="0"/>
      <w:marTop w:val="0"/>
      <w:marBottom w:val="0"/>
      <w:divBdr>
        <w:top w:val="none" w:sz="0" w:space="0" w:color="auto"/>
        <w:left w:val="none" w:sz="0" w:space="0" w:color="auto"/>
        <w:bottom w:val="none" w:sz="0" w:space="0" w:color="auto"/>
        <w:right w:val="none" w:sz="0" w:space="0" w:color="auto"/>
      </w:divBdr>
    </w:div>
    <w:div w:id="1319651021">
      <w:bodyDiv w:val="1"/>
      <w:marLeft w:val="0"/>
      <w:marRight w:val="0"/>
      <w:marTop w:val="0"/>
      <w:marBottom w:val="0"/>
      <w:divBdr>
        <w:top w:val="none" w:sz="0" w:space="0" w:color="auto"/>
        <w:left w:val="none" w:sz="0" w:space="0" w:color="auto"/>
        <w:bottom w:val="none" w:sz="0" w:space="0" w:color="auto"/>
        <w:right w:val="none" w:sz="0" w:space="0" w:color="auto"/>
      </w:divBdr>
    </w:div>
    <w:div w:id="1341544343">
      <w:bodyDiv w:val="1"/>
      <w:marLeft w:val="0"/>
      <w:marRight w:val="0"/>
      <w:marTop w:val="0"/>
      <w:marBottom w:val="0"/>
      <w:divBdr>
        <w:top w:val="none" w:sz="0" w:space="0" w:color="auto"/>
        <w:left w:val="none" w:sz="0" w:space="0" w:color="auto"/>
        <w:bottom w:val="none" w:sz="0" w:space="0" w:color="auto"/>
        <w:right w:val="none" w:sz="0" w:space="0" w:color="auto"/>
      </w:divBdr>
    </w:div>
    <w:div w:id="1486362882">
      <w:bodyDiv w:val="1"/>
      <w:marLeft w:val="0"/>
      <w:marRight w:val="0"/>
      <w:marTop w:val="0"/>
      <w:marBottom w:val="0"/>
      <w:divBdr>
        <w:top w:val="none" w:sz="0" w:space="0" w:color="auto"/>
        <w:left w:val="none" w:sz="0" w:space="0" w:color="auto"/>
        <w:bottom w:val="none" w:sz="0" w:space="0" w:color="auto"/>
        <w:right w:val="none" w:sz="0" w:space="0" w:color="auto"/>
      </w:divBdr>
      <w:divsChild>
        <w:div w:id="55084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8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410440">
      <w:bodyDiv w:val="1"/>
      <w:marLeft w:val="0"/>
      <w:marRight w:val="0"/>
      <w:marTop w:val="0"/>
      <w:marBottom w:val="0"/>
      <w:divBdr>
        <w:top w:val="none" w:sz="0" w:space="0" w:color="auto"/>
        <w:left w:val="none" w:sz="0" w:space="0" w:color="auto"/>
        <w:bottom w:val="none" w:sz="0" w:space="0" w:color="auto"/>
        <w:right w:val="none" w:sz="0" w:space="0" w:color="auto"/>
      </w:divBdr>
    </w:div>
    <w:div w:id="1760523752">
      <w:bodyDiv w:val="1"/>
      <w:marLeft w:val="0"/>
      <w:marRight w:val="0"/>
      <w:marTop w:val="0"/>
      <w:marBottom w:val="0"/>
      <w:divBdr>
        <w:top w:val="none" w:sz="0" w:space="0" w:color="auto"/>
        <w:left w:val="none" w:sz="0" w:space="0" w:color="auto"/>
        <w:bottom w:val="none" w:sz="0" w:space="0" w:color="auto"/>
        <w:right w:val="none" w:sz="0" w:space="0" w:color="auto"/>
      </w:divBdr>
    </w:div>
    <w:div w:id="1795247614">
      <w:bodyDiv w:val="1"/>
      <w:marLeft w:val="0"/>
      <w:marRight w:val="0"/>
      <w:marTop w:val="0"/>
      <w:marBottom w:val="0"/>
      <w:divBdr>
        <w:top w:val="none" w:sz="0" w:space="0" w:color="auto"/>
        <w:left w:val="none" w:sz="0" w:space="0" w:color="auto"/>
        <w:bottom w:val="none" w:sz="0" w:space="0" w:color="auto"/>
        <w:right w:val="none" w:sz="0" w:space="0" w:color="auto"/>
      </w:divBdr>
    </w:div>
    <w:div w:id="1842549051">
      <w:bodyDiv w:val="1"/>
      <w:marLeft w:val="0"/>
      <w:marRight w:val="0"/>
      <w:marTop w:val="0"/>
      <w:marBottom w:val="0"/>
      <w:divBdr>
        <w:top w:val="none" w:sz="0" w:space="0" w:color="auto"/>
        <w:left w:val="none" w:sz="0" w:space="0" w:color="auto"/>
        <w:bottom w:val="none" w:sz="0" w:space="0" w:color="auto"/>
        <w:right w:val="none" w:sz="0" w:space="0" w:color="auto"/>
      </w:divBdr>
    </w:div>
    <w:div w:id="19449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2ED5-D487-4DD8-BF03-B137B0B4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10716</Words>
  <Characters>61087</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Fumie Nakamura</dc:creator>
  <cp:lastModifiedBy>Taina Williams</cp:lastModifiedBy>
  <cp:revision>2</cp:revision>
  <cp:lastPrinted>2015-02-03T11:10:00Z</cp:lastPrinted>
  <dcterms:created xsi:type="dcterms:W3CDTF">2018-10-12T01:00:00Z</dcterms:created>
  <dcterms:modified xsi:type="dcterms:W3CDTF">2018-10-12T01:00:00Z</dcterms:modified>
</cp:coreProperties>
</file>