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DCEA" w14:textId="77777777" w:rsidR="00853726" w:rsidRPr="00B62036" w:rsidRDefault="00853726" w:rsidP="00230515">
      <w:pPr>
        <w:spacing w:line="480" w:lineRule="auto"/>
        <w:jc w:val="both"/>
        <w:rPr>
          <w:rFonts w:ascii="Gill Sans MT" w:hAnsi="Gill Sans MT"/>
          <w:sz w:val="20"/>
          <w:szCs w:val="20"/>
        </w:rPr>
      </w:pPr>
    </w:p>
    <w:p w14:paraId="6F87B966" w14:textId="77777777" w:rsidR="00E512B5" w:rsidRPr="00B62036" w:rsidRDefault="00E512B5" w:rsidP="00230515">
      <w:pPr>
        <w:jc w:val="both"/>
        <w:rPr>
          <w:rFonts w:ascii="Gill Sans MT" w:hAnsi="Gill Sans MT" w:cs="Arial"/>
          <w:sz w:val="20"/>
          <w:szCs w:val="20"/>
        </w:rPr>
      </w:pPr>
      <w:r w:rsidRPr="00B62036">
        <w:rPr>
          <w:rFonts w:ascii="Gill Sans MT" w:hAnsi="Gill Sans MT"/>
          <w:noProof/>
          <w:sz w:val="20"/>
          <w:szCs w:val="20"/>
        </w:rPr>
        <mc:AlternateContent>
          <mc:Choice Requires="wps">
            <w:drawing>
              <wp:anchor distT="0" distB="0" distL="114300" distR="114300" simplePos="0" relativeHeight="251661312" behindDoc="0" locked="0" layoutInCell="1" allowOverlap="1" wp14:anchorId="764396A3" wp14:editId="19F6DA09">
                <wp:simplePos x="0" y="0"/>
                <wp:positionH relativeFrom="column">
                  <wp:posOffset>-2705735</wp:posOffset>
                </wp:positionH>
                <wp:positionV relativeFrom="margin">
                  <wp:posOffset>-596265</wp:posOffset>
                </wp:positionV>
                <wp:extent cx="1109980" cy="9418320"/>
                <wp:effectExtent l="0" t="3810" r="0" b="0"/>
                <wp:wrapNone/>
                <wp:docPr id="3" name="Rectangle 3" descr="Description: 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9418320"/>
                        </a:xfrm>
                        <a:prstGeom prst="rect">
                          <a:avLst/>
                        </a:prstGeom>
                        <a:pattFill prst="wdUpDiag">
                          <a:fgClr>
                            <a:srgbClr val="008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4871" id="Rectangle 3" o:spid="_x0000_s1026" alt="Description: Wide upward diagonal" style="position:absolute;margin-left:-213.05pt;margin-top:-46.95pt;width:87.4pt;height:7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" fillcolor="green" stroked="f">
                <v:fill r:id="rId8" o:title="" type="pattern"/>
                <w10:wrap anchory="margin"/>
              </v:rect>
            </w:pict>
          </mc:Fallback>
        </mc:AlternateContent>
      </w:r>
    </w:p>
    <w:p w14:paraId="44E06754" w14:textId="77777777" w:rsidR="00E512B5" w:rsidRPr="00230515" w:rsidRDefault="003303C1" w:rsidP="00230515">
      <w:pPr>
        <w:pBdr>
          <w:bottom w:val="single" w:sz="18" w:space="1" w:color="7030A0"/>
        </w:pBdr>
        <w:jc w:val="both"/>
        <w:rPr>
          <w:rFonts w:ascii="Gill Sans MT" w:hAnsi="Gill Sans MT" w:cs="Arial"/>
          <w:b/>
          <w:sz w:val="40"/>
          <w:szCs w:val="40"/>
        </w:rPr>
      </w:pPr>
      <w:r w:rsidRPr="00230515">
        <w:rPr>
          <w:rFonts w:ascii="Gill Sans MT" w:hAnsi="Gill Sans MT" w:cs="Arial"/>
          <w:b/>
          <w:sz w:val="40"/>
          <w:szCs w:val="40"/>
        </w:rPr>
        <w:t>EVALUATION REPORT</w:t>
      </w:r>
    </w:p>
    <w:p w14:paraId="6FE8E34B" w14:textId="77777777" w:rsidR="00853726" w:rsidRPr="00B62036" w:rsidRDefault="00AA0243" w:rsidP="00230515">
      <w:pPr>
        <w:tabs>
          <w:tab w:val="left" w:pos="5638"/>
        </w:tabs>
        <w:spacing w:line="480" w:lineRule="auto"/>
        <w:jc w:val="both"/>
        <w:rPr>
          <w:rFonts w:ascii="Gill Sans MT" w:hAnsi="Gill Sans MT" w:cs="Arial"/>
          <w:b/>
          <w:sz w:val="20"/>
          <w:szCs w:val="20"/>
        </w:rPr>
      </w:pPr>
      <w:r w:rsidRPr="00B62036">
        <w:rPr>
          <w:rFonts w:ascii="Gill Sans MT" w:hAnsi="Gill Sans MT" w:cs="Arial"/>
          <w:b/>
          <w:sz w:val="20"/>
          <w:szCs w:val="20"/>
        </w:rPr>
        <w:tab/>
      </w:r>
    </w:p>
    <w:p w14:paraId="5464B605" w14:textId="66EAC191" w:rsidR="00531A4D" w:rsidRPr="00230515" w:rsidRDefault="00D43173" w:rsidP="00230515">
      <w:pPr>
        <w:jc w:val="both"/>
        <w:rPr>
          <w:rFonts w:ascii="Gill Sans MT" w:hAnsi="Gill Sans MT" w:cs="Arial"/>
          <w:b/>
          <w:sz w:val="32"/>
          <w:szCs w:val="32"/>
        </w:rPr>
      </w:pPr>
      <w:r>
        <w:rPr>
          <w:rFonts w:ascii="Gill Sans MT" w:hAnsi="Gill Sans MT" w:cs="Arial"/>
          <w:b/>
          <w:sz w:val="32"/>
          <w:szCs w:val="32"/>
        </w:rPr>
        <w:t>The Kenya-</w:t>
      </w:r>
      <w:r w:rsidR="004439D1" w:rsidRPr="00230515">
        <w:rPr>
          <w:rFonts w:ascii="Gill Sans MT" w:hAnsi="Gill Sans MT" w:cs="Arial"/>
          <w:b/>
          <w:sz w:val="32"/>
          <w:szCs w:val="32"/>
        </w:rPr>
        <w:t xml:space="preserve">Somalia Refugees and </w:t>
      </w:r>
      <w:r w:rsidR="00230515" w:rsidRPr="00230515">
        <w:rPr>
          <w:rFonts w:ascii="Gill Sans MT" w:hAnsi="Gill Sans MT" w:cs="Arial"/>
          <w:b/>
          <w:sz w:val="32"/>
          <w:szCs w:val="32"/>
        </w:rPr>
        <w:t>Peace building</w:t>
      </w:r>
      <w:r w:rsidR="004439D1" w:rsidRPr="00230515">
        <w:rPr>
          <w:rFonts w:ascii="Gill Sans MT" w:hAnsi="Gill Sans MT" w:cs="Arial"/>
          <w:b/>
          <w:sz w:val="32"/>
          <w:szCs w:val="32"/>
        </w:rPr>
        <w:t xml:space="preserve"> Cross Border Pilo</w:t>
      </w:r>
      <w:r w:rsidR="00464A6B">
        <w:rPr>
          <w:rFonts w:ascii="Gill Sans MT" w:hAnsi="Gill Sans MT" w:cs="Arial"/>
          <w:b/>
          <w:sz w:val="32"/>
          <w:szCs w:val="32"/>
        </w:rPr>
        <w:t xml:space="preserve">t Project for Voluntary </w:t>
      </w:r>
      <w:r>
        <w:rPr>
          <w:rFonts w:ascii="Gill Sans MT" w:hAnsi="Gill Sans MT" w:cs="Arial"/>
          <w:b/>
          <w:sz w:val="32"/>
          <w:szCs w:val="32"/>
        </w:rPr>
        <w:t xml:space="preserve">Return, </w:t>
      </w:r>
      <w:r w:rsidR="004439D1" w:rsidRPr="00230515">
        <w:rPr>
          <w:rFonts w:ascii="Gill Sans MT" w:hAnsi="Gill Sans MT" w:cs="Arial"/>
          <w:b/>
          <w:sz w:val="32"/>
          <w:szCs w:val="32"/>
        </w:rPr>
        <w:t>Co-existence and S</w:t>
      </w:r>
      <w:r w:rsidR="00531A4D" w:rsidRPr="00230515">
        <w:rPr>
          <w:rFonts w:ascii="Gill Sans MT" w:hAnsi="Gill Sans MT" w:cs="Arial"/>
          <w:b/>
          <w:sz w:val="32"/>
          <w:szCs w:val="32"/>
        </w:rPr>
        <w:t>u</w:t>
      </w:r>
      <w:r w:rsidR="004439D1" w:rsidRPr="00230515">
        <w:rPr>
          <w:rFonts w:ascii="Gill Sans MT" w:hAnsi="Gill Sans MT" w:cs="Arial"/>
          <w:b/>
          <w:sz w:val="32"/>
          <w:szCs w:val="32"/>
        </w:rPr>
        <w:t>stainable Reintegration in the Areas of R</w:t>
      </w:r>
      <w:r w:rsidR="00531A4D" w:rsidRPr="00230515">
        <w:rPr>
          <w:rFonts w:ascii="Gill Sans MT" w:hAnsi="Gill Sans MT" w:cs="Arial"/>
          <w:b/>
          <w:sz w:val="32"/>
          <w:szCs w:val="32"/>
        </w:rPr>
        <w:t>eturn</w:t>
      </w:r>
    </w:p>
    <w:p w14:paraId="36A7CEBC" w14:textId="77777777" w:rsidR="00531A4D" w:rsidRPr="00B62036" w:rsidRDefault="00531A4D" w:rsidP="00230515">
      <w:pPr>
        <w:jc w:val="both"/>
        <w:rPr>
          <w:rFonts w:ascii="Gill Sans MT" w:hAnsi="Gill Sans MT" w:cs="Arial"/>
          <w:b/>
          <w:sz w:val="20"/>
          <w:szCs w:val="20"/>
        </w:rPr>
      </w:pPr>
    </w:p>
    <w:p w14:paraId="5EB2D1DF" w14:textId="77777777" w:rsidR="00531A4D" w:rsidRPr="00B62036" w:rsidRDefault="00531A4D" w:rsidP="00230515">
      <w:pPr>
        <w:jc w:val="both"/>
        <w:rPr>
          <w:rFonts w:ascii="Gill Sans MT" w:hAnsi="Gill Sans MT" w:cs="Arial"/>
          <w:b/>
          <w:sz w:val="20"/>
          <w:szCs w:val="20"/>
        </w:rPr>
      </w:pPr>
    </w:p>
    <w:p w14:paraId="0D2A2E1C" w14:textId="77777777" w:rsidR="00E512B5" w:rsidRPr="00B62036" w:rsidRDefault="00E512B5" w:rsidP="00230515">
      <w:pPr>
        <w:jc w:val="both"/>
        <w:rPr>
          <w:rFonts w:ascii="Gill Sans MT" w:hAnsi="Gill Sans MT"/>
          <w:sz w:val="20"/>
          <w:szCs w:val="20"/>
        </w:rPr>
      </w:pPr>
    </w:p>
    <w:p w14:paraId="26379056" w14:textId="77777777" w:rsidR="00E512B5" w:rsidRPr="00B62036" w:rsidRDefault="003303C1" w:rsidP="00D43173">
      <w:pPr>
        <w:jc w:val="center"/>
        <w:rPr>
          <w:rFonts w:ascii="Gill Sans MT" w:hAnsi="Gill Sans MT"/>
          <w:sz w:val="20"/>
          <w:szCs w:val="20"/>
        </w:rPr>
      </w:pPr>
      <w:r w:rsidRPr="00B62036">
        <w:rPr>
          <w:rFonts w:ascii="Gill Sans MT" w:hAnsi="Gill Sans MT"/>
          <w:sz w:val="20"/>
          <w:szCs w:val="20"/>
        </w:rPr>
        <w:t>March</w:t>
      </w:r>
      <w:r w:rsidR="00B41523" w:rsidRPr="00B62036">
        <w:rPr>
          <w:rFonts w:ascii="Gill Sans MT" w:hAnsi="Gill Sans MT"/>
          <w:sz w:val="20"/>
          <w:szCs w:val="20"/>
        </w:rPr>
        <w:t>, 2019</w:t>
      </w:r>
    </w:p>
    <w:p w14:paraId="3CA8F481" w14:textId="77777777" w:rsidR="00AA0243" w:rsidRPr="00B62036" w:rsidRDefault="00AA0243" w:rsidP="00D43173">
      <w:pPr>
        <w:jc w:val="center"/>
        <w:rPr>
          <w:rFonts w:ascii="Gill Sans MT" w:hAnsi="Gill Sans MT"/>
          <w:sz w:val="20"/>
          <w:szCs w:val="20"/>
        </w:rPr>
      </w:pPr>
    </w:p>
    <w:p w14:paraId="38B8DAB8" w14:textId="2A4D9099" w:rsidR="00AA0243" w:rsidRPr="00B62036" w:rsidRDefault="00AA0243" w:rsidP="00D43173">
      <w:pPr>
        <w:jc w:val="center"/>
        <w:rPr>
          <w:rFonts w:ascii="Gill Sans MT" w:hAnsi="Gill Sans MT"/>
          <w:sz w:val="20"/>
          <w:szCs w:val="20"/>
        </w:rPr>
      </w:pPr>
      <w:r w:rsidRPr="00B62036">
        <w:rPr>
          <w:rFonts w:ascii="Gill Sans MT" w:hAnsi="Gill Sans MT"/>
          <w:sz w:val="20"/>
          <w:szCs w:val="20"/>
        </w:rPr>
        <w:t>Submitted to</w:t>
      </w:r>
    </w:p>
    <w:p w14:paraId="26ABA73A" w14:textId="77777777" w:rsidR="00AA0243" w:rsidRPr="001000C2" w:rsidRDefault="00AA0243" w:rsidP="00D43173">
      <w:pPr>
        <w:jc w:val="center"/>
        <w:rPr>
          <w:rFonts w:ascii="Gill Sans MT" w:hAnsi="Gill Sans MT"/>
          <w:sz w:val="32"/>
          <w:szCs w:val="32"/>
        </w:rPr>
      </w:pPr>
      <w:r w:rsidRPr="001000C2">
        <w:rPr>
          <w:rFonts w:ascii="Gill Sans MT" w:hAnsi="Gill Sans MT"/>
          <w:sz w:val="32"/>
          <w:szCs w:val="32"/>
        </w:rPr>
        <w:t>UNHC</w:t>
      </w:r>
      <w:r w:rsidR="004541B6" w:rsidRPr="001000C2">
        <w:rPr>
          <w:rFonts w:ascii="Gill Sans MT" w:hAnsi="Gill Sans MT"/>
          <w:sz w:val="32"/>
          <w:szCs w:val="32"/>
        </w:rPr>
        <w:t>R</w:t>
      </w:r>
      <w:r w:rsidRPr="001000C2">
        <w:rPr>
          <w:rFonts w:ascii="Gill Sans MT" w:hAnsi="Gill Sans MT"/>
          <w:sz w:val="32"/>
          <w:szCs w:val="32"/>
        </w:rPr>
        <w:t>, Somalia</w:t>
      </w:r>
    </w:p>
    <w:p w14:paraId="223B2281" w14:textId="77777777" w:rsidR="00E512B5" w:rsidRPr="00B62036" w:rsidRDefault="00E512B5" w:rsidP="00230515">
      <w:pPr>
        <w:jc w:val="both"/>
        <w:rPr>
          <w:rFonts w:ascii="Gill Sans MT" w:hAnsi="Gill Sans MT"/>
          <w:sz w:val="20"/>
          <w:szCs w:val="20"/>
        </w:rPr>
      </w:pPr>
    </w:p>
    <w:p w14:paraId="51A77ED0" w14:textId="77777777" w:rsidR="00853726" w:rsidRPr="00B62036" w:rsidRDefault="00853726" w:rsidP="00230515">
      <w:pPr>
        <w:jc w:val="both"/>
        <w:rPr>
          <w:rFonts w:ascii="Gill Sans MT" w:hAnsi="Gill Sans MT"/>
          <w:sz w:val="20"/>
          <w:szCs w:val="20"/>
        </w:rPr>
      </w:pPr>
    </w:p>
    <w:p w14:paraId="21B8C423" w14:textId="77777777" w:rsidR="00853726" w:rsidRPr="00B62036" w:rsidRDefault="00853726" w:rsidP="00230515">
      <w:pPr>
        <w:jc w:val="both"/>
        <w:rPr>
          <w:rFonts w:ascii="Gill Sans MT" w:hAnsi="Gill Sans MT"/>
          <w:sz w:val="20"/>
          <w:szCs w:val="20"/>
        </w:rPr>
      </w:pPr>
    </w:p>
    <w:p w14:paraId="48492CA2" w14:textId="77777777" w:rsidR="00853726" w:rsidRPr="00B62036" w:rsidRDefault="00853726" w:rsidP="00230515">
      <w:pPr>
        <w:jc w:val="both"/>
        <w:rPr>
          <w:rFonts w:ascii="Gill Sans MT" w:hAnsi="Gill Sans MT"/>
          <w:sz w:val="20"/>
          <w:szCs w:val="20"/>
        </w:rPr>
      </w:pPr>
    </w:p>
    <w:p w14:paraId="3A422C5A" w14:textId="77777777" w:rsidR="00853726" w:rsidRPr="00B62036" w:rsidRDefault="00853726" w:rsidP="00230515">
      <w:pPr>
        <w:jc w:val="both"/>
        <w:rPr>
          <w:rFonts w:ascii="Gill Sans MT" w:hAnsi="Gill Sans MT"/>
          <w:sz w:val="20"/>
          <w:szCs w:val="20"/>
        </w:rPr>
      </w:pPr>
    </w:p>
    <w:p w14:paraId="17AC48F2" w14:textId="77777777" w:rsidR="00853726" w:rsidRPr="00B62036" w:rsidRDefault="00853726" w:rsidP="00230515">
      <w:pPr>
        <w:jc w:val="both"/>
        <w:rPr>
          <w:rFonts w:ascii="Gill Sans MT" w:hAnsi="Gill Sans MT"/>
          <w:sz w:val="20"/>
          <w:szCs w:val="20"/>
        </w:rPr>
      </w:pPr>
    </w:p>
    <w:p w14:paraId="477733FF" w14:textId="77777777" w:rsidR="00C55B7A" w:rsidRPr="00B62036" w:rsidRDefault="00C55B7A" w:rsidP="00230515">
      <w:pPr>
        <w:jc w:val="both"/>
        <w:rPr>
          <w:rFonts w:ascii="Gill Sans MT" w:hAnsi="Gill Sans MT"/>
          <w:sz w:val="20"/>
          <w:szCs w:val="20"/>
        </w:rPr>
      </w:pPr>
    </w:p>
    <w:p w14:paraId="43128D6F" w14:textId="77777777" w:rsidR="00117C8B" w:rsidRDefault="00117C8B" w:rsidP="00230515">
      <w:pPr>
        <w:jc w:val="both"/>
        <w:rPr>
          <w:rFonts w:ascii="Gill Sans MT" w:hAnsi="Gill Sans MT"/>
          <w:sz w:val="20"/>
          <w:szCs w:val="20"/>
        </w:rPr>
      </w:pPr>
    </w:p>
    <w:p w14:paraId="596218BE" w14:textId="77777777" w:rsidR="00230515" w:rsidRDefault="00230515" w:rsidP="00230515">
      <w:pPr>
        <w:jc w:val="both"/>
        <w:rPr>
          <w:rFonts w:ascii="Gill Sans MT" w:hAnsi="Gill Sans MT"/>
          <w:sz w:val="20"/>
          <w:szCs w:val="20"/>
        </w:rPr>
      </w:pPr>
    </w:p>
    <w:p w14:paraId="235C0D69" w14:textId="77777777" w:rsidR="00230515" w:rsidRDefault="00230515" w:rsidP="00230515">
      <w:pPr>
        <w:jc w:val="both"/>
        <w:rPr>
          <w:rFonts w:ascii="Gill Sans MT" w:hAnsi="Gill Sans MT"/>
          <w:sz w:val="20"/>
          <w:szCs w:val="20"/>
        </w:rPr>
      </w:pPr>
    </w:p>
    <w:p w14:paraId="1D7B4D90" w14:textId="77777777" w:rsidR="00230515" w:rsidRDefault="00230515" w:rsidP="00230515">
      <w:pPr>
        <w:jc w:val="both"/>
        <w:rPr>
          <w:rFonts w:ascii="Gill Sans MT" w:hAnsi="Gill Sans MT"/>
          <w:sz w:val="20"/>
          <w:szCs w:val="20"/>
        </w:rPr>
      </w:pPr>
    </w:p>
    <w:p w14:paraId="02362D15" w14:textId="77777777" w:rsidR="00230515" w:rsidRDefault="00230515" w:rsidP="00230515">
      <w:pPr>
        <w:jc w:val="both"/>
        <w:rPr>
          <w:rFonts w:ascii="Gill Sans MT" w:hAnsi="Gill Sans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6028"/>
      </w:tblGrid>
      <w:tr w:rsidR="000F27DB" w14:paraId="130D3515" w14:textId="77777777" w:rsidTr="006A32A7">
        <w:trPr>
          <w:trHeight w:val="2843"/>
        </w:trPr>
        <w:tc>
          <w:tcPr>
            <w:tcW w:w="3546" w:type="dxa"/>
          </w:tcPr>
          <w:p w14:paraId="5385D37C" w14:textId="755038BD" w:rsidR="000F27DB" w:rsidRDefault="000F27DB" w:rsidP="00E04653">
            <w:pPr>
              <w:spacing w:after="200" w:line="276" w:lineRule="auto"/>
              <w:rPr>
                <w:rFonts w:ascii="Gill Sans MT" w:eastAsia="Calibri" w:hAnsi="Gill Sans MT" w:cs="Arial"/>
                <w:sz w:val="20"/>
                <w:szCs w:val="20"/>
              </w:rPr>
            </w:pPr>
            <w:r w:rsidRPr="000F27DB">
              <w:rPr>
                <w:rFonts w:ascii="Gill Sans MT" w:eastAsia="Calibri" w:hAnsi="Gill Sans MT"/>
                <w:noProof/>
                <w:sz w:val="20"/>
                <w:szCs w:val="20"/>
              </w:rPr>
              <w:drawing>
                <wp:inline distT="0" distB="0" distL="0" distR="0" wp14:anchorId="340D5B6F" wp14:editId="40F186F1">
                  <wp:extent cx="2116015" cy="64477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283" cy="647289"/>
                          </a:xfrm>
                          <a:prstGeom prst="rect">
                            <a:avLst/>
                          </a:prstGeom>
                          <a:noFill/>
                        </pic:spPr>
                      </pic:pic>
                    </a:graphicData>
                  </a:graphic>
                </wp:inline>
              </w:drawing>
            </w:r>
          </w:p>
          <w:p w14:paraId="099EAA20" w14:textId="77777777" w:rsidR="000F27DB" w:rsidRDefault="000F27DB" w:rsidP="00E04653">
            <w:pPr>
              <w:spacing w:after="200" w:line="276" w:lineRule="auto"/>
              <w:rPr>
                <w:rFonts w:ascii="Gill Sans MT" w:eastAsia="Calibri" w:hAnsi="Gill Sans MT" w:cs="Arial"/>
                <w:sz w:val="20"/>
                <w:szCs w:val="20"/>
              </w:rPr>
            </w:pPr>
          </w:p>
        </w:tc>
        <w:tc>
          <w:tcPr>
            <w:tcW w:w="6030" w:type="dxa"/>
          </w:tcPr>
          <w:p w14:paraId="26F15316" w14:textId="6E445789" w:rsidR="000F27DB" w:rsidRPr="005D458E" w:rsidRDefault="000F27DB" w:rsidP="00E04653">
            <w:pPr>
              <w:spacing w:after="200" w:line="276" w:lineRule="auto"/>
              <w:rPr>
                <w:rFonts w:ascii="Gill Sans MT" w:hAnsi="Gill Sans MT"/>
                <w:noProof/>
                <w:sz w:val="18"/>
                <w:szCs w:val="18"/>
              </w:rPr>
            </w:pPr>
            <w:r w:rsidRPr="006A32A7">
              <w:rPr>
                <w:rFonts w:ascii="Gill Sans MT" w:eastAsia="Calibri" w:hAnsi="Gill Sans MT" w:cs="Arial"/>
                <w:sz w:val="18"/>
                <w:szCs w:val="18"/>
              </w:rPr>
              <w:t xml:space="preserve">Researchcare Africa is a research and management consultant firm that delivers responsive, technical assistance and highly specialized management solutions across the Horn and East Africa. </w:t>
            </w:r>
            <w:r w:rsidR="006A32A7">
              <w:rPr>
                <w:rFonts w:ascii="Gill Sans MT" w:eastAsia="Calibri" w:hAnsi="Gill Sans MT" w:cs="Arial"/>
                <w:sz w:val="18"/>
                <w:szCs w:val="18"/>
              </w:rPr>
              <w:t xml:space="preserve">The firm </w:t>
            </w:r>
            <w:r w:rsidR="006A32A7" w:rsidRPr="006A32A7">
              <w:rPr>
                <w:rFonts w:ascii="Gill Sans MT" w:eastAsia="Calibri" w:hAnsi="Gill Sans MT" w:cs="Arial"/>
                <w:sz w:val="18"/>
                <w:szCs w:val="18"/>
              </w:rPr>
              <w:t>partners</w:t>
            </w:r>
            <w:r w:rsidRPr="006A32A7">
              <w:rPr>
                <w:rFonts w:ascii="Gill Sans MT" w:eastAsia="Calibri" w:hAnsi="Gill Sans MT" w:cs="Arial"/>
                <w:sz w:val="18"/>
                <w:szCs w:val="18"/>
              </w:rPr>
              <w:t xml:space="preserve"> with clients in development, humanitarian and government institutions through designing bespoke approaches to address their most critical challenges enhance their effectiveness, efficiency and inform policy decisions. </w:t>
            </w:r>
            <w:r w:rsidR="006A32A7">
              <w:rPr>
                <w:rFonts w:ascii="Gill Sans MT" w:eastAsia="Calibri" w:hAnsi="Gill Sans MT" w:cs="Arial"/>
                <w:sz w:val="18"/>
                <w:szCs w:val="18"/>
              </w:rPr>
              <w:t xml:space="preserve">The firm </w:t>
            </w:r>
            <w:r w:rsidR="006A32A7" w:rsidRPr="006A32A7">
              <w:rPr>
                <w:rFonts w:ascii="Gill Sans MT" w:eastAsia="Calibri" w:hAnsi="Gill Sans MT" w:cs="Arial"/>
                <w:sz w:val="18"/>
                <w:szCs w:val="18"/>
              </w:rPr>
              <w:t>ensures</w:t>
            </w:r>
            <w:r w:rsidRPr="006A32A7">
              <w:rPr>
                <w:rFonts w:ascii="Gill Sans MT" w:eastAsia="Calibri" w:hAnsi="Gill Sans MT" w:cs="Arial"/>
                <w:sz w:val="18"/>
                <w:szCs w:val="18"/>
              </w:rPr>
              <w:t xml:space="preserve"> that our clients build more capable organizations, and secure sustainable results for their work. Researchcare specializes in monitoring and evaluation, research, organizational development, institutional capacity development and advisories (i.e. management, security and political</w:t>
            </w:r>
            <w:r w:rsidR="006A32A7">
              <w:rPr>
                <w:rFonts w:ascii="Gill Sans MT" w:eastAsia="Calibri" w:hAnsi="Gill Sans MT" w:cs="Arial"/>
                <w:sz w:val="18"/>
                <w:szCs w:val="18"/>
              </w:rPr>
              <w:t xml:space="preserve"> issues</w:t>
            </w:r>
            <w:r w:rsidRPr="006A32A7">
              <w:rPr>
                <w:rFonts w:ascii="Gill Sans MT" w:eastAsia="Calibri" w:hAnsi="Gill Sans MT" w:cs="Arial"/>
                <w:sz w:val="18"/>
                <w:szCs w:val="18"/>
              </w:rPr>
              <w:t xml:space="preserve"> in Somalia).</w:t>
            </w:r>
            <w:r w:rsidRPr="006A32A7">
              <w:rPr>
                <w:rFonts w:ascii="Gill Sans MT" w:hAnsi="Gill Sans MT"/>
                <w:noProof/>
                <w:sz w:val="18"/>
                <w:szCs w:val="18"/>
              </w:rPr>
              <w:t xml:space="preserve"> </w:t>
            </w:r>
            <w:r w:rsidRPr="006A32A7">
              <w:rPr>
                <w:rFonts w:ascii="Gill Sans MT" w:eastAsia="Calibri" w:hAnsi="Gill Sans MT" w:cs="Arial"/>
                <w:sz w:val="18"/>
                <w:szCs w:val="18"/>
              </w:rPr>
              <w:t>For further information please visit:</w:t>
            </w:r>
            <w:r w:rsidR="006A32A7">
              <w:rPr>
                <w:rFonts w:ascii="Gill Sans MT" w:eastAsia="Calibri" w:hAnsi="Gill Sans MT" w:cs="Arial"/>
                <w:sz w:val="22"/>
                <w:szCs w:val="22"/>
              </w:rPr>
              <w:t xml:space="preserve"> </w:t>
            </w:r>
            <w:r w:rsidRPr="000F27DB">
              <w:rPr>
                <w:rFonts w:ascii="Gill Sans MT" w:eastAsia="Calibri" w:hAnsi="Gill Sans MT" w:cs="Arial"/>
                <w:color w:val="0000FF"/>
                <w:sz w:val="22"/>
                <w:szCs w:val="22"/>
                <w:u w:val="single"/>
              </w:rPr>
              <w:t>www.researchcareafrica.com</w:t>
            </w:r>
          </w:p>
        </w:tc>
      </w:tr>
    </w:tbl>
    <w:p w14:paraId="575DE4B1" w14:textId="77777777" w:rsidR="005D458E" w:rsidRDefault="005D458E" w:rsidP="005D458E">
      <w:pPr>
        <w:spacing w:after="200" w:line="276" w:lineRule="auto"/>
        <w:rPr>
          <w:rFonts w:ascii="Gill Sans MT" w:eastAsia="Calibri" w:hAnsi="Gill Sans MT" w:cs="Arial"/>
          <w:color w:val="0000FF"/>
          <w:sz w:val="22"/>
          <w:szCs w:val="22"/>
          <w:u w:val="single"/>
        </w:rPr>
        <w:sectPr w:rsidR="005D458E" w:rsidSect="00117C8B">
          <w:headerReference w:type="default" r:id="rId10"/>
          <w:footerReference w:type="default" r:id="rId11"/>
          <w:pgSz w:w="12240" w:h="15840"/>
          <w:pgMar w:top="1440" w:right="1440" w:bottom="1440" w:left="1440" w:header="720" w:footer="720" w:gutter="0"/>
          <w:pgNumType w:fmt="numberInDash"/>
          <w:cols w:space="720"/>
          <w:docGrid w:linePitch="360"/>
        </w:sectPr>
      </w:pPr>
    </w:p>
    <w:p w14:paraId="230B4E2B" w14:textId="77777777" w:rsidR="000F27DB" w:rsidRPr="00E04653" w:rsidRDefault="000F27DB" w:rsidP="00E04653">
      <w:pPr>
        <w:spacing w:after="200" w:line="276" w:lineRule="auto"/>
        <w:rPr>
          <w:rFonts w:ascii="Gill Sans MT" w:eastAsia="Calibri" w:hAnsi="Gill Sans MT" w:cs="Arial"/>
          <w:sz w:val="22"/>
          <w:szCs w:val="22"/>
        </w:rPr>
      </w:pPr>
    </w:p>
    <w:p w14:paraId="513C5E76" w14:textId="77777777" w:rsidR="00C55B7A" w:rsidRPr="00B62036" w:rsidRDefault="00C55B7A" w:rsidP="00230515">
      <w:pPr>
        <w:jc w:val="both"/>
        <w:rPr>
          <w:rFonts w:ascii="Gill Sans MT" w:hAnsi="Gill Sans MT"/>
          <w:sz w:val="20"/>
          <w:szCs w:val="20"/>
        </w:rPr>
      </w:pPr>
    </w:p>
    <w:p w14:paraId="6A194D93" w14:textId="6A59F353" w:rsidR="00E66DFA" w:rsidRPr="006A32A7" w:rsidRDefault="00EC2E38" w:rsidP="00EC2E38">
      <w:pPr>
        <w:jc w:val="center"/>
        <w:rPr>
          <w:rFonts w:ascii="Gill Sans MT" w:hAnsi="Gill Sans MT"/>
          <w:b/>
          <w:sz w:val="20"/>
          <w:szCs w:val="20"/>
        </w:rPr>
      </w:pPr>
      <w:r w:rsidRPr="006A32A7">
        <w:rPr>
          <w:rFonts w:ascii="Gill Sans MT" w:hAnsi="Gill Sans MT"/>
          <w:b/>
          <w:sz w:val="20"/>
          <w:szCs w:val="20"/>
        </w:rPr>
        <w:t>ACKNOWLEDGEMENTS</w:t>
      </w:r>
    </w:p>
    <w:p w14:paraId="65F2FE5E" w14:textId="77777777" w:rsidR="00EC2E38" w:rsidRPr="00EC2E38" w:rsidRDefault="00EC2E38" w:rsidP="00EC2E38">
      <w:pPr>
        <w:jc w:val="center"/>
        <w:rPr>
          <w:rFonts w:ascii="Gill Sans MT" w:hAnsi="Gill Sans MT"/>
          <w:b/>
        </w:rPr>
      </w:pPr>
    </w:p>
    <w:p w14:paraId="7D0DEB59" w14:textId="3078DA68" w:rsidR="00AA0243" w:rsidRPr="00B52856" w:rsidRDefault="00E66DFA" w:rsidP="005D458E">
      <w:pPr>
        <w:autoSpaceDE w:val="0"/>
        <w:autoSpaceDN w:val="0"/>
        <w:adjustRightInd w:val="0"/>
        <w:jc w:val="both"/>
        <w:rPr>
          <w:rFonts w:ascii="Gill Sans MT" w:eastAsiaTheme="minorHAnsi" w:hAnsi="Gill Sans MT" w:cs="Perpetua"/>
          <w:color w:val="000000"/>
          <w:sz w:val="20"/>
          <w:szCs w:val="20"/>
        </w:rPr>
      </w:pPr>
      <w:r w:rsidRPr="00B52856">
        <w:rPr>
          <w:rFonts w:ascii="Gill Sans MT" w:eastAsiaTheme="minorHAnsi" w:hAnsi="Gill Sans MT" w:cs="Perpetua"/>
          <w:color w:val="000000"/>
          <w:sz w:val="20"/>
          <w:szCs w:val="20"/>
        </w:rPr>
        <w:t xml:space="preserve">The cooperation and assistance of PUNOs, partners and </w:t>
      </w:r>
      <w:r w:rsidR="00D43173">
        <w:rPr>
          <w:rFonts w:ascii="Gill Sans MT" w:eastAsiaTheme="minorHAnsi" w:hAnsi="Gill Sans MT" w:cs="Perpetua"/>
          <w:color w:val="000000"/>
          <w:sz w:val="20"/>
          <w:szCs w:val="20"/>
        </w:rPr>
        <w:t>government agencies as well as local communities</w:t>
      </w:r>
      <w:r w:rsidRPr="00B52856">
        <w:rPr>
          <w:rFonts w:ascii="Gill Sans MT" w:eastAsiaTheme="minorHAnsi" w:hAnsi="Gill Sans MT" w:cs="Perpetua"/>
          <w:color w:val="000000"/>
          <w:sz w:val="20"/>
          <w:szCs w:val="20"/>
        </w:rPr>
        <w:t xml:space="preserve"> were crucial in </w:t>
      </w:r>
      <w:r w:rsidR="00EC2E38" w:rsidRPr="00B52856">
        <w:rPr>
          <w:rFonts w:ascii="Gill Sans MT" w:eastAsiaTheme="minorHAnsi" w:hAnsi="Gill Sans MT" w:cs="Perpetua"/>
          <w:color w:val="000000"/>
          <w:sz w:val="20"/>
          <w:szCs w:val="20"/>
        </w:rPr>
        <w:t>the</w:t>
      </w:r>
      <w:r w:rsidRPr="00B52856">
        <w:rPr>
          <w:rFonts w:ascii="Gill Sans MT" w:eastAsiaTheme="minorHAnsi" w:hAnsi="Gill Sans MT" w:cs="Perpetua"/>
          <w:color w:val="000000"/>
          <w:sz w:val="20"/>
          <w:szCs w:val="20"/>
        </w:rPr>
        <w:t xml:space="preserve"> study, and thus the research team would like to extend their appreciation to those who volunteered their time to participate in this assessment. Sincere gratitude is extended to UNHCR Somalia and UNHCR Kenya, FAO</w:t>
      </w:r>
      <w:r w:rsidR="00D43173">
        <w:rPr>
          <w:rFonts w:ascii="Gill Sans MT" w:eastAsiaTheme="minorHAnsi" w:hAnsi="Gill Sans MT" w:cs="Perpetua"/>
          <w:color w:val="000000"/>
          <w:sz w:val="20"/>
          <w:szCs w:val="20"/>
        </w:rPr>
        <w:t>, IOM, ILO, UNICEF and</w:t>
      </w:r>
      <w:r w:rsidRPr="00B52856">
        <w:rPr>
          <w:rFonts w:ascii="Gill Sans MT" w:eastAsiaTheme="minorHAnsi" w:hAnsi="Gill Sans MT" w:cs="Perpetua"/>
          <w:color w:val="000000"/>
          <w:sz w:val="20"/>
          <w:szCs w:val="20"/>
        </w:rPr>
        <w:t xml:space="preserve"> WFP</w:t>
      </w:r>
      <w:r w:rsidR="00D43173">
        <w:rPr>
          <w:rFonts w:ascii="Gill Sans MT" w:eastAsiaTheme="minorHAnsi" w:hAnsi="Gill Sans MT" w:cs="Perpetua"/>
          <w:color w:val="000000"/>
          <w:sz w:val="20"/>
          <w:szCs w:val="20"/>
        </w:rPr>
        <w:t xml:space="preserve"> teams</w:t>
      </w:r>
      <w:r w:rsidRPr="00B52856">
        <w:rPr>
          <w:rFonts w:ascii="Gill Sans MT" w:eastAsiaTheme="minorHAnsi" w:hAnsi="Gill Sans MT" w:cs="Perpetua"/>
          <w:color w:val="000000"/>
          <w:sz w:val="20"/>
          <w:szCs w:val="20"/>
        </w:rPr>
        <w:t xml:space="preserve">, and in particular Martha Kow-Donkor and Hassan Adan from UNHCR Somalia and UNHCR  for their  support in coordinating and facilitating this study. In addition, </w:t>
      </w:r>
      <w:r w:rsidR="00E17A13" w:rsidRPr="00B52856">
        <w:rPr>
          <w:rFonts w:ascii="Gill Sans MT" w:eastAsiaTheme="minorHAnsi" w:hAnsi="Gill Sans MT" w:cs="Perpetua"/>
          <w:color w:val="000000"/>
          <w:sz w:val="20"/>
          <w:szCs w:val="20"/>
        </w:rPr>
        <w:t xml:space="preserve">Researchcare Africa </w:t>
      </w:r>
      <w:r w:rsidRPr="00B52856">
        <w:rPr>
          <w:rFonts w:ascii="Gill Sans MT" w:eastAsiaTheme="minorHAnsi" w:hAnsi="Gill Sans MT" w:cs="Perpetua"/>
          <w:color w:val="000000"/>
          <w:sz w:val="20"/>
          <w:szCs w:val="20"/>
        </w:rPr>
        <w:t>would like to thank all participants of focus group discussions and key informant interviews for</w:t>
      </w:r>
      <w:r w:rsidR="005D458E">
        <w:rPr>
          <w:rFonts w:ascii="Gill Sans MT" w:eastAsiaTheme="minorHAnsi" w:hAnsi="Gill Sans MT" w:cs="Perpetua"/>
          <w:color w:val="000000"/>
          <w:sz w:val="20"/>
          <w:szCs w:val="20"/>
        </w:rPr>
        <w:t xml:space="preserve"> their time and opinions.</w:t>
      </w:r>
      <w:r w:rsidR="005D458E" w:rsidRPr="00B52856">
        <w:rPr>
          <w:rFonts w:ascii="Gill Sans MT" w:eastAsiaTheme="minorHAnsi" w:hAnsi="Gill Sans MT" w:cs="Perpetua"/>
          <w:color w:val="000000"/>
          <w:sz w:val="20"/>
          <w:szCs w:val="20"/>
        </w:rPr>
        <w:t xml:space="preserve"> The</w:t>
      </w:r>
      <w:r w:rsidRPr="00B52856">
        <w:rPr>
          <w:rFonts w:ascii="Gill Sans MT" w:eastAsiaTheme="minorHAnsi" w:hAnsi="Gill Sans MT" w:cs="Perpetua"/>
          <w:color w:val="000000"/>
          <w:sz w:val="20"/>
          <w:szCs w:val="20"/>
        </w:rPr>
        <w:t xml:space="preserve"> following individuals </w:t>
      </w:r>
      <w:r w:rsidR="00235BA5" w:rsidRPr="00B52856">
        <w:rPr>
          <w:rFonts w:ascii="Gill Sans MT" w:eastAsiaTheme="minorHAnsi" w:hAnsi="Gill Sans MT" w:cs="Perpetua"/>
          <w:color w:val="000000"/>
          <w:sz w:val="20"/>
          <w:szCs w:val="20"/>
        </w:rPr>
        <w:t>at Researchcare</w:t>
      </w:r>
      <w:r w:rsidR="00E17A13" w:rsidRPr="00B52856">
        <w:rPr>
          <w:rFonts w:ascii="Gill Sans MT" w:eastAsiaTheme="minorHAnsi" w:hAnsi="Gill Sans MT" w:cs="Perpetua"/>
          <w:color w:val="000000"/>
          <w:sz w:val="20"/>
          <w:szCs w:val="20"/>
        </w:rPr>
        <w:t xml:space="preserve"> Africa</w:t>
      </w:r>
      <w:r w:rsidRPr="00B52856">
        <w:rPr>
          <w:rFonts w:ascii="Gill Sans MT" w:eastAsiaTheme="minorHAnsi" w:hAnsi="Gill Sans MT" w:cs="Perpetua"/>
          <w:color w:val="000000"/>
          <w:sz w:val="20"/>
          <w:szCs w:val="20"/>
        </w:rPr>
        <w:t xml:space="preserve"> contributed to the research and analysis of this report:</w:t>
      </w:r>
    </w:p>
    <w:p w14:paraId="0D94253B" w14:textId="77777777" w:rsidR="00E17A13" w:rsidRPr="00B52856" w:rsidRDefault="00E17A13" w:rsidP="005D458E">
      <w:pPr>
        <w:jc w:val="both"/>
        <w:rPr>
          <w:rFonts w:ascii="Gill Sans MT" w:eastAsiaTheme="minorHAnsi" w:hAnsi="Gill Sans MT" w:cs="Perpetua"/>
          <w:color w:val="000000"/>
          <w:sz w:val="20"/>
          <w:szCs w:val="20"/>
        </w:rPr>
      </w:pPr>
    </w:p>
    <w:p w14:paraId="5D1715BE" w14:textId="73D7F717" w:rsidR="00EC2E38" w:rsidRPr="00B52856" w:rsidRDefault="00EC2E38" w:rsidP="005D458E">
      <w:pPr>
        <w:jc w:val="both"/>
        <w:rPr>
          <w:rFonts w:ascii="Gill Sans MT" w:eastAsiaTheme="minorHAnsi" w:hAnsi="Gill Sans MT" w:cs="Perpetua"/>
          <w:color w:val="000000"/>
          <w:sz w:val="20"/>
          <w:szCs w:val="20"/>
        </w:rPr>
      </w:pPr>
      <w:r w:rsidRPr="00B52856">
        <w:rPr>
          <w:rFonts w:ascii="Gill Sans MT" w:eastAsiaTheme="minorHAnsi" w:hAnsi="Gill Sans MT" w:cs="Perpetua"/>
          <w:color w:val="000000"/>
          <w:sz w:val="20"/>
          <w:szCs w:val="20"/>
        </w:rPr>
        <w:t xml:space="preserve">Hashim Shuria (PHD), Team Leader </w:t>
      </w:r>
    </w:p>
    <w:p w14:paraId="0764FF36" w14:textId="0D8D3DD6" w:rsidR="00E17A13" w:rsidRPr="00B52856" w:rsidRDefault="00E17A13" w:rsidP="005D458E">
      <w:pPr>
        <w:jc w:val="both"/>
        <w:rPr>
          <w:rFonts w:ascii="Gill Sans MT" w:eastAsiaTheme="minorHAnsi" w:hAnsi="Gill Sans MT" w:cs="Perpetua"/>
          <w:color w:val="000000"/>
          <w:sz w:val="20"/>
          <w:szCs w:val="20"/>
        </w:rPr>
      </w:pPr>
      <w:r w:rsidRPr="00B52856">
        <w:rPr>
          <w:rFonts w:ascii="Gill Sans MT" w:eastAsiaTheme="minorHAnsi" w:hAnsi="Gill Sans MT" w:cs="Perpetua"/>
          <w:color w:val="000000"/>
          <w:sz w:val="20"/>
          <w:szCs w:val="20"/>
        </w:rPr>
        <w:t>Himish Mahmoud</w:t>
      </w:r>
      <w:r w:rsidR="00235BA5" w:rsidRPr="00B52856">
        <w:rPr>
          <w:rFonts w:ascii="Gill Sans MT" w:eastAsiaTheme="minorHAnsi" w:hAnsi="Gill Sans MT" w:cs="Perpetua"/>
          <w:color w:val="000000"/>
          <w:sz w:val="20"/>
          <w:szCs w:val="20"/>
        </w:rPr>
        <w:t xml:space="preserve">, </w:t>
      </w:r>
      <w:r w:rsidR="00EC2E38" w:rsidRPr="00B52856">
        <w:rPr>
          <w:rFonts w:ascii="Gill Sans MT" w:eastAsiaTheme="minorHAnsi" w:hAnsi="Gill Sans MT" w:cs="Perpetua"/>
          <w:color w:val="000000"/>
          <w:sz w:val="20"/>
          <w:szCs w:val="20"/>
        </w:rPr>
        <w:t xml:space="preserve">Research Officer, </w:t>
      </w:r>
      <w:r w:rsidR="00235BA5" w:rsidRPr="00B52856">
        <w:rPr>
          <w:rFonts w:ascii="Gill Sans MT" w:eastAsiaTheme="minorHAnsi" w:hAnsi="Gill Sans MT" w:cs="Perpetua"/>
          <w:color w:val="000000"/>
          <w:sz w:val="20"/>
          <w:szCs w:val="20"/>
        </w:rPr>
        <w:t>Governance Specialist</w:t>
      </w:r>
    </w:p>
    <w:p w14:paraId="6207672A" w14:textId="4B4712B3" w:rsidR="00235BA5" w:rsidRPr="00B52856" w:rsidRDefault="00235BA5" w:rsidP="005D458E">
      <w:pPr>
        <w:jc w:val="both"/>
        <w:rPr>
          <w:rFonts w:ascii="Gill Sans MT" w:eastAsiaTheme="minorHAnsi" w:hAnsi="Gill Sans MT" w:cs="Perpetua"/>
          <w:color w:val="000000"/>
          <w:sz w:val="20"/>
          <w:szCs w:val="20"/>
        </w:rPr>
      </w:pPr>
      <w:r w:rsidRPr="00B52856">
        <w:rPr>
          <w:rFonts w:ascii="Gill Sans MT" w:eastAsiaTheme="minorHAnsi" w:hAnsi="Gill Sans MT" w:cs="Perpetua"/>
          <w:color w:val="000000"/>
          <w:sz w:val="20"/>
          <w:szCs w:val="20"/>
        </w:rPr>
        <w:t xml:space="preserve">Abdullahi Abdinoor, Research Officer, </w:t>
      </w:r>
      <w:r w:rsidR="00EC2E38" w:rsidRPr="00B52856">
        <w:rPr>
          <w:rFonts w:ascii="Gill Sans MT" w:eastAsiaTheme="minorHAnsi" w:hAnsi="Gill Sans MT" w:cs="Perpetua"/>
          <w:color w:val="000000"/>
          <w:sz w:val="20"/>
          <w:szCs w:val="20"/>
        </w:rPr>
        <w:t xml:space="preserve">Livelihood Specialist </w:t>
      </w:r>
    </w:p>
    <w:p w14:paraId="4EC65582" w14:textId="77777777" w:rsidR="00E04653" w:rsidRDefault="00E04653" w:rsidP="00E66DFA">
      <w:pPr>
        <w:jc w:val="both"/>
        <w:rPr>
          <w:rFonts w:ascii="Perpetua" w:eastAsiaTheme="minorHAnsi" w:hAnsi="Perpetua" w:cs="Perpetua"/>
          <w:color w:val="000000"/>
          <w:sz w:val="23"/>
          <w:szCs w:val="23"/>
        </w:rPr>
      </w:pPr>
    </w:p>
    <w:p w14:paraId="00A5360C" w14:textId="77777777" w:rsidR="00EC2E38" w:rsidRDefault="00EC2E38" w:rsidP="00E66DFA">
      <w:pPr>
        <w:jc w:val="both"/>
        <w:rPr>
          <w:rFonts w:ascii="Gill Sans MT" w:hAnsi="Gill Sans MT"/>
          <w:sz w:val="20"/>
          <w:szCs w:val="20"/>
        </w:rPr>
      </w:pPr>
    </w:p>
    <w:p w14:paraId="678906FF" w14:textId="77777777" w:rsidR="00E66DFA" w:rsidRDefault="00E66DFA" w:rsidP="00230515">
      <w:pPr>
        <w:jc w:val="both"/>
        <w:rPr>
          <w:rFonts w:ascii="Gill Sans MT" w:hAnsi="Gill Sans MT"/>
          <w:sz w:val="20"/>
          <w:szCs w:val="20"/>
        </w:rPr>
      </w:pPr>
    </w:p>
    <w:p w14:paraId="0EDE436D" w14:textId="77777777" w:rsidR="00E66DFA" w:rsidRDefault="00E66DFA" w:rsidP="00230515">
      <w:pPr>
        <w:jc w:val="both"/>
        <w:rPr>
          <w:rFonts w:ascii="Gill Sans MT" w:hAnsi="Gill Sans MT"/>
          <w:sz w:val="20"/>
          <w:szCs w:val="20"/>
        </w:rPr>
      </w:pPr>
    </w:p>
    <w:p w14:paraId="7FCD5774" w14:textId="77777777" w:rsidR="00E66DFA" w:rsidRDefault="00E66DFA" w:rsidP="00230515">
      <w:pPr>
        <w:jc w:val="both"/>
        <w:rPr>
          <w:rFonts w:ascii="Gill Sans MT" w:hAnsi="Gill Sans MT"/>
          <w:sz w:val="20"/>
          <w:szCs w:val="20"/>
        </w:rPr>
      </w:pPr>
    </w:p>
    <w:p w14:paraId="03A0F973" w14:textId="77777777" w:rsidR="00E66DFA" w:rsidRDefault="00E66DFA" w:rsidP="00230515">
      <w:pPr>
        <w:jc w:val="both"/>
        <w:rPr>
          <w:rFonts w:ascii="Gill Sans MT" w:hAnsi="Gill Sans MT"/>
          <w:sz w:val="20"/>
          <w:szCs w:val="20"/>
        </w:rPr>
      </w:pPr>
    </w:p>
    <w:p w14:paraId="518E7171" w14:textId="77777777" w:rsidR="00E66DFA" w:rsidRDefault="00E66DFA" w:rsidP="00230515">
      <w:pPr>
        <w:jc w:val="both"/>
        <w:rPr>
          <w:rFonts w:ascii="Gill Sans MT" w:hAnsi="Gill Sans MT"/>
          <w:sz w:val="20"/>
          <w:szCs w:val="20"/>
        </w:rPr>
      </w:pPr>
    </w:p>
    <w:p w14:paraId="60A2CC86" w14:textId="77777777" w:rsidR="00E66DFA" w:rsidRDefault="00E66DFA" w:rsidP="00230515">
      <w:pPr>
        <w:jc w:val="both"/>
        <w:rPr>
          <w:rFonts w:ascii="Gill Sans MT" w:hAnsi="Gill Sans MT"/>
          <w:sz w:val="20"/>
          <w:szCs w:val="20"/>
        </w:rPr>
      </w:pPr>
    </w:p>
    <w:p w14:paraId="608D0DAA" w14:textId="77777777" w:rsidR="00E66DFA" w:rsidRDefault="00E66DFA" w:rsidP="00230515">
      <w:pPr>
        <w:jc w:val="both"/>
        <w:rPr>
          <w:rFonts w:ascii="Gill Sans MT" w:hAnsi="Gill Sans MT"/>
          <w:sz w:val="20"/>
          <w:szCs w:val="20"/>
        </w:rPr>
      </w:pPr>
    </w:p>
    <w:p w14:paraId="1E521C8F" w14:textId="77777777" w:rsidR="00E66DFA" w:rsidRDefault="00E66DFA" w:rsidP="00230515">
      <w:pPr>
        <w:jc w:val="both"/>
        <w:rPr>
          <w:rFonts w:ascii="Gill Sans MT" w:hAnsi="Gill Sans MT"/>
          <w:sz w:val="20"/>
          <w:szCs w:val="20"/>
        </w:rPr>
      </w:pPr>
    </w:p>
    <w:p w14:paraId="4F1E5FB5" w14:textId="77777777" w:rsidR="00E66DFA" w:rsidRDefault="00E66DFA" w:rsidP="00230515">
      <w:pPr>
        <w:jc w:val="both"/>
        <w:rPr>
          <w:rFonts w:ascii="Gill Sans MT" w:hAnsi="Gill Sans MT"/>
          <w:sz w:val="20"/>
          <w:szCs w:val="20"/>
        </w:rPr>
      </w:pPr>
    </w:p>
    <w:p w14:paraId="15E4749D" w14:textId="77777777" w:rsidR="00E04653" w:rsidRDefault="00E04653" w:rsidP="00230515">
      <w:pPr>
        <w:jc w:val="both"/>
        <w:rPr>
          <w:rFonts w:ascii="Gill Sans MT" w:hAnsi="Gill Sans MT"/>
          <w:sz w:val="20"/>
          <w:szCs w:val="20"/>
        </w:rPr>
      </w:pPr>
    </w:p>
    <w:p w14:paraId="785A5C56" w14:textId="77777777" w:rsidR="00E04653" w:rsidRDefault="00E04653" w:rsidP="00230515">
      <w:pPr>
        <w:jc w:val="both"/>
        <w:rPr>
          <w:rFonts w:ascii="Gill Sans MT" w:hAnsi="Gill Sans MT"/>
          <w:sz w:val="20"/>
          <w:szCs w:val="20"/>
        </w:rPr>
      </w:pPr>
    </w:p>
    <w:p w14:paraId="3D953D03" w14:textId="77777777" w:rsidR="00E04653" w:rsidRDefault="00E04653" w:rsidP="00230515">
      <w:pPr>
        <w:jc w:val="both"/>
        <w:rPr>
          <w:rFonts w:ascii="Gill Sans MT" w:hAnsi="Gill Sans MT"/>
          <w:sz w:val="20"/>
          <w:szCs w:val="20"/>
        </w:rPr>
      </w:pPr>
    </w:p>
    <w:p w14:paraId="215279FA" w14:textId="77777777" w:rsidR="00E04653" w:rsidRDefault="00E04653" w:rsidP="00230515">
      <w:pPr>
        <w:jc w:val="both"/>
        <w:rPr>
          <w:rFonts w:ascii="Gill Sans MT" w:hAnsi="Gill Sans MT"/>
          <w:sz w:val="20"/>
          <w:szCs w:val="20"/>
        </w:rPr>
      </w:pPr>
    </w:p>
    <w:p w14:paraId="741E3625" w14:textId="77777777" w:rsidR="00E04653" w:rsidRDefault="00E04653" w:rsidP="00230515">
      <w:pPr>
        <w:jc w:val="both"/>
        <w:rPr>
          <w:rFonts w:ascii="Gill Sans MT" w:hAnsi="Gill Sans MT"/>
          <w:sz w:val="20"/>
          <w:szCs w:val="20"/>
        </w:rPr>
      </w:pPr>
    </w:p>
    <w:p w14:paraId="461030D6" w14:textId="77777777" w:rsidR="00E04653" w:rsidRDefault="00E04653" w:rsidP="00230515">
      <w:pPr>
        <w:jc w:val="both"/>
        <w:rPr>
          <w:rFonts w:ascii="Gill Sans MT" w:hAnsi="Gill Sans MT"/>
          <w:sz w:val="20"/>
          <w:szCs w:val="20"/>
        </w:rPr>
      </w:pPr>
    </w:p>
    <w:p w14:paraId="762E6445" w14:textId="77777777" w:rsidR="00E04653" w:rsidRDefault="00E04653" w:rsidP="00230515">
      <w:pPr>
        <w:jc w:val="both"/>
        <w:rPr>
          <w:rFonts w:ascii="Gill Sans MT" w:hAnsi="Gill Sans MT"/>
          <w:sz w:val="20"/>
          <w:szCs w:val="20"/>
        </w:rPr>
      </w:pPr>
    </w:p>
    <w:p w14:paraId="6CC9A5CC" w14:textId="77777777" w:rsidR="00E04653" w:rsidRDefault="00E04653" w:rsidP="00230515">
      <w:pPr>
        <w:jc w:val="both"/>
        <w:rPr>
          <w:rFonts w:ascii="Gill Sans MT" w:hAnsi="Gill Sans MT"/>
          <w:sz w:val="20"/>
          <w:szCs w:val="20"/>
        </w:rPr>
      </w:pPr>
    </w:p>
    <w:p w14:paraId="0EEA712F" w14:textId="77777777" w:rsidR="00E04653" w:rsidRDefault="00E04653" w:rsidP="00230515">
      <w:pPr>
        <w:jc w:val="both"/>
        <w:rPr>
          <w:rFonts w:ascii="Gill Sans MT" w:hAnsi="Gill Sans MT"/>
          <w:sz w:val="20"/>
          <w:szCs w:val="20"/>
        </w:rPr>
      </w:pPr>
    </w:p>
    <w:p w14:paraId="5304C51B" w14:textId="77777777" w:rsidR="00E04653" w:rsidRDefault="00E04653" w:rsidP="00230515">
      <w:pPr>
        <w:jc w:val="both"/>
        <w:rPr>
          <w:rFonts w:ascii="Gill Sans MT" w:hAnsi="Gill Sans MT"/>
          <w:sz w:val="20"/>
          <w:szCs w:val="20"/>
        </w:rPr>
      </w:pPr>
    </w:p>
    <w:p w14:paraId="790A7D03" w14:textId="77777777" w:rsidR="00E04653" w:rsidRDefault="00E04653" w:rsidP="00230515">
      <w:pPr>
        <w:jc w:val="both"/>
        <w:rPr>
          <w:rFonts w:ascii="Gill Sans MT" w:hAnsi="Gill Sans MT"/>
          <w:sz w:val="20"/>
          <w:szCs w:val="20"/>
        </w:rPr>
      </w:pPr>
    </w:p>
    <w:p w14:paraId="226AE4FC" w14:textId="77777777" w:rsidR="00E04653" w:rsidRDefault="00E04653" w:rsidP="00230515">
      <w:pPr>
        <w:jc w:val="both"/>
        <w:rPr>
          <w:rFonts w:ascii="Gill Sans MT" w:hAnsi="Gill Sans MT"/>
          <w:sz w:val="20"/>
          <w:szCs w:val="20"/>
        </w:rPr>
      </w:pPr>
    </w:p>
    <w:p w14:paraId="79DF6BFD" w14:textId="77777777" w:rsidR="00E04653" w:rsidRDefault="00E04653" w:rsidP="00230515">
      <w:pPr>
        <w:jc w:val="both"/>
        <w:rPr>
          <w:rFonts w:ascii="Gill Sans MT" w:hAnsi="Gill Sans MT"/>
          <w:sz w:val="20"/>
          <w:szCs w:val="20"/>
        </w:rPr>
      </w:pPr>
    </w:p>
    <w:p w14:paraId="0B3EBDF4" w14:textId="77777777" w:rsidR="00E04653" w:rsidRDefault="00E04653" w:rsidP="00230515">
      <w:pPr>
        <w:jc w:val="both"/>
        <w:rPr>
          <w:rFonts w:ascii="Gill Sans MT" w:hAnsi="Gill Sans MT"/>
          <w:sz w:val="20"/>
          <w:szCs w:val="20"/>
        </w:rPr>
      </w:pPr>
    </w:p>
    <w:p w14:paraId="0109E27B" w14:textId="77777777" w:rsidR="00E04653" w:rsidRDefault="00E04653" w:rsidP="00230515">
      <w:pPr>
        <w:jc w:val="both"/>
        <w:rPr>
          <w:rFonts w:ascii="Gill Sans MT" w:hAnsi="Gill Sans MT"/>
          <w:sz w:val="20"/>
          <w:szCs w:val="20"/>
        </w:rPr>
      </w:pPr>
    </w:p>
    <w:p w14:paraId="73423BEF" w14:textId="77777777" w:rsidR="00E04653" w:rsidRDefault="00E04653" w:rsidP="00230515">
      <w:pPr>
        <w:jc w:val="both"/>
        <w:rPr>
          <w:rFonts w:ascii="Gill Sans MT" w:hAnsi="Gill Sans MT"/>
          <w:sz w:val="20"/>
          <w:szCs w:val="20"/>
        </w:rPr>
      </w:pPr>
    </w:p>
    <w:p w14:paraId="4F0222F4" w14:textId="77777777" w:rsidR="00E04653" w:rsidRDefault="00E04653" w:rsidP="00230515">
      <w:pPr>
        <w:jc w:val="both"/>
        <w:rPr>
          <w:rFonts w:ascii="Gill Sans MT" w:hAnsi="Gill Sans MT"/>
          <w:sz w:val="20"/>
          <w:szCs w:val="20"/>
        </w:rPr>
      </w:pPr>
    </w:p>
    <w:p w14:paraId="2003DBDC" w14:textId="77777777" w:rsidR="00E04653" w:rsidRDefault="00E04653" w:rsidP="00230515">
      <w:pPr>
        <w:jc w:val="both"/>
        <w:rPr>
          <w:rFonts w:ascii="Gill Sans MT" w:hAnsi="Gill Sans MT"/>
          <w:sz w:val="20"/>
          <w:szCs w:val="20"/>
        </w:rPr>
      </w:pPr>
    </w:p>
    <w:p w14:paraId="4F164C01" w14:textId="77777777" w:rsidR="00E04653" w:rsidRDefault="00E04653" w:rsidP="00230515">
      <w:pPr>
        <w:jc w:val="both"/>
        <w:rPr>
          <w:rFonts w:ascii="Gill Sans MT" w:hAnsi="Gill Sans MT"/>
          <w:sz w:val="20"/>
          <w:szCs w:val="20"/>
        </w:rPr>
      </w:pPr>
    </w:p>
    <w:p w14:paraId="256EAE56" w14:textId="77777777" w:rsidR="00E04653" w:rsidRDefault="00E04653" w:rsidP="00230515">
      <w:pPr>
        <w:jc w:val="both"/>
        <w:rPr>
          <w:rFonts w:ascii="Gill Sans MT" w:hAnsi="Gill Sans MT"/>
          <w:sz w:val="20"/>
          <w:szCs w:val="20"/>
        </w:rPr>
      </w:pPr>
    </w:p>
    <w:p w14:paraId="2222E945" w14:textId="77777777" w:rsidR="00E04653" w:rsidRDefault="00E04653" w:rsidP="00230515">
      <w:pPr>
        <w:jc w:val="both"/>
        <w:rPr>
          <w:rFonts w:ascii="Gill Sans MT" w:hAnsi="Gill Sans MT"/>
          <w:sz w:val="20"/>
          <w:szCs w:val="20"/>
        </w:rPr>
      </w:pPr>
    </w:p>
    <w:p w14:paraId="305BAF3E" w14:textId="77777777" w:rsidR="00E04653" w:rsidRDefault="00E04653" w:rsidP="00230515">
      <w:pPr>
        <w:jc w:val="both"/>
        <w:rPr>
          <w:rFonts w:ascii="Gill Sans MT" w:hAnsi="Gill Sans MT"/>
          <w:sz w:val="20"/>
          <w:szCs w:val="20"/>
        </w:rPr>
      </w:pPr>
    </w:p>
    <w:p w14:paraId="485EB9AF" w14:textId="77777777" w:rsidR="00E04653" w:rsidRDefault="00E04653" w:rsidP="00230515">
      <w:pPr>
        <w:jc w:val="both"/>
        <w:rPr>
          <w:rFonts w:ascii="Gill Sans MT" w:hAnsi="Gill Sans MT"/>
          <w:sz w:val="20"/>
          <w:szCs w:val="20"/>
        </w:rPr>
      </w:pPr>
    </w:p>
    <w:p w14:paraId="75065872" w14:textId="77777777" w:rsidR="00E04653" w:rsidRPr="00B62036" w:rsidRDefault="00E04653" w:rsidP="00230515">
      <w:pPr>
        <w:jc w:val="both"/>
        <w:rPr>
          <w:rFonts w:ascii="Gill Sans MT" w:hAnsi="Gill Sans MT"/>
          <w:sz w:val="20"/>
          <w:szCs w:val="20"/>
        </w:rPr>
      </w:pPr>
    </w:p>
    <w:p w14:paraId="1A0AC1D3" w14:textId="77777777" w:rsidR="00BB2743" w:rsidRPr="00B62036" w:rsidRDefault="00BB2743" w:rsidP="00230515">
      <w:pPr>
        <w:jc w:val="both"/>
        <w:rPr>
          <w:rFonts w:ascii="Gill Sans MT" w:hAnsi="Gill Sans MT"/>
          <w:sz w:val="20"/>
          <w:szCs w:val="20"/>
        </w:rPr>
      </w:pPr>
    </w:p>
    <w:p w14:paraId="29BA854F" w14:textId="77777777" w:rsidR="00C55B7A" w:rsidRPr="00B62036" w:rsidRDefault="00117C8B" w:rsidP="003A3D76">
      <w:pPr>
        <w:jc w:val="center"/>
        <w:rPr>
          <w:rFonts w:ascii="Gill Sans MT" w:hAnsi="Gill Sans MT"/>
          <w:b/>
          <w:sz w:val="20"/>
          <w:szCs w:val="20"/>
        </w:rPr>
      </w:pPr>
      <w:r w:rsidRPr="00B62036">
        <w:rPr>
          <w:rFonts w:ascii="Gill Sans MT" w:hAnsi="Gill Sans MT"/>
          <w:b/>
          <w:sz w:val="20"/>
          <w:szCs w:val="20"/>
        </w:rPr>
        <w:t>TABLE OF CONTENT</w:t>
      </w:r>
    </w:p>
    <w:p w14:paraId="7398F060" w14:textId="77777777" w:rsidR="00853726" w:rsidRPr="00B62036" w:rsidRDefault="00853726" w:rsidP="00230515">
      <w:pPr>
        <w:spacing w:line="360" w:lineRule="auto"/>
        <w:jc w:val="both"/>
        <w:rPr>
          <w:rFonts w:ascii="Gill Sans MT" w:hAnsi="Gill Sans MT"/>
          <w:sz w:val="20"/>
          <w:szCs w:val="20"/>
        </w:rPr>
      </w:pPr>
    </w:p>
    <w:p w14:paraId="7482FF64" w14:textId="77777777" w:rsidR="00B82166" w:rsidRDefault="003A3D76">
      <w:pPr>
        <w:pStyle w:val="TOC1"/>
        <w:tabs>
          <w:tab w:val="left" w:pos="570"/>
          <w:tab w:val="right" w:leader="dot" w:pos="9350"/>
        </w:tabs>
        <w:rPr>
          <w:rFonts w:asciiTheme="minorHAnsi" w:eastAsiaTheme="minorEastAsia" w:hAnsiTheme="minorHAnsi" w:cstheme="minorBidi"/>
          <w:b w:val="0"/>
          <w:caps w:val="0"/>
          <w:noProof/>
          <w:lang w:val="en-GB" w:eastAsia="ja-JP"/>
        </w:rPr>
      </w:pPr>
      <w:r>
        <w:rPr>
          <w:caps w:val="0"/>
          <w:sz w:val="20"/>
          <w:szCs w:val="20"/>
        </w:rPr>
        <w:fldChar w:fldCharType="begin"/>
      </w:r>
      <w:r>
        <w:rPr>
          <w:sz w:val="20"/>
          <w:szCs w:val="20"/>
        </w:rPr>
        <w:instrText xml:space="preserve"> TOC \o "1-3" \h \z \u </w:instrText>
      </w:r>
      <w:r>
        <w:rPr>
          <w:caps w:val="0"/>
          <w:sz w:val="20"/>
          <w:szCs w:val="20"/>
        </w:rPr>
        <w:fldChar w:fldCharType="separate"/>
      </w:r>
      <w:r w:rsidR="00B82166">
        <w:rPr>
          <w:noProof/>
        </w:rPr>
        <w:t>1.0</w:t>
      </w:r>
      <w:r w:rsidR="00B82166">
        <w:rPr>
          <w:rFonts w:asciiTheme="minorHAnsi" w:eastAsiaTheme="minorEastAsia" w:hAnsiTheme="minorHAnsi" w:cstheme="minorBidi"/>
          <w:b w:val="0"/>
          <w:caps w:val="0"/>
          <w:noProof/>
          <w:lang w:val="en-GB" w:eastAsia="ja-JP"/>
        </w:rPr>
        <w:tab/>
      </w:r>
      <w:r w:rsidR="00B82166">
        <w:rPr>
          <w:noProof/>
        </w:rPr>
        <w:t>Background and context</w:t>
      </w:r>
      <w:r w:rsidR="00B82166">
        <w:rPr>
          <w:noProof/>
        </w:rPr>
        <w:tab/>
      </w:r>
      <w:r w:rsidR="00B82166">
        <w:rPr>
          <w:noProof/>
        </w:rPr>
        <w:fldChar w:fldCharType="begin"/>
      </w:r>
      <w:r w:rsidR="00B82166">
        <w:rPr>
          <w:noProof/>
        </w:rPr>
        <w:instrText xml:space="preserve"> PAGEREF _Toc419359844 \h </w:instrText>
      </w:r>
      <w:r w:rsidR="00B82166">
        <w:rPr>
          <w:noProof/>
        </w:rPr>
      </w:r>
      <w:r w:rsidR="00B82166">
        <w:rPr>
          <w:noProof/>
        </w:rPr>
        <w:fldChar w:fldCharType="separate"/>
      </w:r>
      <w:r w:rsidR="00B82166">
        <w:rPr>
          <w:noProof/>
        </w:rPr>
        <w:t>13</w:t>
      </w:r>
      <w:r w:rsidR="00B82166">
        <w:rPr>
          <w:noProof/>
        </w:rPr>
        <w:fldChar w:fldCharType="end"/>
      </w:r>
    </w:p>
    <w:p w14:paraId="608C865A"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1.1</w:t>
      </w:r>
      <w:r>
        <w:rPr>
          <w:rFonts w:asciiTheme="minorHAnsi" w:eastAsiaTheme="minorEastAsia" w:hAnsiTheme="minorHAnsi" w:cstheme="minorBidi"/>
          <w:noProof/>
          <w:sz w:val="24"/>
          <w:lang w:val="en-GB" w:eastAsia="ja-JP"/>
        </w:rPr>
        <w:tab/>
      </w:r>
      <w:r>
        <w:rPr>
          <w:noProof/>
        </w:rPr>
        <w:t>Background</w:t>
      </w:r>
      <w:r>
        <w:rPr>
          <w:noProof/>
        </w:rPr>
        <w:tab/>
      </w:r>
      <w:r>
        <w:rPr>
          <w:noProof/>
        </w:rPr>
        <w:fldChar w:fldCharType="begin"/>
      </w:r>
      <w:r>
        <w:rPr>
          <w:noProof/>
        </w:rPr>
        <w:instrText xml:space="preserve"> PAGEREF _Toc419359845 \h </w:instrText>
      </w:r>
      <w:r>
        <w:rPr>
          <w:noProof/>
        </w:rPr>
      </w:r>
      <w:r>
        <w:rPr>
          <w:noProof/>
        </w:rPr>
        <w:fldChar w:fldCharType="separate"/>
      </w:r>
      <w:r>
        <w:rPr>
          <w:noProof/>
        </w:rPr>
        <w:t>13</w:t>
      </w:r>
      <w:r>
        <w:rPr>
          <w:noProof/>
        </w:rPr>
        <w:fldChar w:fldCharType="end"/>
      </w:r>
    </w:p>
    <w:p w14:paraId="0A0B219C"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1.2</w:t>
      </w:r>
      <w:r>
        <w:rPr>
          <w:rFonts w:asciiTheme="minorHAnsi" w:eastAsiaTheme="minorEastAsia" w:hAnsiTheme="minorHAnsi" w:cstheme="minorBidi"/>
          <w:noProof/>
          <w:sz w:val="24"/>
          <w:lang w:val="en-GB" w:eastAsia="ja-JP"/>
        </w:rPr>
        <w:tab/>
      </w:r>
      <w:r>
        <w:rPr>
          <w:noProof/>
        </w:rPr>
        <w:t>About the Project</w:t>
      </w:r>
      <w:r>
        <w:rPr>
          <w:noProof/>
        </w:rPr>
        <w:tab/>
      </w:r>
      <w:r>
        <w:rPr>
          <w:noProof/>
        </w:rPr>
        <w:fldChar w:fldCharType="begin"/>
      </w:r>
      <w:r>
        <w:rPr>
          <w:noProof/>
        </w:rPr>
        <w:instrText xml:space="preserve"> PAGEREF _Toc419359846 \h </w:instrText>
      </w:r>
      <w:r>
        <w:rPr>
          <w:noProof/>
        </w:rPr>
      </w:r>
      <w:r>
        <w:rPr>
          <w:noProof/>
        </w:rPr>
        <w:fldChar w:fldCharType="separate"/>
      </w:r>
      <w:r>
        <w:rPr>
          <w:noProof/>
        </w:rPr>
        <w:t>13</w:t>
      </w:r>
      <w:r>
        <w:rPr>
          <w:noProof/>
        </w:rPr>
        <w:fldChar w:fldCharType="end"/>
      </w:r>
    </w:p>
    <w:p w14:paraId="68151B43"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1.3</w:t>
      </w:r>
      <w:r>
        <w:rPr>
          <w:rFonts w:asciiTheme="minorHAnsi" w:eastAsiaTheme="minorEastAsia" w:hAnsiTheme="minorHAnsi" w:cstheme="minorBidi"/>
          <w:noProof/>
          <w:sz w:val="24"/>
          <w:lang w:val="en-GB" w:eastAsia="ja-JP"/>
        </w:rPr>
        <w:tab/>
      </w:r>
      <w:r>
        <w:rPr>
          <w:noProof/>
        </w:rPr>
        <w:t>Project’s Theory of Change Model</w:t>
      </w:r>
      <w:r>
        <w:rPr>
          <w:noProof/>
        </w:rPr>
        <w:tab/>
      </w:r>
      <w:r>
        <w:rPr>
          <w:noProof/>
        </w:rPr>
        <w:fldChar w:fldCharType="begin"/>
      </w:r>
      <w:r>
        <w:rPr>
          <w:noProof/>
        </w:rPr>
        <w:instrText xml:space="preserve"> PAGEREF _Toc419359847 \h </w:instrText>
      </w:r>
      <w:r>
        <w:rPr>
          <w:noProof/>
        </w:rPr>
      </w:r>
      <w:r>
        <w:rPr>
          <w:noProof/>
        </w:rPr>
        <w:fldChar w:fldCharType="separate"/>
      </w:r>
      <w:r>
        <w:rPr>
          <w:noProof/>
        </w:rPr>
        <w:t>14</w:t>
      </w:r>
      <w:r>
        <w:rPr>
          <w:noProof/>
        </w:rPr>
        <w:fldChar w:fldCharType="end"/>
      </w:r>
    </w:p>
    <w:p w14:paraId="0CC3BF05"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1.4</w:t>
      </w:r>
      <w:r>
        <w:rPr>
          <w:rFonts w:asciiTheme="minorHAnsi" w:eastAsiaTheme="minorEastAsia" w:hAnsiTheme="minorHAnsi" w:cstheme="minorBidi"/>
          <w:noProof/>
          <w:sz w:val="24"/>
          <w:lang w:val="en-GB" w:eastAsia="ja-JP"/>
        </w:rPr>
        <w:tab/>
      </w:r>
      <w:r>
        <w:rPr>
          <w:noProof/>
        </w:rPr>
        <w:t>Assessment of Conflict Drivers</w:t>
      </w:r>
      <w:r>
        <w:rPr>
          <w:noProof/>
        </w:rPr>
        <w:tab/>
      </w:r>
      <w:r>
        <w:rPr>
          <w:noProof/>
        </w:rPr>
        <w:fldChar w:fldCharType="begin"/>
      </w:r>
      <w:r>
        <w:rPr>
          <w:noProof/>
        </w:rPr>
        <w:instrText xml:space="preserve"> PAGEREF _Toc419359848 \h </w:instrText>
      </w:r>
      <w:r>
        <w:rPr>
          <w:noProof/>
        </w:rPr>
      </w:r>
      <w:r>
        <w:rPr>
          <w:noProof/>
        </w:rPr>
        <w:fldChar w:fldCharType="separate"/>
      </w:r>
      <w:r>
        <w:rPr>
          <w:noProof/>
        </w:rPr>
        <w:t>14</w:t>
      </w:r>
      <w:r>
        <w:rPr>
          <w:noProof/>
        </w:rPr>
        <w:fldChar w:fldCharType="end"/>
      </w:r>
    </w:p>
    <w:p w14:paraId="4C83E8F3"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1.5</w:t>
      </w:r>
      <w:r>
        <w:rPr>
          <w:rFonts w:asciiTheme="minorHAnsi" w:eastAsiaTheme="minorEastAsia" w:hAnsiTheme="minorHAnsi" w:cstheme="minorBidi"/>
          <w:noProof/>
          <w:sz w:val="24"/>
          <w:lang w:val="en-GB" w:eastAsia="ja-JP"/>
        </w:rPr>
        <w:tab/>
      </w:r>
      <w:r>
        <w:rPr>
          <w:noProof/>
        </w:rPr>
        <w:t>Purpose of the Evaluation</w:t>
      </w:r>
      <w:r>
        <w:rPr>
          <w:noProof/>
        </w:rPr>
        <w:tab/>
      </w:r>
      <w:r>
        <w:rPr>
          <w:noProof/>
        </w:rPr>
        <w:fldChar w:fldCharType="begin"/>
      </w:r>
      <w:r>
        <w:rPr>
          <w:noProof/>
        </w:rPr>
        <w:instrText xml:space="preserve"> PAGEREF _Toc419359849 \h </w:instrText>
      </w:r>
      <w:r>
        <w:rPr>
          <w:noProof/>
        </w:rPr>
      </w:r>
      <w:r>
        <w:rPr>
          <w:noProof/>
        </w:rPr>
        <w:fldChar w:fldCharType="separate"/>
      </w:r>
      <w:r>
        <w:rPr>
          <w:noProof/>
        </w:rPr>
        <w:t>16</w:t>
      </w:r>
      <w:r>
        <w:rPr>
          <w:noProof/>
        </w:rPr>
        <w:fldChar w:fldCharType="end"/>
      </w:r>
    </w:p>
    <w:p w14:paraId="7B8C8CB6" w14:textId="77777777" w:rsidR="00B82166" w:rsidRDefault="00B82166">
      <w:pPr>
        <w:pStyle w:val="TOC1"/>
        <w:tabs>
          <w:tab w:val="left" w:pos="570"/>
          <w:tab w:val="right" w:leader="dot" w:pos="9350"/>
        </w:tabs>
        <w:rPr>
          <w:rFonts w:asciiTheme="minorHAnsi" w:eastAsiaTheme="minorEastAsia" w:hAnsiTheme="minorHAnsi" w:cstheme="minorBidi"/>
          <w:b w:val="0"/>
          <w:caps w:val="0"/>
          <w:noProof/>
          <w:lang w:val="en-GB" w:eastAsia="ja-JP"/>
        </w:rPr>
      </w:pPr>
      <w:r>
        <w:rPr>
          <w:noProof/>
        </w:rPr>
        <w:t>2.0</w:t>
      </w:r>
      <w:r>
        <w:rPr>
          <w:rFonts w:asciiTheme="minorHAnsi" w:eastAsiaTheme="minorEastAsia" w:hAnsiTheme="minorHAnsi" w:cstheme="minorBidi"/>
          <w:b w:val="0"/>
          <w:caps w:val="0"/>
          <w:noProof/>
          <w:lang w:val="en-GB" w:eastAsia="ja-JP"/>
        </w:rPr>
        <w:tab/>
      </w:r>
      <w:r>
        <w:rPr>
          <w:noProof/>
        </w:rPr>
        <w:t>Methodology</w:t>
      </w:r>
      <w:r>
        <w:rPr>
          <w:noProof/>
        </w:rPr>
        <w:tab/>
      </w:r>
      <w:r>
        <w:rPr>
          <w:noProof/>
        </w:rPr>
        <w:fldChar w:fldCharType="begin"/>
      </w:r>
      <w:r>
        <w:rPr>
          <w:noProof/>
        </w:rPr>
        <w:instrText xml:space="preserve"> PAGEREF _Toc419359850 \h </w:instrText>
      </w:r>
      <w:r>
        <w:rPr>
          <w:noProof/>
        </w:rPr>
      </w:r>
      <w:r>
        <w:rPr>
          <w:noProof/>
        </w:rPr>
        <w:fldChar w:fldCharType="separate"/>
      </w:r>
      <w:r>
        <w:rPr>
          <w:noProof/>
        </w:rPr>
        <w:t>17</w:t>
      </w:r>
      <w:r>
        <w:rPr>
          <w:noProof/>
        </w:rPr>
        <w:fldChar w:fldCharType="end"/>
      </w:r>
    </w:p>
    <w:p w14:paraId="59FF2B89"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2.1</w:t>
      </w:r>
      <w:r>
        <w:rPr>
          <w:rFonts w:asciiTheme="minorHAnsi" w:eastAsiaTheme="minorEastAsia" w:hAnsiTheme="minorHAnsi" w:cstheme="minorBidi"/>
          <w:noProof/>
          <w:sz w:val="24"/>
          <w:lang w:val="en-GB" w:eastAsia="ja-JP"/>
        </w:rPr>
        <w:tab/>
      </w:r>
      <w:r>
        <w:rPr>
          <w:noProof/>
        </w:rPr>
        <w:t>Approach</w:t>
      </w:r>
      <w:r>
        <w:rPr>
          <w:noProof/>
        </w:rPr>
        <w:tab/>
      </w:r>
      <w:r>
        <w:rPr>
          <w:noProof/>
        </w:rPr>
        <w:fldChar w:fldCharType="begin"/>
      </w:r>
      <w:r>
        <w:rPr>
          <w:noProof/>
        </w:rPr>
        <w:instrText xml:space="preserve"> PAGEREF _Toc419359851 \h </w:instrText>
      </w:r>
      <w:r>
        <w:rPr>
          <w:noProof/>
        </w:rPr>
      </w:r>
      <w:r>
        <w:rPr>
          <w:noProof/>
        </w:rPr>
        <w:fldChar w:fldCharType="separate"/>
      </w:r>
      <w:r>
        <w:rPr>
          <w:noProof/>
        </w:rPr>
        <w:t>17</w:t>
      </w:r>
      <w:r>
        <w:rPr>
          <w:noProof/>
        </w:rPr>
        <w:fldChar w:fldCharType="end"/>
      </w:r>
    </w:p>
    <w:p w14:paraId="2D3605B5"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sidRPr="001F28E4">
        <w:rPr>
          <w:rFonts w:eastAsia="Calibri"/>
          <w:noProof/>
        </w:rPr>
        <w:t>2.2</w:t>
      </w:r>
      <w:r>
        <w:rPr>
          <w:rFonts w:asciiTheme="minorHAnsi" w:eastAsiaTheme="minorEastAsia" w:hAnsiTheme="minorHAnsi" w:cstheme="minorBidi"/>
          <w:noProof/>
          <w:sz w:val="24"/>
          <w:lang w:val="en-GB" w:eastAsia="ja-JP"/>
        </w:rPr>
        <w:tab/>
      </w:r>
      <w:r>
        <w:rPr>
          <w:noProof/>
        </w:rPr>
        <w:t>Sampling Procedure</w:t>
      </w:r>
      <w:r>
        <w:rPr>
          <w:noProof/>
        </w:rPr>
        <w:tab/>
      </w:r>
      <w:r>
        <w:rPr>
          <w:noProof/>
        </w:rPr>
        <w:fldChar w:fldCharType="begin"/>
      </w:r>
      <w:r>
        <w:rPr>
          <w:noProof/>
        </w:rPr>
        <w:instrText xml:space="preserve"> PAGEREF _Toc419359852 \h </w:instrText>
      </w:r>
      <w:r>
        <w:rPr>
          <w:noProof/>
        </w:rPr>
      </w:r>
      <w:r>
        <w:rPr>
          <w:noProof/>
        </w:rPr>
        <w:fldChar w:fldCharType="separate"/>
      </w:r>
      <w:r>
        <w:rPr>
          <w:noProof/>
        </w:rPr>
        <w:t>17</w:t>
      </w:r>
      <w:r>
        <w:rPr>
          <w:noProof/>
        </w:rPr>
        <w:fldChar w:fldCharType="end"/>
      </w:r>
    </w:p>
    <w:p w14:paraId="0C85A98E"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2.3</w:t>
      </w:r>
      <w:r>
        <w:rPr>
          <w:rFonts w:asciiTheme="minorHAnsi" w:eastAsiaTheme="minorEastAsia" w:hAnsiTheme="minorHAnsi" w:cstheme="minorBidi"/>
          <w:noProof/>
          <w:sz w:val="24"/>
          <w:lang w:val="en-GB" w:eastAsia="ja-JP"/>
        </w:rPr>
        <w:tab/>
      </w:r>
      <w:r>
        <w:rPr>
          <w:noProof/>
        </w:rPr>
        <w:t>Focus Group Discussions</w:t>
      </w:r>
      <w:r>
        <w:rPr>
          <w:noProof/>
        </w:rPr>
        <w:tab/>
      </w:r>
      <w:r>
        <w:rPr>
          <w:noProof/>
        </w:rPr>
        <w:fldChar w:fldCharType="begin"/>
      </w:r>
      <w:r>
        <w:rPr>
          <w:noProof/>
        </w:rPr>
        <w:instrText xml:space="preserve"> PAGEREF _Toc419359853 \h </w:instrText>
      </w:r>
      <w:r>
        <w:rPr>
          <w:noProof/>
        </w:rPr>
      </w:r>
      <w:r>
        <w:rPr>
          <w:noProof/>
        </w:rPr>
        <w:fldChar w:fldCharType="separate"/>
      </w:r>
      <w:r>
        <w:rPr>
          <w:noProof/>
        </w:rPr>
        <w:t>17</w:t>
      </w:r>
      <w:r>
        <w:rPr>
          <w:noProof/>
        </w:rPr>
        <w:fldChar w:fldCharType="end"/>
      </w:r>
    </w:p>
    <w:p w14:paraId="7EC653EB"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2.4</w:t>
      </w:r>
      <w:r>
        <w:rPr>
          <w:rFonts w:asciiTheme="minorHAnsi" w:eastAsiaTheme="minorEastAsia" w:hAnsiTheme="minorHAnsi" w:cstheme="minorBidi"/>
          <w:noProof/>
          <w:sz w:val="24"/>
          <w:lang w:val="en-GB" w:eastAsia="ja-JP"/>
        </w:rPr>
        <w:tab/>
      </w:r>
      <w:r>
        <w:rPr>
          <w:noProof/>
        </w:rPr>
        <w:t>Key Informant interviews</w:t>
      </w:r>
      <w:r>
        <w:rPr>
          <w:noProof/>
        </w:rPr>
        <w:tab/>
      </w:r>
      <w:r>
        <w:rPr>
          <w:noProof/>
        </w:rPr>
        <w:fldChar w:fldCharType="begin"/>
      </w:r>
      <w:r>
        <w:rPr>
          <w:noProof/>
        </w:rPr>
        <w:instrText xml:space="preserve"> PAGEREF _Toc419359854 \h </w:instrText>
      </w:r>
      <w:r>
        <w:rPr>
          <w:noProof/>
        </w:rPr>
      </w:r>
      <w:r>
        <w:rPr>
          <w:noProof/>
        </w:rPr>
        <w:fldChar w:fldCharType="separate"/>
      </w:r>
      <w:r>
        <w:rPr>
          <w:noProof/>
        </w:rPr>
        <w:t>18</w:t>
      </w:r>
      <w:r>
        <w:rPr>
          <w:noProof/>
        </w:rPr>
        <w:fldChar w:fldCharType="end"/>
      </w:r>
    </w:p>
    <w:p w14:paraId="198E6C70"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2.5</w:t>
      </w:r>
      <w:r>
        <w:rPr>
          <w:rFonts w:asciiTheme="minorHAnsi" w:eastAsiaTheme="minorEastAsia" w:hAnsiTheme="minorHAnsi" w:cstheme="minorBidi"/>
          <w:noProof/>
          <w:sz w:val="24"/>
          <w:lang w:val="en-GB" w:eastAsia="ja-JP"/>
        </w:rPr>
        <w:tab/>
      </w:r>
      <w:r>
        <w:rPr>
          <w:noProof/>
        </w:rPr>
        <w:t>Data Collection</w:t>
      </w:r>
      <w:r>
        <w:rPr>
          <w:noProof/>
        </w:rPr>
        <w:tab/>
      </w:r>
      <w:r>
        <w:rPr>
          <w:noProof/>
        </w:rPr>
        <w:fldChar w:fldCharType="begin"/>
      </w:r>
      <w:r>
        <w:rPr>
          <w:noProof/>
        </w:rPr>
        <w:instrText xml:space="preserve"> PAGEREF _Toc419359855 \h </w:instrText>
      </w:r>
      <w:r>
        <w:rPr>
          <w:noProof/>
        </w:rPr>
      </w:r>
      <w:r>
        <w:rPr>
          <w:noProof/>
        </w:rPr>
        <w:fldChar w:fldCharType="separate"/>
      </w:r>
      <w:r>
        <w:rPr>
          <w:noProof/>
        </w:rPr>
        <w:t>19</w:t>
      </w:r>
      <w:r>
        <w:rPr>
          <w:noProof/>
        </w:rPr>
        <w:fldChar w:fldCharType="end"/>
      </w:r>
    </w:p>
    <w:p w14:paraId="07E2C727"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2.6</w:t>
      </w:r>
      <w:r>
        <w:rPr>
          <w:rFonts w:asciiTheme="minorHAnsi" w:eastAsiaTheme="minorEastAsia" w:hAnsiTheme="minorHAnsi" w:cstheme="minorBidi"/>
          <w:noProof/>
          <w:sz w:val="24"/>
          <w:lang w:val="en-GB" w:eastAsia="ja-JP"/>
        </w:rPr>
        <w:tab/>
      </w:r>
      <w:r>
        <w:rPr>
          <w:noProof/>
        </w:rPr>
        <w:t>Data analysis</w:t>
      </w:r>
      <w:r>
        <w:rPr>
          <w:noProof/>
        </w:rPr>
        <w:tab/>
      </w:r>
      <w:r>
        <w:rPr>
          <w:noProof/>
        </w:rPr>
        <w:fldChar w:fldCharType="begin"/>
      </w:r>
      <w:r>
        <w:rPr>
          <w:noProof/>
        </w:rPr>
        <w:instrText xml:space="preserve"> PAGEREF _Toc419359856 \h </w:instrText>
      </w:r>
      <w:r>
        <w:rPr>
          <w:noProof/>
        </w:rPr>
      </w:r>
      <w:r>
        <w:rPr>
          <w:noProof/>
        </w:rPr>
        <w:fldChar w:fldCharType="separate"/>
      </w:r>
      <w:r>
        <w:rPr>
          <w:noProof/>
        </w:rPr>
        <w:t>19</w:t>
      </w:r>
      <w:r>
        <w:rPr>
          <w:noProof/>
        </w:rPr>
        <w:fldChar w:fldCharType="end"/>
      </w:r>
    </w:p>
    <w:p w14:paraId="21FEDB11" w14:textId="77777777" w:rsidR="00B82166" w:rsidRDefault="00B82166">
      <w:pPr>
        <w:pStyle w:val="TOC1"/>
        <w:tabs>
          <w:tab w:val="left" w:pos="570"/>
          <w:tab w:val="right" w:leader="dot" w:pos="9350"/>
        </w:tabs>
        <w:rPr>
          <w:rFonts w:asciiTheme="minorHAnsi" w:eastAsiaTheme="minorEastAsia" w:hAnsiTheme="minorHAnsi" w:cstheme="minorBidi"/>
          <w:b w:val="0"/>
          <w:caps w:val="0"/>
          <w:noProof/>
          <w:lang w:val="en-GB" w:eastAsia="ja-JP"/>
        </w:rPr>
      </w:pPr>
      <w:r>
        <w:rPr>
          <w:noProof/>
        </w:rPr>
        <w:t>3.0</w:t>
      </w:r>
      <w:r>
        <w:rPr>
          <w:rFonts w:asciiTheme="minorHAnsi" w:eastAsiaTheme="minorEastAsia" w:hAnsiTheme="minorHAnsi" w:cstheme="minorBidi"/>
          <w:b w:val="0"/>
          <w:caps w:val="0"/>
          <w:noProof/>
          <w:lang w:val="en-GB" w:eastAsia="ja-JP"/>
        </w:rPr>
        <w:tab/>
      </w:r>
      <w:r>
        <w:rPr>
          <w:noProof/>
        </w:rPr>
        <w:t>Results and findings</w:t>
      </w:r>
      <w:r>
        <w:rPr>
          <w:noProof/>
        </w:rPr>
        <w:tab/>
      </w:r>
      <w:r>
        <w:rPr>
          <w:noProof/>
        </w:rPr>
        <w:fldChar w:fldCharType="begin"/>
      </w:r>
      <w:r>
        <w:rPr>
          <w:noProof/>
        </w:rPr>
        <w:instrText xml:space="preserve"> PAGEREF _Toc419359857 \h </w:instrText>
      </w:r>
      <w:r>
        <w:rPr>
          <w:noProof/>
        </w:rPr>
      </w:r>
      <w:r>
        <w:rPr>
          <w:noProof/>
        </w:rPr>
        <w:fldChar w:fldCharType="separate"/>
      </w:r>
      <w:r>
        <w:rPr>
          <w:noProof/>
        </w:rPr>
        <w:t>20</w:t>
      </w:r>
      <w:r>
        <w:rPr>
          <w:noProof/>
        </w:rPr>
        <w:fldChar w:fldCharType="end"/>
      </w:r>
    </w:p>
    <w:p w14:paraId="4926E1FC"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3.1</w:t>
      </w:r>
      <w:r>
        <w:rPr>
          <w:rFonts w:asciiTheme="minorHAnsi" w:eastAsiaTheme="minorEastAsia" w:hAnsiTheme="minorHAnsi" w:cstheme="minorBidi"/>
          <w:noProof/>
          <w:sz w:val="24"/>
          <w:lang w:val="en-GB" w:eastAsia="ja-JP"/>
        </w:rPr>
        <w:tab/>
      </w:r>
      <w:r>
        <w:rPr>
          <w:noProof/>
        </w:rPr>
        <w:t>Demographic Characteristics of Respondents</w:t>
      </w:r>
      <w:r>
        <w:rPr>
          <w:noProof/>
        </w:rPr>
        <w:tab/>
      </w:r>
      <w:r>
        <w:rPr>
          <w:noProof/>
        </w:rPr>
        <w:fldChar w:fldCharType="begin"/>
      </w:r>
      <w:r>
        <w:rPr>
          <w:noProof/>
        </w:rPr>
        <w:instrText xml:space="preserve"> PAGEREF _Toc419359858 \h </w:instrText>
      </w:r>
      <w:r>
        <w:rPr>
          <w:noProof/>
        </w:rPr>
      </w:r>
      <w:r>
        <w:rPr>
          <w:noProof/>
        </w:rPr>
        <w:fldChar w:fldCharType="separate"/>
      </w:r>
      <w:r>
        <w:rPr>
          <w:noProof/>
        </w:rPr>
        <w:t>20</w:t>
      </w:r>
      <w:r>
        <w:rPr>
          <w:noProof/>
        </w:rPr>
        <w:fldChar w:fldCharType="end"/>
      </w:r>
    </w:p>
    <w:p w14:paraId="73B84CF9"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3.2</w:t>
      </w:r>
      <w:r>
        <w:rPr>
          <w:rFonts w:asciiTheme="minorHAnsi" w:eastAsiaTheme="minorEastAsia" w:hAnsiTheme="minorHAnsi" w:cstheme="minorBidi"/>
          <w:noProof/>
          <w:sz w:val="24"/>
          <w:lang w:val="en-GB" w:eastAsia="ja-JP"/>
        </w:rPr>
        <w:tab/>
      </w:r>
      <w:r>
        <w:rPr>
          <w:noProof/>
        </w:rPr>
        <w:t>Efficiency</w:t>
      </w:r>
      <w:r>
        <w:rPr>
          <w:noProof/>
        </w:rPr>
        <w:tab/>
      </w:r>
      <w:r>
        <w:rPr>
          <w:noProof/>
        </w:rPr>
        <w:fldChar w:fldCharType="begin"/>
      </w:r>
      <w:r>
        <w:rPr>
          <w:noProof/>
        </w:rPr>
        <w:instrText xml:space="preserve"> PAGEREF _Toc419359859 \h </w:instrText>
      </w:r>
      <w:r>
        <w:rPr>
          <w:noProof/>
        </w:rPr>
      </w:r>
      <w:r>
        <w:rPr>
          <w:noProof/>
        </w:rPr>
        <w:fldChar w:fldCharType="separate"/>
      </w:r>
      <w:r>
        <w:rPr>
          <w:noProof/>
        </w:rPr>
        <w:t>20</w:t>
      </w:r>
      <w:r>
        <w:rPr>
          <w:noProof/>
        </w:rPr>
        <w:fldChar w:fldCharType="end"/>
      </w:r>
    </w:p>
    <w:p w14:paraId="006DD0CA"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3.2.1 Efficiency of Project Implementation</w:t>
      </w:r>
      <w:r>
        <w:rPr>
          <w:noProof/>
        </w:rPr>
        <w:tab/>
      </w:r>
      <w:r>
        <w:rPr>
          <w:noProof/>
        </w:rPr>
        <w:fldChar w:fldCharType="begin"/>
      </w:r>
      <w:r>
        <w:rPr>
          <w:noProof/>
        </w:rPr>
        <w:instrText xml:space="preserve"> PAGEREF _Toc419359860 \h </w:instrText>
      </w:r>
      <w:r>
        <w:rPr>
          <w:noProof/>
        </w:rPr>
      </w:r>
      <w:r>
        <w:rPr>
          <w:noProof/>
        </w:rPr>
        <w:fldChar w:fldCharType="separate"/>
      </w:r>
      <w:r>
        <w:rPr>
          <w:noProof/>
        </w:rPr>
        <w:t>20</w:t>
      </w:r>
      <w:r>
        <w:rPr>
          <w:noProof/>
        </w:rPr>
        <w:fldChar w:fldCharType="end"/>
      </w:r>
    </w:p>
    <w:p w14:paraId="0FEF9141"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3.2.2 Gender Sensitivity</w:t>
      </w:r>
      <w:r>
        <w:rPr>
          <w:noProof/>
        </w:rPr>
        <w:tab/>
      </w:r>
      <w:r>
        <w:rPr>
          <w:noProof/>
        </w:rPr>
        <w:fldChar w:fldCharType="begin"/>
      </w:r>
      <w:r>
        <w:rPr>
          <w:noProof/>
        </w:rPr>
        <w:instrText xml:space="preserve"> PAGEREF _Toc419359861 \h </w:instrText>
      </w:r>
      <w:r>
        <w:rPr>
          <w:noProof/>
        </w:rPr>
      </w:r>
      <w:r>
        <w:rPr>
          <w:noProof/>
        </w:rPr>
        <w:fldChar w:fldCharType="separate"/>
      </w:r>
      <w:r>
        <w:rPr>
          <w:noProof/>
        </w:rPr>
        <w:t>21</w:t>
      </w:r>
      <w:r>
        <w:rPr>
          <w:noProof/>
        </w:rPr>
        <w:fldChar w:fldCharType="end"/>
      </w:r>
    </w:p>
    <w:p w14:paraId="74A4231C"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3.3</w:t>
      </w:r>
      <w:r>
        <w:rPr>
          <w:rFonts w:asciiTheme="minorHAnsi" w:eastAsiaTheme="minorEastAsia" w:hAnsiTheme="minorHAnsi" w:cstheme="minorBidi"/>
          <w:noProof/>
          <w:sz w:val="24"/>
          <w:lang w:val="en-GB" w:eastAsia="ja-JP"/>
        </w:rPr>
        <w:tab/>
      </w:r>
      <w:r>
        <w:rPr>
          <w:noProof/>
        </w:rPr>
        <w:t>Effectiveness</w:t>
      </w:r>
      <w:r>
        <w:rPr>
          <w:noProof/>
        </w:rPr>
        <w:tab/>
      </w:r>
      <w:r>
        <w:rPr>
          <w:noProof/>
        </w:rPr>
        <w:fldChar w:fldCharType="begin"/>
      </w:r>
      <w:r>
        <w:rPr>
          <w:noProof/>
        </w:rPr>
        <w:instrText xml:space="preserve"> PAGEREF _Toc419359862 \h </w:instrText>
      </w:r>
      <w:r>
        <w:rPr>
          <w:noProof/>
        </w:rPr>
      </w:r>
      <w:r>
        <w:rPr>
          <w:noProof/>
        </w:rPr>
        <w:fldChar w:fldCharType="separate"/>
      </w:r>
      <w:r>
        <w:rPr>
          <w:noProof/>
        </w:rPr>
        <w:t>22</w:t>
      </w:r>
      <w:r>
        <w:rPr>
          <w:noProof/>
        </w:rPr>
        <w:fldChar w:fldCharType="end"/>
      </w:r>
    </w:p>
    <w:p w14:paraId="57E3CCDD"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3.3.1 Project Design</w:t>
      </w:r>
      <w:r>
        <w:rPr>
          <w:noProof/>
        </w:rPr>
        <w:tab/>
      </w:r>
      <w:r>
        <w:rPr>
          <w:noProof/>
        </w:rPr>
        <w:fldChar w:fldCharType="begin"/>
      </w:r>
      <w:r>
        <w:rPr>
          <w:noProof/>
        </w:rPr>
        <w:instrText xml:space="preserve"> PAGEREF _Toc419359863 \h </w:instrText>
      </w:r>
      <w:r>
        <w:rPr>
          <w:noProof/>
        </w:rPr>
      </w:r>
      <w:r>
        <w:rPr>
          <w:noProof/>
        </w:rPr>
        <w:fldChar w:fldCharType="separate"/>
      </w:r>
      <w:r>
        <w:rPr>
          <w:noProof/>
        </w:rPr>
        <w:t>22</w:t>
      </w:r>
      <w:r>
        <w:rPr>
          <w:noProof/>
        </w:rPr>
        <w:fldChar w:fldCharType="end"/>
      </w:r>
    </w:p>
    <w:p w14:paraId="59371ADE"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3.3.2 Project Flexibility</w:t>
      </w:r>
      <w:r>
        <w:rPr>
          <w:noProof/>
        </w:rPr>
        <w:tab/>
      </w:r>
      <w:r>
        <w:rPr>
          <w:noProof/>
        </w:rPr>
        <w:fldChar w:fldCharType="begin"/>
      </w:r>
      <w:r>
        <w:rPr>
          <w:noProof/>
        </w:rPr>
        <w:instrText xml:space="preserve"> PAGEREF _Toc419359864 \h </w:instrText>
      </w:r>
      <w:r>
        <w:rPr>
          <w:noProof/>
        </w:rPr>
      </w:r>
      <w:r>
        <w:rPr>
          <w:noProof/>
        </w:rPr>
        <w:fldChar w:fldCharType="separate"/>
      </w:r>
      <w:r>
        <w:rPr>
          <w:noProof/>
        </w:rPr>
        <w:t>23</w:t>
      </w:r>
      <w:r>
        <w:rPr>
          <w:noProof/>
        </w:rPr>
        <w:fldChar w:fldCharType="end"/>
      </w:r>
    </w:p>
    <w:p w14:paraId="320E95A9"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lang w:val="en-GB"/>
        </w:rPr>
        <w:t>3.3.3 Peace Building Component</w:t>
      </w:r>
      <w:r>
        <w:rPr>
          <w:noProof/>
        </w:rPr>
        <w:tab/>
      </w:r>
      <w:r>
        <w:rPr>
          <w:noProof/>
        </w:rPr>
        <w:fldChar w:fldCharType="begin"/>
      </w:r>
      <w:r>
        <w:rPr>
          <w:noProof/>
        </w:rPr>
        <w:instrText xml:space="preserve"> PAGEREF _Toc419359865 \h </w:instrText>
      </w:r>
      <w:r>
        <w:rPr>
          <w:noProof/>
        </w:rPr>
      </w:r>
      <w:r>
        <w:rPr>
          <w:noProof/>
        </w:rPr>
        <w:fldChar w:fldCharType="separate"/>
      </w:r>
      <w:r>
        <w:rPr>
          <w:noProof/>
        </w:rPr>
        <w:t>23</w:t>
      </w:r>
      <w:r>
        <w:rPr>
          <w:noProof/>
        </w:rPr>
        <w:fldChar w:fldCharType="end"/>
      </w:r>
    </w:p>
    <w:p w14:paraId="74903428"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3.3.4 Beneficiary Selection</w:t>
      </w:r>
      <w:r>
        <w:rPr>
          <w:noProof/>
        </w:rPr>
        <w:tab/>
      </w:r>
      <w:r>
        <w:rPr>
          <w:noProof/>
        </w:rPr>
        <w:fldChar w:fldCharType="begin"/>
      </w:r>
      <w:r>
        <w:rPr>
          <w:noProof/>
        </w:rPr>
        <w:instrText xml:space="preserve"> PAGEREF _Toc419359866 \h </w:instrText>
      </w:r>
      <w:r>
        <w:rPr>
          <w:noProof/>
        </w:rPr>
      </w:r>
      <w:r>
        <w:rPr>
          <w:noProof/>
        </w:rPr>
        <w:fldChar w:fldCharType="separate"/>
      </w:r>
      <w:r>
        <w:rPr>
          <w:noProof/>
        </w:rPr>
        <w:t>24</w:t>
      </w:r>
      <w:r>
        <w:rPr>
          <w:noProof/>
        </w:rPr>
        <w:fldChar w:fldCharType="end"/>
      </w:r>
    </w:p>
    <w:p w14:paraId="5B2DD279"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3.3.5 Effectiveness of Project Activities</w:t>
      </w:r>
      <w:r>
        <w:rPr>
          <w:noProof/>
        </w:rPr>
        <w:tab/>
      </w:r>
      <w:r>
        <w:rPr>
          <w:noProof/>
        </w:rPr>
        <w:fldChar w:fldCharType="begin"/>
      </w:r>
      <w:r>
        <w:rPr>
          <w:noProof/>
        </w:rPr>
        <w:instrText xml:space="preserve"> PAGEREF _Toc419359867 \h </w:instrText>
      </w:r>
      <w:r>
        <w:rPr>
          <w:noProof/>
        </w:rPr>
      </w:r>
      <w:r>
        <w:rPr>
          <w:noProof/>
        </w:rPr>
        <w:fldChar w:fldCharType="separate"/>
      </w:r>
      <w:r>
        <w:rPr>
          <w:noProof/>
        </w:rPr>
        <w:t>25</w:t>
      </w:r>
      <w:r>
        <w:rPr>
          <w:noProof/>
        </w:rPr>
        <w:fldChar w:fldCharType="end"/>
      </w:r>
    </w:p>
    <w:p w14:paraId="07F05430"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3.3.7 Reintegration of Returnees</w:t>
      </w:r>
      <w:r>
        <w:rPr>
          <w:noProof/>
        </w:rPr>
        <w:tab/>
      </w:r>
      <w:r>
        <w:rPr>
          <w:noProof/>
        </w:rPr>
        <w:fldChar w:fldCharType="begin"/>
      </w:r>
      <w:r>
        <w:rPr>
          <w:noProof/>
        </w:rPr>
        <w:instrText xml:space="preserve"> PAGEREF _Toc419359868 \h </w:instrText>
      </w:r>
      <w:r>
        <w:rPr>
          <w:noProof/>
        </w:rPr>
      </w:r>
      <w:r>
        <w:rPr>
          <w:noProof/>
        </w:rPr>
        <w:fldChar w:fldCharType="separate"/>
      </w:r>
      <w:r>
        <w:rPr>
          <w:noProof/>
        </w:rPr>
        <w:t>30</w:t>
      </w:r>
      <w:r>
        <w:rPr>
          <w:noProof/>
        </w:rPr>
        <w:fldChar w:fldCharType="end"/>
      </w:r>
    </w:p>
    <w:p w14:paraId="29DA5BF4" w14:textId="77777777" w:rsidR="00B82166" w:rsidRDefault="00B82166">
      <w:pPr>
        <w:pStyle w:val="TOC3"/>
        <w:tabs>
          <w:tab w:val="right" w:leader="dot" w:pos="9350"/>
        </w:tabs>
        <w:rPr>
          <w:rFonts w:asciiTheme="minorHAnsi" w:eastAsiaTheme="minorEastAsia" w:hAnsiTheme="minorHAnsi" w:cstheme="minorBidi"/>
          <w:i w:val="0"/>
          <w:noProof/>
          <w:sz w:val="24"/>
          <w:lang w:val="en-GB" w:eastAsia="ja-JP"/>
        </w:rPr>
      </w:pPr>
      <w:r w:rsidRPr="001F28E4">
        <w:rPr>
          <w:noProof/>
        </w:rPr>
        <w:t>3.3.8 Assessment of Theory of Change Model</w:t>
      </w:r>
      <w:r>
        <w:rPr>
          <w:noProof/>
        </w:rPr>
        <w:tab/>
      </w:r>
      <w:r>
        <w:rPr>
          <w:noProof/>
        </w:rPr>
        <w:fldChar w:fldCharType="begin"/>
      </w:r>
      <w:r>
        <w:rPr>
          <w:noProof/>
        </w:rPr>
        <w:instrText xml:space="preserve"> PAGEREF _Toc419359869 \h </w:instrText>
      </w:r>
      <w:r>
        <w:rPr>
          <w:noProof/>
        </w:rPr>
      </w:r>
      <w:r>
        <w:rPr>
          <w:noProof/>
        </w:rPr>
        <w:fldChar w:fldCharType="separate"/>
      </w:r>
      <w:r>
        <w:rPr>
          <w:noProof/>
        </w:rPr>
        <w:t>31</w:t>
      </w:r>
      <w:r>
        <w:rPr>
          <w:noProof/>
        </w:rPr>
        <w:fldChar w:fldCharType="end"/>
      </w:r>
    </w:p>
    <w:p w14:paraId="3906610E"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3.4</w:t>
      </w:r>
      <w:r>
        <w:rPr>
          <w:rFonts w:asciiTheme="minorHAnsi" w:eastAsiaTheme="minorEastAsia" w:hAnsiTheme="minorHAnsi" w:cstheme="minorBidi"/>
          <w:noProof/>
          <w:sz w:val="24"/>
          <w:lang w:val="en-GB" w:eastAsia="ja-JP"/>
        </w:rPr>
        <w:tab/>
      </w:r>
      <w:r>
        <w:rPr>
          <w:noProof/>
        </w:rPr>
        <w:t>Accountability to Affected Population (AAP)</w:t>
      </w:r>
      <w:r>
        <w:rPr>
          <w:noProof/>
        </w:rPr>
        <w:tab/>
      </w:r>
      <w:r>
        <w:rPr>
          <w:noProof/>
        </w:rPr>
        <w:fldChar w:fldCharType="begin"/>
      </w:r>
      <w:r>
        <w:rPr>
          <w:noProof/>
        </w:rPr>
        <w:instrText xml:space="preserve"> PAGEREF _Toc419359870 \h </w:instrText>
      </w:r>
      <w:r>
        <w:rPr>
          <w:noProof/>
        </w:rPr>
      </w:r>
      <w:r>
        <w:rPr>
          <w:noProof/>
        </w:rPr>
        <w:fldChar w:fldCharType="separate"/>
      </w:r>
      <w:r>
        <w:rPr>
          <w:noProof/>
        </w:rPr>
        <w:t>33</w:t>
      </w:r>
      <w:r>
        <w:rPr>
          <w:noProof/>
        </w:rPr>
        <w:fldChar w:fldCharType="end"/>
      </w:r>
    </w:p>
    <w:p w14:paraId="44C61F84"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3.5</w:t>
      </w:r>
      <w:r>
        <w:rPr>
          <w:rFonts w:asciiTheme="minorHAnsi" w:eastAsiaTheme="minorEastAsia" w:hAnsiTheme="minorHAnsi" w:cstheme="minorBidi"/>
          <w:noProof/>
          <w:sz w:val="24"/>
          <w:lang w:val="en-GB" w:eastAsia="ja-JP"/>
        </w:rPr>
        <w:tab/>
      </w:r>
      <w:r>
        <w:rPr>
          <w:noProof/>
        </w:rPr>
        <w:t>Efficiency of Coordination Mechanisms</w:t>
      </w:r>
      <w:r>
        <w:rPr>
          <w:noProof/>
        </w:rPr>
        <w:tab/>
      </w:r>
      <w:r>
        <w:rPr>
          <w:noProof/>
        </w:rPr>
        <w:fldChar w:fldCharType="begin"/>
      </w:r>
      <w:r>
        <w:rPr>
          <w:noProof/>
        </w:rPr>
        <w:instrText xml:space="preserve"> PAGEREF _Toc419359871 \h </w:instrText>
      </w:r>
      <w:r>
        <w:rPr>
          <w:noProof/>
        </w:rPr>
      </w:r>
      <w:r>
        <w:rPr>
          <w:noProof/>
        </w:rPr>
        <w:fldChar w:fldCharType="separate"/>
      </w:r>
      <w:r>
        <w:rPr>
          <w:noProof/>
        </w:rPr>
        <w:t>35</w:t>
      </w:r>
      <w:r>
        <w:rPr>
          <w:noProof/>
        </w:rPr>
        <w:fldChar w:fldCharType="end"/>
      </w:r>
    </w:p>
    <w:p w14:paraId="7FB3E517"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3.6</w:t>
      </w:r>
      <w:r>
        <w:rPr>
          <w:rFonts w:asciiTheme="minorHAnsi" w:eastAsiaTheme="minorEastAsia" w:hAnsiTheme="minorHAnsi" w:cstheme="minorBidi"/>
          <w:noProof/>
          <w:sz w:val="24"/>
          <w:lang w:val="en-GB" w:eastAsia="ja-JP"/>
        </w:rPr>
        <w:tab/>
      </w:r>
      <w:r>
        <w:rPr>
          <w:noProof/>
        </w:rPr>
        <w:t>Project Monitoring Framework</w:t>
      </w:r>
      <w:r>
        <w:rPr>
          <w:noProof/>
        </w:rPr>
        <w:tab/>
      </w:r>
      <w:r>
        <w:rPr>
          <w:noProof/>
        </w:rPr>
        <w:fldChar w:fldCharType="begin"/>
      </w:r>
      <w:r>
        <w:rPr>
          <w:noProof/>
        </w:rPr>
        <w:instrText xml:space="preserve"> PAGEREF _Toc419359872 \h </w:instrText>
      </w:r>
      <w:r>
        <w:rPr>
          <w:noProof/>
        </w:rPr>
      </w:r>
      <w:r>
        <w:rPr>
          <w:noProof/>
        </w:rPr>
        <w:fldChar w:fldCharType="separate"/>
      </w:r>
      <w:r>
        <w:rPr>
          <w:noProof/>
        </w:rPr>
        <w:t>38</w:t>
      </w:r>
      <w:r>
        <w:rPr>
          <w:noProof/>
        </w:rPr>
        <w:fldChar w:fldCharType="end"/>
      </w:r>
    </w:p>
    <w:p w14:paraId="336890E7"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3.7</w:t>
      </w:r>
      <w:r>
        <w:rPr>
          <w:rFonts w:asciiTheme="minorHAnsi" w:eastAsiaTheme="minorEastAsia" w:hAnsiTheme="minorHAnsi" w:cstheme="minorBidi"/>
          <w:noProof/>
          <w:sz w:val="24"/>
          <w:lang w:val="en-GB" w:eastAsia="ja-JP"/>
        </w:rPr>
        <w:tab/>
      </w:r>
      <w:r>
        <w:rPr>
          <w:noProof/>
        </w:rPr>
        <w:t>Project Sustainability</w:t>
      </w:r>
      <w:r>
        <w:rPr>
          <w:noProof/>
        </w:rPr>
        <w:tab/>
      </w:r>
      <w:r>
        <w:rPr>
          <w:noProof/>
        </w:rPr>
        <w:fldChar w:fldCharType="begin"/>
      </w:r>
      <w:r>
        <w:rPr>
          <w:noProof/>
        </w:rPr>
        <w:instrText xml:space="preserve"> PAGEREF _Toc419359873 \h </w:instrText>
      </w:r>
      <w:r>
        <w:rPr>
          <w:noProof/>
        </w:rPr>
      </w:r>
      <w:r>
        <w:rPr>
          <w:noProof/>
        </w:rPr>
        <w:fldChar w:fldCharType="separate"/>
      </w:r>
      <w:r>
        <w:rPr>
          <w:noProof/>
        </w:rPr>
        <w:t>39</w:t>
      </w:r>
      <w:r>
        <w:rPr>
          <w:noProof/>
        </w:rPr>
        <w:fldChar w:fldCharType="end"/>
      </w:r>
    </w:p>
    <w:p w14:paraId="4D8BB6F9" w14:textId="77777777" w:rsidR="00B82166" w:rsidRDefault="00B82166">
      <w:pPr>
        <w:pStyle w:val="TOC1"/>
        <w:tabs>
          <w:tab w:val="left" w:pos="570"/>
          <w:tab w:val="right" w:leader="dot" w:pos="9350"/>
        </w:tabs>
        <w:rPr>
          <w:rFonts w:asciiTheme="minorHAnsi" w:eastAsiaTheme="minorEastAsia" w:hAnsiTheme="minorHAnsi" w:cstheme="minorBidi"/>
          <w:b w:val="0"/>
          <w:caps w:val="0"/>
          <w:noProof/>
          <w:lang w:val="en-GB" w:eastAsia="ja-JP"/>
        </w:rPr>
      </w:pPr>
      <w:r>
        <w:rPr>
          <w:noProof/>
        </w:rPr>
        <w:t>4.0</w:t>
      </w:r>
      <w:r>
        <w:rPr>
          <w:rFonts w:asciiTheme="minorHAnsi" w:eastAsiaTheme="minorEastAsia" w:hAnsiTheme="minorHAnsi" w:cstheme="minorBidi"/>
          <w:b w:val="0"/>
          <w:caps w:val="0"/>
          <w:noProof/>
          <w:lang w:val="en-GB" w:eastAsia="ja-JP"/>
        </w:rPr>
        <w:tab/>
      </w:r>
      <w:r>
        <w:rPr>
          <w:noProof/>
        </w:rPr>
        <w:t>Challenges and Lessons Learnt</w:t>
      </w:r>
      <w:r>
        <w:rPr>
          <w:noProof/>
        </w:rPr>
        <w:tab/>
      </w:r>
      <w:r>
        <w:rPr>
          <w:noProof/>
        </w:rPr>
        <w:fldChar w:fldCharType="begin"/>
      </w:r>
      <w:r>
        <w:rPr>
          <w:noProof/>
        </w:rPr>
        <w:instrText xml:space="preserve"> PAGEREF _Toc419359874 \h </w:instrText>
      </w:r>
      <w:r>
        <w:rPr>
          <w:noProof/>
        </w:rPr>
      </w:r>
      <w:r>
        <w:rPr>
          <w:noProof/>
        </w:rPr>
        <w:fldChar w:fldCharType="separate"/>
      </w:r>
      <w:r>
        <w:rPr>
          <w:noProof/>
        </w:rPr>
        <w:t>41</w:t>
      </w:r>
      <w:r>
        <w:rPr>
          <w:noProof/>
        </w:rPr>
        <w:fldChar w:fldCharType="end"/>
      </w:r>
    </w:p>
    <w:p w14:paraId="03F74C1F"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4.1</w:t>
      </w:r>
      <w:r>
        <w:rPr>
          <w:rFonts w:asciiTheme="minorHAnsi" w:eastAsiaTheme="minorEastAsia" w:hAnsiTheme="minorHAnsi" w:cstheme="minorBidi"/>
          <w:noProof/>
          <w:sz w:val="24"/>
          <w:lang w:val="en-GB" w:eastAsia="ja-JP"/>
        </w:rPr>
        <w:tab/>
      </w:r>
      <w:r>
        <w:rPr>
          <w:noProof/>
        </w:rPr>
        <w:t>Challenges</w:t>
      </w:r>
      <w:r>
        <w:rPr>
          <w:noProof/>
        </w:rPr>
        <w:tab/>
      </w:r>
      <w:r>
        <w:rPr>
          <w:noProof/>
        </w:rPr>
        <w:fldChar w:fldCharType="begin"/>
      </w:r>
      <w:r>
        <w:rPr>
          <w:noProof/>
        </w:rPr>
        <w:instrText xml:space="preserve"> PAGEREF _Toc419359875 \h </w:instrText>
      </w:r>
      <w:r>
        <w:rPr>
          <w:noProof/>
        </w:rPr>
      </w:r>
      <w:r>
        <w:rPr>
          <w:noProof/>
        </w:rPr>
        <w:fldChar w:fldCharType="separate"/>
      </w:r>
      <w:r>
        <w:rPr>
          <w:noProof/>
        </w:rPr>
        <w:t>41</w:t>
      </w:r>
      <w:r>
        <w:rPr>
          <w:noProof/>
        </w:rPr>
        <w:fldChar w:fldCharType="end"/>
      </w:r>
    </w:p>
    <w:p w14:paraId="412FF6B0"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4.2</w:t>
      </w:r>
      <w:r>
        <w:rPr>
          <w:rFonts w:asciiTheme="minorHAnsi" w:eastAsiaTheme="minorEastAsia" w:hAnsiTheme="minorHAnsi" w:cstheme="minorBidi"/>
          <w:noProof/>
          <w:sz w:val="24"/>
          <w:lang w:val="en-GB" w:eastAsia="ja-JP"/>
        </w:rPr>
        <w:tab/>
      </w:r>
      <w:r>
        <w:rPr>
          <w:noProof/>
        </w:rPr>
        <w:t>Lessons Learnt</w:t>
      </w:r>
      <w:r>
        <w:rPr>
          <w:noProof/>
        </w:rPr>
        <w:tab/>
      </w:r>
      <w:r>
        <w:rPr>
          <w:noProof/>
        </w:rPr>
        <w:fldChar w:fldCharType="begin"/>
      </w:r>
      <w:r>
        <w:rPr>
          <w:noProof/>
        </w:rPr>
        <w:instrText xml:space="preserve"> PAGEREF _Toc419359876 \h </w:instrText>
      </w:r>
      <w:r>
        <w:rPr>
          <w:noProof/>
        </w:rPr>
      </w:r>
      <w:r>
        <w:rPr>
          <w:noProof/>
        </w:rPr>
        <w:fldChar w:fldCharType="separate"/>
      </w:r>
      <w:r>
        <w:rPr>
          <w:noProof/>
        </w:rPr>
        <w:t>42</w:t>
      </w:r>
      <w:r>
        <w:rPr>
          <w:noProof/>
        </w:rPr>
        <w:fldChar w:fldCharType="end"/>
      </w:r>
    </w:p>
    <w:p w14:paraId="681784F8" w14:textId="77777777" w:rsidR="00B82166" w:rsidRDefault="00B82166">
      <w:pPr>
        <w:pStyle w:val="TOC1"/>
        <w:tabs>
          <w:tab w:val="left" w:pos="570"/>
          <w:tab w:val="right" w:leader="dot" w:pos="9350"/>
        </w:tabs>
        <w:rPr>
          <w:rFonts w:asciiTheme="minorHAnsi" w:eastAsiaTheme="minorEastAsia" w:hAnsiTheme="minorHAnsi" w:cstheme="minorBidi"/>
          <w:b w:val="0"/>
          <w:caps w:val="0"/>
          <w:noProof/>
          <w:lang w:val="en-GB" w:eastAsia="ja-JP"/>
        </w:rPr>
      </w:pPr>
      <w:r>
        <w:rPr>
          <w:noProof/>
        </w:rPr>
        <w:t>5.0</w:t>
      </w:r>
      <w:r>
        <w:rPr>
          <w:rFonts w:asciiTheme="minorHAnsi" w:eastAsiaTheme="minorEastAsia" w:hAnsiTheme="minorHAnsi" w:cstheme="minorBidi"/>
          <w:b w:val="0"/>
          <w:caps w:val="0"/>
          <w:noProof/>
          <w:lang w:val="en-GB" w:eastAsia="ja-JP"/>
        </w:rPr>
        <w:tab/>
      </w:r>
      <w:r>
        <w:rPr>
          <w:noProof/>
        </w:rPr>
        <w:t>Conclusion and Recommendation</w:t>
      </w:r>
      <w:r>
        <w:rPr>
          <w:noProof/>
        </w:rPr>
        <w:tab/>
      </w:r>
      <w:r>
        <w:rPr>
          <w:noProof/>
        </w:rPr>
        <w:fldChar w:fldCharType="begin"/>
      </w:r>
      <w:r>
        <w:rPr>
          <w:noProof/>
        </w:rPr>
        <w:instrText xml:space="preserve"> PAGEREF _Toc419359877 \h </w:instrText>
      </w:r>
      <w:r>
        <w:rPr>
          <w:noProof/>
        </w:rPr>
      </w:r>
      <w:r>
        <w:rPr>
          <w:noProof/>
        </w:rPr>
        <w:fldChar w:fldCharType="separate"/>
      </w:r>
      <w:r>
        <w:rPr>
          <w:noProof/>
        </w:rPr>
        <w:t>44</w:t>
      </w:r>
      <w:r>
        <w:rPr>
          <w:noProof/>
        </w:rPr>
        <w:fldChar w:fldCharType="end"/>
      </w:r>
    </w:p>
    <w:p w14:paraId="6954FF6C"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5.1</w:t>
      </w:r>
      <w:r>
        <w:rPr>
          <w:rFonts w:asciiTheme="minorHAnsi" w:eastAsiaTheme="minorEastAsia" w:hAnsiTheme="minorHAnsi" w:cstheme="minorBidi"/>
          <w:noProof/>
          <w:sz w:val="24"/>
          <w:lang w:val="en-GB" w:eastAsia="ja-JP"/>
        </w:rPr>
        <w:tab/>
      </w:r>
      <w:r>
        <w:rPr>
          <w:noProof/>
        </w:rPr>
        <w:t>Conclusion</w:t>
      </w:r>
      <w:r>
        <w:rPr>
          <w:noProof/>
        </w:rPr>
        <w:tab/>
      </w:r>
      <w:r>
        <w:rPr>
          <w:noProof/>
        </w:rPr>
        <w:fldChar w:fldCharType="begin"/>
      </w:r>
      <w:r>
        <w:rPr>
          <w:noProof/>
        </w:rPr>
        <w:instrText xml:space="preserve"> PAGEREF _Toc419359878 \h </w:instrText>
      </w:r>
      <w:r>
        <w:rPr>
          <w:noProof/>
        </w:rPr>
      </w:r>
      <w:r>
        <w:rPr>
          <w:noProof/>
        </w:rPr>
        <w:fldChar w:fldCharType="separate"/>
      </w:r>
      <w:r>
        <w:rPr>
          <w:noProof/>
        </w:rPr>
        <w:t>44</w:t>
      </w:r>
      <w:r>
        <w:rPr>
          <w:noProof/>
        </w:rPr>
        <w:fldChar w:fldCharType="end"/>
      </w:r>
    </w:p>
    <w:p w14:paraId="7CD7D08F"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5.2</w:t>
      </w:r>
      <w:r>
        <w:rPr>
          <w:rFonts w:asciiTheme="minorHAnsi" w:eastAsiaTheme="minorEastAsia" w:hAnsiTheme="minorHAnsi" w:cstheme="minorBidi"/>
          <w:noProof/>
          <w:sz w:val="24"/>
          <w:lang w:val="en-GB" w:eastAsia="ja-JP"/>
        </w:rPr>
        <w:tab/>
      </w:r>
      <w:r>
        <w:rPr>
          <w:noProof/>
        </w:rPr>
        <w:t>Recommendations</w:t>
      </w:r>
      <w:r>
        <w:rPr>
          <w:noProof/>
        </w:rPr>
        <w:tab/>
      </w:r>
      <w:r>
        <w:rPr>
          <w:noProof/>
        </w:rPr>
        <w:fldChar w:fldCharType="begin"/>
      </w:r>
      <w:r>
        <w:rPr>
          <w:noProof/>
        </w:rPr>
        <w:instrText xml:space="preserve"> PAGEREF _Toc419359879 \h </w:instrText>
      </w:r>
      <w:r>
        <w:rPr>
          <w:noProof/>
        </w:rPr>
      </w:r>
      <w:r>
        <w:rPr>
          <w:noProof/>
        </w:rPr>
        <w:fldChar w:fldCharType="separate"/>
      </w:r>
      <w:r>
        <w:rPr>
          <w:noProof/>
        </w:rPr>
        <w:t>44</w:t>
      </w:r>
      <w:r>
        <w:rPr>
          <w:noProof/>
        </w:rPr>
        <w:fldChar w:fldCharType="end"/>
      </w:r>
    </w:p>
    <w:p w14:paraId="7E690797" w14:textId="77777777" w:rsidR="00B82166" w:rsidRDefault="00B82166">
      <w:pPr>
        <w:pStyle w:val="TOC1"/>
        <w:tabs>
          <w:tab w:val="left" w:pos="570"/>
          <w:tab w:val="right" w:leader="dot" w:pos="9350"/>
        </w:tabs>
        <w:rPr>
          <w:rFonts w:asciiTheme="minorHAnsi" w:eastAsiaTheme="minorEastAsia" w:hAnsiTheme="minorHAnsi" w:cstheme="minorBidi"/>
          <w:b w:val="0"/>
          <w:caps w:val="0"/>
          <w:noProof/>
          <w:lang w:val="en-GB" w:eastAsia="ja-JP"/>
        </w:rPr>
      </w:pPr>
      <w:r>
        <w:rPr>
          <w:noProof/>
        </w:rPr>
        <w:t>6.0</w:t>
      </w:r>
      <w:r>
        <w:rPr>
          <w:rFonts w:asciiTheme="minorHAnsi" w:eastAsiaTheme="minorEastAsia" w:hAnsiTheme="minorHAnsi" w:cstheme="minorBidi"/>
          <w:b w:val="0"/>
          <w:caps w:val="0"/>
          <w:noProof/>
          <w:lang w:val="en-GB" w:eastAsia="ja-JP"/>
        </w:rPr>
        <w:tab/>
      </w:r>
      <w:r>
        <w:rPr>
          <w:noProof/>
        </w:rPr>
        <w:t>Annex</w:t>
      </w:r>
      <w:r>
        <w:rPr>
          <w:noProof/>
        </w:rPr>
        <w:tab/>
      </w:r>
      <w:r>
        <w:rPr>
          <w:noProof/>
        </w:rPr>
        <w:fldChar w:fldCharType="begin"/>
      </w:r>
      <w:r>
        <w:rPr>
          <w:noProof/>
        </w:rPr>
        <w:instrText xml:space="preserve"> PAGEREF _Toc419359880 \h </w:instrText>
      </w:r>
      <w:r>
        <w:rPr>
          <w:noProof/>
        </w:rPr>
      </w:r>
      <w:r>
        <w:rPr>
          <w:noProof/>
        </w:rPr>
        <w:fldChar w:fldCharType="separate"/>
      </w:r>
      <w:r>
        <w:rPr>
          <w:noProof/>
        </w:rPr>
        <w:t>46</w:t>
      </w:r>
      <w:r>
        <w:rPr>
          <w:noProof/>
        </w:rPr>
        <w:fldChar w:fldCharType="end"/>
      </w:r>
    </w:p>
    <w:p w14:paraId="1E551F9F" w14:textId="77777777" w:rsidR="00B82166" w:rsidRDefault="00B82166">
      <w:pPr>
        <w:pStyle w:val="TOC2"/>
        <w:tabs>
          <w:tab w:val="left" w:pos="508"/>
          <w:tab w:val="right" w:leader="dot" w:pos="9350"/>
        </w:tabs>
        <w:rPr>
          <w:rFonts w:asciiTheme="minorHAnsi" w:eastAsiaTheme="minorEastAsia" w:hAnsiTheme="minorHAnsi" w:cstheme="minorBidi"/>
          <w:noProof/>
          <w:sz w:val="24"/>
          <w:lang w:val="en-GB" w:eastAsia="ja-JP"/>
        </w:rPr>
      </w:pPr>
      <w:r>
        <w:rPr>
          <w:noProof/>
        </w:rPr>
        <w:t>6.1</w:t>
      </w:r>
      <w:r>
        <w:rPr>
          <w:rFonts w:asciiTheme="minorHAnsi" w:eastAsiaTheme="minorEastAsia" w:hAnsiTheme="minorHAnsi" w:cstheme="minorBidi"/>
          <w:noProof/>
          <w:sz w:val="24"/>
          <w:lang w:val="en-GB" w:eastAsia="ja-JP"/>
        </w:rPr>
        <w:tab/>
      </w:r>
      <w:r>
        <w:rPr>
          <w:noProof/>
        </w:rPr>
        <w:t>Data collection Tools</w:t>
      </w:r>
      <w:r>
        <w:rPr>
          <w:noProof/>
        </w:rPr>
        <w:tab/>
      </w:r>
      <w:r>
        <w:rPr>
          <w:noProof/>
        </w:rPr>
        <w:fldChar w:fldCharType="begin"/>
      </w:r>
      <w:r>
        <w:rPr>
          <w:noProof/>
        </w:rPr>
        <w:instrText xml:space="preserve"> PAGEREF _Toc419359881 \h </w:instrText>
      </w:r>
      <w:r>
        <w:rPr>
          <w:noProof/>
        </w:rPr>
      </w:r>
      <w:r>
        <w:rPr>
          <w:noProof/>
        </w:rPr>
        <w:fldChar w:fldCharType="separate"/>
      </w:r>
      <w:r>
        <w:rPr>
          <w:noProof/>
        </w:rPr>
        <w:t>46</w:t>
      </w:r>
      <w:r>
        <w:rPr>
          <w:noProof/>
        </w:rPr>
        <w:fldChar w:fldCharType="end"/>
      </w:r>
    </w:p>
    <w:p w14:paraId="00AD81A0" w14:textId="14AE8053" w:rsidR="00853726" w:rsidRPr="00B62036" w:rsidRDefault="003A3D76" w:rsidP="00230515">
      <w:pPr>
        <w:spacing w:line="360" w:lineRule="auto"/>
        <w:jc w:val="both"/>
        <w:rPr>
          <w:rFonts w:ascii="Gill Sans MT" w:hAnsi="Gill Sans MT"/>
          <w:caps/>
          <w:sz w:val="20"/>
          <w:szCs w:val="20"/>
        </w:rPr>
      </w:pPr>
      <w:r>
        <w:rPr>
          <w:rFonts w:ascii="Gill Sans MT" w:hAnsi="Gill Sans MT"/>
          <w:caps/>
          <w:sz w:val="20"/>
          <w:szCs w:val="20"/>
        </w:rPr>
        <w:fldChar w:fldCharType="end"/>
      </w:r>
    </w:p>
    <w:p w14:paraId="0B0A2D37" w14:textId="77777777" w:rsidR="001E0353" w:rsidRPr="00B62036" w:rsidRDefault="001E0353" w:rsidP="00230515">
      <w:pPr>
        <w:spacing w:line="360" w:lineRule="auto"/>
        <w:jc w:val="both"/>
        <w:rPr>
          <w:rFonts w:ascii="Gill Sans MT" w:hAnsi="Gill Sans MT"/>
          <w:b/>
          <w:caps/>
          <w:sz w:val="20"/>
          <w:szCs w:val="20"/>
        </w:rPr>
      </w:pPr>
    </w:p>
    <w:p w14:paraId="337082ED" w14:textId="77777777" w:rsidR="00BB0A6E" w:rsidRPr="00B62036" w:rsidRDefault="00BB0A6E" w:rsidP="00230515">
      <w:pPr>
        <w:spacing w:line="360" w:lineRule="auto"/>
        <w:jc w:val="both"/>
        <w:rPr>
          <w:rFonts w:ascii="Gill Sans MT" w:hAnsi="Gill Sans MT"/>
          <w:b/>
          <w:caps/>
          <w:sz w:val="20"/>
          <w:szCs w:val="20"/>
        </w:rPr>
      </w:pPr>
    </w:p>
    <w:p w14:paraId="424E7C00" w14:textId="77777777" w:rsidR="00230515" w:rsidRDefault="00230515" w:rsidP="00230515">
      <w:pPr>
        <w:spacing w:line="360" w:lineRule="auto"/>
        <w:jc w:val="both"/>
        <w:rPr>
          <w:rFonts w:ascii="Gill Sans MT" w:hAnsi="Gill Sans MT"/>
          <w:b/>
          <w:caps/>
          <w:sz w:val="20"/>
          <w:szCs w:val="20"/>
        </w:rPr>
        <w:sectPr w:rsidR="00230515" w:rsidSect="00117C8B">
          <w:pgSz w:w="12240" w:h="15840"/>
          <w:pgMar w:top="1440" w:right="1440" w:bottom="1440" w:left="1440" w:header="720" w:footer="720" w:gutter="0"/>
          <w:pgNumType w:fmt="numberInDash"/>
          <w:cols w:space="720"/>
          <w:docGrid w:linePitch="360"/>
        </w:sectPr>
      </w:pPr>
    </w:p>
    <w:p w14:paraId="7128A214" w14:textId="77777777" w:rsidR="00BB0A6E" w:rsidRPr="00B62036" w:rsidRDefault="00BB0A6E" w:rsidP="00230515">
      <w:pPr>
        <w:spacing w:line="360" w:lineRule="auto"/>
        <w:jc w:val="both"/>
        <w:rPr>
          <w:rFonts w:ascii="Gill Sans MT" w:hAnsi="Gill Sans MT"/>
          <w:b/>
          <w:caps/>
          <w:sz w:val="20"/>
          <w:szCs w:val="20"/>
        </w:rPr>
      </w:pPr>
    </w:p>
    <w:p w14:paraId="665A7DD2" w14:textId="752DE8BF" w:rsidR="009829C6" w:rsidRPr="00B62036" w:rsidRDefault="009829C6" w:rsidP="00230515">
      <w:pPr>
        <w:spacing w:line="360" w:lineRule="auto"/>
        <w:jc w:val="both"/>
        <w:rPr>
          <w:rFonts w:ascii="Gill Sans MT" w:hAnsi="Gill Sans MT"/>
          <w:b/>
          <w:caps/>
          <w:sz w:val="20"/>
          <w:szCs w:val="20"/>
        </w:rPr>
      </w:pPr>
      <w:r w:rsidRPr="00B62036">
        <w:rPr>
          <w:rFonts w:ascii="Gill Sans MT" w:hAnsi="Gill Sans MT"/>
          <w:b/>
          <w:caps/>
          <w:sz w:val="20"/>
          <w:szCs w:val="20"/>
        </w:rPr>
        <w:t xml:space="preserve">ACRONNYMS </w:t>
      </w:r>
    </w:p>
    <w:tbl>
      <w:tblPr>
        <w:tblW w:w="0" w:type="auto"/>
        <w:tblInd w:w="93" w:type="dxa"/>
        <w:tblLook w:val="04A0" w:firstRow="1" w:lastRow="0" w:firstColumn="1" w:lastColumn="0" w:noHBand="0" w:noVBand="1"/>
      </w:tblPr>
      <w:tblGrid>
        <w:gridCol w:w="3345"/>
        <w:gridCol w:w="6138"/>
      </w:tblGrid>
      <w:tr w:rsidR="007B296B" w:rsidRPr="00B62036" w14:paraId="03BEDC69" w14:textId="77777777" w:rsidTr="00230515">
        <w:trPr>
          <w:trHeight w:val="47"/>
        </w:trPr>
        <w:tc>
          <w:tcPr>
            <w:tcW w:w="3345" w:type="dxa"/>
            <w:shd w:val="clear" w:color="auto" w:fill="auto"/>
            <w:vAlign w:val="center"/>
          </w:tcPr>
          <w:p w14:paraId="4D087DB9" w14:textId="4C1A594C" w:rsidR="007B296B" w:rsidRPr="00B62036" w:rsidRDefault="007B296B" w:rsidP="00230515">
            <w:pPr>
              <w:jc w:val="both"/>
              <w:rPr>
                <w:rFonts w:ascii="Gill Sans MT" w:hAnsi="Gill Sans MT"/>
                <w:bCs/>
                <w:color w:val="000000"/>
                <w:sz w:val="20"/>
                <w:szCs w:val="20"/>
                <w:lang w:eastAsia="en-GB"/>
              </w:rPr>
            </w:pPr>
            <w:r w:rsidRPr="00B62036">
              <w:rPr>
                <w:rFonts w:ascii="Gill Sans MT" w:hAnsi="Gill Sans MT"/>
                <w:bCs/>
                <w:color w:val="000000"/>
                <w:sz w:val="20"/>
                <w:szCs w:val="20"/>
                <w:lang w:eastAsia="en-GB"/>
              </w:rPr>
              <w:t>ADESO</w:t>
            </w:r>
          </w:p>
        </w:tc>
        <w:tc>
          <w:tcPr>
            <w:tcW w:w="6138" w:type="dxa"/>
            <w:shd w:val="clear" w:color="auto" w:fill="auto"/>
            <w:vAlign w:val="center"/>
          </w:tcPr>
          <w:p w14:paraId="59CC0A95" w14:textId="69F9D1D5" w:rsidR="007B296B" w:rsidRPr="00B62036" w:rsidRDefault="007B296B" w:rsidP="00230515">
            <w:pPr>
              <w:jc w:val="both"/>
              <w:rPr>
                <w:rFonts w:ascii="Gill Sans MT" w:hAnsi="Gill Sans MT"/>
                <w:bCs/>
                <w:color w:val="000000"/>
                <w:sz w:val="20"/>
                <w:szCs w:val="20"/>
                <w:lang w:eastAsia="en-GB"/>
              </w:rPr>
            </w:pPr>
            <w:r w:rsidRPr="00B62036">
              <w:rPr>
                <w:rStyle w:val="st"/>
                <w:rFonts w:ascii="Gill Sans MT" w:eastAsia="MS Gothic" w:hAnsi="Gill Sans MT"/>
                <w:sz w:val="20"/>
                <w:szCs w:val="20"/>
              </w:rPr>
              <w:t>African Development Solutions</w:t>
            </w:r>
          </w:p>
        </w:tc>
      </w:tr>
      <w:tr w:rsidR="001E0353" w:rsidRPr="00B62036" w14:paraId="1C99DFBD" w14:textId="77777777" w:rsidTr="00230515">
        <w:trPr>
          <w:trHeight w:val="47"/>
        </w:trPr>
        <w:tc>
          <w:tcPr>
            <w:tcW w:w="3345" w:type="dxa"/>
            <w:shd w:val="clear" w:color="auto" w:fill="auto"/>
            <w:vAlign w:val="center"/>
            <w:hideMark/>
          </w:tcPr>
          <w:p w14:paraId="14A0D4E7" w14:textId="310B16B7" w:rsidR="001E0353" w:rsidRPr="00B62036" w:rsidRDefault="007B296B"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 xml:space="preserve">AVORD </w:t>
            </w:r>
          </w:p>
        </w:tc>
        <w:tc>
          <w:tcPr>
            <w:tcW w:w="6138" w:type="dxa"/>
            <w:shd w:val="clear" w:color="auto" w:fill="auto"/>
            <w:vAlign w:val="center"/>
            <w:hideMark/>
          </w:tcPr>
          <w:p w14:paraId="791458A6" w14:textId="11732993" w:rsidR="001E0353" w:rsidRPr="00B62036" w:rsidRDefault="007B296B" w:rsidP="00230515">
            <w:pPr>
              <w:jc w:val="both"/>
              <w:rPr>
                <w:rFonts w:ascii="Gill Sans MT" w:hAnsi="Gill Sans MT"/>
                <w:color w:val="000000"/>
                <w:sz w:val="20"/>
                <w:szCs w:val="20"/>
                <w:lang w:val="en-GB" w:eastAsia="en-GB"/>
              </w:rPr>
            </w:pPr>
            <w:r w:rsidRPr="00B62036">
              <w:rPr>
                <w:rFonts w:ascii="Gill Sans MT" w:hAnsi="Gill Sans MT"/>
                <w:bCs/>
                <w:color w:val="000000"/>
                <w:sz w:val="20"/>
                <w:szCs w:val="20"/>
                <w:lang w:eastAsia="en-GB"/>
              </w:rPr>
              <w:t>African Volunteers for Relief and Development</w:t>
            </w:r>
          </w:p>
        </w:tc>
      </w:tr>
      <w:tr w:rsidR="001E0353" w:rsidRPr="00B62036" w14:paraId="4579ED80" w14:textId="77777777" w:rsidTr="00230515">
        <w:trPr>
          <w:trHeight w:val="315"/>
        </w:trPr>
        <w:tc>
          <w:tcPr>
            <w:tcW w:w="3345" w:type="dxa"/>
            <w:shd w:val="clear" w:color="auto" w:fill="auto"/>
            <w:vAlign w:val="center"/>
          </w:tcPr>
          <w:p w14:paraId="536F73C1" w14:textId="443761DD" w:rsidR="001E0353" w:rsidRPr="00B62036" w:rsidRDefault="007B296B"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val="en-GB" w:eastAsia="en-GB"/>
              </w:rPr>
              <w:t xml:space="preserve">BREK </w:t>
            </w:r>
          </w:p>
        </w:tc>
        <w:tc>
          <w:tcPr>
            <w:tcW w:w="6138" w:type="dxa"/>
            <w:shd w:val="clear" w:color="auto" w:fill="auto"/>
            <w:vAlign w:val="center"/>
          </w:tcPr>
          <w:p w14:paraId="75B896B1" w14:textId="1BB22AC9" w:rsidR="001E0353" w:rsidRPr="00B62036" w:rsidRDefault="007B296B" w:rsidP="00230515">
            <w:pPr>
              <w:jc w:val="both"/>
              <w:rPr>
                <w:rFonts w:ascii="Gill Sans MT" w:hAnsi="Gill Sans MT"/>
                <w:color w:val="000000"/>
                <w:sz w:val="20"/>
                <w:szCs w:val="20"/>
                <w:lang w:val="en-GB" w:eastAsia="en-GB"/>
              </w:rPr>
            </w:pPr>
            <w:r w:rsidRPr="00B62036">
              <w:rPr>
                <w:rFonts w:ascii="Gill Sans MT" w:hAnsi="Gill Sans MT"/>
                <w:bCs/>
                <w:color w:val="000000"/>
                <w:sz w:val="20"/>
                <w:szCs w:val="20"/>
                <w:lang w:val="en-GB" w:eastAsia="en-GB"/>
              </w:rPr>
              <w:t>Bay regional education committee</w:t>
            </w:r>
          </w:p>
        </w:tc>
      </w:tr>
      <w:tr w:rsidR="007B296B" w:rsidRPr="00B62036" w14:paraId="5FDCB615" w14:textId="77777777" w:rsidTr="00230515">
        <w:trPr>
          <w:trHeight w:val="315"/>
        </w:trPr>
        <w:tc>
          <w:tcPr>
            <w:tcW w:w="3345" w:type="dxa"/>
            <w:shd w:val="clear" w:color="auto" w:fill="auto"/>
          </w:tcPr>
          <w:p w14:paraId="2A0E3C21" w14:textId="4066E6C5" w:rsidR="007B296B" w:rsidRPr="00B62036" w:rsidRDefault="007B296B" w:rsidP="00230515">
            <w:pPr>
              <w:jc w:val="both"/>
              <w:rPr>
                <w:rFonts w:ascii="Gill Sans MT" w:hAnsi="Gill Sans MT"/>
                <w:bCs/>
                <w:color w:val="000000"/>
                <w:sz w:val="20"/>
                <w:szCs w:val="20"/>
                <w:lang w:val="en-GB" w:eastAsia="en-GB"/>
              </w:rPr>
            </w:pPr>
            <w:r w:rsidRPr="00B62036">
              <w:rPr>
                <w:rFonts w:ascii="Gill Sans MT" w:hAnsi="Gill Sans MT"/>
                <w:sz w:val="20"/>
                <w:szCs w:val="20"/>
              </w:rPr>
              <w:t>CAP</w:t>
            </w:r>
          </w:p>
        </w:tc>
        <w:tc>
          <w:tcPr>
            <w:tcW w:w="6138" w:type="dxa"/>
            <w:shd w:val="clear" w:color="auto" w:fill="auto"/>
          </w:tcPr>
          <w:p w14:paraId="7F259547" w14:textId="6367C0A7" w:rsidR="007B296B" w:rsidRPr="00B62036" w:rsidRDefault="007B296B" w:rsidP="00230515">
            <w:pPr>
              <w:jc w:val="both"/>
              <w:rPr>
                <w:rFonts w:ascii="Gill Sans MT" w:hAnsi="Gill Sans MT"/>
                <w:color w:val="000000"/>
                <w:sz w:val="20"/>
                <w:szCs w:val="20"/>
                <w:lang w:val="en-GB" w:eastAsia="en-GB"/>
              </w:rPr>
            </w:pPr>
            <w:r w:rsidRPr="00B62036">
              <w:rPr>
                <w:rFonts w:ascii="Gill Sans MT" w:hAnsi="Gill Sans MT"/>
                <w:sz w:val="20"/>
                <w:szCs w:val="20"/>
              </w:rPr>
              <w:t>Community Action Plan</w:t>
            </w:r>
          </w:p>
        </w:tc>
      </w:tr>
      <w:tr w:rsidR="007B296B" w:rsidRPr="00B62036" w14:paraId="2E4F162D" w14:textId="77777777" w:rsidTr="00230515">
        <w:trPr>
          <w:trHeight w:val="315"/>
        </w:trPr>
        <w:tc>
          <w:tcPr>
            <w:tcW w:w="3345" w:type="dxa"/>
            <w:shd w:val="clear" w:color="auto" w:fill="auto"/>
          </w:tcPr>
          <w:p w14:paraId="2D5E3975" w14:textId="0658A84A" w:rsidR="007B296B" w:rsidRPr="00B62036" w:rsidRDefault="007B296B" w:rsidP="00230515">
            <w:pPr>
              <w:jc w:val="both"/>
              <w:rPr>
                <w:rFonts w:ascii="Gill Sans MT" w:hAnsi="Gill Sans MT"/>
                <w:sz w:val="20"/>
                <w:szCs w:val="20"/>
              </w:rPr>
            </w:pPr>
            <w:r w:rsidRPr="00B62036">
              <w:rPr>
                <w:rFonts w:ascii="Gill Sans MT" w:hAnsi="Gill Sans MT"/>
                <w:bCs/>
                <w:sz w:val="20"/>
                <w:szCs w:val="20"/>
              </w:rPr>
              <w:t>CECs</w:t>
            </w:r>
          </w:p>
        </w:tc>
        <w:tc>
          <w:tcPr>
            <w:tcW w:w="6138" w:type="dxa"/>
            <w:shd w:val="clear" w:color="auto" w:fill="auto"/>
          </w:tcPr>
          <w:p w14:paraId="12CF1B18" w14:textId="2C721057" w:rsidR="007B296B" w:rsidRPr="00B62036" w:rsidRDefault="007B296B" w:rsidP="00230515">
            <w:pPr>
              <w:jc w:val="both"/>
              <w:rPr>
                <w:rFonts w:ascii="Gill Sans MT" w:hAnsi="Gill Sans MT"/>
                <w:sz w:val="20"/>
                <w:szCs w:val="20"/>
              </w:rPr>
            </w:pPr>
            <w:r w:rsidRPr="001E0353">
              <w:rPr>
                <w:rFonts w:ascii="Gill Sans MT" w:hAnsi="Gill Sans MT"/>
                <w:bCs/>
                <w:sz w:val="20"/>
                <w:szCs w:val="20"/>
              </w:rPr>
              <w:t xml:space="preserve">community education committees </w:t>
            </w:r>
          </w:p>
        </w:tc>
      </w:tr>
      <w:tr w:rsidR="007B296B" w:rsidRPr="00B62036" w14:paraId="4375104F" w14:textId="77777777" w:rsidTr="00230515">
        <w:trPr>
          <w:trHeight w:val="315"/>
        </w:trPr>
        <w:tc>
          <w:tcPr>
            <w:tcW w:w="3345" w:type="dxa"/>
            <w:shd w:val="clear" w:color="auto" w:fill="auto"/>
          </w:tcPr>
          <w:p w14:paraId="007869EE" w14:textId="0C1CF840" w:rsidR="007B296B" w:rsidRPr="00B62036" w:rsidRDefault="007B296B" w:rsidP="00230515">
            <w:pPr>
              <w:jc w:val="both"/>
              <w:rPr>
                <w:rFonts w:ascii="Gill Sans MT" w:hAnsi="Gill Sans MT"/>
                <w:bCs/>
                <w:color w:val="000000"/>
                <w:sz w:val="20"/>
                <w:szCs w:val="20"/>
                <w:lang w:val="en-GB" w:eastAsia="en-GB"/>
              </w:rPr>
            </w:pPr>
            <w:r w:rsidRPr="00B62036">
              <w:rPr>
                <w:rFonts w:ascii="Gill Sans MT" w:hAnsi="Gill Sans MT"/>
                <w:sz w:val="20"/>
                <w:szCs w:val="20"/>
              </w:rPr>
              <w:t>DRC</w:t>
            </w:r>
            <w:r w:rsidRPr="001E0353">
              <w:rPr>
                <w:rFonts w:ascii="Gill Sans MT" w:hAnsi="Gill Sans MT"/>
                <w:sz w:val="20"/>
                <w:szCs w:val="20"/>
              </w:rPr>
              <w:t xml:space="preserve"> </w:t>
            </w:r>
          </w:p>
        </w:tc>
        <w:tc>
          <w:tcPr>
            <w:tcW w:w="6138" w:type="dxa"/>
            <w:shd w:val="clear" w:color="auto" w:fill="auto"/>
          </w:tcPr>
          <w:p w14:paraId="26847B25" w14:textId="2F172B1D" w:rsidR="007B296B" w:rsidRPr="00B62036" w:rsidRDefault="007B296B" w:rsidP="00230515">
            <w:pPr>
              <w:jc w:val="both"/>
              <w:rPr>
                <w:rFonts w:ascii="Gill Sans MT" w:hAnsi="Gill Sans MT"/>
                <w:color w:val="000000"/>
                <w:sz w:val="20"/>
                <w:szCs w:val="20"/>
                <w:lang w:val="en-GB" w:eastAsia="en-GB"/>
              </w:rPr>
            </w:pPr>
            <w:r w:rsidRPr="001E0353">
              <w:rPr>
                <w:rFonts w:ascii="Gill Sans MT" w:hAnsi="Gill Sans MT"/>
                <w:sz w:val="20"/>
                <w:szCs w:val="20"/>
              </w:rPr>
              <w:t xml:space="preserve">Danish Refugee Council </w:t>
            </w:r>
          </w:p>
        </w:tc>
      </w:tr>
      <w:tr w:rsidR="007B296B" w:rsidRPr="00B62036" w14:paraId="15A18B2F" w14:textId="77777777" w:rsidTr="00230515">
        <w:trPr>
          <w:trHeight w:val="315"/>
        </w:trPr>
        <w:tc>
          <w:tcPr>
            <w:tcW w:w="3345" w:type="dxa"/>
            <w:shd w:val="clear" w:color="auto" w:fill="auto"/>
          </w:tcPr>
          <w:p w14:paraId="5D312C40" w14:textId="03C16202" w:rsidR="007B296B" w:rsidRPr="00B62036" w:rsidRDefault="007B296B" w:rsidP="00230515">
            <w:pPr>
              <w:jc w:val="both"/>
              <w:rPr>
                <w:rFonts w:ascii="Gill Sans MT" w:hAnsi="Gill Sans MT"/>
                <w:sz w:val="20"/>
                <w:szCs w:val="20"/>
              </w:rPr>
            </w:pPr>
            <w:r w:rsidRPr="001E0353">
              <w:rPr>
                <w:rFonts w:ascii="Gill Sans MT" w:hAnsi="Gill Sans MT" w:cs="Calibri"/>
                <w:sz w:val="20"/>
                <w:szCs w:val="20"/>
              </w:rPr>
              <w:t xml:space="preserve"> FAO’s</w:t>
            </w:r>
          </w:p>
        </w:tc>
        <w:tc>
          <w:tcPr>
            <w:tcW w:w="6138" w:type="dxa"/>
            <w:shd w:val="clear" w:color="auto" w:fill="auto"/>
          </w:tcPr>
          <w:p w14:paraId="427B776E" w14:textId="4CF0A4FD" w:rsidR="007B296B" w:rsidRPr="00B62036" w:rsidRDefault="007B296B" w:rsidP="00230515">
            <w:pPr>
              <w:jc w:val="both"/>
              <w:rPr>
                <w:rFonts w:ascii="Gill Sans MT" w:hAnsi="Gill Sans MT"/>
                <w:sz w:val="20"/>
                <w:szCs w:val="20"/>
              </w:rPr>
            </w:pPr>
            <w:r w:rsidRPr="00B62036">
              <w:rPr>
                <w:rFonts w:ascii="Gill Sans MT" w:hAnsi="Gill Sans MT" w:cs="Calibri"/>
                <w:sz w:val="20"/>
                <w:szCs w:val="20"/>
              </w:rPr>
              <w:t xml:space="preserve"> Food Agricultural Organization</w:t>
            </w:r>
          </w:p>
        </w:tc>
      </w:tr>
      <w:tr w:rsidR="007B296B" w:rsidRPr="00B62036" w14:paraId="2A9DAF43" w14:textId="77777777" w:rsidTr="00230515">
        <w:trPr>
          <w:trHeight w:val="315"/>
        </w:trPr>
        <w:tc>
          <w:tcPr>
            <w:tcW w:w="3345" w:type="dxa"/>
            <w:shd w:val="clear" w:color="auto" w:fill="auto"/>
          </w:tcPr>
          <w:p w14:paraId="64E105EA" w14:textId="62E4BADC" w:rsidR="007B296B" w:rsidRPr="00B62036" w:rsidRDefault="007B296B" w:rsidP="00230515">
            <w:pPr>
              <w:jc w:val="both"/>
              <w:rPr>
                <w:rFonts w:ascii="Gill Sans MT" w:hAnsi="Gill Sans MT"/>
                <w:sz w:val="20"/>
                <w:szCs w:val="20"/>
              </w:rPr>
            </w:pPr>
            <w:r w:rsidRPr="001E0353">
              <w:rPr>
                <w:rFonts w:ascii="Gill Sans MT" w:hAnsi="Gill Sans MT"/>
                <w:sz w:val="20"/>
                <w:szCs w:val="20"/>
              </w:rPr>
              <w:t>FGDs</w:t>
            </w:r>
          </w:p>
        </w:tc>
        <w:tc>
          <w:tcPr>
            <w:tcW w:w="6138" w:type="dxa"/>
            <w:shd w:val="clear" w:color="auto" w:fill="auto"/>
          </w:tcPr>
          <w:p w14:paraId="27ACC8BC" w14:textId="00AB110C" w:rsidR="007B296B" w:rsidRPr="00B62036" w:rsidRDefault="007B296B" w:rsidP="00230515">
            <w:pPr>
              <w:jc w:val="both"/>
              <w:rPr>
                <w:rFonts w:ascii="Gill Sans MT" w:hAnsi="Gill Sans MT"/>
                <w:sz w:val="20"/>
                <w:szCs w:val="20"/>
              </w:rPr>
            </w:pPr>
            <w:r w:rsidRPr="00B62036">
              <w:rPr>
                <w:rFonts w:ascii="Gill Sans MT" w:hAnsi="Gill Sans MT"/>
                <w:sz w:val="20"/>
                <w:szCs w:val="20"/>
              </w:rPr>
              <w:t xml:space="preserve">Focus Group Discussion </w:t>
            </w:r>
          </w:p>
        </w:tc>
      </w:tr>
      <w:tr w:rsidR="007B296B" w:rsidRPr="00B62036" w14:paraId="03723C80" w14:textId="77777777" w:rsidTr="00230515">
        <w:trPr>
          <w:trHeight w:val="315"/>
        </w:trPr>
        <w:tc>
          <w:tcPr>
            <w:tcW w:w="3345" w:type="dxa"/>
            <w:shd w:val="clear" w:color="auto" w:fill="auto"/>
          </w:tcPr>
          <w:p w14:paraId="12BF82F9" w14:textId="1B7C197D" w:rsidR="007B296B" w:rsidRPr="00B62036" w:rsidRDefault="007B296B" w:rsidP="00230515">
            <w:pPr>
              <w:jc w:val="both"/>
              <w:rPr>
                <w:rFonts w:ascii="Gill Sans MT" w:hAnsi="Gill Sans MT"/>
                <w:bCs/>
                <w:color w:val="000000"/>
                <w:sz w:val="20"/>
                <w:szCs w:val="20"/>
                <w:lang w:val="en-GB" w:eastAsia="en-GB"/>
              </w:rPr>
            </w:pPr>
            <w:r w:rsidRPr="001E0353">
              <w:rPr>
                <w:rFonts w:ascii="Gill Sans MT" w:hAnsi="Gill Sans MT" w:cs="Calibri"/>
                <w:color w:val="000000"/>
                <w:sz w:val="20"/>
                <w:szCs w:val="20"/>
              </w:rPr>
              <w:t>IDPs</w:t>
            </w:r>
          </w:p>
        </w:tc>
        <w:tc>
          <w:tcPr>
            <w:tcW w:w="6138" w:type="dxa"/>
            <w:shd w:val="clear" w:color="auto" w:fill="auto"/>
          </w:tcPr>
          <w:p w14:paraId="581046A0" w14:textId="1C46B9E2" w:rsidR="007B296B" w:rsidRPr="00B62036" w:rsidRDefault="007B296B" w:rsidP="00230515">
            <w:pPr>
              <w:jc w:val="both"/>
              <w:rPr>
                <w:rFonts w:ascii="Gill Sans MT" w:hAnsi="Gill Sans MT"/>
                <w:color w:val="000000"/>
                <w:sz w:val="20"/>
                <w:szCs w:val="20"/>
                <w:lang w:val="en-GB" w:eastAsia="en-GB"/>
              </w:rPr>
            </w:pPr>
            <w:r w:rsidRPr="00B62036">
              <w:rPr>
                <w:rFonts w:ascii="Gill Sans MT" w:hAnsi="Gill Sans MT" w:cs="Calibri"/>
                <w:color w:val="000000"/>
                <w:sz w:val="20"/>
                <w:szCs w:val="20"/>
              </w:rPr>
              <w:t xml:space="preserve">Internally  Displaced persons </w:t>
            </w:r>
          </w:p>
        </w:tc>
      </w:tr>
      <w:tr w:rsidR="001E2569" w:rsidRPr="00B62036" w14:paraId="74D6A242" w14:textId="77777777" w:rsidTr="00230515">
        <w:trPr>
          <w:trHeight w:val="315"/>
        </w:trPr>
        <w:tc>
          <w:tcPr>
            <w:tcW w:w="3345" w:type="dxa"/>
            <w:shd w:val="clear" w:color="auto" w:fill="auto"/>
          </w:tcPr>
          <w:p w14:paraId="60CF139E" w14:textId="691BBFAD" w:rsidR="001E2569" w:rsidRPr="00B62036" w:rsidRDefault="001E2569" w:rsidP="00230515">
            <w:pPr>
              <w:jc w:val="both"/>
              <w:rPr>
                <w:rFonts w:ascii="Gill Sans MT" w:hAnsi="Gill Sans MT" w:cs="Calibri"/>
                <w:color w:val="000000"/>
                <w:sz w:val="20"/>
                <w:szCs w:val="20"/>
              </w:rPr>
            </w:pPr>
            <w:r w:rsidRPr="00B62036">
              <w:rPr>
                <w:rFonts w:ascii="Gill Sans MT" w:hAnsi="Gill Sans MT" w:cs="Calibri"/>
                <w:color w:val="000000"/>
                <w:sz w:val="20"/>
                <w:szCs w:val="20"/>
              </w:rPr>
              <w:t>ILO</w:t>
            </w:r>
          </w:p>
        </w:tc>
        <w:tc>
          <w:tcPr>
            <w:tcW w:w="6138" w:type="dxa"/>
            <w:shd w:val="clear" w:color="auto" w:fill="auto"/>
          </w:tcPr>
          <w:p w14:paraId="033073C9" w14:textId="689550CC" w:rsidR="001E2569" w:rsidRPr="00B62036" w:rsidRDefault="001E2569" w:rsidP="00230515">
            <w:pPr>
              <w:jc w:val="both"/>
              <w:rPr>
                <w:rFonts w:ascii="Gill Sans MT" w:hAnsi="Gill Sans MT" w:cs="Calibri"/>
                <w:color w:val="000000"/>
                <w:sz w:val="20"/>
                <w:szCs w:val="20"/>
              </w:rPr>
            </w:pPr>
            <w:r w:rsidRPr="00B62036">
              <w:rPr>
                <w:rFonts w:ascii="Gill Sans MT" w:hAnsi="Gill Sans MT" w:cs="Calibri"/>
                <w:color w:val="000000"/>
                <w:sz w:val="20"/>
                <w:szCs w:val="20"/>
              </w:rPr>
              <w:t xml:space="preserve">International Labor Organization </w:t>
            </w:r>
          </w:p>
        </w:tc>
      </w:tr>
      <w:tr w:rsidR="007B296B" w:rsidRPr="00B62036" w14:paraId="30065373" w14:textId="77777777" w:rsidTr="00230515">
        <w:trPr>
          <w:trHeight w:val="315"/>
        </w:trPr>
        <w:tc>
          <w:tcPr>
            <w:tcW w:w="3345" w:type="dxa"/>
            <w:shd w:val="clear" w:color="auto" w:fill="auto"/>
          </w:tcPr>
          <w:p w14:paraId="17AF90BC" w14:textId="05BF5C35" w:rsidR="007B296B" w:rsidRPr="00B62036" w:rsidRDefault="007B296B" w:rsidP="00230515">
            <w:pPr>
              <w:jc w:val="both"/>
              <w:rPr>
                <w:rFonts w:ascii="Gill Sans MT" w:hAnsi="Gill Sans MT"/>
                <w:bCs/>
                <w:color w:val="000000"/>
                <w:sz w:val="20"/>
                <w:szCs w:val="20"/>
                <w:lang w:val="en-GB" w:eastAsia="en-GB"/>
              </w:rPr>
            </w:pPr>
            <w:r w:rsidRPr="001E0353">
              <w:rPr>
                <w:rFonts w:ascii="Gill Sans MT" w:hAnsi="Gill Sans MT" w:cs="Calibri"/>
                <w:color w:val="000000"/>
                <w:sz w:val="20"/>
                <w:szCs w:val="20"/>
              </w:rPr>
              <w:t>IOM</w:t>
            </w:r>
          </w:p>
        </w:tc>
        <w:tc>
          <w:tcPr>
            <w:tcW w:w="6138" w:type="dxa"/>
            <w:shd w:val="clear" w:color="auto" w:fill="auto"/>
          </w:tcPr>
          <w:p w14:paraId="45502E20" w14:textId="6B9F39EC" w:rsidR="007B296B" w:rsidRPr="00B62036" w:rsidRDefault="007B296B" w:rsidP="00230515">
            <w:pPr>
              <w:jc w:val="both"/>
              <w:rPr>
                <w:rFonts w:ascii="Gill Sans MT" w:hAnsi="Gill Sans MT"/>
                <w:color w:val="000000"/>
                <w:sz w:val="20"/>
                <w:szCs w:val="20"/>
                <w:lang w:val="en-GB" w:eastAsia="en-GB"/>
              </w:rPr>
            </w:pPr>
            <w:r w:rsidRPr="001E0353">
              <w:rPr>
                <w:rFonts w:ascii="Gill Sans MT" w:hAnsi="Gill Sans MT" w:cs="Calibri"/>
                <w:color w:val="000000"/>
                <w:sz w:val="20"/>
                <w:szCs w:val="20"/>
              </w:rPr>
              <w:t>I</w:t>
            </w:r>
            <w:r w:rsidRPr="00B62036">
              <w:rPr>
                <w:rFonts w:ascii="Gill Sans MT" w:hAnsi="Gill Sans MT" w:cs="Calibri"/>
                <w:color w:val="000000"/>
                <w:sz w:val="20"/>
                <w:szCs w:val="20"/>
              </w:rPr>
              <w:t xml:space="preserve">nternational </w:t>
            </w:r>
            <w:r w:rsidRPr="001E0353">
              <w:rPr>
                <w:rFonts w:ascii="Gill Sans MT" w:hAnsi="Gill Sans MT" w:cs="Calibri"/>
                <w:color w:val="000000"/>
                <w:sz w:val="20"/>
                <w:szCs w:val="20"/>
              </w:rPr>
              <w:t>O</w:t>
            </w:r>
            <w:r w:rsidRPr="00B62036">
              <w:rPr>
                <w:rFonts w:ascii="Gill Sans MT" w:hAnsi="Gill Sans MT" w:cs="Calibri"/>
                <w:color w:val="000000"/>
                <w:sz w:val="20"/>
                <w:szCs w:val="20"/>
              </w:rPr>
              <w:t xml:space="preserve">rganization for </w:t>
            </w:r>
            <w:r w:rsidRPr="001E0353">
              <w:rPr>
                <w:rFonts w:ascii="Gill Sans MT" w:hAnsi="Gill Sans MT" w:cs="Calibri"/>
                <w:color w:val="000000"/>
                <w:sz w:val="20"/>
                <w:szCs w:val="20"/>
              </w:rPr>
              <w:t>M</w:t>
            </w:r>
            <w:r w:rsidRPr="00B62036">
              <w:rPr>
                <w:rFonts w:ascii="Gill Sans MT" w:hAnsi="Gill Sans MT" w:cs="Calibri"/>
                <w:color w:val="000000"/>
                <w:sz w:val="20"/>
                <w:szCs w:val="20"/>
              </w:rPr>
              <w:t>igration</w:t>
            </w:r>
          </w:p>
        </w:tc>
      </w:tr>
      <w:tr w:rsidR="001E2569" w:rsidRPr="00B62036" w14:paraId="2BCFD98D" w14:textId="77777777" w:rsidTr="00230515">
        <w:trPr>
          <w:trHeight w:val="315"/>
        </w:trPr>
        <w:tc>
          <w:tcPr>
            <w:tcW w:w="3345" w:type="dxa"/>
            <w:shd w:val="clear" w:color="auto" w:fill="auto"/>
          </w:tcPr>
          <w:p w14:paraId="3DEC32B4" w14:textId="2C3425EA" w:rsidR="001E2569" w:rsidRPr="00B62036" w:rsidRDefault="001E2569" w:rsidP="00230515">
            <w:pPr>
              <w:jc w:val="both"/>
              <w:rPr>
                <w:rFonts w:ascii="Gill Sans MT" w:hAnsi="Gill Sans MT" w:cs="Calibri"/>
                <w:color w:val="000000"/>
                <w:sz w:val="20"/>
                <w:szCs w:val="20"/>
              </w:rPr>
            </w:pPr>
            <w:r w:rsidRPr="001E0353">
              <w:rPr>
                <w:rFonts w:ascii="Gill Sans MT" w:hAnsi="Gill Sans MT" w:cs="Calibri"/>
                <w:color w:val="000000"/>
                <w:sz w:val="20"/>
                <w:szCs w:val="20"/>
              </w:rPr>
              <w:t>MORDA</w:t>
            </w:r>
          </w:p>
        </w:tc>
        <w:tc>
          <w:tcPr>
            <w:tcW w:w="6138" w:type="dxa"/>
            <w:shd w:val="clear" w:color="auto" w:fill="auto"/>
          </w:tcPr>
          <w:p w14:paraId="2961E661" w14:textId="679F5121" w:rsidR="001E2569" w:rsidRPr="00B62036" w:rsidRDefault="001E2569" w:rsidP="00230515">
            <w:pPr>
              <w:jc w:val="both"/>
              <w:rPr>
                <w:rFonts w:ascii="Gill Sans MT" w:hAnsi="Gill Sans MT" w:cs="Calibri"/>
                <w:color w:val="000000"/>
                <w:sz w:val="20"/>
                <w:szCs w:val="20"/>
              </w:rPr>
            </w:pPr>
            <w:r w:rsidRPr="001E0353">
              <w:rPr>
                <w:rFonts w:ascii="Gill Sans MT" w:hAnsi="Gill Sans MT" w:cs="Calibri"/>
                <w:color w:val="000000"/>
                <w:sz w:val="20"/>
                <w:szCs w:val="20"/>
              </w:rPr>
              <w:t xml:space="preserve">Ministry of Refugee and Diaspora Affairs </w:t>
            </w:r>
          </w:p>
        </w:tc>
      </w:tr>
      <w:tr w:rsidR="001E2569" w:rsidRPr="00B62036" w14:paraId="153406E9" w14:textId="77777777" w:rsidTr="00230515">
        <w:trPr>
          <w:trHeight w:val="315"/>
        </w:trPr>
        <w:tc>
          <w:tcPr>
            <w:tcW w:w="3345" w:type="dxa"/>
            <w:shd w:val="clear" w:color="auto" w:fill="auto"/>
          </w:tcPr>
          <w:p w14:paraId="6E8B15A0" w14:textId="034DA7BD" w:rsidR="001E2569" w:rsidRPr="00B62036" w:rsidRDefault="001E2569" w:rsidP="00230515">
            <w:pPr>
              <w:jc w:val="both"/>
              <w:rPr>
                <w:rFonts w:ascii="Gill Sans MT" w:hAnsi="Gill Sans MT"/>
                <w:sz w:val="20"/>
                <w:szCs w:val="20"/>
              </w:rPr>
            </w:pPr>
            <w:r w:rsidRPr="00B62036">
              <w:rPr>
                <w:rFonts w:ascii="Gill Sans MT" w:hAnsi="Gill Sans MT"/>
                <w:sz w:val="20"/>
                <w:szCs w:val="20"/>
              </w:rPr>
              <w:t>NCRI</w:t>
            </w:r>
          </w:p>
        </w:tc>
        <w:tc>
          <w:tcPr>
            <w:tcW w:w="6138" w:type="dxa"/>
            <w:shd w:val="clear" w:color="auto" w:fill="auto"/>
          </w:tcPr>
          <w:p w14:paraId="68C97FAD" w14:textId="292CEC6D" w:rsidR="001E2569" w:rsidRPr="00B62036" w:rsidRDefault="001E2569" w:rsidP="00230515">
            <w:pPr>
              <w:jc w:val="both"/>
              <w:rPr>
                <w:rFonts w:ascii="Gill Sans MT" w:hAnsi="Gill Sans MT"/>
                <w:sz w:val="20"/>
                <w:szCs w:val="20"/>
              </w:rPr>
            </w:pPr>
            <w:r w:rsidRPr="001E0353">
              <w:rPr>
                <w:rFonts w:ascii="Gill Sans MT" w:hAnsi="Gill Sans MT"/>
                <w:sz w:val="20"/>
                <w:szCs w:val="20"/>
              </w:rPr>
              <w:t>National C</w:t>
            </w:r>
            <w:r w:rsidRPr="00B62036">
              <w:rPr>
                <w:rFonts w:ascii="Gill Sans MT" w:hAnsi="Gill Sans MT"/>
                <w:sz w:val="20"/>
                <w:szCs w:val="20"/>
              </w:rPr>
              <w:t>ommission for Refugees and IDPs</w:t>
            </w:r>
          </w:p>
        </w:tc>
      </w:tr>
      <w:tr w:rsidR="007B296B" w:rsidRPr="00B62036" w14:paraId="6A3294AE" w14:textId="77777777" w:rsidTr="00230515">
        <w:trPr>
          <w:trHeight w:val="315"/>
        </w:trPr>
        <w:tc>
          <w:tcPr>
            <w:tcW w:w="3345" w:type="dxa"/>
            <w:shd w:val="clear" w:color="auto" w:fill="auto"/>
          </w:tcPr>
          <w:p w14:paraId="2F630345" w14:textId="0F8219B5" w:rsidR="007B296B" w:rsidRPr="00B62036" w:rsidRDefault="007B296B" w:rsidP="00230515">
            <w:pPr>
              <w:jc w:val="both"/>
              <w:rPr>
                <w:rFonts w:ascii="Gill Sans MT" w:hAnsi="Gill Sans MT"/>
                <w:bCs/>
                <w:color w:val="000000"/>
                <w:sz w:val="20"/>
                <w:szCs w:val="20"/>
                <w:lang w:val="en-GB" w:eastAsia="en-GB"/>
              </w:rPr>
            </w:pPr>
            <w:r w:rsidRPr="001E0353">
              <w:rPr>
                <w:rFonts w:ascii="Gill Sans MT" w:hAnsi="Gill Sans MT"/>
                <w:sz w:val="20"/>
                <w:szCs w:val="20"/>
              </w:rPr>
              <w:t>N</w:t>
            </w:r>
            <w:r w:rsidR="001E2569" w:rsidRPr="00B62036">
              <w:rPr>
                <w:rFonts w:ascii="Gill Sans MT" w:hAnsi="Gill Sans MT"/>
                <w:sz w:val="20"/>
                <w:szCs w:val="20"/>
              </w:rPr>
              <w:t>ITA</w:t>
            </w:r>
          </w:p>
        </w:tc>
        <w:tc>
          <w:tcPr>
            <w:tcW w:w="6138" w:type="dxa"/>
            <w:shd w:val="clear" w:color="auto" w:fill="auto"/>
          </w:tcPr>
          <w:p w14:paraId="048129F0" w14:textId="36ED6418" w:rsidR="007B296B" w:rsidRPr="00B62036" w:rsidRDefault="007B296B" w:rsidP="00230515">
            <w:pPr>
              <w:jc w:val="both"/>
              <w:rPr>
                <w:rFonts w:ascii="Gill Sans MT" w:hAnsi="Gill Sans MT"/>
                <w:color w:val="000000"/>
                <w:sz w:val="20"/>
                <w:szCs w:val="20"/>
                <w:lang w:val="en-GB" w:eastAsia="en-GB"/>
              </w:rPr>
            </w:pPr>
            <w:r w:rsidRPr="001E0353">
              <w:rPr>
                <w:rFonts w:ascii="Gill Sans MT" w:hAnsi="Gill Sans MT"/>
                <w:sz w:val="20"/>
                <w:szCs w:val="20"/>
              </w:rPr>
              <w:t>National Industrial Trai</w:t>
            </w:r>
            <w:r w:rsidR="001E2569" w:rsidRPr="00B62036">
              <w:rPr>
                <w:rFonts w:ascii="Gill Sans MT" w:hAnsi="Gill Sans MT"/>
                <w:sz w:val="20"/>
                <w:szCs w:val="20"/>
              </w:rPr>
              <w:t>ning Authority</w:t>
            </w:r>
          </w:p>
        </w:tc>
      </w:tr>
      <w:tr w:rsidR="001E2569" w:rsidRPr="00B62036" w14:paraId="4191956A" w14:textId="77777777" w:rsidTr="00230515">
        <w:trPr>
          <w:trHeight w:val="315"/>
        </w:trPr>
        <w:tc>
          <w:tcPr>
            <w:tcW w:w="3345" w:type="dxa"/>
            <w:shd w:val="clear" w:color="auto" w:fill="auto"/>
          </w:tcPr>
          <w:p w14:paraId="5BC9EE35" w14:textId="1A1DF2ED" w:rsidR="001E2569" w:rsidRPr="00B62036" w:rsidRDefault="001E2569" w:rsidP="00230515">
            <w:pPr>
              <w:jc w:val="both"/>
              <w:rPr>
                <w:rFonts w:ascii="Gill Sans MT" w:hAnsi="Gill Sans MT"/>
                <w:sz w:val="20"/>
                <w:szCs w:val="20"/>
              </w:rPr>
            </w:pPr>
            <w:r w:rsidRPr="00B62036">
              <w:rPr>
                <w:rFonts w:ascii="Gill Sans MT" w:hAnsi="Gill Sans MT"/>
                <w:sz w:val="20"/>
                <w:szCs w:val="20"/>
              </w:rPr>
              <w:t>NRC</w:t>
            </w:r>
            <w:r w:rsidRPr="001E0353">
              <w:rPr>
                <w:rFonts w:ascii="Gill Sans MT" w:hAnsi="Gill Sans MT"/>
                <w:sz w:val="20"/>
                <w:szCs w:val="20"/>
              </w:rPr>
              <w:t xml:space="preserve"> </w:t>
            </w:r>
          </w:p>
        </w:tc>
        <w:tc>
          <w:tcPr>
            <w:tcW w:w="6138" w:type="dxa"/>
            <w:shd w:val="clear" w:color="auto" w:fill="auto"/>
          </w:tcPr>
          <w:p w14:paraId="6CC44B81" w14:textId="0C4B4C0F" w:rsidR="001E2569" w:rsidRPr="00B62036" w:rsidRDefault="001E2569" w:rsidP="00230515">
            <w:pPr>
              <w:jc w:val="both"/>
              <w:rPr>
                <w:rFonts w:ascii="Gill Sans MT" w:hAnsi="Gill Sans MT"/>
                <w:sz w:val="20"/>
                <w:szCs w:val="20"/>
              </w:rPr>
            </w:pPr>
            <w:r w:rsidRPr="001E0353">
              <w:rPr>
                <w:rFonts w:ascii="Gill Sans MT" w:hAnsi="Gill Sans MT"/>
                <w:sz w:val="20"/>
                <w:szCs w:val="20"/>
              </w:rPr>
              <w:t xml:space="preserve">Norwegian Refugee Council </w:t>
            </w:r>
          </w:p>
        </w:tc>
      </w:tr>
      <w:tr w:rsidR="001E2569" w:rsidRPr="00B62036" w14:paraId="76A513EE" w14:textId="77777777" w:rsidTr="00230515">
        <w:trPr>
          <w:trHeight w:val="315"/>
        </w:trPr>
        <w:tc>
          <w:tcPr>
            <w:tcW w:w="3345" w:type="dxa"/>
            <w:shd w:val="clear" w:color="auto" w:fill="auto"/>
          </w:tcPr>
          <w:p w14:paraId="058A11A4" w14:textId="21833E69" w:rsidR="001E2569" w:rsidRPr="00B62036" w:rsidRDefault="001E2569" w:rsidP="00230515">
            <w:pPr>
              <w:jc w:val="both"/>
              <w:rPr>
                <w:rFonts w:ascii="Gill Sans MT" w:hAnsi="Gill Sans MT"/>
                <w:sz w:val="20"/>
                <w:szCs w:val="20"/>
              </w:rPr>
            </w:pPr>
            <w:r w:rsidRPr="00B62036">
              <w:rPr>
                <w:rFonts w:ascii="Gill Sans MT" w:hAnsi="Gill Sans MT"/>
                <w:sz w:val="20"/>
                <w:szCs w:val="20"/>
              </w:rPr>
              <w:t>PUNOs</w:t>
            </w:r>
          </w:p>
        </w:tc>
        <w:tc>
          <w:tcPr>
            <w:tcW w:w="6138" w:type="dxa"/>
            <w:shd w:val="clear" w:color="auto" w:fill="auto"/>
          </w:tcPr>
          <w:p w14:paraId="1CD3710F" w14:textId="36904C6C" w:rsidR="001E2569" w:rsidRPr="00B62036" w:rsidRDefault="001E2569" w:rsidP="00230515">
            <w:pPr>
              <w:jc w:val="both"/>
              <w:rPr>
                <w:rFonts w:ascii="Gill Sans MT" w:hAnsi="Gill Sans MT"/>
                <w:sz w:val="20"/>
                <w:szCs w:val="20"/>
              </w:rPr>
            </w:pPr>
            <w:r w:rsidRPr="001E0353">
              <w:rPr>
                <w:rFonts w:ascii="Gill Sans MT" w:hAnsi="Gill Sans MT" w:cs="Calibri"/>
                <w:color w:val="000000"/>
                <w:sz w:val="20"/>
                <w:szCs w:val="20"/>
              </w:rPr>
              <w:t>PUNO</w:t>
            </w:r>
            <w:r w:rsidRPr="001E0353">
              <w:rPr>
                <w:rFonts w:ascii="Gill Sans MT" w:hAnsi="Gill Sans MT"/>
                <w:sz w:val="20"/>
                <w:szCs w:val="20"/>
              </w:rPr>
              <w:t xml:space="preserve"> Partner United Nation Organizations </w:t>
            </w:r>
          </w:p>
        </w:tc>
      </w:tr>
      <w:tr w:rsidR="001E2569" w:rsidRPr="00B62036" w14:paraId="1A6FEF29" w14:textId="77777777" w:rsidTr="00230515">
        <w:trPr>
          <w:trHeight w:val="315"/>
        </w:trPr>
        <w:tc>
          <w:tcPr>
            <w:tcW w:w="3345" w:type="dxa"/>
            <w:shd w:val="clear" w:color="auto" w:fill="auto"/>
          </w:tcPr>
          <w:p w14:paraId="345ACFFD" w14:textId="2458AF2E" w:rsidR="001E2569" w:rsidRPr="00B62036" w:rsidRDefault="001E2569" w:rsidP="00230515">
            <w:pPr>
              <w:jc w:val="both"/>
              <w:rPr>
                <w:rFonts w:ascii="Gill Sans MT" w:hAnsi="Gill Sans MT"/>
                <w:sz w:val="20"/>
                <w:szCs w:val="20"/>
              </w:rPr>
            </w:pPr>
            <w:r w:rsidRPr="00B62036">
              <w:rPr>
                <w:rFonts w:ascii="Gill Sans MT" w:hAnsi="Gill Sans MT"/>
                <w:sz w:val="20"/>
                <w:szCs w:val="20"/>
              </w:rPr>
              <w:t>PRMN</w:t>
            </w:r>
          </w:p>
        </w:tc>
        <w:tc>
          <w:tcPr>
            <w:tcW w:w="6138" w:type="dxa"/>
            <w:shd w:val="clear" w:color="auto" w:fill="auto"/>
          </w:tcPr>
          <w:p w14:paraId="1AE9E7D7" w14:textId="38ABDD71" w:rsidR="001E2569" w:rsidRPr="00B62036" w:rsidRDefault="001E2569" w:rsidP="00230515">
            <w:pPr>
              <w:jc w:val="both"/>
              <w:rPr>
                <w:rFonts w:ascii="Gill Sans MT" w:hAnsi="Gill Sans MT" w:cs="Calibri"/>
                <w:color w:val="000000"/>
                <w:sz w:val="20"/>
                <w:szCs w:val="20"/>
              </w:rPr>
            </w:pPr>
            <w:r w:rsidRPr="001E0353">
              <w:rPr>
                <w:rFonts w:ascii="Gill Sans MT" w:hAnsi="Gill Sans MT"/>
                <w:sz w:val="20"/>
                <w:szCs w:val="20"/>
              </w:rPr>
              <w:t>Popul</w:t>
            </w:r>
            <w:r w:rsidRPr="00B62036">
              <w:rPr>
                <w:rFonts w:ascii="Gill Sans MT" w:hAnsi="Gill Sans MT"/>
                <w:sz w:val="20"/>
                <w:szCs w:val="20"/>
              </w:rPr>
              <w:t>ation Return Monitoring Network</w:t>
            </w:r>
          </w:p>
        </w:tc>
      </w:tr>
      <w:tr w:rsidR="001E2569" w:rsidRPr="00B62036" w14:paraId="4D874C62" w14:textId="77777777" w:rsidTr="00230515">
        <w:trPr>
          <w:trHeight w:val="315"/>
        </w:trPr>
        <w:tc>
          <w:tcPr>
            <w:tcW w:w="3345" w:type="dxa"/>
            <w:shd w:val="clear" w:color="auto" w:fill="auto"/>
          </w:tcPr>
          <w:p w14:paraId="16BB5F3F" w14:textId="5A8A32C7" w:rsidR="001E2569" w:rsidRPr="00B62036" w:rsidRDefault="001E2569" w:rsidP="00230515">
            <w:pPr>
              <w:jc w:val="both"/>
              <w:rPr>
                <w:rFonts w:ascii="Gill Sans MT" w:hAnsi="Gill Sans MT"/>
                <w:sz w:val="20"/>
                <w:szCs w:val="20"/>
              </w:rPr>
            </w:pPr>
            <w:r w:rsidRPr="00B62036">
              <w:rPr>
                <w:rFonts w:ascii="Gill Sans MT" w:hAnsi="Gill Sans MT"/>
                <w:sz w:val="20"/>
                <w:szCs w:val="20"/>
              </w:rPr>
              <w:t>TLS</w:t>
            </w:r>
          </w:p>
        </w:tc>
        <w:tc>
          <w:tcPr>
            <w:tcW w:w="6138" w:type="dxa"/>
            <w:shd w:val="clear" w:color="auto" w:fill="auto"/>
          </w:tcPr>
          <w:p w14:paraId="2D41B9F2" w14:textId="14501836" w:rsidR="001E2569" w:rsidRPr="00B62036" w:rsidRDefault="001E2569" w:rsidP="00230515">
            <w:pPr>
              <w:jc w:val="both"/>
              <w:rPr>
                <w:rFonts w:ascii="Gill Sans MT" w:hAnsi="Gill Sans MT"/>
                <w:sz w:val="20"/>
                <w:szCs w:val="20"/>
              </w:rPr>
            </w:pPr>
            <w:r w:rsidRPr="00B62036">
              <w:rPr>
                <w:rFonts w:ascii="Gill Sans MT" w:hAnsi="Gill Sans MT"/>
                <w:sz w:val="20"/>
                <w:szCs w:val="20"/>
              </w:rPr>
              <w:t>Temporary Learning Space</w:t>
            </w:r>
          </w:p>
        </w:tc>
      </w:tr>
      <w:tr w:rsidR="007B296B" w:rsidRPr="00B62036" w14:paraId="571B904C" w14:textId="77777777" w:rsidTr="00230515">
        <w:trPr>
          <w:trHeight w:val="315"/>
        </w:trPr>
        <w:tc>
          <w:tcPr>
            <w:tcW w:w="3345" w:type="dxa"/>
            <w:shd w:val="clear" w:color="auto" w:fill="auto"/>
            <w:vAlign w:val="center"/>
          </w:tcPr>
          <w:p w14:paraId="74045F66" w14:textId="652DF19D" w:rsidR="007B296B" w:rsidRPr="00B62036" w:rsidRDefault="001E2569" w:rsidP="00230515">
            <w:pPr>
              <w:tabs>
                <w:tab w:val="left" w:pos="1440"/>
              </w:tabs>
              <w:autoSpaceDE w:val="0"/>
              <w:autoSpaceDN w:val="0"/>
              <w:adjustRightInd w:val="0"/>
              <w:jc w:val="both"/>
              <w:rPr>
                <w:rFonts w:ascii="Gill Sans MT" w:hAnsi="Gill Sans MT" w:cs="Calibri"/>
                <w:color w:val="000000"/>
                <w:sz w:val="20"/>
                <w:szCs w:val="20"/>
              </w:rPr>
            </w:pPr>
            <w:r w:rsidRPr="001E0353">
              <w:rPr>
                <w:rFonts w:ascii="Gill Sans MT" w:hAnsi="Gill Sans MT" w:cs="Calibri"/>
                <w:color w:val="000000"/>
                <w:sz w:val="20"/>
                <w:szCs w:val="20"/>
              </w:rPr>
              <w:t xml:space="preserve">UNICEF </w:t>
            </w:r>
          </w:p>
        </w:tc>
        <w:tc>
          <w:tcPr>
            <w:tcW w:w="6138" w:type="dxa"/>
            <w:shd w:val="clear" w:color="auto" w:fill="auto"/>
            <w:vAlign w:val="center"/>
          </w:tcPr>
          <w:p w14:paraId="66CCBA7F" w14:textId="1BB073DF" w:rsidR="007B296B" w:rsidRPr="00B62036" w:rsidRDefault="001E2569" w:rsidP="00230515">
            <w:pPr>
              <w:jc w:val="both"/>
              <w:rPr>
                <w:rFonts w:ascii="Gill Sans MT" w:hAnsi="Gill Sans MT"/>
                <w:color w:val="000000"/>
                <w:sz w:val="20"/>
                <w:szCs w:val="20"/>
                <w:lang w:val="en-GB" w:eastAsia="en-GB"/>
              </w:rPr>
            </w:pPr>
            <w:r w:rsidRPr="00B62036">
              <w:rPr>
                <w:rStyle w:val="st"/>
                <w:rFonts w:ascii="Gill Sans MT" w:eastAsia="MS Gothic" w:hAnsi="Gill Sans MT"/>
                <w:sz w:val="20"/>
                <w:szCs w:val="20"/>
              </w:rPr>
              <w:t>United Nations Children's Fund</w:t>
            </w:r>
          </w:p>
        </w:tc>
      </w:tr>
      <w:tr w:rsidR="009829C6" w:rsidRPr="00B62036" w14:paraId="0DC5B48B" w14:textId="77777777" w:rsidTr="00230515">
        <w:trPr>
          <w:trHeight w:val="285"/>
        </w:trPr>
        <w:tc>
          <w:tcPr>
            <w:tcW w:w="3345" w:type="dxa"/>
            <w:shd w:val="clear" w:color="auto" w:fill="auto"/>
            <w:vAlign w:val="center"/>
            <w:hideMark/>
          </w:tcPr>
          <w:p w14:paraId="387AEFD6" w14:textId="5B59E02B" w:rsidR="009829C6" w:rsidRPr="00B62036" w:rsidRDefault="009829C6"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UNHCR</w:t>
            </w:r>
          </w:p>
        </w:tc>
        <w:tc>
          <w:tcPr>
            <w:tcW w:w="6138" w:type="dxa"/>
            <w:shd w:val="clear" w:color="auto" w:fill="auto"/>
            <w:vAlign w:val="center"/>
          </w:tcPr>
          <w:p w14:paraId="5F4FA6FA" w14:textId="7502EB0F" w:rsidR="009829C6" w:rsidRPr="00B62036" w:rsidRDefault="001E2569" w:rsidP="00230515">
            <w:pPr>
              <w:jc w:val="both"/>
              <w:rPr>
                <w:rFonts w:ascii="Gill Sans MT" w:hAnsi="Gill Sans MT"/>
                <w:color w:val="000000"/>
                <w:sz w:val="20"/>
                <w:szCs w:val="20"/>
                <w:lang w:val="en-GB" w:eastAsia="en-GB"/>
              </w:rPr>
            </w:pPr>
            <w:r w:rsidRPr="00B62036">
              <w:rPr>
                <w:rStyle w:val="Emphasis"/>
                <w:rFonts w:ascii="Gill Sans MT" w:hAnsi="Gill Sans MT"/>
                <w:sz w:val="20"/>
                <w:szCs w:val="20"/>
              </w:rPr>
              <w:t>United Nations High Commissioner for Refugees</w:t>
            </w:r>
          </w:p>
        </w:tc>
      </w:tr>
      <w:tr w:rsidR="009829C6" w:rsidRPr="00B62036" w14:paraId="6670B071" w14:textId="77777777" w:rsidTr="00230515">
        <w:trPr>
          <w:trHeight w:val="285"/>
        </w:trPr>
        <w:tc>
          <w:tcPr>
            <w:tcW w:w="3345" w:type="dxa"/>
            <w:shd w:val="clear" w:color="auto" w:fill="auto"/>
            <w:vAlign w:val="center"/>
            <w:hideMark/>
          </w:tcPr>
          <w:p w14:paraId="33A4ACE4" w14:textId="77777777" w:rsidR="009829C6" w:rsidRPr="00B62036" w:rsidRDefault="009829C6"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WFP</w:t>
            </w:r>
          </w:p>
        </w:tc>
        <w:tc>
          <w:tcPr>
            <w:tcW w:w="6138" w:type="dxa"/>
            <w:shd w:val="clear" w:color="auto" w:fill="auto"/>
            <w:vAlign w:val="center"/>
          </w:tcPr>
          <w:p w14:paraId="4F896EE9" w14:textId="55D4330A" w:rsidR="009829C6" w:rsidRPr="00B62036" w:rsidRDefault="001E2569"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val="en-GB" w:eastAsia="en-GB"/>
              </w:rPr>
              <w:t xml:space="preserve">World Food Programme </w:t>
            </w:r>
          </w:p>
        </w:tc>
      </w:tr>
      <w:tr w:rsidR="00BB0A6E" w:rsidRPr="00B62036" w14:paraId="246E8148" w14:textId="77777777" w:rsidTr="00230515">
        <w:trPr>
          <w:trHeight w:val="285"/>
        </w:trPr>
        <w:tc>
          <w:tcPr>
            <w:tcW w:w="3345" w:type="dxa"/>
            <w:shd w:val="clear" w:color="auto" w:fill="auto"/>
            <w:vAlign w:val="center"/>
          </w:tcPr>
          <w:p w14:paraId="6E428580" w14:textId="1B63DF3C" w:rsidR="00BB0A6E" w:rsidRPr="00B62036" w:rsidRDefault="00BB0A6E" w:rsidP="00230515">
            <w:pPr>
              <w:jc w:val="both"/>
              <w:rPr>
                <w:rFonts w:ascii="Gill Sans MT" w:hAnsi="Gill Sans MT"/>
                <w:bCs/>
                <w:color w:val="000000"/>
                <w:sz w:val="20"/>
                <w:szCs w:val="20"/>
                <w:lang w:eastAsia="en-GB"/>
              </w:rPr>
            </w:pPr>
            <w:r w:rsidRPr="00B62036">
              <w:rPr>
                <w:rFonts w:ascii="Gill Sans MT" w:hAnsi="Gill Sans MT"/>
                <w:sz w:val="20"/>
                <w:szCs w:val="20"/>
              </w:rPr>
              <w:t>YEP</w:t>
            </w:r>
          </w:p>
        </w:tc>
        <w:tc>
          <w:tcPr>
            <w:tcW w:w="6138" w:type="dxa"/>
            <w:shd w:val="clear" w:color="auto" w:fill="auto"/>
            <w:vAlign w:val="center"/>
          </w:tcPr>
          <w:p w14:paraId="0908749E" w14:textId="5E54ECDE" w:rsidR="00BB0A6E" w:rsidRPr="00B62036" w:rsidRDefault="00BB0A6E" w:rsidP="00230515">
            <w:pPr>
              <w:jc w:val="both"/>
              <w:rPr>
                <w:rFonts w:ascii="Gill Sans MT" w:hAnsi="Gill Sans MT"/>
                <w:color w:val="000000"/>
                <w:sz w:val="20"/>
                <w:szCs w:val="20"/>
                <w:lang w:val="en-GB" w:eastAsia="en-GB"/>
              </w:rPr>
            </w:pPr>
            <w:r w:rsidRPr="001E0353">
              <w:rPr>
                <w:rFonts w:ascii="Gill Sans MT" w:hAnsi="Gill Sans MT"/>
                <w:sz w:val="20"/>
                <w:szCs w:val="20"/>
              </w:rPr>
              <w:t>Youth Education Programme</w:t>
            </w:r>
          </w:p>
        </w:tc>
      </w:tr>
      <w:tr w:rsidR="00BB0A6E" w:rsidRPr="00B62036" w14:paraId="37DBA21B" w14:textId="77777777" w:rsidTr="00230515">
        <w:trPr>
          <w:trHeight w:val="285"/>
        </w:trPr>
        <w:tc>
          <w:tcPr>
            <w:tcW w:w="3345" w:type="dxa"/>
            <w:shd w:val="clear" w:color="auto" w:fill="auto"/>
            <w:vAlign w:val="center"/>
          </w:tcPr>
          <w:p w14:paraId="6DB0B0DE" w14:textId="7FE6B022" w:rsidR="00BB0A6E" w:rsidRPr="00B62036" w:rsidRDefault="00BB0A6E" w:rsidP="00230515">
            <w:pPr>
              <w:jc w:val="both"/>
              <w:rPr>
                <w:rFonts w:ascii="Gill Sans MT" w:hAnsi="Gill Sans MT"/>
                <w:sz w:val="20"/>
                <w:szCs w:val="20"/>
              </w:rPr>
            </w:pPr>
            <w:r w:rsidRPr="00B62036">
              <w:rPr>
                <w:rFonts w:ascii="Gill Sans MT" w:hAnsi="Gill Sans MT"/>
                <w:sz w:val="20"/>
                <w:szCs w:val="20"/>
              </w:rPr>
              <w:t>VST</w:t>
            </w:r>
          </w:p>
        </w:tc>
        <w:tc>
          <w:tcPr>
            <w:tcW w:w="6138" w:type="dxa"/>
            <w:shd w:val="clear" w:color="auto" w:fill="auto"/>
            <w:vAlign w:val="center"/>
          </w:tcPr>
          <w:p w14:paraId="2E7E2198" w14:textId="128A4BD4" w:rsidR="00BB0A6E" w:rsidRPr="00B62036" w:rsidRDefault="00BB0A6E" w:rsidP="00230515">
            <w:pPr>
              <w:jc w:val="both"/>
              <w:rPr>
                <w:rFonts w:ascii="Gill Sans MT" w:hAnsi="Gill Sans MT"/>
                <w:sz w:val="20"/>
                <w:szCs w:val="20"/>
              </w:rPr>
            </w:pPr>
            <w:r w:rsidRPr="00B62036">
              <w:rPr>
                <w:rFonts w:ascii="Gill Sans MT" w:hAnsi="Gill Sans MT"/>
                <w:sz w:val="20"/>
                <w:szCs w:val="20"/>
              </w:rPr>
              <w:t xml:space="preserve">Vocational Skill Training </w:t>
            </w:r>
          </w:p>
        </w:tc>
      </w:tr>
    </w:tbl>
    <w:p w14:paraId="3899C64B" w14:textId="77777777" w:rsidR="009829C6" w:rsidRPr="00B62036" w:rsidRDefault="009829C6" w:rsidP="00230515">
      <w:pPr>
        <w:spacing w:line="360" w:lineRule="auto"/>
        <w:jc w:val="both"/>
        <w:rPr>
          <w:rFonts w:ascii="Gill Sans MT" w:hAnsi="Gill Sans MT"/>
          <w:caps/>
          <w:sz w:val="20"/>
          <w:szCs w:val="20"/>
        </w:rPr>
      </w:pPr>
    </w:p>
    <w:p w14:paraId="7E58FF63" w14:textId="77777777" w:rsidR="009829C6" w:rsidRPr="00B62036" w:rsidRDefault="009829C6" w:rsidP="00230515">
      <w:pPr>
        <w:spacing w:line="360" w:lineRule="auto"/>
        <w:jc w:val="both"/>
        <w:rPr>
          <w:rFonts w:ascii="Gill Sans MT" w:hAnsi="Gill Sans MT"/>
          <w:caps/>
          <w:sz w:val="20"/>
          <w:szCs w:val="20"/>
        </w:rPr>
      </w:pPr>
    </w:p>
    <w:p w14:paraId="374A787E" w14:textId="77777777" w:rsidR="009829C6" w:rsidRPr="00B62036" w:rsidRDefault="009829C6" w:rsidP="00230515">
      <w:pPr>
        <w:spacing w:line="360" w:lineRule="auto"/>
        <w:jc w:val="both"/>
        <w:rPr>
          <w:rFonts w:ascii="Gill Sans MT" w:hAnsi="Gill Sans MT"/>
          <w:caps/>
          <w:sz w:val="20"/>
          <w:szCs w:val="20"/>
        </w:rPr>
      </w:pPr>
    </w:p>
    <w:p w14:paraId="3EFD5975" w14:textId="77777777" w:rsidR="009829C6" w:rsidRPr="00B62036" w:rsidRDefault="009829C6" w:rsidP="00230515">
      <w:pPr>
        <w:spacing w:line="360" w:lineRule="auto"/>
        <w:jc w:val="both"/>
        <w:rPr>
          <w:rFonts w:ascii="Gill Sans MT" w:hAnsi="Gill Sans MT"/>
          <w:caps/>
          <w:sz w:val="20"/>
          <w:szCs w:val="20"/>
        </w:rPr>
      </w:pPr>
    </w:p>
    <w:p w14:paraId="185DB59F" w14:textId="77777777" w:rsidR="009829C6" w:rsidRPr="00B62036" w:rsidRDefault="009829C6" w:rsidP="00230515">
      <w:pPr>
        <w:spacing w:line="360" w:lineRule="auto"/>
        <w:jc w:val="both"/>
        <w:rPr>
          <w:rFonts w:ascii="Gill Sans MT" w:hAnsi="Gill Sans MT"/>
          <w:caps/>
          <w:sz w:val="20"/>
          <w:szCs w:val="20"/>
        </w:rPr>
      </w:pPr>
    </w:p>
    <w:p w14:paraId="5E0D5F9D" w14:textId="77777777" w:rsidR="009829C6" w:rsidRPr="00B62036" w:rsidRDefault="009829C6" w:rsidP="00230515">
      <w:pPr>
        <w:spacing w:line="360" w:lineRule="auto"/>
        <w:jc w:val="both"/>
        <w:rPr>
          <w:rFonts w:ascii="Gill Sans MT" w:hAnsi="Gill Sans MT"/>
          <w:caps/>
          <w:sz w:val="20"/>
          <w:szCs w:val="20"/>
        </w:rPr>
      </w:pPr>
    </w:p>
    <w:p w14:paraId="4219F57C" w14:textId="77777777" w:rsidR="009829C6" w:rsidRPr="00B62036" w:rsidRDefault="009829C6" w:rsidP="00230515">
      <w:pPr>
        <w:spacing w:line="360" w:lineRule="auto"/>
        <w:jc w:val="both"/>
        <w:rPr>
          <w:rFonts w:ascii="Gill Sans MT" w:hAnsi="Gill Sans MT"/>
          <w:caps/>
          <w:sz w:val="20"/>
          <w:szCs w:val="20"/>
        </w:rPr>
      </w:pPr>
    </w:p>
    <w:p w14:paraId="78EB5BA7" w14:textId="77777777" w:rsidR="009829C6" w:rsidRPr="00B62036" w:rsidRDefault="009829C6" w:rsidP="00230515">
      <w:pPr>
        <w:spacing w:line="360" w:lineRule="auto"/>
        <w:jc w:val="both"/>
        <w:rPr>
          <w:rFonts w:ascii="Gill Sans MT" w:hAnsi="Gill Sans MT"/>
          <w:caps/>
          <w:sz w:val="20"/>
          <w:szCs w:val="20"/>
        </w:rPr>
      </w:pPr>
    </w:p>
    <w:p w14:paraId="47074EBE" w14:textId="77777777" w:rsidR="00230515" w:rsidRDefault="00230515" w:rsidP="00230515">
      <w:pPr>
        <w:spacing w:line="360" w:lineRule="auto"/>
        <w:jc w:val="both"/>
        <w:rPr>
          <w:rFonts w:ascii="Gill Sans MT" w:hAnsi="Gill Sans MT"/>
          <w:caps/>
          <w:sz w:val="20"/>
          <w:szCs w:val="20"/>
        </w:rPr>
        <w:sectPr w:rsidR="00230515" w:rsidSect="00117C8B">
          <w:pgSz w:w="12240" w:h="15840"/>
          <w:pgMar w:top="1440" w:right="1440" w:bottom="1440" w:left="1440" w:header="720" w:footer="720" w:gutter="0"/>
          <w:pgNumType w:fmt="numberInDash"/>
          <w:cols w:space="720"/>
          <w:docGrid w:linePitch="360"/>
        </w:sectPr>
      </w:pPr>
    </w:p>
    <w:p w14:paraId="593169BA" w14:textId="334B365B" w:rsidR="009829C6" w:rsidRPr="00B62036" w:rsidRDefault="009829C6" w:rsidP="00230515">
      <w:pPr>
        <w:keepNext/>
        <w:keepLines/>
        <w:jc w:val="both"/>
        <w:outlineLvl w:val="1"/>
        <w:rPr>
          <w:rFonts w:ascii="Gill Sans MT" w:hAnsi="Gill Sans MT"/>
          <w:b/>
          <w:sz w:val="20"/>
          <w:szCs w:val="20"/>
        </w:rPr>
      </w:pPr>
      <w:r w:rsidRPr="00B62036">
        <w:rPr>
          <w:rFonts w:ascii="Gill Sans MT" w:hAnsi="Gill Sans MT"/>
          <w:b/>
          <w:sz w:val="20"/>
          <w:szCs w:val="20"/>
        </w:rPr>
        <w:lastRenderedPageBreak/>
        <w:t xml:space="preserve">EXECUTIVE SUMMARY </w:t>
      </w:r>
    </w:p>
    <w:p w14:paraId="0B97F166" w14:textId="697B0BE7" w:rsidR="00457A40" w:rsidRPr="00457A40" w:rsidRDefault="00457A40" w:rsidP="00230515">
      <w:pPr>
        <w:spacing w:after="200" w:line="276" w:lineRule="auto"/>
        <w:jc w:val="both"/>
        <w:rPr>
          <w:rFonts w:ascii="Gill Sans MT" w:hAnsi="Gill Sans MT" w:cs="Calibri"/>
          <w:color w:val="000000"/>
          <w:sz w:val="20"/>
          <w:szCs w:val="20"/>
        </w:rPr>
      </w:pPr>
      <w:r w:rsidRPr="00457A40">
        <w:rPr>
          <w:rFonts w:ascii="Gill Sans MT" w:hAnsi="Gill Sans MT" w:cs="Calibri"/>
          <w:color w:val="000000"/>
          <w:sz w:val="20"/>
          <w:szCs w:val="20"/>
        </w:rPr>
        <w:t xml:space="preserve">This evaluation study was conducted on behalf of UNHCR project on Kenya-Somalia Refugees Cross Border </w:t>
      </w:r>
      <w:r w:rsidR="003A3D76" w:rsidRPr="00457A40">
        <w:rPr>
          <w:rFonts w:ascii="Gill Sans MT" w:hAnsi="Gill Sans MT" w:cs="Calibri"/>
          <w:color w:val="000000"/>
          <w:sz w:val="20"/>
          <w:szCs w:val="20"/>
        </w:rPr>
        <w:t>Peace building</w:t>
      </w:r>
      <w:r w:rsidRPr="00457A40">
        <w:rPr>
          <w:rFonts w:ascii="Gill Sans MT" w:hAnsi="Gill Sans MT" w:cs="Calibri"/>
          <w:color w:val="000000"/>
          <w:sz w:val="20"/>
          <w:szCs w:val="20"/>
        </w:rPr>
        <w:t xml:space="preserve"> Pilot Project for Voluntary Return, Co-existence and Sustainable Reintegration for Baidoa Returnees which was a two (2) year project that commenced in January 2017 and ended in December 2018. The project was implemented by six (6) partners United Nations Organizations (PUNO), including UNHCR (lead), UNICEF, FAO, WFP, IOM and ILO in Somalia while in </w:t>
      </w:r>
      <w:r w:rsidR="003A3D76" w:rsidRPr="00457A40">
        <w:rPr>
          <w:rFonts w:ascii="Gill Sans MT" w:hAnsi="Gill Sans MT" w:cs="Calibri"/>
          <w:color w:val="000000"/>
          <w:sz w:val="20"/>
          <w:szCs w:val="20"/>
        </w:rPr>
        <w:t>Kenya;</w:t>
      </w:r>
      <w:r w:rsidRPr="00457A40">
        <w:rPr>
          <w:rFonts w:ascii="Gill Sans MT" w:hAnsi="Gill Sans MT" w:cs="Calibri"/>
          <w:color w:val="000000"/>
          <w:sz w:val="20"/>
          <w:szCs w:val="20"/>
        </w:rPr>
        <w:t xml:space="preserve"> UNHCR Kenya implemented the project through implementing partners</w:t>
      </w:r>
      <w:r w:rsidR="00973077">
        <w:rPr>
          <w:rFonts w:ascii="Gill Sans MT" w:hAnsi="Gill Sans MT" w:cs="Calibri"/>
          <w:color w:val="000000"/>
          <w:sz w:val="20"/>
          <w:szCs w:val="20"/>
        </w:rPr>
        <w:t xml:space="preserve">; </w:t>
      </w:r>
      <w:r w:rsidRPr="00457A40">
        <w:rPr>
          <w:rFonts w:ascii="Gill Sans MT" w:hAnsi="Gill Sans MT" w:cs="Calibri"/>
          <w:color w:val="000000"/>
          <w:sz w:val="20"/>
          <w:szCs w:val="20"/>
        </w:rPr>
        <w:t>Norwegian Refugee Council (NRC), Danish Refugee Council (DRC) and Government of Kenya</w:t>
      </w:r>
      <w:r w:rsidR="00973077">
        <w:rPr>
          <w:rFonts w:ascii="Gill Sans MT" w:hAnsi="Gill Sans MT" w:cs="Calibri"/>
          <w:color w:val="000000"/>
          <w:sz w:val="20"/>
          <w:szCs w:val="20"/>
        </w:rPr>
        <w:t xml:space="preserve"> in Dad</w:t>
      </w:r>
      <w:r w:rsidR="005D458E">
        <w:rPr>
          <w:rFonts w:ascii="Gill Sans MT" w:hAnsi="Gill Sans MT" w:cs="Calibri"/>
          <w:color w:val="000000"/>
          <w:sz w:val="20"/>
          <w:szCs w:val="20"/>
        </w:rPr>
        <w:t>a</w:t>
      </w:r>
      <w:r w:rsidR="00973077">
        <w:rPr>
          <w:rFonts w:ascii="Gill Sans MT" w:hAnsi="Gill Sans MT" w:cs="Calibri"/>
          <w:color w:val="000000"/>
          <w:sz w:val="20"/>
          <w:szCs w:val="20"/>
        </w:rPr>
        <w:t>ab refugee camp while UNHCR Somalia implemented the program in Baidoa town with other UN agencies and partners including,</w:t>
      </w:r>
      <w:r w:rsidRPr="00457A40">
        <w:rPr>
          <w:rFonts w:ascii="Gill Sans MT" w:hAnsi="Gill Sans MT" w:cs="Calibri"/>
          <w:color w:val="000000"/>
          <w:sz w:val="20"/>
          <w:szCs w:val="20"/>
        </w:rPr>
        <w:t xml:space="preserve"> World Vision International (WVI), African Volunteers for Relief and Development (AVORD), Federal Government of Somalia-National Commission for Refugees and IDPs (NCRI), Ministry of Resettlement and Diaspora Affairs (MORDA) in South West State amongst others.</w:t>
      </w:r>
      <w:r w:rsidR="00FB2990" w:rsidRPr="00B62036">
        <w:rPr>
          <w:rFonts w:ascii="Gill Sans MT" w:hAnsi="Gill Sans MT" w:cs="Calibri"/>
          <w:color w:val="000000"/>
          <w:sz w:val="20"/>
          <w:szCs w:val="20"/>
        </w:rPr>
        <w:t xml:space="preserve"> </w:t>
      </w:r>
      <w:r w:rsidRPr="00457A40">
        <w:rPr>
          <w:rFonts w:ascii="Gill Sans MT" w:hAnsi="Gill Sans MT" w:cs="Calibri"/>
          <w:color w:val="000000"/>
          <w:sz w:val="20"/>
          <w:szCs w:val="20"/>
        </w:rPr>
        <w:t xml:space="preserve">The objective of the evaluation was to assess the efficiency, effectiveness, accountability and impact of the different projects and activities that the partners implemented in Baidoa district, South West State, Somalia and in Dadaab, Kenya. The evaluation further sought to assess the extent to which the project has reached the desired outcomes and how it managed relevant risks. In addition, the evaluation reviews the changes made on the project activities as a result of the severe drought in 2016/17 that resulted in the influx of IDPs; and whether these activities contributed to the original project outcomes and the project’s theory of change.  </w:t>
      </w:r>
    </w:p>
    <w:p w14:paraId="11F5609C" w14:textId="671F826D" w:rsidR="00457A40" w:rsidRPr="00B62036" w:rsidRDefault="00457A40" w:rsidP="00230515">
      <w:pPr>
        <w:spacing w:after="200" w:line="276" w:lineRule="auto"/>
        <w:jc w:val="both"/>
        <w:rPr>
          <w:rFonts w:ascii="Gill Sans MT" w:hAnsi="Gill Sans MT" w:cs="Calibri"/>
          <w:color w:val="000000"/>
          <w:sz w:val="20"/>
          <w:szCs w:val="20"/>
        </w:rPr>
      </w:pPr>
      <w:r w:rsidRPr="00457A40">
        <w:rPr>
          <w:rFonts w:ascii="Gill Sans MT" w:hAnsi="Gill Sans MT" w:cs="Calibri"/>
          <w:b/>
          <w:color w:val="000000"/>
          <w:sz w:val="20"/>
          <w:szCs w:val="20"/>
        </w:rPr>
        <w:t>Methodology</w:t>
      </w:r>
      <w:r w:rsidRPr="00457A40">
        <w:rPr>
          <w:rFonts w:ascii="Gill Sans MT" w:hAnsi="Gill Sans MT" w:cs="Calibri"/>
          <w:color w:val="000000"/>
          <w:sz w:val="20"/>
          <w:szCs w:val="20"/>
        </w:rPr>
        <w:t>: Researchcare adopted a mixed-design approach, using both quantitat</w:t>
      </w:r>
      <w:r w:rsidR="00D43173">
        <w:rPr>
          <w:rFonts w:ascii="Gill Sans MT" w:hAnsi="Gill Sans MT" w:cs="Calibri"/>
          <w:color w:val="000000"/>
          <w:sz w:val="20"/>
          <w:szCs w:val="20"/>
        </w:rPr>
        <w:t xml:space="preserve">ive and qualitative techniques because they </w:t>
      </w:r>
      <w:r w:rsidRPr="00457A40">
        <w:rPr>
          <w:rFonts w:ascii="Gill Sans MT" w:hAnsi="Gill Sans MT" w:cs="Calibri"/>
          <w:color w:val="000000"/>
          <w:sz w:val="20"/>
          <w:szCs w:val="20"/>
        </w:rPr>
        <w:t>compensate for each other’s weaknesses; and each approach provides more value when used in a mixed-method design, providing information and conclusions that are more coherent, reliable, and useful than those from single-method studies. The study conducted 18 focus group discussion</w:t>
      </w:r>
      <w:r w:rsidR="00FB2990" w:rsidRPr="00B62036">
        <w:rPr>
          <w:rFonts w:ascii="Gill Sans MT" w:hAnsi="Gill Sans MT" w:cs="Calibri"/>
          <w:color w:val="000000"/>
          <w:sz w:val="20"/>
          <w:szCs w:val="20"/>
        </w:rPr>
        <w:t xml:space="preserve">s and 32 </w:t>
      </w:r>
      <w:r w:rsidR="00D43173">
        <w:rPr>
          <w:rFonts w:ascii="Gill Sans MT" w:hAnsi="Gill Sans MT" w:cs="Calibri"/>
          <w:color w:val="000000"/>
          <w:sz w:val="20"/>
          <w:szCs w:val="20"/>
        </w:rPr>
        <w:t>k</w:t>
      </w:r>
      <w:r w:rsidR="00FB2990" w:rsidRPr="00B62036">
        <w:rPr>
          <w:rFonts w:ascii="Gill Sans MT" w:hAnsi="Gill Sans MT" w:cs="Calibri"/>
          <w:color w:val="000000"/>
          <w:sz w:val="20"/>
          <w:szCs w:val="20"/>
        </w:rPr>
        <w:t>ey</w:t>
      </w:r>
      <w:r w:rsidR="00D43173">
        <w:rPr>
          <w:rFonts w:ascii="Gill Sans MT" w:hAnsi="Gill Sans MT" w:cs="Calibri"/>
          <w:color w:val="000000"/>
          <w:sz w:val="20"/>
          <w:szCs w:val="20"/>
        </w:rPr>
        <w:t xml:space="preserve"> informant i</w:t>
      </w:r>
      <w:r w:rsidRPr="00457A40">
        <w:rPr>
          <w:rFonts w:ascii="Gill Sans MT" w:hAnsi="Gill Sans MT" w:cs="Calibri"/>
          <w:color w:val="000000"/>
          <w:sz w:val="20"/>
          <w:szCs w:val="20"/>
        </w:rPr>
        <w:t xml:space="preserve">nterviews (KIIs) across </w:t>
      </w:r>
      <w:r w:rsidR="003A3D76" w:rsidRPr="00457A40">
        <w:rPr>
          <w:rFonts w:ascii="Gill Sans MT" w:hAnsi="Gill Sans MT" w:cs="Calibri"/>
          <w:color w:val="000000"/>
          <w:sz w:val="20"/>
          <w:szCs w:val="20"/>
        </w:rPr>
        <w:t>Dadaab</w:t>
      </w:r>
      <w:r w:rsidRPr="00457A40">
        <w:rPr>
          <w:rFonts w:ascii="Gill Sans MT" w:hAnsi="Gill Sans MT" w:cs="Calibri"/>
          <w:color w:val="000000"/>
          <w:sz w:val="20"/>
          <w:szCs w:val="20"/>
        </w:rPr>
        <w:t xml:space="preserve"> refugee camp in Kenya and Baidoa district in South West State of Somalia. This was complemented by quantitative data from a sample of 591 households across various settlements in Baidoa. Researchcare used mobile-based data </w:t>
      </w:r>
      <w:r w:rsidRPr="00464A6B">
        <w:rPr>
          <w:rFonts w:ascii="Gill Sans MT" w:hAnsi="Gill Sans MT" w:cs="Calibri"/>
          <w:color w:val="000000"/>
          <w:sz w:val="20"/>
          <w:szCs w:val="20"/>
        </w:rPr>
        <w:t>collection system (ONA) for the</w:t>
      </w:r>
      <w:r w:rsidRPr="00457A40">
        <w:rPr>
          <w:rFonts w:ascii="Gill Sans MT" w:hAnsi="Gill Sans MT" w:cs="Calibri"/>
          <w:color w:val="000000"/>
          <w:sz w:val="20"/>
          <w:szCs w:val="20"/>
        </w:rPr>
        <w:t xml:space="preserve"> household survey and data was collected using mobile/tablet devices and transmitted to secure online cloud servers on daily basis. </w:t>
      </w:r>
    </w:p>
    <w:p w14:paraId="37209FC6" w14:textId="4868DE97" w:rsidR="00457A40" w:rsidRPr="00B62036" w:rsidRDefault="00457A40" w:rsidP="00230515">
      <w:pPr>
        <w:spacing w:after="200" w:line="276" w:lineRule="auto"/>
        <w:jc w:val="both"/>
        <w:rPr>
          <w:rFonts w:ascii="Gill Sans MT" w:hAnsi="Gill Sans MT"/>
          <w:b/>
          <w:sz w:val="20"/>
          <w:szCs w:val="20"/>
          <w:lang w:eastAsia="en-GB"/>
        </w:rPr>
      </w:pPr>
      <w:r w:rsidRPr="00B62036">
        <w:rPr>
          <w:rFonts w:ascii="Gill Sans MT" w:hAnsi="Gill Sans MT"/>
          <w:b/>
          <w:sz w:val="20"/>
          <w:szCs w:val="20"/>
          <w:lang w:eastAsia="en-GB"/>
        </w:rPr>
        <w:t xml:space="preserve">Findings </w:t>
      </w:r>
    </w:p>
    <w:p w14:paraId="1B2E802C" w14:textId="403C6F52" w:rsidR="00457A40" w:rsidRPr="00B62036" w:rsidRDefault="00457A40" w:rsidP="00230515">
      <w:pPr>
        <w:spacing w:after="200" w:line="276" w:lineRule="auto"/>
        <w:jc w:val="both"/>
        <w:rPr>
          <w:rFonts w:ascii="Gill Sans MT" w:hAnsi="Gill Sans MT"/>
          <w:b/>
          <w:sz w:val="20"/>
          <w:szCs w:val="20"/>
          <w:lang w:eastAsia="en-GB"/>
        </w:rPr>
      </w:pPr>
      <w:r w:rsidRPr="00464A6B">
        <w:rPr>
          <w:rFonts w:ascii="Gill Sans MT" w:hAnsi="Gill Sans MT" w:cs="Calibri"/>
          <w:color w:val="000000"/>
          <w:sz w:val="20"/>
          <w:szCs w:val="20"/>
        </w:rPr>
        <w:t xml:space="preserve">The evaluation employed five specific evaluation criteria from the OECD-DAC criteria to guide the study in addition to extracting lessons learnt. These are; assessing </w:t>
      </w:r>
      <w:r w:rsidR="00D43173" w:rsidRPr="00464A6B">
        <w:rPr>
          <w:rFonts w:ascii="Gill Sans MT" w:hAnsi="Gill Sans MT" w:cs="Calibri"/>
          <w:color w:val="000000"/>
          <w:sz w:val="20"/>
          <w:szCs w:val="20"/>
        </w:rPr>
        <w:t>the efficiency, effectiveness, accountability to a</w:t>
      </w:r>
      <w:r w:rsidRPr="00464A6B">
        <w:rPr>
          <w:rFonts w:ascii="Gill Sans MT" w:hAnsi="Gill Sans MT" w:cs="Calibri"/>
          <w:color w:val="000000"/>
          <w:sz w:val="20"/>
          <w:szCs w:val="20"/>
        </w:rPr>
        <w:t xml:space="preserve">ffected </w:t>
      </w:r>
      <w:r w:rsidR="00D43173" w:rsidRPr="00464A6B">
        <w:rPr>
          <w:rFonts w:ascii="Gill Sans MT" w:hAnsi="Gill Sans MT" w:cs="Calibri"/>
          <w:color w:val="000000"/>
          <w:sz w:val="20"/>
          <w:szCs w:val="20"/>
        </w:rPr>
        <w:t>p</w:t>
      </w:r>
      <w:r w:rsidRPr="00464A6B">
        <w:rPr>
          <w:rFonts w:ascii="Gill Sans MT" w:hAnsi="Gill Sans MT" w:cs="Calibri"/>
          <w:color w:val="000000"/>
          <w:sz w:val="20"/>
          <w:szCs w:val="20"/>
        </w:rPr>
        <w:t>opulation.</w:t>
      </w:r>
    </w:p>
    <w:p w14:paraId="799E4924" w14:textId="7A303213" w:rsidR="00457A40" w:rsidRPr="00B62036" w:rsidRDefault="00457A40" w:rsidP="00230515">
      <w:pPr>
        <w:spacing w:line="276" w:lineRule="auto"/>
        <w:jc w:val="both"/>
        <w:rPr>
          <w:rFonts w:ascii="Gill Sans MT" w:hAnsi="Gill Sans MT"/>
          <w:b/>
          <w:sz w:val="20"/>
          <w:szCs w:val="20"/>
          <w:lang w:eastAsia="en-GB"/>
        </w:rPr>
      </w:pPr>
      <w:r w:rsidRPr="00B62036">
        <w:rPr>
          <w:rFonts w:ascii="Gill Sans MT" w:hAnsi="Gill Sans MT"/>
          <w:b/>
          <w:sz w:val="20"/>
          <w:szCs w:val="20"/>
          <w:lang w:eastAsia="en-GB"/>
        </w:rPr>
        <w:t xml:space="preserve">Efficiency </w:t>
      </w:r>
    </w:p>
    <w:p w14:paraId="24F17A3B" w14:textId="66CAF467" w:rsidR="00BF5245" w:rsidRDefault="00296FBD" w:rsidP="00B52856">
      <w:pPr>
        <w:spacing w:line="276" w:lineRule="auto"/>
        <w:jc w:val="both"/>
        <w:rPr>
          <w:rFonts w:ascii="Gill Sans MT" w:hAnsi="Gill Sans MT" w:cs="Calibri"/>
          <w:color w:val="000000"/>
          <w:sz w:val="20"/>
          <w:szCs w:val="20"/>
        </w:rPr>
      </w:pPr>
      <w:r w:rsidRPr="001000C2">
        <w:rPr>
          <w:rFonts w:ascii="Gill Sans MT" w:eastAsia="Yu Gothic Light" w:hAnsi="Gill Sans MT"/>
          <w:b/>
          <w:bCs/>
          <w:color w:val="5B9BD5"/>
          <w:sz w:val="20"/>
          <w:szCs w:val="20"/>
        </w:rPr>
        <w:t xml:space="preserve">Efficiency of Project Implementation: </w:t>
      </w:r>
      <w:r w:rsidR="00D43173">
        <w:rPr>
          <w:rFonts w:ascii="Gill Sans MT" w:hAnsi="Gill Sans MT" w:cs="Calibri"/>
          <w:color w:val="000000"/>
          <w:sz w:val="20"/>
          <w:szCs w:val="20"/>
        </w:rPr>
        <w:t>The PBF program</w:t>
      </w:r>
      <w:r w:rsidRPr="001000C2">
        <w:rPr>
          <w:rFonts w:ascii="Gill Sans MT" w:hAnsi="Gill Sans MT" w:cs="Calibri"/>
          <w:color w:val="000000"/>
          <w:sz w:val="20"/>
          <w:szCs w:val="20"/>
        </w:rPr>
        <w:t xml:space="preserve"> had several complementing activities that were delivered by several UN agencies in collaboration with international and local partners, and Ministry of Refugee and Diaspora Affairs (MORDA) for the South West State. Most of the activities were implemented within the set time frame; however, due to external factors such as insecurity, severe drought in the region resulting influx of IDPs coupled with political uncertainty over the presidential election of South West State caused considerable delays in the implementation of some project activities</w:t>
      </w:r>
      <w:r w:rsidR="00BF5245">
        <w:rPr>
          <w:rFonts w:ascii="Gill Sans MT" w:hAnsi="Gill Sans MT" w:cs="Calibri"/>
          <w:color w:val="000000"/>
          <w:sz w:val="20"/>
          <w:szCs w:val="20"/>
        </w:rPr>
        <w:t>.</w:t>
      </w:r>
    </w:p>
    <w:p w14:paraId="130F1127" w14:textId="77777777" w:rsidR="00D43173" w:rsidRDefault="00D43173" w:rsidP="00B52856">
      <w:pPr>
        <w:spacing w:line="276" w:lineRule="auto"/>
        <w:jc w:val="both"/>
        <w:rPr>
          <w:rFonts w:ascii="Gill Sans MT" w:hAnsi="Gill Sans MT" w:cs="Calibri"/>
          <w:color w:val="000000"/>
          <w:sz w:val="20"/>
          <w:szCs w:val="20"/>
        </w:rPr>
      </w:pPr>
    </w:p>
    <w:p w14:paraId="78254A18" w14:textId="3D6FC888" w:rsidR="00A64E72" w:rsidRDefault="00296FBD" w:rsidP="00464A6B">
      <w:pPr>
        <w:spacing w:line="276" w:lineRule="auto"/>
        <w:jc w:val="both"/>
        <w:rPr>
          <w:rFonts w:ascii="Gill Sans MT" w:eastAsia="Calibri" w:hAnsi="Gill Sans MT" w:cs="ArialMT"/>
          <w:sz w:val="20"/>
          <w:szCs w:val="20"/>
        </w:rPr>
      </w:pPr>
      <w:r w:rsidRPr="00B52856">
        <w:rPr>
          <w:rFonts w:ascii="Gill Sans MT" w:hAnsi="Gill Sans MT"/>
          <w:sz w:val="20"/>
          <w:szCs w:val="20"/>
        </w:rPr>
        <w:t>The evaluation further noted that there was no-cost extension that enabled some of the remaining project</w:t>
      </w:r>
      <w:r w:rsidR="00D43173">
        <w:rPr>
          <w:rFonts w:ascii="Gill Sans MT" w:hAnsi="Gill Sans MT"/>
          <w:sz w:val="20"/>
          <w:szCs w:val="20"/>
        </w:rPr>
        <w:t>s especially the road works to be completed on time</w:t>
      </w:r>
      <w:r w:rsidRPr="00B52856">
        <w:rPr>
          <w:rFonts w:ascii="Gill Sans MT" w:hAnsi="Gill Sans MT"/>
          <w:sz w:val="20"/>
          <w:szCs w:val="20"/>
        </w:rPr>
        <w:t xml:space="preserve">. In addition, </w:t>
      </w:r>
      <w:r w:rsidR="00973077" w:rsidRPr="00B52856">
        <w:rPr>
          <w:rFonts w:ascii="Gill Sans MT" w:hAnsi="Gill Sans MT"/>
          <w:sz w:val="20"/>
          <w:szCs w:val="20"/>
        </w:rPr>
        <w:t>undue g</w:t>
      </w:r>
      <w:r w:rsidRPr="00B52856">
        <w:rPr>
          <w:rFonts w:ascii="Gill Sans MT" w:hAnsi="Gill Sans MT"/>
          <w:sz w:val="20"/>
          <w:szCs w:val="20"/>
        </w:rPr>
        <w:t>overnment interference</w:t>
      </w:r>
      <w:r w:rsidRPr="005D458E">
        <w:rPr>
          <w:rFonts w:ascii="Gill Sans MT" w:hAnsi="Gill Sans MT"/>
          <w:sz w:val="20"/>
          <w:szCs w:val="20"/>
        </w:rPr>
        <w:t xml:space="preserve"> in the contracting process of some proje</w:t>
      </w:r>
      <w:r w:rsidR="00741F70">
        <w:rPr>
          <w:rFonts w:ascii="Gill Sans MT" w:hAnsi="Gill Sans MT"/>
          <w:sz w:val="20"/>
          <w:szCs w:val="20"/>
        </w:rPr>
        <w:t xml:space="preserve">ct activities has occasioned </w:t>
      </w:r>
      <w:r w:rsidR="00741F70" w:rsidRPr="005D458E">
        <w:rPr>
          <w:rFonts w:ascii="Gill Sans MT" w:hAnsi="Gill Sans MT"/>
          <w:sz w:val="20"/>
          <w:szCs w:val="20"/>
        </w:rPr>
        <w:t>setback</w:t>
      </w:r>
      <w:r w:rsidR="00741F70">
        <w:rPr>
          <w:rFonts w:ascii="Gill Sans MT" w:hAnsi="Gill Sans MT"/>
          <w:sz w:val="20"/>
          <w:szCs w:val="20"/>
        </w:rPr>
        <w:t xml:space="preserve"> for instance to IOM’s planned commencement</w:t>
      </w:r>
      <w:r w:rsidRPr="005D458E">
        <w:rPr>
          <w:rFonts w:ascii="Gill Sans MT" w:hAnsi="Gill Sans MT"/>
          <w:sz w:val="20"/>
          <w:szCs w:val="20"/>
        </w:rPr>
        <w:t xml:space="preserve"> of Kerrowfogi Bridge</w:t>
      </w:r>
      <w:r w:rsidR="00741F70">
        <w:rPr>
          <w:rFonts w:ascii="Gill Sans MT" w:hAnsi="Gill Sans MT"/>
          <w:sz w:val="20"/>
          <w:szCs w:val="20"/>
        </w:rPr>
        <w:t xml:space="preserve"> in Baidoa town</w:t>
      </w:r>
      <w:r w:rsidRPr="005D458E">
        <w:rPr>
          <w:rFonts w:ascii="Gill Sans MT" w:hAnsi="Gill Sans MT"/>
          <w:sz w:val="20"/>
          <w:szCs w:val="20"/>
        </w:rPr>
        <w:t xml:space="preserve">. In terms of the timeliness of programme delivery, the implementation of the </w:t>
      </w:r>
      <w:r w:rsidRPr="005D458E">
        <w:rPr>
          <w:rFonts w:ascii="Gill Sans MT" w:hAnsi="Gill Sans MT"/>
          <w:sz w:val="20"/>
          <w:szCs w:val="20"/>
        </w:rPr>
        <w:lastRenderedPageBreak/>
        <w:t xml:space="preserve">project activities coincided with a lean period that threatened the livelihoods of the host communities and returnees and influx of IDPs. Furthermore, while the evaluation notes that the </w:t>
      </w:r>
      <w:r w:rsidRPr="005D458E">
        <w:rPr>
          <w:rFonts w:ascii="Gill Sans MT" w:hAnsi="Gill Sans MT" w:cs="Arial"/>
          <w:sz w:val="20"/>
          <w:szCs w:val="20"/>
        </w:rPr>
        <w:t>operational environment in Somalia for INGOs is often quite costly as cos</w:t>
      </w:r>
      <w:r w:rsidR="00741F70">
        <w:rPr>
          <w:rFonts w:ascii="Gill Sans MT" w:hAnsi="Gill Sans MT" w:cs="Arial"/>
          <w:sz w:val="20"/>
          <w:szCs w:val="20"/>
        </w:rPr>
        <w:t>ts of delivering assist</w:t>
      </w:r>
      <w:r w:rsidR="00741F70">
        <w:rPr>
          <w:rFonts w:ascii="Gill Sans MT" w:hAnsi="Gill Sans MT" w:cs="Arial"/>
          <w:sz w:val="20"/>
          <w:szCs w:val="20"/>
        </w:rPr>
        <w:softHyphen/>
        <w:t>ance is</w:t>
      </w:r>
      <w:r w:rsidRPr="005D458E">
        <w:rPr>
          <w:rFonts w:ascii="Gill Sans MT" w:hAnsi="Gill Sans MT" w:cs="Arial"/>
          <w:sz w:val="20"/>
          <w:szCs w:val="20"/>
        </w:rPr>
        <w:t xml:space="preserve"> much higher than usual,</w:t>
      </w:r>
      <w:r w:rsidRPr="005D458E">
        <w:rPr>
          <w:rFonts w:ascii="Gill Sans MT" w:hAnsi="Gill Sans MT"/>
          <w:sz w:val="20"/>
          <w:szCs w:val="20"/>
        </w:rPr>
        <w:t xml:space="preserve"> the use of local organization as implementing partners by </w:t>
      </w:r>
      <w:r w:rsidR="00FB2990" w:rsidRPr="005D458E">
        <w:rPr>
          <w:rFonts w:ascii="Gill Sans MT" w:hAnsi="Gill Sans MT"/>
          <w:sz w:val="20"/>
          <w:szCs w:val="20"/>
        </w:rPr>
        <w:t xml:space="preserve">PUNOs </w:t>
      </w:r>
      <w:r w:rsidRPr="005D458E">
        <w:rPr>
          <w:rFonts w:ascii="Gill Sans MT" w:hAnsi="Gill Sans MT"/>
          <w:sz w:val="20"/>
          <w:szCs w:val="20"/>
        </w:rPr>
        <w:t>was seen as a cost effective approa</w:t>
      </w:r>
      <w:r w:rsidR="00FB2990" w:rsidRPr="005D458E">
        <w:rPr>
          <w:rFonts w:ascii="Gill Sans MT" w:hAnsi="Gill Sans MT"/>
          <w:sz w:val="20"/>
          <w:szCs w:val="20"/>
        </w:rPr>
        <w:t xml:space="preserve">ch to programme delivery. </w:t>
      </w:r>
      <w:r w:rsidR="00741F70">
        <w:rPr>
          <w:rFonts w:ascii="Gill Sans MT" w:hAnsi="Gill Sans MT"/>
          <w:sz w:val="20"/>
          <w:szCs w:val="20"/>
        </w:rPr>
        <w:t xml:space="preserve">Besides, there was an </w:t>
      </w:r>
      <w:r w:rsidR="00FB2990" w:rsidRPr="005D458E">
        <w:rPr>
          <w:rFonts w:ascii="Gill Sans MT" w:hAnsi="Gill Sans MT"/>
          <w:sz w:val="20"/>
          <w:szCs w:val="20"/>
        </w:rPr>
        <w:t xml:space="preserve">effective </w:t>
      </w:r>
      <w:r w:rsidRPr="005D458E">
        <w:rPr>
          <w:rFonts w:ascii="Gill Sans MT" w:hAnsi="Gill Sans MT"/>
          <w:sz w:val="20"/>
          <w:szCs w:val="20"/>
        </w:rPr>
        <w:t>coordination amongst the local partners and PUNOs implementing the project</w:t>
      </w:r>
      <w:r w:rsidR="00FB2990" w:rsidRPr="005D458E">
        <w:rPr>
          <w:rFonts w:ascii="Gill Sans MT" w:hAnsi="Gill Sans MT"/>
          <w:sz w:val="20"/>
          <w:szCs w:val="20"/>
        </w:rPr>
        <w:t xml:space="preserve"> in Baidoa but</w:t>
      </w:r>
      <w:r w:rsidR="00741F70">
        <w:rPr>
          <w:rFonts w:ascii="Gill Sans MT" w:hAnsi="Gill Sans MT"/>
          <w:sz w:val="20"/>
          <w:szCs w:val="20"/>
        </w:rPr>
        <w:t xml:space="preserve"> on the other hand there was somewhat weak</w:t>
      </w:r>
      <w:r w:rsidR="00FB2990" w:rsidRPr="005D458E">
        <w:rPr>
          <w:rFonts w:ascii="Gill Sans MT" w:hAnsi="Gill Sans MT"/>
          <w:sz w:val="20"/>
          <w:szCs w:val="20"/>
        </w:rPr>
        <w:t xml:space="preserve"> cross-border coordination. </w:t>
      </w:r>
    </w:p>
    <w:p w14:paraId="57D046D4" w14:textId="77777777" w:rsidR="00A64E72" w:rsidRDefault="00A64E72" w:rsidP="00464A6B">
      <w:pPr>
        <w:autoSpaceDE w:val="0"/>
        <w:autoSpaceDN w:val="0"/>
        <w:adjustRightInd w:val="0"/>
        <w:jc w:val="both"/>
        <w:rPr>
          <w:rFonts w:ascii="Gill Sans MT" w:eastAsia="Calibri" w:hAnsi="Gill Sans MT" w:cs="ArialMT"/>
          <w:sz w:val="20"/>
          <w:szCs w:val="20"/>
        </w:rPr>
      </w:pPr>
    </w:p>
    <w:p w14:paraId="071FE8C3" w14:textId="64F28264" w:rsidR="00A64E72" w:rsidRPr="00B52856" w:rsidRDefault="00A64E72" w:rsidP="00464A6B">
      <w:pPr>
        <w:autoSpaceDE w:val="0"/>
        <w:autoSpaceDN w:val="0"/>
        <w:adjustRightInd w:val="0"/>
        <w:jc w:val="both"/>
        <w:rPr>
          <w:rFonts w:ascii="Gill Sans MT" w:eastAsia="Calibri" w:hAnsi="Gill Sans MT" w:cs="ArialMT"/>
          <w:sz w:val="20"/>
          <w:szCs w:val="20"/>
        </w:rPr>
      </w:pPr>
      <w:r w:rsidRPr="00B52856">
        <w:rPr>
          <w:rFonts w:ascii="Gill Sans MT" w:eastAsia="Calibri" w:hAnsi="Gill Sans MT" w:cs="ArialMT"/>
          <w:sz w:val="20"/>
          <w:szCs w:val="20"/>
        </w:rPr>
        <w:t>The study underscores there were synergies and complementariness between the PBF program and other programs including</w:t>
      </w:r>
      <w:r w:rsidR="002636B4">
        <w:rPr>
          <w:rFonts w:ascii="Gill Sans MT" w:eastAsia="Calibri" w:hAnsi="Gill Sans MT" w:cs="ArialMT"/>
          <w:sz w:val="20"/>
          <w:szCs w:val="20"/>
        </w:rPr>
        <w:t>;</w:t>
      </w:r>
      <w:r w:rsidRPr="00741F70">
        <w:rPr>
          <w:rFonts w:ascii="Gill Sans MT" w:eastAsia="Calibri" w:hAnsi="Gill Sans MT" w:cs="ArialMT"/>
          <w:sz w:val="20"/>
          <w:szCs w:val="20"/>
        </w:rPr>
        <w:t xml:space="preserve"> </w:t>
      </w:r>
      <w:r w:rsidRPr="00741F70">
        <w:rPr>
          <w:rFonts w:ascii="Gill Sans MT" w:eastAsia="Calibri" w:hAnsi="Gill Sans MT" w:cs="Arial"/>
          <w:iCs/>
          <w:sz w:val="20"/>
          <w:szCs w:val="20"/>
        </w:rPr>
        <w:t>Daldhis, Midnimo (Unity) and the Wadajir Framework,</w:t>
      </w:r>
      <w:r w:rsidR="00741F70" w:rsidRPr="00741F70">
        <w:rPr>
          <w:rFonts w:ascii="Gill Sans MT" w:eastAsia="Calibri" w:hAnsi="Gill Sans MT" w:cs="Arial"/>
          <w:iCs/>
          <w:sz w:val="20"/>
          <w:szCs w:val="20"/>
        </w:rPr>
        <w:t xml:space="preserve"> the link among these programs wa</w:t>
      </w:r>
      <w:r w:rsidRPr="00741F70">
        <w:rPr>
          <w:rFonts w:ascii="Gill Sans MT" w:eastAsia="Calibri" w:hAnsi="Gill Sans MT" w:cs="Arial"/>
          <w:iCs/>
          <w:sz w:val="20"/>
          <w:szCs w:val="20"/>
        </w:rPr>
        <w:t xml:space="preserve">s the design of the activities and approach that </w:t>
      </w:r>
      <w:r w:rsidRPr="00741F70">
        <w:rPr>
          <w:rFonts w:ascii="Gill Sans MT" w:eastAsia="Calibri" w:hAnsi="Gill Sans MT" w:cs="ArialMT"/>
          <w:sz w:val="20"/>
          <w:szCs w:val="20"/>
        </w:rPr>
        <w:t>extend</w:t>
      </w:r>
      <w:r w:rsidR="00741F70">
        <w:rPr>
          <w:rFonts w:ascii="Gill Sans MT" w:eastAsia="Calibri" w:hAnsi="Gill Sans MT" w:cs="ArialMT"/>
          <w:sz w:val="20"/>
          <w:szCs w:val="20"/>
        </w:rPr>
        <w:t>ed</w:t>
      </w:r>
      <w:r w:rsidRPr="00B52856">
        <w:rPr>
          <w:rFonts w:ascii="Gill Sans MT" w:eastAsia="Calibri" w:hAnsi="Gill Sans MT" w:cs="ArialMT"/>
          <w:sz w:val="20"/>
          <w:szCs w:val="20"/>
        </w:rPr>
        <w:t xml:space="preserve"> the authority and accountability of the Federal Member State and district authorities through joint implement</w:t>
      </w:r>
      <w:r w:rsidR="00741F70">
        <w:rPr>
          <w:rFonts w:ascii="Gill Sans MT" w:eastAsia="Calibri" w:hAnsi="Gill Sans MT" w:cs="ArialMT"/>
          <w:sz w:val="20"/>
          <w:szCs w:val="20"/>
        </w:rPr>
        <w:t>ation  of the program and gave</w:t>
      </w:r>
      <w:r w:rsidRPr="00B52856">
        <w:rPr>
          <w:rFonts w:ascii="Gill Sans MT" w:eastAsia="Calibri" w:hAnsi="Gill Sans MT" w:cs="ArialMT"/>
          <w:sz w:val="20"/>
          <w:szCs w:val="20"/>
        </w:rPr>
        <w:t xml:space="preserve"> visibility to MORDA, local municipality and local communities in the selection of beneficiaries and participation in the implementation process. </w:t>
      </w:r>
    </w:p>
    <w:p w14:paraId="6E313583" w14:textId="77777777" w:rsidR="00A64E72" w:rsidRPr="00B52856" w:rsidRDefault="00A64E72" w:rsidP="00464A6B">
      <w:pPr>
        <w:autoSpaceDE w:val="0"/>
        <w:autoSpaceDN w:val="0"/>
        <w:adjustRightInd w:val="0"/>
        <w:ind w:left="720"/>
        <w:contextualSpacing/>
        <w:jc w:val="both"/>
        <w:rPr>
          <w:rFonts w:ascii="Gill Sans MT" w:eastAsia="Calibri" w:hAnsi="Gill Sans MT" w:cs="ArialMT"/>
          <w:sz w:val="20"/>
          <w:szCs w:val="20"/>
        </w:rPr>
      </w:pPr>
    </w:p>
    <w:p w14:paraId="42A0328D" w14:textId="05AD4113" w:rsidR="00296FBD" w:rsidRPr="005D458E" w:rsidRDefault="00A64E72" w:rsidP="00464A6B">
      <w:pPr>
        <w:autoSpaceDE w:val="0"/>
        <w:autoSpaceDN w:val="0"/>
        <w:adjustRightInd w:val="0"/>
        <w:jc w:val="both"/>
        <w:rPr>
          <w:rFonts w:ascii="Gill Sans MT" w:eastAsia="Calibri" w:hAnsi="Gill Sans MT" w:cs="ArialMT"/>
          <w:sz w:val="20"/>
          <w:szCs w:val="20"/>
        </w:rPr>
      </w:pPr>
      <w:r w:rsidRPr="00B52856">
        <w:rPr>
          <w:rFonts w:ascii="Gill Sans MT" w:eastAsia="Calibri" w:hAnsi="Gill Sans MT" w:cs="ArialMT"/>
          <w:sz w:val="20"/>
          <w:szCs w:val="20"/>
        </w:rPr>
        <w:t xml:space="preserve">Besides, the </w:t>
      </w:r>
      <w:r w:rsidRPr="00B52856">
        <w:rPr>
          <w:rFonts w:ascii="Gill Sans MT" w:eastAsia="Calibri" w:hAnsi="Gill Sans MT" w:cs="Arial"/>
          <w:i/>
          <w:iCs/>
          <w:sz w:val="20"/>
          <w:szCs w:val="20"/>
        </w:rPr>
        <w:t xml:space="preserve">Midnimo </w:t>
      </w:r>
      <w:r w:rsidRPr="00B52856">
        <w:rPr>
          <w:rFonts w:ascii="Gill Sans MT" w:eastAsia="Calibri" w:hAnsi="Gill Sans MT" w:cs="ArialMT"/>
          <w:sz w:val="20"/>
          <w:szCs w:val="20"/>
        </w:rPr>
        <w:t xml:space="preserve">project, </w:t>
      </w:r>
      <w:r w:rsidRPr="00B52856">
        <w:rPr>
          <w:rFonts w:ascii="Gill Sans MT" w:eastAsia="Calibri" w:hAnsi="Gill Sans MT" w:cs="Arial"/>
          <w:i/>
          <w:iCs/>
          <w:sz w:val="20"/>
          <w:szCs w:val="20"/>
        </w:rPr>
        <w:t xml:space="preserve">Daldhis </w:t>
      </w:r>
      <w:r w:rsidRPr="00B52856">
        <w:rPr>
          <w:rFonts w:ascii="Gill Sans MT" w:eastAsia="Calibri" w:hAnsi="Gill Sans MT" w:cs="ArialMT"/>
          <w:sz w:val="20"/>
          <w:szCs w:val="20"/>
        </w:rPr>
        <w:t>project and PBF all contribute</w:t>
      </w:r>
      <w:r w:rsidR="00741F70">
        <w:rPr>
          <w:rFonts w:ascii="Gill Sans MT" w:eastAsia="Calibri" w:hAnsi="Gill Sans MT" w:cs="ArialMT"/>
          <w:sz w:val="20"/>
          <w:szCs w:val="20"/>
        </w:rPr>
        <w:t>d</w:t>
      </w:r>
      <w:r w:rsidRPr="00B52856">
        <w:rPr>
          <w:rFonts w:ascii="Gill Sans MT" w:eastAsia="Calibri" w:hAnsi="Gill Sans MT" w:cs="ArialMT"/>
          <w:sz w:val="20"/>
          <w:szCs w:val="20"/>
        </w:rPr>
        <w:t xml:space="preserve"> to the principles of Wadajir Framework that is designed to support the Federal Government of Somalia and its Federal Member States to rebuild their legitimacy vis-a-vis their citizens through the CRESTA approach. For instance, the PBF program activities coordinated with the MORDA and other government institutions thus improving their local engagement as well as leadership and visibility in the implementation of the project activities. Besides, by bringing diverse beneficiaries together such as returnees, IDPs and host communities the PBF program contributed to strengthened integration and community</w:t>
      </w:r>
      <w:r w:rsidR="00741F70">
        <w:rPr>
          <w:rFonts w:ascii="Gill Sans MT" w:eastAsia="Calibri" w:hAnsi="Gill Sans MT" w:cs="ArialMT"/>
          <w:sz w:val="20"/>
          <w:szCs w:val="20"/>
        </w:rPr>
        <w:t xml:space="preserve"> cohesion thus created good social </w:t>
      </w:r>
      <w:r w:rsidR="005D458E">
        <w:rPr>
          <w:rFonts w:ascii="Gill Sans MT" w:eastAsia="Calibri" w:hAnsi="Gill Sans MT" w:cs="ArialMT"/>
          <w:sz w:val="20"/>
          <w:szCs w:val="20"/>
        </w:rPr>
        <w:t>linkage</w:t>
      </w:r>
      <w:r w:rsidR="00741F70">
        <w:rPr>
          <w:rFonts w:ascii="Gill Sans MT" w:eastAsia="Calibri" w:hAnsi="Gill Sans MT" w:cs="ArialMT"/>
          <w:sz w:val="20"/>
          <w:szCs w:val="20"/>
        </w:rPr>
        <w:t>s</w:t>
      </w:r>
      <w:r w:rsidR="005D458E">
        <w:rPr>
          <w:rFonts w:ascii="Gill Sans MT" w:eastAsia="Calibri" w:hAnsi="Gill Sans MT" w:cs="ArialMT"/>
          <w:sz w:val="20"/>
          <w:szCs w:val="20"/>
        </w:rPr>
        <w:t>.</w:t>
      </w:r>
    </w:p>
    <w:p w14:paraId="57F7EA69" w14:textId="77777777" w:rsidR="00230515" w:rsidRPr="00B62036" w:rsidRDefault="00230515" w:rsidP="001000C2">
      <w:pPr>
        <w:pStyle w:val="ListParagraph"/>
        <w:keepNext/>
        <w:keepLines/>
        <w:ind w:left="360"/>
        <w:jc w:val="both"/>
        <w:outlineLvl w:val="1"/>
        <w:rPr>
          <w:rFonts w:ascii="Gill Sans MT" w:hAnsi="Gill Sans MT" w:cs="Calibri"/>
          <w:color w:val="000000"/>
          <w:sz w:val="20"/>
          <w:szCs w:val="20"/>
        </w:rPr>
      </w:pPr>
    </w:p>
    <w:p w14:paraId="3D0137FD" w14:textId="7853D802" w:rsidR="00D43173" w:rsidRDefault="00296FBD" w:rsidP="001000C2">
      <w:pPr>
        <w:jc w:val="both"/>
        <w:rPr>
          <w:rFonts w:ascii="Gill Sans MT" w:hAnsi="Gill Sans MT"/>
          <w:sz w:val="20"/>
          <w:szCs w:val="20"/>
        </w:rPr>
      </w:pPr>
      <w:r w:rsidRPr="001000C2">
        <w:rPr>
          <w:rFonts w:ascii="Gill Sans MT" w:eastAsia="Yu Gothic Light" w:hAnsi="Gill Sans MT"/>
          <w:b/>
          <w:bCs/>
          <w:color w:val="5B9BD5"/>
          <w:sz w:val="20"/>
          <w:szCs w:val="20"/>
        </w:rPr>
        <w:t xml:space="preserve">Gender Sensitivity; </w:t>
      </w:r>
      <w:r w:rsidRPr="001000C2">
        <w:rPr>
          <w:rFonts w:ascii="Gill Sans MT" w:hAnsi="Gill Sans MT"/>
          <w:sz w:val="20"/>
          <w:szCs w:val="20"/>
        </w:rPr>
        <w:t>All PUNO agencies continued to employ gender sensitive beneficiary targeting</w:t>
      </w:r>
      <w:r w:rsidR="00741F70">
        <w:rPr>
          <w:rFonts w:ascii="Gill Sans MT" w:hAnsi="Gill Sans MT"/>
          <w:sz w:val="20"/>
          <w:szCs w:val="20"/>
        </w:rPr>
        <w:t xml:space="preserve"> approach</w:t>
      </w:r>
      <w:r w:rsidRPr="001000C2">
        <w:rPr>
          <w:rFonts w:ascii="Gill Sans MT" w:hAnsi="Gill Sans MT"/>
          <w:sz w:val="20"/>
          <w:szCs w:val="20"/>
        </w:rPr>
        <w:t xml:space="preserve"> in all its projects and where possible, prioritized women headed households</w:t>
      </w:r>
      <w:r w:rsidR="00212972">
        <w:rPr>
          <w:rFonts w:ascii="Gill Sans MT" w:hAnsi="Gill Sans MT"/>
          <w:sz w:val="20"/>
          <w:szCs w:val="20"/>
        </w:rPr>
        <w:t>,</w:t>
      </w:r>
      <w:r w:rsidR="00212972" w:rsidRPr="00212972">
        <w:rPr>
          <w:rFonts w:ascii="Gill Sans MT" w:hAnsi="Gill Sans MT"/>
          <w:sz w:val="20"/>
          <w:szCs w:val="20"/>
        </w:rPr>
        <w:t xml:space="preserve"> </w:t>
      </w:r>
      <w:r w:rsidR="00212972" w:rsidRPr="001000C2">
        <w:rPr>
          <w:rFonts w:ascii="Gill Sans MT" w:hAnsi="Gill Sans MT"/>
          <w:sz w:val="20"/>
          <w:szCs w:val="20"/>
        </w:rPr>
        <w:t>pregnant women and those with under-</w:t>
      </w:r>
      <w:r w:rsidR="00212972" w:rsidRPr="00212972">
        <w:rPr>
          <w:rFonts w:ascii="Gill Sans MT" w:hAnsi="Gill Sans MT"/>
          <w:sz w:val="20"/>
          <w:szCs w:val="20"/>
        </w:rPr>
        <w:t>5</w:t>
      </w:r>
      <w:r w:rsidR="00212972">
        <w:rPr>
          <w:rFonts w:ascii="Gill Sans MT" w:hAnsi="Gill Sans MT"/>
          <w:sz w:val="20"/>
          <w:szCs w:val="20"/>
        </w:rPr>
        <w:t xml:space="preserve"> children, </w:t>
      </w:r>
      <w:r w:rsidR="00212972" w:rsidRPr="001000C2">
        <w:rPr>
          <w:rFonts w:ascii="Gill Sans MT" w:hAnsi="Gill Sans MT"/>
          <w:sz w:val="20"/>
          <w:szCs w:val="20"/>
        </w:rPr>
        <w:t>while ensuring that 30% of direct beneficiaries are women headed households for the livestock assistance.</w:t>
      </w:r>
      <w:r w:rsidRPr="001000C2">
        <w:rPr>
          <w:rFonts w:ascii="Gill Sans MT" w:hAnsi="Gill Sans MT"/>
          <w:sz w:val="20"/>
          <w:szCs w:val="20"/>
        </w:rPr>
        <w:t xml:space="preserve"> Participation of women and youth at all stages of the project management cycle consciously engaged with women</w:t>
      </w:r>
      <w:r w:rsidR="00741F70">
        <w:rPr>
          <w:rFonts w:ascii="Gill Sans MT" w:hAnsi="Gill Sans MT"/>
          <w:sz w:val="20"/>
          <w:szCs w:val="20"/>
        </w:rPr>
        <w:t>. For instance, w</w:t>
      </w:r>
      <w:r w:rsidRPr="001000C2">
        <w:rPr>
          <w:rFonts w:ascii="Gill Sans MT" w:hAnsi="Gill Sans MT"/>
          <w:sz w:val="20"/>
          <w:szCs w:val="20"/>
        </w:rPr>
        <w:t xml:space="preserve">omen have also been proactively involved and engaged in the formation and or strengthening of project management committee leadership positions to influence decision making and have their voices heard. </w:t>
      </w:r>
    </w:p>
    <w:p w14:paraId="57E836C5" w14:textId="77777777" w:rsidR="00D43173" w:rsidRDefault="00D43173" w:rsidP="001000C2">
      <w:pPr>
        <w:jc w:val="both"/>
        <w:rPr>
          <w:rFonts w:ascii="Gill Sans MT" w:hAnsi="Gill Sans MT"/>
          <w:sz w:val="20"/>
          <w:szCs w:val="20"/>
        </w:rPr>
      </w:pPr>
    </w:p>
    <w:p w14:paraId="6D8A29E5" w14:textId="36DAA64C" w:rsidR="00296FBD" w:rsidRDefault="00296FBD" w:rsidP="001000C2">
      <w:pPr>
        <w:jc w:val="both"/>
        <w:rPr>
          <w:rFonts w:ascii="Gill Sans MT" w:hAnsi="Gill Sans MT"/>
          <w:sz w:val="20"/>
          <w:szCs w:val="20"/>
        </w:rPr>
      </w:pPr>
      <w:r w:rsidRPr="001000C2">
        <w:rPr>
          <w:rFonts w:ascii="Gill Sans MT" w:hAnsi="Gill Sans MT"/>
          <w:sz w:val="20"/>
          <w:szCs w:val="20"/>
        </w:rPr>
        <w:t xml:space="preserve">UNICEF’s PBF education support project included women in their teacher training. 18 out of 60 teachers trained were female, which represents 30 per cent of the total number of participants. Similarly, the vocational skills programme conducted by ILO and UNHCR was designed to ensure that skills preferred by female participants were included – this was done through consultation with girls and has encouraged the active involvement of female participants in the training. </w:t>
      </w:r>
      <w:r w:rsidRPr="001000C2">
        <w:rPr>
          <w:rFonts w:ascii="Gill Sans MT" w:eastAsia="Calibri" w:hAnsi="Gill Sans MT"/>
          <w:sz w:val="20"/>
          <w:szCs w:val="20"/>
          <w:vertAlign w:val="superscript"/>
        </w:rPr>
        <w:footnoteReference w:id="1"/>
      </w:r>
      <w:r w:rsidR="00212972" w:rsidRPr="001000C2">
        <w:rPr>
          <w:rFonts w:ascii="Gill Sans MT" w:hAnsi="Gill Sans MT"/>
          <w:sz w:val="20"/>
          <w:szCs w:val="20"/>
        </w:rPr>
        <w:t xml:space="preserve"> For instance, although the target was 40% for female trainees the project managed to reach 38%, which was still seen impressive, </w:t>
      </w:r>
      <w:r w:rsidR="00212972" w:rsidRPr="00212972">
        <w:rPr>
          <w:rFonts w:ascii="Gill Sans MT" w:hAnsi="Gill Sans MT"/>
          <w:sz w:val="20"/>
          <w:szCs w:val="20"/>
        </w:rPr>
        <w:t>considering the circumstances of low literacy levels among Baidoa returnees, and the traditional low literacy levels</w:t>
      </w:r>
      <w:r w:rsidR="00212972" w:rsidRPr="001000C2">
        <w:rPr>
          <w:rFonts w:ascii="Gill Sans MT" w:hAnsi="Gill Sans MT"/>
          <w:sz w:val="20"/>
          <w:szCs w:val="20"/>
        </w:rPr>
        <w:t xml:space="preserve"> of female youth among the Somali refugees in general.</w:t>
      </w:r>
    </w:p>
    <w:p w14:paraId="0289FF0F" w14:textId="77777777" w:rsidR="00D43173" w:rsidRPr="001000C2" w:rsidRDefault="00D43173" w:rsidP="001000C2">
      <w:pPr>
        <w:jc w:val="both"/>
        <w:rPr>
          <w:rFonts w:ascii="Gill Sans MT" w:hAnsi="Gill Sans MT"/>
          <w:sz w:val="20"/>
          <w:szCs w:val="20"/>
        </w:rPr>
      </w:pPr>
    </w:p>
    <w:p w14:paraId="01A08D02" w14:textId="77777777" w:rsidR="00296FBD" w:rsidRPr="003A3D76" w:rsidRDefault="00296FBD" w:rsidP="003A3D76">
      <w:pPr>
        <w:rPr>
          <w:rFonts w:ascii="Gill Sans MT" w:hAnsi="Gill Sans MT"/>
          <w:b/>
          <w:sz w:val="20"/>
          <w:szCs w:val="20"/>
        </w:rPr>
      </w:pPr>
      <w:r w:rsidRPr="003A3D76">
        <w:rPr>
          <w:rFonts w:ascii="Gill Sans MT" w:eastAsia="Yu Gothic Light" w:hAnsi="Gill Sans MT"/>
          <w:b/>
          <w:sz w:val="20"/>
          <w:szCs w:val="20"/>
        </w:rPr>
        <w:t>Effectiveness</w:t>
      </w:r>
    </w:p>
    <w:p w14:paraId="240B6767" w14:textId="6A910DCA" w:rsidR="00296FBD" w:rsidRPr="001000C2" w:rsidRDefault="00296FBD" w:rsidP="001000C2">
      <w:pPr>
        <w:jc w:val="both"/>
        <w:rPr>
          <w:rFonts w:ascii="Gill Sans MT" w:hAnsi="Gill Sans MT"/>
          <w:sz w:val="20"/>
          <w:szCs w:val="20"/>
        </w:rPr>
      </w:pPr>
      <w:r w:rsidRPr="001000C2">
        <w:rPr>
          <w:rFonts w:ascii="Gill Sans MT" w:eastAsia="Yu Gothic Light" w:hAnsi="Gill Sans MT"/>
          <w:b/>
          <w:bCs/>
          <w:color w:val="5B9BD5"/>
          <w:sz w:val="20"/>
          <w:szCs w:val="20"/>
        </w:rPr>
        <w:t>Project Design;</w:t>
      </w:r>
      <w:r w:rsidR="009829C6" w:rsidRPr="001000C2">
        <w:rPr>
          <w:rFonts w:ascii="Gill Sans MT" w:eastAsia="Yu Gothic Light" w:hAnsi="Gill Sans MT"/>
          <w:b/>
          <w:bCs/>
          <w:color w:val="5B9BD5"/>
          <w:sz w:val="20"/>
          <w:szCs w:val="20"/>
        </w:rPr>
        <w:t xml:space="preserve"> </w:t>
      </w:r>
      <w:r w:rsidRPr="001000C2">
        <w:rPr>
          <w:rFonts w:ascii="Gill Sans MT" w:hAnsi="Gill Sans MT"/>
          <w:sz w:val="20"/>
          <w:szCs w:val="20"/>
        </w:rPr>
        <w:t xml:space="preserve">The Kenya- Somalia refugees and </w:t>
      </w:r>
      <w:r w:rsidR="003A3D76" w:rsidRPr="001000C2">
        <w:rPr>
          <w:rFonts w:ascii="Gill Sans MT" w:hAnsi="Gill Sans MT"/>
          <w:sz w:val="20"/>
          <w:szCs w:val="20"/>
        </w:rPr>
        <w:t>peace building</w:t>
      </w:r>
      <w:r w:rsidRPr="001000C2">
        <w:rPr>
          <w:rFonts w:ascii="Gill Sans MT" w:hAnsi="Gill Sans MT"/>
          <w:sz w:val="20"/>
          <w:szCs w:val="20"/>
        </w:rPr>
        <w:t xml:space="preserve"> cross border pilot project for voluntary return, co-existence and sustainable </w:t>
      </w:r>
      <w:r w:rsidR="00212972">
        <w:rPr>
          <w:rFonts w:ascii="Gill Sans MT" w:hAnsi="Gill Sans MT"/>
          <w:sz w:val="20"/>
          <w:szCs w:val="20"/>
        </w:rPr>
        <w:t>r</w:t>
      </w:r>
      <w:r w:rsidRPr="001000C2">
        <w:rPr>
          <w:rFonts w:ascii="Gill Sans MT" w:hAnsi="Gill Sans MT"/>
          <w:sz w:val="20"/>
          <w:szCs w:val="20"/>
        </w:rPr>
        <w:t xml:space="preserve">eintegration in the areas of return project was one of the first programs offering reintegration of voluntary returnees in Bay region of Somalia, and the strong demand for such assistance demonstrates the relevance of such initiatives in that region. However, a key weakness in the project design was the lack of proper community mobilization in Dadaab. While UNHCR </w:t>
      </w:r>
      <w:r w:rsidR="00212972">
        <w:rPr>
          <w:rFonts w:ascii="Gill Sans MT" w:hAnsi="Gill Sans MT"/>
          <w:sz w:val="20"/>
          <w:szCs w:val="20"/>
        </w:rPr>
        <w:t xml:space="preserve">Kenya </w:t>
      </w:r>
      <w:r w:rsidRPr="001000C2">
        <w:rPr>
          <w:rFonts w:ascii="Gill Sans MT" w:hAnsi="Gill Sans MT"/>
          <w:sz w:val="20"/>
          <w:szCs w:val="20"/>
        </w:rPr>
        <w:t xml:space="preserve">and its partners endeavored to engage communities, there were unfounded innuendos that targeting Baidoa returnees for the pilot project was a strategy to return communities from Bay region only. Another key challenge reported by implementing partners in Dadaab was that the project was at inception not well planned for in advance as DRC and NRC reported that they </w:t>
      </w:r>
      <w:r w:rsidRPr="001000C2">
        <w:rPr>
          <w:rFonts w:ascii="Gill Sans MT" w:hAnsi="Gill Sans MT"/>
          <w:sz w:val="20"/>
          <w:szCs w:val="20"/>
        </w:rPr>
        <w:lastRenderedPageBreak/>
        <w:t xml:space="preserve">were given a very short notice to enroll and kick off trainings which ideally need quite a bit of time considering the logistics involved. </w:t>
      </w:r>
    </w:p>
    <w:p w14:paraId="5CE892E3" w14:textId="77777777" w:rsidR="00230515" w:rsidRPr="001000C2" w:rsidRDefault="00230515" w:rsidP="001000C2">
      <w:pPr>
        <w:jc w:val="both"/>
        <w:rPr>
          <w:rFonts w:ascii="Gill Sans MT" w:hAnsi="Gill Sans MT"/>
          <w:sz w:val="20"/>
          <w:szCs w:val="20"/>
        </w:rPr>
      </w:pPr>
    </w:p>
    <w:p w14:paraId="2D26A0D0" w14:textId="0C3E6616" w:rsidR="005F591F" w:rsidRPr="005F591F" w:rsidRDefault="00296FBD" w:rsidP="005F591F">
      <w:pPr>
        <w:autoSpaceDE w:val="0"/>
        <w:autoSpaceDN w:val="0"/>
        <w:adjustRightInd w:val="0"/>
        <w:contextualSpacing/>
        <w:jc w:val="both"/>
        <w:rPr>
          <w:rFonts w:ascii="Gill Sans MT" w:eastAsia="Calibri" w:hAnsi="Gill Sans MT"/>
          <w:bCs/>
          <w:sz w:val="20"/>
          <w:szCs w:val="20"/>
        </w:rPr>
      </w:pPr>
      <w:r w:rsidRPr="005F591F">
        <w:rPr>
          <w:rFonts w:ascii="Gill Sans MT" w:eastAsia="Yu Gothic Light" w:hAnsi="Gill Sans MT"/>
          <w:b/>
          <w:bCs/>
          <w:color w:val="5B9BD5"/>
          <w:sz w:val="20"/>
          <w:szCs w:val="20"/>
        </w:rPr>
        <w:t xml:space="preserve">Project Flexibility; </w:t>
      </w:r>
      <w:r w:rsidR="00212972" w:rsidRPr="00034B5C">
        <w:rPr>
          <w:rFonts w:ascii="Gill Sans MT" w:hAnsi="Gill Sans MT"/>
          <w:color w:val="000000"/>
          <w:sz w:val="20"/>
          <w:szCs w:val="20"/>
        </w:rPr>
        <w:t xml:space="preserve">The PBF program activities were fairly flexible to the prevailing conditions. The PBF program   </w:t>
      </w:r>
      <w:r w:rsidRPr="00034B5C">
        <w:rPr>
          <w:rFonts w:ascii="Gill Sans MT" w:hAnsi="Gill Sans MT"/>
          <w:color w:val="000000"/>
          <w:sz w:val="20"/>
          <w:szCs w:val="20"/>
        </w:rPr>
        <w:t xml:space="preserve">was partly implemented </w:t>
      </w:r>
      <w:r w:rsidR="00212972" w:rsidRPr="00034B5C">
        <w:rPr>
          <w:rFonts w:ascii="Gill Sans MT" w:hAnsi="Gill Sans MT"/>
          <w:color w:val="000000"/>
          <w:sz w:val="20"/>
          <w:szCs w:val="20"/>
        </w:rPr>
        <w:t>during a severe drought that</w:t>
      </w:r>
      <w:r w:rsidRPr="00034B5C">
        <w:rPr>
          <w:rFonts w:ascii="Gill Sans MT" w:hAnsi="Gill Sans MT"/>
          <w:color w:val="000000"/>
          <w:sz w:val="20"/>
          <w:szCs w:val="20"/>
        </w:rPr>
        <w:t xml:space="preserve"> affected both rural and urban populations in South-Central Somalia</w:t>
      </w:r>
      <w:r w:rsidR="00212972" w:rsidRPr="00034B5C">
        <w:rPr>
          <w:rFonts w:ascii="Gill Sans MT" w:hAnsi="Gill Sans MT"/>
          <w:color w:val="000000"/>
          <w:sz w:val="20"/>
          <w:szCs w:val="20"/>
        </w:rPr>
        <w:t xml:space="preserve"> especially Baidoa region. The </w:t>
      </w:r>
      <w:r w:rsidRPr="00034B5C">
        <w:rPr>
          <w:rFonts w:ascii="Gill Sans MT" w:hAnsi="Gill Sans MT"/>
          <w:color w:val="000000"/>
          <w:sz w:val="20"/>
          <w:szCs w:val="20"/>
        </w:rPr>
        <w:t>intervention</w:t>
      </w:r>
      <w:r w:rsidR="00212972" w:rsidRPr="00034B5C">
        <w:rPr>
          <w:rFonts w:ascii="Gill Sans MT" w:hAnsi="Gill Sans MT"/>
          <w:color w:val="000000"/>
          <w:sz w:val="20"/>
          <w:szCs w:val="20"/>
        </w:rPr>
        <w:t>s were successful at adapting to the</w:t>
      </w:r>
      <w:r w:rsidRPr="00034B5C">
        <w:rPr>
          <w:rFonts w:ascii="Gill Sans MT" w:hAnsi="Gill Sans MT"/>
          <w:color w:val="000000"/>
          <w:sz w:val="20"/>
          <w:szCs w:val="20"/>
        </w:rPr>
        <w:t xml:space="preserve"> c</w:t>
      </w:r>
      <w:r w:rsidR="005F591F" w:rsidRPr="00034B5C">
        <w:rPr>
          <w:rFonts w:ascii="Gill Sans MT" w:hAnsi="Gill Sans MT"/>
          <w:color w:val="000000"/>
          <w:sz w:val="20"/>
          <w:szCs w:val="20"/>
        </w:rPr>
        <w:t>hallenges and some of the partners re-programed their activities</w:t>
      </w:r>
      <w:r w:rsidRPr="00034B5C">
        <w:rPr>
          <w:rFonts w:ascii="Gill Sans MT" w:hAnsi="Gill Sans MT"/>
          <w:color w:val="000000"/>
          <w:sz w:val="20"/>
          <w:szCs w:val="20"/>
        </w:rPr>
        <w:t xml:space="preserve">. </w:t>
      </w:r>
      <w:r w:rsidR="00C14A1E" w:rsidRPr="00034B5C">
        <w:rPr>
          <w:rFonts w:ascii="Gill Sans MT" w:hAnsi="Gill Sans MT"/>
          <w:color w:val="000000"/>
          <w:sz w:val="20"/>
          <w:szCs w:val="20"/>
        </w:rPr>
        <w:t>For instance,</w:t>
      </w:r>
      <w:r w:rsidR="005F591F" w:rsidRPr="00034B5C">
        <w:rPr>
          <w:rFonts w:ascii="Gill Sans MT" w:eastAsia="Calibri" w:hAnsi="Gill Sans MT"/>
          <w:sz w:val="20"/>
          <w:szCs w:val="20"/>
        </w:rPr>
        <w:t xml:space="preserve"> due to the increased internal displacement (triggered by drought in particular), UNHCR used the funds committed under the PRMN component of PBF (Indicator 2.1.2 # of returnees recorded and tracked in PRMN as successfully integrated and coexisting well with host communities for 3000 PoCs) towards tracking 244,000 IDPs in 261 IDP sites for better programming. There was also re-alignment of funds to address immediate water needs in Baidoa.</w:t>
      </w:r>
      <w:r w:rsidR="005F591F" w:rsidRPr="00034B5C">
        <w:rPr>
          <w:rFonts w:ascii="Gill Sans MT" w:eastAsia="Calibri" w:hAnsi="Gill Sans MT"/>
          <w:bCs/>
          <w:sz w:val="20"/>
          <w:szCs w:val="20"/>
        </w:rPr>
        <w:t xml:space="preserve"> Throu</w:t>
      </w:r>
      <w:bookmarkStart w:id="0" w:name="_GoBack"/>
      <w:bookmarkEnd w:id="0"/>
      <w:r w:rsidR="005F591F" w:rsidRPr="00034B5C">
        <w:rPr>
          <w:rFonts w:ascii="Gill Sans MT" w:eastAsia="Calibri" w:hAnsi="Gill Sans MT"/>
          <w:bCs/>
          <w:sz w:val="20"/>
          <w:szCs w:val="20"/>
        </w:rPr>
        <w:t xml:space="preserve">gh PBF program activities 21 water points was either rehabilitated or constructed thus contributed to increased access of water to affected persons of concerns in Baidoa. Besides, the PBF program activities have enabled Education in Emergencies response in 14 schools in Baidoa, reaching more children than initially targeted through construction of temporary learning spaces and distribution of learning and recreational materials. In addition, </w:t>
      </w:r>
      <w:r w:rsidR="005F591F" w:rsidRPr="00034B5C">
        <w:rPr>
          <w:rFonts w:ascii="Gill Sans MT" w:eastAsia="Calibri" w:hAnsi="Gill Sans MT"/>
          <w:sz w:val="20"/>
          <w:szCs w:val="20"/>
        </w:rPr>
        <w:t>the drought situation in Somalia in general and Baidoa in particular delayed the commencement of the agricultural inputs distribution by FAO. The targeted beneficiaries for farming have returned to the host communities after the onset of the Gu rains (April-July 2017) as such FAO did not find it technically appropriate to target the beneficiaries with agricultural and livestock inputs during Gu season. As a result, FAO reprogramed its activities to target the returnees and host communities during the oncoming Deyr season (October- December).</w:t>
      </w:r>
      <w:r w:rsidR="005F591F" w:rsidRPr="005F591F">
        <w:rPr>
          <w:rFonts w:ascii="Gill Sans MT" w:eastAsia="Calibri" w:hAnsi="Gill Sans MT"/>
          <w:sz w:val="20"/>
          <w:szCs w:val="20"/>
        </w:rPr>
        <w:t xml:space="preserve"> </w:t>
      </w:r>
    </w:p>
    <w:p w14:paraId="54E7C85F" w14:textId="77777777" w:rsidR="005D458E" w:rsidRPr="001000C2" w:rsidRDefault="005D458E" w:rsidP="001000C2">
      <w:pPr>
        <w:jc w:val="both"/>
        <w:rPr>
          <w:rFonts w:ascii="Gill Sans MT" w:hAnsi="Gill Sans MT"/>
          <w:sz w:val="20"/>
          <w:szCs w:val="20"/>
        </w:rPr>
      </w:pPr>
    </w:p>
    <w:p w14:paraId="6C483177" w14:textId="099782CC" w:rsidR="00296FBD" w:rsidRPr="001000C2" w:rsidRDefault="00296FBD" w:rsidP="001000C2">
      <w:pPr>
        <w:jc w:val="both"/>
        <w:rPr>
          <w:rFonts w:ascii="Gill Sans MT" w:hAnsi="Gill Sans MT"/>
          <w:sz w:val="20"/>
          <w:szCs w:val="20"/>
        </w:rPr>
      </w:pPr>
      <w:r w:rsidRPr="001000C2">
        <w:rPr>
          <w:rFonts w:ascii="Gill Sans MT" w:eastAsia="Yu Gothic Light" w:hAnsi="Gill Sans MT"/>
          <w:b/>
          <w:bCs/>
          <w:color w:val="5B9BD5"/>
          <w:sz w:val="20"/>
          <w:szCs w:val="20"/>
          <w:lang w:val="en-GB"/>
        </w:rPr>
        <w:t xml:space="preserve">Peace Building Component; </w:t>
      </w:r>
      <w:r w:rsidR="00647744" w:rsidRPr="001000C2">
        <w:rPr>
          <w:rFonts w:ascii="Gill Sans MT" w:hAnsi="Gill Sans MT"/>
          <w:sz w:val="20"/>
          <w:szCs w:val="20"/>
        </w:rPr>
        <w:t>while</w:t>
      </w:r>
      <w:r w:rsidRPr="001000C2">
        <w:rPr>
          <w:rFonts w:ascii="Gill Sans MT" w:hAnsi="Gill Sans MT"/>
          <w:sz w:val="20"/>
          <w:szCs w:val="20"/>
        </w:rPr>
        <w:t xml:space="preserve"> no notable activity on peace building component was delivered in </w:t>
      </w:r>
      <w:r w:rsidR="003A3D76" w:rsidRPr="001000C2">
        <w:rPr>
          <w:rFonts w:ascii="Gill Sans MT" w:hAnsi="Gill Sans MT"/>
          <w:sz w:val="20"/>
          <w:szCs w:val="20"/>
        </w:rPr>
        <w:t>Baidoa;</w:t>
      </w:r>
      <w:r w:rsidRPr="001000C2">
        <w:rPr>
          <w:rFonts w:ascii="Gill Sans MT" w:hAnsi="Gill Sans MT"/>
          <w:sz w:val="20"/>
          <w:szCs w:val="20"/>
        </w:rPr>
        <w:t xml:space="preserve"> RET International trained peace ambassadors in Dadaab for potential returnees. FGDs with the peace ambassadors (elders) confirmed that RET International trained them but the elders reported that the vast majority of them are currently based in Dadaab. This was further confirmed by the quantitative analysis which shows that the vast majority (</w:t>
      </w:r>
      <w:r w:rsidRPr="001000C2">
        <w:rPr>
          <w:rFonts w:ascii="Gill Sans MT" w:hAnsi="Gill Sans MT"/>
          <w:sz w:val="20"/>
          <w:szCs w:val="20"/>
          <w:lang w:val="en-GB"/>
        </w:rPr>
        <w:t>91.5%) of the returnees are of the view that the training on peace building and conflict resolutions has not helped them participate in democratic governance and reconciliation for they do not have any role in the government or security issues at present. However, 8.5% reported to have benefited from the training as camp leaders/solution committee, which is way below the targeted outcome for this activity</w:t>
      </w:r>
      <w:r w:rsidRPr="001000C2">
        <w:rPr>
          <w:rFonts w:ascii="Gill Sans MT" w:hAnsi="Gill Sans MT"/>
          <w:sz w:val="20"/>
          <w:szCs w:val="20"/>
        </w:rPr>
        <w:t>.</w:t>
      </w:r>
      <w:r w:rsidRPr="001000C2">
        <w:rPr>
          <w:rFonts w:ascii="Gill Sans MT" w:hAnsi="Gill Sans MT"/>
          <w:sz w:val="20"/>
          <w:szCs w:val="20"/>
          <w:lang w:val="en-GB"/>
        </w:rPr>
        <w:t xml:space="preserve"> Nonetheless, in Baidoa, </w:t>
      </w:r>
      <w:r w:rsidRPr="001000C2">
        <w:rPr>
          <w:rFonts w:ascii="Gill Sans MT" w:hAnsi="Gill Sans MT"/>
          <w:sz w:val="20"/>
          <w:szCs w:val="20"/>
        </w:rPr>
        <w:t>Community Based Planning applied by all the implementing partners as the methodology and entry point for building social cohesion among returnees, IDPs and host communities in Baidoa district proved beneficial in promoting peaceful settling-in for the returnees and coh</w:t>
      </w:r>
      <w:r w:rsidR="00230515" w:rsidRPr="001000C2">
        <w:rPr>
          <w:rFonts w:ascii="Gill Sans MT" w:hAnsi="Gill Sans MT"/>
          <w:sz w:val="20"/>
          <w:szCs w:val="20"/>
        </w:rPr>
        <w:t>esion among communities/groups.</w:t>
      </w:r>
    </w:p>
    <w:p w14:paraId="6A259257" w14:textId="77777777" w:rsidR="00230515" w:rsidRPr="001000C2" w:rsidRDefault="00230515" w:rsidP="001000C2">
      <w:pPr>
        <w:jc w:val="both"/>
        <w:rPr>
          <w:rFonts w:ascii="Gill Sans MT" w:hAnsi="Gill Sans MT"/>
          <w:sz w:val="20"/>
          <w:szCs w:val="20"/>
        </w:rPr>
      </w:pPr>
    </w:p>
    <w:p w14:paraId="0FB0FC2E" w14:textId="445D9C33" w:rsidR="009829C6" w:rsidRPr="001000C2" w:rsidRDefault="00296FBD" w:rsidP="001000C2">
      <w:pPr>
        <w:jc w:val="both"/>
        <w:rPr>
          <w:rFonts w:ascii="Gill Sans MT" w:hAnsi="Gill Sans MT" w:cs="Calibri"/>
          <w:color w:val="000000"/>
          <w:sz w:val="20"/>
          <w:szCs w:val="20"/>
        </w:rPr>
      </w:pPr>
      <w:r w:rsidRPr="001000C2">
        <w:rPr>
          <w:rFonts w:ascii="Gill Sans MT" w:eastAsia="Yu Gothic Light" w:hAnsi="Gill Sans MT"/>
          <w:b/>
          <w:bCs/>
          <w:color w:val="5B9BD5"/>
          <w:sz w:val="20"/>
          <w:szCs w:val="20"/>
        </w:rPr>
        <w:t xml:space="preserve">Beneficiary Selection: </w:t>
      </w:r>
      <w:r w:rsidRPr="001000C2">
        <w:rPr>
          <w:rFonts w:ascii="Gill Sans MT" w:hAnsi="Gill Sans MT" w:cs="Calibri"/>
          <w:color w:val="000000"/>
          <w:sz w:val="20"/>
          <w:szCs w:val="20"/>
        </w:rPr>
        <w:t xml:space="preserve">Although the </w:t>
      </w:r>
      <w:r w:rsidR="00617253">
        <w:rPr>
          <w:rFonts w:ascii="Gill Sans MT" w:hAnsi="Gill Sans MT" w:cs="Calibri"/>
          <w:color w:val="000000"/>
          <w:sz w:val="20"/>
          <w:szCs w:val="20"/>
        </w:rPr>
        <w:t xml:space="preserve">PBF program </w:t>
      </w:r>
      <w:r w:rsidRPr="001000C2">
        <w:rPr>
          <w:rFonts w:ascii="Gill Sans MT" w:hAnsi="Gill Sans MT" w:cs="Calibri"/>
          <w:color w:val="000000"/>
          <w:sz w:val="20"/>
          <w:szCs w:val="20"/>
        </w:rPr>
        <w:t xml:space="preserve">did not provide a harmonized approach for beneficiary selection process, PUNOs and respective partners adopted varied selection methods. The various mode of selection </w:t>
      </w:r>
      <w:r w:rsidR="00617253">
        <w:rPr>
          <w:rFonts w:ascii="Gill Sans MT" w:hAnsi="Gill Sans MT" w:cs="Calibri"/>
          <w:color w:val="000000"/>
          <w:sz w:val="20"/>
          <w:szCs w:val="20"/>
        </w:rPr>
        <w:t xml:space="preserve">adopted by partners include; engagement with MORDA, local municipality, office of the regional governor </w:t>
      </w:r>
      <w:r w:rsidRPr="001000C2">
        <w:rPr>
          <w:rFonts w:ascii="Gill Sans MT" w:hAnsi="Gill Sans MT" w:cs="Calibri"/>
          <w:color w:val="000000"/>
          <w:sz w:val="20"/>
          <w:szCs w:val="20"/>
        </w:rPr>
        <w:t>and community leaders</w:t>
      </w:r>
      <w:r w:rsidR="00617253">
        <w:rPr>
          <w:rFonts w:ascii="Gill Sans MT" w:hAnsi="Gill Sans MT" w:cs="Calibri"/>
          <w:color w:val="000000"/>
          <w:sz w:val="20"/>
          <w:szCs w:val="20"/>
        </w:rPr>
        <w:t xml:space="preserve"> as well as camp leaders</w:t>
      </w:r>
      <w:r w:rsidRPr="001000C2">
        <w:rPr>
          <w:rFonts w:ascii="Gill Sans MT" w:hAnsi="Gill Sans MT" w:cs="Calibri"/>
          <w:color w:val="000000"/>
          <w:sz w:val="20"/>
          <w:szCs w:val="20"/>
        </w:rPr>
        <w:t xml:space="preserve"> to identify beneficiaries based on a set vulnerability criteria while taking a supervisory role. The target beneficiaries were disproportionately selected from host community, returnees, and internally displaced persons (IDPs). The deliberate inclusion of returnees, IDPs and host</w:t>
      </w:r>
      <w:r w:rsidR="00617253">
        <w:rPr>
          <w:rFonts w:ascii="Gill Sans MT" w:hAnsi="Gill Sans MT" w:cs="Calibri"/>
          <w:color w:val="000000"/>
          <w:sz w:val="20"/>
          <w:szCs w:val="20"/>
        </w:rPr>
        <w:t xml:space="preserve"> communities in</w:t>
      </w:r>
      <w:r w:rsidRPr="001000C2">
        <w:rPr>
          <w:rFonts w:ascii="Gill Sans MT" w:hAnsi="Gill Sans MT" w:cs="Calibri"/>
          <w:color w:val="000000"/>
          <w:sz w:val="20"/>
          <w:szCs w:val="20"/>
        </w:rPr>
        <w:t xml:space="preserve"> beneficiary selection was a positive step towards creating peaceful coexistence</w:t>
      </w:r>
      <w:r w:rsidR="00617253">
        <w:rPr>
          <w:rFonts w:ascii="Gill Sans MT" w:hAnsi="Gill Sans MT" w:cs="Calibri"/>
          <w:color w:val="000000"/>
          <w:sz w:val="20"/>
          <w:szCs w:val="20"/>
        </w:rPr>
        <w:t>, ownership</w:t>
      </w:r>
      <w:r w:rsidRPr="001000C2">
        <w:rPr>
          <w:rFonts w:ascii="Gill Sans MT" w:hAnsi="Gill Sans MT" w:cs="Calibri"/>
          <w:color w:val="000000"/>
          <w:sz w:val="20"/>
          <w:szCs w:val="20"/>
        </w:rPr>
        <w:t xml:space="preserve"> and acceptance. </w:t>
      </w:r>
    </w:p>
    <w:p w14:paraId="3E6BF3AA" w14:textId="77777777" w:rsidR="00230515" w:rsidRPr="001000C2" w:rsidRDefault="00230515" w:rsidP="001000C2">
      <w:pPr>
        <w:jc w:val="both"/>
        <w:rPr>
          <w:rFonts w:ascii="Gill Sans MT" w:hAnsi="Gill Sans MT" w:cs="Calibri"/>
          <w:color w:val="000000"/>
          <w:sz w:val="20"/>
          <w:szCs w:val="20"/>
        </w:rPr>
      </w:pPr>
    </w:p>
    <w:p w14:paraId="6FBB37F2" w14:textId="6ADB86A9" w:rsidR="009829C6" w:rsidRPr="001000C2" w:rsidRDefault="00296FBD" w:rsidP="001000C2">
      <w:pPr>
        <w:jc w:val="both"/>
        <w:rPr>
          <w:rFonts w:ascii="Gill Sans MT" w:hAnsi="Gill Sans MT" w:cs="Calibri"/>
          <w:color w:val="000000"/>
          <w:sz w:val="20"/>
          <w:szCs w:val="20"/>
        </w:rPr>
      </w:pPr>
      <w:r w:rsidRPr="001000C2">
        <w:rPr>
          <w:rFonts w:ascii="Gill Sans MT" w:eastAsia="Yu Gothic Light" w:hAnsi="Gill Sans MT"/>
          <w:b/>
          <w:bCs/>
          <w:color w:val="5B9BD5"/>
          <w:sz w:val="20"/>
          <w:szCs w:val="20"/>
        </w:rPr>
        <w:t xml:space="preserve">Effectiveness of Project Activities; </w:t>
      </w:r>
      <w:r w:rsidRPr="001000C2">
        <w:rPr>
          <w:rFonts w:ascii="Gill Sans MT" w:hAnsi="Gill Sans MT" w:cs="Calibri"/>
          <w:color w:val="000000"/>
          <w:sz w:val="20"/>
          <w:szCs w:val="20"/>
        </w:rPr>
        <w:t>The implementation of the various project activities involved rehabilitation and construction of schools, markets, roads and government facilities etc. that were jointly done by women and men from various backgrounds that had limited or no engagement</w:t>
      </w:r>
      <w:r w:rsidR="00617253">
        <w:rPr>
          <w:rFonts w:ascii="Gill Sans MT" w:hAnsi="Gill Sans MT" w:cs="Calibri"/>
          <w:color w:val="000000"/>
          <w:sz w:val="20"/>
          <w:szCs w:val="20"/>
        </w:rPr>
        <w:t xml:space="preserve"> with each other</w:t>
      </w:r>
      <w:r w:rsidRPr="001000C2">
        <w:rPr>
          <w:rFonts w:ascii="Gill Sans MT" w:hAnsi="Gill Sans MT" w:cs="Calibri"/>
          <w:color w:val="000000"/>
          <w:sz w:val="20"/>
          <w:szCs w:val="20"/>
        </w:rPr>
        <w:t xml:space="preserve"> before</w:t>
      </w:r>
      <w:r w:rsidR="00617253">
        <w:rPr>
          <w:rFonts w:ascii="Gill Sans MT" w:hAnsi="Gill Sans MT" w:cs="Calibri"/>
          <w:color w:val="000000"/>
          <w:sz w:val="20"/>
          <w:szCs w:val="20"/>
        </w:rPr>
        <w:t xml:space="preserve"> the project</w:t>
      </w:r>
      <w:r w:rsidRPr="001000C2">
        <w:rPr>
          <w:rFonts w:ascii="Gill Sans MT" w:hAnsi="Gill Sans MT" w:cs="Calibri"/>
          <w:color w:val="000000"/>
          <w:sz w:val="20"/>
          <w:szCs w:val="20"/>
        </w:rPr>
        <w:t>. Interviews with some of the beneficiaries rev</w:t>
      </w:r>
      <w:r w:rsidR="00617253">
        <w:rPr>
          <w:rFonts w:ascii="Gill Sans MT" w:hAnsi="Gill Sans MT" w:cs="Calibri"/>
          <w:color w:val="000000"/>
          <w:sz w:val="20"/>
          <w:szCs w:val="20"/>
        </w:rPr>
        <w:t xml:space="preserve">ealed that the project created </w:t>
      </w:r>
      <w:r w:rsidRPr="001000C2">
        <w:rPr>
          <w:rFonts w:ascii="Gill Sans MT" w:hAnsi="Gill Sans MT" w:cs="Calibri"/>
          <w:color w:val="000000"/>
          <w:sz w:val="20"/>
          <w:szCs w:val="20"/>
        </w:rPr>
        <w:t>platform</w:t>
      </w:r>
      <w:r w:rsidR="00617253">
        <w:rPr>
          <w:rFonts w:ascii="Gill Sans MT" w:hAnsi="Gill Sans MT" w:cs="Calibri"/>
          <w:color w:val="000000"/>
          <w:sz w:val="20"/>
          <w:szCs w:val="20"/>
        </w:rPr>
        <w:t>s</w:t>
      </w:r>
      <w:r w:rsidRPr="001000C2">
        <w:rPr>
          <w:rFonts w:ascii="Gill Sans MT" w:hAnsi="Gill Sans MT" w:cs="Calibri"/>
          <w:color w:val="000000"/>
          <w:sz w:val="20"/>
          <w:szCs w:val="20"/>
        </w:rPr>
        <w:t xml:space="preserve"> for engagement and interaction among all groups and enhanced their relations after the project. The project was thus seen as having removed barriers and provided good interface for returnees who have fled the civil war in Somalia and run to Kenya but decided to voluntary to return after more than a decade as the experience of starting a new life in such environment is quite challenging. </w:t>
      </w:r>
    </w:p>
    <w:p w14:paraId="4E6F955A" w14:textId="77777777" w:rsidR="00230515" w:rsidRPr="001000C2" w:rsidRDefault="00230515" w:rsidP="001000C2">
      <w:pPr>
        <w:jc w:val="both"/>
        <w:rPr>
          <w:rFonts w:ascii="Gill Sans MT" w:hAnsi="Gill Sans MT" w:cs="Calibri"/>
          <w:color w:val="000000"/>
          <w:sz w:val="20"/>
          <w:szCs w:val="20"/>
        </w:rPr>
      </w:pPr>
    </w:p>
    <w:p w14:paraId="1E87386A" w14:textId="6A546DDF" w:rsidR="00742A86" w:rsidRPr="001000C2" w:rsidRDefault="00296FBD" w:rsidP="001000C2">
      <w:pPr>
        <w:jc w:val="both"/>
        <w:rPr>
          <w:rFonts w:ascii="Gill Sans MT" w:hAnsi="Gill Sans MT"/>
          <w:sz w:val="20"/>
          <w:szCs w:val="20"/>
          <w:lang w:val="en-GB"/>
        </w:rPr>
      </w:pPr>
      <w:r w:rsidRPr="001000C2">
        <w:rPr>
          <w:rFonts w:ascii="Gill Sans MT" w:eastAsia="Yu Gothic Light" w:hAnsi="Gill Sans MT"/>
          <w:b/>
          <w:bCs/>
          <w:color w:val="5B9BD5"/>
          <w:sz w:val="20"/>
          <w:szCs w:val="20"/>
        </w:rPr>
        <w:t xml:space="preserve">Reintegration of Returnees; </w:t>
      </w:r>
      <w:r w:rsidR="00617253">
        <w:rPr>
          <w:rFonts w:ascii="Gill Sans MT" w:hAnsi="Gill Sans MT"/>
          <w:sz w:val="20"/>
          <w:szCs w:val="20"/>
        </w:rPr>
        <w:t xml:space="preserve">although </w:t>
      </w:r>
      <w:r w:rsidRPr="001000C2">
        <w:rPr>
          <w:rFonts w:ascii="Gill Sans MT" w:hAnsi="Gill Sans MT"/>
          <w:sz w:val="20"/>
          <w:szCs w:val="20"/>
        </w:rPr>
        <w:t xml:space="preserve">the reintegration segment of the project was not well spelt out </w:t>
      </w:r>
      <w:r w:rsidR="00617253">
        <w:rPr>
          <w:rFonts w:ascii="Gill Sans MT" w:hAnsi="Gill Sans MT"/>
          <w:sz w:val="20"/>
          <w:szCs w:val="20"/>
        </w:rPr>
        <w:t>by all partners, the PBF program</w:t>
      </w:r>
      <w:r w:rsidRPr="001000C2">
        <w:rPr>
          <w:rFonts w:ascii="Gill Sans MT" w:hAnsi="Gill Sans MT"/>
          <w:sz w:val="20"/>
          <w:szCs w:val="20"/>
        </w:rPr>
        <w:t xml:space="preserve"> has had verifiably positive achievements in this area. Firstly, the main focus of assistance was at the local level, where municipal and non-government actors have been supported through funding and capacity development assistance for local return and reintegration projects, which resulted in the rehabilitation of local infrastructure such as schools, the provision of socio-economic assistance to returnees, and the undertaking of community development initiatives. The engagement of the South West State’s MORDA</w:t>
      </w:r>
      <w:r w:rsidR="00617253">
        <w:rPr>
          <w:rFonts w:ascii="Gill Sans MT" w:hAnsi="Gill Sans MT"/>
          <w:sz w:val="20"/>
          <w:szCs w:val="20"/>
        </w:rPr>
        <w:t xml:space="preserve"> and other institutions were </w:t>
      </w:r>
      <w:r w:rsidRPr="001000C2">
        <w:rPr>
          <w:rFonts w:ascii="Gill Sans MT" w:hAnsi="Gill Sans MT"/>
          <w:sz w:val="20"/>
          <w:szCs w:val="20"/>
        </w:rPr>
        <w:t>key step</w:t>
      </w:r>
      <w:r w:rsidR="00617253">
        <w:rPr>
          <w:rFonts w:ascii="Gill Sans MT" w:hAnsi="Gill Sans MT"/>
          <w:sz w:val="20"/>
          <w:szCs w:val="20"/>
        </w:rPr>
        <w:t>s to</w:t>
      </w:r>
      <w:r w:rsidRPr="001000C2">
        <w:rPr>
          <w:rFonts w:ascii="Gill Sans MT" w:hAnsi="Gill Sans MT"/>
          <w:sz w:val="20"/>
          <w:szCs w:val="20"/>
        </w:rPr>
        <w:t xml:space="preserve"> promoting the prospect for reintegration of the retur</w:t>
      </w:r>
      <w:r w:rsidR="00617253">
        <w:rPr>
          <w:rFonts w:ascii="Gill Sans MT" w:hAnsi="Gill Sans MT"/>
          <w:sz w:val="20"/>
          <w:szCs w:val="20"/>
        </w:rPr>
        <w:t>nees. Analysi</w:t>
      </w:r>
      <w:r w:rsidRPr="001000C2">
        <w:rPr>
          <w:rFonts w:ascii="Gill Sans MT" w:hAnsi="Gill Sans MT"/>
          <w:sz w:val="20"/>
          <w:szCs w:val="20"/>
        </w:rPr>
        <w:t xml:space="preserve">s show that </w:t>
      </w:r>
      <w:r w:rsidRPr="001000C2">
        <w:rPr>
          <w:rFonts w:ascii="Gill Sans MT" w:hAnsi="Gill Sans MT"/>
          <w:sz w:val="20"/>
          <w:szCs w:val="20"/>
          <w:lang w:val="en-GB"/>
        </w:rPr>
        <w:t>84.8 % of the respondents strong</w:t>
      </w:r>
      <w:r w:rsidR="00617253">
        <w:rPr>
          <w:rFonts w:ascii="Gill Sans MT" w:hAnsi="Gill Sans MT"/>
          <w:sz w:val="20"/>
          <w:szCs w:val="20"/>
          <w:lang w:val="en-GB"/>
        </w:rPr>
        <w:t>ly believe that host community we</w:t>
      </w:r>
      <w:r w:rsidRPr="001000C2">
        <w:rPr>
          <w:rFonts w:ascii="Gill Sans MT" w:hAnsi="Gill Sans MT"/>
          <w:sz w:val="20"/>
          <w:szCs w:val="20"/>
          <w:lang w:val="en-GB"/>
        </w:rPr>
        <w:t>re obliged to help returnees as much as they possibly can,</w:t>
      </w:r>
      <w:r w:rsidR="00617253">
        <w:rPr>
          <w:rFonts w:ascii="Gill Sans MT" w:hAnsi="Gill Sans MT"/>
          <w:sz w:val="20"/>
          <w:szCs w:val="20"/>
          <w:lang w:val="en-GB"/>
        </w:rPr>
        <w:t xml:space="preserve"> while</w:t>
      </w:r>
      <w:r w:rsidRPr="001000C2">
        <w:rPr>
          <w:rFonts w:ascii="Gill Sans MT" w:hAnsi="Gill Sans MT"/>
          <w:sz w:val="20"/>
          <w:szCs w:val="20"/>
          <w:lang w:val="en-GB"/>
        </w:rPr>
        <w:t xml:space="preserve"> 13.2% </w:t>
      </w:r>
      <w:r w:rsidR="00617253">
        <w:rPr>
          <w:rFonts w:ascii="Gill Sans MT" w:hAnsi="Gill Sans MT"/>
          <w:sz w:val="20"/>
          <w:szCs w:val="20"/>
          <w:lang w:val="en-GB"/>
        </w:rPr>
        <w:t xml:space="preserve">indicated they felt </w:t>
      </w:r>
      <w:r w:rsidRPr="001000C2">
        <w:rPr>
          <w:rFonts w:ascii="Gill Sans MT" w:hAnsi="Gill Sans MT"/>
          <w:sz w:val="20"/>
          <w:szCs w:val="20"/>
          <w:lang w:val="en-GB"/>
        </w:rPr>
        <w:t xml:space="preserve">less obliged to help returnees </w:t>
      </w:r>
      <w:r w:rsidR="00617253">
        <w:rPr>
          <w:rFonts w:ascii="Gill Sans MT" w:hAnsi="Gill Sans MT"/>
          <w:sz w:val="20"/>
          <w:szCs w:val="20"/>
          <w:lang w:val="en-GB"/>
        </w:rPr>
        <w:t>citing</w:t>
      </w:r>
      <w:r w:rsidRPr="001000C2">
        <w:rPr>
          <w:rFonts w:ascii="Gill Sans MT" w:hAnsi="Gill Sans MT"/>
          <w:sz w:val="20"/>
          <w:szCs w:val="20"/>
          <w:lang w:val="en-GB"/>
        </w:rPr>
        <w:t xml:space="preserve"> returnees should rely for help on their o</w:t>
      </w:r>
      <w:r w:rsidR="00617253">
        <w:rPr>
          <w:rFonts w:ascii="Gill Sans MT" w:hAnsi="Gill Sans MT"/>
          <w:sz w:val="20"/>
          <w:szCs w:val="20"/>
          <w:lang w:val="en-GB"/>
        </w:rPr>
        <w:t xml:space="preserve">wn clan members and only 2% felt an obligation to help returnees to get </w:t>
      </w:r>
      <w:r w:rsidRPr="001000C2">
        <w:rPr>
          <w:rFonts w:ascii="Gill Sans MT" w:hAnsi="Gill Sans MT"/>
          <w:sz w:val="20"/>
          <w:szCs w:val="20"/>
          <w:lang w:val="en-GB"/>
        </w:rPr>
        <w:t xml:space="preserve">job for aid agencies and government. </w:t>
      </w:r>
    </w:p>
    <w:p w14:paraId="29C17A4F" w14:textId="77777777" w:rsidR="00230515" w:rsidRPr="001000C2" w:rsidRDefault="00230515" w:rsidP="001000C2">
      <w:pPr>
        <w:jc w:val="both"/>
        <w:rPr>
          <w:rFonts w:ascii="Gill Sans MT" w:hAnsi="Gill Sans MT"/>
          <w:sz w:val="20"/>
          <w:szCs w:val="20"/>
          <w:lang w:val="en-GB"/>
        </w:rPr>
      </w:pPr>
    </w:p>
    <w:p w14:paraId="3F1C650C" w14:textId="448BF002" w:rsidR="00296FBD" w:rsidRPr="001000C2" w:rsidRDefault="00296FBD" w:rsidP="001000C2">
      <w:pPr>
        <w:jc w:val="both"/>
        <w:rPr>
          <w:rFonts w:ascii="Gill Sans MT" w:hAnsi="Gill Sans MT"/>
          <w:sz w:val="20"/>
          <w:szCs w:val="20"/>
        </w:rPr>
      </w:pPr>
      <w:r w:rsidRPr="001000C2">
        <w:rPr>
          <w:rFonts w:ascii="Gill Sans MT" w:eastAsia="Yu Gothic Light" w:hAnsi="Gill Sans MT"/>
          <w:b/>
          <w:bCs/>
          <w:color w:val="5B9BD5"/>
          <w:sz w:val="20"/>
          <w:szCs w:val="20"/>
        </w:rPr>
        <w:t xml:space="preserve">Assessment of Theory of Change Model: </w:t>
      </w:r>
      <w:r w:rsidRPr="001000C2">
        <w:rPr>
          <w:rFonts w:ascii="Gill Sans MT" w:hAnsi="Gill Sans MT" w:cs="Garamond"/>
          <w:color w:val="000000"/>
          <w:sz w:val="20"/>
          <w:szCs w:val="20"/>
        </w:rPr>
        <w:t xml:space="preserve">The evaluation noted that the project has achieved considerable milestones in building the capacity of </w:t>
      </w:r>
      <w:r w:rsidRPr="001000C2">
        <w:rPr>
          <w:rFonts w:ascii="Gill Sans MT" w:hAnsi="Gill Sans MT"/>
          <w:sz w:val="20"/>
          <w:szCs w:val="20"/>
        </w:rPr>
        <w:t xml:space="preserve">refugee returnees’ resilience through the provision of basic infrastructure and livelihoods support. The evaluation found out majority of prospective Baidoa returnees trained in peace building and conflict resolutions for increased participation in democratic governance and reconciliation processes and the 77 (39M, 38F) peace ambassadors trained to act as trainers of trainees were not able to be traced as most are still in Dadaab refugee camps. Therefore, the lack of return for these peace ambassadors to Baidoa is likely to affect the outcome on increased capacity of the returnees and to build peace dividends and enhance governance. </w:t>
      </w:r>
    </w:p>
    <w:p w14:paraId="6EDA48FF" w14:textId="19B77053" w:rsidR="000C12DA" w:rsidRPr="001000C2" w:rsidRDefault="00296FBD" w:rsidP="001000C2">
      <w:pPr>
        <w:jc w:val="both"/>
        <w:rPr>
          <w:rFonts w:ascii="Gill Sans MT" w:hAnsi="Gill Sans MT" w:cs="Calibri"/>
          <w:sz w:val="20"/>
          <w:szCs w:val="20"/>
        </w:rPr>
      </w:pPr>
      <w:r w:rsidRPr="001000C2">
        <w:rPr>
          <w:rFonts w:ascii="Gill Sans MT" w:eastAsia="Yu Gothic Light" w:hAnsi="Gill Sans MT"/>
          <w:b/>
          <w:bCs/>
          <w:color w:val="5B9BD5"/>
          <w:sz w:val="20"/>
          <w:szCs w:val="20"/>
        </w:rPr>
        <w:t xml:space="preserve">Accountability to Affected Population (AAP); </w:t>
      </w:r>
      <w:r w:rsidRPr="001000C2">
        <w:rPr>
          <w:rFonts w:ascii="Gill Sans MT" w:hAnsi="Gill Sans MT" w:cs="Calibri"/>
          <w:color w:val="000000"/>
          <w:sz w:val="20"/>
          <w:szCs w:val="20"/>
        </w:rPr>
        <w:t xml:space="preserve">The study found out that beneficiaries and community leaders including IDP camp heads, chiefs and traditional elders played a key role in the targeting and selection of beneficiaries. Interview with field teams indicated that they held meetings with government officials. The government played a role in the identification of sites especially IDP camps from protracted cases (existing camps). </w:t>
      </w:r>
      <w:r w:rsidRPr="001000C2">
        <w:rPr>
          <w:rFonts w:ascii="Gill Sans MT" w:hAnsi="Gill Sans MT" w:cs="Calibri"/>
          <w:sz w:val="20"/>
          <w:szCs w:val="20"/>
        </w:rPr>
        <w:t xml:space="preserve">Further, the study noted that some UN agencies had conducted own evaluations and interviewed beneficiaries to assess project performance and impact. </w:t>
      </w:r>
    </w:p>
    <w:p w14:paraId="7E7DEFA7" w14:textId="77777777" w:rsidR="00230515" w:rsidRPr="001000C2" w:rsidRDefault="00230515" w:rsidP="001000C2">
      <w:pPr>
        <w:jc w:val="both"/>
        <w:rPr>
          <w:rFonts w:ascii="Gill Sans MT" w:hAnsi="Gill Sans MT" w:cs="Calibri"/>
          <w:color w:val="000000"/>
          <w:sz w:val="20"/>
          <w:szCs w:val="20"/>
        </w:rPr>
      </w:pPr>
    </w:p>
    <w:p w14:paraId="5DF8CAA5" w14:textId="15193FCE" w:rsidR="000C12DA" w:rsidRPr="001000C2" w:rsidRDefault="00296FBD" w:rsidP="001000C2">
      <w:pPr>
        <w:jc w:val="both"/>
        <w:rPr>
          <w:rFonts w:ascii="Gill Sans MT" w:hAnsi="Gill Sans MT"/>
          <w:sz w:val="20"/>
          <w:szCs w:val="20"/>
        </w:rPr>
      </w:pPr>
      <w:r w:rsidRPr="001000C2">
        <w:rPr>
          <w:rFonts w:ascii="Gill Sans MT" w:eastAsia="Yu Gothic Light" w:hAnsi="Gill Sans MT"/>
          <w:b/>
          <w:bCs/>
          <w:color w:val="5B9BD5"/>
          <w:sz w:val="20"/>
          <w:szCs w:val="20"/>
        </w:rPr>
        <w:t xml:space="preserve">Efficiency of Coordination Mechanisms; </w:t>
      </w:r>
      <w:r w:rsidRPr="001000C2">
        <w:rPr>
          <w:rFonts w:ascii="Gill Sans MT" w:hAnsi="Gill Sans MT" w:cs="Calibri"/>
          <w:color w:val="000000"/>
          <w:sz w:val="20"/>
          <w:szCs w:val="20"/>
        </w:rPr>
        <w:t>The PBF program in Baidoa had multiple levels of coordination mechanisms including; coordination between PUNOs and MORDA; PUNOs closely coordinated with local implementing partners, and local partners coordinated with community members</w:t>
      </w:r>
      <w:r w:rsidR="00956947">
        <w:rPr>
          <w:rFonts w:ascii="Gill Sans MT" w:hAnsi="Gill Sans MT" w:cs="Calibri"/>
          <w:color w:val="000000"/>
          <w:sz w:val="20"/>
          <w:szCs w:val="20"/>
        </w:rPr>
        <w:t xml:space="preserve"> and PUNOs </w:t>
      </w:r>
      <w:r w:rsidR="00956947" w:rsidRPr="00956947">
        <w:rPr>
          <w:rFonts w:ascii="Gill Sans MT" w:hAnsi="Gill Sans MT" w:cs="Calibri"/>
          <w:color w:val="000000"/>
          <w:sz w:val="20"/>
          <w:szCs w:val="20"/>
        </w:rPr>
        <w:t>follow</w:t>
      </w:r>
      <w:r w:rsidR="00956947">
        <w:rPr>
          <w:rFonts w:ascii="Gill Sans MT" w:hAnsi="Gill Sans MT" w:cs="Calibri"/>
          <w:color w:val="000000"/>
          <w:sz w:val="20"/>
          <w:szCs w:val="20"/>
        </w:rPr>
        <w:t>ed</w:t>
      </w:r>
      <w:r w:rsidR="00956947" w:rsidRPr="00956947">
        <w:rPr>
          <w:rFonts w:ascii="Gill Sans MT" w:hAnsi="Gill Sans MT" w:cs="Calibri"/>
          <w:color w:val="000000"/>
          <w:sz w:val="20"/>
          <w:szCs w:val="20"/>
        </w:rPr>
        <w:t xml:space="preserve"> up returnees to understand their challenges and progress.</w:t>
      </w:r>
      <w:r w:rsidRPr="001000C2">
        <w:rPr>
          <w:rFonts w:ascii="Gill Sans MT" w:hAnsi="Gill Sans MT" w:cs="Calibri"/>
          <w:color w:val="000000"/>
          <w:sz w:val="20"/>
          <w:szCs w:val="20"/>
        </w:rPr>
        <w:t xml:space="preserve"> </w:t>
      </w:r>
      <w:r w:rsidRPr="001000C2">
        <w:rPr>
          <w:rFonts w:ascii="Gill Sans MT" w:hAnsi="Gill Sans MT"/>
          <w:sz w:val="20"/>
          <w:szCs w:val="20"/>
        </w:rPr>
        <w:t>The evaluation established that there was a good level of in-country coordination, but there was evidently weak cross border coordination</w:t>
      </w:r>
      <w:r w:rsidR="005D3DA7">
        <w:rPr>
          <w:rFonts w:ascii="Gill Sans MT" w:hAnsi="Gill Sans MT"/>
          <w:sz w:val="20"/>
          <w:szCs w:val="20"/>
        </w:rPr>
        <w:t xml:space="preserve"> despite efforts by UNHCR and other PBF implementing partners to conduct regular video conferencing for coordination. This was further supported with special ‘go and see’ visits to Baidoa. However, potential returnees in Dadaab reported that</w:t>
      </w:r>
      <w:r w:rsidRPr="001000C2">
        <w:rPr>
          <w:rFonts w:ascii="Gill Sans MT" w:hAnsi="Gill Sans MT"/>
          <w:sz w:val="20"/>
          <w:szCs w:val="20"/>
        </w:rPr>
        <w:t xml:space="preserve"> the</w:t>
      </w:r>
      <w:r w:rsidR="005D3DA7">
        <w:rPr>
          <w:rFonts w:ascii="Gill Sans MT" w:hAnsi="Gill Sans MT"/>
          <w:sz w:val="20"/>
          <w:szCs w:val="20"/>
        </w:rPr>
        <w:t>re was little</w:t>
      </w:r>
      <w:r w:rsidRPr="001000C2">
        <w:rPr>
          <w:rFonts w:ascii="Gill Sans MT" w:hAnsi="Gill Sans MT"/>
          <w:sz w:val="20"/>
          <w:szCs w:val="20"/>
        </w:rPr>
        <w:t xml:space="preserve"> follow up on the VST trainees who voluntarily returned to Baidoa, </w:t>
      </w:r>
      <w:r w:rsidR="005D3DA7">
        <w:rPr>
          <w:rFonts w:ascii="Gill Sans MT" w:hAnsi="Gill Sans MT"/>
          <w:sz w:val="20"/>
          <w:szCs w:val="20"/>
        </w:rPr>
        <w:t>as some of them</w:t>
      </w:r>
      <w:r w:rsidRPr="001000C2">
        <w:rPr>
          <w:rFonts w:ascii="Gill Sans MT" w:hAnsi="Gill Sans MT"/>
          <w:sz w:val="20"/>
          <w:szCs w:val="20"/>
        </w:rPr>
        <w:t xml:space="preserve"> </w:t>
      </w:r>
      <w:r w:rsidR="004552C3">
        <w:rPr>
          <w:rFonts w:ascii="Gill Sans MT" w:hAnsi="Gill Sans MT"/>
          <w:sz w:val="20"/>
          <w:szCs w:val="20"/>
        </w:rPr>
        <w:t xml:space="preserve">came </w:t>
      </w:r>
      <w:r w:rsidRPr="001000C2">
        <w:rPr>
          <w:rFonts w:ascii="Gill Sans MT" w:hAnsi="Gill Sans MT"/>
          <w:sz w:val="20"/>
          <w:szCs w:val="20"/>
        </w:rPr>
        <w:t xml:space="preserve">back to Dadaab </w:t>
      </w:r>
      <w:r w:rsidR="00742A86" w:rsidRPr="001000C2">
        <w:rPr>
          <w:rFonts w:ascii="Gill Sans MT" w:hAnsi="Gill Sans MT"/>
          <w:sz w:val="20"/>
          <w:szCs w:val="20"/>
        </w:rPr>
        <w:t>citing</w:t>
      </w:r>
      <w:r w:rsidRPr="001000C2">
        <w:rPr>
          <w:rFonts w:ascii="Gill Sans MT" w:hAnsi="Gill Sans MT"/>
          <w:sz w:val="20"/>
          <w:szCs w:val="20"/>
        </w:rPr>
        <w:t xml:space="preserve"> lack of connection with the partner UN organizations that were supposed to receive them for reintegration process. </w:t>
      </w:r>
      <w:r w:rsidR="00606F1A">
        <w:rPr>
          <w:rFonts w:ascii="Gill Sans MT" w:hAnsi="Gill Sans MT"/>
          <w:sz w:val="20"/>
          <w:szCs w:val="20"/>
        </w:rPr>
        <w:t xml:space="preserve">Nonetheless, the evaluation also notes the return to Dadaab could be due to the low absorption capacity in the areas of return characterized by the lack of or inadequate social amenities. </w:t>
      </w:r>
    </w:p>
    <w:p w14:paraId="405FDA65" w14:textId="77777777" w:rsidR="00230515" w:rsidRPr="001000C2" w:rsidRDefault="00230515" w:rsidP="001000C2">
      <w:pPr>
        <w:jc w:val="both"/>
        <w:rPr>
          <w:rFonts w:ascii="Gill Sans MT" w:hAnsi="Gill Sans MT" w:cs="Calibri"/>
          <w:color w:val="000000"/>
          <w:sz w:val="20"/>
          <w:szCs w:val="20"/>
        </w:rPr>
      </w:pPr>
    </w:p>
    <w:p w14:paraId="692EF3FA" w14:textId="4D5226CE" w:rsidR="000C12DA" w:rsidRPr="001000C2" w:rsidRDefault="00296FBD" w:rsidP="001000C2">
      <w:pPr>
        <w:jc w:val="both"/>
        <w:rPr>
          <w:rFonts w:ascii="Gill Sans MT" w:hAnsi="Gill Sans MT" w:cs="Calibri"/>
          <w:color w:val="000000"/>
          <w:sz w:val="20"/>
          <w:szCs w:val="20"/>
        </w:rPr>
      </w:pPr>
      <w:r w:rsidRPr="001000C2">
        <w:rPr>
          <w:rFonts w:ascii="Gill Sans MT" w:hAnsi="Gill Sans MT" w:cs="Calibri"/>
          <w:color w:val="000000"/>
          <w:sz w:val="20"/>
          <w:szCs w:val="20"/>
        </w:rPr>
        <w:t xml:space="preserve"> </w:t>
      </w:r>
      <w:r w:rsidRPr="001000C2">
        <w:rPr>
          <w:rFonts w:ascii="Gill Sans MT" w:eastAsia="Yu Gothic Light" w:hAnsi="Gill Sans MT"/>
          <w:b/>
          <w:bCs/>
          <w:color w:val="5B9BD5"/>
          <w:sz w:val="20"/>
          <w:szCs w:val="20"/>
        </w:rPr>
        <w:t xml:space="preserve">Project Monitoring Framework; </w:t>
      </w:r>
      <w:r w:rsidRPr="001000C2">
        <w:rPr>
          <w:rFonts w:ascii="Gill Sans MT" w:hAnsi="Gill Sans MT" w:cs="Calibri"/>
          <w:color w:val="000000"/>
          <w:sz w:val="20"/>
          <w:szCs w:val="20"/>
        </w:rPr>
        <w:t>although there was a coordination mechanism among the partners on monthly basis, there was no harmonized monitoring system for PBF program. Overall, MORDA had an oversight role in the implementation of some project activities. However, the evaluation identifie</w:t>
      </w:r>
      <w:r w:rsidR="008A71C1">
        <w:rPr>
          <w:rFonts w:ascii="Gill Sans MT" w:hAnsi="Gill Sans MT" w:cs="Calibri"/>
          <w:color w:val="000000"/>
          <w:sz w:val="20"/>
          <w:szCs w:val="20"/>
        </w:rPr>
        <w:t>d</w:t>
      </w:r>
      <w:r w:rsidRPr="001000C2">
        <w:rPr>
          <w:rFonts w:ascii="Gill Sans MT" w:hAnsi="Gill Sans MT" w:cs="Calibri"/>
          <w:color w:val="000000"/>
          <w:sz w:val="20"/>
          <w:szCs w:val="20"/>
        </w:rPr>
        <w:t xml:space="preserve"> the following aspects of the monitoring system that could be improved in the future.</w:t>
      </w:r>
      <w:r w:rsidR="00742A86" w:rsidRPr="001000C2">
        <w:rPr>
          <w:rFonts w:ascii="Gill Sans MT" w:hAnsi="Gill Sans MT" w:cs="Calibri"/>
          <w:color w:val="000000"/>
          <w:sz w:val="20"/>
          <w:szCs w:val="20"/>
        </w:rPr>
        <w:t xml:space="preserve"> </w:t>
      </w:r>
      <w:r w:rsidRPr="001000C2">
        <w:rPr>
          <w:rFonts w:ascii="Gill Sans MT" w:hAnsi="Gill Sans MT" w:cs="Calibri"/>
          <w:color w:val="000000"/>
          <w:sz w:val="20"/>
          <w:szCs w:val="20"/>
        </w:rPr>
        <w:t xml:space="preserve">This approach could potentially create risk of bias and favoritism that would leave out marginalized groups. </w:t>
      </w:r>
    </w:p>
    <w:p w14:paraId="19C7F6A7" w14:textId="78AE54B4" w:rsidR="000C12DA" w:rsidRPr="001000C2" w:rsidRDefault="00296FBD" w:rsidP="001000C2">
      <w:pPr>
        <w:jc w:val="both"/>
        <w:rPr>
          <w:rFonts w:ascii="Gill Sans MT" w:hAnsi="Gill Sans MT" w:cs="Calibri"/>
          <w:color w:val="000000"/>
          <w:sz w:val="20"/>
          <w:szCs w:val="20"/>
        </w:rPr>
      </w:pPr>
      <w:r w:rsidRPr="001000C2">
        <w:rPr>
          <w:rFonts w:ascii="Gill Sans MT" w:hAnsi="Gill Sans MT" w:cs="Calibri"/>
          <w:color w:val="000000"/>
          <w:sz w:val="20"/>
          <w:szCs w:val="20"/>
        </w:rPr>
        <w:t xml:space="preserve">Embedding an effective feedback mechanism is an integral part of project implementation that would be useful for agencies to support accountability, transparency, empowerment, monitoring and evaluation, and programme improvement, and to provide early warning of impending problems. However, this will require agencies to create awareness and create confidence of beneficiaries to give their feedback. This mechanism can also be used to monitor project progress and make timely adjustments.  </w:t>
      </w:r>
    </w:p>
    <w:p w14:paraId="384A30C7" w14:textId="77777777" w:rsidR="00230515" w:rsidRPr="001000C2" w:rsidRDefault="00230515" w:rsidP="001000C2">
      <w:pPr>
        <w:jc w:val="both"/>
        <w:rPr>
          <w:rFonts w:ascii="Gill Sans MT" w:hAnsi="Gill Sans MT" w:cs="Calibri"/>
          <w:color w:val="000000"/>
          <w:sz w:val="20"/>
          <w:szCs w:val="20"/>
        </w:rPr>
      </w:pPr>
    </w:p>
    <w:p w14:paraId="52F483D0" w14:textId="73E7223E" w:rsidR="00742A86" w:rsidRDefault="00296FBD" w:rsidP="001000C2">
      <w:pPr>
        <w:jc w:val="both"/>
        <w:rPr>
          <w:rFonts w:ascii="Gill Sans MT" w:hAnsi="Gill Sans MT"/>
          <w:bCs/>
          <w:sz w:val="20"/>
          <w:szCs w:val="20"/>
        </w:rPr>
      </w:pPr>
      <w:r w:rsidRPr="001000C2">
        <w:rPr>
          <w:rFonts w:ascii="Gill Sans MT" w:hAnsi="Gill Sans MT"/>
          <w:b/>
          <w:bCs/>
          <w:color w:val="4F81BD"/>
          <w:sz w:val="20"/>
          <w:szCs w:val="20"/>
        </w:rPr>
        <w:lastRenderedPageBreak/>
        <w:t xml:space="preserve">Project Sustainability: </w:t>
      </w:r>
      <w:r w:rsidRPr="001000C2">
        <w:rPr>
          <w:rFonts w:ascii="Gill Sans MT" w:hAnsi="Gill Sans MT"/>
          <w:bCs/>
          <w:sz w:val="20"/>
          <w:szCs w:val="20"/>
        </w:rPr>
        <w:t xml:space="preserve">Sustainability is fundamental to the success of the PBF project. The study noted the </w:t>
      </w:r>
      <w:r w:rsidR="00617253">
        <w:rPr>
          <w:rFonts w:ascii="Gill Sans MT" w:hAnsi="Gill Sans MT"/>
          <w:bCs/>
          <w:sz w:val="20"/>
          <w:szCs w:val="20"/>
        </w:rPr>
        <w:t xml:space="preserve">PBF program </w:t>
      </w:r>
      <w:r w:rsidRPr="001000C2">
        <w:rPr>
          <w:rFonts w:ascii="Gill Sans MT" w:hAnsi="Gill Sans MT"/>
          <w:bCs/>
          <w:sz w:val="20"/>
          <w:szCs w:val="20"/>
        </w:rPr>
        <w:t>ha</w:t>
      </w:r>
      <w:r w:rsidR="008A71C1">
        <w:rPr>
          <w:rFonts w:ascii="Gill Sans MT" w:hAnsi="Gill Sans MT"/>
          <w:bCs/>
          <w:sz w:val="20"/>
          <w:szCs w:val="20"/>
        </w:rPr>
        <w:t xml:space="preserve">d incorporated sustainability in all the project </w:t>
      </w:r>
      <w:r w:rsidRPr="001000C2">
        <w:rPr>
          <w:rFonts w:ascii="Gill Sans MT" w:hAnsi="Gill Sans MT"/>
          <w:bCs/>
          <w:sz w:val="20"/>
          <w:szCs w:val="20"/>
        </w:rPr>
        <w:t>activities</w:t>
      </w:r>
      <w:r w:rsidR="008A71C1">
        <w:rPr>
          <w:rFonts w:ascii="Gill Sans MT" w:hAnsi="Gill Sans MT"/>
          <w:bCs/>
          <w:sz w:val="20"/>
          <w:szCs w:val="20"/>
        </w:rPr>
        <w:t>. There we</w:t>
      </w:r>
      <w:r w:rsidRPr="001000C2">
        <w:rPr>
          <w:rFonts w:ascii="Gill Sans MT" w:hAnsi="Gill Sans MT"/>
          <w:bCs/>
          <w:sz w:val="20"/>
          <w:szCs w:val="20"/>
        </w:rPr>
        <w:t xml:space="preserve">re several notable activities implemented through the project that are deemed sustainable. </w:t>
      </w:r>
      <w:r w:rsidR="00550B11">
        <w:rPr>
          <w:rFonts w:ascii="Gill Sans MT" w:hAnsi="Gill Sans MT"/>
          <w:bCs/>
          <w:sz w:val="20"/>
          <w:szCs w:val="20"/>
        </w:rPr>
        <w:t xml:space="preserve">For instance, the </w:t>
      </w:r>
      <w:r w:rsidRPr="001000C2">
        <w:rPr>
          <w:rFonts w:ascii="Gill Sans MT" w:hAnsi="Gill Sans MT"/>
          <w:bCs/>
          <w:sz w:val="20"/>
          <w:szCs w:val="20"/>
        </w:rPr>
        <w:t xml:space="preserve">Rehabilitation of community infrastructures through UNHCR’S </w:t>
      </w:r>
      <w:r w:rsidR="00617253">
        <w:rPr>
          <w:rFonts w:ascii="Gill Sans MT" w:hAnsi="Gill Sans MT"/>
          <w:bCs/>
          <w:sz w:val="20"/>
          <w:szCs w:val="20"/>
        </w:rPr>
        <w:t xml:space="preserve">PBF program </w:t>
      </w:r>
      <w:r w:rsidRPr="001000C2">
        <w:rPr>
          <w:rFonts w:ascii="Gill Sans MT" w:hAnsi="Gill Sans MT"/>
          <w:bCs/>
          <w:sz w:val="20"/>
          <w:szCs w:val="20"/>
        </w:rPr>
        <w:t>such as Hawlwadag primary and secondary</w:t>
      </w:r>
      <w:r w:rsidR="00550B11">
        <w:rPr>
          <w:rFonts w:ascii="Gill Sans MT" w:hAnsi="Gill Sans MT"/>
          <w:bCs/>
          <w:sz w:val="20"/>
          <w:szCs w:val="20"/>
        </w:rPr>
        <w:t xml:space="preserve"> school and blacksmith market are</w:t>
      </w:r>
      <w:r w:rsidRPr="001000C2">
        <w:rPr>
          <w:rFonts w:ascii="Gill Sans MT" w:hAnsi="Gill Sans MT"/>
          <w:bCs/>
          <w:sz w:val="20"/>
          <w:szCs w:val="20"/>
        </w:rPr>
        <w:t xml:space="preserve"> deemed fully sustainable. Since the project completion</w:t>
      </w:r>
      <w:r w:rsidR="00550B11">
        <w:rPr>
          <w:rFonts w:ascii="Gill Sans MT" w:hAnsi="Gill Sans MT"/>
          <w:bCs/>
          <w:sz w:val="20"/>
          <w:szCs w:val="20"/>
        </w:rPr>
        <w:t>,</w:t>
      </w:r>
      <w:r w:rsidRPr="001000C2">
        <w:rPr>
          <w:rFonts w:ascii="Gill Sans MT" w:hAnsi="Gill Sans MT"/>
          <w:bCs/>
          <w:sz w:val="20"/>
          <w:szCs w:val="20"/>
        </w:rPr>
        <w:t xml:space="preserve"> the facilities were operational and beneficial to beneficiaries. The construction and rehabi</w:t>
      </w:r>
      <w:r w:rsidR="00550B11">
        <w:rPr>
          <w:rFonts w:ascii="Gill Sans MT" w:hAnsi="Gill Sans MT"/>
          <w:bCs/>
          <w:sz w:val="20"/>
          <w:szCs w:val="20"/>
        </w:rPr>
        <w:t>litation of these facilities have</w:t>
      </w:r>
      <w:r w:rsidRPr="001000C2">
        <w:rPr>
          <w:rFonts w:ascii="Gill Sans MT" w:hAnsi="Gill Sans MT"/>
          <w:bCs/>
          <w:sz w:val="20"/>
          <w:szCs w:val="20"/>
        </w:rPr>
        <w:t xml:space="preserve"> shown high level of community ownership and long-term use of the facilities. </w:t>
      </w:r>
    </w:p>
    <w:p w14:paraId="5AFED341" w14:textId="77777777" w:rsidR="005D458E" w:rsidRPr="001000C2" w:rsidRDefault="005D458E" w:rsidP="001000C2">
      <w:pPr>
        <w:jc w:val="both"/>
        <w:rPr>
          <w:rFonts w:ascii="Gill Sans MT" w:hAnsi="Gill Sans MT" w:cs="Calibri"/>
          <w:color w:val="000000"/>
          <w:sz w:val="20"/>
          <w:szCs w:val="20"/>
        </w:rPr>
      </w:pPr>
    </w:p>
    <w:p w14:paraId="538DBAA2" w14:textId="49C3AC02" w:rsidR="00BF5245" w:rsidRDefault="00296FBD" w:rsidP="001000C2">
      <w:pPr>
        <w:jc w:val="both"/>
        <w:rPr>
          <w:rFonts w:ascii="Gill Sans MT" w:hAnsi="Gill Sans MT"/>
          <w:bCs/>
          <w:sz w:val="20"/>
          <w:szCs w:val="20"/>
        </w:rPr>
      </w:pPr>
      <w:r w:rsidRPr="001000C2">
        <w:rPr>
          <w:rFonts w:ascii="Gill Sans MT" w:hAnsi="Gill Sans MT"/>
          <w:bCs/>
          <w:sz w:val="20"/>
          <w:szCs w:val="20"/>
        </w:rPr>
        <w:t xml:space="preserve">The rehabilitation of Isha police station through IOM’s </w:t>
      </w:r>
      <w:r w:rsidR="00617253">
        <w:rPr>
          <w:rFonts w:ascii="Gill Sans MT" w:hAnsi="Gill Sans MT"/>
          <w:bCs/>
          <w:sz w:val="20"/>
          <w:szCs w:val="20"/>
        </w:rPr>
        <w:t xml:space="preserve">PBF program </w:t>
      </w:r>
      <w:r w:rsidRPr="001000C2">
        <w:rPr>
          <w:rFonts w:ascii="Gill Sans MT" w:hAnsi="Gill Sans MT"/>
          <w:bCs/>
          <w:sz w:val="20"/>
          <w:szCs w:val="20"/>
        </w:rPr>
        <w:t>to a modern facility with adequate offices contributes to government’s institution visibility, capacity to enhance law and order as well as</w:t>
      </w:r>
      <w:r w:rsidR="00454334" w:rsidRPr="001000C2">
        <w:rPr>
          <w:rFonts w:ascii="Gill Sans MT" w:hAnsi="Gill Sans MT"/>
          <w:bCs/>
          <w:sz w:val="20"/>
          <w:szCs w:val="20"/>
        </w:rPr>
        <w:t xml:space="preserve"> boost the</w:t>
      </w:r>
      <w:r w:rsidRPr="001000C2">
        <w:rPr>
          <w:rFonts w:ascii="Gill Sans MT" w:hAnsi="Gill Sans MT"/>
          <w:bCs/>
          <w:sz w:val="20"/>
          <w:szCs w:val="20"/>
        </w:rPr>
        <w:t xml:space="preserve"> confidence of the security personnel</w:t>
      </w:r>
      <w:r w:rsidR="00550B11">
        <w:rPr>
          <w:rFonts w:ascii="Gill Sans MT" w:hAnsi="Gill Sans MT"/>
          <w:bCs/>
          <w:sz w:val="20"/>
          <w:szCs w:val="20"/>
        </w:rPr>
        <w:t xml:space="preserve"> to provide service. Further,  t</w:t>
      </w:r>
      <w:r w:rsidRPr="001000C2">
        <w:rPr>
          <w:rFonts w:ascii="Gill Sans MT" w:hAnsi="Gill Sans MT"/>
          <w:bCs/>
          <w:sz w:val="20"/>
          <w:szCs w:val="20"/>
        </w:rPr>
        <w:t xml:space="preserve">he </w:t>
      </w:r>
      <w:r w:rsidR="00617253">
        <w:rPr>
          <w:rFonts w:ascii="Gill Sans MT" w:hAnsi="Gill Sans MT"/>
          <w:bCs/>
          <w:sz w:val="20"/>
          <w:szCs w:val="20"/>
        </w:rPr>
        <w:t xml:space="preserve">PBF program </w:t>
      </w:r>
      <w:r w:rsidRPr="001000C2">
        <w:rPr>
          <w:rFonts w:ascii="Gill Sans MT" w:hAnsi="Gill Sans MT"/>
          <w:bCs/>
          <w:sz w:val="20"/>
          <w:szCs w:val="20"/>
        </w:rPr>
        <w:t>delivered by PUNOs including</w:t>
      </w:r>
      <w:r w:rsidR="00550B11">
        <w:rPr>
          <w:rFonts w:ascii="Gill Sans MT" w:hAnsi="Gill Sans MT"/>
          <w:bCs/>
          <w:sz w:val="20"/>
          <w:szCs w:val="20"/>
        </w:rPr>
        <w:t>;</w:t>
      </w:r>
      <w:r w:rsidRPr="001000C2">
        <w:rPr>
          <w:rFonts w:ascii="Gill Sans MT" w:hAnsi="Gill Sans MT"/>
          <w:bCs/>
          <w:sz w:val="20"/>
          <w:szCs w:val="20"/>
        </w:rPr>
        <w:t xml:space="preserve"> WFP, IOM, ILO and UNHCR and their partners have cumulatively rehabilitated over 35KM roads in d</w:t>
      </w:r>
      <w:r w:rsidR="00550B11">
        <w:rPr>
          <w:rFonts w:ascii="Gill Sans MT" w:hAnsi="Gill Sans MT"/>
          <w:bCs/>
          <w:sz w:val="20"/>
          <w:szCs w:val="20"/>
        </w:rPr>
        <w:t xml:space="preserve">ifferent settlements in Baidoa </w:t>
      </w:r>
      <w:r w:rsidRPr="001000C2">
        <w:rPr>
          <w:rFonts w:ascii="Gill Sans MT" w:hAnsi="Gill Sans MT"/>
          <w:bCs/>
          <w:sz w:val="20"/>
          <w:szCs w:val="20"/>
        </w:rPr>
        <w:t>connecting IDPS</w:t>
      </w:r>
      <w:r w:rsidR="00550B11">
        <w:rPr>
          <w:rFonts w:ascii="Gill Sans MT" w:hAnsi="Gill Sans MT"/>
          <w:bCs/>
          <w:sz w:val="20"/>
          <w:szCs w:val="20"/>
        </w:rPr>
        <w:t xml:space="preserve"> camps, returnee</w:t>
      </w:r>
      <w:r w:rsidRPr="001000C2">
        <w:rPr>
          <w:rFonts w:ascii="Gill Sans MT" w:hAnsi="Gill Sans MT"/>
          <w:bCs/>
          <w:sz w:val="20"/>
          <w:szCs w:val="20"/>
        </w:rPr>
        <w:t xml:space="preserve"> settlements to urban centres through</w:t>
      </w:r>
      <w:r w:rsidR="00454334" w:rsidRPr="001000C2">
        <w:rPr>
          <w:rFonts w:ascii="Gill Sans MT" w:hAnsi="Gill Sans MT"/>
          <w:bCs/>
          <w:sz w:val="20"/>
          <w:szCs w:val="20"/>
        </w:rPr>
        <w:t xml:space="preserve"> cash for work or food voucher. The </w:t>
      </w:r>
      <w:r w:rsidRPr="001000C2">
        <w:rPr>
          <w:rFonts w:ascii="Gill Sans MT" w:hAnsi="Gill Sans MT"/>
          <w:bCs/>
          <w:sz w:val="20"/>
          <w:szCs w:val="20"/>
        </w:rPr>
        <w:t>UNICEF’s</w:t>
      </w:r>
      <w:r w:rsidR="00454334" w:rsidRPr="001000C2">
        <w:rPr>
          <w:rFonts w:ascii="Gill Sans MT" w:hAnsi="Gill Sans MT"/>
          <w:bCs/>
          <w:sz w:val="20"/>
          <w:szCs w:val="20"/>
        </w:rPr>
        <w:t xml:space="preserve"> PBF</w:t>
      </w:r>
      <w:r w:rsidRPr="001000C2">
        <w:rPr>
          <w:rFonts w:ascii="Gill Sans MT" w:hAnsi="Gill Sans MT"/>
          <w:bCs/>
          <w:sz w:val="20"/>
          <w:szCs w:val="20"/>
        </w:rPr>
        <w:t xml:space="preserve"> educat</w:t>
      </w:r>
      <w:r w:rsidR="00550B11">
        <w:rPr>
          <w:rFonts w:ascii="Gill Sans MT" w:hAnsi="Gill Sans MT"/>
          <w:bCs/>
          <w:sz w:val="20"/>
          <w:szCs w:val="20"/>
        </w:rPr>
        <w:t>ion project involved building</w:t>
      </w:r>
      <w:r w:rsidRPr="001000C2">
        <w:rPr>
          <w:rFonts w:ascii="Gill Sans MT" w:hAnsi="Gill Sans MT"/>
          <w:bCs/>
          <w:sz w:val="20"/>
          <w:szCs w:val="20"/>
        </w:rPr>
        <w:t xml:space="preserve"> temporary learning spaces across six settlements, training of CECs and teachers. The establishment of management structures in the form of community education committees (CECs) has helped stren</w:t>
      </w:r>
      <w:r w:rsidR="00454334" w:rsidRPr="001000C2">
        <w:rPr>
          <w:rFonts w:ascii="Gill Sans MT" w:hAnsi="Gill Sans MT"/>
          <w:bCs/>
          <w:sz w:val="20"/>
          <w:szCs w:val="20"/>
        </w:rPr>
        <w:t xml:space="preserve">gthen local ownership that </w:t>
      </w:r>
      <w:r w:rsidRPr="001000C2">
        <w:rPr>
          <w:rFonts w:ascii="Gill Sans MT" w:hAnsi="Gill Sans MT"/>
          <w:bCs/>
          <w:sz w:val="20"/>
          <w:szCs w:val="20"/>
        </w:rPr>
        <w:t>ensure</w:t>
      </w:r>
      <w:r w:rsidR="00454334" w:rsidRPr="001000C2">
        <w:rPr>
          <w:rFonts w:ascii="Gill Sans MT" w:hAnsi="Gill Sans MT"/>
          <w:bCs/>
          <w:sz w:val="20"/>
          <w:szCs w:val="20"/>
        </w:rPr>
        <w:t>d</w:t>
      </w:r>
      <w:r w:rsidRPr="001000C2">
        <w:rPr>
          <w:rFonts w:ascii="Gill Sans MT" w:hAnsi="Gill Sans MT"/>
          <w:bCs/>
          <w:sz w:val="20"/>
          <w:szCs w:val="20"/>
        </w:rPr>
        <w:t xml:space="preserve"> functionality </w:t>
      </w:r>
      <w:r w:rsidR="00550B11">
        <w:rPr>
          <w:rFonts w:ascii="Gill Sans MT" w:hAnsi="Gill Sans MT"/>
          <w:bCs/>
          <w:sz w:val="20"/>
          <w:szCs w:val="20"/>
        </w:rPr>
        <w:t>even after the project close</w:t>
      </w:r>
      <w:r w:rsidR="00454334" w:rsidRPr="001000C2">
        <w:rPr>
          <w:rFonts w:ascii="Gill Sans MT" w:hAnsi="Gill Sans MT"/>
          <w:bCs/>
          <w:sz w:val="20"/>
          <w:szCs w:val="20"/>
        </w:rPr>
        <w:t xml:space="preserve"> out. </w:t>
      </w:r>
      <w:r w:rsidRPr="001000C2">
        <w:rPr>
          <w:rFonts w:ascii="Gill Sans MT" w:hAnsi="Gill Sans MT"/>
          <w:bCs/>
          <w:sz w:val="20"/>
          <w:szCs w:val="20"/>
        </w:rPr>
        <w:t xml:space="preserve">The </w:t>
      </w:r>
      <w:r w:rsidR="00617253">
        <w:rPr>
          <w:rFonts w:ascii="Gill Sans MT" w:hAnsi="Gill Sans MT"/>
          <w:bCs/>
          <w:sz w:val="20"/>
          <w:szCs w:val="20"/>
        </w:rPr>
        <w:t xml:space="preserve">PBF program </w:t>
      </w:r>
      <w:r w:rsidRPr="001000C2">
        <w:rPr>
          <w:rFonts w:ascii="Gill Sans MT" w:hAnsi="Gill Sans MT"/>
          <w:bCs/>
          <w:sz w:val="20"/>
          <w:szCs w:val="20"/>
        </w:rPr>
        <w:t xml:space="preserve">provided numerous skills training for various youth. Majority of the trainees have indicated they have gotten employed or started own business in Baidoa while some of them hinted of moving to Mogadishu in search of jobs with high prospect of getting a job. </w:t>
      </w:r>
    </w:p>
    <w:p w14:paraId="7E811083" w14:textId="77777777" w:rsidR="00BF5245" w:rsidRDefault="00BF5245" w:rsidP="001000C2">
      <w:pPr>
        <w:jc w:val="both"/>
        <w:rPr>
          <w:rFonts w:ascii="Gill Sans MT" w:hAnsi="Gill Sans MT"/>
          <w:bCs/>
          <w:sz w:val="20"/>
          <w:szCs w:val="20"/>
        </w:rPr>
      </w:pPr>
    </w:p>
    <w:p w14:paraId="0A6EA421" w14:textId="477ABA32" w:rsidR="005D458E" w:rsidRDefault="00A64E72" w:rsidP="005D458E">
      <w:pPr>
        <w:widowControl w:val="0"/>
        <w:autoSpaceDE w:val="0"/>
        <w:autoSpaceDN w:val="0"/>
        <w:adjustRightInd w:val="0"/>
        <w:spacing w:line="276" w:lineRule="auto"/>
        <w:jc w:val="both"/>
        <w:rPr>
          <w:rFonts w:ascii="Gill Sans MT" w:hAnsi="Gill Sans MT"/>
          <w:sz w:val="20"/>
          <w:szCs w:val="20"/>
        </w:rPr>
      </w:pPr>
      <w:r>
        <w:rPr>
          <w:rFonts w:ascii="Gill Sans MT" w:hAnsi="Gill Sans MT"/>
          <w:sz w:val="20"/>
          <w:szCs w:val="20"/>
        </w:rPr>
        <w:t xml:space="preserve">Besides, the PBF program had catalytic effects. For instance the </w:t>
      </w:r>
      <w:r w:rsidRPr="00A64E72">
        <w:rPr>
          <w:rFonts w:ascii="Gill Sans MT" w:hAnsi="Gill Sans MT"/>
          <w:sz w:val="20"/>
          <w:szCs w:val="20"/>
        </w:rPr>
        <w:t xml:space="preserve">UNHCR’s catalytic role in the </w:t>
      </w:r>
      <w:r w:rsidR="00617253">
        <w:rPr>
          <w:rFonts w:ascii="Gill Sans MT" w:hAnsi="Gill Sans MT"/>
          <w:sz w:val="20"/>
          <w:szCs w:val="20"/>
        </w:rPr>
        <w:t xml:space="preserve">PBF program </w:t>
      </w:r>
      <w:r w:rsidRPr="00A64E72">
        <w:rPr>
          <w:rFonts w:ascii="Gill Sans MT" w:hAnsi="Gill Sans MT"/>
          <w:sz w:val="20"/>
          <w:szCs w:val="20"/>
        </w:rPr>
        <w:t xml:space="preserve">manifested itself in a number of ways. </w:t>
      </w:r>
      <w:r>
        <w:rPr>
          <w:rFonts w:ascii="Gill Sans MT" w:hAnsi="Gill Sans MT"/>
          <w:sz w:val="20"/>
          <w:szCs w:val="20"/>
        </w:rPr>
        <w:t>T</w:t>
      </w:r>
      <w:r w:rsidRPr="00A64E72">
        <w:rPr>
          <w:rFonts w:ascii="Gill Sans MT" w:hAnsi="Gill Sans MT"/>
          <w:sz w:val="20"/>
          <w:szCs w:val="20"/>
        </w:rPr>
        <w:t xml:space="preserve">he project acted as a catalyst for future community development, especially when this activity was supported by the federal government of Somalia and the south west state through MORDA. </w:t>
      </w:r>
      <w:r>
        <w:rPr>
          <w:rFonts w:ascii="Gill Sans MT" w:hAnsi="Gill Sans MT"/>
          <w:sz w:val="20"/>
          <w:szCs w:val="20"/>
        </w:rPr>
        <w:t>PUNOs</w:t>
      </w:r>
      <w:r w:rsidRPr="00A64E72">
        <w:rPr>
          <w:rFonts w:ascii="Gill Sans MT" w:hAnsi="Gill Sans MT"/>
          <w:sz w:val="20"/>
          <w:szCs w:val="20"/>
        </w:rPr>
        <w:t xml:space="preserve"> catalytic role can be seen in its sponsorship of entrepreneurial activities, trainings, infrastructural support the provision of basic social services such as schools. UNHCR</w:t>
      </w:r>
      <w:r w:rsidRPr="00A64E72">
        <w:rPr>
          <w:rFonts w:ascii="Gill Sans MT" w:hAnsi="Gill Sans MT" w:cs="Gill Sans MT"/>
          <w:sz w:val="20"/>
          <w:szCs w:val="20"/>
        </w:rPr>
        <w:t>’</w:t>
      </w:r>
      <w:r w:rsidRPr="00A64E72">
        <w:rPr>
          <w:rFonts w:ascii="Gill Sans MT" w:hAnsi="Gill Sans MT"/>
          <w:sz w:val="20"/>
          <w:szCs w:val="20"/>
        </w:rPr>
        <w:t>s efforts in the PBF provided not simply a bridge for other development actors but acted as a catalyst, providing an alternative path to success and accelerating</w:t>
      </w:r>
      <w:r w:rsidR="003B5BA9">
        <w:rPr>
          <w:rFonts w:ascii="Gill Sans MT" w:hAnsi="Gill Sans MT"/>
          <w:sz w:val="20"/>
          <w:szCs w:val="20"/>
        </w:rPr>
        <w:t xml:space="preserve"> change. This catalytic role was </w:t>
      </w:r>
      <w:r w:rsidR="00F75DC3">
        <w:rPr>
          <w:rFonts w:ascii="Gill Sans MT" w:hAnsi="Gill Sans MT"/>
          <w:sz w:val="20"/>
          <w:szCs w:val="20"/>
        </w:rPr>
        <w:t>clearly</w:t>
      </w:r>
      <w:r w:rsidRPr="00A64E72">
        <w:rPr>
          <w:rFonts w:ascii="Gill Sans MT" w:hAnsi="Gill Sans MT"/>
          <w:sz w:val="20"/>
          <w:szCs w:val="20"/>
        </w:rPr>
        <w:t xml:space="preserve"> seen in </w:t>
      </w:r>
      <w:r>
        <w:rPr>
          <w:rFonts w:ascii="Gill Sans MT" w:hAnsi="Gill Sans MT"/>
          <w:sz w:val="20"/>
          <w:szCs w:val="20"/>
        </w:rPr>
        <w:t>PUNO’s</w:t>
      </w:r>
      <w:r w:rsidRPr="00A64E72">
        <w:rPr>
          <w:rFonts w:ascii="Gill Sans MT" w:hAnsi="Gill Sans MT"/>
          <w:sz w:val="20"/>
          <w:szCs w:val="20"/>
        </w:rPr>
        <w:t xml:space="preserve"> assistance, which went well beyond the provision of return packages but provided access to crucial services such as schooling</w:t>
      </w:r>
      <w:r>
        <w:rPr>
          <w:rFonts w:ascii="Gill Sans MT" w:hAnsi="Gill Sans MT"/>
          <w:sz w:val="20"/>
          <w:szCs w:val="20"/>
        </w:rPr>
        <w:t>, productive assets and cash support and food voucher</w:t>
      </w:r>
      <w:r w:rsidRPr="00A64E72">
        <w:rPr>
          <w:rFonts w:ascii="Gill Sans MT" w:hAnsi="Gill Sans MT"/>
          <w:sz w:val="20"/>
          <w:szCs w:val="20"/>
        </w:rPr>
        <w:t xml:space="preserve">. What magnified their impact was the ability of </w:t>
      </w:r>
      <w:r>
        <w:rPr>
          <w:rFonts w:ascii="Gill Sans MT" w:hAnsi="Gill Sans MT"/>
          <w:sz w:val="20"/>
          <w:szCs w:val="20"/>
        </w:rPr>
        <w:t>PUNOs through</w:t>
      </w:r>
      <w:r w:rsidRPr="00A64E72">
        <w:rPr>
          <w:rFonts w:ascii="Gill Sans MT" w:hAnsi="Gill Sans MT"/>
          <w:sz w:val="20"/>
          <w:szCs w:val="20"/>
        </w:rPr>
        <w:t xml:space="preserve"> reintegration and coordination of the </w:t>
      </w:r>
      <w:r w:rsidR="00617253">
        <w:rPr>
          <w:rFonts w:ascii="Gill Sans MT" w:hAnsi="Gill Sans MT"/>
          <w:sz w:val="20"/>
          <w:szCs w:val="20"/>
        </w:rPr>
        <w:t xml:space="preserve">PBF program </w:t>
      </w:r>
      <w:r w:rsidRPr="00A64E72">
        <w:rPr>
          <w:rFonts w:ascii="Gill Sans MT" w:hAnsi="Gill Sans MT"/>
          <w:sz w:val="20"/>
          <w:szCs w:val="20"/>
        </w:rPr>
        <w:t>activities, to add an additional social ingredient thr</w:t>
      </w:r>
      <w:r w:rsidR="00F75DC3">
        <w:rPr>
          <w:rFonts w:ascii="Gill Sans MT" w:hAnsi="Gill Sans MT"/>
          <w:sz w:val="20"/>
          <w:szCs w:val="20"/>
        </w:rPr>
        <w:t>ough peace building that resulted</w:t>
      </w:r>
      <w:r w:rsidRPr="00A64E72">
        <w:rPr>
          <w:rFonts w:ascii="Gill Sans MT" w:hAnsi="Gill Sans MT"/>
          <w:sz w:val="20"/>
          <w:szCs w:val="20"/>
        </w:rPr>
        <w:t xml:space="preserve"> faster progress in cohesion among returnees and the host communities in Baidoa. Further, support of women through the provisi</w:t>
      </w:r>
      <w:r>
        <w:rPr>
          <w:rFonts w:ascii="Gill Sans MT" w:hAnsi="Gill Sans MT"/>
          <w:sz w:val="20"/>
          <w:szCs w:val="20"/>
        </w:rPr>
        <w:t xml:space="preserve">on of toolkits and donkey carts and agricultural inputs </w:t>
      </w:r>
      <w:r w:rsidRPr="00A64E72">
        <w:rPr>
          <w:rFonts w:ascii="Gill Sans MT" w:hAnsi="Gill Sans MT"/>
          <w:sz w:val="20"/>
          <w:szCs w:val="20"/>
        </w:rPr>
        <w:t xml:space="preserve">greatly enhanced productivity upon return. Another example of </w:t>
      </w:r>
      <w:r>
        <w:rPr>
          <w:rFonts w:ascii="Gill Sans MT" w:hAnsi="Gill Sans MT"/>
          <w:sz w:val="20"/>
          <w:szCs w:val="20"/>
        </w:rPr>
        <w:t>PBF’s</w:t>
      </w:r>
      <w:r w:rsidRPr="00A64E72">
        <w:rPr>
          <w:rFonts w:ascii="Gill Sans MT" w:hAnsi="Gill Sans MT"/>
          <w:sz w:val="20"/>
          <w:szCs w:val="20"/>
        </w:rPr>
        <w:t xml:space="preserve"> catalytic role relates to the place of women and gender issues in community empowerment. </w:t>
      </w:r>
      <w:r>
        <w:rPr>
          <w:rFonts w:ascii="Gill Sans MT" w:hAnsi="Gill Sans MT"/>
          <w:sz w:val="20"/>
          <w:szCs w:val="20"/>
        </w:rPr>
        <w:t>PUNOs</w:t>
      </w:r>
      <w:r w:rsidRPr="00A64E72">
        <w:rPr>
          <w:rFonts w:ascii="Gill Sans MT" w:hAnsi="Gill Sans MT"/>
          <w:sz w:val="20"/>
          <w:szCs w:val="20"/>
        </w:rPr>
        <w:t xml:space="preserve"> willingness to cult</w:t>
      </w:r>
      <w:r>
        <w:rPr>
          <w:rFonts w:ascii="Gill Sans MT" w:hAnsi="Gill Sans MT"/>
          <w:sz w:val="20"/>
          <w:szCs w:val="20"/>
        </w:rPr>
        <w:t xml:space="preserve">ivate community member’s desire of social change </w:t>
      </w:r>
      <w:r w:rsidR="005D458E">
        <w:rPr>
          <w:rFonts w:ascii="Gill Sans MT" w:hAnsi="Gill Sans MT"/>
          <w:sz w:val="20"/>
          <w:szCs w:val="20"/>
        </w:rPr>
        <w:t>opened</w:t>
      </w:r>
      <w:r w:rsidRPr="00A64E72">
        <w:rPr>
          <w:rFonts w:ascii="Gill Sans MT" w:hAnsi="Gill Sans MT"/>
          <w:sz w:val="20"/>
          <w:szCs w:val="20"/>
        </w:rPr>
        <w:t xml:space="preserve"> up an alternative path to greater gender equality, and consequently </w:t>
      </w:r>
      <w:r>
        <w:rPr>
          <w:rFonts w:ascii="Gill Sans MT" w:hAnsi="Gill Sans MT"/>
          <w:sz w:val="20"/>
          <w:szCs w:val="20"/>
        </w:rPr>
        <w:t>accelerated</w:t>
      </w:r>
      <w:r w:rsidRPr="00A64E72">
        <w:rPr>
          <w:rFonts w:ascii="Gill Sans MT" w:hAnsi="Gill Sans MT"/>
          <w:sz w:val="20"/>
          <w:szCs w:val="20"/>
        </w:rPr>
        <w:t xml:space="preserve"> the process by incorporating more women into peace building.</w:t>
      </w:r>
    </w:p>
    <w:p w14:paraId="49BC2A21" w14:textId="77777777" w:rsidR="005D458E" w:rsidRDefault="005D458E" w:rsidP="005D458E">
      <w:pPr>
        <w:widowControl w:val="0"/>
        <w:autoSpaceDE w:val="0"/>
        <w:autoSpaceDN w:val="0"/>
        <w:adjustRightInd w:val="0"/>
        <w:spacing w:line="276" w:lineRule="auto"/>
        <w:jc w:val="both"/>
        <w:rPr>
          <w:rFonts w:ascii="Gill Sans MT" w:hAnsi="Gill Sans MT"/>
          <w:sz w:val="20"/>
          <w:szCs w:val="20"/>
        </w:rPr>
      </w:pPr>
    </w:p>
    <w:p w14:paraId="085344C8" w14:textId="40A54773" w:rsidR="00BF5245" w:rsidRDefault="00BF5245" w:rsidP="005D458E">
      <w:pPr>
        <w:widowControl w:val="0"/>
        <w:autoSpaceDE w:val="0"/>
        <w:autoSpaceDN w:val="0"/>
        <w:adjustRightInd w:val="0"/>
        <w:spacing w:line="276" w:lineRule="auto"/>
        <w:jc w:val="both"/>
        <w:rPr>
          <w:rFonts w:ascii="Gill Sans MT" w:eastAsia="Calibri" w:hAnsi="Gill Sans MT" w:cs="Arial"/>
          <w:sz w:val="20"/>
          <w:szCs w:val="20"/>
        </w:rPr>
      </w:pPr>
      <w:r>
        <w:rPr>
          <w:rFonts w:ascii="Gill Sans MT" w:eastAsia="Calibri" w:hAnsi="Gill Sans MT" w:cs="Arial"/>
          <w:sz w:val="20"/>
          <w:szCs w:val="20"/>
        </w:rPr>
        <w:t>Meanwhile, a</w:t>
      </w:r>
      <w:r w:rsidRPr="005D458E">
        <w:rPr>
          <w:rFonts w:ascii="Gill Sans MT" w:eastAsia="Calibri" w:hAnsi="Gill Sans MT" w:cs="Arial"/>
          <w:sz w:val="20"/>
          <w:szCs w:val="20"/>
        </w:rPr>
        <w:t>ccording to ILO Somalia, the agency has secured funding of10 million Euros from KfW Development Bank from Germany that will be invested in the development of c</w:t>
      </w:r>
      <w:r w:rsidR="00F75DC3">
        <w:rPr>
          <w:rFonts w:ascii="Gill Sans MT" w:eastAsia="Calibri" w:hAnsi="Gill Sans MT" w:cs="Arial"/>
          <w:sz w:val="20"/>
          <w:szCs w:val="20"/>
        </w:rPr>
        <w:t>ritical infrastructure that</w:t>
      </w:r>
      <w:r w:rsidRPr="005D458E">
        <w:rPr>
          <w:rFonts w:ascii="Gill Sans MT" w:eastAsia="Calibri" w:hAnsi="Gill Sans MT" w:cs="Arial"/>
          <w:sz w:val="20"/>
          <w:szCs w:val="20"/>
        </w:rPr>
        <w:t xml:space="preserve"> involve</w:t>
      </w:r>
      <w:r w:rsidR="00F75DC3">
        <w:rPr>
          <w:rFonts w:ascii="Gill Sans MT" w:eastAsia="Calibri" w:hAnsi="Gill Sans MT" w:cs="Arial"/>
          <w:sz w:val="20"/>
          <w:szCs w:val="20"/>
        </w:rPr>
        <w:t>s</w:t>
      </w:r>
      <w:r w:rsidRPr="005D458E">
        <w:rPr>
          <w:rFonts w:ascii="Gill Sans MT" w:eastAsia="Calibri" w:hAnsi="Gill Sans MT" w:cs="Arial"/>
          <w:sz w:val="20"/>
          <w:szCs w:val="20"/>
        </w:rPr>
        <w:t xml:space="preserve"> construction of 15KM road tarmac connecting IDP settlements an</w:t>
      </w:r>
      <w:r w:rsidR="00F75DC3">
        <w:rPr>
          <w:rFonts w:ascii="Gill Sans MT" w:eastAsia="Calibri" w:hAnsi="Gill Sans MT" w:cs="Arial"/>
          <w:sz w:val="20"/>
          <w:szCs w:val="20"/>
        </w:rPr>
        <w:t xml:space="preserve">d Baidoa town as well as </w:t>
      </w:r>
      <w:r w:rsidRPr="005D458E">
        <w:rPr>
          <w:rFonts w:ascii="Gill Sans MT" w:eastAsia="Calibri" w:hAnsi="Gill Sans MT" w:cs="Arial"/>
          <w:sz w:val="20"/>
          <w:szCs w:val="20"/>
        </w:rPr>
        <w:t xml:space="preserve">establishment of productive centres. Discussions around the design and implementation are ongoing and the initial phase of the program is expected to commence in the coming months. This funding comes immediately ILO completed the </w:t>
      </w:r>
      <w:r w:rsidR="00617253">
        <w:rPr>
          <w:rFonts w:ascii="Gill Sans MT" w:eastAsia="Calibri" w:hAnsi="Gill Sans MT" w:cs="Arial"/>
          <w:sz w:val="20"/>
          <w:szCs w:val="20"/>
        </w:rPr>
        <w:t xml:space="preserve">PBF program </w:t>
      </w:r>
      <w:r w:rsidRPr="005D458E">
        <w:rPr>
          <w:rFonts w:ascii="Gill Sans MT" w:eastAsia="Calibri" w:hAnsi="Gill Sans MT" w:cs="Arial"/>
          <w:sz w:val="20"/>
          <w:szCs w:val="20"/>
        </w:rPr>
        <w:t>activities. This additional funding complements the P</w:t>
      </w:r>
      <w:r w:rsidR="00F75DC3">
        <w:rPr>
          <w:rFonts w:ascii="Gill Sans MT" w:eastAsia="Calibri" w:hAnsi="Gill Sans MT" w:cs="Arial"/>
          <w:sz w:val="20"/>
          <w:szCs w:val="20"/>
        </w:rPr>
        <w:t>BF program and once completed</w:t>
      </w:r>
      <w:r w:rsidRPr="005D458E">
        <w:rPr>
          <w:rFonts w:ascii="Gill Sans MT" w:eastAsia="Calibri" w:hAnsi="Gill Sans MT" w:cs="Arial"/>
          <w:sz w:val="20"/>
          <w:szCs w:val="20"/>
        </w:rPr>
        <w:t xml:space="preserve"> will boost the local economy and livelihoods of the </w:t>
      </w:r>
      <w:r w:rsidR="00F75DC3">
        <w:rPr>
          <w:rFonts w:ascii="Gill Sans MT" w:eastAsia="Calibri" w:hAnsi="Gill Sans MT" w:cs="Arial"/>
          <w:sz w:val="20"/>
          <w:szCs w:val="20"/>
        </w:rPr>
        <w:t>community as well as contribute</w:t>
      </w:r>
      <w:r w:rsidRPr="005D458E">
        <w:rPr>
          <w:rFonts w:ascii="Gill Sans MT" w:eastAsia="Calibri" w:hAnsi="Gill Sans MT" w:cs="Arial"/>
          <w:sz w:val="20"/>
          <w:szCs w:val="20"/>
        </w:rPr>
        <w:t xml:space="preserve"> to stabilization process in south west state and national development framework. </w:t>
      </w:r>
      <w:r w:rsidR="00DA21EF" w:rsidRPr="005D458E">
        <w:rPr>
          <w:rFonts w:ascii="Gill Sans MT" w:eastAsia="Calibri" w:hAnsi="Gill Sans MT" w:cs="Arial"/>
          <w:sz w:val="20"/>
          <w:szCs w:val="20"/>
        </w:rPr>
        <w:t>Given</w:t>
      </w:r>
      <w:r w:rsidR="00DA21EF">
        <w:rPr>
          <w:rFonts w:ascii="Gill Sans MT" w:eastAsia="Calibri" w:hAnsi="Gill Sans MT" w:cs="Arial"/>
          <w:sz w:val="20"/>
          <w:szCs w:val="20"/>
        </w:rPr>
        <w:t xml:space="preserve"> the program is expected to engage</w:t>
      </w:r>
      <w:r w:rsidR="00DA21EF" w:rsidRPr="005D458E">
        <w:rPr>
          <w:rFonts w:ascii="Gill Sans MT" w:eastAsia="Calibri" w:hAnsi="Gill Sans MT" w:cs="Arial"/>
          <w:sz w:val="20"/>
          <w:szCs w:val="20"/>
        </w:rPr>
        <w:t xml:space="preserve"> local companies and employ local communities, the immediate impact will be</w:t>
      </w:r>
      <w:r w:rsidR="00DA21EF">
        <w:rPr>
          <w:rFonts w:ascii="Gill Sans MT" w:eastAsia="Calibri" w:hAnsi="Gill Sans MT" w:cs="Arial"/>
          <w:sz w:val="20"/>
          <w:szCs w:val="20"/>
        </w:rPr>
        <w:t xml:space="preserve"> seen</w:t>
      </w:r>
      <w:r w:rsidR="00DA21EF" w:rsidRPr="005D458E">
        <w:rPr>
          <w:rFonts w:ascii="Gill Sans MT" w:eastAsia="Calibri" w:hAnsi="Gill Sans MT" w:cs="Arial"/>
          <w:sz w:val="20"/>
          <w:szCs w:val="20"/>
        </w:rPr>
        <w:t xml:space="preserve"> employment creation and improved access to cash that will subsequently improve household income. </w:t>
      </w:r>
    </w:p>
    <w:p w14:paraId="52A90655" w14:textId="77777777" w:rsidR="005D458E" w:rsidRPr="005D458E" w:rsidRDefault="005D458E" w:rsidP="005D458E">
      <w:pPr>
        <w:widowControl w:val="0"/>
        <w:autoSpaceDE w:val="0"/>
        <w:autoSpaceDN w:val="0"/>
        <w:adjustRightInd w:val="0"/>
        <w:spacing w:line="276" w:lineRule="auto"/>
        <w:jc w:val="both"/>
        <w:rPr>
          <w:rFonts w:ascii="Gill Sans MT" w:hAnsi="Gill Sans MT"/>
          <w:sz w:val="20"/>
          <w:szCs w:val="20"/>
        </w:rPr>
      </w:pPr>
    </w:p>
    <w:p w14:paraId="18DD9624" w14:textId="77777777" w:rsidR="005F591F" w:rsidRDefault="00296FBD" w:rsidP="001000C2">
      <w:pPr>
        <w:jc w:val="both"/>
        <w:rPr>
          <w:rFonts w:ascii="Gill Sans MT" w:hAnsi="Gill Sans MT"/>
          <w:bCs/>
          <w:sz w:val="20"/>
          <w:szCs w:val="20"/>
        </w:rPr>
      </w:pPr>
      <w:r w:rsidRPr="001000C2">
        <w:rPr>
          <w:rFonts w:ascii="Gill Sans MT" w:hAnsi="Gill Sans MT"/>
          <w:bCs/>
          <w:sz w:val="20"/>
          <w:szCs w:val="20"/>
        </w:rPr>
        <w:t xml:space="preserve"> </w:t>
      </w:r>
    </w:p>
    <w:p w14:paraId="71E734AB" w14:textId="07D5AD30" w:rsidR="00296FBD" w:rsidRPr="001000C2" w:rsidRDefault="00296FBD" w:rsidP="001000C2">
      <w:pPr>
        <w:jc w:val="both"/>
        <w:rPr>
          <w:rFonts w:ascii="Gill Sans MT" w:eastAsia="Yu Gothic Light" w:hAnsi="Gill Sans MT"/>
          <w:b/>
          <w:bCs/>
          <w:color w:val="5B9BD5"/>
          <w:sz w:val="20"/>
          <w:szCs w:val="20"/>
        </w:rPr>
      </w:pPr>
      <w:r w:rsidRPr="001000C2">
        <w:rPr>
          <w:rFonts w:ascii="Gill Sans MT" w:eastAsia="Yu Gothic Light" w:hAnsi="Gill Sans MT"/>
          <w:b/>
          <w:bCs/>
          <w:color w:val="5B9BD5"/>
          <w:sz w:val="20"/>
          <w:szCs w:val="20"/>
        </w:rPr>
        <w:t>Challenges</w:t>
      </w:r>
    </w:p>
    <w:p w14:paraId="4DDC6F6B" w14:textId="29E37694" w:rsidR="00296FBD" w:rsidRDefault="00296FBD" w:rsidP="001000C2">
      <w:pPr>
        <w:jc w:val="both"/>
        <w:rPr>
          <w:rFonts w:ascii="Gill Sans MT" w:hAnsi="Gill Sans MT" w:cs="Calibri"/>
          <w:sz w:val="20"/>
          <w:szCs w:val="20"/>
        </w:rPr>
      </w:pPr>
      <w:r w:rsidRPr="001000C2">
        <w:rPr>
          <w:rFonts w:ascii="Gill Sans MT" w:hAnsi="Gill Sans MT" w:cs="Calibri"/>
          <w:b/>
          <w:i/>
          <w:sz w:val="20"/>
          <w:szCs w:val="20"/>
        </w:rPr>
        <w:t>Community prioritization in the design of the project</w:t>
      </w:r>
      <w:r w:rsidRPr="001000C2">
        <w:rPr>
          <w:rFonts w:ascii="Gill Sans MT" w:hAnsi="Gill Sans MT" w:cs="Calibri"/>
          <w:sz w:val="20"/>
          <w:szCs w:val="20"/>
        </w:rPr>
        <w:t xml:space="preserve">: </w:t>
      </w:r>
      <w:r w:rsidR="00F913F0" w:rsidRPr="00F913F0">
        <w:rPr>
          <w:rFonts w:ascii="Gill Sans MT" w:hAnsi="Gill Sans MT" w:cs="Calibri"/>
          <w:sz w:val="20"/>
          <w:szCs w:val="20"/>
        </w:rPr>
        <w:t>Although PUNOs held community meetings and conducted assessments before the projects inceptions, however, interviews with some of the beneficiary respondents acknowledging the PBF projects provided temporary access to cash, food support, assets and skills trainings there was no broad-based stakeholders’ consulta</w:t>
      </w:r>
      <w:r w:rsidR="00F75DC3">
        <w:rPr>
          <w:rFonts w:ascii="Gill Sans MT" w:hAnsi="Gill Sans MT" w:cs="Calibri"/>
          <w:sz w:val="20"/>
          <w:szCs w:val="20"/>
        </w:rPr>
        <w:t xml:space="preserve">tion to discuss priority needs. </w:t>
      </w:r>
      <w:r w:rsidR="00454334" w:rsidRPr="001000C2">
        <w:rPr>
          <w:rFonts w:ascii="Gill Sans MT" w:hAnsi="Gill Sans MT" w:cs="Calibri"/>
          <w:sz w:val="20"/>
          <w:szCs w:val="20"/>
        </w:rPr>
        <w:t xml:space="preserve">For instance they described </w:t>
      </w:r>
      <w:r w:rsidRPr="001000C2">
        <w:rPr>
          <w:rFonts w:ascii="Gill Sans MT" w:hAnsi="Gill Sans MT" w:cs="Calibri"/>
          <w:sz w:val="20"/>
          <w:szCs w:val="20"/>
        </w:rPr>
        <w:t xml:space="preserve">FAO’s provision of agricultural inputs </w:t>
      </w:r>
      <w:r w:rsidR="00454334" w:rsidRPr="001000C2">
        <w:rPr>
          <w:rFonts w:ascii="Gill Sans MT" w:hAnsi="Gill Sans MT" w:cs="Calibri"/>
          <w:sz w:val="20"/>
          <w:szCs w:val="20"/>
        </w:rPr>
        <w:t xml:space="preserve">included some </w:t>
      </w:r>
      <w:r w:rsidRPr="001000C2">
        <w:rPr>
          <w:rFonts w:ascii="Gill Sans MT" w:hAnsi="Gill Sans MT" w:cs="Calibri"/>
          <w:sz w:val="20"/>
          <w:szCs w:val="20"/>
        </w:rPr>
        <w:t xml:space="preserve">‘foreign’ seeds (i.e. Amaranthus seeds, Ethiopian Mustard) that failed to grow as opposed to providing indigenous seeds such as Maize. Besides, majority of the returnees did not have farmlands and had to negotiate with farm owners to use their land for a fee or pay in-kind and experienced difficulties. They explained since they have not been engaged in farming while in </w:t>
      </w:r>
      <w:r w:rsidR="003A3D76" w:rsidRPr="001000C2">
        <w:rPr>
          <w:rFonts w:ascii="Gill Sans MT" w:hAnsi="Gill Sans MT" w:cs="Calibri"/>
          <w:sz w:val="20"/>
          <w:szCs w:val="20"/>
        </w:rPr>
        <w:t>Dadaab</w:t>
      </w:r>
      <w:r w:rsidRPr="001000C2">
        <w:rPr>
          <w:rFonts w:ascii="Gill Sans MT" w:hAnsi="Gill Sans MT" w:cs="Calibri"/>
          <w:sz w:val="20"/>
          <w:szCs w:val="20"/>
        </w:rPr>
        <w:t xml:space="preserve"> they found going back to farming difficult but had to consider for lack better alternative. </w:t>
      </w:r>
      <w:r w:rsidR="00A27590">
        <w:rPr>
          <w:rFonts w:ascii="Gill Sans MT" w:hAnsi="Gill Sans MT" w:cs="Calibri"/>
          <w:sz w:val="20"/>
          <w:szCs w:val="20"/>
        </w:rPr>
        <w:t xml:space="preserve">In addition, </w:t>
      </w:r>
      <w:r w:rsidRPr="001000C2">
        <w:rPr>
          <w:rFonts w:ascii="Gill Sans MT" w:hAnsi="Gill Sans MT" w:cs="Calibri"/>
          <w:sz w:val="20"/>
          <w:szCs w:val="20"/>
        </w:rPr>
        <w:t xml:space="preserve">UNICEF’s PBF </w:t>
      </w:r>
      <w:r w:rsidR="00A27590">
        <w:rPr>
          <w:rFonts w:ascii="Gill Sans MT" w:hAnsi="Gill Sans MT" w:cs="Calibri"/>
          <w:sz w:val="20"/>
          <w:szCs w:val="20"/>
        </w:rPr>
        <w:t>constructed 12 TLs across 6 IDP</w:t>
      </w:r>
      <w:r w:rsidRPr="001000C2">
        <w:rPr>
          <w:rFonts w:ascii="Gill Sans MT" w:hAnsi="Gill Sans MT" w:cs="Calibri"/>
          <w:sz w:val="20"/>
          <w:szCs w:val="20"/>
        </w:rPr>
        <w:t xml:space="preserve"> camps, however, five of the 6 facilities were found operational but they had no teachers and are not seen as child friendly because they are overcrowded, do not have playground, lack teachers’ office and lack proper management.</w:t>
      </w:r>
      <w:r w:rsidR="007A2FD0" w:rsidRPr="007A2FD0">
        <w:rPr>
          <w:rFonts w:ascii="Gill Sans MT" w:hAnsi="Gill Sans MT" w:cs="Calibri"/>
          <w:sz w:val="20"/>
          <w:szCs w:val="20"/>
        </w:rPr>
        <w:t xml:space="preserve"> Besides, the UNHCR and WFP </w:t>
      </w:r>
      <w:r w:rsidR="00617253">
        <w:rPr>
          <w:rFonts w:ascii="Gill Sans MT" w:hAnsi="Gill Sans MT" w:cs="Calibri"/>
          <w:sz w:val="20"/>
          <w:szCs w:val="20"/>
        </w:rPr>
        <w:t xml:space="preserve">PBF program </w:t>
      </w:r>
      <w:r w:rsidR="007A2FD0" w:rsidRPr="007A2FD0">
        <w:rPr>
          <w:rFonts w:ascii="Gill Sans MT" w:hAnsi="Gill Sans MT" w:cs="Calibri"/>
          <w:sz w:val="20"/>
          <w:szCs w:val="20"/>
        </w:rPr>
        <w:t>activities involved construction of five and three shallow wells respectively in IDP settlements in Baidoa that were experiencing acute water shortages, however, the shallows dried up immediately after construction. Respondents explained the water table is low therefore construction of productive and permanent shallow wells can be achieved through drilling as opposed to using casual labor which the project</w:t>
      </w:r>
      <w:r w:rsidR="007A2FD0">
        <w:rPr>
          <w:rFonts w:ascii="Gill Sans MT" w:hAnsi="Gill Sans MT" w:cs="Calibri"/>
          <w:sz w:val="20"/>
          <w:szCs w:val="20"/>
        </w:rPr>
        <w:t>s</w:t>
      </w:r>
      <w:r w:rsidR="007A2FD0" w:rsidRPr="007A2FD0">
        <w:rPr>
          <w:rFonts w:ascii="Gill Sans MT" w:hAnsi="Gill Sans MT" w:cs="Calibri"/>
          <w:sz w:val="20"/>
          <w:szCs w:val="20"/>
        </w:rPr>
        <w:t xml:space="preserve"> used due to limited project budget</w:t>
      </w:r>
      <w:r w:rsidR="007A2FD0">
        <w:rPr>
          <w:rFonts w:ascii="Gill Sans MT" w:hAnsi="Gill Sans MT" w:cs="Calibri"/>
          <w:sz w:val="20"/>
          <w:szCs w:val="20"/>
        </w:rPr>
        <w:t xml:space="preserve">. </w:t>
      </w:r>
    </w:p>
    <w:p w14:paraId="249A9281" w14:textId="77777777" w:rsidR="005D458E" w:rsidRPr="001000C2" w:rsidRDefault="005D458E" w:rsidP="001000C2">
      <w:pPr>
        <w:jc w:val="both"/>
        <w:rPr>
          <w:rFonts w:ascii="Gill Sans MT" w:hAnsi="Gill Sans MT" w:cs="Calibri"/>
          <w:sz w:val="20"/>
          <w:szCs w:val="20"/>
        </w:rPr>
      </w:pPr>
    </w:p>
    <w:p w14:paraId="6FD9518B" w14:textId="112077B3" w:rsidR="00296FBD" w:rsidRPr="001000C2" w:rsidRDefault="00296FBD" w:rsidP="001000C2">
      <w:pPr>
        <w:jc w:val="both"/>
        <w:rPr>
          <w:rFonts w:ascii="Gill Sans MT" w:hAnsi="Gill Sans MT" w:cs="Calibri"/>
          <w:color w:val="000000"/>
          <w:sz w:val="20"/>
          <w:szCs w:val="20"/>
        </w:rPr>
      </w:pPr>
      <w:r w:rsidRPr="001000C2">
        <w:rPr>
          <w:rFonts w:ascii="Gill Sans MT" w:hAnsi="Gill Sans MT" w:cs="Calibri"/>
          <w:b/>
          <w:i/>
          <w:color w:val="000000"/>
          <w:sz w:val="20"/>
          <w:szCs w:val="20"/>
        </w:rPr>
        <w:t>Duplication and overlapping</w:t>
      </w:r>
      <w:r w:rsidRPr="001000C2">
        <w:rPr>
          <w:rFonts w:ascii="Gill Sans MT" w:hAnsi="Gill Sans MT" w:cs="Calibri"/>
          <w:b/>
          <w:color w:val="000000"/>
          <w:sz w:val="20"/>
          <w:szCs w:val="20"/>
        </w:rPr>
        <w:t>:</w:t>
      </w:r>
      <w:r w:rsidRPr="001000C2">
        <w:rPr>
          <w:rFonts w:ascii="Gill Sans MT" w:hAnsi="Gill Sans MT" w:cs="Calibri"/>
          <w:color w:val="000000"/>
          <w:sz w:val="20"/>
          <w:szCs w:val="20"/>
        </w:rPr>
        <w:t xml:space="preserve"> During the field study it was noted that UNICEF-PBF funded the construction of temporary learning spaces (TLS) and trained volunteer teachers in six settlements. Since the completion of the project one school has since been shut down after all the teachers left and sought employment in a new school built in close proximity by Save the Children and paid modest stipend and parents enrolled their children in the school citing the school provided feeding program. In addition, there was confusion between IOM and </w:t>
      </w:r>
      <w:r w:rsidR="00A27590">
        <w:rPr>
          <w:rFonts w:ascii="Gill Sans MT" w:hAnsi="Gill Sans MT" w:cs="Calibri"/>
          <w:color w:val="000000"/>
          <w:sz w:val="20"/>
          <w:szCs w:val="20"/>
        </w:rPr>
        <w:t xml:space="preserve">ADESO after </w:t>
      </w:r>
      <w:r w:rsidRPr="001000C2">
        <w:rPr>
          <w:rFonts w:ascii="Gill Sans MT" w:hAnsi="Gill Sans MT" w:cs="Calibri"/>
          <w:color w:val="000000"/>
          <w:sz w:val="20"/>
          <w:szCs w:val="20"/>
        </w:rPr>
        <w:t>both</w:t>
      </w:r>
      <w:r w:rsidR="00A27590">
        <w:rPr>
          <w:rFonts w:ascii="Gill Sans MT" w:hAnsi="Gill Sans MT" w:cs="Calibri"/>
          <w:color w:val="000000"/>
          <w:sz w:val="20"/>
          <w:szCs w:val="20"/>
        </w:rPr>
        <w:t xml:space="preserve"> agencies</w:t>
      </w:r>
      <w:r w:rsidRPr="001000C2">
        <w:rPr>
          <w:rFonts w:ascii="Gill Sans MT" w:hAnsi="Gill Sans MT" w:cs="Calibri"/>
          <w:color w:val="000000"/>
          <w:sz w:val="20"/>
          <w:szCs w:val="20"/>
        </w:rPr>
        <w:t xml:space="preserve"> received funding to rehabilitate Dr. Ayuub Football stadium. This delayed the commencement of the construction works and it took government intervent</w:t>
      </w:r>
      <w:r w:rsidR="00A27590">
        <w:rPr>
          <w:rFonts w:ascii="Gill Sans MT" w:hAnsi="Gill Sans MT" w:cs="Calibri"/>
          <w:color w:val="000000"/>
          <w:sz w:val="20"/>
          <w:szCs w:val="20"/>
        </w:rPr>
        <w:t>ion to resolve the matter long</w:t>
      </w:r>
      <w:r w:rsidRPr="001000C2">
        <w:rPr>
          <w:rFonts w:ascii="Gill Sans MT" w:hAnsi="Gill Sans MT" w:cs="Calibri"/>
          <w:color w:val="000000"/>
          <w:sz w:val="20"/>
          <w:szCs w:val="20"/>
        </w:rPr>
        <w:t xml:space="preserve"> after the project completion. </w:t>
      </w:r>
    </w:p>
    <w:p w14:paraId="2D2F0396" w14:textId="66EDA591" w:rsidR="00296FBD" w:rsidRPr="001000C2" w:rsidRDefault="00296FBD" w:rsidP="001000C2">
      <w:pPr>
        <w:jc w:val="both"/>
        <w:rPr>
          <w:rFonts w:ascii="Gill Sans MT" w:hAnsi="Gill Sans MT" w:cs="Calibri"/>
          <w:b/>
          <w:color w:val="000000"/>
          <w:sz w:val="20"/>
          <w:szCs w:val="20"/>
        </w:rPr>
      </w:pPr>
      <w:r w:rsidRPr="001000C2">
        <w:rPr>
          <w:rFonts w:ascii="Gill Sans MT" w:hAnsi="Gill Sans MT" w:cs="Calibri"/>
          <w:b/>
          <w:i/>
          <w:sz w:val="20"/>
          <w:szCs w:val="20"/>
        </w:rPr>
        <w:t>Feedback mechanism:</w:t>
      </w:r>
      <w:r w:rsidRPr="001000C2">
        <w:rPr>
          <w:rFonts w:ascii="Gill Sans MT" w:hAnsi="Gill Sans MT"/>
          <w:sz w:val="20"/>
          <w:szCs w:val="20"/>
        </w:rPr>
        <w:t xml:space="preserve"> </w:t>
      </w:r>
      <w:r w:rsidRPr="001000C2">
        <w:rPr>
          <w:rFonts w:ascii="Gill Sans MT" w:hAnsi="Gill Sans MT" w:cs="Calibri"/>
          <w:color w:val="000000"/>
          <w:sz w:val="20"/>
          <w:szCs w:val="20"/>
        </w:rPr>
        <w:t>Embedding an effective feedback mechanism is an integral part of project implementation that would be useful for agencies to support accountability, transparency, empowerment, monitoring and evaluation, and programme improvement, and to provide early warning of impending problems. However, this will require agencies to create awa</w:t>
      </w:r>
      <w:r w:rsidR="00A27590">
        <w:rPr>
          <w:rFonts w:ascii="Gill Sans MT" w:hAnsi="Gill Sans MT" w:cs="Calibri"/>
          <w:color w:val="000000"/>
          <w:sz w:val="20"/>
          <w:szCs w:val="20"/>
        </w:rPr>
        <w:t xml:space="preserve">reness and create confidence among </w:t>
      </w:r>
      <w:r w:rsidRPr="001000C2">
        <w:rPr>
          <w:rFonts w:ascii="Gill Sans MT" w:hAnsi="Gill Sans MT" w:cs="Calibri"/>
          <w:color w:val="000000"/>
          <w:sz w:val="20"/>
          <w:szCs w:val="20"/>
        </w:rPr>
        <w:t>beneficiaries to</w:t>
      </w:r>
      <w:r w:rsidR="00A27590">
        <w:rPr>
          <w:rFonts w:ascii="Gill Sans MT" w:hAnsi="Gill Sans MT" w:cs="Calibri"/>
          <w:color w:val="000000"/>
          <w:sz w:val="20"/>
          <w:szCs w:val="20"/>
        </w:rPr>
        <w:t xml:space="preserve"> be able to</w:t>
      </w:r>
      <w:r w:rsidRPr="001000C2">
        <w:rPr>
          <w:rFonts w:ascii="Gill Sans MT" w:hAnsi="Gill Sans MT" w:cs="Calibri"/>
          <w:color w:val="000000"/>
          <w:sz w:val="20"/>
          <w:szCs w:val="20"/>
        </w:rPr>
        <w:t xml:space="preserve"> give their feedback. The study found ILO, IOM and UNHCR did not have a hotline system for provision of feedback but WFP and FAO had hotline numbers that was made available to the beneficiaries. </w:t>
      </w:r>
    </w:p>
    <w:p w14:paraId="7FA95EE4" w14:textId="142720D7" w:rsidR="00296FBD" w:rsidRPr="001000C2" w:rsidRDefault="001879CE" w:rsidP="001000C2">
      <w:pPr>
        <w:jc w:val="both"/>
        <w:rPr>
          <w:rFonts w:ascii="Gill Sans MT" w:hAnsi="Gill Sans MT" w:cs="Calibri"/>
          <w:b/>
          <w:color w:val="000000"/>
          <w:sz w:val="20"/>
          <w:szCs w:val="20"/>
        </w:rPr>
      </w:pPr>
      <w:r w:rsidRPr="001000C2">
        <w:rPr>
          <w:rFonts w:ascii="Gill Sans MT" w:hAnsi="Gill Sans MT" w:cs="Calibri"/>
          <w:b/>
          <w:i/>
          <w:sz w:val="20"/>
          <w:szCs w:val="20"/>
        </w:rPr>
        <w:t>Beneficiary Selection</w:t>
      </w:r>
      <w:r w:rsidRPr="001000C2">
        <w:rPr>
          <w:rFonts w:ascii="Gill Sans MT" w:hAnsi="Gill Sans MT" w:cs="Calibri"/>
          <w:b/>
          <w:sz w:val="20"/>
          <w:szCs w:val="20"/>
        </w:rPr>
        <w:t>:</w:t>
      </w:r>
      <w:r w:rsidRPr="001000C2">
        <w:rPr>
          <w:rFonts w:ascii="Gill Sans MT" w:hAnsi="Gill Sans MT" w:cs="Calibri"/>
          <w:sz w:val="20"/>
          <w:szCs w:val="20"/>
        </w:rPr>
        <w:t xml:space="preserve"> The study found agencies have selection criterions but used varied approaches in the selection of beneficiaries. </w:t>
      </w:r>
      <w:r w:rsidR="00454334" w:rsidRPr="001000C2">
        <w:rPr>
          <w:rFonts w:ascii="Gill Sans MT" w:hAnsi="Gill Sans MT" w:cs="Calibri"/>
          <w:sz w:val="20"/>
          <w:szCs w:val="20"/>
        </w:rPr>
        <w:t>Interviews with local partners</w:t>
      </w:r>
      <w:r w:rsidRPr="001000C2">
        <w:rPr>
          <w:rFonts w:ascii="Gill Sans MT" w:hAnsi="Gill Sans MT" w:cs="Calibri"/>
          <w:sz w:val="20"/>
          <w:szCs w:val="20"/>
        </w:rPr>
        <w:t xml:space="preserve"> revealed that they had engaged either</w:t>
      </w:r>
      <w:r w:rsidR="00454334" w:rsidRPr="001000C2">
        <w:rPr>
          <w:rFonts w:ascii="Gill Sans MT" w:hAnsi="Gill Sans MT" w:cs="Calibri"/>
          <w:sz w:val="20"/>
          <w:szCs w:val="20"/>
        </w:rPr>
        <w:t xml:space="preserve"> with</w:t>
      </w:r>
      <w:r w:rsidRPr="001000C2">
        <w:rPr>
          <w:rFonts w:ascii="Gill Sans MT" w:hAnsi="Gill Sans MT" w:cs="Calibri"/>
          <w:sz w:val="20"/>
          <w:szCs w:val="20"/>
        </w:rPr>
        <w:t xml:space="preserve"> MORDA or loca</w:t>
      </w:r>
      <w:r w:rsidR="00454334" w:rsidRPr="001000C2">
        <w:rPr>
          <w:rFonts w:ascii="Gill Sans MT" w:hAnsi="Gill Sans MT" w:cs="Calibri"/>
          <w:sz w:val="20"/>
          <w:szCs w:val="20"/>
        </w:rPr>
        <w:t xml:space="preserve">l municipality while maintaining </w:t>
      </w:r>
      <w:r w:rsidRPr="001000C2">
        <w:rPr>
          <w:rFonts w:ascii="Gill Sans MT" w:hAnsi="Gill Sans MT" w:cs="Calibri"/>
          <w:sz w:val="20"/>
          <w:szCs w:val="20"/>
        </w:rPr>
        <w:t>minimal oversight role. It was noted that some partners delegated the responsibility of beneficiary selection to either MORD</w:t>
      </w:r>
      <w:r w:rsidR="00A27590">
        <w:rPr>
          <w:rFonts w:ascii="Gill Sans MT" w:hAnsi="Gill Sans MT" w:cs="Calibri"/>
          <w:sz w:val="20"/>
          <w:szCs w:val="20"/>
        </w:rPr>
        <w:t xml:space="preserve">A or local municipality. This can arguably create risk of bias, </w:t>
      </w:r>
      <w:r w:rsidRPr="001000C2">
        <w:rPr>
          <w:rFonts w:ascii="Gill Sans MT" w:hAnsi="Gill Sans MT" w:cs="Calibri"/>
          <w:sz w:val="20"/>
          <w:szCs w:val="20"/>
        </w:rPr>
        <w:t>favoritism</w:t>
      </w:r>
      <w:r w:rsidR="00A27590">
        <w:rPr>
          <w:rFonts w:ascii="Gill Sans MT" w:hAnsi="Gill Sans MT" w:cs="Calibri"/>
          <w:sz w:val="20"/>
          <w:szCs w:val="20"/>
        </w:rPr>
        <w:t xml:space="preserve"> and </w:t>
      </w:r>
      <w:r w:rsidRPr="001000C2">
        <w:rPr>
          <w:rFonts w:ascii="Gill Sans MT" w:hAnsi="Gill Sans MT" w:cs="Calibri"/>
          <w:sz w:val="20"/>
          <w:szCs w:val="20"/>
        </w:rPr>
        <w:t xml:space="preserve">exclusion </w:t>
      </w:r>
      <w:r w:rsidR="00A27590">
        <w:rPr>
          <w:rFonts w:ascii="Gill Sans MT" w:hAnsi="Gill Sans MT" w:cs="Calibri"/>
          <w:sz w:val="20"/>
          <w:szCs w:val="20"/>
        </w:rPr>
        <w:t>of</w:t>
      </w:r>
      <w:r w:rsidRPr="001000C2">
        <w:rPr>
          <w:rFonts w:ascii="Gill Sans MT" w:hAnsi="Gill Sans MT" w:cs="Calibri"/>
          <w:sz w:val="20"/>
          <w:szCs w:val="20"/>
        </w:rPr>
        <w:t xml:space="preserve"> marginalized groups. </w:t>
      </w:r>
    </w:p>
    <w:p w14:paraId="61D9E9C3" w14:textId="69B2BBCE" w:rsidR="00296FBD" w:rsidRPr="001000C2" w:rsidRDefault="00296FBD" w:rsidP="001000C2">
      <w:pPr>
        <w:jc w:val="both"/>
        <w:rPr>
          <w:rFonts w:ascii="Gill Sans MT" w:hAnsi="Gill Sans MT" w:cs="Calibri"/>
          <w:color w:val="000000"/>
          <w:sz w:val="20"/>
          <w:szCs w:val="20"/>
        </w:rPr>
      </w:pPr>
      <w:r w:rsidRPr="001000C2">
        <w:rPr>
          <w:rFonts w:ascii="Gill Sans MT" w:hAnsi="Gill Sans MT" w:cs="Calibri"/>
          <w:b/>
          <w:i/>
          <w:color w:val="000000"/>
          <w:sz w:val="20"/>
          <w:szCs w:val="20"/>
        </w:rPr>
        <w:t>Interference from Local Administration:</w:t>
      </w:r>
      <w:r w:rsidRPr="001000C2">
        <w:rPr>
          <w:rFonts w:ascii="Gill Sans MT" w:hAnsi="Gill Sans MT" w:cs="Calibri"/>
          <w:color w:val="000000"/>
          <w:sz w:val="20"/>
          <w:szCs w:val="20"/>
        </w:rPr>
        <w:t xml:space="preserve"> Baidoa local municipality barred a local company that won a bid to rehabilitate the Kerowfogi Bridge and delayed the project thus prompted IOM to re-advertise the bid</w:t>
      </w:r>
      <w:r w:rsidR="00454334" w:rsidRPr="001000C2">
        <w:rPr>
          <w:rFonts w:ascii="Gill Sans MT" w:hAnsi="Gill Sans MT" w:cs="Calibri"/>
          <w:color w:val="000000"/>
          <w:sz w:val="20"/>
          <w:szCs w:val="20"/>
        </w:rPr>
        <w:t xml:space="preserve"> and contract</w:t>
      </w:r>
      <w:r w:rsidRPr="001000C2">
        <w:rPr>
          <w:rFonts w:ascii="Gill Sans MT" w:hAnsi="Gill Sans MT" w:cs="Calibri"/>
          <w:color w:val="000000"/>
          <w:sz w:val="20"/>
          <w:szCs w:val="20"/>
        </w:rPr>
        <w:t xml:space="preserve"> anothe</w:t>
      </w:r>
      <w:r w:rsidR="00454334" w:rsidRPr="001000C2">
        <w:rPr>
          <w:rFonts w:ascii="Gill Sans MT" w:hAnsi="Gill Sans MT" w:cs="Calibri"/>
          <w:color w:val="000000"/>
          <w:sz w:val="20"/>
          <w:szCs w:val="20"/>
        </w:rPr>
        <w:t>r company long after the program ended</w:t>
      </w:r>
      <w:r w:rsidRPr="001000C2">
        <w:rPr>
          <w:rFonts w:ascii="Gill Sans MT" w:hAnsi="Gill Sans MT" w:cs="Calibri"/>
          <w:color w:val="000000"/>
          <w:sz w:val="20"/>
          <w:szCs w:val="20"/>
        </w:rPr>
        <w:t xml:space="preserve">. </w:t>
      </w:r>
    </w:p>
    <w:p w14:paraId="44A87AD7" w14:textId="3C23A38F" w:rsidR="00296FBD" w:rsidRPr="001000C2" w:rsidRDefault="00296FBD" w:rsidP="001000C2">
      <w:pPr>
        <w:jc w:val="both"/>
        <w:rPr>
          <w:rFonts w:ascii="Gill Sans MT" w:hAnsi="Gill Sans MT" w:cs="Calibri"/>
          <w:color w:val="000000"/>
          <w:sz w:val="20"/>
          <w:szCs w:val="20"/>
        </w:rPr>
      </w:pPr>
      <w:r w:rsidRPr="001000C2">
        <w:rPr>
          <w:rFonts w:ascii="Gill Sans MT" w:hAnsi="Gill Sans MT" w:cs="Calibri"/>
          <w:b/>
          <w:i/>
          <w:color w:val="000000"/>
          <w:sz w:val="20"/>
          <w:szCs w:val="20"/>
        </w:rPr>
        <w:t>Returnee Orientation:</w:t>
      </w:r>
      <w:r w:rsidRPr="001000C2">
        <w:rPr>
          <w:rFonts w:ascii="Gill Sans MT" w:hAnsi="Gill Sans MT" w:cs="Calibri"/>
          <w:color w:val="000000"/>
          <w:sz w:val="20"/>
          <w:szCs w:val="20"/>
        </w:rPr>
        <w:t xml:space="preserve"> Given that majority of voluntary returnees are returning after being away for more than two decades there was little or no information about the socio-economic situation of the areas of return. Some of the returnees reported being coned or misappropriated of funds by some locals who took advantage of their ignorance. </w:t>
      </w:r>
    </w:p>
    <w:p w14:paraId="24917F09" w14:textId="7C322AD9" w:rsidR="00296FBD" w:rsidRPr="001000C2" w:rsidRDefault="00296FBD" w:rsidP="001000C2">
      <w:pPr>
        <w:jc w:val="both"/>
        <w:rPr>
          <w:rFonts w:ascii="Gill Sans MT" w:hAnsi="Gill Sans MT"/>
          <w:sz w:val="20"/>
          <w:szCs w:val="20"/>
        </w:rPr>
      </w:pPr>
      <w:r w:rsidRPr="001000C2">
        <w:rPr>
          <w:rFonts w:ascii="Gill Sans MT" w:hAnsi="Gill Sans MT"/>
          <w:b/>
          <w:i/>
          <w:sz w:val="20"/>
          <w:szCs w:val="20"/>
        </w:rPr>
        <w:t>Start-up Kits:</w:t>
      </w:r>
      <w:r w:rsidRPr="001000C2">
        <w:rPr>
          <w:rFonts w:ascii="Gill Sans MT" w:hAnsi="Gill Sans MT"/>
          <w:sz w:val="20"/>
          <w:szCs w:val="20"/>
        </w:rPr>
        <w:t xml:space="preserve"> The lack of individual start up kits was challenging as this has ‘tied’ a gr</w:t>
      </w:r>
      <w:r w:rsidR="00E3044B" w:rsidRPr="001000C2">
        <w:rPr>
          <w:rFonts w:ascii="Gill Sans MT" w:hAnsi="Gill Sans MT"/>
          <w:sz w:val="20"/>
          <w:szCs w:val="20"/>
        </w:rPr>
        <w:t>oup of four together hence rendering</w:t>
      </w:r>
      <w:r w:rsidRPr="001000C2">
        <w:rPr>
          <w:rFonts w:ascii="Gill Sans MT" w:hAnsi="Gill Sans MT"/>
          <w:sz w:val="20"/>
          <w:szCs w:val="20"/>
        </w:rPr>
        <w:t xml:space="preserve"> them to make a group decision which was not easy for them to cope with. A key reason reported for the low return for the trainee graduates was the issue of combining them together, for instance if a member of the group changes intention to return, then the other three would be forced to stay in Dadaab.</w:t>
      </w:r>
    </w:p>
    <w:p w14:paraId="7CC34AB7" w14:textId="12FFE73D" w:rsidR="00296FBD" w:rsidRPr="001000C2" w:rsidRDefault="00296FBD" w:rsidP="001000C2">
      <w:pPr>
        <w:jc w:val="both"/>
        <w:rPr>
          <w:rFonts w:ascii="Gill Sans MT" w:hAnsi="Gill Sans MT"/>
          <w:sz w:val="20"/>
          <w:szCs w:val="20"/>
        </w:rPr>
      </w:pPr>
      <w:r w:rsidRPr="001000C2">
        <w:rPr>
          <w:rFonts w:ascii="Gill Sans MT" w:hAnsi="Gill Sans MT"/>
          <w:b/>
          <w:i/>
          <w:sz w:val="20"/>
          <w:szCs w:val="20"/>
        </w:rPr>
        <w:lastRenderedPageBreak/>
        <w:t>Dropout of Trainees</w:t>
      </w:r>
      <w:r w:rsidRPr="001000C2">
        <w:rPr>
          <w:rFonts w:ascii="Gill Sans MT" w:hAnsi="Gill Sans MT"/>
          <w:b/>
          <w:sz w:val="20"/>
          <w:szCs w:val="20"/>
        </w:rPr>
        <w:t>:</w:t>
      </w:r>
      <w:r w:rsidRPr="001000C2">
        <w:rPr>
          <w:rFonts w:ascii="Gill Sans MT" w:hAnsi="Gill Sans MT"/>
          <w:sz w:val="20"/>
          <w:szCs w:val="20"/>
        </w:rPr>
        <w:t xml:space="preserve"> Cases of drop out of trainees especially those that were dispatched to NITA accredited</w:t>
      </w:r>
      <w:r w:rsidR="00E3044B" w:rsidRPr="001000C2">
        <w:rPr>
          <w:rFonts w:ascii="Gill Sans MT" w:hAnsi="Gill Sans MT"/>
          <w:sz w:val="20"/>
          <w:szCs w:val="20"/>
        </w:rPr>
        <w:t xml:space="preserve"> colleges in Nairobi. DRC enrolled</w:t>
      </w:r>
      <w:r w:rsidRPr="001000C2">
        <w:rPr>
          <w:rFonts w:ascii="Gill Sans MT" w:hAnsi="Gill Sans MT"/>
          <w:sz w:val="20"/>
          <w:szCs w:val="20"/>
        </w:rPr>
        <w:t xml:space="preserve"> about 70 trainees at various colleges in Nairobi but only 50 graduated as 20 of them dropped out.</w:t>
      </w:r>
    </w:p>
    <w:p w14:paraId="6B165580" w14:textId="77777777" w:rsidR="00296FBD" w:rsidRPr="001000C2" w:rsidRDefault="00296FBD" w:rsidP="001000C2">
      <w:pPr>
        <w:jc w:val="both"/>
        <w:rPr>
          <w:rFonts w:ascii="Gill Sans MT" w:hAnsi="Gill Sans MT"/>
          <w:sz w:val="20"/>
          <w:szCs w:val="20"/>
        </w:rPr>
      </w:pPr>
      <w:r w:rsidRPr="001000C2">
        <w:rPr>
          <w:rFonts w:ascii="Gill Sans MT" w:hAnsi="Gill Sans MT"/>
          <w:b/>
          <w:i/>
          <w:sz w:val="20"/>
          <w:szCs w:val="20"/>
        </w:rPr>
        <w:t>Low Absorption Capacity in Baidoa:</w:t>
      </w:r>
      <w:r w:rsidRPr="001000C2">
        <w:rPr>
          <w:rFonts w:ascii="Gill Sans MT" w:hAnsi="Gill Sans MT"/>
          <w:sz w:val="20"/>
          <w:szCs w:val="20"/>
        </w:rPr>
        <w:t xml:space="preserve"> Social services such as schools and health facilities for Baidoa area, especially remote locations in the outskirts of Baidoa had a very low absorption capacity as many were reported to have come back to Dadaab after return to their places of origin.</w:t>
      </w:r>
    </w:p>
    <w:p w14:paraId="52DAF57A" w14:textId="77777777" w:rsidR="00296FBD" w:rsidRDefault="00296FBD" w:rsidP="001000C2">
      <w:pPr>
        <w:jc w:val="both"/>
        <w:rPr>
          <w:rFonts w:ascii="Gill Sans MT" w:hAnsi="Gill Sans MT"/>
          <w:sz w:val="20"/>
          <w:szCs w:val="20"/>
        </w:rPr>
      </w:pPr>
      <w:r w:rsidRPr="001000C2">
        <w:rPr>
          <w:rFonts w:ascii="Gill Sans MT" w:hAnsi="Gill Sans MT"/>
          <w:b/>
          <w:i/>
          <w:sz w:val="20"/>
          <w:szCs w:val="20"/>
        </w:rPr>
        <w:t>Low Intention to Return:</w:t>
      </w:r>
      <w:r w:rsidRPr="001000C2">
        <w:rPr>
          <w:rFonts w:ascii="Gill Sans MT" w:hAnsi="Gill Sans MT"/>
          <w:sz w:val="20"/>
          <w:szCs w:val="20"/>
        </w:rPr>
        <w:t xml:space="preserve"> Return intention for Baidoa was quite low hence mobilization of potential trainees in Dadaab was a challenging endeavor.</w:t>
      </w:r>
    </w:p>
    <w:p w14:paraId="58F32F8F" w14:textId="77777777" w:rsidR="005D458E" w:rsidRDefault="005D458E" w:rsidP="001000C2">
      <w:pPr>
        <w:jc w:val="both"/>
        <w:rPr>
          <w:rFonts w:ascii="Gill Sans MT" w:hAnsi="Gill Sans MT"/>
          <w:sz w:val="20"/>
          <w:szCs w:val="20"/>
        </w:rPr>
      </w:pPr>
    </w:p>
    <w:p w14:paraId="047472D8" w14:textId="77777777" w:rsidR="005D458E" w:rsidRPr="001000C2" w:rsidRDefault="005D458E" w:rsidP="001000C2">
      <w:pPr>
        <w:jc w:val="both"/>
        <w:rPr>
          <w:rFonts w:ascii="Gill Sans MT" w:hAnsi="Gill Sans MT"/>
          <w:sz w:val="20"/>
          <w:szCs w:val="20"/>
        </w:rPr>
      </w:pPr>
    </w:p>
    <w:p w14:paraId="1825E661" w14:textId="77777777" w:rsidR="00230515" w:rsidRPr="001000C2" w:rsidRDefault="00230515" w:rsidP="001000C2">
      <w:pPr>
        <w:jc w:val="both"/>
        <w:rPr>
          <w:rFonts w:ascii="Gill Sans MT" w:hAnsi="Gill Sans MT"/>
          <w:sz w:val="20"/>
          <w:szCs w:val="20"/>
        </w:rPr>
      </w:pPr>
    </w:p>
    <w:p w14:paraId="1575DF58" w14:textId="77777777" w:rsidR="00296FBD" w:rsidRPr="001000C2" w:rsidRDefault="00296FBD" w:rsidP="001000C2">
      <w:pPr>
        <w:jc w:val="both"/>
        <w:rPr>
          <w:rFonts w:ascii="Gill Sans MT" w:eastAsia="Yu Gothic Light" w:hAnsi="Gill Sans MT"/>
          <w:b/>
          <w:bCs/>
          <w:color w:val="5B9BD5"/>
          <w:sz w:val="20"/>
          <w:szCs w:val="20"/>
        </w:rPr>
      </w:pPr>
      <w:r w:rsidRPr="001000C2">
        <w:rPr>
          <w:rFonts w:ascii="Gill Sans MT" w:eastAsia="Yu Gothic Light" w:hAnsi="Gill Sans MT"/>
          <w:b/>
          <w:bCs/>
          <w:color w:val="5B9BD5"/>
          <w:sz w:val="20"/>
          <w:szCs w:val="20"/>
        </w:rPr>
        <w:t>Lessons Learnt</w:t>
      </w:r>
    </w:p>
    <w:p w14:paraId="077E2F27" w14:textId="04D07A27" w:rsidR="009829C6" w:rsidRDefault="00296FBD" w:rsidP="001000C2">
      <w:pPr>
        <w:jc w:val="both"/>
        <w:rPr>
          <w:rFonts w:ascii="Gill Sans MT" w:hAnsi="Gill Sans MT"/>
          <w:sz w:val="20"/>
          <w:szCs w:val="20"/>
        </w:rPr>
      </w:pPr>
      <w:r w:rsidRPr="001000C2">
        <w:rPr>
          <w:rFonts w:ascii="Gill Sans MT" w:hAnsi="Gill Sans MT"/>
          <w:b/>
          <w:i/>
          <w:sz w:val="20"/>
          <w:szCs w:val="20"/>
        </w:rPr>
        <w:t>Coordination with government institutions</w:t>
      </w:r>
      <w:r w:rsidRPr="001000C2">
        <w:rPr>
          <w:rFonts w:ascii="Gill Sans MT" w:hAnsi="Gill Sans MT"/>
          <w:b/>
          <w:sz w:val="20"/>
          <w:szCs w:val="20"/>
        </w:rPr>
        <w:t>:</w:t>
      </w:r>
      <w:r w:rsidRPr="001000C2">
        <w:rPr>
          <w:rFonts w:ascii="Gill Sans MT" w:hAnsi="Gill Sans MT"/>
          <w:sz w:val="20"/>
          <w:szCs w:val="20"/>
        </w:rPr>
        <w:t xml:space="preserve"> Engaging with relevant government institutions in the delivery of aid is critical to ensure transparency and accountability. Government involvement in project will help improve their visibility, confidence and leadership. However, this engagement can sometimes cause friction among government institutions if it’s not carefully handled. Notably, there was standoff between MORDA and Baidoa municipality over the selection of </w:t>
      </w:r>
      <w:r w:rsidR="00647744" w:rsidRPr="001000C2">
        <w:rPr>
          <w:rFonts w:ascii="Gill Sans MT" w:hAnsi="Gill Sans MT"/>
          <w:sz w:val="20"/>
          <w:szCs w:val="20"/>
        </w:rPr>
        <w:t>beneficiaries. The</w:t>
      </w:r>
      <w:r w:rsidRPr="001000C2">
        <w:rPr>
          <w:rFonts w:ascii="Gill Sans MT" w:hAnsi="Gill Sans MT"/>
          <w:sz w:val="20"/>
          <w:szCs w:val="20"/>
        </w:rPr>
        <w:t xml:space="preserve"> ministry has since been disbanded by new south west state president allegedly due to its rise in prominence and overstepping its mandate following complaints from other government agencies. Therefore, future programs should consider working with relevant government agencies as opposed to engaging a single institution. </w:t>
      </w:r>
    </w:p>
    <w:p w14:paraId="02667F8C" w14:textId="77777777" w:rsidR="005D458E" w:rsidRPr="001000C2" w:rsidRDefault="005D458E" w:rsidP="001000C2">
      <w:pPr>
        <w:jc w:val="both"/>
        <w:rPr>
          <w:rFonts w:ascii="Gill Sans MT" w:hAnsi="Gill Sans MT"/>
          <w:sz w:val="20"/>
          <w:szCs w:val="20"/>
        </w:rPr>
      </w:pPr>
    </w:p>
    <w:p w14:paraId="0C6369B5" w14:textId="5FD18F20" w:rsidR="00296FBD" w:rsidRDefault="00296FBD" w:rsidP="001000C2">
      <w:pPr>
        <w:jc w:val="both"/>
        <w:rPr>
          <w:rFonts w:ascii="Gill Sans MT" w:hAnsi="Gill Sans MT"/>
          <w:sz w:val="20"/>
          <w:szCs w:val="20"/>
        </w:rPr>
      </w:pPr>
      <w:r w:rsidRPr="001000C2">
        <w:rPr>
          <w:rFonts w:ascii="Gill Sans MT" w:hAnsi="Gill Sans MT"/>
          <w:b/>
          <w:i/>
          <w:sz w:val="20"/>
          <w:szCs w:val="20"/>
        </w:rPr>
        <w:t>Rehabilitation of community infrastructure</w:t>
      </w:r>
      <w:r w:rsidRPr="001000C2">
        <w:rPr>
          <w:rFonts w:ascii="Gill Sans MT" w:hAnsi="Gill Sans MT"/>
          <w:sz w:val="20"/>
          <w:szCs w:val="20"/>
        </w:rPr>
        <w:t xml:space="preserve">: Most of the </w:t>
      </w:r>
      <w:r w:rsidR="00617253">
        <w:rPr>
          <w:rFonts w:ascii="Gill Sans MT" w:hAnsi="Gill Sans MT"/>
          <w:sz w:val="20"/>
          <w:szCs w:val="20"/>
        </w:rPr>
        <w:t xml:space="preserve">PBF program </w:t>
      </w:r>
      <w:r w:rsidRPr="001000C2">
        <w:rPr>
          <w:rFonts w:ascii="Gill Sans MT" w:hAnsi="Gill Sans MT"/>
          <w:sz w:val="20"/>
          <w:szCs w:val="20"/>
        </w:rPr>
        <w:t xml:space="preserve">activities involved rehabilitation of roads through cash for work or food voucher. Considering the road condition sometimes using beneficiaries only might not be ideal due to the limited technical capacity. The study found ILO engaged a local contractor that provided machinery and expertise to complement beneficiaries’ efforts. This collaborative effort produced quality work that </w:t>
      </w:r>
      <w:r w:rsidR="00E3044B" w:rsidRPr="001000C2">
        <w:rPr>
          <w:rFonts w:ascii="Gill Sans MT" w:hAnsi="Gill Sans MT"/>
          <w:sz w:val="20"/>
          <w:szCs w:val="20"/>
        </w:rPr>
        <w:t>is deemed sustainable.</w:t>
      </w:r>
      <w:r w:rsidRPr="001000C2">
        <w:rPr>
          <w:rFonts w:ascii="Gill Sans MT" w:hAnsi="Gill Sans MT"/>
          <w:sz w:val="20"/>
          <w:szCs w:val="20"/>
        </w:rPr>
        <w:t xml:space="preserve"> This approach provides useful lesson that using beneficiaries only to undertake road rehabilitation without using appropriate machines and knowledge might not produce desired results.</w:t>
      </w:r>
    </w:p>
    <w:p w14:paraId="3137BE61" w14:textId="77777777" w:rsidR="005D458E" w:rsidRPr="001000C2" w:rsidRDefault="005D458E" w:rsidP="001000C2">
      <w:pPr>
        <w:jc w:val="both"/>
        <w:rPr>
          <w:rFonts w:ascii="Gill Sans MT" w:hAnsi="Gill Sans MT"/>
          <w:sz w:val="20"/>
          <w:szCs w:val="20"/>
        </w:rPr>
      </w:pPr>
    </w:p>
    <w:p w14:paraId="5A855DAB" w14:textId="6F1E9E65" w:rsidR="00296FBD" w:rsidRDefault="00296FBD" w:rsidP="001000C2">
      <w:pPr>
        <w:jc w:val="both"/>
        <w:rPr>
          <w:rFonts w:ascii="Gill Sans MT" w:hAnsi="Gill Sans MT"/>
          <w:sz w:val="20"/>
          <w:szCs w:val="20"/>
        </w:rPr>
      </w:pPr>
      <w:r w:rsidRPr="001000C2">
        <w:rPr>
          <w:rFonts w:ascii="Gill Sans MT" w:hAnsi="Gill Sans MT"/>
          <w:b/>
          <w:i/>
          <w:sz w:val="20"/>
          <w:szCs w:val="20"/>
        </w:rPr>
        <w:t>Feedback mechanism</w:t>
      </w:r>
      <w:r w:rsidRPr="001000C2">
        <w:rPr>
          <w:rFonts w:ascii="Gill Sans MT" w:hAnsi="Gill Sans MT"/>
          <w:sz w:val="20"/>
          <w:szCs w:val="20"/>
        </w:rPr>
        <w:t>: Embedding effective feedback mechanism in the design of project is a critical component that will improve accountability, transparency, monitoring and evaluation and making appropriate changes in real-time. The study found only a few of the PUNOs provided hotlines to its beneficiaries</w:t>
      </w:r>
      <w:r w:rsidR="00A27590">
        <w:rPr>
          <w:rFonts w:ascii="Gill Sans MT" w:hAnsi="Gill Sans MT"/>
          <w:sz w:val="20"/>
          <w:szCs w:val="20"/>
        </w:rPr>
        <w:t>,</w:t>
      </w:r>
      <w:r w:rsidRPr="001000C2">
        <w:rPr>
          <w:rFonts w:ascii="Gill Sans MT" w:hAnsi="Gill Sans MT"/>
          <w:sz w:val="20"/>
          <w:szCs w:val="20"/>
        </w:rPr>
        <w:t xml:space="preserve"> however</w:t>
      </w:r>
      <w:r w:rsidR="00A27590">
        <w:rPr>
          <w:rFonts w:ascii="Gill Sans MT" w:hAnsi="Gill Sans MT"/>
          <w:sz w:val="20"/>
          <w:szCs w:val="20"/>
        </w:rPr>
        <w:t>,</w:t>
      </w:r>
      <w:r w:rsidRPr="001000C2">
        <w:rPr>
          <w:rFonts w:ascii="Gill Sans MT" w:hAnsi="Gill Sans MT"/>
          <w:sz w:val="20"/>
          <w:szCs w:val="20"/>
        </w:rPr>
        <w:t xml:space="preserve"> interview with some of the beneficiaries revealed that they were</w:t>
      </w:r>
      <w:r w:rsidR="00E3044B" w:rsidRPr="001000C2">
        <w:rPr>
          <w:rFonts w:ascii="Gill Sans MT" w:hAnsi="Gill Sans MT"/>
          <w:sz w:val="20"/>
          <w:szCs w:val="20"/>
        </w:rPr>
        <w:t xml:space="preserve"> either not aware of it or</w:t>
      </w:r>
      <w:r w:rsidR="00A27590">
        <w:rPr>
          <w:rFonts w:ascii="Gill Sans MT" w:hAnsi="Gill Sans MT"/>
          <w:sz w:val="20"/>
          <w:szCs w:val="20"/>
        </w:rPr>
        <w:t xml:space="preserve"> did not know</w:t>
      </w:r>
      <w:r w:rsidR="00E3044B" w:rsidRPr="001000C2">
        <w:rPr>
          <w:rFonts w:ascii="Gill Sans MT" w:hAnsi="Gill Sans MT"/>
          <w:sz w:val="20"/>
          <w:szCs w:val="20"/>
        </w:rPr>
        <w:t xml:space="preserve"> how to use it.</w:t>
      </w:r>
      <w:r w:rsidRPr="001000C2">
        <w:rPr>
          <w:rFonts w:ascii="Gill Sans MT" w:hAnsi="Gill Sans MT"/>
          <w:sz w:val="20"/>
          <w:szCs w:val="20"/>
        </w:rPr>
        <w:t xml:space="preserve"> Therefore, providi</w:t>
      </w:r>
      <w:r w:rsidR="00E3044B" w:rsidRPr="001000C2">
        <w:rPr>
          <w:rFonts w:ascii="Gill Sans MT" w:hAnsi="Gill Sans MT"/>
          <w:sz w:val="20"/>
          <w:szCs w:val="20"/>
        </w:rPr>
        <w:t>ng hotlines to beneficiaries was not enough without</w:t>
      </w:r>
      <w:r w:rsidRPr="001000C2">
        <w:rPr>
          <w:rFonts w:ascii="Gill Sans MT" w:hAnsi="Gill Sans MT"/>
          <w:sz w:val="20"/>
          <w:szCs w:val="20"/>
        </w:rPr>
        <w:t xml:space="preserve"> creating awareness on its usage to promote ownership, transparency and accountability without fearing of reprisals.</w:t>
      </w:r>
    </w:p>
    <w:p w14:paraId="428F62A3" w14:textId="77777777" w:rsidR="005D458E" w:rsidRPr="001000C2" w:rsidRDefault="005D458E" w:rsidP="001000C2">
      <w:pPr>
        <w:jc w:val="both"/>
        <w:rPr>
          <w:rFonts w:ascii="Gill Sans MT" w:hAnsi="Gill Sans MT"/>
          <w:sz w:val="20"/>
          <w:szCs w:val="20"/>
        </w:rPr>
      </w:pPr>
    </w:p>
    <w:p w14:paraId="4967583D" w14:textId="77777777" w:rsidR="00296FBD" w:rsidRDefault="00296FBD" w:rsidP="001000C2">
      <w:pPr>
        <w:jc w:val="both"/>
        <w:rPr>
          <w:rFonts w:ascii="Gill Sans MT" w:hAnsi="Gill Sans MT"/>
          <w:sz w:val="20"/>
          <w:szCs w:val="20"/>
        </w:rPr>
      </w:pPr>
      <w:r w:rsidRPr="001000C2">
        <w:rPr>
          <w:rFonts w:ascii="Gill Sans MT" w:hAnsi="Gill Sans MT"/>
          <w:b/>
          <w:i/>
          <w:sz w:val="20"/>
          <w:szCs w:val="20"/>
        </w:rPr>
        <w:t>Community consultation:</w:t>
      </w:r>
      <w:r w:rsidRPr="001000C2">
        <w:rPr>
          <w:rFonts w:ascii="Gill Sans MT" w:hAnsi="Gill Sans MT"/>
          <w:sz w:val="20"/>
          <w:szCs w:val="20"/>
        </w:rPr>
        <w:t xml:space="preserve"> Local consultations with actors and groups in the targeted population prior to project design often provides useful information on priority needs of the communities that can inform programing.  The study found the priority needs especially of returnees supported through the project were somewhat different from own priorities which included; start-up capital, schools, health facilities, markets, water and shelter. Thus, there is need to undertake needs assessment prior to project design to inform programing.</w:t>
      </w:r>
    </w:p>
    <w:p w14:paraId="11C7D811" w14:textId="77777777" w:rsidR="005D458E" w:rsidRPr="001000C2" w:rsidRDefault="005D458E" w:rsidP="001000C2">
      <w:pPr>
        <w:jc w:val="both"/>
        <w:rPr>
          <w:rFonts w:ascii="Gill Sans MT" w:hAnsi="Gill Sans MT"/>
          <w:sz w:val="20"/>
          <w:szCs w:val="20"/>
        </w:rPr>
      </w:pPr>
    </w:p>
    <w:p w14:paraId="1CB10450" w14:textId="47CBE65F" w:rsidR="00296FBD" w:rsidRDefault="00296FBD" w:rsidP="001000C2">
      <w:pPr>
        <w:jc w:val="both"/>
        <w:rPr>
          <w:rFonts w:ascii="Gill Sans MT" w:hAnsi="Gill Sans MT"/>
          <w:sz w:val="20"/>
          <w:szCs w:val="20"/>
        </w:rPr>
      </w:pPr>
      <w:r w:rsidRPr="001000C2">
        <w:rPr>
          <w:rFonts w:ascii="Gill Sans MT" w:hAnsi="Gill Sans MT"/>
          <w:b/>
          <w:i/>
          <w:sz w:val="20"/>
          <w:szCs w:val="20"/>
        </w:rPr>
        <w:t>External factors should be considered in the design of the project</w:t>
      </w:r>
      <w:r w:rsidRPr="001000C2">
        <w:rPr>
          <w:rFonts w:ascii="Gill Sans MT" w:hAnsi="Gill Sans MT"/>
          <w:sz w:val="20"/>
          <w:szCs w:val="20"/>
        </w:rPr>
        <w:t>: Designing project should consider prevailing</w:t>
      </w:r>
      <w:r w:rsidR="00E3044B" w:rsidRPr="001000C2">
        <w:rPr>
          <w:rFonts w:ascii="Gill Sans MT" w:hAnsi="Gill Sans MT"/>
          <w:sz w:val="20"/>
          <w:szCs w:val="20"/>
        </w:rPr>
        <w:t xml:space="preserve"> conditions</w:t>
      </w:r>
      <w:r w:rsidRPr="001000C2">
        <w:rPr>
          <w:rFonts w:ascii="Gill Sans MT" w:hAnsi="Gill Sans MT"/>
          <w:sz w:val="20"/>
          <w:szCs w:val="20"/>
        </w:rPr>
        <w:t xml:space="preserve"> such as security, drought and clan relations because some of these factors have a bearing on delivery as well as sustainability of the project. For instance, the study noted although some of the beneficiaries farmers and livestock encountered challenges such as insecurity due to Al-Shabab presence, reported GBV and kidnaping as well reported severe drought that depleted resources such as water and grass</w:t>
      </w:r>
      <w:r w:rsidR="003A3D76" w:rsidRPr="001000C2">
        <w:rPr>
          <w:rFonts w:ascii="Gill Sans MT" w:hAnsi="Gill Sans MT"/>
          <w:sz w:val="20"/>
          <w:szCs w:val="20"/>
        </w:rPr>
        <w:t>.</w:t>
      </w:r>
      <w:r w:rsidRPr="001000C2">
        <w:rPr>
          <w:rFonts w:ascii="Gill Sans MT" w:hAnsi="Gill Sans MT"/>
          <w:sz w:val="20"/>
          <w:szCs w:val="20"/>
        </w:rPr>
        <w:t xml:space="preserve"> </w:t>
      </w:r>
    </w:p>
    <w:p w14:paraId="3AB8B747" w14:textId="77777777" w:rsidR="005D458E" w:rsidRPr="001000C2" w:rsidRDefault="005D458E" w:rsidP="001000C2">
      <w:pPr>
        <w:jc w:val="both"/>
        <w:rPr>
          <w:rFonts w:ascii="Gill Sans MT" w:hAnsi="Gill Sans MT"/>
          <w:sz w:val="20"/>
          <w:szCs w:val="20"/>
        </w:rPr>
      </w:pPr>
    </w:p>
    <w:p w14:paraId="4DFF36F8" w14:textId="2D5824C7" w:rsidR="00296FBD" w:rsidRDefault="00296FBD" w:rsidP="001000C2">
      <w:pPr>
        <w:jc w:val="both"/>
        <w:rPr>
          <w:rFonts w:ascii="Gill Sans MT" w:hAnsi="Gill Sans MT"/>
          <w:sz w:val="20"/>
          <w:szCs w:val="20"/>
        </w:rPr>
      </w:pPr>
      <w:r w:rsidRPr="001000C2">
        <w:rPr>
          <w:rFonts w:ascii="Gill Sans MT" w:hAnsi="Gill Sans MT"/>
          <w:b/>
          <w:i/>
          <w:sz w:val="20"/>
          <w:szCs w:val="20"/>
        </w:rPr>
        <w:t>Strengthening existing infrastructure is ideal:</w:t>
      </w:r>
      <w:r w:rsidRPr="001000C2">
        <w:rPr>
          <w:rFonts w:ascii="Gill Sans MT" w:hAnsi="Gill Sans MT"/>
          <w:sz w:val="20"/>
          <w:szCs w:val="20"/>
        </w:rPr>
        <w:t xml:space="preserve"> The study found UNHCR’s </w:t>
      </w:r>
      <w:r w:rsidR="00617253">
        <w:rPr>
          <w:rFonts w:ascii="Gill Sans MT" w:hAnsi="Gill Sans MT"/>
          <w:sz w:val="20"/>
          <w:szCs w:val="20"/>
        </w:rPr>
        <w:t xml:space="preserve">PBF program </w:t>
      </w:r>
      <w:r w:rsidRPr="001000C2">
        <w:rPr>
          <w:rFonts w:ascii="Gill Sans MT" w:hAnsi="Gill Sans MT"/>
          <w:sz w:val="20"/>
          <w:szCs w:val="20"/>
        </w:rPr>
        <w:t>built five classrooms and</w:t>
      </w:r>
      <w:r w:rsidR="00E3044B" w:rsidRPr="001000C2">
        <w:rPr>
          <w:rFonts w:ascii="Gill Sans MT" w:hAnsi="Gill Sans MT"/>
          <w:sz w:val="20"/>
          <w:szCs w:val="20"/>
        </w:rPr>
        <w:t xml:space="preserve"> concrete</w:t>
      </w:r>
      <w:r w:rsidRPr="001000C2">
        <w:rPr>
          <w:rFonts w:ascii="Gill Sans MT" w:hAnsi="Gill Sans MT"/>
          <w:sz w:val="20"/>
          <w:szCs w:val="20"/>
        </w:rPr>
        <w:t xml:space="preserve"> fence </w:t>
      </w:r>
      <w:r w:rsidR="00E3044B" w:rsidRPr="001000C2">
        <w:rPr>
          <w:rFonts w:ascii="Gill Sans MT" w:hAnsi="Gill Sans MT"/>
          <w:sz w:val="20"/>
          <w:szCs w:val="20"/>
        </w:rPr>
        <w:t xml:space="preserve">a </w:t>
      </w:r>
      <w:r w:rsidRPr="001000C2">
        <w:rPr>
          <w:rFonts w:ascii="Gill Sans MT" w:hAnsi="Gill Sans MT"/>
          <w:sz w:val="20"/>
          <w:szCs w:val="20"/>
        </w:rPr>
        <w:t>public school in Baidoa</w:t>
      </w:r>
      <w:r w:rsidR="00E3044B" w:rsidRPr="001000C2">
        <w:rPr>
          <w:rFonts w:ascii="Gill Sans MT" w:hAnsi="Gill Sans MT"/>
          <w:sz w:val="20"/>
          <w:szCs w:val="20"/>
        </w:rPr>
        <w:t>. Due to improved conditions there</w:t>
      </w:r>
      <w:r w:rsidR="00EE0886">
        <w:rPr>
          <w:rFonts w:ascii="Gill Sans MT" w:hAnsi="Gill Sans MT"/>
          <w:sz w:val="20"/>
          <w:szCs w:val="20"/>
        </w:rPr>
        <w:t xml:space="preserve"> has been an increase in</w:t>
      </w:r>
      <w:r w:rsidRPr="001000C2">
        <w:rPr>
          <w:rFonts w:ascii="Gill Sans MT" w:hAnsi="Gill Sans MT"/>
          <w:sz w:val="20"/>
          <w:szCs w:val="20"/>
        </w:rPr>
        <w:t xml:space="preserve"> school </w:t>
      </w:r>
      <w:r w:rsidR="00E3044B" w:rsidRPr="001000C2">
        <w:rPr>
          <w:rFonts w:ascii="Gill Sans MT" w:hAnsi="Gill Sans MT"/>
          <w:sz w:val="20"/>
          <w:szCs w:val="20"/>
        </w:rPr>
        <w:t xml:space="preserve">enrolment of </w:t>
      </w:r>
      <w:r w:rsidRPr="001000C2">
        <w:rPr>
          <w:rFonts w:ascii="Gill Sans MT" w:hAnsi="Gill Sans MT"/>
          <w:sz w:val="20"/>
          <w:szCs w:val="20"/>
        </w:rPr>
        <w:t>children mainly</w:t>
      </w:r>
      <w:r w:rsidR="00E3044B" w:rsidRPr="001000C2">
        <w:rPr>
          <w:rFonts w:ascii="Gill Sans MT" w:hAnsi="Gill Sans MT"/>
          <w:sz w:val="20"/>
          <w:szCs w:val="20"/>
        </w:rPr>
        <w:t xml:space="preserve"> from</w:t>
      </w:r>
      <w:r w:rsidRPr="001000C2">
        <w:rPr>
          <w:rFonts w:ascii="Gill Sans MT" w:hAnsi="Gill Sans MT"/>
          <w:sz w:val="20"/>
          <w:szCs w:val="20"/>
        </w:rPr>
        <w:t xml:space="preserve"> IDPs and returnees. Besides, IOMs rehabil</w:t>
      </w:r>
      <w:r w:rsidR="00E3044B" w:rsidRPr="001000C2">
        <w:rPr>
          <w:rFonts w:ascii="Gill Sans MT" w:hAnsi="Gill Sans MT"/>
          <w:sz w:val="20"/>
          <w:szCs w:val="20"/>
        </w:rPr>
        <w:t xml:space="preserve">itated Isha police in Baidoa was </w:t>
      </w:r>
      <w:r w:rsidR="00E3044B" w:rsidRPr="001000C2">
        <w:rPr>
          <w:rFonts w:ascii="Gill Sans MT" w:hAnsi="Gill Sans MT"/>
          <w:sz w:val="20"/>
          <w:szCs w:val="20"/>
        </w:rPr>
        <w:lastRenderedPageBreak/>
        <w:t>described to have enhanced</w:t>
      </w:r>
      <w:r w:rsidRPr="001000C2">
        <w:rPr>
          <w:rFonts w:ascii="Gill Sans MT" w:hAnsi="Gill Sans MT"/>
          <w:sz w:val="20"/>
          <w:szCs w:val="20"/>
        </w:rPr>
        <w:t xml:space="preserve"> the capacity of the facility</w:t>
      </w:r>
      <w:r w:rsidR="00E3044B" w:rsidRPr="001000C2">
        <w:rPr>
          <w:rFonts w:ascii="Gill Sans MT" w:hAnsi="Gill Sans MT"/>
          <w:sz w:val="20"/>
          <w:szCs w:val="20"/>
        </w:rPr>
        <w:t xml:space="preserve"> security personnel to provide service.</w:t>
      </w:r>
      <w:r w:rsidR="002A19D9" w:rsidRPr="001000C2">
        <w:rPr>
          <w:rFonts w:ascii="Gill Sans MT" w:hAnsi="Gill Sans MT"/>
          <w:sz w:val="20"/>
          <w:szCs w:val="20"/>
        </w:rPr>
        <w:t xml:space="preserve"> Further, th</w:t>
      </w:r>
      <w:r w:rsidRPr="001000C2">
        <w:rPr>
          <w:rFonts w:ascii="Gill Sans MT" w:hAnsi="Gill Sans MT"/>
          <w:sz w:val="20"/>
          <w:szCs w:val="20"/>
        </w:rPr>
        <w:t xml:space="preserve">e rehabilitation of </w:t>
      </w:r>
      <w:r w:rsidR="002A19D9" w:rsidRPr="001000C2">
        <w:rPr>
          <w:rFonts w:ascii="Gill Sans MT" w:hAnsi="Gill Sans MT"/>
          <w:sz w:val="20"/>
          <w:szCs w:val="20"/>
        </w:rPr>
        <w:t xml:space="preserve">over 35 KM </w:t>
      </w:r>
      <w:r w:rsidRPr="001000C2">
        <w:rPr>
          <w:rFonts w:ascii="Gill Sans MT" w:hAnsi="Gill Sans MT"/>
          <w:sz w:val="20"/>
          <w:szCs w:val="20"/>
        </w:rPr>
        <w:t>roads by different organ</w:t>
      </w:r>
      <w:r w:rsidR="002A19D9" w:rsidRPr="001000C2">
        <w:rPr>
          <w:rFonts w:ascii="Gill Sans MT" w:hAnsi="Gill Sans MT"/>
          <w:sz w:val="20"/>
          <w:szCs w:val="20"/>
        </w:rPr>
        <w:t>izations across Baidoa city was also applauded to have enhanced accessibility within camps</w:t>
      </w:r>
      <w:r w:rsidRPr="001000C2">
        <w:rPr>
          <w:rFonts w:ascii="Gill Sans MT" w:hAnsi="Gill Sans MT"/>
          <w:sz w:val="20"/>
          <w:szCs w:val="20"/>
        </w:rPr>
        <w:t xml:space="preserve"> and improved transport system. Therefore this is a good initiative that improves the conditions of the existing infrastructure as opposed to building new facilities.</w:t>
      </w:r>
    </w:p>
    <w:p w14:paraId="5B5BF3FC" w14:textId="77777777" w:rsidR="005D458E" w:rsidRPr="001000C2" w:rsidRDefault="005D458E" w:rsidP="001000C2">
      <w:pPr>
        <w:jc w:val="both"/>
        <w:rPr>
          <w:rFonts w:ascii="Gill Sans MT" w:hAnsi="Gill Sans MT"/>
          <w:sz w:val="20"/>
          <w:szCs w:val="20"/>
        </w:rPr>
      </w:pPr>
    </w:p>
    <w:p w14:paraId="52ECB3FD" w14:textId="76B74579" w:rsidR="00296FBD" w:rsidRPr="001000C2" w:rsidRDefault="00296FBD" w:rsidP="001000C2">
      <w:pPr>
        <w:jc w:val="both"/>
        <w:rPr>
          <w:rFonts w:ascii="Gill Sans MT" w:hAnsi="Gill Sans MT"/>
          <w:sz w:val="20"/>
          <w:szCs w:val="20"/>
        </w:rPr>
      </w:pPr>
      <w:r w:rsidRPr="001000C2">
        <w:rPr>
          <w:rFonts w:ascii="Gill Sans MT" w:hAnsi="Gill Sans MT"/>
          <w:b/>
          <w:i/>
          <w:sz w:val="20"/>
          <w:szCs w:val="20"/>
        </w:rPr>
        <w:t>Coordination with partners and INGOs is critical</w:t>
      </w:r>
      <w:r w:rsidRPr="001000C2">
        <w:rPr>
          <w:rFonts w:ascii="Gill Sans MT" w:hAnsi="Gill Sans MT"/>
          <w:sz w:val="20"/>
          <w:szCs w:val="20"/>
        </w:rPr>
        <w:t xml:space="preserve">: The study noted although there was a good coordination among the PUNOs however, there was </w:t>
      </w:r>
      <w:r w:rsidR="002A19D9" w:rsidRPr="001000C2">
        <w:rPr>
          <w:rFonts w:ascii="Gill Sans MT" w:hAnsi="Gill Sans MT"/>
          <w:sz w:val="20"/>
          <w:szCs w:val="20"/>
        </w:rPr>
        <w:t xml:space="preserve">weak </w:t>
      </w:r>
      <w:r w:rsidRPr="001000C2">
        <w:rPr>
          <w:rFonts w:ascii="Gill Sans MT" w:hAnsi="Gill Sans MT"/>
          <w:sz w:val="20"/>
          <w:szCs w:val="20"/>
        </w:rPr>
        <w:t>coordination with other international organizations involved in stabilization programs. Information sharing in cluster meetings and sharing information with</w:t>
      </w:r>
      <w:r w:rsidR="002A19D9" w:rsidRPr="001000C2">
        <w:rPr>
          <w:rFonts w:ascii="Gill Sans MT" w:hAnsi="Gill Sans MT"/>
          <w:sz w:val="20"/>
          <w:szCs w:val="20"/>
        </w:rPr>
        <w:t xml:space="preserve"> seen as a challenge during the project implementation. This can be remedied by engaging and sharing </w:t>
      </w:r>
      <w:r w:rsidRPr="001000C2">
        <w:rPr>
          <w:rFonts w:ascii="Gill Sans MT" w:hAnsi="Gill Sans MT"/>
          <w:sz w:val="20"/>
          <w:szCs w:val="20"/>
        </w:rPr>
        <w:t>relevant</w:t>
      </w:r>
      <w:r w:rsidR="002A19D9" w:rsidRPr="001000C2">
        <w:rPr>
          <w:rFonts w:ascii="Gill Sans MT" w:hAnsi="Gill Sans MT"/>
          <w:sz w:val="20"/>
          <w:szCs w:val="20"/>
        </w:rPr>
        <w:t xml:space="preserve"> information with</w:t>
      </w:r>
      <w:r w:rsidRPr="001000C2">
        <w:rPr>
          <w:rFonts w:ascii="Gill Sans MT" w:hAnsi="Gill Sans MT"/>
          <w:sz w:val="20"/>
          <w:szCs w:val="20"/>
        </w:rPr>
        <w:t xml:space="preserve"> ministries to prevent potential overlap and duplication.</w:t>
      </w:r>
    </w:p>
    <w:p w14:paraId="5DC1E054" w14:textId="5E611C12" w:rsidR="00296FBD" w:rsidRPr="001000C2" w:rsidRDefault="00296FBD" w:rsidP="001000C2">
      <w:pPr>
        <w:jc w:val="both"/>
        <w:rPr>
          <w:rFonts w:ascii="Gill Sans MT" w:hAnsi="Gill Sans MT"/>
          <w:sz w:val="20"/>
          <w:szCs w:val="20"/>
        </w:rPr>
      </w:pPr>
      <w:r w:rsidRPr="001000C2">
        <w:rPr>
          <w:rFonts w:ascii="Gill Sans MT" w:hAnsi="Gill Sans MT"/>
          <w:b/>
          <w:i/>
          <w:sz w:val="20"/>
          <w:szCs w:val="20"/>
        </w:rPr>
        <w:t>Hand</w:t>
      </w:r>
      <w:r w:rsidR="002A19D9" w:rsidRPr="001000C2">
        <w:rPr>
          <w:rFonts w:ascii="Gill Sans MT" w:hAnsi="Gill Sans MT"/>
          <w:b/>
          <w:i/>
          <w:sz w:val="20"/>
          <w:szCs w:val="20"/>
        </w:rPr>
        <w:t>over ceremonies</w:t>
      </w:r>
      <w:r w:rsidRPr="001000C2">
        <w:rPr>
          <w:rFonts w:ascii="Gill Sans MT" w:hAnsi="Gill Sans MT"/>
          <w:b/>
          <w:i/>
          <w:sz w:val="20"/>
          <w:szCs w:val="20"/>
        </w:rPr>
        <w:t xml:space="preserve"> should be held upon completion of projects:</w:t>
      </w:r>
      <w:r w:rsidRPr="001000C2">
        <w:rPr>
          <w:rFonts w:ascii="Gill Sans MT" w:hAnsi="Gill Sans MT"/>
          <w:sz w:val="20"/>
          <w:szCs w:val="20"/>
        </w:rPr>
        <w:t xml:space="preserve"> </w:t>
      </w:r>
      <w:r w:rsidR="002A19D9" w:rsidRPr="001000C2">
        <w:rPr>
          <w:rFonts w:ascii="Gill Sans MT" w:hAnsi="Gill Sans MT"/>
          <w:sz w:val="20"/>
          <w:szCs w:val="20"/>
        </w:rPr>
        <w:t>Integrating exit strategy in project design is critical. This will enable agencies to organize hand over ceremonies of the project activities after completion as a way to enhance</w:t>
      </w:r>
      <w:r w:rsidRPr="001000C2">
        <w:rPr>
          <w:rFonts w:ascii="Gill Sans MT" w:hAnsi="Gill Sans MT"/>
          <w:sz w:val="20"/>
          <w:szCs w:val="20"/>
        </w:rPr>
        <w:t xml:space="preserve"> ownership, </w:t>
      </w:r>
      <w:r w:rsidR="002A19D9" w:rsidRPr="001000C2">
        <w:rPr>
          <w:rFonts w:ascii="Gill Sans MT" w:hAnsi="Gill Sans MT"/>
          <w:sz w:val="20"/>
          <w:szCs w:val="20"/>
        </w:rPr>
        <w:t>increases</w:t>
      </w:r>
      <w:r w:rsidRPr="001000C2">
        <w:rPr>
          <w:rFonts w:ascii="Gill Sans MT" w:hAnsi="Gill Sans MT"/>
          <w:sz w:val="20"/>
          <w:szCs w:val="20"/>
        </w:rPr>
        <w:t xml:space="preserve"> government visibility, sustainability and transfer of responsibilities.</w:t>
      </w:r>
      <w:r w:rsidR="003B1CED" w:rsidRPr="003B1CED">
        <w:t xml:space="preserve"> </w:t>
      </w:r>
      <w:r w:rsidR="003B1CED" w:rsidRPr="003B1CED">
        <w:rPr>
          <w:rFonts w:ascii="Gill Sans MT" w:hAnsi="Gill Sans MT"/>
          <w:sz w:val="20"/>
          <w:szCs w:val="20"/>
        </w:rPr>
        <w:t>Although a few PUNOs such as WFP organized handover ceremonies for its project activiti</w:t>
      </w:r>
      <w:r w:rsidR="00EE0886">
        <w:rPr>
          <w:rFonts w:ascii="Gill Sans MT" w:hAnsi="Gill Sans MT"/>
          <w:sz w:val="20"/>
          <w:szCs w:val="20"/>
        </w:rPr>
        <w:t>es, according to MORDA</w:t>
      </w:r>
      <w:r w:rsidR="003B1CED" w:rsidRPr="003B1CED">
        <w:rPr>
          <w:rFonts w:ascii="Gill Sans MT" w:hAnsi="Gill Sans MT"/>
          <w:sz w:val="20"/>
          <w:szCs w:val="20"/>
        </w:rPr>
        <w:t xml:space="preserve"> not all the projects were handed over to the ministry upon completion. </w:t>
      </w:r>
      <w:r w:rsidRPr="001000C2">
        <w:rPr>
          <w:rFonts w:ascii="Gill Sans MT" w:hAnsi="Gill Sans MT"/>
          <w:sz w:val="20"/>
          <w:szCs w:val="20"/>
        </w:rPr>
        <w:t xml:space="preserve"> Therefore, future projects should consider including handing over ceremonies to help the government showcase development initiatives. </w:t>
      </w:r>
    </w:p>
    <w:p w14:paraId="18A0C01C" w14:textId="77777777" w:rsidR="00230515" w:rsidRPr="001000C2" w:rsidRDefault="00230515" w:rsidP="001000C2">
      <w:pPr>
        <w:jc w:val="both"/>
        <w:rPr>
          <w:rFonts w:ascii="Gill Sans MT" w:hAnsi="Gill Sans MT"/>
          <w:sz w:val="20"/>
          <w:szCs w:val="20"/>
        </w:rPr>
      </w:pPr>
    </w:p>
    <w:p w14:paraId="51133F97" w14:textId="77777777" w:rsidR="00296FBD" w:rsidRPr="001000C2" w:rsidRDefault="00296FBD" w:rsidP="001000C2">
      <w:pPr>
        <w:jc w:val="both"/>
        <w:rPr>
          <w:rFonts w:ascii="Gill Sans MT" w:eastAsia="Yu Gothic Light" w:hAnsi="Gill Sans MT"/>
          <w:b/>
          <w:bCs/>
          <w:color w:val="5B9BD5"/>
          <w:sz w:val="20"/>
          <w:szCs w:val="20"/>
        </w:rPr>
      </w:pPr>
      <w:r w:rsidRPr="001000C2">
        <w:rPr>
          <w:rFonts w:ascii="Gill Sans MT" w:eastAsia="Yu Gothic Light" w:hAnsi="Gill Sans MT"/>
          <w:b/>
          <w:bCs/>
          <w:color w:val="5B9BD5"/>
          <w:sz w:val="20"/>
          <w:szCs w:val="20"/>
        </w:rPr>
        <w:t>Recommendations</w:t>
      </w:r>
    </w:p>
    <w:p w14:paraId="71ABF88A" w14:textId="6D6AB8D8" w:rsidR="005D458E" w:rsidRPr="001000C2" w:rsidRDefault="00296FBD" w:rsidP="001000C2">
      <w:pPr>
        <w:jc w:val="both"/>
        <w:rPr>
          <w:rFonts w:ascii="Gill Sans MT" w:hAnsi="Gill Sans MT" w:cs="Calibri"/>
          <w:color w:val="000000"/>
          <w:sz w:val="20"/>
          <w:szCs w:val="20"/>
        </w:rPr>
      </w:pPr>
      <w:r w:rsidRPr="001000C2">
        <w:rPr>
          <w:rFonts w:ascii="Gill Sans MT" w:hAnsi="Gill Sans MT" w:cs="Calibri"/>
          <w:b/>
          <w:i/>
          <w:color w:val="000000"/>
          <w:sz w:val="20"/>
          <w:szCs w:val="20"/>
        </w:rPr>
        <w:t>Beneficiary selection process:</w:t>
      </w:r>
      <w:r w:rsidRPr="001000C2">
        <w:rPr>
          <w:rFonts w:ascii="Gill Sans MT" w:hAnsi="Gill Sans MT" w:cs="Calibri"/>
          <w:color w:val="000000"/>
          <w:sz w:val="20"/>
          <w:szCs w:val="20"/>
        </w:rPr>
        <w:t xml:space="preserve"> The study noted agencies have selection criteria but used varied approaches in the selection of beneficiaries. The study recommends agencies to collaborate and use multiple approaches in targeting various community segments that includes using PRMN</w:t>
      </w:r>
      <w:r w:rsidRPr="001000C2">
        <w:rPr>
          <w:rFonts w:ascii="Gill Sans MT" w:hAnsi="Gill Sans MT" w:cs="Calibri"/>
          <w:color w:val="000000"/>
          <w:sz w:val="20"/>
          <w:szCs w:val="20"/>
          <w:vertAlign w:val="superscript"/>
        </w:rPr>
        <w:footnoteReference w:id="2"/>
      </w:r>
      <w:r w:rsidRPr="001000C2">
        <w:rPr>
          <w:rFonts w:ascii="Gill Sans MT" w:hAnsi="Gill Sans MT" w:cs="Calibri"/>
          <w:color w:val="000000"/>
          <w:sz w:val="20"/>
          <w:szCs w:val="20"/>
        </w:rPr>
        <w:t xml:space="preserve"> in collaboration with local leadership and local administration while maintaining a clear oversight in the process to; i) prevent potential risks of bias and favoritism that would leave out marginalized groups; ii) prevent double registration of some beneficiaries that could end up benefiting from more than one project. </w:t>
      </w:r>
    </w:p>
    <w:p w14:paraId="18E051AF" w14:textId="79493751" w:rsidR="00296FBD" w:rsidRPr="001000C2" w:rsidRDefault="00296FBD" w:rsidP="001000C2">
      <w:pPr>
        <w:jc w:val="both"/>
        <w:rPr>
          <w:rFonts w:ascii="Gill Sans MT" w:hAnsi="Gill Sans MT" w:cs="Calibri"/>
          <w:color w:val="000000"/>
          <w:sz w:val="20"/>
          <w:szCs w:val="20"/>
        </w:rPr>
      </w:pPr>
      <w:r w:rsidRPr="001000C2">
        <w:rPr>
          <w:rFonts w:ascii="Gill Sans MT" w:hAnsi="Gill Sans MT" w:cs="Calibri"/>
          <w:b/>
          <w:i/>
          <w:color w:val="000000"/>
          <w:sz w:val="20"/>
          <w:szCs w:val="20"/>
        </w:rPr>
        <w:t>Feedback Mechanism</w:t>
      </w:r>
      <w:r w:rsidR="003A3D76">
        <w:rPr>
          <w:rFonts w:ascii="Gill Sans MT" w:hAnsi="Gill Sans MT" w:cs="Calibri"/>
          <w:i/>
          <w:color w:val="000000"/>
          <w:sz w:val="20"/>
          <w:szCs w:val="20"/>
        </w:rPr>
        <w:t>;</w:t>
      </w:r>
      <w:r w:rsidRPr="001000C2">
        <w:rPr>
          <w:rFonts w:ascii="Gill Sans MT" w:hAnsi="Gill Sans MT" w:cs="Calibri"/>
          <w:color w:val="000000"/>
          <w:sz w:val="20"/>
          <w:szCs w:val="20"/>
        </w:rPr>
        <w:t xml:space="preserve"> The study noted agencies have used different feedback mechanisms. For instance, agencies like WFP and FAO provided hotlines to the beneficiaries while ILO, IOM, UNICEF and UNHCR did not provide hotlines. The study notes the need to integrate feedback mechanism in future projects and create awareness among the beneficiaries to support accountability, transparency, empowerment, monitoring and evaluation, and programme improvement, and to provide early warning of impending problems. </w:t>
      </w:r>
    </w:p>
    <w:p w14:paraId="70AA7060" w14:textId="668AB1B4" w:rsidR="00296FBD" w:rsidRPr="001000C2" w:rsidRDefault="00296FBD" w:rsidP="001000C2">
      <w:pPr>
        <w:jc w:val="both"/>
        <w:rPr>
          <w:rFonts w:ascii="Gill Sans MT" w:hAnsi="Gill Sans MT" w:cs="Calibri"/>
          <w:color w:val="000000"/>
          <w:sz w:val="20"/>
          <w:szCs w:val="20"/>
        </w:rPr>
      </w:pPr>
      <w:r w:rsidRPr="001000C2">
        <w:rPr>
          <w:rFonts w:ascii="Gill Sans MT" w:hAnsi="Gill Sans MT" w:cs="Calibri"/>
          <w:b/>
          <w:i/>
          <w:color w:val="000000"/>
          <w:sz w:val="20"/>
          <w:szCs w:val="20"/>
        </w:rPr>
        <w:t>Coordination among partners:</w:t>
      </w:r>
      <w:r w:rsidRPr="001000C2">
        <w:rPr>
          <w:rFonts w:ascii="Gill Sans MT" w:hAnsi="Gill Sans MT" w:cs="Calibri"/>
          <w:color w:val="000000"/>
          <w:sz w:val="20"/>
          <w:szCs w:val="20"/>
        </w:rPr>
        <w:t xml:space="preserve"> The study noted although there was </w:t>
      </w:r>
      <w:r w:rsidR="002A19D9" w:rsidRPr="001000C2">
        <w:rPr>
          <w:rFonts w:ascii="Gill Sans MT" w:hAnsi="Gill Sans MT" w:cs="Calibri"/>
          <w:color w:val="000000"/>
          <w:sz w:val="20"/>
          <w:szCs w:val="20"/>
        </w:rPr>
        <w:t xml:space="preserve">effective </w:t>
      </w:r>
      <w:r w:rsidRPr="001000C2">
        <w:rPr>
          <w:rFonts w:ascii="Gill Sans MT" w:hAnsi="Gill Sans MT" w:cs="Calibri"/>
          <w:color w:val="000000"/>
          <w:sz w:val="20"/>
          <w:szCs w:val="20"/>
        </w:rPr>
        <w:t>coordination</w:t>
      </w:r>
      <w:r w:rsidR="002A19D9" w:rsidRPr="001000C2">
        <w:rPr>
          <w:rFonts w:ascii="Gill Sans MT" w:hAnsi="Gill Sans MT" w:cs="Calibri"/>
          <w:color w:val="000000"/>
          <w:sz w:val="20"/>
          <w:szCs w:val="20"/>
        </w:rPr>
        <w:t xml:space="preserve"> mechanism</w:t>
      </w:r>
      <w:r w:rsidRPr="001000C2">
        <w:rPr>
          <w:rFonts w:ascii="Gill Sans MT" w:hAnsi="Gill Sans MT" w:cs="Calibri"/>
          <w:color w:val="000000"/>
          <w:sz w:val="20"/>
          <w:szCs w:val="20"/>
        </w:rPr>
        <w:t xml:space="preserve"> among the PUNOs and government agencies</w:t>
      </w:r>
      <w:r w:rsidR="002A19D9" w:rsidRPr="001000C2">
        <w:rPr>
          <w:rFonts w:ascii="Gill Sans MT" w:hAnsi="Gill Sans MT" w:cs="Calibri"/>
          <w:color w:val="000000"/>
          <w:sz w:val="20"/>
          <w:szCs w:val="20"/>
        </w:rPr>
        <w:t xml:space="preserve">, however, </w:t>
      </w:r>
      <w:r w:rsidRPr="001000C2">
        <w:rPr>
          <w:rFonts w:ascii="Gill Sans MT" w:hAnsi="Gill Sans MT" w:cs="Calibri"/>
          <w:color w:val="000000"/>
          <w:sz w:val="20"/>
          <w:szCs w:val="20"/>
        </w:rPr>
        <w:t>timely information sharing among sub-cluster partners was seen as a challenge. The weak coordination between PUNOs and partners and other development agencies has resulted overlap of projects as in the case of the rehabilitation of Dr. Ayub stadium between IOM and ADESO that also received different funding to rehabilitate the same facility. Further the building of a full-fledged school by Save the Children in close proximity to TLS</w:t>
      </w:r>
      <w:r w:rsidR="00E91F1D" w:rsidRPr="001000C2">
        <w:rPr>
          <w:rFonts w:ascii="Gill Sans MT" w:hAnsi="Gill Sans MT" w:cs="Calibri"/>
          <w:color w:val="000000"/>
          <w:sz w:val="20"/>
          <w:szCs w:val="20"/>
        </w:rPr>
        <w:t xml:space="preserve"> built by UNICEF</w:t>
      </w:r>
      <w:r w:rsidRPr="001000C2">
        <w:rPr>
          <w:rFonts w:ascii="Gill Sans MT" w:hAnsi="Gill Sans MT" w:cs="Calibri"/>
          <w:color w:val="000000"/>
          <w:sz w:val="20"/>
          <w:szCs w:val="20"/>
        </w:rPr>
        <w:t xml:space="preserve"> has seen the closure of one of the centres in ADC 3. To prevent the recurrence of similar overlaps future programs should clear coordination mechanism within the donors and partners as well as with other international agencies. </w:t>
      </w:r>
    </w:p>
    <w:p w14:paraId="55A60FDB" w14:textId="4268E40D" w:rsidR="00296FBD" w:rsidRPr="001000C2" w:rsidRDefault="00296FBD" w:rsidP="001000C2">
      <w:pPr>
        <w:jc w:val="both"/>
        <w:rPr>
          <w:rFonts w:ascii="Gill Sans MT" w:hAnsi="Gill Sans MT" w:cs="Calibri"/>
          <w:sz w:val="20"/>
          <w:szCs w:val="20"/>
        </w:rPr>
      </w:pPr>
      <w:r w:rsidRPr="001000C2">
        <w:rPr>
          <w:rFonts w:ascii="Gill Sans MT" w:hAnsi="Gill Sans MT" w:cs="Calibri"/>
          <w:b/>
          <w:i/>
          <w:sz w:val="20"/>
          <w:szCs w:val="20"/>
        </w:rPr>
        <w:t>Community prioritization in the design of the project</w:t>
      </w:r>
      <w:r w:rsidRPr="001000C2">
        <w:rPr>
          <w:rFonts w:ascii="Gill Sans MT" w:hAnsi="Gill Sans MT" w:cs="Calibri"/>
          <w:sz w:val="20"/>
          <w:szCs w:val="20"/>
        </w:rPr>
        <w:t>: I</w:t>
      </w:r>
      <w:r w:rsidRPr="001000C2">
        <w:rPr>
          <w:rFonts w:ascii="Gill Sans MT" w:hAnsi="Gill Sans MT" w:cs="Calibri"/>
          <w:color w:val="000000"/>
          <w:sz w:val="20"/>
          <w:szCs w:val="20"/>
        </w:rPr>
        <w:t>nterviews with respondents indicated that although PBF projects provided</w:t>
      </w:r>
      <w:r w:rsidR="00E91F1D" w:rsidRPr="001000C2">
        <w:rPr>
          <w:rFonts w:ascii="Gill Sans MT" w:hAnsi="Gill Sans MT" w:cs="Calibri"/>
          <w:color w:val="000000"/>
          <w:sz w:val="20"/>
          <w:szCs w:val="20"/>
        </w:rPr>
        <w:t xml:space="preserve"> temporary access to cash, food</w:t>
      </w:r>
      <w:r w:rsidRPr="001000C2">
        <w:rPr>
          <w:rFonts w:ascii="Gill Sans MT" w:hAnsi="Gill Sans MT" w:cs="Calibri"/>
          <w:color w:val="000000"/>
          <w:sz w:val="20"/>
          <w:szCs w:val="20"/>
        </w:rPr>
        <w:t xml:space="preserve">, assets and </w:t>
      </w:r>
      <w:r w:rsidR="00E91F1D" w:rsidRPr="001000C2">
        <w:rPr>
          <w:rFonts w:ascii="Gill Sans MT" w:hAnsi="Gill Sans MT" w:cs="Calibri"/>
          <w:color w:val="000000"/>
          <w:sz w:val="20"/>
          <w:szCs w:val="20"/>
        </w:rPr>
        <w:t>vocational</w:t>
      </w:r>
      <w:r w:rsidRPr="001000C2">
        <w:rPr>
          <w:rFonts w:ascii="Gill Sans MT" w:hAnsi="Gill Sans MT" w:cs="Calibri"/>
          <w:color w:val="000000"/>
          <w:sz w:val="20"/>
          <w:szCs w:val="20"/>
        </w:rPr>
        <w:t xml:space="preserve"> skills trainings</w:t>
      </w:r>
      <w:r w:rsidR="00EE0886">
        <w:rPr>
          <w:rFonts w:ascii="Gill Sans MT" w:hAnsi="Gill Sans MT" w:cs="Calibri"/>
          <w:color w:val="000000"/>
          <w:sz w:val="20"/>
          <w:szCs w:val="20"/>
        </w:rPr>
        <w:t xml:space="preserve"> however, they cited </w:t>
      </w:r>
      <w:r w:rsidRPr="001000C2">
        <w:rPr>
          <w:rFonts w:ascii="Gill Sans MT" w:hAnsi="Gill Sans MT" w:cs="Calibri"/>
          <w:color w:val="000000"/>
          <w:sz w:val="20"/>
          <w:szCs w:val="20"/>
        </w:rPr>
        <w:t xml:space="preserve">they </w:t>
      </w:r>
      <w:r w:rsidR="00EE0886">
        <w:rPr>
          <w:rFonts w:ascii="Gill Sans MT" w:hAnsi="Gill Sans MT" w:cs="Calibri"/>
          <w:color w:val="000000"/>
          <w:sz w:val="20"/>
          <w:szCs w:val="20"/>
        </w:rPr>
        <w:t>were not asked</w:t>
      </w:r>
      <w:r w:rsidRPr="001000C2">
        <w:rPr>
          <w:rFonts w:ascii="Gill Sans MT" w:hAnsi="Gill Sans MT" w:cs="Calibri"/>
          <w:color w:val="000000"/>
          <w:sz w:val="20"/>
          <w:szCs w:val="20"/>
        </w:rPr>
        <w:t xml:space="preserve"> about their priority needs. For instance, FAO’s provision of agricultural inputs provided ‘foreign’ seeds (i.e. Amaranthus</w:t>
      </w:r>
      <w:r w:rsidR="00EE0886">
        <w:rPr>
          <w:rFonts w:ascii="Gill Sans MT" w:hAnsi="Gill Sans MT" w:cs="Calibri"/>
          <w:color w:val="000000"/>
          <w:sz w:val="20"/>
          <w:szCs w:val="20"/>
        </w:rPr>
        <w:t xml:space="preserve"> seeds, Ethiopian Mustard) </w:t>
      </w:r>
      <w:r w:rsidRPr="001000C2">
        <w:rPr>
          <w:rFonts w:ascii="Gill Sans MT" w:hAnsi="Gill Sans MT" w:cs="Calibri"/>
          <w:color w:val="000000"/>
          <w:sz w:val="20"/>
          <w:szCs w:val="20"/>
        </w:rPr>
        <w:t xml:space="preserve">failed to grow as opposed to providing indigenous seeds such as Maize. Besides, five of the 6 facilities constructed </w:t>
      </w:r>
      <w:r w:rsidR="00E91F1D" w:rsidRPr="001000C2">
        <w:rPr>
          <w:rFonts w:ascii="Gill Sans MT" w:hAnsi="Gill Sans MT" w:cs="Calibri"/>
          <w:color w:val="000000"/>
          <w:sz w:val="20"/>
          <w:szCs w:val="20"/>
        </w:rPr>
        <w:t>through UNICEF’s</w:t>
      </w:r>
      <w:r w:rsidRPr="001000C2">
        <w:rPr>
          <w:rFonts w:ascii="Gill Sans MT" w:hAnsi="Gill Sans MT" w:cs="Calibri"/>
          <w:color w:val="000000"/>
          <w:sz w:val="20"/>
          <w:szCs w:val="20"/>
        </w:rPr>
        <w:t xml:space="preserve"> PBF supported education </w:t>
      </w:r>
      <w:r w:rsidR="00E91F1D" w:rsidRPr="001000C2">
        <w:rPr>
          <w:rFonts w:ascii="Gill Sans MT" w:hAnsi="Gill Sans MT" w:cs="Calibri"/>
          <w:color w:val="000000"/>
          <w:sz w:val="20"/>
          <w:szCs w:val="20"/>
        </w:rPr>
        <w:t>were found operational but they had few teachers, the classes were overcrowded and students did not have learning materials. Besides, the construction of shallow wells</w:t>
      </w:r>
      <w:r w:rsidRPr="001000C2">
        <w:rPr>
          <w:rFonts w:ascii="Gill Sans MT" w:hAnsi="Gill Sans MT" w:cs="Calibri"/>
          <w:color w:val="000000"/>
          <w:sz w:val="20"/>
          <w:szCs w:val="20"/>
        </w:rPr>
        <w:t xml:space="preserve"> by UNHCR and WFP in IDP settlement </w:t>
      </w:r>
      <w:r w:rsidR="00E91F1D" w:rsidRPr="001000C2">
        <w:rPr>
          <w:rFonts w:ascii="Gill Sans MT" w:hAnsi="Gill Sans MT" w:cs="Calibri"/>
          <w:color w:val="000000"/>
          <w:sz w:val="20"/>
          <w:szCs w:val="20"/>
        </w:rPr>
        <w:t xml:space="preserve">in Baidoa </w:t>
      </w:r>
      <w:r w:rsidRPr="001000C2">
        <w:rPr>
          <w:rFonts w:ascii="Gill Sans MT" w:hAnsi="Gill Sans MT" w:cs="Calibri"/>
          <w:color w:val="000000"/>
          <w:sz w:val="20"/>
          <w:szCs w:val="20"/>
        </w:rPr>
        <w:t xml:space="preserve">was </w:t>
      </w:r>
      <w:r w:rsidR="00E91F1D" w:rsidRPr="001000C2">
        <w:rPr>
          <w:rFonts w:ascii="Gill Sans MT" w:hAnsi="Gill Sans MT" w:cs="Calibri"/>
          <w:color w:val="000000"/>
          <w:sz w:val="20"/>
          <w:szCs w:val="20"/>
        </w:rPr>
        <w:t xml:space="preserve">described as not effective approach to address water scarcity </w:t>
      </w:r>
      <w:r w:rsidR="00230351" w:rsidRPr="001000C2">
        <w:rPr>
          <w:rFonts w:ascii="Gill Sans MT" w:hAnsi="Gill Sans MT" w:cs="Calibri"/>
          <w:color w:val="000000"/>
          <w:sz w:val="20"/>
          <w:szCs w:val="20"/>
        </w:rPr>
        <w:t xml:space="preserve">as </w:t>
      </w:r>
      <w:r w:rsidR="00E91F1D" w:rsidRPr="001000C2">
        <w:rPr>
          <w:rFonts w:ascii="Gill Sans MT" w:hAnsi="Gill Sans MT" w:cs="Calibri"/>
          <w:color w:val="000000"/>
          <w:sz w:val="20"/>
          <w:szCs w:val="20"/>
        </w:rPr>
        <w:t xml:space="preserve">prospect of getting water faded </w:t>
      </w:r>
      <w:r w:rsidR="00230351" w:rsidRPr="001000C2">
        <w:rPr>
          <w:rFonts w:ascii="Gill Sans MT" w:hAnsi="Gill Sans MT" w:cs="Calibri"/>
          <w:color w:val="000000"/>
          <w:sz w:val="20"/>
          <w:szCs w:val="20"/>
        </w:rPr>
        <w:t xml:space="preserve">citing such </w:t>
      </w:r>
      <w:r w:rsidRPr="001000C2">
        <w:rPr>
          <w:rFonts w:ascii="Gill Sans MT" w:hAnsi="Gill Sans MT" w:cs="Calibri"/>
          <w:color w:val="000000"/>
          <w:sz w:val="20"/>
          <w:szCs w:val="20"/>
        </w:rPr>
        <w:t xml:space="preserve">activity required </w:t>
      </w:r>
      <w:r w:rsidR="00230351" w:rsidRPr="001000C2">
        <w:rPr>
          <w:rFonts w:ascii="Gill Sans MT" w:hAnsi="Gill Sans MT" w:cs="Calibri"/>
          <w:color w:val="000000"/>
          <w:sz w:val="20"/>
          <w:szCs w:val="20"/>
        </w:rPr>
        <w:t xml:space="preserve">the use </w:t>
      </w:r>
      <w:r w:rsidR="00230351" w:rsidRPr="001000C2">
        <w:rPr>
          <w:rFonts w:ascii="Gill Sans MT" w:hAnsi="Gill Sans MT" w:cs="Calibri"/>
          <w:color w:val="000000"/>
          <w:sz w:val="20"/>
          <w:szCs w:val="20"/>
        </w:rPr>
        <w:lastRenderedPageBreak/>
        <w:t xml:space="preserve">of heavy machines for </w:t>
      </w:r>
      <w:r w:rsidRPr="001000C2">
        <w:rPr>
          <w:rFonts w:ascii="Gill Sans MT" w:hAnsi="Gill Sans MT" w:cs="Calibri"/>
          <w:color w:val="000000"/>
          <w:sz w:val="20"/>
          <w:szCs w:val="20"/>
        </w:rPr>
        <w:t xml:space="preserve">drilling. Based on these feedbacks, future programs should enhance consultations </w:t>
      </w:r>
      <w:r w:rsidRPr="001000C2">
        <w:rPr>
          <w:rFonts w:ascii="Gill Sans MT" w:hAnsi="Gill Sans MT" w:cs="Calibri"/>
          <w:sz w:val="20"/>
          <w:szCs w:val="20"/>
        </w:rPr>
        <w:t>with targeted populations through conducting baselines or needs assessments to inform the design of the projects.</w:t>
      </w:r>
    </w:p>
    <w:p w14:paraId="05D764DF" w14:textId="4D019A6B" w:rsidR="00296FBD" w:rsidRPr="001000C2" w:rsidRDefault="00296FBD" w:rsidP="001000C2">
      <w:pPr>
        <w:jc w:val="both"/>
        <w:rPr>
          <w:rFonts w:ascii="Gill Sans MT" w:hAnsi="Gill Sans MT" w:cs="Calibri"/>
          <w:sz w:val="20"/>
          <w:szCs w:val="20"/>
        </w:rPr>
      </w:pPr>
      <w:r w:rsidRPr="001000C2">
        <w:rPr>
          <w:rFonts w:ascii="Gill Sans MT" w:hAnsi="Gill Sans MT" w:cs="Calibri"/>
          <w:b/>
          <w:i/>
          <w:sz w:val="20"/>
          <w:szCs w:val="20"/>
        </w:rPr>
        <w:t>Completion of the remaining project activities:</w:t>
      </w:r>
      <w:r w:rsidRPr="001000C2">
        <w:rPr>
          <w:rFonts w:ascii="Gill Sans MT" w:hAnsi="Gill Sans MT" w:cs="Calibri"/>
          <w:sz w:val="20"/>
          <w:szCs w:val="20"/>
        </w:rPr>
        <w:t xml:space="preserve"> The study noted some activities of the IOM’s PBF projects were not implemented due local government interference, there</w:t>
      </w:r>
      <w:r w:rsidR="00EE0886">
        <w:rPr>
          <w:rFonts w:ascii="Gill Sans MT" w:hAnsi="Gill Sans MT" w:cs="Calibri"/>
          <w:sz w:val="20"/>
          <w:szCs w:val="20"/>
        </w:rPr>
        <w:t>fore there</w:t>
      </w:r>
      <w:r w:rsidRPr="001000C2">
        <w:rPr>
          <w:rFonts w:ascii="Gill Sans MT" w:hAnsi="Gill Sans MT" w:cs="Calibri"/>
          <w:sz w:val="20"/>
          <w:szCs w:val="20"/>
        </w:rPr>
        <w:t xml:space="preserve"> is need to speed up the rehabilitation of the</w:t>
      </w:r>
      <w:r w:rsidRPr="001000C2">
        <w:rPr>
          <w:rFonts w:ascii="Gill Sans MT" w:hAnsi="Gill Sans MT" w:cs="Calibri"/>
          <w:b/>
          <w:sz w:val="20"/>
          <w:szCs w:val="20"/>
        </w:rPr>
        <w:t xml:space="preserve"> </w:t>
      </w:r>
      <w:r w:rsidRPr="001000C2">
        <w:rPr>
          <w:rFonts w:ascii="Gill Sans MT" w:hAnsi="Gill Sans MT" w:cs="Calibri"/>
          <w:sz w:val="20"/>
          <w:szCs w:val="20"/>
        </w:rPr>
        <w:t xml:space="preserve">Kerowfogi Bridge and Dr. Ayuub stadium. </w:t>
      </w:r>
    </w:p>
    <w:p w14:paraId="5CFDC245" w14:textId="2DA6683A" w:rsidR="00296FBD" w:rsidRPr="001000C2" w:rsidRDefault="00296FBD" w:rsidP="001000C2">
      <w:pPr>
        <w:jc w:val="both"/>
        <w:rPr>
          <w:rFonts w:ascii="Gill Sans MT" w:hAnsi="Gill Sans MT" w:cs="Calibri"/>
          <w:sz w:val="20"/>
          <w:szCs w:val="20"/>
        </w:rPr>
      </w:pPr>
      <w:r w:rsidRPr="001000C2">
        <w:rPr>
          <w:rFonts w:ascii="Gill Sans MT" w:hAnsi="Gill Sans MT" w:cs="Calibri"/>
          <w:b/>
          <w:i/>
          <w:sz w:val="20"/>
          <w:szCs w:val="20"/>
        </w:rPr>
        <w:t>Returnee Orientation and provision of start-up kits:</w:t>
      </w:r>
      <w:r w:rsidRPr="001000C2">
        <w:rPr>
          <w:rFonts w:ascii="Gill Sans MT" w:hAnsi="Gill Sans MT" w:cs="Calibri"/>
          <w:sz w:val="20"/>
          <w:szCs w:val="20"/>
        </w:rPr>
        <w:t xml:space="preserve"> Given that majority of voluntary returnees are returning after being away for more than two decades there was little or no information about the socio-economic situation of the areas of return. Therefore, it’s recommended that UNHCR and partners should create awareness about available business opportunities, social amenities (schools, hospitals and water points), exchange rates (dollars to Somali Shilling), and commodity prices before leaving </w:t>
      </w:r>
      <w:r w:rsidR="001000C2" w:rsidRPr="001000C2">
        <w:rPr>
          <w:rFonts w:ascii="Gill Sans MT" w:hAnsi="Gill Sans MT" w:cs="Calibri"/>
          <w:sz w:val="20"/>
          <w:szCs w:val="20"/>
        </w:rPr>
        <w:t>Dadaab</w:t>
      </w:r>
      <w:r w:rsidRPr="001000C2">
        <w:rPr>
          <w:rFonts w:ascii="Gill Sans MT" w:hAnsi="Gill Sans MT" w:cs="Calibri"/>
          <w:sz w:val="20"/>
          <w:szCs w:val="20"/>
        </w:rPr>
        <w:t xml:space="preserve">. </w:t>
      </w:r>
    </w:p>
    <w:p w14:paraId="1DD0F299" w14:textId="77777777" w:rsidR="00230515" w:rsidRDefault="00230515" w:rsidP="00230515">
      <w:pPr>
        <w:spacing w:line="480" w:lineRule="auto"/>
        <w:jc w:val="both"/>
        <w:rPr>
          <w:rFonts w:ascii="Gill Sans MT" w:hAnsi="Gill Sans MT"/>
          <w:sz w:val="20"/>
          <w:szCs w:val="20"/>
        </w:rPr>
        <w:sectPr w:rsidR="00230515" w:rsidSect="00117C8B">
          <w:pgSz w:w="12240" w:h="15840"/>
          <w:pgMar w:top="1440" w:right="1440" w:bottom="1440" w:left="1440" w:header="720" w:footer="720" w:gutter="0"/>
          <w:pgNumType w:fmt="numberInDash"/>
          <w:cols w:space="720"/>
          <w:docGrid w:linePitch="360"/>
        </w:sectPr>
      </w:pPr>
    </w:p>
    <w:p w14:paraId="53103214" w14:textId="36E8C242" w:rsidR="00B30A00" w:rsidRPr="00230515" w:rsidRDefault="00853726" w:rsidP="005D458E">
      <w:pPr>
        <w:pStyle w:val="Heading1"/>
        <w:pBdr>
          <w:bottom w:val="single" w:sz="18" w:space="1" w:color="00B0F0"/>
        </w:pBdr>
      </w:pPr>
      <w:bookmarkStart w:id="1" w:name="_Toc419359844"/>
      <w:r w:rsidRPr="00230515">
        <w:lastRenderedPageBreak/>
        <w:t>Background and context</w:t>
      </w:r>
      <w:bookmarkEnd w:id="1"/>
    </w:p>
    <w:p w14:paraId="2F5E0787" w14:textId="77777777" w:rsidR="00FB4504" w:rsidRPr="00B62036" w:rsidRDefault="00FB4504" w:rsidP="003A6010">
      <w:pPr>
        <w:pStyle w:val="Heading2"/>
      </w:pPr>
      <w:bookmarkStart w:id="2" w:name="_Toc419359845"/>
      <w:r w:rsidRPr="00B62036">
        <w:t>Background</w:t>
      </w:r>
      <w:bookmarkEnd w:id="2"/>
    </w:p>
    <w:p w14:paraId="314F53A0" w14:textId="32423A45" w:rsidR="00FB4504" w:rsidRPr="00B62036" w:rsidRDefault="003D019B" w:rsidP="005D458E">
      <w:pPr>
        <w:spacing w:line="276" w:lineRule="auto"/>
        <w:jc w:val="both"/>
        <w:rPr>
          <w:rFonts w:ascii="Gill Sans MT" w:hAnsi="Gill Sans MT"/>
          <w:sz w:val="20"/>
          <w:szCs w:val="20"/>
        </w:rPr>
      </w:pPr>
      <w:r w:rsidRPr="00B62036">
        <w:rPr>
          <w:rFonts w:ascii="Gill Sans MT" w:hAnsi="Gill Sans MT"/>
          <w:sz w:val="20"/>
          <w:szCs w:val="20"/>
        </w:rPr>
        <w:t xml:space="preserve">The protracted refugee situation in Kenya’s Dadaab refugee camps has created social, political and economic pressures. </w:t>
      </w:r>
      <w:r w:rsidR="0090392A" w:rsidRPr="00B62036">
        <w:rPr>
          <w:rFonts w:ascii="Gill Sans MT" w:hAnsi="Gill Sans MT"/>
          <w:sz w:val="20"/>
          <w:szCs w:val="20"/>
        </w:rPr>
        <w:t>Security</w:t>
      </w:r>
      <w:r w:rsidRPr="00B62036">
        <w:rPr>
          <w:rFonts w:ascii="Gill Sans MT" w:hAnsi="Gill Sans MT"/>
          <w:sz w:val="20"/>
          <w:szCs w:val="20"/>
        </w:rPr>
        <w:t xml:space="preserve"> incidents in the recent years have been </w:t>
      </w:r>
      <w:r w:rsidR="0090392A" w:rsidRPr="00B62036">
        <w:rPr>
          <w:rFonts w:ascii="Gill Sans MT" w:hAnsi="Gill Sans MT"/>
          <w:sz w:val="20"/>
          <w:szCs w:val="20"/>
        </w:rPr>
        <w:t>attributed</w:t>
      </w:r>
      <w:r w:rsidRPr="00B62036">
        <w:rPr>
          <w:rFonts w:ascii="Gill Sans MT" w:hAnsi="Gill Sans MT"/>
          <w:sz w:val="20"/>
          <w:szCs w:val="20"/>
        </w:rPr>
        <w:t xml:space="preserve"> to the </w:t>
      </w:r>
      <w:r w:rsidR="0090392A" w:rsidRPr="00B62036">
        <w:rPr>
          <w:rFonts w:ascii="Gill Sans MT" w:hAnsi="Gill Sans MT"/>
          <w:sz w:val="20"/>
          <w:szCs w:val="20"/>
        </w:rPr>
        <w:t>presence</w:t>
      </w:r>
      <w:r w:rsidRPr="00B62036">
        <w:rPr>
          <w:rFonts w:ascii="Gill Sans MT" w:hAnsi="Gill Sans MT"/>
          <w:sz w:val="20"/>
          <w:szCs w:val="20"/>
        </w:rPr>
        <w:t xml:space="preserve"> of Dadaab camps and Alshabaab operatives in those camps, further increasing the </w:t>
      </w:r>
      <w:r w:rsidR="0090392A" w:rsidRPr="00B62036">
        <w:rPr>
          <w:rFonts w:ascii="Gill Sans MT" w:hAnsi="Gill Sans MT"/>
          <w:sz w:val="20"/>
          <w:szCs w:val="20"/>
        </w:rPr>
        <w:t>pressures</w:t>
      </w:r>
      <w:r w:rsidRPr="00B62036">
        <w:rPr>
          <w:rFonts w:ascii="Gill Sans MT" w:hAnsi="Gill Sans MT"/>
          <w:sz w:val="20"/>
          <w:szCs w:val="20"/>
        </w:rPr>
        <w:t xml:space="preserve"> on Somali refugees, hence the need to offer a path towards solutions to ease tensions</w:t>
      </w:r>
      <w:r w:rsidR="004439D1" w:rsidRPr="00B62036">
        <w:rPr>
          <w:rFonts w:ascii="Gill Sans MT" w:hAnsi="Gill Sans MT"/>
          <w:sz w:val="20"/>
          <w:szCs w:val="20"/>
        </w:rPr>
        <w:t>,</w:t>
      </w:r>
      <w:r w:rsidRPr="00B62036">
        <w:rPr>
          <w:rFonts w:ascii="Gill Sans MT" w:hAnsi="Gill Sans MT"/>
          <w:sz w:val="20"/>
          <w:szCs w:val="20"/>
        </w:rPr>
        <w:t xml:space="preserve"> while ensuring refugees and IDPs are able to take voluntary and informed </w:t>
      </w:r>
      <w:r w:rsidR="0090392A" w:rsidRPr="00B62036">
        <w:rPr>
          <w:rFonts w:ascii="Gill Sans MT" w:hAnsi="Gill Sans MT"/>
          <w:sz w:val="20"/>
          <w:szCs w:val="20"/>
        </w:rPr>
        <w:t>decisions</w:t>
      </w:r>
      <w:r w:rsidRPr="00B62036">
        <w:rPr>
          <w:rFonts w:ascii="Gill Sans MT" w:hAnsi="Gill Sans MT"/>
          <w:sz w:val="20"/>
          <w:szCs w:val="20"/>
        </w:rPr>
        <w:t xml:space="preserve"> on their preferred durable solutions. A tripartite agreement signed by the Government of Kenya, UNHCR and the Federal Government of Somalia in November 2013 have </w:t>
      </w:r>
      <w:r w:rsidR="0090392A" w:rsidRPr="00B62036">
        <w:rPr>
          <w:rFonts w:ascii="Gill Sans MT" w:hAnsi="Gill Sans MT"/>
          <w:sz w:val="20"/>
          <w:szCs w:val="20"/>
        </w:rPr>
        <w:t xml:space="preserve">further </w:t>
      </w:r>
      <w:r w:rsidRPr="00B62036">
        <w:rPr>
          <w:rFonts w:ascii="Gill Sans MT" w:hAnsi="Gill Sans MT"/>
          <w:sz w:val="20"/>
          <w:szCs w:val="20"/>
        </w:rPr>
        <w:t>paved way for discussions on voluntary repatriation of Somali refugees living in Kenya.</w:t>
      </w:r>
      <w:r w:rsidR="00D17977" w:rsidRPr="00B62036">
        <w:rPr>
          <w:rFonts w:ascii="Gill Sans MT" w:hAnsi="Gill Sans MT"/>
          <w:sz w:val="20"/>
          <w:szCs w:val="20"/>
        </w:rPr>
        <w:t xml:space="preserve"> </w:t>
      </w:r>
      <w:r w:rsidR="0090392A" w:rsidRPr="00B62036">
        <w:rPr>
          <w:rFonts w:ascii="Gill Sans MT" w:hAnsi="Gill Sans MT"/>
          <w:sz w:val="20"/>
          <w:szCs w:val="20"/>
        </w:rPr>
        <w:t>Furthermore, i</w:t>
      </w:r>
      <w:r w:rsidR="004439D1" w:rsidRPr="00B62036">
        <w:rPr>
          <w:rFonts w:ascii="Gill Sans MT" w:hAnsi="Gill Sans MT"/>
          <w:sz w:val="20"/>
          <w:szCs w:val="20"/>
        </w:rPr>
        <w:t>n M</w:t>
      </w:r>
      <w:r w:rsidR="00D17977" w:rsidRPr="00B62036">
        <w:rPr>
          <w:rFonts w:ascii="Gill Sans MT" w:hAnsi="Gill Sans MT"/>
          <w:sz w:val="20"/>
          <w:szCs w:val="20"/>
        </w:rPr>
        <w:t>ay 2016, the Government of Kenya announced their intention to close the Dadaab refugee camps due to security reasons and the slow pace of refugee return to Somalia. Therefore, it has increasing</w:t>
      </w:r>
      <w:r w:rsidR="0090392A" w:rsidRPr="00B62036">
        <w:rPr>
          <w:rFonts w:ascii="Gill Sans MT" w:hAnsi="Gill Sans MT"/>
          <w:sz w:val="20"/>
          <w:szCs w:val="20"/>
        </w:rPr>
        <w:t>ly</w:t>
      </w:r>
      <w:r w:rsidR="00D17977" w:rsidRPr="00B62036">
        <w:rPr>
          <w:rFonts w:ascii="Gill Sans MT" w:hAnsi="Gill Sans MT"/>
          <w:sz w:val="20"/>
          <w:szCs w:val="20"/>
        </w:rPr>
        <w:t xml:space="preserve"> become important </w:t>
      </w:r>
      <w:r w:rsidR="0090392A" w:rsidRPr="00B62036">
        <w:rPr>
          <w:rFonts w:ascii="Gill Sans MT" w:hAnsi="Gill Sans MT"/>
          <w:sz w:val="20"/>
          <w:szCs w:val="20"/>
        </w:rPr>
        <w:t xml:space="preserve">for humanitarian partners </w:t>
      </w:r>
      <w:r w:rsidR="004439D1" w:rsidRPr="00B62036">
        <w:rPr>
          <w:rFonts w:ascii="Gill Sans MT" w:hAnsi="Gill Sans MT"/>
          <w:sz w:val="20"/>
          <w:szCs w:val="20"/>
        </w:rPr>
        <w:t xml:space="preserve">to realize </w:t>
      </w:r>
      <w:r w:rsidR="00D17977" w:rsidRPr="00B62036">
        <w:rPr>
          <w:rFonts w:ascii="Gill Sans MT" w:hAnsi="Gill Sans MT"/>
          <w:sz w:val="20"/>
          <w:szCs w:val="20"/>
        </w:rPr>
        <w:t>the need to support refugee return to their original homelands.</w:t>
      </w:r>
      <w:r w:rsidR="007B38B6" w:rsidRPr="00B62036">
        <w:rPr>
          <w:rStyle w:val="FootnoteReference"/>
          <w:rFonts w:ascii="Gill Sans MT" w:hAnsi="Gill Sans MT"/>
          <w:sz w:val="20"/>
          <w:szCs w:val="20"/>
        </w:rPr>
        <w:footnoteReference w:id="3"/>
      </w:r>
      <w:r w:rsidR="00610BB6" w:rsidRPr="00B62036">
        <w:rPr>
          <w:rFonts w:ascii="Gill Sans MT" w:hAnsi="Gill Sans MT"/>
          <w:sz w:val="20"/>
          <w:szCs w:val="20"/>
        </w:rPr>
        <w:t xml:space="preserve"> </w:t>
      </w:r>
      <w:r w:rsidR="0090392A" w:rsidRPr="00B62036">
        <w:rPr>
          <w:rFonts w:ascii="Gill Sans MT" w:hAnsi="Gill Sans MT"/>
          <w:sz w:val="20"/>
          <w:szCs w:val="20"/>
        </w:rPr>
        <w:t>As a result, UNHCR and other partners</w:t>
      </w:r>
      <w:r w:rsidR="00D032E7" w:rsidRPr="00B62036">
        <w:rPr>
          <w:rFonts w:ascii="Gill Sans MT" w:hAnsi="Gill Sans MT"/>
          <w:sz w:val="20"/>
          <w:szCs w:val="20"/>
        </w:rPr>
        <w:t xml:space="preserve"> redoubled </w:t>
      </w:r>
      <w:r w:rsidR="0090392A" w:rsidRPr="00B62036">
        <w:rPr>
          <w:rFonts w:ascii="Gill Sans MT" w:hAnsi="Gill Sans MT"/>
          <w:sz w:val="20"/>
          <w:szCs w:val="20"/>
        </w:rPr>
        <w:t xml:space="preserve">their </w:t>
      </w:r>
      <w:r w:rsidR="00D032E7" w:rsidRPr="00B62036">
        <w:rPr>
          <w:rFonts w:ascii="Gill Sans MT" w:hAnsi="Gill Sans MT"/>
          <w:sz w:val="20"/>
          <w:szCs w:val="20"/>
        </w:rPr>
        <w:t>efforts to support the return and reintegration of refugees and IDP returnees</w:t>
      </w:r>
      <w:r w:rsidR="0090392A" w:rsidRPr="00B62036">
        <w:rPr>
          <w:rFonts w:ascii="Gill Sans MT" w:hAnsi="Gill Sans MT"/>
          <w:sz w:val="20"/>
          <w:szCs w:val="20"/>
        </w:rPr>
        <w:t>,</w:t>
      </w:r>
      <w:r w:rsidR="00D032E7" w:rsidRPr="00B62036">
        <w:rPr>
          <w:rFonts w:ascii="Gill Sans MT" w:hAnsi="Gill Sans MT"/>
          <w:sz w:val="20"/>
          <w:szCs w:val="20"/>
        </w:rPr>
        <w:t xml:space="preserve"> and enhance </w:t>
      </w:r>
      <w:r w:rsidR="0090392A" w:rsidRPr="00B62036">
        <w:rPr>
          <w:rFonts w:ascii="Gill Sans MT" w:hAnsi="Gill Sans MT"/>
          <w:sz w:val="20"/>
          <w:szCs w:val="20"/>
        </w:rPr>
        <w:t xml:space="preserve">the </w:t>
      </w:r>
      <w:r w:rsidR="00D032E7" w:rsidRPr="00B62036">
        <w:rPr>
          <w:rFonts w:ascii="Gill Sans MT" w:hAnsi="Gill Sans MT"/>
          <w:sz w:val="20"/>
          <w:szCs w:val="20"/>
        </w:rPr>
        <w:t>absorption capacity in areas of return</w:t>
      </w:r>
      <w:r w:rsidR="004439D1" w:rsidRPr="00B62036">
        <w:rPr>
          <w:rFonts w:ascii="Gill Sans MT" w:hAnsi="Gill Sans MT"/>
          <w:sz w:val="20"/>
          <w:szCs w:val="20"/>
        </w:rPr>
        <w:t>,</w:t>
      </w:r>
      <w:r w:rsidR="00D032E7" w:rsidRPr="00B62036">
        <w:rPr>
          <w:rFonts w:ascii="Gill Sans MT" w:hAnsi="Gill Sans MT"/>
          <w:sz w:val="20"/>
          <w:szCs w:val="20"/>
        </w:rPr>
        <w:t xml:space="preserve"> </w:t>
      </w:r>
      <w:r w:rsidR="0090392A" w:rsidRPr="00B62036">
        <w:rPr>
          <w:rFonts w:ascii="Gill Sans MT" w:hAnsi="Gill Sans MT"/>
          <w:sz w:val="20"/>
          <w:szCs w:val="20"/>
        </w:rPr>
        <w:t xml:space="preserve">especially </w:t>
      </w:r>
      <w:r w:rsidR="004439D1" w:rsidRPr="00B62036">
        <w:rPr>
          <w:rFonts w:ascii="Gill Sans MT" w:hAnsi="Gill Sans MT"/>
          <w:sz w:val="20"/>
          <w:szCs w:val="20"/>
        </w:rPr>
        <w:t>in Southern and C</w:t>
      </w:r>
      <w:r w:rsidR="00D032E7" w:rsidRPr="00B62036">
        <w:rPr>
          <w:rFonts w:ascii="Gill Sans MT" w:hAnsi="Gill Sans MT"/>
          <w:sz w:val="20"/>
          <w:szCs w:val="20"/>
        </w:rPr>
        <w:t xml:space="preserve">entral Somalia. Emphasis was </w:t>
      </w:r>
      <w:r w:rsidR="0090392A" w:rsidRPr="00B62036">
        <w:rPr>
          <w:rFonts w:ascii="Gill Sans MT" w:hAnsi="Gill Sans MT"/>
          <w:sz w:val="20"/>
          <w:szCs w:val="20"/>
        </w:rPr>
        <w:t xml:space="preserve">particularly </w:t>
      </w:r>
      <w:r w:rsidR="00D032E7" w:rsidRPr="00B62036">
        <w:rPr>
          <w:rFonts w:ascii="Gill Sans MT" w:hAnsi="Gill Sans MT"/>
          <w:sz w:val="20"/>
          <w:szCs w:val="20"/>
        </w:rPr>
        <w:t xml:space="preserve">put on investments in the areas of access to basic social services and </w:t>
      </w:r>
      <w:r w:rsidR="0090392A" w:rsidRPr="00B62036">
        <w:rPr>
          <w:rFonts w:ascii="Gill Sans MT" w:hAnsi="Gill Sans MT"/>
          <w:sz w:val="20"/>
          <w:szCs w:val="20"/>
        </w:rPr>
        <w:t xml:space="preserve">creation of </w:t>
      </w:r>
      <w:r w:rsidR="00D032E7" w:rsidRPr="00B62036">
        <w:rPr>
          <w:rFonts w:ascii="Gill Sans MT" w:hAnsi="Gill Sans MT"/>
          <w:sz w:val="20"/>
          <w:szCs w:val="20"/>
        </w:rPr>
        <w:t xml:space="preserve">livelihood opportunities </w:t>
      </w:r>
      <w:r w:rsidR="0090392A" w:rsidRPr="00B62036">
        <w:rPr>
          <w:rFonts w:ascii="Gill Sans MT" w:hAnsi="Gill Sans MT"/>
          <w:sz w:val="20"/>
          <w:szCs w:val="20"/>
        </w:rPr>
        <w:t>for more conducive conditions</w:t>
      </w:r>
      <w:r w:rsidR="00D032E7" w:rsidRPr="00B62036">
        <w:rPr>
          <w:rFonts w:ascii="Gill Sans MT" w:hAnsi="Gill Sans MT"/>
          <w:sz w:val="20"/>
          <w:szCs w:val="20"/>
        </w:rPr>
        <w:t xml:space="preserve"> for increased sustainable return and reintegration in the areas of refugee return. </w:t>
      </w:r>
      <w:r w:rsidR="00FF55DE" w:rsidRPr="00B62036">
        <w:rPr>
          <w:rFonts w:ascii="Gill Sans MT" w:hAnsi="Gill Sans MT"/>
          <w:sz w:val="20"/>
          <w:szCs w:val="20"/>
        </w:rPr>
        <w:t xml:space="preserve">Alongside the need to increase absorption capacity of areas of return, UNHCR and partners realized the need to have </w:t>
      </w:r>
      <w:r w:rsidR="0090392A" w:rsidRPr="00B62036">
        <w:rPr>
          <w:rFonts w:ascii="Gill Sans MT" w:hAnsi="Gill Sans MT"/>
          <w:sz w:val="20"/>
          <w:szCs w:val="20"/>
        </w:rPr>
        <w:t xml:space="preserve">complementary </w:t>
      </w:r>
      <w:r w:rsidR="00FF55DE" w:rsidRPr="00B62036">
        <w:rPr>
          <w:rFonts w:ascii="Gill Sans MT" w:hAnsi="Gill Sans MT"/>
          <w:sz w:val="20"/>
          <w:szCs w:val="20"/>
        </w:rPr>
        <w:t>peace building efforts for sustainable reintegration of returnees who had been a</w:t>
      </w:r>
      <w:r w:rsidR="004439D1" w:rsidRPr="00B62036">
        <w:rPr>
          <w:rFonts w:ascii="Gill Sans MT" w:hAnsi="Gill Sans MT"/>
          <w:sz w:val="20"/>
          <w:szCs w:val="20"/>
        </w:rPr>
        <w:t>bsent from</w:t>
      </w:r>
      <w:r w:rsidR="0090392A" w:rsidRPr="00B62036">
        <w:rPr>
          <w:rFonts w:ascii="Gill Sans MT" w:hAnsi="Gill Sans MT"/>
          <w:sz w:val="20"/>
          <w:szCs w:val="20"/>
        </w:rPr>
        <w:t xml:space="preserve"> their places of </w:t>
      </w:r>
      <w:r w:rsidR="004439D1" w:rsidRPr="00B62036">
        <w:rPr>
          <w:rFonts w:ascii="Gill Sans MT" w:hAnsi="Gill Sans MT"/>
          <w:sz w:val="20"/>
          <w:szCs w:val="20"/>
        </w:rPr>
        <w:t xml:space="preserve">origin </w:t>
      </w:r>
      <w:r w:rsidR="00FF55DE" w:rsidRPr="00B62036">
        <w:rPr>
          <w:rFonts w:ascii="Gill Sans MT" w:hAnsi="Gill Sans MT"/>
          <w:sz w:val="20"/>
          <w:szCs w:val="20"/>
        </w:rPr>
        <w:t xml:space="preserve">for a very long period of time. Thus, </w:t>
      </w:r>
      <w:r w:rsidR="0090392A" w:rsidRPr="00B62036">
        <w:rPr>
          <w:rFonts w:ascii="Gill Sans MT" w:hAnsi="Gill Sans MT"/>
          <w:sz w:val="20"/>
          <w:szCs w:val="20"/>
        </w:rPr>
        <w:t xml:space="preserve">efforts to have peaceful reintegration </w:t>
      </w:r>
      <w:r w:rsidR="004439D1" w:rsidRPr="00B62036">
        <w:rPr>
          <w:rFonts w:ascii="Gill Sans MT" w:hAnsi="Gill Sans MT"/>
          <w:sz w:val="20"/>
          <w:szCs w:val="20"/>
        </w:rPr>
        <w:t>devoid of hostility</w:t>
      </w:r>
      <w:r w:rsidR="0090392A" w:rsidRPr="00B62036">
        <w:rPr>
          <w:rFonts w:ascii="Gill Sans MT" w:hAnsi="Gill Sans MT"/>
          <w:sz w:val="20"/>
          <w:szCs w:val="20"/>
        </w:rPr>
        <w:t xml:space="preserve"> between the host communities in areas of return and the returning people were </w:t>
      </w:r>
      <w:r w:rsidR="00FF55DE" w:rsidRPr="00B62036">
        <w:rPr>
          <w:rFonts w:ascii="Gill Sans MT" w:hAnsi="Gill Sans MT"/>
          <w:sz w:val="20"/>
          <w:szCs w:val="20"/>
        </w:rPr>
        <w:t xml:space="preserve">a </w:t>
      </w:r>
      <w:r w:rsidR="0090392A" w:rsidRPr="00B62036">
        <w:rPr>
          <w:rFonts w:ascii="Gill Sans MT" w:hAnsi="Gill Sans MT"/>
          <w:sz w:val="20"/>
          <w:szCs w:val="20"/>
        </w:rPr>
        <w:t>paramount</w:t>
      </w:r>
      <w:r w:rsidR="00FF55DE" w:rsidRPr="00B62036">
        <w:rPr>
          <w:rFonts w:ascii="Gill Sans MT" w:hAnsi="Gill Sans MT"/>
          <w:sz w:val="20"/>
          <w:szCs w:val="20"/>
        </w:rPr>
        <w:t xml:space="preserve"> agenda in the return and rein</w:t>
      </w:r>
      <w:r w:rsidR="0090392A" w:rsidRPr="00B62036">
        <w:rPr>
          <w:rFonts w:ascii="Gill Sans MT" w:hAnsi="Gill Sans MT"/>
          <w:sz w:val="20"/>
          <w:szCs w:val="20"/>
        </w:rPr>
        <w:t>te</w:t>
      </w:r>
      <w:r w:rsidR="00FF55DE" w:rsidRPr="00B62036">
        <w:rPr>
          <w:rFonts w:ascii="Gill Sans MT" w:hAnsi="Gill Sans MT"/>
          <w:sz w:val="20"/>
          <w:szCs w:val="20"/>
        </w:rPr>
        <w:t>gration process. It is against this backdrop that UNHCR, through funding from the Peace Building Fund (PBF) partnered with other Partner Unit</w:t>
      </w:r>
      <w:r w:rsidR="0090392A" w:rsidRPr="00B62036">
        <w:rPr>
          <w:rFonts w:ascii="Gill Sans MT" w:hAnsi="Gill Sans MT"/>
          <w:sz w:val="20"/>
          <w:szCs w:val="20"/>
        </w:rPr>
        <w:t>ed Nation Organizations (PUNOs)</w:t>
      </w:r>
      <w:r w:rsidR="00FF55DE" w:rsidRPr="00B62036">
        <w:rPr>
          <w:rFonts w:ascii="Gill Sans MT" w:hAnsi="Gill Sans MT"/>
          <w:sz w:val="20"/>
          <w:szCs w:val="20"/>
        </w:rPr>
        <w:t>, DRC, NRC and RET</w:t>
      </w:r>
      <w:r w:rsidR="0090392A" w:rsidRPr="00B62036">
        <w:rPr>
          <w:rFonts w:ascii="Gill Sans MT" w:hAnsi="Gill Sans MT"/>
          <w:sz w:val="20"/>
          <w:szCs w:val="20"/>
        </w:rPr>
        <w:t xml:space="preserve"> to implement the</w:t>
      </w:r>
      <w:r w:rsidR="00FF55DE" w:rsidRPr="00B62036">
        <w:rPr>
          <w:rFonts w:ascii="Gill Sans MT" w:hAnsi="Gill Sans MT"/>
          <w:sz w:val="20"/>
          <w:szCs w:val="20"/>
        </w:rPr>
        <w:t xml:space="preserve"> “Kenya-Somalia Refugees Cross Border </w:t>
      </w:r>
      <w:r w:rsidR="003A3D76" w:rsidRPr="00B62036">
        <w:rPr>
          <w:rFonts w:ascii="Gill Sans MT" w:hAnsi="Gill Sans MT"/>
          <w:sz w:val="20"/>
          <w:szCs w:val="20"/>
        </w:rPr>
        <w:t>Peace building</w:t>
      </w:r>
      <w:r w:rsidR="00FF55DE" w:rsidRPr="00B62036">
        <w:rPr>
          <w:rFonts w:ascii="Gill Sans MT" w:hAnsi="Gill Sans MT"/>
          <w:sz w:val="20"/>
          <w:szCs w:val="20"/>
        </w:rPr>
        <w:t xml:space="preserve"> Pilot Project for Voluntary Return, Co-existence and Sustainable Reintegration for Baidoa Returnees”</w:t>
      </w:r>
      <w:r w:rsidR="0090392A" w:rsidRPr="00B62036">
        <w:rPr>
          <w:rFonts w:ascii="Gill Sans MT" w:hAnsi="Gill Sans MT"/>
          <w:sz w:val="20"/>
          <w:szCs w:val="20"/>
        </w:rPr>
        <w:t xml:space="preserve"> project</w:t>
      </w:r>
      <w:r w:rsidR="00FF55DE" w:rsidRPr="00B62036">
        <w:rPr>
          <w:rFonts w:ascii="Gill Sans MT" w:hAnsi="Gill Sans MT"/>
          <w:sz w:val="20"/>
          <w:szCs w:val="20"/>
        </w:rPr>
        <w:t>.</w:t>
      </w:r>
    </w:p>
    <w:p w14:paraId="4B47DF17" w14:textId="77777777" w:rsidR="00FB4504" w:rsidRPr="00B62036" w:rsidRDefault="00FB4504" w:rsidP="003A6010">
      <w:pPr>
        <w:pStyle w:val="Heading2"/>
      </w:pPr>
      <w:bookmarkStart w:id="3" w:name="_Toc419359846"/>
      <w:r w:rsidRPr="00B62036">
        <w:t>About the Project</w:t>
      </w:r>
      <w:bookmarkEnd w:id="3"/>
    </w:p>
    <w:p w14:paraId="4EC4EE5B" w14:textId="1AEC5FC3" w:rsidR="0090520C" w:rsidRPr="00B62036" w:rsidRDefault="00531A4D" w:rsidP="00230515">
      <w:pPr>
        <w:spacing w:afterLines="30" w:after="72" w:line="276" w:lineRule="auto"/>
        <w:jc w:val="both"/>
        <w:textAlignment w:val="baseline"/>
        <w:rPr>
          <w:rFonts w:ascii="Gill Sans MT" w:hAnsi="Gill Sans MT"/>
          <w:sz w:val="20"/>
          <w:szCs w:val="20"/>
        </w:rPr>
      </w:pPr>
      <w:r w:rsidRPr="00B62036">
        <w:rPr>
          <w:rFonts w:ascii="Gill Sans MT" w:hAnsi="Gill Sans MT"/>
          <w:sz w:val="20"/>
          <w:szCs w:val="20"/>
        </w:rPr>
        <w:t xml:space="preserve">The “Kenya-Somalia Refugees Cross Border </w:t>
      </w:r>
      <w:r w:rsidR="003A3D76" w:rsidRPr="00B62036">
        <w:rPr>
          <w:rFonts w:ascii="Gill Sans MT" w:hAnsi="Gill Sans MT"/>
          <w:sz w:val="20"/>
          <w:szCs w:val="20"/>
        </w:rPr>
        <w:t>Peace building</w:t>
      </w:r>
      <w:r w:rsidRPr="00B62036">
        <w:rPr>
          <w:rFonts w:ascii="Gill Sans MT" w:hAnsi="Gill Sans MT"/>
          <w:sz w:val="20"/>
          <w:szCs w:val="20"/>
        </w:rPr>
        <w:t xml:space="preserve"> Pilot Project for Voluntary Return, Co-existence and Sustainable Reintegration for Baidoa Returnees” </w:t>
      </w:r>
      <w:r w:rsidR="0090392A" w:rsidRPr="00B62036">
        <w:rPr>
          <w:rFonts w:ascii="Gill Sans MT" w:hAnsi="Gill Sans MT"/>
          <w:sz w:val="20"/>
          <w:szCs w:val="20"/>
        </w:rPr>
        <w:t xml:space="preserve">was </w:t>
      </w:r>
      <w:r w:rsidRPr="00B62036">
        <w:rPr>
          <w:rFonts w:ascii="Gill Sans MT" w:hAnsi="Gill Sans MT"/>
          <w:sz w:val="20"/>
          <w:szCs w:val="20"/>
        </w:rPr>
        <w:t>a t</w:t>
      </w:r>
      <w:r w:rsidR="00A67DAC" w:rsidRPr="00B62036">
        <w:rPr>
          <w:rFonts w:ascii="Gill Sans MT" w:hAnsi="Gill Sans MT"/>
          <w:sz w:val="20"/>
          <w:szCs w:val="20"/>
        </w:rPr>
        <w:t>wo (2) year project that commenced</w:t>
      </w:r>
      <w:r w:rsidRPr="00B62036">
        <w:rPr>
          <w:rFonts w:ascii="Gill Sans MT" w:hAnsi="Gill Sans MT"/>
          <w:sz w:val="20"/>
          <w:szCs w:val="20"/>
        </w:rPr>
        <w:t xml:space="preserve"> </w:t>
      </w:r>
      <w:r w:rsidR="004439D1" w:rsidRPr="00B62036">
        <w:rPr>
          <w:rFonts w:ascii="Gill Sans MT" w:hAnsi="Gill Sans MT"/>
          <w:sz w:val="20"/>
          <w:szCs w:val="20"/>
        </w:rPr>
        <w:t xml:space="preserve">in </w:t>
      </w:r>
      <w:r w:rsidRPr="00B62036">
        <w:rPr>
          <w:rFonts w:ascii="Gill Sans MT" w:hAnsi="Gill Sans MT"/>
          <w:sz w:val="20"/>
          <w:szCs w:val="20"/>
        </w:rPr>
        <w:t>January 2017 and end</w:t>
      </w:r>
      <w:r w:rsidR="000A73F6" w:rsidRPr="00B62036">
        <w:rPr>
          <w:rFonts w:ascii="Gill Sans MT" w:hAnsi="Gill Sans MT"/>
          <w:sz w:val="20"/>
          <w:szCs w:val="20"/>
        </w:rPr>
        <w:t>ed</w:t>
      </w:r>
      <w:r w:rsidRPr="00B62036">
        <w:rPr>
          <w:rFonts w:ascii="Gill Sans MT" w:hAnsi="Gill Sans MT"/>
          <w:sz w:val="20"/>
          <w:szCs w:val="20"/>
        </w:rPr>
        <w:t xml:space="preserve"> in D</w:t>
      </w:r>
      <w:r w:rsidR="004439D1" w:rsidRPr="00B62036">
        <w:rPr>
          <w:rFonts w:ascii="Gill Sans MT" w:hAnsi="Gill Sans MT"/>
          <w:sz w:val="20"/>
          <w:szCs w:val="20"/>
        </w:rPr>
        <w:t>ecember 2018. The project set</w:t>
      </w:r>
      <w:r w:rsidRPr="00B62036">
        <w:rPr>
          <w:rFonts w:ascii="Gill Sans MT" w:hAnsi="Gill Sans MT"/>
          <w:sz w:val="20"/>
          <w:szCs w:val="20"/>
        </w:rPr>
        <w:t xml:space="preserve"> out to reach two </w:t>
      </w:r>
      <w:r w:rsidR="00A67DAC" w:rsidRPr="00B62036">
        <w:rPr>
          <w:rFonts w:ascii="Gill Sans MT" w:hAnsi="Gill Sans MT"/>
          <w:sz w:val="20"/>
          <w:szCs w:val="20"/>
        </w:rPr>
        <w:t xml:space="preserve">main </w:t>
      </w:r>
      <w:r w:rsidRPr="00B62036">
        <w:rPr>
          <w:rFonts w:ascii="Gill Sans MT" w:hAnsi="Gill Sans MT"/>
          <w:sz w:val="20"/>
          <w:szCs w:val="20"/>
        </w:rPr>
        <w:t xml:space="preserve">outcomes namely: </w:t>
      </w:r>
      <w:r w:rsidR="00A67DAC" w:rsidRPr="00B62036">
        <w:rPr>
          <w:rFonts w:ascii="Gill Sans MT" w:hAnsi="Gill Sans MT"/>
          <w:sz w:val="20"/>
          <w:szCs w:val="20"/>
        </w:rPr>
        <w:t>p</w:t>
      </w:r>
      <w:r w:rsidRPr="00B62036">
        <w:rPr>
          <w:rFonts w:ascii="Gill Sans MT" w:hAnsi="Gill Sans MT"/>
          <w:sz w:val="20"/>
          <w:szCs w:val="20"/>
        </w:rPr>
        <w:t>rospective Somalia returnees enhanced by improved capacities for economic revitalization, peace and community reconciliation and positive partici</w:t>
      </w:r>
      <w:r w:rsidR="00A67DAC" w:rsidRPr="00B62036">
        <w:rPr>
          <w:rFonts w:ascii="Gill Sans MT" w:hAnsi="Gill Sans MT"/>
          <w:sz w:val="20"/>
          <w:szCs w:val="20"/>
        </w:rPr>
        <w:t xml:space="preserve">pation in democratic governance; and </w:t>
      </w:r>
      <w:r w:rsidRPr="00B62036">
        <w:rPr>
          <w:rFonts w:ascii="Gill Sans MT" w:hAnsi="Gill Sans MT"/>
          <w:sz w:val="20"/>
          <w:szCs w:val="20"/>
        </w:rPr>
        <w:t>Somalia returnees in Baidoa peacefully co-existing with their host communities and contributing to local development.</w:t>
      </w:r>
      <w:r w:rsidR="00A67DAC" w:rsidRPr="00B62036">
        <w:rPr>
          <w:rFonts w:ascii="Gill Sans MT" w:hAnsi="Gill Sans MT"/>
          <w:sz w:val="20"/>
          <w:szCs w:val="20"/>
        </w:rPr>
        <w:t xml:space="preserve"> </w:t>
      </w:r>
    </w:p>
    <w:p w14:paraId="6898147B" w14:textId="73F8E6AE" w:rsidR="00531A4D" w:rsidRPr="00B62036" w:rsidRDefault="00A67DAC" w:rsidP="00230515">
      <w:pPr>
        <w:spacing w:afterLines="30" w:after="72" w:line="276" w:lineRule="auto"/>
        <w:jc w:val="both"/>
        <w:textAlignment w:val="baseline"/>
        <w:rPr>
          <w:rFonts w:ascii="Gill Sans MT" w:hAnsi="Gill Sans MT"/>
          <w:sz w:val="20"/>
          <w:szCs w:val="20"/>
        </w:rPr>
      </w:pPr>
      <w:r w:rsidRPr="00B62036">
        <w:rPr>
          <w:rFonts w:ascii="Gill Sans MT" w:hAnsi="Gill Sans MT"/>
          <w:sz w:val="20"/>
          <w:szCs w:val="20"/>
        </w:rPr>
        <w:t>Six</w:t>
      </w:r>
      <w:r w:rsidR="00531A4D" w:rsidRPr="00B62036">
        <w:rPr>
          <w:rFonts w:ascii="Gill Sans MT" w:hAnsi="Gill Sans MT"/>
          <w:sz w:val="20"/>
          <w:szCs w:val="20"/>
        </w:rPr>
        <w:t xml:space="preserve"> (6) </w:t>
      </w:r>
      <w:r w:rsidR="00B41523" w:rsidRPr="00B62036">
        <w:rPr>
          <w:rFonts w:ascii="Gill Sans MT" w:hAnsi="Gill Sans MT"/>
          <w:sz w:val="20"/>
          <w:szCs w:val="20"/>
        </w:rPr>
        <w:t>partners</w:t>
      </w:r>
      <w:r w:rsidR="00531A4D" w:rsidRPr="00B62036">
        <w:rPr>
          <w:rFonts w:ascii="Gill Sans MT" w:hAnsi="Gill Sans MT"/>
          <w:sz w:val="20"/>
          <w:szCs w:val="20"/>
        </w:rPr>
        <w:t xml:space="preserve"> U</w:t>
      </w:r>
      <w:r w:rsidRPr="00B62036">
        <w:rPr>
          <w:rFonts w:ascii="Gill Sans MT" w:hAnsi="Gill Sans MT"/>
          <w:sz w:val="20"/>
          <w:szCs w:val="20"/>
        </w:rPr>
        <w:t xml:space="preserve">nited </w:t>
      </w:r>
      <w:r w:rsidR="00531A4D" w:rsidRPr="00B62036">
        <w:rPr>
          <w:rFonts w:ascii="Gill Sans MT" w:hAnsi="Gill Sans MT"/>
          <w:sz w:val="20"/>
          <w:szCs w:val="20"/>
        </w:rPr>
        <w:t>N</w:t>
      </w:r>
      <w:r w:rsidRPr="00B62036">
        <w:rPr>
          <w:rFonts w:ascii="Gill Sans MT" w:hAnsi="Gill Sans MT"/>
          <w:sz w:val="20"/>
          <w:szCs w:val="20"/>
        </w:rPr>
        <w:t>ations</w:t>
      </w:r>
      <w:r w:rsidR="00531A4D" w:rsidRPr="00B62036">
        <w:rPr>
          <w:rFonts w:ascii="Gill Sans MT" w:hAnsi="Gill Sans MT"/>
          <w:sz w:val="20"/>
          <w:szCs w:val="20"/>
        </w:rPr>
        <w:t xml:space="preserve"> Organizations (PUNO), </w:t>
      </w:r>
      <w:r w:rsidRPr="00B62036">
        <w:rPr>
          <w:rFonts w:ascii="Gill Sans MT" w:hAnsi="Gill Sans MT"/>
          <w:sz w:val="20"/>
          <w:szCs w:val="20"/>
        </w:rPr>
        <w:t xml:space="preserve">including </w:t>
      </w:r>
      <w:r w:rsidR="00531A4D" w:rsidRPr="00B62036">
        <w:rPr>
          <w:rFonts w:ascii="Gill Sans MT" w:hAnsi="Gill Sans MT"/>
          <w:sz w:val="20"/>
          <w:szCs w:val="20"/>
        </w:rPr>
        <w:t>UNHCR (lead), U</w:t>
      </w:r>
      <w:r w:rsidRPr="00B62036">
        <w:rPr>
          <w:rFonts w:ascii="Gill Sans MT" w:hAnsi="Gill Sans MT"/>
          <w:sz w:val="20"/>
          <w:szCs w:val="20"/>
        </w:rPr>
        <w:t>NICEF, FAO, WFP, IOM and ILO were</w:t>
      </w:r>
      <w:r w:rsidR="00531A4D" w:rsidRPr="00B62036">
        <w:rPr>
          <w:rFonts w:ascii="Gill Sans MT" w:hAnsi="Gill Sans MT"/>
          <w:sz w:val="20"/>
          <w:szCs w:val="20"/>
        </w:rPr>
        <w:t xml:space="preserve"> engaged in Somalia while </w:t>
      </w:r>
      <w:r w:rsidRPr="00B62036">
        <w:rPr>
          <w:rFonts w:ascii="Gill Sans MT" w:hAnsi="Gill Sans MT"/>
          <w:sz w:val="20"/>
          <w:szCs w:val="20"/>
        </w:rPr>
        <w:t>in Kenya, UNHCR Kenya implemented</w:t>
      </w:r>
      <w:r w:rsidR="00531A4D" w:rsidRPr="00B62036">
        <w:rPr>
          <w:rFonts w:ascii="Gill Sans MT" w:hAnsi="Gill Sans MT"/>
          <w:sz w:val="20"/>
          <w:szCs w:val="20"/>
        </w:rPr>
        <w:t xml:space="preserve"> the project through implementing partners in Dadaab. The implementing partners are: Norwegian Refugee Council (NRC), Danish Refugee Council (DRC) and Government of Kenya, World Vision International (WVI), African Volunteers for Relief and Development (AVORD), Federal Government of Somalia-National Commission for Refugees and IDPs (NCRI), Ministry of Resettlement and Diaspora Affairs (MORDA) in South West State amongst others.</w:t>
      </w:r>
    </w:p>
    <w:p w14:paraId="332DD212" w14:textId="77777777" w:rsidR="004B0071" w:rsidRPr="00B62036" w:rsidRDefault="004B0071" w:rsidP="00230515">
      <w:pPr>
        <w:spacing w:afterLines="30" w:after="72" w:line="276" w:lineRule="auto"/>
        <w:jc w:val="both"/>
        <w:textAlignment w:val="baseline"/>
        <w:rPr>
          <w:rFonts w:ascii="Gill Sans MT" w:hAnsi="Gill Sans MT"/>
          <w:sz w:val="20"/>
          <w:szCs w:val="20"/>
        </w:rPr>
      </w:pPr>
    </w:p>
    <w:p w14:paraId="05B79B32" w14:textId="2EB6A84F" w:rsidR="008D3973" w:rsidRPr="00B62036" w:rsidRDefault="00531A4D" w:rsidP="00230515">
      <w:pPr>
        <w:spacing w:afterLines="30" w:after="72" w:line="276" w:lineRule="auto"/>
        <w:jc w:val="both"/>
        <w:rPr>
          <w:rFonts w:ascii="Gill Sans MT" w:hAnsi="Gill Sans MT"/>
          <w:sz w:val="20"/>
          <w:szCs w:val="20"/>
        </w:rPr>
      </w:pPr>
      <w:r w:rsidRPr="00B62036">
        <w:rPr>
          <w:rFonts w:ascii="Gill Sans MT" w:hAnsi="Gill Sans MT"/>
          <w:sz w:val="20"/>
          <w:szCs w:val="20"/>
        </w:rPr>
        <w:lastRenderedPageBreak/>
        <w:t xml:space="preserve">The pilot project </w:t>
      </w:r>
      <w:r w:rsidR="00A67DAC" w:rsidRPr="00B62036">
        <w:rPr>
          <w:rFonts w:ascii="Gill Sans MT" w:hAnsi="Gill Sans MT"/>
          <w:sz w:val="20"/>
          <w:szCs w:val="20"/>
        </w:rPr>
        <w:t>builds</w:t>
      </w:r>
      <w:r w:rsidRPr="00B62036">
        <w:rPr>
          <w:rFonts w:ascii="Gill Sans MT" w:hAnsi="Gill Sans MT"/>
          <w:sz w:val="20"/>
          <w:szCs w:val="20"/>
        </w:rPr>
        <w:t xml:space="preserve"> on the Tripartite Agreement between the Government of Kenya, the Federal Government of Somalia and </w:t>
      </w:r>
      <w:r w:rsidR="00A67DAC" w:rsidRPr="00B62036">
        <w:rPr>
          <w:rFonts w:ascii="Gill Sans MT" w:hAnsi="Gill Sans MT"/>
          <w:sz w:val="20"/>
          <w:szCs w:val="20"/>
        </w:rPr>
        <w:t xml:space="preserve">UNHCR that was signed in </w:t>
      </w:r>
      <w:r w:rsidRPr="00B62036">
        <w:rPr>
          <w:rFonts w:ascii="Gill Sans MT" w:hAnsi="Gill Sans MT"/>
          <w:sz w:val="20"/>
          <w:szCs w:val="20"/>
        </w:rPr>
        <w:t>November 2013 on the voluntary repatriation of Somali refugees living in Kenya</w:t>
      </w:r>
      <w:r w:rsidR="0090520C" w:rsidRPr="00B62036">
        <w:rPr>
          <w:rFonts w:ascii="Gill Sans MT" w:hAnsi="Gill Sans MT"/>
          <w:sz w:val="20"/>
          <w:szCs w:val="20"/>
        </w:rPr>
        <w:t>,</w:t>
      </w:r>
      <w:r w:rsidRPr="00B62036">
        <w:rPr>
          <w:rFonts w:ascii="Gill Sans MT" w:hAnsi="Gill Sans MT"/>
          <w:sz w:val="20"/>
          <w:szCs w:val="20"/>
        </w:rPr>
        <w:t xml:space="preserve"> and aims to enable a prospective group of Somali returnees in Dadaab, Kenya, to return specifically to Baidoa, Bay region of Somalia.  Through the proj</w:t>
      </w:r>
      <w:r w:rsidR="00A67DAC" w:rsidRPr="00B62036">
        <w:rPr>
          <w:rFonts w:ascii="Gill Sans MT" w:hAnsi="Gill Sans MT"/>
          <w:sz w:val="20"/>
          <w:szCs w:val="20"/>
        </w:rPr>
        <w:t xml:space="preserve">ect, volunteer returnees were supported to enable them </w:t>
      </w:r>
      <w:r w:rsidRPr="00B62036">
        <w:rPr>
          <w:rFonts w:ascii="Gill Sans MT" w:hAnsi="Gill Sans MT"/>
          <w:sz w:val="20"/>
          <w:szCs w:val="20"/>
        </w:rPr>
        <w:t>play a constructive and effective role in sustaining their return and reintegration, with good prospects for livelihoods and support measures to build resilience according to the principles of co-existence.  The project also builds on the lessons from the recent UNHCR pilo</w:t>
      </w:r>
      <w:r w:rsidR="00A67DAC" w:rsidRPr="00B62036">
        <w:rPr>
          <w:rFonts w:ascii="Gill Sans MT" w:hAnsi="Gill Sans MT"/>
          <w:sz w:val="20"/>
          <w:szCs w:val="20"/>
        </w:rPr>
        <w:t xml:space="preserve">t reintegration projects and was </w:t>
      </w:r>
      <w:r w:rsidRPr="00B62036">
        <w:rPr>
          <w:rFonts w:ascii="Gill Sans MT" w:hAnsi="Gill Sans MT"/>
          <w:sz w:val="20"/>
          <w:szCs w:val="20"/>
        </w:rPr>
        <w:t>also intended to leverage the Brussels A</w:t>
      </w:r>
      <w:r w:rsidR="00A67DAC" w:rsidRPr="00B62036">
        <w:rPr>
          <w:rFonts w:ascii="Gill Sans MT" w:hAnsi="Gill Sans MT"/>
          <w:sz w:val="20"/>
          <w:szCs w:val="20"/>
        </w:rPr>
        <w:t>ction Plan of October 2015.  The pilot project wa</w:t>
      </w:r>
      <w:r w:rsidRPr="00B62036">
        <w:rPr>
          <w:rFonts w:ascii="Gill Sans MT" w:hAnsi="Gill Sans MT"/>
          <w:sz w:val="20"/>
          <w:szCs w:val="20"/>
        </w:rPr>
        <w:t xml:space="preserve">s designed to support the Federal Government of Somalia’s strategic priorities for stabilization and delivery of direct peace dividends, including commitments </w:t>
      </w:r>
      <w:r w:rsidR="00A67DAC" w:rsidRPr="00B62036">
        <w:rPr>
          <w:rFonts w:ascii="Gill Sans MT" w:hAnsi="Gill Sans MT"/>
          <w:sz w:val="20"/>
          <w:szCs w:val="20"/>
        </w:rPr>
        <w:t xml:space="preserve">to reconciliation and investments </w:t>
      </w:r>
      <w:r w:rsidRPr="00B62036">
        <w:rPr>
          <w:rFonts w:ascii="Gill Sans MT" w:hAnsi="Gill Sans MT"/>
          <w:sz w:val="20"/>
          <w:szCs w:val="20"/>
        </w:rPr>
        <w:t>in job creation.</w:t>
      </w:r>
    </w:p>
    <w:p w14:paraId="6CB89E15" w14:textId="61AF4643" w:rsidR="00030058" w:rsidRPr="00B62036" w:rsidRDefault="00197F25" w:rsidP="003A6010">
      <w:pPr>
        <w:pStyle w:val="Heading2"/>
      </w:pPr>
      <w:bookmarkStart w:id="4" w:name="_Toc419359847"/>
      <w:r w:rsidRPr="00B62036">
        <w:t xml:space="preserve">Project’s </w:t>
      </w:r>
      <w:r w:rsidR="00AA0243" w:rsidRPr="00B62036">
        <w:t>Theory of Change M</w:t>
      </w:r>
      <w:r w:rsidR="00030058" w:rsidRPr="00B62036">
        <w:t>odel</w:t>
      </w:r>
      <w:bookmarkEnd w:id="4"/>
    </w:p>
    <w:p w14:paraId="35087504" w14:textId="3AEF92C2" w:rsidR="00AA0243" w:rsidRPr="00B62036" w:rsidRDefault="00B43E49" w:rsidP="00230515">
      <w:pPr>
        <w:spacing w:line="276" w:lineRule="auto"/>
        <w:jc w:val="both"/>
        <w:rPr>
          <w:rFonts w:ascii="Gill Sans MT" w:hAnsi="Gill Sans MT"/>
          <w:sz w:val="20"/>
          <w:szCs w:val="20"/>
        </w:rPr>
      </w:pPr>
      <w:r w:rsidRPr="00B62036">
        <w:rPr>
          <w:rFonts w:ascii="Gill Sans MT" w:hAnsi="Gill Sans MT"/>
          <w:sz w:val="20"/>
          <w:szCs w:val="20"/>
        </w:rPr>
        <w:t xml:space="preserve">The project key assumptions was </w:t>
      </w:r>
      <w:r w:rsidR="00FE7057" w:rsidRPr="00B62036">
        <w:rPr>
          <w:rFonts w:ascii="Gill Sans MT" w:hAnsi="Gill Sans MT"/>
          <w:sz w:val="20"/>
          <w:szCs w:val="20"/>
        </w:rPr>
        <w:t xml:space="preserve">to contribute to the overall outcome of enhanced capacity for </w:t>
      </w:r>
      <w:r w:rsidR="00B41523" w:rsidRPr="00B62036">
        <w:rPr>
          <w:rFonts w:ascii="Gill Sans MT" w:hAnsi="Gill Sans MT"/>
          <w:sz w:val="20"/>
          <w:szCs w:val="20"/>
        </w:rPr>
        <w:t>peace building</w:t>
      </w:r>
      <w:r w:rsidRPr="00B62036">
        <w:rPr>
          <w:rFonts w:ascii="Gill Sans MT" w:hAnsi="Gill Sans MT"/>
          <w:sz w:val="20"/>
          <w:szCs w:val="20"/>
        </w:rPr>
        <w:t>,</w:t>
      </w:r>
      <w:r w:rsidR="00FE7057" w:rsidRPr="00B62036">
        <w:rPr>
          <w:rFonts w:ascii="Gill Sans MT" w:hAnsi="Gill Sans MT"/>
          <w:sz w:val="20"/>
          <w:szCs w:val="20"/>
        </w:rPr>
        <w:t xml:space="preserve"> reduced vulnerabilities, enhanced capacities for conflict resolution and peace dividends </w:t>
      </w:r>
      <w:r w:rsidRPr="00B62036">
        <w:rPr>
          <w:rFonts w:ascii="Gill Sans MT" w:hAnsi="Gill Sans MT"/>
          <w:sz w:val="20"/>
          <w:szCs w:val="20"/>
        </w:rPr>
        <w:t>through improved</w:t>
      </w:r>
      <w:r w:rsidR="00FE7057" w:rsidRPr="00B62036">
        <w:rPr>
          <w:rFonts w:ascii="Gill Sans MT" w:hAnsi="Gill Sans MT"/>
          <w:sz w:val="20"/>
          <w:szCs w:val="20"/>
        </w:rPr>
        <w:t xml:space="preserve"> livelihoods</w:t>
      </w:r>
      <w:r w:rsidR="00112FDB" w:rsidRPr="00B62036">
        <w:rPr>
          <w:rFonts w:ascii="Gill Sans MT" w:hAnsi="Gill Sans MT"/>
          <w:sz w:val="20"/>
          <w:szCs w:val="20"/>
        </w:rPr>
        <w:t xml:space="preserve"> </w:t>
      </w:r>
      <w:r w:rsidR="00B41523" w:rsidRPr="00B62036">
        <w:rPr>
          <w:rFonts w:ascii="Gill Sans MT" w:hAnsi="Gill Sans MT"/>
          <w:sz w:val="20"/>
          <w:szCs w:val="20"/>
        </w:rPr>
        <w:t xml:space="preserve">and </w:t>
      </w:r>
      <w:r w:rsidR="00112FDB" w:rsidRPr="00B62036">
        <w:rPr>
          <w:rFonts w:ascii="Gill Sans MT" w:hAnsi="Gill Sans MT"/>
          <w:sz w:val="20"/>
          <w:szCs w:val="20"/>
        </w:rPr>
        <w:t>productive infrastructure and social services</w:t>
      </w:r>
      <w:r w:rsidRPr="00B62036">
        <w:rPr>
          <w:rFonts w:ascii="Gill Sans MT" w:hAnsi="Gill Sans MT"/>
          <w:sz w:val="20"/>
          <w:szCs w:val="20"/>
        </w:rPr>
        <w:t xml:space="preserve"> which would</w:t>
      </w:r>
      <w:r w:rsidR="00112FDB" w:rsidRPr="00B62036">
        <w:rPr>
          <w:rFonts w:ascii="Gill Sans MT" w:hAnsi="Gill Sans MT"/>
          <w:sz w:val="20"/>
          <w:szCs w:val="20"/>
        </w:rPr>
        <w:t xml:space="preserve"> </w:t>
      </w:r>
      <w:r w:rsidR="00FE7057" w:rsidRPr="00B62036">
        <w:rPr>
          <w:rFonts w:ascii="Gill Sans MT" w:hAnsi="Gill Sans MT"/>
          <w:sz w:val="20"/>
          <w:szCs w:val="20"/>
        </w:rPr>
        <w:t xml:space="preserve">lead to the peaceful coexistence or returnees and resident </w:t>
      </w:r>
      <w:r w:rsidR="00112FDB" w:rsidRPr="00B62036">
        <w:rPr>
          <w:rFonts w:ascii="Gill Sans MT" w:hAnsi="Gill Sans MT"/>
          <w:sz w:val="20"/>
          <w:szCs w:val="20"/>
        </w:rPr>
        <w:t>communities. It</w:t>
      </w:r>
      <w:r w:rsidRPr="00B62036">
        <w:rPr>
          <w:rFonts w:ascii="Gill Sans MT" w:hAnsi="Gill Sans MT"/>
          <w:sz w:val="20"/>
          <w:szCs w:val="20"/>
        </w:rPr>
        <w:t xml:space="preserve"> was</w:t>
      </w:r>
      <w:r w:rsidR="00FE7057" w:rsidRPr="00B62036">
        <w:rPr>
          <w:rFonts w:ascii="Gill Sans MT" w:hAnsi="Gill Sans MT"/>
          <w:sz w:val="20"/>
          <w:szCs w:val="20"/>
        </w:rPr>
        <w:t xml:space="preserve"> expected that </w:t>
      </w:r>
      <w:r w:rsidR="00230515" w:rsidRPr="00B62036">
        <w:rPr>
          <w:rFonts w:ascii="Gill Sans MT" w:hAnsi="Gill Sans MT"/>
          <w:sz w:val="20"/>
          <w:szCs w:val="20"/>
        </w:rPr>
        <w:t>resilient</w:t>
      </w:r>
      <w:r w:rsidR="00FE7057" w:rsidRPr="00B62036">
        <w:rPr>
          <w:rFonts w:ascii="Gill Sans MT" w:hAnsi="Gill Sans MT"/>
          <w:sz w:val="20"/>
          <w:szCs w:val="20"/>
        </w:rPr>
        <w:t xml:space="preserve"> </w:t>
      </w:r>
      <w:r w:rsidRPr="00B62036">
        <w:rPr>
          <w:rFonts w:ascii="Gill Sans MT" w:hAnsi="Gill Sans MT"/>
          <w:sz w:val="20"/>
          <w:szCs w:val="20"/>
        </w:rPr>
        <w:t xml:space="preserve">and </w:t>
      </w:r>
      <w:r w:rsidR="00FE7057" w:rsidRPr="00B62036">
        <w:rPr>
          <w:rFonts w:ascii="Gill Sans MT" w:hAnsi="Gill Sans MT"/>
          <w:sz w:val="20"/>
          <w:szCs w:val="20"/>
        </w:rPr>
        <w:t xml:space="preserve">cohesive communities </w:t>
      </w:r>
      <w:r w:rsidRPr="00B62036">
        <w:rPr>
          <w:rFonts w:ascii="Gill Sans MT" w:hAnsi="Gill Sans MT"/>
          <w:sz w:val="20"/>
          <w:szCs w:val="20"/>
        </w:rPr>
        <w:t>would</w:t>
      </w:r>
      <w:r w:rsidR="00FE7057" w:rsidRPr="00B62036">
        <w:rPr>
          <w:rFonts w:ascii="Gill Sans MT" w:hAnsi="Gill Sans MT"/>
          <w:sz w:val="20"/>
          <w:szCs w:val="20"/>
        </w:rPr>
        <w:t xml:space="preserve"> become key drivers of peace</w:t>
      </w:r>
      <w:r w:rsidRPr="00B62036">
        <w:rPr>
          <w:rFonts w:ascii="Gill Sans MT" w:hAnsi="Gill Sans MT"/>
          <w:sz w:val="20"/>
          <w:szCs w:val="20"/>
        </w:rPr>
        <w:t>,</w:t>
      </w:r>
      <w:r w:rsidR="00FE7057" w:rsidRPr="00B62036">
        <w:rPr>
          <w:rFonts w:ascii="Gill Sans MT" w:hAnsi="Gill Sans MT"/>
          <w:sz w:val="20"/>
          <w:szCs w:val="20"/>
        </w:rPr>
        <w:t xml:space="preserve"> together with a strengthen</w:t>
      </w:r>
      <w:r w:rsidR="00856215" w:rsidRPr="00B62036">
        <w:rPr>
          <w:rFonts w:ascii="Gill Sans MT" w:hAnsi="Gill Sans MT"/>
          <w:sz w:val="20"/>
          <w:szCs w:val="20"/>
        </w:rPr>
        <w:t>ed</w:t>
      </w:r>
      <w:r w:rsidR="00FE7057" w:rsidRPr="00B62036">
        <w:rPr>
          <w:rFonts w:ascii="Gill Sans MT" w:hAnsi="Gill Sans MT"/>
          <w:sz w:val="20"/>
          <w:szCs w:val="20"/>
        </w:rPr>
        <w:t xml:space="preserve"> civil society, including community </w:t>
      </w:r>
      <w:r w:rsidR="003A3D76" w:rsidRPr="00B62036">
        <w:rPr>
          <w:rFonts w:ascii="Gill Sans MT" w:hAnsi="Gill Sans MT"/>
          <w:sz w:val="20"/>
          <w:szCs w:val="20"/>
        </w:rPr>
        <w:t>organizations</w:t>
      </w:r>
      <w:r w:rsidR="00FE7057" w:rsidRPr="00B62036">
        <w:rPr>
          <w:rFonts w:ascii="Gill Sans MT" w:hAnsi="Gill Sans MT"/>
          <w:sz w:val="20"/>
          <w:szCs w:val="20"/>
        </w:rPr>
        <w:t xml:space="preserve">, contributing to manage </w:t>
      </w:r>
      <w:r w:rsidRPr="00B62036">
        <w:rPr>
          <w:rFonts w:ascii="Gill Sans MT" w:hAnsi="Gill Sans MT"/>
          <w:sz w:val="20"/>
          <w:szCs w:val="20"/>
        </w:rPr>
        <w:t xml:space="preserve">the </w:t>
      </w:r>
      <w:r w:rsidR="00FE7057" w:rsidRPr="00B62036">
        <w:rPr>
          <w:rFonts w:ascii="Gill Sans MT" w:hAnsi="Gill Sans MT"/>
          <w:sz w:val="20"/>
          <w:szCs w:val="20"/>
        </w:rPr>
        <w:t xml:space="preserve">root causes of conflict.  </w:t>
      </w:r>
      <w:r w:rsidRPr="00B62036">
        <w:rPr>
          <w:rFonts w:ascii="Gill Sans MT" w:hAnsi="Gill Sans MT"/>
          <w:sz w:val="20"/>
          <w:szCs w:val="20"/>
        </w:rPr>
        <w:t xml:space="preserve">The project envisaged that </w:t>
      </w:r>
      <w:r w:rsidR="00856215" w:rsidRPr="00B62036">
        <w:rPr>
          <w:rFonts w:ascii="Gill Sans MT" w:hAnsi="Gill Sans MT"/>
          <w:sz w:val="20"/>
          <w:szCs w:val="20"/>
        </w:rPr>
        <w:t xml:space="preserve">if the </w:t>
      </w:r>
      <w:r w:rsidRPr="00B62036">
        <w:rPr>
          <w:rFonts w:ascii="Gill Sans MT" w:hAnsi="Gill Sans MT"/>
          <w:sz w:val="20"/>
          <w:szCs w:val="20"/>
        </w:rPr>
        <w:t xml:space="preserve">capacity </w:t>
      </w:r>
      <w:r w:rsidR="00FE7057" w:rsidRPr="00B62036">
        <w:rPr>
          <w:rFonts w:ascii="Gill Sans MT" w:hAnsi="Gill Sans MT"/>
          <w:sz w:val="20"/>
          <w:szCs w:val="20"/>
        </w:rPr>
        <w:t>of refugee returnees to engage constructively in rebuilding Somalia and their resilience</w:t>
      </w:r>
      <w:r w:rsidR="00856215" w:rsidRPr="00B62036">
        <w:rPr>
          <w:rFonts w:ascii="Gill Sans MT" w:hAnsi="Gill Sans MT"/>
          <w:sz w:val="20"/>
          <w:szCs w:val="20"/>
        </w:rPr>
        <w:t xml:space="preserve"> is enhanced with the condition that the resident communities have the capacity to a</w:t>
      </w:r>
      <w:r w:rsidRPr="00B62036">
        <w:rPr>
          <w:rFonts w:ascii="Gill Sans MT" w:hAnsi="Gill Sans MT"/>
          <w:sz w:val="20"/>
          <w:szCs w:val="20"/>
        </w:rPr>
        <w:t>bsorb the spontaneous returnees; there</w:t>
      </w:r>
      <w:r w:rsidR="0090520C" w:rsidRPr="00B62036">
        <w:rPr>
          <w:rFonts w:ascii="Gill Sans MT" w:hAnsi="Gill Sans MT"/>
          <w:sz w:val="20"/>
          <w:szCs w:val="20"/>
        </w:rPr>
        <w:t xml:space="preserve"> is l</w:t>
      </w:r>
      <w:r w:rsidR="00856215" w:rsidRPr="00B62036">
        <w:rPr>
          <w:rFonts w:ascii="Gill Sans MT" w:hAnsi="Gill Sans MT"/>
          <w:sz w:val="20"/>
          <w:szCs w:val="20"/>
        </w:rPr>
        <w:t>ikelihood that</w:t>
      </w:r>
      <w:r w:rsidRPr="00B62036">
        <w:rPr>
          <w:rFonts w:ascii="Gill Sans MT" w:hAnsi="Gill Sans MT"/>
          <w:sz w:val="20"/>
          <w:szCs w:val="20"/>
        </w:rPr>
        <w:t xml:space="preserve"> this would </w:t>
      </w:r>
      <w:r w:rsidR="00856215" w:rsidRPr="00B62036">
        <w:rPr>
          <w:rFonts w:ascii="Gill Sans MT" w:hAnsi="Gill Sans MT"/>
          <w:sz w:val="20"/>
          <w:szCs w:val="20"/>
        </w:rPr>
        <w:t xml:space="preserve">build peace dividends in form </w:t>
      </w:r>
      <w:r w:rsidRPr="00B62036">
        <w:rPr>
          <w:rFonts w:ascii="Gill Sans MT" w:hAnsi="Gill Sans MT"/>
          <w:sz w:val="20"/>
          <w:szCs w:val="20"/>
        </w:rPr>
        <w:t xml:space="preserve">of </w:t>
      </w:r>
      <w:r w:rsidR="00856215" w:rsidRPr="00B62036">
        <w:rPr>
          <w:rFonts w:ascii="Gill Sans MT" w:hAnsi="Gill Sans MT"/>
          <w:sz w:val="20"/>
          <w:szCs w:val="20"/>
        </w:rPr>
        <w:t>strengthened livelihood</w:t>
      </w:r>
      <w:r w:rsidR="0090520C" w:rsidRPr="00B62036">
        <w:rPr>
          <w:rFonts w:ascii="Gill Sans MT" w:hAnsi="Gill Sans MT"/>
          <w:sz w:val="20"/>
          <w:szCs w:val="20"/>
        </w:rPr>
        <w:t>s</w:t>
      </w:r>
      <w:r w:rsidR="00856215" w:rsidRPr="00B62036">
        <w:rPr>
          <w:rFonts w:ascii="Gill Sans MT" w:hAnsi="Gill Sans MT"/>
          <w:sz w:val="20"/>
          <w:szCs w:val="20"/>
        </w:rPr>
        <w:t xml:space="preserve"> and enhance</w:t>
      </w:r>
      <w:r w:rsidRPr="00B62036">
        <w:rPr>
          <w:rFonts w:ascii="Gill Sans MT" w:hAnsi="Gill Sans MT"/>
          <w:sz w:val="20"/>
          <w:szCs w:val="20"/>
        </w:rPr>
        <w:t>d</w:t>
      </w:r>
      <w:r w:rsidR="00856215" w:rsidRPr="00B62036">
        <w:rPr>
          <w:rFonts w:ascii="Gill Sans MT" w:hAnsi="Gill Sans MT"/>
          <w:sz w:val="20"/>
          <w:szCs w:val="20"/>
        </w:rPr>
        <w:t xml:space="preserve"> governance. </w:t>
      </w:r>
      <w:r w:rsidR="009F410D" w:rsidRPr="00B62036">
        <w:rPr>
          <w:rFonts w:ascii="Gill Sans MT" w:hAnsi="Gill Sans MT"/>
          <w:sz w:val="20"/>
          <w:szCs w:val="20"/>
        </w:rPr>
        <w:t xml:space="preserve">Below is a table </w:t>
      </w:r>
      <w:r w:rsidR="0090520C" w:rsidRPr="00B62036">
        <w:rPr>
          <w:rFonts w:ascii="Gill Sans MT" w:hAnsi="Gill Sans MT"/>
          <w:sz w:val="20"/>
          <w:szCs w:val="20"/>
        </w:rPr>
        <w:t>illustrating</w:t>
      </w:r>
      <w:r w:rsidR="009F410D" w:rsidRPr="00B62036">
        <w:rPr>
          <w:rFonts w:ascii="Gill Sans MT" w:hAnsi="Gill Sans MT"/>
          <w:sz w:val="20"/>
          <w:szCs w:val="20"/>
        </w:rPr>
        <w:t xml:space="preserve"> the </w:t>
      </w:r>
      <w:r w:rsidR="0090520C" w:rsidRPr="00B62036">
        <w:rPr>
          <w:rFonts w:ascii="Gill Sans MT" w:hAnsi="Gill Sans MT"/>
          <w:sz w:val="20"/>
          <w:szCs w:val="20"/>
        </w:rPr>
        <w:t xml:space="preserve">project’s </w:t>
      </w:r>
      <w:r w:rsidR="009F410D" w:rsidRPr="00B62036">
        <w:rPr>
          <w:rFonts w:ascii="Gill Sans MT" w:hAnsi="Gill Sans MT"/>
          <w:sz w:val="20"/>
          <w:szCs w:val="20"/>
        </w:rPr>
        <w:t xml:space="preserve">Theory of Change </w:t>
      </w:r>
      <w:r w:rsidR="00230515">
        <w:rPr>
          <w:rFonts w:ascii="Gill Sans MT" w:hAnsi="Gill Sans MT"/>
          <w:sz w:val="20"/>
          <w:szCs w:val="20"/>
        </w:rPr>
        <w:t>Model.</w:t>
      </w:r>
    </w:p>
    <w:p w14:paraId="207DF438" w14:textId="77777777" w:rsidR="00AA0243" w:rsidRPr="00B62036" w:rsidRDefault="00AA0243" w:rsidP="00230515">
      <w:pPr>
        <w:jc w:val="both"/>
        <w:rPr>
          <w:rFonts w:ascii="Gill Sans MT" w:hAnsi="Gill Sans MT"/>
          <w:sz w:val="20"/>
          <w:szCs w:val="20"/>
        </w:rPr>
      </w:pPr>
    </w:p>
    <w:p w14:paraId="1B0ED30D" w14:textId="53A139B9" w:rsidR="00856215" w:rsidRPr="00935322" w:rsidRDefault="00935322" w:rsidP="00935322">
      <w:pPr>
        <w:pStyle w:val="Caption"/>
        <w:rPr>
          <w:rFonts w:ascii="Gill Sans MT" w:hAnsi="Gill Sans MT"/>
          <w:sz w:val="20"/>
          <w:szCs w:val="20"/>
        </w:rPr>
      </w:pPr>
      <w:r w:rsidRPr="00935322">
        <w:rPr>
          <w:rFonts w:ascii="Gill Sans MT" w:hAnsi="Gill Sans MT"/>
          <w:sz w:val="20"/>
          <w:szCs w:val="20"/>
        </w:rPr>
        <w:t xml:space="preserve">Table </w:t>
      </w:r>
      <w:r w:rsidRPr="00935322">
        <w:rPr>
          <w:rFonts w:ascii="Gill Sans MT" w:hAnsi="Gill Sans MT"/>
          <w:sz w:val="20"/>
          <w:szCs w:val="20"/>
        </w:rPr>
        <w:fldChar w:fldCharType="begin"/>
      </w:r>
      <w:r w:rsidRPr="00935322">
        <w:rPr>
          <w:rFonts w:ascii="Gill Sans MT" w:hAnsi="Gill Sans MT"/>
          <w:sz w:val="20"/>
          <w:szCs w:val="20"/>
        </w:rPr>
        <w:instrText xml:space="preserve"> SEQ Table \* ARABIC </w:instrText>
      </w:r>
      <w:r w:rsidRPr="00935322">
        <w:rPr>
          <w:rFonts w:ascii="Gill Sans MT" w:hAnsi="Gill Sans MT"/>
          <w:sz w:val="20"/>
          <w:szCs w:val="20"/>
        </w:rPr>
        <w:fldChar w:fldCharType="separate"/>
      </w:r>
      <w:r w:rsidR="00A52509">
        <w:rPr>
          <w:rFonts w:ascii="Gill Sans MT" w:hAnsi="Gill Sans MT"/>
          <w:noProof/>
          <w:sz w:val="20"/>
          <w:szCs w:val="20"/>
        </w:rPr>
        <w:t>1</w:t>
      </w:r>
      <w:r w:rsidRPr="00935322">
        <w:rPr>
          <w:rFonts w:ascii="Gill Sans MT" w:hAnsi="Gill Sans MT"/>
          <w:sz w:val="20"/>
          <w:szCs w:val="20"/>
        </w:rPr>
        <w:fldChar w:fldCharType="end"/>
      </w:r>
      <w:r w:rsidRPr="00935322">
        <w:rPr>
          <w:rFonts w:ascii="Gill Sans MT" w:hAnsi="Gill Sans MT"/>
          <w:sz w:val="20"/>
          <w:szCs w:val="20"/>
        </w:rPr>
        <w:t xml:space="preserve"> </w:t>
      </w:r>
      <w:r w:rsidR="00AA0243" w:rsidRPr="00935322">
        <w:rPr>
          <w:rFonts w:ascii="Gill Sans MT" w:hAnsi="Gill Sans MT"/>
          <w:sz w:val="20"/>
          <w:szCs w:val="20"/>
        </w:rPr>
        <w:t>Theory of Change Model</w:t>
      </w:r>
    </w:p>
    <w:tbl>
      <w:tblPr>
        <w:tblStyle w:val="TableGrid"/>
        <w:tblW w:w="5000" w:type="pct"/>
        <w:tblLook w:val="04A0" w:firstRow="1" w:lastRow="0" w:firstColumn="1" w:lastColumn="0" w:noHBand="0" w:noVBand="1"/>
      </w:tblPr>
      <w:tblGrid>
        <w:gridCol w:w="1908"/>
        <w:gridCol w:w="2160"/>
        <w:gridCol w:w="5508"/>
      </w:tblGrid>
      <w:tr w:rsidR="00030058" w:rsidRPr="00B62036" w14:paraId="3EF1EF88" w14:textId="77777777" w:rsidTr="00856215">
        <w:tc>
          <w:tcPr>
            <w:tcW w:w="996" w:type="pct"/>
            <w:shd w:val="clear" w:color="auto" w:fill="D9D9D9" w:themeFill="background1" w:themeFillShade="D9"/>
          </w:tcPr>
          <w:p w14:paraId="22C350DF" w14:textId="77777777" w:rsidR="00030058" w:rsidRPr="00B62036" w:rsidRDefault="00030058" w:rsidP="00230515">
            <w:pPr>
              <w:pStyle w:val="ListParagraph"/>
              <w:ind w:left="0"/>
              <w:jc w:val="both"/>
              <w:rPr>
                <w:rFonts w:ascii="Gill Sans MT" w:hAnsi="Gill Sans MT"/>
                <w:b/>
                <w:sz w:val="20"/>
                <w:szCs w:val="20"/>
              </w:rPr>
            </w:pPr>
            <w:r w:rsidRPr="00B62036">
              <w:rPr>
                <w:rFonts w:ascii="Gill Sans MT" w:hAnsi="Gill Sans MT"/>
                <w:b/>
                <w:sz w:val="20"/>
                <w:szCs w:val="20"/>
              </w:rPr>
              <w:t xml:space="preserve">Hypothesis </w:t>
            </w:r>
          </w:p>
        </w:tc>
        <w:tc>
          <w:tcPr>
            <w:tcW w:w="1128" w:type="pct"/>
            <w:shd w:val="clear" w:color="auto" w:fill="D9D9D9" w:themeFill="background1" w:themeFillShade="D9"/>
          </w:tcPr>
          <w:p w14:paraId="3A0248DD" w14:textId="77777777" w:rsidR="00030058" w:rsidRPr="00B62036" w:rsidRDefault="00030058" w:rsidP="00230515">
            <w:pPr>
              <w:pStyle w:val="ListParagraph"/>
              <w:ind w:left="0"/>
              <w:jc w:val="both"/>
              <w:rPr>
                <w:rFonts w:ascii="Gill Sans MT" w:hAnsi="Gill Sans MT"/>
                <w:b/>
                <w:sz w:val="20"/>
                <w:szCs w:val="20"/>
              </w:rPr>
            </w:pPr>
            <w:r w:rsidRPr="00B62036">
              <w:rPr>
                <w:rFonts w:ascii="Gill Sans MT" w:hAnsi="Gill Sans MT"/>
                <w:b/>
                <w:sz w:val="20"/>
                <w:szCs w:val="20"/>
              </w:rPr>
              <w:t xml:space="preserve">Condition </w:t>
            </w:r>
          </w:p>
        </w:tc>
        <w:tc>
          <w:tcPr>
            <w:tcW w:w="2876" w:type="pct"/>
            <w:shd w:val="clear" w:color="auto" w:fill="D9D9D9" w:themeFill="background1" w:themeFillShade="D9"/>
          </w:tcPr>
          <w:p w14:paraId="04B21590" w14:textId="77777777" w:rsidR="00030058" w:rsidRPr="00B62036" w:rsidRDefault="00030058" w:rsidP="00230515">
            <w:pPr>
              <w:pStyle w:val="ListParagraph"/>
              <w:ind w:left="0"/>
              <w:jc w:val="both"/>
              <w:rPr>
                <w:rFonts w:ascii="Gill Sans MT" w:hAnsi="Gill Sans MT"/>
                <w:b/>
                <w:sz w:val="20"/>
                <w:szCs w:val="20"/>
              </w:rPr>
            </w:pPr>
            <w:r w:rsidRPr="00B62036">
              <w:rPr>
                <w:rFonts w:ascii="Gill Sans MT" w:hAnsi="Gill Sans MT"/>
                <w:b/>
                <w:sz w:val="20"/>
                <w:szCs w:val="20"/>
              </w:rPr>
              <w:t xml:space="preserve">Hypothetical Outcomes </w:t>
            </w:r>
          </w:p>
        </w:tc>
      </w:tr>
      <w:tr w:rsidR="00030058" w:rsidRPr="00B62036" w14:paraId="0CD471E0" w14:textId="77777777" w:rsidTr="00856215">
        <w:tc>
          <w:tcPr>
            <w:tcW w:w="996" w:type="pct"/>
          </w:tcPr>
          <w:p w14:paraId="627F136A" w14:textId="36D54BA3" w:rsidR="00030058" w:rsidRPr="00B62036" w:rsidRDefault="0090520C" w:rsidP="00230515">
            <w:pPr>
              <w:pStyle w:val="ListParagraph"/>
              <w:ind w:left="0"/>
              <w:jc w:val="both"/>
              <w:rPr>
                <w:rFonts w:ascii="Gill Sans MT" w:hAnsi="Gill Sans MT"/>
                <w:sz w:val="20"/>
                <w:szCs w:val="20"/>
              </w:rPr>
            </w:pPr>
            <w:r w:rsidRPr="00B62036">
              <w:rPr>
                <w:rFonts w:ascii="Gill Sans MT" w:hAnsi="Gill Sans MT"/>
                <w:sz w:val="20"/>
                <w:szCs w:val="20"/>
              </w:rPr>
              <w:t>Capacity</w:t>
            </w:r>
            <w:r w:rsidR="00030058" w:rsidRPr="00B62036">
              <w:rPr>
                <w:rFonts w:ascii="Gill Sans MT" w:hAnsi="Gill Sans MT"/>
                <w:sz w:val="20"/>
                <w:szCs w:val="20"/>
              </w:rPr>
              <w:t xml:space="preserve"> of refugee returnees to engage constructively in rebuilding Somalia and their resilience</w:t>
            </w:r>
            <w:r w:rsidRPr="00B62036">
              <w:rPr>
                <w:rFonts w:ascii="Gill Sans MT" w:hAnsi="Gill Sans MT"/>
                <w:sz w:val="20"/>
                <w:szCs w:val="20"/>
              </w:rPr>
              <w:t>.</w:t>
            </w:r>
            <w:r w:rsidR="00030058" w:rsidRPr="00B62036">
              <w:rPr>
                <w:rFonts w:ascii="Gill Sans MT" w:hAnsi="Gill Sans MT"/>
                <w:sz w:val="20"/>
                <w:szCs w:val="20"/>
              </w:rPr>
              <w:t xml:space="preserve"> </w:t>
            </w:r>
          </w:p>
        </w:tc>
        <w:tc>
          <w:tcPr>
            <w:tcW w:w="1128" w:type="pct"/>
          </w:tcPr>
          <w:p w14:paraId="4018AFA3" w14:textId="030A225F" w:rsidR="00030058" w:rsidRPr="00B62036" w:rsidRDefault="00030058" w:rsidP="00230515">
            <w:pPr>
              <w:pStyle w:val="ListParagraph"/>
              <w:ind w:left="0"/>
              <w:jc w:val="both"/>
              <w:rPr>
                <w:rFonts w:ascii="Gill Sans MT" w:hAnsi="Gill Sans MT"/>
                <w:sz w:val="20"/>
                <w:szCs w:val="20"/>
              </w:rPr>
            </w:pPr>
            <w:r w:rsidRPr="00B62036">
              <w:rPr>
                <w:rFonts w:ascii="Gill Sans MT" w:hAnsi="Gill Sans MT"/>
                <w:sz w:val="20"/>
                <w:szCs w:val="20"/>
              </w:rPr>
              <w:t>The capacity of the resident communities</w:t>
            </w:r>
            <w:r w:rsidR="00112FDB" w:rsidRPr="00B62036">
              <w:rPr>
                <w:rFonts w:ascii="Gill Sans MT" w:hAnsi="Gill Sans MT"/>
                <w:sz w:val="20"/>
                <w:szCs w:val="20"/>
              </w:rPr>
              <w:t xml:space="preserve"> with their available infrastructure and services</w:t>
            </w:r>
            <w:r w:rsidRPr="00B62036">
              <w:rPr>
                <w:rFonts w:ascii="Gill Sans MT" w:hAnsi="Gill Sans MT"/>
                <w:sz w:val="20"/>
                <w:szCs w:val="20"/>
              </w:rPr>
              <w:t xml:space="preserve"> to </w:t>
            </w:r>
            <w:r w:rsidR="0090520C" w:rsidRPr="00B62036">
              <w:rPr>
                <w:rFonts w:ascii="Gill Sans MT" w:hAnsi="Gill Sans MT"/>
                <w:sz w:val="20"/>
                <w:szCs w:val="20"/>
              </w:rPr>
              <w:t>absorb the</w:t>
            </w:r>
            <w:r w:rsidRPr="00B62036">
              <w:rPr>
                <w:rFonts w:ascii="Gill Sans MT" w:hAnsi="Gill Sans MT"/>
                <w:sz w:val="20"/>
                <w:szCs w:val="20"/>
              </w:rPr>
              <w:t xml:space="preserve"> spontaneous </w:t>
            </w:r>
            <w:r w:rsidR="0090520C" w:rsidRPr="00B62036">
              <w:rPr>
                <w:rFonts w:ascii="Gill Sans MT" w:hAnsi="Gill Sans MT"/>
                <w:sz w:val="20"/>
                <w:szCs w:val="20"/>
              </w:rPr>
              <w:t>returnees will</w:t>
            </w:r>
            <w:r w:rsidRPr="00B62036">
              <w:rPr>
                <w:rFonts w:ascii="Gill Sans MT" w:hAnsi="Gill Sans MT"/>
                <w:sz w:val="20"/>
                <w:szCs w:val="20"/>
              </w:rPr>
              <w:t xml:space="preserve"> have dual outcome</w:t>
            </w:r>
            <w:r w:rsidR="0090520C" w:rsidRPr="00B62036">
              <w:rPr>
                <w:rFonts w:ascii="Gill Sans MT" w:hAnsi="Gill Sans MT"/>
                <w:sz w:val="20"/>
                <w:szCs w:val="20"/>
              </w:rPr>
              <w:t>.</w:t>
            </w:r>
          </w:p>
        </w:tc>
        <w:tc>
          <w:tcPr>
            <w:tcW w:w="2876" w:type="pct"/>
          </w:tcPr>
          <w:p w14:paraId="0E16C9CC" w14:textId="2F203E7E" w:rsidR="00030058" w:rsidRPr="00B62036" w:rsidRDefault="00030058" w:rsidP="00230515">
            <w:pPr>
              <w:pStyle w:val="ListParagraph"/>
              <w:numPr>
                <w:ilvl w:val="0"/>
                <w:numId w:val="2"/>
              </w:numPr>
              <w:contextualSpacing/>
              <w:jc w:val="both"/>
              <w:rPr>
                <w:rFonts w:ascii="Gill Sans MT" w:hAnsi="Gill Sans MT"/>
                <w:sz w:val="20"/>
                <w:szCs w:val="20"/>
              </w:rPr>
            </w:pPr>
            <w:r w:rsidRPr="00B62036">
              <w:rPr>
                <w:rFonts w:ascii="Gill Sans MT" w:hAnsi="Gill Sans MT"/>
                <w:sz w:val="20"/>
                <w:szCs w:val="20"/>
              </w:rPr>
              <w:t>Likelihood that the return movement may escalates tension with the potential for undermining the fragile peace</w:t>
            </w:r>
            <w:r w:rsidR="0090520C" w:rsidRPr="00B62036">
              <w:rPr>
                <w:rFonts w:ascii="Gill Sans MT" w:hAnsi="Gill Sans MT"/>
                <w:sz w:val="20"/>
                <w:szCs w:val="20"/>
              </w:rPr>
              <w:t>.</w:t>
            </w:r>
          </w:p>
          <w:p w14:paraId="1B4858D3" w14:textId="77777777" w:rsidR="00030058" w:rsidRPr="00B62036" w:rsidRDefault="00030058" w:rsidP="00230515">
            <w:pPr>
              <w:jc w:val="both"/>
              <w:rPr>
                <w:rFonts w:ascii="Gill Sans MT" w:hAnsi="Gill Sans MT"/>
                <w:sz w:val="20"/>
                <w:szCs w:val="20"/>
              </w:rPr>
            </w:pPr>
            <w:r w:rsidRPr="00B62036">
              <w:rPr>
                <w:rFonts w:ascii="Gill Sans MT" w:hAnsi="Gill Sans MT"/>
                <w:sz w:val="20"/>
                <w:szCs w:val="20"/>
              </w:rPr>
              <w:t xml:space="preserve"> Or </w:t>
            </w:r>
          </w:p>
          <w:p w14:paraId="41845598" w14:textId="41C49F4E" w:rsidR="00030058" w:rsidRPr="00B62036" w:rsidRDefault="00030058" w:rsidP="00230515">
            <w:pPr>
              <w:pStyle w:val="ListParagraph"/>
              <w:numPr>
                <w:ilvl w:val="0"/>
                <w:numId w:val="2"/>
              </w:numPr>
              <w:contextualSpacing/>
              <w:jc w:val="both"/>
              <w:rPr>
                <w:rFonts w:ascii="Gill Sans MT" w:hAnsi="Gill Sans MT"/>
                <w:sz w:val="20"/>
                <w:szCs w:val="20"/>
              </w:rPr>
            </w:pPr>
            <w:r w:rsidRPr="00B62036">
              <w:rPr>
                <w:rFonts w:ascii="Gill Sans MT" w:hAnsi="Gill Sans MT"/>
                <w:sz w:val="20"/>
                <w:szCs w:val="20"/>
              </w:rPr>
              <w:t>Enhance the capacity of the returnee and residents communities to build peace dividends in form strengthened livelihood</w:t>
            </w:r>
            <w:r w:rsidR="00112FDB" w:rsidRPr="00B62036">
              <w:rPr>
                <w:rFonts w:ascii="Gill Sans MT" w:hAnsi="Gill Sans MT"/>
                <w:sz w:val="20"/>
                <w:szCs w:val="20"/>
              </w:rPr>
              <w:t xml:space="preserve"> and basic services (schools, healthcare, roads, markets, etc.)</w:t>
            </w:r>
            <w:r w:rsidRPr="00B62036">
              <w:rPr>
                <w:rFonts w:ascii="Gill Sans MT" w:hAnsi="Gill Sans MT"/>
                <w:sz w:val="20"/>
                <w:szCs w:val="20"/>
              </w:rPr>
              <w:t xml:space="preserve"> and enhance</w:t>
            </w:r>
            <w:r w:rsidR="0090520C" w:rsidRPr="00B62036">
              <w:rPr>
                <w:rFonts w:ascii="Gill Sans MT" w:hAnsi="Gill Sans MT"/>
                <w:sz w:val="20"/>
                <w:szCs w:val="20"/>
              </w:rPr>
              <w:t>d</w:t>
            </w:r>
            <w:r w:rsidRPr="00B62036">
              <w:rPr>
                <w:rFonts w:ascii="Gill Sans MT" w:hAnsi="Gill Sans MT"/>
                <w:sz w:val="20"/>
                <w:szCs w:val="20"/>
              </w:rPr>
              <w:t xml:space="preserve"> governance</w:t>
            </w:r>
            <w:r w:rsidR="0090520C" w:rsidRPr="00B62036">
              <w:rPr>
                <w:rFonts w:ascii="Gill Sans MT" w:hAnsi="Gill Sans MT"/>
                <w:sz w:val="20"/>
                <w:szCs w:val="20"/>
              </w:rPr>
              <w:t>.</w:t>
            </w:r>
            <w:r w:rsidRPr="00B62036">
              <w:rPr>
                <w:rFonts w:ascii="Gill Sans MT" w:hAnsi="Gill Sans MT"/>
                <w:sz w:val="20"/>
                <w:szCs w:val="20"/>
              </w:rPr>
              <w:t xml:space="preserve"> </w:t>
            </w:r>
          </w:p>
        </w:tc>
      </w:tr>
    </w:tbl>
    <w:p w14:paraId="07FEB52F" w14:textId="4CF2677D" w:rsidR="008D3973" w:rsidRPr="00B62036" w:rsidRDefault="008D3973" w:rsidP="003A6010">
      <w:pPr>
        <w:pStyle w:val="Heading2"/>
      </w:pPr>
      <w:bookmarkStart w:id="5" w:name="_Toc419359848"/>
      <w:r w:rsidRPr="00B62036">
        <w:t>Assessment of Conflict Drivers</w:t>
      </w:r>
      <w:bookmarkEnd w:id="5"/>
    </w:p>
    <w:p w14:paraId="76AA37B8" w14:textId="10B03747" w:rsidR="00B13912" w:rsidRPr="00B62036" w:rsidRDefault="0090520C" w:rsidP="00230515">
      <w:pPr>
        <w:spacing w:after="200" w:line="276" w:lineRule="auto"/>
        <w:contextualSpacing/>
        <w:jc w:val="both"/>
        <w:rPr>
          <w:rFonts w:ascii="Gill Sans MT" w:hAnsi="Gill Sans MT"/>
          <w:sz w:val="20"/>
          <w:szCs w:val="20"/>
        </w:rPr>
      </w:pPr>
      <w:r w:rsidRPr="00B62036">
        <w:rPr>
          <w:rFonts w:ascii="Gill Sans MT" w:hAnsi="Gill Sans MT"/>
          <w:sz w:val="20"/>
          <w:szCs w:val="20"/>
        </w:rPr>
        <w:t>South West S</w:t>
      </w:r>
      <w:r w:rsidR="00B13912" w:rsidRPr="00B62036">
        <w:rPr>
          <w:rFonts w:ascii="Gill Sans MT" w:hAnsi="Gill Sans MT"/>
          <w:sz w:val="20"/>
          <w:szCs w:val="20"/>
        </w:rPr>
        <w:t xml:space="preserve">tate is one of the federal member states in Somalia. The state is predominantly home to the Digil and Mirifle clan but with presence of other clans. Baidoa is the de facto regional capital and seat of the state. The city holds contrasting memories for local residents. For some, they reminisce the beautiful city that was fondly referred to </w:t>
      </w:r>
      <w:r w:rsidRPr="00B62036">
        <w:rPr>
          <w:rFonts w:ascii="Gill Sans MT" w:hAnsi="Gill Sans MT"/>
          <w:sz w:val="20"/>
          <w:szCs w:val="20"/>
        </w:rPr>
        <w:t xml:space="preserve">as </w:t>
      </w:r>
      <w:r w:rsidR="005D458E" w:rsidRPr="00B62036">
        <w:rPr>
          <w:rFonts w:ascii="Gill Sans MT" w:hAnsi="Gill Sans MT"/>
          <w:sz w:val="20"/>
          <w:szCs w:val="20"/>
        </w:rPr>
        <w:t>Baidoa</w:t>
      </w:r>
      <w:r w:rsidR="00B13912" w:rsidRPr="00B62036">
        <w:rPr>
          <w:rFonts w:ascii="Gill Sans MT" w:hAnsi="Gill Sans MT"/>
          <w:sz w:val="20"/>
          <w:szCs w:val="20"/>
        </w:rPr>
        <w:t xml:space="preserve"> Janay (the paradise city) because of the plenty of food, peace and stability, but to others, Baidoa holds bitter memories because of the atrocities and human rights violations that were committed by militias mainly from Darood and Hawi</w:t>
      </w:r>
      <w:r w:rsidR="00E46608" w:rsidRPr="00B62036">
        <w:rPr>
          <w:rFonts w:ascii="Gill Sans MT" w:hAnsi="Gill Sans MT"/>
          <w:sz w:val="20"/>
          <w:szCs w:val="20"/>
        </w:rPr>
        <w:t>ye clans following the collapse</w:t>
      </w:r>
      <w:r w:rsidR="00B13912" w:rsidRPr="00B62036">
        <w:rPr>
          <w:rFonts w:ascii="Gill Sans MT" w:hAnsi="Gill Sans MT"/>
          <w:sz w:val="20"/>
          <w:szCs w:val="20"/>
        </w:rPr>
        <w:t xml:space="preserve"> of the state. International media described Baidoa as the city of death due to starvation and mass killings of mainly children and women during this period. </w:t>
      </w:r>
    </w:p>
    <w:p w14:paraId="33DF8E47" w14:textId="77777777" w:rsidR="00234AF0" w:rsidRPr="00B62036" w:rsidRDefault="00234AF0" w:rsidP="00230515">
      <w:pPr>
        <w:spacing w:after="200" w:line="276" w:lineRule="auto"/>
        <w:contextualSpacing/>
        <w:jc w:val="both"/>
        <w:rPr>
          <w:rFonts w:ascii="Gill Sans MT" w:hAnsi="Gill Sans MT"/>
          <w:sz w:val="20"/>
          <w:szCs w:val="20"/>
        </w:rPr>
      </w:pPr>
    </w:p>
    <w:p w14:paraId="41C40CA3" w14:textId="77777777" w:rsidR="004B0071" w:rsidRPr="00B62036" w:rsidRDefault="00B13912" w:rsidP="00230515">
      <w:pPr>
        <w:spacing w:line="276" w:lineRule="auto"/>
        <w:jc w:val="both"/>
        <w:rPr>
          <w:rFonts w:ascii="Gill Sans MT" w:hAnsi="Gill Sans MT"/>
          <w:sz w:val="20"/>
          <w:szCs w:val="20"/>
        </w:rPr>
      </w:pPr>
      <w:r w:rsidRPr="00B62036">
        <w:rPr>
          <w:rFonts w:ascii="Gill Sans MT" w:hAnsi="Gill Sans MT"/>
          <w:sz w:val="20"/>
          <w:szCs w:val="20"/>
        </w:rPr>
        <w:t xml:space="preserve">The collapse of the state not only destroyed the government institutions but also institutional order like traditional system. The long absence of government in Somalia gave rise to the era of </w:t>
      </w:r>
      <w:r w:rsidR="0090520C" w:rsidRPr="00B62036">
        <w:rPr>
          <w:rFonts w:ascii="Gill Sans MT" w:hAnsi="Gill Sans MT"/>
          <w:sz w:val="20"/>
          <w:szCs w:val="20"/>
        </w:rPr>
        <w:t>warlords that was mainly orchestrated by clan political elites that were jostling for political power</w:t>
      </w:r>
      <w:r w:rsidRPr="00B62036">
        <w:rPr>
          <w:rFonts w:ascii="Gill Sans MT" w:hAnsi="Gill Sans MT"/>
          <w:sz w:val="20"/>
          <w:szCs w:val="20"/>
        </w:rPr>
        <w:t xml:space="preserve"> and control of resources especially humanitarian aid in </w:t>
      </w:r>
      <w:r w:rsidRPr="00B62036">
        <w:rPr>
          <w:rFonts w:ascii="Gill Sans MT" w:hAnsi="Gill Sans MT"/>
          <w:sz w:val="20"/>
          <w:szCs w:val="20"/>
        </w:rPr>
        <w:lastRenderedPageBreak/>
        <w:t>the pretext of defending their communities. The protracted inter-clan conflict took a new twist as control of resources dwindled and rivalry among groups became fierce. The conflict dynamics degenerated to intra-clan conflict that resulted violent conflict. Baidoa city serves as example of cities that experienced intra-clan conflicts that changed the</w:t>
      </w:r>
      <w:r w:rsidR="0090520C" w:rsidRPr="00B62036">
        <w:rPr>
          <w:rFonts w:ascii="Gill Sans MT" w:hAnsi="Gill Sans MT"/>
          <w:sz w:val="20"/>
          <w:szCs w:val="20"/>
        </w:rPr>
        <w:t xml:space="preserve"> demography of the city, creating</w:t>
      </w:r>
      <w:r w:rsidRPr="00B62036">
        <w:rPr>
          <w:rFonts w:ascii="Gill Sans MT" w:hAnsi="Gill Sans MT"/>
          <w:sz w:val="20"/>
          <w:szCs w:val="20"/>
        </w:rPr>
        <w:t xml:space="preserve"> deep mistrust and suspicion that continue to define relations to this day. The deep divisions are blurred and sometimes difficult to be noticed by outsiders but the city is largely divided into </w:t>
      </w:r>
      <w:r w:rsidR="0090520C" w:rsidRPr="00B62036">
        <w:rPr>
          <w:rFonts w:ascii="Gill Sans MT" w:hAnsi="Gill Sans MT"/>
          <w:sz w:val="20"/>
          <w:szCs w:val="20"/>
        </w:rPr>
        <w:t>clans’</w:t>
      </w:r>
      <w:r w:rsidRPr="00B62036">
        <w:rPr>
          <w:rFonts w:ascii="Gill Sans MT" w:hAnsi="Gill Sans MT"/>
          <w:sz w:val="20"/>
          <w:szCs w:val="20"/>
        </w:rPr>
        <w:t xml:space="preserve"> constituencies, however, this social division is not unique to Baidoa.</w:t>
      </w:r>
      <w:r w:rsidR="0064771A" w:rsidRPr="00B62036">
        <w:rPr>
          <w:rFonts w:ascii="Gill Sans MT" w:hAnsi="Gill Sans MT"/>
          <w:sz w:val="20"/>
          <w:szCs w:val="20"/>
        </w:rPr>
        <w:t xml:space="preserve"> Key conflict drivers/causes in the South West State are essentially as a result of dispute over politics, land, hostility pitting various communities, and Alshabaab presence.  </w:t>
      </w:r>
    </w:p>
    <w:p w14:paraId="5DC45558" w14:textId="1925B3EA" w:rsidR="00B13912" w:rsidRPr="00B62036" w:rsidRDefault="0064771A" w:rsidP="00230515">
      <w:pPr>
        <w:spacing w:line="276" w:lineRule="auto"/>
        <w:jc w:val="both"/>
        <w:rPr>
          <w:rFonts w:ascii="Gill Sans MT" w:hAnsi="Gill Sans MT"/>
          <w:sz w:val="20"/>
          <w:szCs w:val="20"/>
        </w:rPr>
      </w:pPr>
      <w:r w:rsidRPr="00B62036">
        <w:rPr>
          <w:rFonts w:ascii="Gill Sans MT" w:hAnsi="Gill Sans MT"/>
          <w:sz w:val="20"/>
          <w:szCs w:val="20"/>
        </w:rPr>
        <w:t xml:space="preserve"> </w:t>
      </w:r>
    </w:p>
    <w:p w14:paraId="4FB643A9" w14:textId="01E705EB" w:rsidR="00B13912" w:rsidRPr="00B62036" w:rsidRDefault="0064771A" w:rsidP="00230515">
      <w:pPr>
        <w:spacing w:line="276" w:lineRule="auto"/>
        <w:jc w:val="both"/>
        <w:rPr>
          <w:rFonts w:ascii="Gill Sans MT" w:hAnsi="Gill Sans MT"/>
          <w:sz w:val="20"/>
          <w:szCs w:val="20"/>
        </w:rPr>
      </w:pPr>
      <w:r w:rsidRPr="00B62036">
        <w:rPr>
          <w:rFonts w:ascii="Gill Sans MT" w:hAnsi="Gill Sans MT"/>
          <w:b/>
          <w:sz w:val="20"/>
          <w:szCs w:val="20"/>
        </w:rPr>
        <w:t>Political conflict</w:t>
      </w:r>
      <w:r w:rsidRPr="00B62036">
        <w:rPr>
          <w:rFonts w:ascii="Gill Sans MT" w:hAnsi="Gill Sans MT"/>
          <w:sz w:val="20"/>
          <w:szCs w:val="20"/>
        </w:rPr>
        <w:t xml:space="preserve">: </w:t>
      </w:r>
      <w:r w:rsidR="00B13912" w:rsidRPr="00B62036">
        <w:rPr>
          <w:rFonts w:ascii="Gill Sans MT" w:hAnsi="Gill Sans MT"/>
          <w:sz w:val="20"/>
          <w:szCs w:val="20"/>
        </w:rPr>
        <w:t xml:space="preserve">It is almost five years since the South West state was established through </w:t>
      </w:r>
      <w:r w:rsidRPr="00B62036">
        <w:rPr>
          <w:rFonts w:ascii="Gill Sans MT" w:hAnsi="Gill Sans MT"/>
          <w:sz w:val="20"/>
          <w:szCs w:val="20"/>
        </w:rPr>
        <w:t xml:space="preserve">a </w:t>
      </w:r>
      <w:r w:rsidR="00B13912" w:rsidRPr="00B62036">
        <w:rPr>
          <w:rFonts w:ascii="Gill Sans MT" w:hAnsi="Gill Sans MT"/>
          <w:sz w:val="20"/>
          <w:szCs w:val="20"/>
        </w:rPr>
        <w:t xml:space="preserve">council of elders after grappling with the structure of the envisioned state in 2014. Anew president was elected in 2018 replacing Sharif Hassan Sheikh Adan, a seasoned politician who was largely unpopular with the people and </w:t>
      </w:r>
      <w:r w:rsidRPr="00B62036">
        <w:rPr>
          <w:rFonts w:ascii="Gill Sans MT" w:hAnsi="Gill Sans MT"/>
          <w:sz w:val="20"/>
          <w:szCs w:val="20"/>
        </w:rPr>
        <w:t xml:space="preserve">the </w:t>
      </w:r>
      <w:r w:rsidR="00B13912" w:rsidRPr="00B62036">
        <w:rPr>
          <w:rFonts w:ascii="Gill Sans MT" w:hAnsi="Gill Sans MT"/>
          <w:sz w:val="20"/>
          <w:szCs w:val="20"/>
        </w:rPr>
        <w:t>federal government</w:t>
      </w:r>
      <w:r w:rsidRPr="00B62036">
        <w:rPr>
          <w:rFonts w:ascii="Gill Sans MT" w:hAnsi="Gill Sans MT"/>
          <w:sz w:val="20"/>
          <w:szCs w:val="20"/>
        </w:rPr>
        <w:t>,</w:t>
      </w:r>
      <w:r w:rsidR="00B13912" w:rsidRPr="00B62036">
        <w:rPr>
          <w:rFonts w:ascii="Gill Sans MT" w:hAnsi="Gill Sans MT"/>
          <w:sz w:val="20"/>
          <w:szCs w:val="20"/>
        </w:rPr>
        <w:t xml:space="preserve"> and was allegedly forced to drop his political bid so as</w:t>
      </w:r>
      <w:r w:rsidRPr="00B62036">
        <w:rPr>
          <w:rFonts w:ascii="Gill Sans MT" w:hAnsi="Gill Sans MT"/>
          <w:sz w:val="20"/>
          <w:szCs w:val="20"/>
        </w:rPr>
        <w:t xml:space="preserve"> to pave way for the government-</w:t>
      </w:r>
      <w:r w:rsidR="00B13912" w:rsidRPr="00B62036">
        <w:rPr>
          <w:rFonts w:ascii="Gill Sans MT" w:hAnsi="Gill Sans MT"/>
          <w:sz w:val="20"/>
          <w:szCs w:val="20"/>
        </w:rPr>
        <w:t>backed candidate. The election of the current president, Abdiaziz Hassan Mohamed (Lafta Gareen) was divisive and polarized the local community</w:t>
      </w:r>
      <w:r w:rsidRPr="00B62036">
        <w:rPr>
          <w:rFonts w:ascii="Gill Sans MT" w:hAnsi="Gill Sans MT"/>
          <w:sz w:val="20"/>
          <w:szCs w:val="20"/>
        </w:rPr>
        <w:t>,</w:t>
      </w:r>
      <w:r w:rsidR="00B13912" w:rsidRPr="00B62036">
        <w:rPr>
          <w:rFonts w:ascii="Gill Sans MT" w:hAnsi="Gill Sans MT"/>
          <w:sz w:val="20"/>
          <w:szCs w:val="20"/>
        </w:rPr>
        <w:t xml:space="preserve"> not because the candidate was unpopular but was backed by the government and influenced the voting in his favor against his main challenger, Sheikh Mukhtar Robow, former leader of Al-Shabab. Over 10 protestors were killed following the arrest of Mukhtar Robow, and subsequent disputed election. The newly elected government seems unpopular because of the federal government interference in the process.</w:t>
      </w:r>
    </w:p>
    <w:p w14:paraId="4755EAE6" w14:textId="2C9D4173" w:rsidR="00B13912" w:rsidRPr="00B62036" w:rsidRDefault="00B13912" w:rsidP="00230515">
      <w:pPr>
        <w:spacing w:line="276" w:lineRule="auto"/>
        <w:jc w:val="both"/>
        <w:rPr>
          <w:rFonts w:ascii="Gill Sans MT" w:hAnsi="Gill Sans MT"/>
          <w:sz w:val="20"/>
          <w:szCs w:val="20"/>
        </w:rPr>
      </w:pPr>
      <w:r w:rsidRPr="00B62036">
        <w:rPr>
          <w:rFonts w:ascii="Gill Sans MT" w:hAnsi="Gill Sans MT"/>
          <w:sz w:val="20"/>
          <w:szCs w:val="20"/>
        </w:rPr>
        <w:t xml:space="preserve">The major contention is between the Mirifile sub clans especially the Leysan and Harin who dominate the key positions in the government. For instance, the president and the mayor are from the Harin sub clan and there is a feeling within the other sub clans that </w:t>
      </w:r>
      <w:r w:rsidR="0064771A" w:rsidRPr="00B62036">
        <w:rPr>
          <w:rFonts w:ascii="Gill Sans MT" w:hAnsi="Gill Sans MT"/>
          <w:sz w:val="20"/>
          <w:szCs w:val="20"/>
        </w:rPr>
        <w:t xml:space="preserve">they </w:t>
      </w:r>
      <w:r w:rsidRPr="00B62036">
        <w:rPr>
          <w:rFonts w:ascii="Gill Sans MT" w:hAnsi="Gill Sans MT"/>
          <w:sz w:val="20"/>
          <w:szCs w:val="20"/>
        </w:rPr>
        <w:t xml:space="preserve">are being marginalized and their elders are pushing the community to give up the mayor’s position to </w:t>
      </w:r>
      <w:r w:rsidR="0064771A" w:rsidRPr="00B62036">
        <w:rPr>
          <w:rFonts w:ascii="Gill Sans MT" w:hAnsi="Gill Sans MT"/>
          <w:sz w:val="20"/>
          <w:szCs w:val="20"/>
        </w:rPr>
        <w:t>‘</w:t>
      </w:r>
      <w:r w:rsidRPr="00B62036">
        <w:rPr>
          <w:rFonts w:ascii="Gill Sans MT" w:hAnsi="Gill Sans MT"/>
          <w:sz w:val="20"/>
          <w:szCs w:val="20"/>
        </w:rPr>
        <w:t>others</w:t>
      </w:r>
      <w:r w:rsidR="0064771A" w:rsidRPr="00B62036">
        <w:rPr>
          <w:rFonts w:ascii="Gill Sans MT" w:hAnsi="Gill Sans MT"/>
          <w:sz w:val="20"/>
          <w:szCs w:val="20"/>
        </w:rPr>
        <w:t>’</w:t>
      </w:r>
      <w:r w:rsidRPr="00B62036">
        <w:rPr>
          <w:rFonts w:ascii="Gill Sans MT" w:hAnsi="Gill Sans MT"/>
          <w:sz w:val="20"/>
          <w:szCs w:val="20"/>
        </w:rPr>
        <w:t xml:space="preserve">. Political representation in Somalia is based on </w:t>
      </w:r>
      <w:r w:rsidR="0064771A" w:rsidRPr="00B62036">
        <w:rPr>
          <w:rFonts w:ascii="Gill Sans MT" w:hAnsi="Gill Sans MT"/>
          <w:sz w:val="20"/>
          <w:szCs w:val="20"/>
        </w:rPr>
        <w:t>the 4.5 system</w:t>
      </w:r>
      <w:r w:rsidRPr="00B62036">
        <w:rPr>
          <w:rFonts w:ascii="Gill Sans MT" w:hAnsi="Gill Sans MT"/>
          <w:sz w:val="20"/>
          <w:szCs w:val="20"/>
        </w:rPr>
        <w:t xml:space="preserve"> (where the four dominant clans get equal seats in parliament and senate and minority clans get half of the seats their counterparts get). This is a major bond of contention that could undermine the relative peace and stability</w:t>
      </w:r>
      <w:r w:rsidR="0064771A" w:rsidRPr="00B62036">
        <w:rPr>
          <w:rFonts w:ascii="Gill Sans MT" w:hAnsi="Gill Sans MT"/>
          <w:sz w:val="20"/>
          <w:szCs w:val="20"/>
        </w:rPr>
        <w:t>,</w:t>
      </w:r>
      <w:r w:rsidRPr="00B62036">
        <w:rPr>
          <w:rFonts w:ascii="Gill Sans MT" w:hAnsi="Gill Sans MT"/>
          <w:sz w:val="20"/>
          <w:szCs w:val="20"/>
        </w:rPr>
        <w:t xml:space="preserve"> not only in the district but also the state if it’s not amicably resolved.  Therefore, there is need to promote peace building programs that will promote political dialogue to bridge the political divide and break social barriers.</w:t>
      </w:r>
    </w:p>
    <w:p w14:paraId="5673E4A9" w14:textId="77777777" w:rsidR="004B0071" w:rsidRPr="00B62036" w:rsidRDefault="004B0071" w:rsidP="00230515">
      <w:pPr>
        <w:spacing w:line="276" w:lineRule="auto"/>
        <w:jc w:val="both"/>
        <w:rPr>
          <w:rFonts w:ascii="Gill Sans MT" w:hAnsi="Gill Sans MT"/>
          <w:sz w:val="20"/>
          <w:szCs w:val="20"/>
        </w:rPr>
      </w:pPr>
    </w:p>
    <w:p w14:paraId="051C374D" w14:textId="388A63F3" w:rsidR="00B13912" w:rsidRDefault="00B13912" w:rsidP="00230515">
      <w:pPr>
        <w:spacing w:after="200" w:line="276" w:lineRule="auto"/>
        <w:contextualSpacing/>
        <w:jc w:val="both"/>
        <w:rPr>
          <w:rFonts w:ascii="Gill Sans MT" w:hAnsi="Gill Sans MT"/>
          <w:sz w:val="20"/>
          <w:szCs w:val="20"/>
        </w:rPr>
      </w:pPr>
      <w:r w:rsidRPr="00B62036">
        <w:rPr>
          <w:rFonts w:ascii="Gill Sans MT" w:hAnsi="Gill Sans MT"/>
          <w:b/>
          <w:sz w:val="20"/>
          <w:szCs w:val="20"/>
        </w:rPr>
        <w:t>Community conflict</w:t>
      </w:r>
      <w:r w:rsidRPr="00B62036">
        <w:rPr>
          <w:rFonts w:ascii="Gill Sans MT" w:hAnsi="Gill Sans MT"/>
          <w:sz w:val="20"/>
          <w:szCs w:val="20"/>
        </w:rPr>
        <w:t xml:space="preserve">: The Mirifle clan, </w:t>
      </w:r>
      <w:r w:rsidR="0064771A" w:rsidRPr="00B62036">
        <w:rPr>
          <w:rFonts w:ascii="Gill Sans MT" w:hAnsi="Gill Sans MT"/>
          <w:sz w:val="20"/>
          <w:szCs w:val="20"/>
        </w:rPr>
        <w:t xml:space="preserve">which is </w:t>
      </w:r>
      <w:r w:rsidRPr="00B62036">
        <w:rPr>
          <w:rFonts w:ascii="Gill Sans MT" w:hAnsi="Gill Sans MT"/>
          <w:sz w:val="20"/>
          <w:szCs w:val="20"/>
        </w:rPr>
        <w:t xml:space="preserve">the dominant constituency of the Digil Mirifle </w:t>
      </w:r>
      <w:r w:rsidR="0064771A" w:rsidRPr="00B62036">
        <w:rPr>
          <w:rFonts w:ascii="Gill Sans MT" w:hAnsi="Gill Sans MT"/>
          <w:sz w:val="20"/>
          <w:szCs w:val="20"/>
        </w:rPr>
        <w:t>clan,</w:t>
      </w:r>
      <w:r w:rsidRPr="00B62036">
        <w:rPr>
          <w:rFonts w:ascii="Gill Sans MT" w:hAnsi="Gill Sans MT"/>
          <w:sz w:val="20"/>
          <w:szCs w:val="20"/>
        </w:rPr>
        <w:t xml:space="preserve"> has engaged in a bitter political feud during the collapse of the state in Baidoa city. The conflict changed the landscape and settlement pattern as communities moved fr</w:t>
      </w:r>
      <w:r w:rsidR="0064771A" w:rsidRPr="00B62036">
        <w:rPr>
          <w:rFonts w:ascii="Gill Sans MT" w:hAnsi="Gill Sans MT"/>
          <w:sz w:val="20"/>
          <w:szCs w:val="20"/>
        </w:rPr>
        <w:t>om rival-</w:t>
      </w:r>
      <w:r w:rsidRPr="00B62036">
        <w:rPr>
          <w:rFonts w:ascii="Gill Sans MT" w:hAnsi="Gill Sans MT"/>
          <w:sz w:val="20"/>
          <w:szCs w:val="20"/>
        </w:rPr>
        <w:t xml:space="preserve">held areas to their </w:t>
      </w:r>
      <w:r w:rsidR="0064771A" w:rsidRPr="00B62036">
        <w:rPr>
          <w:rFonts w:ascii="Gill Sans MT" w:hAnsi="Gill Sans MT"/>
          <w:sz w:val="20"/>
          <w:szCs w:val="20"/>
        </w:rPr>
        <w:t>clan-controlled</w:t>
      </w:r>
      <w:r w:rsidRPr="00B62036">
        <w:rPr>
          <w:rFonts w:ascii="Gill Sans MT" w:hAnsi="Gill Sans MT"/>
          <w:sz w:val="20"/>
          <w:szCs w:val="20"/>
        </w:rPr>
        <w:t xml:space="preserve"> areas. The reorganization of the settlement is a hallmark in Baidoa city. Besides, minority sub-clans have been ejected from their lands and are excluded from the political process. The community conflict has rendered the traditional institutions in effective to arbitrate disputes. Thus, there’s need to strengthen community engagement and support traditional institutions to address injustices and potential conflict. </w:t>
      </w:r>
    </w:p>
    <w:p w14:paraId="31C23006" w14:textId="77777777" w:rsidR="005D458E" w:rsidRPr="00B62036" w:rsidRDefault="005D458E" w:rsidP="00230515">
      <w:pPr>
        <w:spacing w:after="200" w:line="276" w:lineRule="auto"/>
        <w:contextualSpacing/>
        <w:jc w:val="both"/>
        <w:rPr>
          <w:rFonts w:ascii="Gill Sans MT" w:hAnsi="Gill Sans MT"/>
          <w:sz w:val="20"/>
          <w:szCs w:val="20"/>
        </w:rPr>
      </w:pPr>
    </w:p>
    <w:p w14:paraId="3717FA44" w14:textId="77777777" w:rsidR="004B0071" w:rsidRPr="00B62036" w:rsidRDefault="00B13912" w:rsidP="00230515">
      <w:pPr>
        <w:spacing w:line="276" w:lineRule="auto"/>
        <w:jc w:val="both"/>
        <w:rPr>
          <w:rFonts w:ascii="Gill Sans MT" w:hAnsi="Gill Sans MT"/>
          <w:sz w:val="20"/>
          <w:szCs w:val="20"/>
        </w:rPr>
      </w:pPr>
      <w:r w:rsidRPr="00B62036">
        <w:rPr>
          <w:rFonts w:ascii="Gill Sans MT" w:hAnsi="Gill Sans MT"/>
          <w:sz w:val="20"/>
          <w:szCs w:val="20"/>
        </w:rPr>
        <w:t>Whilst there is no active community conflict</w:t>
      </w:r>
      <w:r w:rsidR="0064771A" w:rsidRPr="00B62036">
        <w:rPr>
          <w:rFonts w:ascii="Gill Sans MT" w:hAnsi="Gill Sans MT"/>
          <w:sz w:val="20"/>
          <w:szCs w:val="20"/>
        </w:rPr>
        <w:t xml:space="preserve"> at present</w:t>
      </w:r>
      <w:r w:rsidRPr="00B62036">
        <w:rPr>
          <w:rFonts w:ascii="Gill Sans MT" w:hAnsi="Gill Sans MT"/>
          <w:sz w:val="20"/>
          <w:szCs w:val="20"/>
        </w:rPr>
        <w:t xml:space="preserve">, there’s latent </w:t>
      </w:r>
      <w:r w:rsidR="0064771A" w:rsidRPr="00B62036">
        <w:rPr>
          <w:rFonts w:ascii="Gill Sans MT" w:hAnsi="Gill Sans MT"/>
          <w:sz w:val="20"/>
          <w:szCs w:val="20"/>
        </w:rPr>
        <w:t>conflict that</w:t>
      </w:r>
      <w:r w:rsidRPr="00B62036">
        <w:rPr>
          <w:rFonts w:ascii="Gill Sans MT" w:hAnsi="Gill Sans MT"/>
          <w:sz w:val="20"/>
          <w:szCs w:val="20"/>
        </w:rPr>
        <w:t xml:space="preserve"> could become active unless it’s addressed. </w:t>
      </w:r>
      <w:r w:rsidR="0064771A" w:rsidRPr="00B62036">
        <w:rPr>
          <w:rFonts w:ascii="Gill Sans MT" w:hAnsi="Gill Sans MT"/>
          <w:sz w:val="20"/>
          <w:szCs w:val="20"/>
        </w:rPr>
        <w:t>There is</w:t>
      </w:r>
      <w:r w:rsidRPr="00B62036">
        <w:rPr>
          <w:rFonts w:ascii="Gill Sans MT" w:hAnsi="Gill Sans MT"/>
          <w:sz w:val="20"/>
          <w:szCs w:val="20"/>
        </w:rPr>
        <w:t xml:space="preserve"> need to establish or support peace building structures such as women, youth and traditional peace committees across communities by building their capacity on addressing latent conflicts and promoting peace among communities. </w:t>
      </w:r>
      <w:r w:rsidR="0064771A" w:rsidRPr="00B62036">
        <w:rPr>
          <w:rFonts w:ascii="Gill Sans MT" w:hAnsi="Gill Sans MT"/>
          <w:sz w:val="20"/>
          <w:szCs w:val="20"/>
        </w:rPr>
        <w:t>Supporting such initiatives would</w:t>
      </w:r>
      <w:r w:rsidRPr="00B62036">
        <w:rPr>
          <w:rFonts w:ascii="Gill Sans MT" w:hAnsi="Gill Sans MT"/>
          <w:sz w:val="20"/>
          <w:szCs w:val="20"/>
        </w:rPr>
        <w:t xml:space="preserve"> be consistent with National Reconciliation Plan that was recently </w:t>
      </w:r>
      <w:r w:rsidR="0064771A" w:rsidRPr="00B62036">
        <w:rPr>
          <w:rFonts w:ascii="Gill Sans MT" w:hAnsi="Gill Sans MT"/>
          <w:sz w:val="20"/>
          <w:szCs w:val="20"/>
        </w:rPr>
        <w:t xml:space="preserve">(March 2019) </w:t>
      </w:r>
      <w:r w:rsidRPr="00B62036">
        <w:rPr>
          <w:rFonts w:ascii="Gill Sans MT" w:hAnsi="Gill Sans MT"/>
          <w:sz w:val="20"/>
          <w:szCs w:val="20"/>
        </w:rPr>
        <w:t xml:space="preserve">approved by the cabinet in Mogadishu. </w:t>
      </w:r>
    </w:p>
    <w:p w14:paraId="6DD618C6" w14:textId="2DE8D87F" w:rsidR="00B13912" w:rsidRPr="00B62036" w:rsidRDefault="00B13912" w:rsidP="00230515">
      <w:pPr>
        <w:spacing w:line="276" w:lineRule="auto"/>
        <w:jc w:val="both"/>
        <w:rPr>
          <w:rFonts w:ascii="Gill Sans MT" w:hAnsi="Gill Sans MT"/>
          <w:sz w:val="20"/>
          <w:szCs w:val="20"/>
        </w:rPr>
      </w:pPr>
      <w:r w:rsidRPr="00B62036">
        <w:rPr>
          <w:rFonts w:ascii="Gill Sans MT" w:hAnsi="Gill Sans MT"/>
          <w:sz w:val="20"/>
          <w:szCs w:val="20"/>
        </w:rPr>
        <w:t xml:space="preserve"> </w:t>
      </w:r>
    </w:p>
    <w:p w14:paraId="5BF4B231" w14:textId="15D63367" w:rsidR="00B13912" w:rsidRPr="00B62036" w:rsidRDefault="00B13912" w:rsidP="00230515">
      <w:pPr>
        <w:spacing w:after="200" w:line="276" w:lineRule="auto"/>
        <w:contextualSpacing/>
        <w:jc w:val="both"/>
        <w:rPr>
          <w:rFonts w:ascii="Gill Sans MT" w:hAnsi="Gill Sans MT"/>
          <w:sz w:val="20"/>
          <w:szCs w:val="20"/>
        </w:rPr>
      </w:pPr>
      <w:r w:rsidRPr="00B62036">
        <w:rPr>
          <w:rFonts w:ascii="Gill Sans MT" w:hAnsi="Gill Sans MT"/>
          <w:b/>
          <w:sz w:val="20"/>
          <w:szCs w:val="20"/>
        </w:rPr>
        <w:t>Land conflict:</w:t>
      </w:r>
      <w:r w:rsidRPr="00B62036">
        <w:rPr>
          <w:rFonts w:ascii="Gill Sans MT" w:hAnsi="Gill Sans MT"/>
          <w:sz w:val="20"/>
          <w:szCs w:val="20"/>
        </w:rPr>
        <w:t xml:space="preserve"> </w:t>
      </w:r>
      <w:r w:rsidR="0064771A" w:rsidRPr="00B62036">
        <w:rPr>
          <w:rFonts w:ascii="Gill Sans MT" w:hAnsi="Gill Sans MT"/>
          <w:sz w:val="20"/>
          <w:szCs w:val="20"/>
        </w:rPr>
        <w:t>Dispute over land is</w:t>
      </w:r>
      <w:r w:rsidRPr="00B62036">
        <w:rPr>
          <w:rFonts w:ascii="Gill Sans MT" w:hAnsi="Gill Sans MT"/>
          <w:sz w:val="20"/>
          <w:szCs w:val="20"/>
        </w:rPr>
        <w:t xml:space="preserve"> an emotive issue across Somalia and a major source of conflict. Historically</w:t>
      </w:r>
      <w:r w:rsidR="0064771A" w:rsidRPr="00B62036">
        <w:rPr>
          <w:rFonts w:ascii="Gill Sans MT" w:hAnsi="Gill Sans MT"/>
          <w:sz w:val="20"/>
          <w:szCs w:val="20"/>
        </w:rPr>
        <w:t>,</w:t>
      </w:r>
      <w:r w:rsidRPr="00B62036">
        <w:rPr>
          <w:rFonts w:ascii="Gill Sans MT" w:hAnsi="Gill Sans MT"/>
          <w:sz w:val="20"/>
          <w:szCs w:val="20"/>
        </w:rPr>
        <w:t xml:space="preserve"> pastoral communities in Somalia have competed for natural resources such as water and pasture. Due to urbanization the demand for properties</w:t>
      </w:r>
      <w:r w:rsidR="0064771A" w:rsidRPr="00B62036">
        <w:rPr>
          <w:rFonts w:ascii="Gill Sans MT" w:hAnsi="Gill Sans MT"/>
          <w:sz w:val="20"/>
          <w:szCs w:val="20"/>
        </w:rPr>
        <w:t xml:space="preserve"> has soared thus increasing </w:t>
      </w:r>
      <w:r w:rsidRPr="00B62036">
        <w:rPr>
          <w:rFonts w:ascii="Gill Sans MT" w:hAnsi="Gill Sans MT"/>
          <w:sz w:val="20"/>
          <w:szCs w:val="20"/>
        </w:rPr>
        <w:t xml:space="preserve">price of land in urban areas. For instance, </w:t>
      </w:r>
      <w:r w:rsidRPr="00B62036">
        <w:rPr>
          <w:rFonts w:ascii="Gill Sans MT" w:hAnsi="Gill Sans MT"/>
          <w:sz w:val="20"/>
          <w:szCs w:val="20"/>
        </w:rPr>
        <w:lastRenderedPageBreak/>
        <w:t xml:space="preserve">disputes over grazing rights, farmland, and plots have triggered conflict in urban areas as well as in rural areas that </w:t>
      </w:r>
      <w:r w:rsidR="0064771A" w:rsidRPr="00B62036">
        <w:rPr>
          <w:rFonts w:ascii="Gill Sans MT" w:hAnsi="Gill Sans MT"/>
          <w:sz w:val="20"/>
          <w:szCs w:val="20"/>
        </w:rPr>
        <w:t>traditionally</w:t>
      </w:r>
      <w:r w:rsidRPr="00B62036">
        <w:rPr>
          <w:rFonts w:ascii="Gill Sans MT" w:hAnsi="Gill Sans MT"/>
          <w:sz w:val="20"/>
          <w:szCs w:val="20"/>
        </w:rPr>
        <w:t xml:space="preserve"> caused full-blown conflict</w:t>
      </w:r>
      <w:r w:rsidR="0064771A" w:rsidRPr="00B62036">
        <w:rPr>
          <w:rFonts w:ascii="Gill Sans MT" w:hAnsi="Gill Sans MT"/>
          <w:sz w:val="20"/>
          <w:szCs w:val="20"/>
        </w:rPr>
        <w:t>s</w:t>
      </w:r>
      <w:r w:rsidRPr="00B62036">
        <w:rPr>
          <w:rFonts w:ascii="Gill Sans MT" w:hAnsi="Gill Sans MT"/>
          <w:sz w:val="20"/>
          <w:szCs w:val="20"/>
        </w:rPr>
        <w:t xml:space="preserve">. In Baidoa city, land dispute is a major challenge that the local administration has not managed to address. Respondents </w:t>
      </w:r>
      <w:r w:rsidR="0064771A" w:rsidRPr="00B62036">
        <w:rPr>
          <w:rFonts w:ascii="Gill Sans MT" w:hAnsi="Gill Sans MT"/>
          <w:sz w:val="20"/>
          <w:szCs w:val="20"/>
        </w:rPr>
        <w:t xml:space="preserve">indicated there is little or no </w:t>
      </w:r>
      <w:r w:rsidRPr="00B62036">
        <w:rPr>
          <w:rFonts w:ascii="Gill Sans MT" w:hAnsi="Gill Sans MT"/>
          <w:sz w:val="20"/>
          <w:szCs w:val="20"/>
        </w:rPr>
        <w:t xml:space="preserve">confidence in the courts to resolve land disputes due to corruption, favoritism, intimidation and lack of capacity. The lack of trust in the courts has interestingly seen locals seek alternative justice in Al-Shabab run-courts in the outskirts of the city. These courts have been described as swift in </w:t>
      </w:r>
      <w:r w:rsidR="0064771A" w:rsidRPr="00B62036">
        <w:rPr>
          <w:rFonts w:ascii="Gill Sans MT" w:hAnsi="Gill Sans MT"/>
          <w:sz w:val="20"/>
          <w:szCs w:val="20"/>
        </w:rPr>
        <w:t>judgment,</w:t>
      </w:r>
      <w:r w:rsidRPr="00B62036">
        <w:rPr>
          <w:rFonts w:ascii="Gill Sans MT" w:hAnsi="Gill Sans MT"/>
          <w:sz w:val="20"/>
          <w:szCs w:val="20"/>
        </w:rPr>
        <w:t xml:space="preserve"> with no facilitation fee, and delivers final ruling that is binding. Due to fear</w:t>
      </w:r>
      <w:r w:rsidR="0064771A" w:rsidRPr="00B62036">
        <w:rPr>
          <w:rFonts w:ascii="Gill Sans MT" w:hAnsi="Gill Sans MT"/>
          <w:sz w:val="20"/>
          <w:szCs w:val="20"/>
        </w:rPr>
        <w:t xml:space="preserve"> of punishment and open threats, </w:t>
      </w:r>
      <w:r w:rsidRPr="00B62036">
        <w:rPr>
          <w:rFonts w:ascii="Gill Sans MT" w:hAnsi="Gill Sans MT"/>
          <w:sz w:val="20"/>
          <w:szCs w:val="20"/>
        </w:rPr>
        <w:t xml:space="preserve">accused persons give back lands that they had forcefully acquired. </w:t>
      </w:r>
      <w:r w:rsidR="0064771A" w:rsidRPr="00B62036">
        <w:rPr>
          <w:rFonts w:ascii="Gill Sans MT" w:hAnsi="Gill Sans MT"/>
          <w:sz w:val="20"/>
          <w:szCs w:val="20"/>
        </w:rPr>
        <w:t xml:space="preserve"> </w:t>
      </w:r>
      <w:r w:rsidRPr="00B62036">
        <w:rPr>
          <w:rFonts w:ascii="Gill Sans MT" w:hAnsi="Gill Sans MT"/>
          <w:sz w:val="20"/>
          <w:szCs w:val="20"/>
        </w:rPr>
        <w:t>Weak or ineffective justice system has failed to address the land conflict and forced people to seek alternative courts for a solution. Therefore, there is need to strengthen the capacity of the justice system and provide resource</w:t>
      </w:r>
      <w:r w:rsidR="00460712" w:rsidRPr="00B62036">
        <w:rPr>
          <w:rFonts w:ascii="Gill Sans MT" w:hAnsi="Gill Sans MT"/>
          <w:sz w:val="20"/>
          <w:szCs w:val="20"/>
        </w:rPr>
        <w:t xml:space="preserve">s to enable them </w:t>
      </w:r>
      <w:r w:rsidRPr="00B62036">
        <w:rPr>
          <w:rFonts w:ascii="Gill Sans MT" w:hAnsi="Gill Sans MT"/>
          <w:sz w:val="20"/>
          <w:szCs w:val="20"/>
        </w:rPr>
        <w:t xml:space="preserve">hear, investigate and adjudicate cases including land disputes so as to build the confidence of the people in their government and local courts and cut ties with Al-Shabab courts.  </w:t>
      </w:r>
    </w:p>
    <w:p w14:paraId="58C65926" w14:textId="77777777" w:rsidR="004B0071" w:rsidRPr="00B62036" w:rsidRDefault="004B0071" w:rsidP="00230515">
      <w:pPr>
        <w:spacing w:after="200" w:line="276" w:lineRule="auto"/>
        <w:contextualSpacing/>
        <w:jc w:val="both"/>
        <w:rPr>
          <w:rFonts w:ascii="Gill Sans MT" w:hAnsi="Gill Sans MT"/>
          <w:sz w:val="20"/>
          <w:szCs w:val="20"/>
        </w:rPr>
      </w:pPr>
    </w:p>
    <w:p w14:paraId="0E97A40F" w14:textId="71FA5B61" w:rsidR="00B13912" w:rsidRPr="00B62036" w:rsidRDefault="00B13912" w:rsidP="00230515">
      <w:pPr>
        <w:spacing w:after="200" w:line="276" w:lineRule="auto"/>
        <w:contextualSpacing/>
        <w:jc w:val="both"/>
        <w:rPr>
          <w:rFonts w:ascii="Gill Sans MT" w:hAnsi="Gill Sans MT"/>
          <w:sz w:val="20"/>
          <w:szCs w:val="20"/>
        </w:rPr>
      </w:pPr>
      <w:r w:rsidRPr="00B62036">
        <w:rPr>
          <w:rFonts w:ascii="Gill Sans MT" w:hAnsi="Gill Sans MT"/>
          <w:b/>
          <w:sz w:val="20"/>
          <w:szCs w:val="20"/>
        </w:rPr>
        <w:t>Al-Shabab presence</w:t>
      </w:r>
      <w:r w:rsidRPr="00B62036">
        <w:rPr>
          <w:rFonts w:ascii="Gill Sans MT" w:hAnsi="Gill Sans MT"/>
          <w:sz w:val="20"/>
          <w:szCs w:val="20"/>
        </w:rPr>
        <w:t>: Al-Shabab remains a major threat to the sec</w:t>
      </w:r>
      <w:r w:rsidR="00460712" w:rsidRPr="00B62036">
        <w:rPr>
          <w:rFonts w:ascii="Gill Sans MT" w:hAnsi="Gill Sans MT"/>
          <w:sz w:val="20"/>
          <w:szCs w:val="20"/>
        </w:rPr>
        <w:t>urity and stability of Somalia</w:t>
      </w:r>
      <w:r w:rsidRPr="00B62036">
        <w:rPr>
          <w:rFonts w:ascii="Gill Sans MT" w:hAnsi="Gill Sans MT"/>
          <w:sz w:val="20"/>
          <w:szCs w:val="20"/>
        </w:rPr>
        <w:t xml:space="preserve">. The armed group has carried out asymmetric operations targeting federal state officials, security apparatus, development agencies and government installations. </w:t>
      </w:r>
      <w:r w:rsidR="00460712" w:rsidRPr="00B62036">
        <w:rPr>
          <w:rFonts w:ascii="Gill Sans MT" w:hAnsi="Gill Sans MT"/>
          <w:sz w:val="20"/>
          <w:szCs w:val="20"/>
        </w:rPr>
        <w:t>Communities interviewed</w:t>
      </w:r>
      <w:r w:rsidRPr="00B62036">
        <w:rPr>
          <w:rFonts w:ascii="Gill Sans MT" w:hAnsi="Gill Sans MT"/>
          <w:sz w:val="20"/>
          <w:szCs w:val="20"/>
        </w:rPr>
        <w:t xml:space="preserve"> explained </w:t>
      </w:r>
      <w:r w:rsidR="00460712" w:rsidRPr="00B62036">
        <w:rPr>
          <w:rFonts w:ascii="Gill Sans MT" w:hAnsi="Gill Sans MT"/>
          <w:sz w:val="20"/>
          <w:szCs w:val="20"/>
        </w:rPr>
        <w:t xml:space="preserve">that </w:t>
      </w:r>
      <w:r w:rsidRPr="00B62036">
        <w:rPr>
          <w:rFonts w:ascii="Gill Sans MT" w:hAnsi="Gill Sans MT"/>
          <w:sz w:val="20"/>
          <w:szCs w:val="20"/>
        </w:rPr>
        <w:t>Al-Shabab extort money inform of taxation and disrupt the livelihoods of the farmers by taxing their proceeds and put</w:t>
      </w:r>
      <w:r w:rsidR="00460712" w:rsidRPr="00B62036">
        <w:rPr>
          <w:rFonts w:ascii="Gill Sans MT" w:hAnsi="Gill Sans MT"/>
          <w:sz w:val="20"/>
          <w:szCs w:val="20"/>
        </w:rPr>
        <w:t>ting</w:t>
      </w:r>
      <w:r w:rsidRPr="00B62036">
        <w:rPr>
          <w:rFonts w:ascii="Gill Sans MT" w:hAnsi="Gill Sans MT"/>
          <w:sz w:val="20"/>
          <w:szCs w:val="20"/>
        </w:rPr>
        <w:t xml:space="preserve"> </w:t>
      </w:r>
      <w:r w:rsidR="00460712" w:rsidRPr="00B62036">
        <w:rPr>
          <w:rFonts w:ascii="Gill Sans MT" w:hAnsi="Gill Sans MT"/>
          <w:sz w:val="20"/>
          <w:szCs w:val="20"/>
        </w:rPr>
        <w:t>a blockage on</w:t>
      </w:r>
      <w:r w:rsidRPr="00B62036">
        <w:rPr>
          <w:rFonts w:ascii="Gill Sans MT" w:hAnsi="Gill Sans MT"/>
          <w:sz w:val="20"/>
          <w:szCs w:val="20"/>
        </w:rPr>
        <w:t xml:space="preserve"> the city. The Ethiopian troops who are part of AMISOM are propping </w:t>
      </w:r>
      <w:r w:rsidR="00460712" w:rsidRPr="00B62036">
        <w:rPr>
          <w:rFonts w:ascii="Gill Sans MT" w:hAnsi="Gill Sans MT"/>
          <w:sz w:val="20"/>
          <w:szCs w:val="20"/>
        </w:rPr>
        <w:t xml:space="preserve">up </w:t>
      </w:r>
      <w:r w:rsidRPr="00B62036">
        <w:rPr>
          <w:rFonts w:ascii="Gill Sans MT" w:hAnsi="Gill Sans MT"/>
          <w:sz w:val="20"/>
          <w:szCs w:val="20"/>
        </w:rPr>
        <w:t>the administration and maintaining security in Baidoa airport that is hosting the government offices and some UN agencies. Al-Shabab has thrived on clan divisions and tapped into clan grievances. Given the deep divisions w</w:t>
      </w:r>
      <w:r w:rsidR="00460712" w:rsidRPr="00B62036">
        <w:rPr>
          <w:rFonts w:ascii="Gill Sans MT" w:hAnsi="Gill Sans MT"/>
          <w:sz w:val="20"/>
          <w:szCs w:val="20"/>
        </w:rPr>
        <w:t xml:space="preserve">ithin the communities in Baidoa, Al-Shabab </w:t>
      </w:r>
      <w:r w:rsidRPr="00B62036">
        <w:rPr>
          <w:rFonts w:ascii="Gill Sans MT" w:hAnsi="Gill Sans MT"/>
          <w:sz w:val="20"/>
          <w:szCs w:val="20"/>
        </w:rPr>
        <w:t>play</w:t>
      </w:r>
      <w:r w:rsidR="00460712" w:rsidRPr="00B62036">
        <w:rPr>
          <w:rFonts w:ascii="Gill Sans MT" w:hAnsi="Gill Sans MT"/>
          <w:sz w:val="20"/>
          <w:szCs w:val="20"/>
        </w:rPr>
        <w:t>s</w:t>
      </w:r>
      <w:r w:rsidRPr="00B62036">
        <w:rPr>
          <w:rFonts w:ascii="Gill Sans MT" w:hAnsi="Gill Sans MT"/>
          <w:sz w:val="20"/>
          <w:szCs w:val="20"/>
        </w:rPr>
        <w:t xml:space="preserve"> off clans and </w:t>
      </w:r>
      <w:r w:rsidR="00460712" w:rsidRPr="00B62036">
        <w:rPr>
          <w:rFonts w:ascii="Gill Sans MT" w:hAnsi="Gill Sans MT"/>
          <w:sz w:val="20"/>
          <w:szCs w:val="20"/>
        </w:rPr>
        <w:t>lures</w:t>
      </w:r>
      <w:r w:rsidRPr="00B62036">
        <w:rPr>
          <w:rFonts w:ascii="Gill Sans MT" w:hAnsi="Gill Sans MT"/>
          <w:sz w:val="20"/>
          <w:szCs w:val="20"/>
        </w:rPr>
        <w:t xml:space="preserve"> many of the unemployed youth to join their ranks in the guise of establishing a Muslim nation in Somalia. Therefore there is need to promote anti-radicalization narrative and support employment opportunities especially such as life skills and provision of livelihood support in</w:t>
      </w:r>
      <w:r w:rsidR="00460712" w:rsidRPr="00B62036">
        <w:rPr>
          <w:rFonts w:ascii="Gill Sans MT" w:hAnsi="Gill Sans MT"/>
          <w:sz w:val="20"/>
          <w:szCs w:val="20"/>
        </w:rPr>
        <w:t xml:space="preserve"> </w:t>
      </w:r>
      <w:r w:rsidRPr="00B62036">
        <w:rPr>
          <w:rFonts w:ascii="Gill Sans MT" w:hAnsi="Gill Sans MT"/>
          <w:sz w:val="20"/>
          <w:szCs w:val="20"/>
        </w:rPr>
        <w:t xml:space="preserve">form of start-up kits to promote reintegration for the youth from the various community segments and prevent the risk of being radicalized or migrating to overseas.   </w:t>
      </w:r>
    </w:p>
    <w:p w14:paraId="49F92146" w14:textId="77777777" w:rsidR="00531A4D" w:rsidRPr="00B62036" w:rsidRDefault="00DC0659" w:rsidP="003A6010">
      <w:pPr>
        <w:pStyle w:val="Heading2"/>
      </w:pPr>
      <w:bookmarkStart w:id="6" w:name="_Toc419359849"/>
      <w:r w:rsidRPr="00B62036">
        <w:t xml:space="preserve">Purpose </w:t>
      </w:r>
      <w:r w:rsidR="00531A4D" w:rsidRPr="00B62036">
        <w:t>of the</w:t>
      </w:r>
      <w:r w:rsidR="00AA0243" w:rsidRPr="00B62036">
        <w:t xml:space="preserve"> E</w:t>
      </w:r>
      <w:r w:rsidR="00030058" w:rsidRPr="00B62036">
        <w:t>valuation</w:t>
      </w:r>
      <w:bookmarkEnd w:id="6"/>
    </w:p>
    <w:p w14:paraId="757E5BFC" w14:textId="1C666BC3" w:rsidR="009E3020" w:rsidRPr="00B62036" w:rsidRDefault="00531A4D" w:rsidP="00230515">
      <w:pPr>
        <w:spacing w:line="276" w:lineRule="auto"/>
        <w:jc w:val="both"/>
        <w:rPr>
          <w:rFonts w:ascii="Gill Sans MT" w:hAnsi="Gill Sans MT" w:cs="Arial"/>
          <w:sz w:val="20"/>
          <w:szCs w:val="20"/>
        </w:rPr>
      </w:pPr>
      <w:r w:rsidRPr="00B62036">
        <w:rPr>
          <w:rFonts w:ascii="Gill Sans MT" w:hAnsi="Gill Sans MT" w:cs="Arial"/>
          <w:sz w:val="20"/>
          <w:szCs w:val="20"/>
        </w:rPr>
        <w:t>The</w:t>
      </w:r>
      <w:r w:rsidR="009F410D" w:rsidRPr="00B62036">
        <w:rPr>
          <w:rFonts w:ascii="Gill Sans MT" w:hAnsi="Gill Sans MT" w:cs="Arial"/>
          <w:sz w:val="20"/>
          <w:szCs w:val="20"/>
        </w:rPr>
        <w:t xml:space="preserve"> objective of the evaluation is t</w:t>
      </w:r>
      <w:r w:rsidRPr="00B62036">
        <w:rPr>
          <w:rFonts w:ascii="Gill Sans MT" w:hAnsi="Gill Sans MT" w:cs="Arial"/>
          <w:sz w:val="20"/>
          <w:szCs w:val="20"/>
        </w:rPr>
        <w:t xml:space="preserve">o assess the efficiency, effectiveness, accountability and impact of the different projects and activities that the partners implemented in Baidoa district, South West State, Somalia and in Dadaab, Kenya. </w:t>
      </w:r>
      <w:r w:rsidR="009F410D" w:rsidRPr="00B62036">
        <w:rPr>
          <w:rFonts w:ascii="Gill Sans MT" w:hAnsi="Gill Sans MT" w:cs="Arial"/>
          <w:sz w:val="20"/>
          <w:szCs w:val="20"/>
        </w:rPr>
        <w:t>The evaluation further sought to assess</w:t>
      </w:r>
      <w:r w:rsidRPr="00B62036">
        <w:rPr>
          <w:rFonts w:ascii="Gill Sans MT" w:hAnsi="Gill Sans MT" w:cs="Arial"/>
          <w:sz w:val="20"/>
          <w:szCs w:val="20"/>
        </w:rPr>
        <w:t xml:space="preserve"> the extent to which the project has reached the desired outcomes</w:t>
      </w:r>
      <w:r w:rsidR="00E03B5E" w:rsidRPr="00B62036">
        <w:rPr>
          <w:rFonts w:ascii="Gill Sans MT" w:hAnsi="Gill Sans MT"/>
          <w:sz w:val="20"/>
          <w:szCs w:val="20"/>
        </w:rPr>
        <w:t xml:space="preserve"> and </w:t>
      </w:r>
      <w:r w:rsidR="00E03B5E" w:rsidRPr="00B62036">
        <w:rPr>
          <w:rFonts w:ascii="Gill Sans MT" w:hAnsi="Gill Sans MT" w:cs="Arial"/>
          <w:sz w:val="20"/>
          <w:szCs w:val="20"/>
        </w:rPr>
        <w:t xml:space="preserve">how it managed </w:t>
      </w:r>
      <w:r w:rsidR="005706BD" w:rsidRPr="00B62036">
        <w:rPr>
          <w:rFonts w:ascii="Gill Sans MT" w:hAnsi="Gill Sans MT" w:cs="Arial"/>
          <w:sz w:val="20"/>
          <w:szCs w:val="20"/>
        </w:rPr>
        <w:t xml:space="preserve">relevant risks. In </w:t>
      </w:r>
      <w:r w:rsidR="00E03B5E" w:rsidRPr="00B62036">
        <w:rPr>
          <w:rFonts w:ascii="Gill Sans MT" w:hAnsi="Gill Sans MT" w:cs="Arial"/>
          <w:sz w:val="20"/>
          <w:szCs w:val="20"/>
        </w:rPr>
        <w:t>addition, the evalu</w:t>
      </w:r>
      <w:r w:rsidR="009F410D" w:rsidRPr="00B62036">
        <w:rPr>
          <w:rFonts w:ascii="Gill Sans MT" w:hAnsi="Gill Sans MT" w:cs="Arial"/>
          <w:sz w:val="20"/>
          <w:szCs w:val="20"/>
        </w:rPr>
        <w:t xml:space="preserve">ation </w:t>
      </w:r>
      <w:r w:rsidR="00E03B5E" w:rsidRPr="00B62036">
        <w:rPr>
          <w:rFonts w:ascii="Gill Sans MT" w:hAnsi="Gill Sans MT" w:cs="Arial"/>
          <w:sz w:val="20"/>
          <w:szCs w:val="20"/>
        </w:rPr>
        <w:t>review</w:t>
      </w:r>
      <w:r w:rsidR="009F410D" w:rsidRPr="00B62036">
        <w:rPr>
          <w:rFonts w:ascii="Gill Sans MT" w:hAnsi="Gill Sans MT" w:cs="Arial"/>
          <w:sz w:val="20"/>
          <w:szCs w:val="20"/>
        </w:rPr>
        <w:t>s</w:t>
      </w:r>
      <w:r w:rsidR="00E03B5E" w:rsidRPr="00B62036">
        <w:rPr>
          <w:rFonts w:ascii="Gill Sans MT" w:hAnsi="Gill Sans MT" w:cs="Arial"/>
          <w:sz w:val="20"/>
          <w:szCs w:val="20"/>
        </w:rPr>
        <w:t xml:space="preserve"> the changes made on the project activities as</w:t>
      </w:r>
      <w:r w:rsidR="009F410D" w:rsidRPr="00B62036">
        <w:rPr>
          <w:rFonts w:ascii="Gill Sans MT" w:hAnsi="Gill Sans MT" w:cs="Arial"/>
          <w:sz w:val="20"/>
          <w:szCs w:val="20"/>
        </w:rPr>
        <w:t xml:space="preserve"> a result</w:t>
      </w:r>
      <w:r w:rsidR="00E03B5E" w:rsidRPr="00B62036">
        <w:rPr>
          <w:rFonts w:ascii="Gill Sans MT" w:hAnsi="Gill Sans MT" w:cs="Arial"/>
          <w:sz w:val="20"/>
          <w:szCs w:val="20"/>
        </w:rPr>
        <w:t xml:space="preserve"> of the severe drought in 2016/17 that resulted </w:t>
      </w:r>
      <w:r w:rsidR="009F410D" w:rsidRPr="00B62036">
        <w:rPr>
          <w:rFonts w:ascii="Gill Sans MT" w:hAnsi="Gill Sans MT" w:cs="Arial"/>
          <w:sz w:val="20"/>
          <w:szCs w:val="20"/>
        </w:rPr>
        <w:t xml:space="preserve">in the </w:t>
      </w:r>
      <w:r w:rsidR="00E03B5E" w:rsidRPr="00B62036">
        <w:rPr>
          <w:rFonts w:ascii="Gill Sans MT" w:hAnsi="Gill Sans MT" w:cs="Arial"/>
          <w:sz w:val="20"/>
          <w:szCs w:val="20"/>
        </w:rPr>
        <w:t>influx of IDPs</w:t>
      </w:r>
      <w:r w:rsidR="009F410D" w:rsidRPr="00B62036">
        <w:rPr>
          <w:rFonts w:ascii="Gill Sans MT" w:hAnsi="Gill Sans MT" w:cs="Arial"/>
          <w:sz w:val="20"/>
          <w:szCs w:val="20"/>
        </w:rPr>
        <w:t>;</w:t>
      </w:r>
      <w:r w:rsidR="00E03B5E" w:rsidRPr="00B62036">
        <w:rPr>
          <w:rFonts w:ascii="Gill Sans MT" w:hAnsi="Gill Sans MT" w:cs="Arial"/>
          <w:sz w:val="20"/>
          <w:szCs w:val="20"/>
        </w:rPr>
        <w:t xml:space="preserve"> and whether these activities contributed to the original project outcomes and the project’s theory of change.  </w:t>
      </w:r>
    </w:p>
    <w:p w14:paraId="0B9BBF6C" w14:textId="77777777" w:rsidR="00030058" w:rsidRPr="00B62036" w:rsidRDefault="00030058" w:rsidP="00230515">
      <w:pPr>
        <w:jc w:val="both"/>
        <w:rPr>
          <w:rFonts w:ascii="Gill Sans MT" w:hAnsi="Gill Sans MT" w:cs="Arial"/>
          <w:sz w:val="20"/>
          <w:szCs w:val="20"/>
        </w:rPr>
        <w:sectPr w:rsidR="00030058" w:rsidRPr="00B62036" w:rsidSect="00117C8B">
          <w:pgSz w:w="12240" w:h="15840"/>
          <w:pgMar w:top="1440" w:right="1440" w:bottom="1440" w:left="1440" w:header="720" w:footer="720" w:gutter="0"/>
          <w:pgNumType w:fmt="numberInDash"/>
          <w:cols w:space="720"/>
          <w:docGrid w:linePitch="360"/>
        </w:sectPr>
      </w:pPr>
    </w:p>
    <w:p w14:paraId="2483380E" w14:textId="77777777" w:rsidR="00BC4369" w:rsidRPr="00B62036" w:rsidRDefault="00BC4369" w:rsidP="005D458E">
      <w:pPr>
        <w:pStyle w:val="Heading1"/>
        <w:pBdr>
          <w:bottom w:val="single" w:sz="18" w:space="1" w:color="00B0F0"/>
        </w:pBdr>
      </w:pPr>
      <w:bookmarkStart w:id="7" w:name="_Toc419359850"/>
      <w:r w:rsidRPr="00B62036">
        <w:lastRenderedPageBreak/>
        <w:t>Methodology</w:t>
      </w:r>
      <w:bookmarkEnd w:id="7"/>
    </w:p>
    <w:p w14:paraId="590A3126" w14:textId="77777777" w:rsidR="00BC6752" w:rsidRPr="00B62036" w:rsidRDefault="00BC4369" w:rsidP="003A6010">
      <w:pPr>
        <w:pStyle w:val="Heading2"/>
      </w:pPr>
      <w:bookmarkStart w:id="8" w:name="_Toc419359851"/>
      <w:r w:rsidRPr="00B62036">
        <w:t>Approach</w:t>
      </w:r>
      <w:bookmarkEnd w:id="8"/>
    </w:p>
    <w:p w14:paraId="7DE2026F" w14:textId="60BD5800" w:rsidR="00665BDA" w:rsidRDefault="00665BDA" w:rsidP="00230515">
      <w:pPr>
        <w:spacing w:line="276" w:lineRule="auto"/>
        <w:jc w:val="both"/>
        <w:rPr>
          <w:rFonts w:ascii="Gill Sans MT" w:hAnsi="Gill Sans MT" w:cs="Arial"/>
          <w:sz w:val="20"/>
          <w:szCs w:val="20"/>
          <w:lang w:val="en-GB"/>
        </w:rPr>
      </w:pPr>
      <w:r w:rsidRPr="00B62036">
        <w:rPr>
          <w:rFonts w:ascii="Gill Sans MT" w:hAnsi="Gill Sans MT" w:cs="Arial"/>
          <w:sz w:val="20"/>
          <w:szCs w:val="20"/>
        </w:rPr>
        <w:t>The study primarily adopted a mixed-design approach, using both quantitative and qualitative technique</w:t>
      </w:r>
      <w:r w:rsidR="00EE0886">
        <w:rPr>
          <w:rFonts w:ascii="Gill Sans MT" w:hAnsi="Gill Sans MT" w:cs="Arial"/>
          <w:sz w:val="20"/>
          <w:szCs w:val="20"/>
        </w:rPr>
        <w:t xml:space="preserve"> because the</w:t>
      </w:r>
      <w:r w:rsidRPr="00B62036">
        <w:rPr>
          <w:rFonts w:ascii="Gill Sans MT" w:hAnsi="Gill Sans MT" w:cs="Arial"/>
          <w:sz w:val="20"/>
          <w:szCs w:val="20"/>
          <w:lang w:val="en-GB"/>
        </w:rPr>
        <w:t xml:space="preserve"> methods compensate for each other’s weaknesses; and each approach provides more value when used in a mixed-method design, providing information and conclusions that are more coherent, reliable, and useful than those from single-method studies. Qualitative methods also improve survey design, identify social issues that are hard to quantify, and uncover unanticipated processes or outcomes. </w:t>
      </w:r>
    </w:p>
    <w:p w14:paraId="2E7A8ACC" w14:textId="77777777" w:rsidR="00742607" w:rsidRPr="00B62036" w:rsidRDefault="00742607" w:rsidP="00230515">
      <w:pPr>
        <w:spacing w:line="276" w:lineRule="auto"/>
        <w:jc w:val="both"/>
        <w:rPr>
          <w:rFonts w:ascii="Gill Sans MT" w:hAnsi="Gill Sans MT" w:cs="Arial"/>
          <w:sz w:val="20"/>
          <w:szCs w:val="20"/>
          <w:lang w:val="en-GB"/>
        </w:rPr>
      </w:pPr>
    </w:p>
    <w:p w14:paraId="5A6A7D03" w14:textId="7F88643E" w:rsidR="00BB62DC" w:rsidRPr="00742607" w:rsidRDefault="00665BDA" w:rsidP="00935322">
      <w:pPr>
        <w:spacing w:line="276" w:lineRule="auto"/>
        <w:jc w:val="both"/>
        <w:rPr>
          <w:rFonts w:ascii="Gill Sans MT" w:hAnsi="Gill Sans MT" w:cs="Arial"/>
          <w:sz w:val="20"/>
          <w:szCs w:val="20"/>
          <w:lang w:val="en-GB"/>
        </w:rPr>
      </w:pPr>
      <w:r w:rsidRPr="00B62036">
        <w:rPr>
          <w:rFonts w:ascii="Gill Sans MT" w:hAnsi="Gill Sans MT" w:cs="Arial"/>
          <w:sz w:val="20"/>
          <w:szCs w:val="20"/>
          <w:lang w:val="en-GB"/>
        </w:rPr>
        <w:t xml:space="preserve">Different qualitative data collection tools such as focus group discussions (FGDs), key informant interviews (KIIs), observations, and desk reviews of relevant literature were used. This was complemented by quantitative data from a sample of </w:t>
      </w:r>
      <w:r w:rsidR="00703DD1" w:rsidRPr="00B62036">
        <w:rPr>
          <w:rFonts w:ascii="Gill Sans MT" w:hAnsi="Gill Sans MT" w:cs="Arial"/>
          <w:sz w:val="20"/>
          <w:szCs w:val="20"/>
          <w:lang w:val="en-GB"/>
        </w:rPr>
        <w:t>591</w:t>
      </w:r>
      <w:r w:rsidRPr="00B62036">
        <w:rPr>
          <w:rFonts w:ascii="Gill Sans MT" w:hAnsi="Gill Sans MT" w:cs="Arial"/>
          <w:sz w:val="20"/>
          <w:szCs w:val="20"/>
          <w:lang w:val="en-GB"/>
        </w:rPr>
        <w:t xml:space="preserve"> households across various settlements in Baidoa. Researchcare used mobile-based data collection system (ONA) for the household survey and data was collected using mobile/tablet devices and transmitted to secure online cloud servers on daily basis. </w:t>
      </w:r>
      <w:r w:rsidR="00742607">
        <w:rPr>
          <w:rFonts w:ascii="Gill Sans MT" w:hAnsi="Gill Sans MT" w:cs="Arial"/>
          <w:sz w:val="20"/>
          <w:szCs w:val="20"/>
          <w:lang w:val="en-GB"/>
        </w:rPr>
        <w:t xml:space="preserve"> </w:t>
      </w:r>
      <w:r w:rsidR="006E7316" w:rsidRPr="00B62036">
        <w:rPr>
          <w:rFonts w:ascii="Gill Sans MT" w:hAnsi="Gill Sans MT"/>
          <w:sz w:val="20"/>
          <w:szCs w:val="20"/>
          <w:lang w:eastAsia="en-GB"/>
        </w:rPr>
        <w:t xml:space="preserve">The evaluation </w:t>
      </w:r>
      <w:r w:rsidR="00BB62DC" w:rsidRPr="00B62036">
        <w:rPr>
          <w:rFonts w:ascii="Gill Sans MT" w:hAnsi="Gill Sans MT"/>
          <w:sz w:val="20"/>
          <w:szCs w:val="20"/>
          <w:lang w:eastAsia="en-GB"/>
        </w:rPr>
        <w:t>employ</w:t>
      </w:r>
      <w:r w:rsidR="006E7316" w:rsidRPr="00B62036">
        <w:rPr>
          <w:rFonts w:ascii="Gill Sans MT" w:hAnsi="Gill Sans MT"/>
          <w:sz w:val="20"/>
          <w:szCs w:val="20"/>
          <w:lang w:eastAsia="en-GB"/>
        </w:rPr>
        <w:t xml:space="preserve">ed </w:t>
      </w:r>
      <w:r w:rsidR="00BB62DC" w:rsidRPr="00B62036">
        <w:rPr>
          <w:rFonts w:ascii="Gill Sans MT" w:hAnsi="Gill Sans MT"/>
          <w:sz w:val="20"/>
          <w:szCs w:val="20"/>
          <w:lang w:eastAsia="en-GB"/>
        </w:rPr>
        <w:t>five specific evaluation criteria from the OECD-DAC criteria to guide the study in addition to extracting lessons learnt. These are</w:t>
      </w:r>
      <w:r w:rsidR="006E7316" w:rsidRPr="00B62036">
        <w:rPr>
          <w:rFonts w:ascii="Gill Sans MT" w:hAnsi="Gill Sans MT"/>
          <w:sz w:val="20"/>
          <w:szCs w:val="20"/>
          <w:lang w:eastAsia="en-GB"/>
        </w:rPr>
        <w:t>;</w:t>
      </w:r>
      <w:r w:rsidR="00BB62DC" w:rsidRPr="00B62036">
        <w:rPr>
          <w:rFonts w:ascii="Gill Sans MT" w:hAnsi="Gill Sans MT"/>
          <w:sz w:val="20"/>
          <w:szCs w:val="20"/>
          <w:lang w:eastAsia="en-GB"/>
        </w:rPr>
        <w:t xml:space="preserve"> assessing the efficiency, effectiveness, Accountability to Affected Population (AAP), efficiency of the coordination mechanisms and sustainability</w:t>
      </w:r>
      <w:r w:rsidR="006E7316" w:rsidRPr="00B62036">
        <w:rPr>
          <w:rFonts w:ascii="Gill Sans MT" w:hAnsi="Gill Sans MT"/>
          <w:sz w:val="20"/>
          <w:szCs w:val="20"/>
          <w:lang w:eastAsia="en-GB"/>
        </w:rPr>
        <w:t xml:space="preserve"> of the</w:t>
      </w:r>
      <w:r w:rsidR="00935322">
        <w:rPr>
          <w:rFonts w:ascii="Gill Sans MT" w:hAnsi="Gill Sans MT"/>
          <w:sz w:val="20"/>
          <w:szCs w:val="20"/>
          <w:lang w:eastAsia="en-GB"/>
        </w:rPr>
        <w:t xml:space="preserve"> re-integration project. </w:t>
      </w:r>
    </w:p>
    <w:p w14:paraId="19E24E20" w14:textId="6956336F" w:rsidR="005446EB" w:rsidRPr="00B62036" w:rsidRDefault="005446EB" w:rsidP="003A6010">
      <w:pPr>
        <w:pStyle w:val="Heading2"/>
        <w:rPr>
          <w:rFonts w:eastAsia="Calibri"/>
        </w:rPr>
      </w:pPr>
      <w:bookmarkStart w:id="9" w:name="_Toc434872770"/>
      <w:bookmarkStart w:id="10" w:name="_Toc445206969"/>
      <w:bookmarkStart w:id="11" w:name="_Toc504836882"/>
      <w:bookmarkStart w:id="12" w:name="_Toc419359852"/>
      <w:r w:rsidRPr="00B62036">
        <w:t>Sampling Procedure</w:t>
      </w:r>
      <w:bookmarkEnd w:id="9"/>
      <w:bookmarkEnd w:id="10"/>
      <w:bookmarkEnd w:id="11"/>
      <w:bookmarkEnd w:id="12"/>
    </w:p>
    <w:p w14:paraId="16D9F2CC" w14:textId="7999E4C2" w:rsidR="00A32993" w:rsidRPr="00935322" w:rsidRDefault="00703DD1" w:rsidP="00935322">
      <w:pPr>
        <w:autoSpaceDE w:val="0"/>
        <w:autoSpaceDN w:val="0"/>
        <w:adjustRightInd w:val="0"/>
        <w:spacing w:line="276" w:lineRule="auto"/>
        <w:jc w:val="both"/>
        <w:rPr>
          <w:rFonts w:ascii="Gill Sans MT" w:hAnsi="Gill Sans MT" w:cs="Arial"/>
          <w:sz w:val="20"/>
          <w:szCs w:val="20"/>
          <w:lang w:val="en-GB"/>
        </w:rPr>
      </w:pPr>
      <w:r w:rsidRPr="00B62036">
        <w:rPr>
          <w:rFonts w:ascii="Gill Sans MT" w:hAnsi="Gill Sans MT" w:cs="Arial"/>
          <w:sz w:val="20"/>
          <w:szCs w:val="20"/>
          <w:lang w:val="en-GB"/>
        </w:rPr>
        <w:t>To ensure representativeness, a disproportionate and systematic sampling method was used to ensure equity in household distribution and representation in the final sample of the quantitative survey. A number of steps were followed. The population and sample was first determined, followed by the selection of the villages and respondents.</w:t>
      </w:r>
      <w:r w:rsidR="00935322">
        <w:rPr>
          <w:rFonts w:ascii="Gill Sans MT" w:hAnsi="Gill Sans MT" w:cs="Arial"/>
          <w:sz w:val="20"/>
          <w:szCs w:val="20"/>
          <w:lang w:val="en-GB"/>
        </w:rPr>
        <w:t xml:space="preserve"> </w:t>
      </w:r>
      <w:r w:rsidRPr="00B62036">
        <w:rPr>
          <w:rFonts w:ascii="Gill Sans MT" w:hAnsi="Gill Sans MT" w:cs="Arial"/>
          <w:sz w:val="20"/>
          <w:szCs w:val="20"/>
          <w:lang w:val="en-GB"/>
        </w:rPr>
        <w:t xml:space="preserve">An appropriate sample size was then determined using a sample determination formula as illustrated below. Data was collected </w:t>
      </w:r>
      <w:r w:rsidR="00742607">
        <w:rPr>
          <w:rFonts w:ascii="Gill Sans MT" w:hAnsi="Gill Sans MT" w:cs="Arial"/>
          <w:sz w:val="20"/>
          <w:szCs w:val="20"/>
        </w:rPr>
        <w:t>from 200 returnees, 203 IDPs and 195</w:t>
      </w:r>
      <w:r w:rsidRPr="00B62036">
        <w:rPr>
          <w:rFonts w:ascii="Gill Sans MT" w:hAnsi="Gill Sans MT" w:cs="Arial"/>
          <w:sz w:val="20"/>
          <w:szCs w:val="20"/>
        </w:rPr>
        <w:t xml:space="preserve"> host communities in Baidoa to understand perception and opinion of both returnees, IDPs and host on return implications and impact using the using the sample </w:t>
      </w:r>
      <w:r w:rsidRPr="00B62036">
        <w:rPr>
          <w:rFonts w:ascii="Gill Sans MT" w:hAnsi="Gill Sans MT"/>
          <w:sz w:val="20"/>
          <w:szCs w:val="20"/>
        </w:rPr>
        <w:t>determination formula</w:t>
      </w:r>
      <w:r w:rsidRPr="00B62036">
        <w:rPr>
          <w:rStyle w:val="FootnoteReference"/>
          <w:rFonts w:ascii="Gill Sans MT" w:hAnsi="Gill Sans MT"/>
          <w:sz w:val="20"/>
          <w:szCs w:val="20"/>
        </w:rPr>
        <w:footnoteReference w:id="4"/>
      </w:r>
      <w:r w:rsidRPr="00B62036">
        <w:rPr>
          <w:rStyle w:val="FootnoteReference"/>
          <w:rFonts w:ascii="Gill Sans MT" w:hAnsi="Gill Sans MT"/>
          <w:sz w:val="20"/>
          <w:szCs w:val="20"/>
        </w:rPr>
        <w:footnoteReference w:id="5"/>
      </w:r>
      <w:r w:rsidRPr="00B62036">
        <w:rPr>
          <w:rFonts w:ascii="Gill Sans MT" w:hAnsi="Gill Sans MT"/>
          <w:sz w:val="20"/>
          <w:szCs w:val="20"/>
        </w:rPr>
        <w:t xml:space="preserve"> </w:t>
      </w:r>
      <w:r w:rsidRPr="00B62036">
        <w:rPr>
          <w:rFonts w:ascii="Gill Sans MT" w:hAnsi="Gill Sans MT" w:cs="Arial"/>
          <w:sz w:val="20"/>
          <w:szCs w:val="20"/>
          <w:lang w:val="en-GB"/>
        </w:rPr>
        <w:t xml:space="preserve">below. Systematic sampling method was used to select the direct households to participate in the study per selected village/settlement </w:t>
      </w:r>
      <w:r w:rsidRPr="00B62036">
        <w:rPr>
          <w:rFonts w:ascii="Gill Sans MT" w:hAnsi="Gill Sans MT"/>
          <w:sz w:val="20"/>
          <w:szCs w:val="20"/>
        </w:rPr>
        <w:t>of the Baidoa town selected and visited in consultation with UNHCR and the South West State administration</w:t>
      </w:r>
      <w:r w:rsidRPr="00B62036">
        <w:rPr>
          <w:rFonts w:ascii="Gill Sans MT" w:hAnsi="Gill Sans MT" w:cs="Arial"/>
          <w:sz w:val="20"/>
          <w:szCs w:val="20"/>
          <w:lang w:val="en-GB"/>
        </w:rPr>
        <w:t xml:space="preserve">. </w:t>
      </w:r>
      <w:r w:rsidR="00742607">
        <w:rPr>
          <w:rFonts w:ascii="Gill Sans MT" w:hAnsi="Gill Sans MT" w:cs="Arial"/>
          <w:sz w:val="20"/>
          <w:szCs w:val="20"/>
          <w:lang w:val="en-GB"/>
        </w:rPr>
        <w:t xml:space="preserve"> </w:t>
      </w:r>
      <w:r w:rsidR="00742607">
        <w:rPr>
          <w:rFonts w:ascii="Gill Sans MT" w:hAnsi="Gill Sans MT"/>
          <w:sz w:val="20"/>
          <w:szCs w:val="20"/>
        </w:rPr>
        <w:t>In total, 598</w:t>
      </w:r>
      <w:r w:rsidRPr="00B62036">
        <w:rPr>
          <w:rFonts w:ascii="Gill Sans MT" w:hAnsi="Gill Sans MT"/>
          <w:sz w:val="20"/>
          <w:szCs w:val="20"/>
        </w:rPr>
        <w:t xml:space="preserve"> households composed of returnees; IDPs and host communities participate</w:t>
      </w:r>
      <w:r w:rsidR="004453F8">
        <w:rPr>
          <w:rFonts w:ascii="Gill Sans MT" w:hAnsi="Gill Sans MT"/>
          <w:sz w:val="20"/>
          <w:szCs w:val="20"/>
        </w:rPr>
        <w:t>d</w:t>
      </w:r>
      <w:r w:rsidRPr="00B62036">
        <w:rPr>
          <w:rFonts w:ascii="Gill Sans MT" w:hAnsi="Gill Sans MT"/>
          <w:sz w:val="20"/>
          <w:szCs w:val="20"/>
        </w:rPr>
        <w:t xml:space="preserve"> on the perception survey of the evaluation. </w:t>
      </w:r>
      <w:r w:rsidRPr="00B62036">
        <w:rPr>
          <w:rFonts w:ascii="Gill Sans MT" w:hAnsi="Gill Sans MT" w:cs="Arial"/>
          <w:sz w:val="20"/>
          <w:szCs w:val="20"/>
          <w:lang w:val="en-GB"/>
        </w:rPr>
        <w:t>Systematic sampling ensures that each unit has equal probability of inclusion in the sample and the results are representative of the population. In this method of sampling, the researcher first randomly picks the first household from the population/settlement, followed by the selection of each n</w:t>
      </w:r>
      <w:r w:rsidRPr="00B62036">
        <w:rPr>
          <w:rFonts w:ascii="Gill Sans MT" w:hAnsi="Gill Sans MT" w:cs="Arial"/>
          <w:sz w:val="20"/>
          <w:szCs w:val="20"/>
          <w:vertAlign w:val="superscript"/>
          <w:lang w:val="en-GB"/>
        </w:rPr>
        <w:t>th</w:t>
      </w:r>
      <w:r w:rsidR="00935322">
        <w:rPr>
          <w:rFonts w:ascii="Gill Sans MT" w:hAnsi="Gill Sans MT" w:cs="Arial"/>
          <w:sz w:val="20"/>
          <w:szCs w:val="20"/>
          <w:lang w:val="en-GB"/>
        </w:rPr>
        <w:t xml:space="preserve"> subject.</w:t>
      </w:r>
    </w:p>
    <w:p w14:paraId="7B623654" w14:textId="77777777" w:rsidR="005446EB" w:rsidRPr="00B62036" w:rsidRDefault="005446EB" w:rsidP="003A6010">
      <w:pPr>
        <w:pStyle w:val="Heading2"/>
      </w:pPr>
      <w:bookmarkStart w:id="13" w:name="_Toc466902827"/>
      <w:bookmarkStart w:id="14" w:name="_Toc504836884"/>
      <w:bookmarkStart w:id="15" w:name="_Toc419359853"/>
      <w:bookmarkStart w:id="16" w:name="_Toc501950868"/>
      <w:r w:rsidRPr="00B62036">
        <w:t xml:space="preserve">Focus Group </w:t>
      </w:r>
      <w:bookmarkEnd w:id="13"/>
      <w:r w:rsidRPr="00B62036">
        <w:t>Discussions</w:t>
      </w:r>
      <w:bookmarkEnd w:id="14"/>
      <w:bookmarkEnd w:id="15"/>
      <w:r w:rsidRPr="00B62036">
        <w:t xml:space="preserve"> </w:t>
      </w:r>
      <w:bookmarkEnd w:id="16"/>
    </w:p>
    <w:p w14:paraId="63A0A86A" w14:textId="77777777" w:rsidR="00A32993" w:rsidRPr="00B62036" w:rsidRDefault="00A32993" w:rsidP="00230515">
      <w:pPr>
        <w:spacing w:line="276" w:lineRule="auto"/>
        <w:contextualSpacing/>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 xml:space="preserve">Purposive sampling technique was used to select key informants and FGD participants to partake in the study. The use of this technique was helpful in the selection of participants who are especially informative and possess the knowledge, ideas or experiences that are particularly relevant to the topic of the study. In the selection of the participants, Researchcare observed gender sensitivity and demographic characteristics of the participants. Researchcare ensured that the targeted groups are the precise groups able to provide the required information for a better understanding of the context. To maximize participation among selected respondents, separate FGDs were arranged for women, elders and men. 8-12 members participated in each discussion group that was facilitated by two experienced research assistants. </w:t>
      </w:r>
    </w:p>
    <w:p w14:paraId="6D89B361" w14:textId="221BA211" w:rsidR="005446EB" w:rsidRPr="00B62036" w:rsidRDefault="00D71EDD" w:rsidP="00230515">
      <w:pPr>
        <w:spacing w:line="276" w:lineRule="auto"/>
        <w:contextualSpacing/>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lastRenderedPageBreak/>
        <w:t>A total of 1</w:t>
      </w:r>
      <w:r w:rsidR="005819EF" w:rsidRPr="00B62036">
        <w:rPr>
          <w:rFonts w:ascii="Gill Sans MT" w:hAnsi="Gill Sans MT" w:cs="Arial"/>
          <w:color w:val="000000" w:themeColor="text1"/>
          <w:sz w:val="20"/>
          <w:szCs w:val="20"/>
          <w:lang w:val="en-GB"/>
        </w:rPr>
        <w:t>8</w:t>
      </w:r>
      <w:r w:rsidR="003773D4" w:rsidRPr="00B62036">
        <w:rPr>
          <w:rFonts w:ascii="Gill Sans MT" w:hAnsi="Gill Sans MT" w:cs="Arial"/>
          <w:color w:val="000000" w:themeColor="text1"/>
          <w:sz w:val="20"/>
          <w:szCs w:val="20"/>
          <w:lang w:val="en-GB"/>
        </w:rPr>
        <w:t xml:space="preserve"> FGDs composed of </w:t>
      </w:r>
      <w:r w:rsidR="00324CAF" w:rsidRPr="00B62036">
        <w:rPr>
          <w:rFonts w:ascii="Gill Sans MT" w:hAnsi="Gill Sans MT" w:cs="Arial"/>
          <w:color w:val="000000" w:themeColor="text1"/>
          <w:sz w:val="20"/>
          <w:szCs w:val="20"/>
          <w:lang w:val="en-GB"/>
        </w:rPr>
        <w:t xml:space="preserve">youth; women and elders were </w:t>
      </w:r>
      <w:r w:rsidR="003773D4" w:rsidRPr="00B62036">
        <w:rPr>
          <w:rFonts w:ascii="Gill Sans MT" w:hAnsi="Gill Sans MT" w:cs="Arial"/>
          <w:color w:val="000000" w:themeColor="text1"/>
          <w:sz w:val="20"/>
          <w:szCs w:val="20"/>
          <w:lang w:val="en-GB"/>
        </w:rPr>
        <w:t>conducted</w:t>
      </w:r>
      <w:r w:rsidRPr="00B62036">
        <w:rPr>
          <w:rFonts w:ascii="Gill Sans MT" w:hAnsi="Gill Sans MT" w:cs="Arial"/>
          <w:color w:val="000000" w:themeColor="text1"/>
          <w:sz w:val="20"/>
          <w:szCs w:val="20"/>
          <w:lang w:val="en-GB"/>
        </w:rPr>
        <w:t xml:space="preserve"> as indicated in table 3.</w:t>
      </w:r>
      <w:r w:rsidR="003773D4" w:rsidRPr="00B62036">
        <w:rPr>
          <w:rFonts w:ascii="Gill Sans MT" w:hAnsi="Gill Sans MT" w:cs="Arial"/>
          <w:color w:val="000000" w:themeColor="text1"/>
          <w:sz w:val="20"/>
          <w:szCs w:val="20"/>
          <w:lang w:val="en-GB"/>
        </w:rPr>
        <w:t xml:space="preserve">  </w:t>
      </w:r>
      <w:r w:rsidR="005819EF" w:rsidRPr="00B62036">
        <w:rPr>
          <w:rFonts w:ascii="Gill Sans MT" w:hAnsi="Gill Sans MT" w:cs="Arial"/>
          <w:color w:val="000000" w:themeColor="text1"/>
          <w:sz w:val="20"/>
          <w:szCs w:val="20"/>
          <w:lang w:val="en-GB"/>
        </w:rPr>
        <w:t xml:space="preserve">Twelve </w:t>
      </w:r>
      <w:r w:rsidR="00324CAF" w:rsidRPr="00B62036">
        <w:rPr>
          <w:rFonts w:ascii="Gill Sans MT" w:hAnsi="Gill Sans MT" w:cs="Arial"/>
          <w:color w:val="000000" w:themeColor="text1"/>
          <w:sz w:val="20"/>
          <w:szCs w:val="20"/>
          <w:lang w:val="en-GB"/>
        </w:rPr>
        <w:t xml:space="preserve">(12) </w:t>
      </w:r>
      <w:r w:rsidR="003773D4" w:rsidRPr="00B62036">
        <w:rPr>
          <w:rFonts w:ascii="Gill Sans MT" w:hAnsi="Gill Sans MT" w:cs="Arial"/>
          <w:color w:val="000000" w:themeColor="text1"/>
          <w:sz w:val="20"/>
          <w:szCs w:val="20"/>
          <w:lang w:val="en-GB"/>
        </w:rPr>
        <w:t>FGDs</w:t>
      </w:r>
      <w:r w:rsidR="00324CAF" w:rsidRPr="00B62036">
        <w:rPr>
          <w:rFonts w:ascii="Gill Sans MT" w:hAnsi="Gill Sans MT" w:cs="Arial"/>
          <w:color w:val="000000" w:themeColor="text1"/>
          <w:sz w:val="20"/>
          <w:szCs w:val="20"/>
          <w:lang w:val="en-GB"/>
        </w:rPr>
        <w:t xml:space="preserve"> composed of 6 r</w:t>
      </w:r>
      <w:r w:rsidR="00D51178" w:rsidRPr="00B62036">
        <w:rPr>
          <w:rFonts w:ascii="Gill Sans MT" w:hAnsi="Gill Sans MT" w:cs="Arial"/>
          <w:color w:val="000000" w:themeColor="text1"/>
          <w:sz w:val="20"/>
          <w:szCs w:val="20"/>
          <w:lang w:val="en-GB"/>
        </w:rPr>
        <w:t>eturnee FGDs</w:t>
      </w:r>
      <w:r w:rsidR="005819EF" w:rsidRPr="00B62036">
        <w:rPr>
          <w:rFonts w:ascii="Gill Sans MT" w:hAnsi="Gill Sans MT" w:cs="Arial"/>
          <w:color w:val="000000" w:themeColor="text1"/>
          <w:sz w:val="20"/>
          <w:szCs w:val="20"/>
          <w:lang w:val="en-GB"/>
        </w:rPr>
        <w:t>, 3 IDPs FGDs</w:t>
      </w:r>
      <w:r w:rsidR="00324CAF" w:rsidRPr="00B62036">
        <w:rPr>
          <w:rFonts w:ascii="Gill Sans MT" w:hAnsi="Gill Sans MT" w:cs="Arial"/>
          <w:color w:val="000000" w:themeColor="text1"/>
          <w:sz w:val="20"/>
          <w:szCs w:val="20"/>
          <w:lang w:val="en-GB"/>
        </w:rPr>
        <w:t xml:space="preserve"> and 3 </w:t>
      </w:r>
      <w:r w:rsidR="00D51178" w:rsidRPr="00B62036">
        <w:rPr>
          <w:rFonts w:ascii="Gill Sans MT" w:hAnsi="Gill Sans MT" w:cs="Arial"/>
          <w:color w:val="000000" w:themeColor="text1"/>
          <w:sz w:val="20"/>
          <w:szCs w:val="20"/>
          <w:lang w:val="en-GB"/>
        </w:rPr>
        <w:t>host community FGDs</w:t>
      </w:r>
      <w:r w:rsidR="00324CAF" w:rsidRPr="00B62036">
        <w:rPr>
          <w:rFonts w:ascii="Gill Sans MT" w:hAnsi="Gill Sans MT" w:cs="Arial"/>
          <w:color w:val="000000" w:themeColor="text1"/>
          <w:sz w:val="20"/>
          <w:szCs w:val="20"/>
          <w:lang w:val="en-GB"/>
        </w:rPr>
        <w:t xml:space="preserve"> were</w:t>
      </w:r>
      <w:r w:rsidR="005819EF" w:rsidRPr="00B62036">
        <w:rPr>
          <w:rFonts w:ascii="Gill Sans MT" w:hAnsi="Gill Sans MT" w:cs="Arial"/>
          <w:color w:val="000000" w:themeColor="text1"/>
          <w:sz w:val="20"/>
          <w:szCs w:val="20"/>
          <w:lang w:val="en-GB"/>
        </w:rPr>
        <w:t xml:space="preserve"> conducted in Baidoa</w:t>
      </w:r>
      <w:r w:rsidR="00D51178" w:rsidRPr="00B62036">
        <w:rPr>
          <w:rFonts w:ascii="Gill Sans MT" w:hAnsi="Gill Sans MT" w:cs="Arial"/>
          <w:color w:val="000000" w:themeColor="text1"/>
          <w:sz w:val="20"/>
          <w:szCs w:val="20"/>
          <w:lang w:val="en-GB"/>
        </w:rPr>
        <w:t xml:space="preserve">. Similarly, </w:t>
      </w:r>
      <w:r w:rsidR="00AA0243" w:rsidRPr="00B62036">
        <w:rPr>
          <w:rFonts w:ascii="Gill Sans MT" w:hAnsi="Gill Sans MT" w:cs="Arial"/>
          <w:color w:val="000000" w:themeColor="text1"/>
          <w:sz w:val="20"/>
          <w:szCs w:val="20"/>
          <w:lang w:val="en-GB"/>
        </w:rPr>
        <w:t>6 beneficiary</w:t>
      </w:r>
      <w:r w:rsidR="00D51178" w:rsidRPr="00B62036">
        <w:rPr>
          <w:rFonts w:ascii="Gill Sans MT" w:hAnsi="Gill Sans MT" w:cs="Arial"/>
          <w:color w:val="000000" w:themeColor="text1"/>
          <w:sz w:val="20"/>
          <w:szCs w:val="20"/>
          <w:lang w:val="en-GB"/>
        </w:rPr>
        <w:t xml:space="preserve"> </w:t>
      </w:r>
      <w:r w:rsidR="00324CAF" w:rsidRPr="00B62036">
        <w:rPr>
          <w:rFonts w:ascii="Gill Sans MT" w:hAnsi="Gill Sans MT" w:cs="Arial"/>
          <w:color w:val="000000" w:themeColor="text1"/>
          <w:sz w:val="20"/>
          <w:szCs w:val="20"/>
          <w:lang w:val="en-GB"/>
        </w:rPr>
        <w:t>FGDs were</w:t>
      </w:r>
      <w:r w:rsidR="00D51178" w:rsidRPr="00B62036">
        <w:rPr>
          <w:rFonts w:ascii="Gill Sans MT" w:hAnsi="Gill Sans MT" w:cs="Arial"/>
          <w:color w:val="000000" w:themeColor="text1"/>
          <w:sz w:val="20"/>
          <w:szCs w:val="20"/>
          <w:lang w:val="en-GB"/>
        </w:rPr>
        <w:t xml:space="preserve"> conducted in Dadaab. </w:t>
      </w:r>
    </w:p>
    <w:p w14:paraId="1C23F634" w14:textId="77777777" w:rsidR="00324CAF" w:rsidRPr="00B62036" w:rsidRDefault="00324CAF" w:rsidP="00230515">
      <w:pPr>
        <w:contextualSpacing/>
        <w:jc w:val="both"/>
        <w:rPr>
          <w:rFonts w:ascii="Gill Sans MT" w:hAnsi="Gill Sans MT" w:cs="Arial"/>
          <w:color w:val="000000" w:themeColor="text1"/>
          <w:sz w:val="20"/>
          <w:szCs w:val="20"/>
          <w:lang w:val="en-GB"/>
        </w:rPr>
      </w:pPr>
    </w:p>
    <w:p w14:paraId="56B37F49" w14:textId="3527080F" w:rsidR="00BC7ED6" w:rsidRPr="00935322" w:rsidRDefault="00935322" w:rsidP="00935322">
      <w:pPr>
        <w:pStyle w:val="Caption"/>
        <w:rPr>
          <w:rFonts w:ascii="Gill Sans MT" w:hAnsi="Gill Sans MT" w:cs="Arial"/>
          <w:color w:val="2E74B5" w:themeColor="accent1" w:themeShade="BF"/>
          <w:sz w:val="20"/>
          <w:szCs w:val="20"/>
          <w:lang w:val="en-GB"/>
        </w:rPr>
      </w:pPr>
      <w:r w:rsidRPr="00935322">
        <w:rPr>
          <w:rFonts w:ascii="Gill Sans MT" w:hAnsi="Gill Sans MT"/>
        </w:rPr>
        <w:t xml:space="preserve">Table </w:t>
      </w:r>
      <w:r w:rsidRPr="00935322">
        <w:rPr>
          <w:rFonts w:ascii="Gill Sans MT" w:hAnsi="Gill Sans MT"/>
        </w:rPr>
        <w:fldChar w:fldCharType="begin"/>
      </w:r>
      <w:r w:rsidRPr="00935322">
        <w:rPr>
          <w:rFonts w:ascii="Gill Sans MT" w:hAnsi="Gill Sans MT"/>
        </w:rPr>
        <w:instrText xml:space="preserve"> SEQ Table \* ARABIC </w:instrText>
      </w:r>
      <w:r w:rsidRPr="00935322">
        <w:rPr>
          <w:rFonts w:ascii="Gill Sans MT" w:hAnsi="Gill Sans MT"/>
        </w:rPr>
        <w:fldChar w:fldCharType="separate"/>
      </w:r>
      <w:r w:rsidR="00A52509">
        <w:rPr>
          <w:rFonts w:ascii="Gill Sans MT" w:hAnsi="Gill Sans MT"/>
          <w:noProof/>
        </w:rPr>
        <w:t>2</w:t>
      </w:r>
      <w:r w:rsidRPr="00935322">
        <w:rPr>
          <w:rFonts w:ascii="Gill Sans MT" w:hAnsi="Gill Sans MT"/>
        </w:rPr>
        <w:fldChar w:fldCharType="end"/>
      </w:r>
      <w:r w:rsidRPr="00935322">
        <w:rPr>
          <w:rFonts w:ascii="Gill Sans MT" w:hAnsi="Gill Sans MT"/>
        </w:rPr>
        <w:t xml:space="preserve"> </w:t>
      </w:r>
      <w:r w:rsidR="00BC7ED6" w:rsidRPr="00935322">
        <w:rPr>
          <w:rFonts w:ascii="Gill Sans MT" w:hAnsi="Gill Sans MT" w:cs="Arial"/>
          <w:color w:val="2E74B5" w:themeColor="accent1" w:themeShade="BF"/>
          <w:sz w:val="20"/>
          <w:szCs w:val="20"/>
          <w:lang w:val="en-GB"/>
        </w:rPr>
        <w:t xml:space="preserve">Proposed Focus group Discussions </w:t>
      </w:r>
    </w:p>
    <w:tbl>
      <w:tblPr>
        <w:tblStyle w:val="TableGrid"/>
        <w:tblW w:w="0" w:type="auto"/>
        <w:tblLook w:val="04A0" w:firstRow="1" w:lastRow="0" w:firstColumn="1" w:lastColumn="0" w:noHBand="0" w:noVBand="1"/>
      </w:tblPr>
      <w:tblGrid>
        <w:gridCol w:w="881"/>
        <w:gridCol w:w="1047"/>
        <w:gridCol w:w="1348"/>
        <w:gridCol w:w="595"/>
        <w:gridCol w:w="1047"/>
        <w:gridCol w:w="1348"/>
        <w:gridCol w:w="1047"/>
        <w:gridCol w:w="1348"/>
        <w:gridCol w:w="915"/>
      </w:tblGrid>
      <w:tr w:rsidR="005819EF" w:rsidRPr="00B62036" w14:paraId="20E58F19" w14:textId="77777777" w:rsidTr="00230515">
        <w:tc>
          <w:tcPr>
            <w:tcW w:w="0" w:type="auto"/>
            <w:shd w:val="clear" w:color="auto" w:fill="D9D9D9" w:themeFill="background1" w:themeFillShade="D9"/>
          </w:tcPr>
          <w:p w14:paraId="3F26E56B"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FGDs</w:t>
            </w:r>
          </w:p>
        </w:tc>
        <w:tc>
          <w:tcPr>
            <w:tcW w:w="0" w:type="auto"/>
            <w:gridSpan w:val="3"/>
            <w:shd w:val="clear" w:color="auto" w:fill="D9D9D9" w:themeFill="background1" w:themeFillShade="D9"/>
          </w:tcPr>
          <w:p w14:paraId="523C01CD"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 xml:space="preserve">Baidoa </w:t>
            </w:r>
          </w:p>
        </w:tc>
        <w:tc>
          <w:tcPr>
            <w:tcW w:w="0" w:type="auto"/>
            <w:gridSpan w:val="2"/>
            <w:shd w:val="clear" w:color="auto" w:fill="D9D9D9" w:themeFill="background1" w:themeFillShade="D9"/>
          </w:tcPr>
          <w:p w14:paraId="631DFDB2"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Dadaab</w:t>
            </w:r>
          </w:p>
        </w:tc>
        <w:tc>
          <w:tcPr>
            <w:tcW w:w="0" w:type="auto"/>
            <w:gridSpan w:val="2"/>
            <w:shd w:val="clear" w:color="auto" w:fill="D9D9D9" w:themeFill="background1" w:themeFillShade="D9"/>
          </w:tcPr>
          <w:p w14:paraId="109A88E8"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Total</w:t>
            </w:r>
          </w:p>
        </w:tc>
        <w:tc>
          <w:tcPr>
            <w:tcW w:w="0" w:type="auto"/>
            <w:shd w:val="clear" w:color="auto" w:fill="D9D9D9" w:themeFill="background1" w:themeFillShade="D9"/>
          </w:tcPr>
          <w:p w14:paraId="1382EDB2"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Grand total</w:t>
            </w:r>
          </w:p>
        </w:tc>
      </w:tr>
      <w:tr w:rsidR="004541B6" w:rsidRPr="00B62036" w14:paraId="3A84DCC5" w14:textId="77777777" w:rsidTr="00230515">
        <w:tc>
          <w:tcPr>
            <w:tcW w:w="0" w:type="auto"/>
            <w:shd w:val="clear" w:color="auto" w:fill="D9D9D9" w:themeFill="background1" w:themeFillShade="D9"/>
          </w:tcPr>
          <w:p w14:paraId="21AF65DC" w14:textId="77777777" w:rsidR="005819EF" w:rsidRPr="00B62036" w:rsidRDefault="005819EF" w:rsidP="00230515">
            <w:pPr>
              <w:jc w:val="both"/>
              <w:rPr>
                <w:rFonts w:ascii="Gill Sans MT" w:hAnsi="Gill Sans MT" w:cs="Arial"/>
                <w:color w:val="000000" w:themeColor="text1"/>
                <w:sz w:val="20"/>
                <w:szCs w:val="20"/>
                <w:lang w:val="en-GB"/>
              </w:rPr>
            </w:pPr>
          </w:p>
        </w:tc>
        <w:tc>
          <w:tcPr>
            <w:tcW w:w="0" w:type="auto"/>
            <w:shd w:val="clear" w:color="auto" w:fill="D9D9D9" w:themeFill="background1" w:themeFillShade="D9"/>
          </w:tcPr>
          <w:p w14:paraId="60E3701A"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Returnees</w:t>
            </w:r>
          </w:p>
        </w:tc>
        <w:tc>
          <w:tcPr>
            <w:tcW w:w="0" w:type="auto"/>
            <w:shd w:val="clear" w:color="auto" w:fill="D9D9D9" w:themeFill="background1" w:themeFillShade="D9"/>
          </w:tcPr>
          <w:p w14:paraId="105084B8"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Host communities</w:t>
            </w:r>
          </w:p>
        </w:tc>
        <w:tc>
          <w:tcPr>
            <w:tcW w:w="0" w:type="auto"/>
            <w:shd w:val="clear" w:color="auto" w:fill="D9D9D9" w:themeFill="background1" w:themeFillShade="D9"/>
          </w:tcPr>
          <w:p w14:paraId="7C003033"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IDPs</w:t>
            </w:r>
          </w:p>
        </w:tc>
        <w:tc>
          <w:tcPr>
            <w:tcW w:w="0" w:type="auto"/>
            <w:shd w:val="clear" w:color="auto" w:fill="D9D9D9" w:themeFill="background1" w:themeFillShade="D9"/>
          </w:tcPr>
          <w:p w14:paraId="2E461EEC"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Returnees</w:t>
            </w:r>
          </w:p>
        </w:tc>
        <w:tc>
          <w:tcPr>
            <w:tcW w:w="0" w:type="auto"/>
            <w:shd w:val="clear" w:color="auto" w:fill="D9D9D9" w:themeFill="background1" w:themeFillShade="D9"/>
          </w:tcPr>
          <w:p w14:paraId="531D0A17"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Host communities</w:t>
            </w:r>
          </w:p>
        </w:tc>
        <w:tc>
          <w:tcPr>
            <w:tcW w:w="0" w:type="auto"/>
            <w:shd w:val="clear" w:color="auto" w:fill="D9D9D9" w:themeFill="background1" w:themeFillShade="D9"/>
          </w:tcPr>
          <w:p w14:paraId="1C1903B4"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Returnees</w:t>
            </w:r>
          </w:p>
        </w:tc>
        <w:tc>
          <w:tcPr>
            <w:tcW w:w="0" w:type="auto"/>
            <w:shd w:val="clear" w:color="auto" w:fill="D9D9D9" w:themeFill="background1" w:themeFillShade="D9"/>
          </w:tcPr>
          <w:p w14:paraId="06AFC0B9"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Host communities</w:t>
            </w:r>
          </w:p>
        </w:tc>
        <w:tc>
          <w:tcPr>
            <w:tcW w:w="0" w:type="auto"/>
            <w:shd w:val="clear" w:color="auto" w:fill="D9D9D9" w:themeFill="background1" w:themeFillShade="D9"/>
          </w:tcPr>
          <w:p w14:paraId="1F8132C1"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 xml:space="preserve"> ALL</w:t>
            </w:r>
          </w:p>
        </w:tc>
      </w:tr>
      <w:tr w:rsidR="005819EF" w:rsidRPr="00B62036" w14:paraId="3E755058" w14:textId="77777777" w:rsidTr="00230515">
        <w:tc>
          <w:tcPr>
            <w:tcW w:w="0" w:type="auto"/>
          </w:tcPr>
          <w:p w14:paraId="1616566C"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Female FGD</w:t>
            </w:r>
          </w:p>
        </w:tc>
        <w:tc>
          <w:tcPr>
            <w:tcW w:w="0" w:type="auto"/>
          </w:tcPr>
          <w:p w14:paraId="71FE3371"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2</w:t>
            </w:r>
          </w:p>
        </w:tc>
        <w:tc>
          <w:tcPr>
            <w:tcW w:w="0" w:type="auto"/>
          </w:tcPr>
          <w:p w14:paraId="40085775"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1B100271"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503A61D9"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2</w:t>
            </w:r>
          </w:p>
        </w:tc>
        <w:tc>
          <w:tcPr>
            <w:tcW w:w="0" w:type="auto"/>
          </w:tcPr>
          <w:p w14:paraId="6AC88F88"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0</w:t>
            </w:r>
          </w:p>
        </w:tc>
        <w:tc>
          <w:tcPr>
            <w:tcW w:w="0" w:type="auto"/>
          </w:tcPr>
          <w:p w14:paraId="2B373C1C"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4</w:t>
            </w:r>
          </w:p>
        </w:tc>
        <w:tc>
          <w:tcPr>
            <w:tcW w:w="0" w:type="auto"/>
          </w:tcPr>
          <w:p w14:paraId="0109C0A3"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6E2FE51C"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6</w:t>
            </w:r>
          </w:p>
        </w:tc>
      </w:tr>
      <w:tr w:rsidR="005819EF" w:rsidRPr="00B62036" w14:paraId="4F1EB5A3" w14:textId="77777777" w:rsidTr="00230515">
        <w:tc>
          <w:tcPr>
            <w:tcW w:w="0" w:type="auto"/>
          </w:tcPr>
          <w:p w14:paraId="35981803"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Male FGDs</w:t>
            </w:r>
          </w:p>
        </w:tc>
        <w:tc>
          <w:tcPr>
            <w:tcW w:w="0" w:type="auto"/>
          </w:tcPr>
          <w:p w14:paraId="26DDEEFA"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2</w:t>
            </w:r>
          </w:p>
        </w:tc>
        <w:tc>
          <w:tcPr>
            <w:tcW w:w="0" w:type="auto"/>
          </w:tcPr>
          <w:p w14:paraId="2B25B607"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60C4EFC6"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7E2F78D6"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2</w:t>
            </w:r>
          </w:p>
        </w:tc>
        <w:tc>
          <w:tcPr>
            <w:tcW w:w="0" w:type="auto"/>
          </w:tcPr>
          <w:p w14:paraId="7E3B97E2"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0</w:t>
            </w:r>
          </w:p>
        </w:tc>
        <w:tc>
          <w:tcPr>
            <w:tcW w:w="0" w:type="auto"/>
          </w:tcPr>
          <w:p w14:paraId="4F3EB9E7"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4</w:t>
            </w:r>
          </w:p>
        </w:tc>
        <w:tc>
          <w:tcPr>
            <w:tcW w:w="0" w:type="auto"/>
          </w:tcPr>
          <w:p w14:paraId="346EB60D"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164AD01D"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6</w:t>
            </w:r>
          </w:p>
        </w:tc>
      </w:tr>
      <w:tr w:rsidR="005819EF" w:rsidRPr="00B62036" w14:paraId="4C150BD1" w14:textId="77777777" w:rsidTr="00230515">
        <w:tc>
          <w:tcPr>
            <w:tcW w:w="0" w:type="auto"/>
          </w:tcPr>
          <w:p w14:paraId="682B0488"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Youth FGDs</w:t>
            </w:r>
          </w:p>
        </w:tc>
        <w:tc>
          <w:tcPr>
            <w:tcW w:w="0" w:type="auto"/>
          </w:tcPr>
          <w:p w14:paraId="5559B8D6"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2</w:t>
            </w:r>
          </w:p>
        </w:tc>
        <w:tc>
          <w:tcPr>
            <w:tcW w:w="0" w:type="auto"/>
          </w:tcPr>
          <w:p w14:paraId="6E14C501"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2DD69A58"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1CEBF9DD"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2</w:t>
            </w:r>
          </w:p>
        </w:tc>
        <w:tc>
          <w:tcPr>
            <w:tcW w:w="0" w:type="auto"/>
          </w:tcPr>
          <w:p w14:paraId="23DD493C"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0</w:t>
            </w:r>
          </w:p>
        </w:tc>
        <w:tc>
          <w:tcPr>
            <w:tcW w:w="0" w:type="auto"/>
          </w:tcPr>
          <w:p w14:paraId="7B4F543E"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4</w:t>
            </w:r>
          </w:p>
        </w:tc>
        <w:tc>
          <w:tcPr>
            <w:tcW w:w="0" w:type="auto"/>
          </w:tcPr>
          <w:p w14:paraId="2D5FB95F"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1</w:t>
            </w:r>
          </w:p>
        </w:tc>
        <w:tc>
          <w:tcPr>
            <w:tcW w:w="0" w:type="auto"/>
          </w:tcPr>
          <w:p w14:paraId="4C574C40" w14:textId="77777777" w:rsidR="005819EF" w:rsidRPr="00B62036" w:rsidRDefault="005819EF" w:rsidP="00230515">
            <w:pPr>
              <w:jc w:val="both"/>
              <w:rPr>
                <w:rFonts w:ascii="Gill Sans MT" w:hAnsi="Gill Sans MT" w:cs="Arial"/>
                <w:color w:val="000000" w:themeColor="text1"/>
                <w:sz w:val="20"/>
                <w:szCs w:val="20"/>
                <w:lang w:val="en-GB"/>
              </w:rPr>
            </w:pPr>
            <w:r w:rsidRPr="00B62036">
              <w:rPr>
                <w:rFonts w:ascii="Gill Sans MT" w:hAnsi="Gill Sans MT" w:cs="Arial"/>
                <w:color w:val="000000" w:themeColor="text1"/>
                <w:sz w:val="20"/>
                <w:szCs w:val="20"/>
                <w:lang w:val="en-GB"/>
              </w:rPr>
              <w:t>6</w:t>
            </w:r>
          </w:p>
        </w:tc>
      </w:tr>
      <w:tr w:rsidR="004541B6" w:rsidRPr="00B62036" w14:paraId="6E0F91D9" w14:textId="77777777" w:rsidTr="00230515">
        <w:tc>
          <w:tcPr>
            <w:tcW w:w="0" w:type="auto"/>
            <w:shd w:val="clear" w:color="auto" w:fill="D9D9D9" w:themeFill="background1" w:themeFillShade="D9"/>
          </w:tcPr>
          <w:p w14:paraId="5E731F39"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 xml:space="preserve">Total </w:t>
            </w:r>
          </w:p>
        </w:tc>
        <w:tc>
          <w:tcPr>
            <w:tcW w:w="0" w:type="auto"/>
            <w:shd w:val="clear" w:color="auto" w:fill="D9D9D9" w:themeFill="background1" w:themeFillShade="D9"/>
          </w:tcPr>
          <w:p w14:paraId="0181C6CC"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6</w:t>
            </w:r>
          </w:p>
        </w:tc>
        <w:tc>
          <w:tcPr>
            <w:tcW w:w="0" w:type="auto"/>
            <w:shd w:val="clear" w:color="auto" w:fill="D9D9D9" w:themeFill="background1" w:themeFillShade="D9"/>
          </w:tcPr>
          <w:p w14:paraId="6AB4219A"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3</w:t>
            </w:r>
          </w:p>
        </w:tc>
        <w:tc>
          <w:tcPr>
            <w:tcW w:w="0" w:type="auto"/>
            <w:shd w:val="clear" w:color="auto" w:fill="D9D9D9" w:themeFill="background1" w:themeFillShade="D9"/>
          </w:tcPr>
          <w:p w14:paraId="1B79F235"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3</w:t>
            </w:r>
          </w:p>
        </w:tc>
        <w:tc>
          <w:tcPr>
            <w:tcW w:w="0" w:type="auto"/>
            <w:shd w:val="clear" w:color="auto" w:fill="D9D9D9" w:themeFill="background1" w:themeFillShade="D9"/>
          </w:tcPr>
          <w:p w14:paraId="304D915A"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6</w:t>
            </w:r>
          </w:p>
        </w:tc>
        <w:tc>
          <w:tcPr>
            <w:tcW w:w="0" w:type="auto"/>
            <w:shd w:val="clear" w:color="auto" w:fill="D9D9D9" w:themeFill="background1" w:themeFillShade="D9"/>
          </w:tcPr>
          <w:p w14:paraId="2ACE0915" w14:textId="77777777" w:rsidR="005819EF" w:rsidRPr="00B62036" w:rsidRDefault="005819EF" w:rsidP="00230515">
            <w:pPr>
              <w:jc w:val="both"/>
              <w:rPr>
                <w:rFonts w:ascii="Gill Sans MT" w:hAnsi="Gill Sans MT" w:cs="Arial"/>
                <w:b/>
                <w:color w:val="000000" w:themeColor="text1"/>
                <w:sz w:val="20"/>
                <w:szCs w:val="20"/>
                <w:lang w:val="en-GB"/>
              </w:rPr>
            </w:pPr>
          </w:p>
        </w:tc>
        <w:tc>
          <w:tcPr>
            <w:tcW w:w="0" w:type="auto"/>
            <w:shd w:val="clear" w:color="auto" w:fill="D9D9D9" w:themeFill="background1" w:themeFillShade="D9"/>
          </w:tcPr>
          <w:p w14:paraId="3D3F26DF"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12</w:t>
            </w:r>
          </w:p>
        </w:tc>
        <w:tc>
          <w:tcPr>
            <w:tcW w:w="0" w:type="auto"/>
            <w:shd w:val="clear" w:color="auto" w:fill="D9D9D9" w:themeFill="background1" w:themeFillShade="D9"/>
          </w:tcPr>
          <w:p w14:paraId="3AC3145A"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3</w:t>
            </w:r>
          </w:p>
        </w:tc>
        <w:tc>
          <w:tcPr>
            <w:tcW w:w="0" w:type="auto"/>
            <w:shd w:val="clear" w:color="auto" w:fill="D9D9D9" w:themeFill="background1" w:themeFillShade="D9"/>
          </w:tcPr>
          <w:p w14:paraId="68F08447" w14:textId="77777777" w:rsidR="005819EF" w:rsidRPr="00B62036" w:rsidRDefault="005819EF" w:rsidP="00230515">
            <w:pPr>
              <w:jc w:val="both"/>
              <w:rPr>
                <w:rFonts w:ascii="Gill Sans MT" w:hAnsi="Gill Sans MT" w:cs="Arial"/>
                <w:b/>
                <w:color w:val="000000" w:themeColor="text1"/>
                <w:sz w:val="20"/>
                <w:szCs w:val="20"/>
                <w:lang w:val="en-GB"/>
              </w:rPr>
            </w:pPr>
            <w:r w:rsidRPr="00B62036">
              <w:rPr>
                <w:rFonts w:ascii="Gill Sans MT" w:hAnsi="Gill Sans MT" w:cs="Arial"/>
                <w:b/>
                <w:color w:val="000000" w:themeColor="text1"/>
                <w:sz w:val="20"/>
                <w:szCs w:val="20"/>
                <w:lang w:val="en-GB"/>
              </w:rPr>
              <w:t>18</w:t>
            </w:r>
          </w:p>
        </w:tc>
      </w:tr>
    </w:tbl>
    <w:p w14:paraId="665B2DE9" w14:textId="77777777" w:rsidR="005446EB" w:rsidRPr="00B62036" w:rsidRDefault="005446EB" w:rsidP="00230515">
      <w:pPr>
        <w:spacing w:after="160"/>
        <w:jc w:val="both"/>
        <w:rPr>
          <w:rFonts w:ascii="Gill Sans MT" w:hAnsi="Gill Sans MT" w:cs="Arial"/>
          <w:color w:val="000000" w:themeColor="text1"/>
          <w:sz w:val="20"/>
          <w:szCs w:val="20"/>
          <w:lang w:val="en-GB"/>
        </w:rPr>
      </w:pPr>
    </w:p>
    <w:p w14:paraId="52FD3C0E" w14:textId="77777777" w:rsidR="005446EB" w:rsidRPr="00B62036" w:rsidRDefault="005446EB" w:rsidP="003A6010">
      <w:pPr>
        <w:pStyle w:val="Heading2"/>
      </w:pPr>
      <w:bookmarkStart w:id="17" w:name="_Toc504836885"/>
      <w:bookmarkStart w:id="18" w:name="_Toc419359854"/>
      <w:r w:rsidRPr="00B62036">
        <w:t>Key Informant interviews</w:t>
      </w:r>
      <w:bookmarkEnd w:id="17"/>
      <w:bookmarkEnd w:id="18"/>
      <w:r w:rsidRPr="00B62036">
        <w:t xml:space="preserve"> </w:t>
      </w:r>
    </w:p>
    <w:p w14:paraId="15AB47FD" w14:textId="21359797" w:rsidR="009A36B6" w:rsidRPr="00B62036" w:rsidRDefault="007C5931" w:rsidP="00230515">
      <w:pPr>
        <w:spacing w:after="160" w:line="276" w:lineRule="auto"/>
        <w:jc w:val="both"/>
        <w:rPr>
          <w:rFonts w:ascii="Gill Sans MT" w:hAnsi="Gill Sans MT"/>
          <w:b/>
          <w:bCs/>
          <w:color w:val="5B9BD5" w:themeColor="accent1"/>
          <w:sz w:val="20"/>
          <w:szCs w:val="20"/>
        </w:rPr>
      </w:pPr>
      <w:r w:rsidRPr="00B62036">
        <w:rPr>
          <w:rFonts w:ascii="Gill Sans MT" w:hAnsi="Gill Sans MT" w:cs="Arial"/>
          <w:color w:val="000000" w:themeColor="text1"/>
          <w:sz w:val="20"/>
          <w:szCs w:val="20"/>
          <w:lang w:val="en-GB"/>
        </w:rPr>
        <w:t xml:space="preserve">Researchcare engaged knowledgeable key informants with diverse set of representatives drawn from different backgrounds and from different groups to be able to triangulate and enrich the data collected. Researchcare used semi-structured KII guide, customized for each group of key informants. For instance, a separate key informant interview guide was developed for government representatives, UNHCR and project implementing partners and NGOs representatives. Researchcare interviewed 32 key informants as shown in the table below. </w:t>
      </w:r>
      <w:r w:rsidRPr="00B62036">
        <w:rPr>
          <w:rFonts w:ascii="Gill Sans MT" w:hAnsi="Gill Sans MT"/>
          <w:b/>
          <w:bCs/>
          <w:color w:val="5B9BD5" w:themeColor="accent1"/>
          <w:sz w:val="20"/>
          <w:szCs w:val="20"/>
        </w:rPr>
        <w:t xml:space="preserve"> </w:t>
      </w:r>
    </w:p>
    <w:p w14:paraId="12FB81C1" w14:textId="1CE9C531" w:rsidR="00BC7ED6" w:rsidRPr="00935322" w:rsidRDefault="00935322" w:rsidP="00935322">
      <w:pPr>
        <w:pStyle w:val="Caption"/>
        <w:rPr>
          <w:rFonts w:ascii="Gill Sans MT" w:hAnsi="Gill Sans MT" w:cs="Arial"/>
          <w:sz w:val="20"/>
          <w:szCs w:val="20"/>
          <w:shd w:val="clear" w:color="auto" w:fill="FFFFFF" w:themeFill="background1"/>
          <w:lang w:val="en-GB"/>
        </w:rPr>
      </w:pPr>
      <w:r w:rsidRPr="00935322">
        <w:rPr>
          <w:rFonts w:ascii="Gill Sans MT" w:hAnsi="Gill Sans MT"/>
        </w:rPr>
        <w:t xml:space="preserve">Table </w:t>
      </w:r>
      <w:r w:rsidRPr="00935322">
        <w:rPr>
          <w:rFonts w:ascii="Gill Sans MT" w:hAnsi="Gill Sans MT"/>
        </w:rPr>
        <w:fldChar w:fldCharType="begin"/>
      </w:r>
      <w:r w:rsidRPr="00935322">
        <w:rPr>
          <w:rFonts w:ascii="Gill Sans MT" w:hAnsi="Gill Sans MT"/>
        </w:rPr>
        <w:instrText xml:space="preserve"> SEQ Table \* ARABIC </w:instrText>
      </w:r>
      <w:r w:rsidRPr="00935322">
        <w:rPr>
          <w:rFonts w:ascii="Gill Sans MT" w:hAnsi="Gill Sans MT"/>
        </w:rPr>
        <w:fldChar w:fldCharType="separate"/>
      </w:r>
      <w:r w:rsidR="00A52509">
        <w:rPr>
          <w:rFonts w:ascii="Gill Sans MT" w:hAnsi="Gill Sans MT"/>
          <w:noProof/>
        </w:rPr>
        <w:t>3</w:t>
      </w:r>
      <w:r w:rsidRPr="00935322">
        <w:rPr>
          <w:rFonts w:ascii="Gill Sans MT" w:hAnsi="Gill Sans MT"/>
        </w:rPr>
        <w:fldChar w:fldCharType="end"/>
      </w:r>
      <w:r w:rsidRPr="00935322">
        <w:rPr>
          <w:rFonts w:ascii="Gill Sans MT" w:hAnsi="Gill Sans MT"/>
        </w:rPr>
        <w:t xml:space="preserve"> </w:t>
      </w:r>
      <w:r w:rsidR="00BC7ED6" w:rsidRPr="00935322">
        <w:rPr>
          <w:rFonts w:ascii="Gill Sans MT" w:hAnsi="Gill Sans MT" w:cs="Arial"/>
          <w:sz w:val="20"/>
          <w:szCs w:val="20"/>
          <w:shd w:val="clear" w:color="auto" w:fill="FFFFFF" w:themeFill="background1"/>
          <w:lang w:val="en-GB"/>
        </w:rPr>
        <w:t>Proposed Key Informant Interviews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2718"/>
      </w:tblGrid>
      <w:tr w:rsidR="00D1633F" w:rsidRPr="00B62036" w14:paraId="38FDE860" w14:textId="77777777" w:rsidTr="00E02D1B">
        <w:trPr>
          <w:trHeight w:val="52"/>
        </w:trPr>
        <w:tc>
          <w:tcPr>
            <w:tcW w:w="6765" w:type="dxa"/>
            <w:shd w:val="clear" w:color="auto" w:fill="D9D9D9" w:themeFill="background1" w:themeFillShade="D9"/>
            <w:vAlign w:val="center"/>
            <w:hideMark/>
          </w:tcPr>
          <w:p w14:paraId="55AD837B" w14:textId="16FA19E0" w:rsidR="00D1633F" w:rsidRPr="00B62036" w:rsidRDefault="00D1633F" w:rsidP="00230515">
            <w:pPr>
              <w:jc w:val="both"/>
              <w:rPr>
                <w:rFonts w:ascii="Gill Sans MT" w:hAnsi="Gill Sans MT"/>
                <w:b/>
                <w:bCs/>
                <w:sz w:val="20"/>
                <w:szCs w:val="20"/>
                <w:lang w:val="en-GB" w:eastAsia="en-GB"/>
              </w:rPr>
            </w:pPr>
            <w:r w:rsidRPr="00B62036">
              <w:rPr>
                <w:rFonts w:ascii="Gill Sans MT" w:hAnsi="Gill Sans MT"/>
                <w:b/>
                <w:bCs/>
                <w:sz w:val="20"/>
                <w:szCs w:val="20"/>
                <w:lang w:eastAsia="en-GB"/>
              </w:rPr>
              <w:t xml:space="preserve">Partner UN </w:t>
            </w:r>
            <w:r w:rsidR="003A3D76" w:rsidRPr="00B62036">
              <w:rPr>
                <w:rFonts w:ascii="Gill Sans MT" w:hAnsi="Gill Sans MT"/>
                <w:b/>
                <w:bCs/>
                <w:sz w:val="20"/>
                <w:szCs w:val="20"/>
                <w:lang w:eastAsia="en-GB"/>
              </w:rPr>
              <w:t>Organization</w:t>
            </w:r>
          </w:p>
        </w:tc>
        <w:tc>
          <w:tcPr>
            <w:tcW w:w="2718" w:type="dxa"/>
            <w:shd w:val="clear" w:color="auto" w:fill="D9D9D9" w:themeFill="background1" w:themeFillShade="D9"/>
            <w:vAlign w:val="center"/>
            <w:hideMark/>
          </w:tcPr>
          <w:p w14:paraId="7C99F2A0" w14:textId="77777777" w:rsidR="00D1633F" w:rsidRPr="00B62036" w:rsidRDefault="00D1633F" w:rsidP="00230515">
            <w:pPr>
              <w:jc w:val="both"/>
              <w:rPr>
                <w:rFonts w:ascii="Gill Sans MT" w:hAnsi="Gill Sans MT"/>
                <w:b/>
                <w:bCs/>
                <w:sz w:val="20"/>
                <w:szCs w:val="20"/>
                <w:lang w:val="en-GB" w:eastAsia="en-GB"/>
              </w:rPr>
            </w:pPr>
            <w:r w:rsidRPr="00B62036">
              <w:rPr>
                <w:rFonts w:ascii="Gill Sans MT" w:hAnsi="Gill Sans MT"/>
                <w:b/>
                <w:bCs/>
                <w:sz w:val="20"/>
                <w:szCs w:val="20"/>
                <w:lang w:eastAsia="en-GB"/>
              </w:rPr>
              <w:t># key Informants</w:t>
            </w:r>
          </w:p>
        </w:tc>
      </w:tr>
      <w:tr w:rsidR="00D1633F" w:rsidRPr="00B62036" w14:paraId="0F1FA616" w14:textId="77777777" w:rsidTr="00E02D1B">
        <w:trPr>
          <w:trHeight w:val="315"/>
        </w:trPr>
        <w:tc>
          <w:tcPr>
            <w:tcW w:w="6765" w:type="dxa"/>
            <w:shd w:val="clear" w:color="auto" w:fill="auto"/>
            <w:vAlign w:val="center"/>
            <w:hideMark/>
          </w:tcPr>
          <w:p w14:paraId="7FC87546"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val="en-GB" w:eastAsia="en-GB"/>
              </w:rPr>
              <w:t>PBSO / RCO</w:t>
            </w:r>
          </w:p>
        </w:tc>
        <w:tc>
          <w:tcPr>
            <w:tcW w:w="2718" w:type="dxa"/>
            <w:shd w:val="clear" w:color="auto" w:fill="auto"/>
            <w:vAlign w:val="center"/>
            <w:hideMark/>
          </w:tcPr>
          <w:p w14:paraId="48480CCB" w14:textId="77777777" w:rsidR="00D1633F" w:rsidRPr="00B62036" w:rsidRDefault="005819E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val="en-GB" w:eastAsia="en-GB"/>
              </w:rPr>
              <w:t>2</w:t>
            </w:r>
          </w:p>
        </w:tc>
      </w:tr>
      <w:tr w:rsidR="00D1633F" w:rsidRPr="00B62036" w14:paraId="548D5FB2" w14:textId="77777777" w:rsidTr="00E02D1B">
        <w:trPr>
          <w:trHeight w:val="285"/>
        </w:trPr>
        <w:tc>
          <w:tcPr>
            <w:tcW w:w="6765" w:type="dxa"/>
            <w:shd w:val="clear" w:color="auto" w:fill="auto"/>
            <w:vAlign w:val="center"/>
            <w:hideMark/>
          </w:tcPr>
          <w:p w14:paraId="4C334167"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UNHCR Somalia</w:t>
            </w:r>
          </w:p>
        </w:tc>
        <w:tc>
          <w:tcPr>
            <w:tcW w:w="2718" w:type="dxa"/>
            <w:shd w:val="clear" w:color="auto" w:fill="auto"/>
            <w:vAlign w:val="center"/>
            <w:hideMark/>
          </w:tcPr>
          <w:p w14:paraId="6560FB16"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2CFEB92A" w14:textId="77777777" w:rsidTr="00E02D1B">
        <w:trPr>
          <w:trHeight w:val="315"/>
        </w:trPr>
        <w:tc>
          <w:tcPr>
            <w:tcW w:w="6765" w:type="dxa"/>
            <w:shd w:val="clear" w:color="auto" w:fill="auto"/>
            <w:vAlign w:val="center"/>
            <w:hideMark/>
          </w:tcPr>
          <w:p w14:paraId="4E9D0E4C"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UNHCR Kenya</w:t>
            </w:r>
          </w:p>
        </w:tc>
        <w:tc>
          <w:tcPr>
            <w:tcW w:w="2718" w:type="dxa"/>
            <w:shd w:val="clear" w:color="auto" w:fill="auto"/>
            <w:vAlign w:val="center"/>
            <w:hideMark/>
          </w:tcPr>
          <w:p w14:paraId="7A3A6341" w14:textId="77777777" w:rsidR="00D1633F" w:rsidRPr="00B62036" w:rsidRDefault="004541B6"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363DA156" w14:textId="77777777" w:rsidTr="00E02D1B">
        <w:trPr>
          <w:trHeight w:val="285"/>
        </w:trPr>
        <w:tc>
          <w:tcPr>
            <w:tcW w:w="6765" w:type="dxa"/>
            <w:shd w:val="clear" w:color="auto" w:fill="auto"/>
            <w:vAlign w:val="center"/>
            <w:hideMark/>
          </w:tcPr>
          <w:p w14:paraId="4312402C"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IOM</w:t>
            </w:r>
          </w:p>
        </w:tc>
        <w:tc>
          <w:tcPr>
            <w:tcW w:w="2718" w:type="dxa"/>
            <w:shd w:val="clear" w:color="auto" w:fill="auto"/>
            <w:vAlign w:val="center"/>
            <w:hideMark/>
          </w:tcPr>
          <w:p w14:paraId="2E34AF81" w14:textId="77777777" w:rsidR="00D1633F" w:rsidRPr="00B62036" w:rsidRDefault="00E02D1B"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2B4B4C99" w14:textId="77777777" w:rsidTr="00E02D1B">
        <w:trPr>
          <w:trHeight w:val="285"/>
        </w:trPr>
        <w:tc>
          <w:tcPr>
            <w:tcW w:w="6765" w:type="dxa"/>
            <w:shd w:val="clear" w:color="auto" w:fill="auto"/>
            <w:vAlign w:val="center"/>
            <w:hideMark/>
          </w:tcPr>
          <w:p w14:paraId="75631FEE"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ILO</w:t>
            </w:r>
          </w:p>
        </w:tc>
        <w:tc>
          <w:tcPr>
            <w:tcW w:w="2718" w:type="dxa"/>
            <w:shd w:val="clear" w:color="auto" w:fill="auto"/>
            <w:vAlign w:val="center"/>
            <w:hideMark/>
          </w:tcPr>
          <w:p w14:paraId="76CCD66F" w14:textId="77777777" w:rsidR="00D1633F" w:rsidRPr="00B62036" w:rsidRDefault="005819E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764FAA31" w14:textId="77777777" w:rsidTr="00E02D1B">
        <w:trPr>
          <w:trHeight w:val="285"/>
        </w:trPr>
        <w:tc>
          <w:tcPr>
            <w:tcW w:w="6765" w:type="dxa"/>
            <w:shd w:val="clear" w:color="auto" w:fill="auto"/>
            <w:vAlign w:val="center"/>
            <w:hideMark/>
          </w:tcPr>
          <w:p w14:paraId="02C64F32"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UNICEF</w:t>
            </w:r>
          </w:p>
        </w:tc>
        <w:tc>
          <w:tcPr>
            <w:tcW w:w="2718" w:type="dxa"/>
            <w:shd w:val="clear" w:color="auto" w:fill="auto"/>
            <w:vAlign w:val="center"/>
            <w:hideMark/>
          </w:tcPr>
          <w:p w14:paraId="0CD8DAD4" w14:textId="77777777" w:rsidR="00D1633F" w:rsidRPr="00B62036" w:rsidRDefault="005819E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7440BA5D" w14:textId="77777777" w:rsidTr="00E02D1B">
        <w:trPr>
          <w:trHeight w:val="285"/>
        </w:trPr>
        <w:tc>
          <w:tcPr>
            <w:tcW w:w="6765" w:type="dxa"/>
            <w:shd w:val="clear" w:color="auto" w:fill="auto"/>
            <w:vAlign w:val="center"/>
            <w:hideMark/>
          </w:tcPr>
          <w:p w14:paraId="69410CF4"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FAO</w:t>
            </w:r>
          </w:p>
        </w:tc>
        <w:tc>
          <w:tcPr>
            <w:tcW w:w="2718" w:type="dxa"/>
            <w:shd w:val="clear" w:color="auto" w:fill="auto"/>
            <w:vAlign w:val="center"/>
            <w:hideMark/>
          </w:tcPr>
          <w:p w14:paraId="7F9AE499"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1100E867" w14:textId="77777777" w:rsidTr="00E02D1B">
        <w:trPr>
          <w:trHeight w:val="285"/>
        </w:trPr>
        <w:tc>
          <w:tcPr>
            <w:tcW w:w="6765" w:type="dxa"/>
            <w:shd w:val="clear" w:color="auto" w:fill="auto"/>
            <w:vAlign w:val="center"/>
            <w:hideMark/>
          </w:tcPr>
          <w:p w14:paraId="723A7A7E"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WFP</w:t>
            </w:r>
          </w:p>
        </w:tc>
        <w:tc>
          <w:tcPr>
            <w:tcW w:w="2718" w:type="dxa"/>
            <w:shd w:val="clear" w:color="auto" w:fill="auto"/>
            <w:vAlign w:val="center"/>
            <w:hideMark/>
          </w:tcPr>
          <w:p w14:paraId="487A2597"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w:t>
            </w:r>
          </w:p>
        </w:tc>
      </w:tr>
      <w:tr w:rsidR="00D1633F" w:rsidRPr="00B62036" w14:paraId="6DED1D3A" w14:textId="77777777" w:rsidTr="00E02D1B">
        <w:trPr>
          <w:trHeight w:val="37"/>
        </w:trPr>
        <w:tc>
          <w:tcPr>
            <w:tcW w:w="6765" w:type="dxa"/>
            <w:shd w:val="clear" w:color="auto" w:fill="auto"/>
            <w:vAlign w:val="center"/>
            <w:hideMark/>
          </w:tcPr>
          <w:p w14:paraId="6AE06306"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Ministry of Resettlement and Diaspora Affairs (MORDA)</w:t>
            </w:r>
          </w:p>
        </w:tc>
        <w:tc>
          <w:tcPr>
            <w:tcW w:w="2718" w:type="dxa"/>
            <w:shd w:val="clear" w:color="auto" w:fill="auto"/>
            <w:vAlign w:val="center"/>
            <w:hideMark/>
          </w:tcPr>
          <w:p w14:paraId="3D43D271"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1</w:t>
            </w:r>
          </w:p>
        </w:tc>
      </w:tr>
      <w:tr w:rsidR="00D1633F" w:rsidRPr="00B62036" w14:paraId="3B9FF609" w14:textId="77777777" w:rsidTr="00E02D1B">
        <w:trPr>
          <w:trHeight w:val="37"/>
        </w:trPr>
        <w:tc>
          <w:tcPr>
            <w:tcW w:w="6765" w:type="dxa"/>
            <w:shd w:val="clear" w:color="auto" w:fill="auto"/>
            <w:vAlign w:val="center"/>
            <w:hideMark/>
          </w:tcPr>
          <w:p w14:paraId="3C8734A7"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Local Administration (DCs and Chiefs)</w:t>
            </w:r>
          </w:p>
        </w:tc>
        <w:tc>
          <w:tcPr>
            <w:tcW w:w="2718" w:type="dxa"/>
            <w:shd w:val="clear" w:color="auto" w:fill="auto"/>
            <w:vAlign w:val="center"/>
            <w:hideMark/>
          </w:tcPr>
          <w:p w14:paraId="29FBCACD"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2</w:t>
            </w:r>
          </w:p>
        </w:tc>
      </w:tr>
      <w:tr w:rsidR="00D1633F" w:rsidRPr="00B62036" w14:paraId="60F6B5D4" w14:textId="77777777" w:rsidTr="00E02D1B">
        <w:trPr>
          <w:trHeight w:val="37"/>
        </w:trPr>
        <w:tc>
          <w:tcPr>
            <w:tcW w:w="6765" w:type="dxa"/>
            <w:shd w:val="clear" w:color="auto" w:fill="auto"/>
            <w:vAlign w:val="center"/>
            <w:hideMark/>
          </w:tcPr>
          <w:p w14:paraId="02AE8FC4"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National Commission for Refugees and IDPs (NCRI)</w:t>
            </w:r>
          </w:p>
        </w:tc>
        <w:tc>
          <w:tcPr>
            <w:tcW w:w="2718" w:type="dxa"/>
            <w:shd w:val="clear" w:color="auto" w:fill="auto"/>
            <w:vAlign w:val="center"/>
            <w:hideMark/>
          </w:tcPr>
          <w:p w14:paraId="7DCDF32B"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1</w:t>
            </w:r>
          </w:p>
        </w:tc>
      </w:tr>
      <w:tr w:rsidR="00D1633F" w:rsidRPr="00B62036" w14:paraId="6FD1240B" w14:textId="77777777" w:rsidTr="00E02D1B">
        <w:trPr>
          <w:trHeight w:val="315"/>
        </w:trPr>
        <w:tc>
          <w:tcPr>
            <w:tcW w:w="6765" w:type="dxa"/>
            <w:shd w:val="clear" w:color="auto" w:fill="auto"/>
            <w:vAlign w:val="center"/>
            <w:hideMark/>
          </w:tcPr>
          <w:p w14:paraId="73AA647F"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val="en-GB" w:eastAsia="en-GB"/>
              </w:rPr>
              <w:t xml:space="preserve"> Refugees Affairs Department (Kenya)</w:t>
            </w:r>
          </w:p>
        </w:tc>
        <w:tc>
          <w:tcPr>
            <w:tcW w:w="2718" w:type="dxa"/>
            <w:shd w:val="clear" w:color="auto" w:fill="auto"/>
            <w:vAlign w:val="center"/>
            <w:hideMark/>
          </w:tcPr>
          <w:p w14:paraId="6ADE5E36"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val="en-GB" w:eastAsia="en-GB"/>
              </w:rPr>
              <w:t>1</w:t>
            </w:r>
          </w:p>
        </w:tc>
      </w:tr>
      <w:tr w:rsidR="00D1633F" w:rsidRPr="00B62036" w14:paraId="496304B6" w14:textId="77777777" w:rsidTr="00E02D1B">
        <w:trPr>
          <w:trHeight w:val="47"/>
        </w:trPr>
        <w:tc>
          <w:tcPr>
            <w:tcW w:w="6765" w:type="dxa"/>
            <w:shd w:val="clear" w:color="auto" w:fill="auto"/>
            <w:vAlign w:val="center"/>
            <w:hideMark/>
          </w:tcPr>
          <w:p w14:paraId="45609F86" w14:textId="77777777" w:rsidR="00D1633F" w:rsidRPr="00B62036" w:rsidRDefault="00D1633F" w:rsidP="00230515">
            <w:pPr>
              <w:jc w:val="both"/>
              <w:rPr>
                <w:rFonts w:ascii="Gill Sans MT" w:hAnsi="Gill Sans MT"/>
                <w:bCs/>
                <w:color w:val="000000"/>
                <w:sz w:val="20"/>
                <w:szCs w:val="20"/>
                <w:lang w:val="en-GB" w:eastAsia="en-GB"/>
              </w:rPr>
            </w:pPr>
            <w:r w:rsidRPr="00B62036">
              <w:rPr>
                <w:rFonts w:ascii="Gill Sans MT" w:hAnsi="Gill Sans MT"/>
                <w:bCs/>
                <w:color w:val="000000"/>
                <w:sz w:val="20"/>
                <w:szCs w:val="20"/>
                <w:lang w:eastAsia="en-GB"/>
              </w:rPr>
              <w:t>NGO representatives (NRC, DRC) WVI, African Volunteers for Relief and Development (AVORD)</w:t>
            </w:r>
          </w:p>
        </w:tc>
        <w:tc>
          <w:tcPr>
            <w:tcW w:w="2718" w:type="dxa"/>
            <w:shd w:val="clear" w:color="auto" w:fill="auto"/>
            <w:vAlign w:val="center"/>
            <w:hideMark/>
          </w:tcPr>
          <w:p w14:paraId="26D4B651" w14:textId="77777777" w:rsidR="00D1633F" w:rsidRPr="00B62036" w:rsidRDefault="00D1633F"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4</w:t>
            </w:r>
          </w:p>
        </w:tc>
      </w:tr>
      <w:tr w:rsidR="00D1633F" w:rsidRPr="00B62036" w14:paraId="7ABB96E4" w14:textId="77777777" w:rsidTr="00E02D1B">
        <w:trPr>
          <w:trHeight w:val="315"/>
        </w:trPr>
        <w:tc>
          <w:tcPr>
            <w:tcW w:w="6765" w:type="dxa"/>
            <w:shd w:val="clear" w:color="auto" w:fill="D9D9D9" w:themeFill="background1" w:themeFillShade="D9"/>
            <w:vAlign w:val="center"/>
            <w:hideMark/>
          </w:tcPr>
          <w:p w14:paraId="76B8984D" w14:textId="77777777" w:rsidR="00D1633F" w:rsidRPr="00B62036" w:rsidRDefault="00D1633F" w:rsidP="00230515">
            <w:pPr>
              <w:jc w:val="both"/>
              <w:rPr>
                <w:rFonts w:ascii="Gill Sans MT" w:hAnsi="Gill Sans MT"/>
                <w:b/>
                <w:bCs/>
                <w:color w:val="000000"/>
                <w:sz w:val="20"/>
                <w:szCs w:val="20"/>
                <w:lang w:val="en-GB" w:eastAsia="en-GB"/>
              </w:rPr>
            </w:pPr>
            <w:r w:rsidRPr="00B62036">
              <w:rPr>
                <w:rFonts w:ascii="Gill Sans MT" w:hAnsi="Gill Sans MT"/>
                <w:b/>
                <w:bCs/>
                <w:color w:val="000000"/>
                <w:sz w:val="20"/>
                <w:szCs w:val="20"/>
                <w:lang w:eastAsia="en-GB"/>
              </w:rPr>
              <w:t xml:space="preserve">Total  </w:t>
            </w:r>
          </w:p>
        </w:tc>
        <w:tc>
          <w:tcPr>
            <w:tcW w:w="2718" w:type="dxa"/>
            <w:shd w:val="clear" w:color="auto" w:fill="D9D9D9" w:themeFill="background1" w:themeFillShade="D9"/>
            <w:vAlign w:val="center"/>
            <w:hideMark/>
          </w:tcPr>
          <w:p w14:paraId="22B7A82D" w14:textId="77777777" w:rsidR="00D1633F" w:rsidRPr="00B62036" w:rsidRDefault="004541B6" w:rsidP="00230515">
            <w:pPr>
              <w:jc w:val="both"/>
              <w:rPr>
                <w:rFonts w:ascii="Gill Sans MT" w:hAnsi="Gill Sans MT"/>
                <w:color w:val="000000"/>
                <w:sz w:val="20"/>
                <w:szCs w:val="20"/>
                <w:lang w:val="en-GB" w:eastAsia="en-GB"/>
              </w:rPr>
            </w:pPr>
            <w:r w:rsidRPr="00B62036">
              <w:rPr>
                <w:rFonts w:ascii="Gill Sans MT" w:hAnsi="Gill Sans MT"/>
                <w:color w:val="000000"/>
                <w:sz w:val="20"/>
                <w:szCs w:val="20"/>
                <w:lang w:eastAsia="en-GB"/>
              </w:rPr>
              <w:t>32</w:t>
            </w:r>
          </w:p>
        </w:tc>
      </w:tr>
    </w:tbl>
    <w:p w14:paraId="0998B326" w14:textId="77777777" w:rsidR="00D1633F" w:rsidRPr="00B62036" w:rsidRDefault="00D1633F" w:rsidP="00230515">
      <w:pPr>
        <w:tabs>
          <w:tab w:val="left" w:pos="7191"/>
        </w:tabs>
        <w:jc w:val="both"/>
        <w:rPr>
          <w:rFonts w:ascii="Gill Sans MT" w:hAnsi="Gill Sans MT"/>
          <w:sz w:val="20"/>
          <w:szCs w:val="20"/>
        </w:rPr>
      </w:pPr>
    </w:p>
    <w:p w14:paraId="3CF823F8" w14:textId="036255BC" w:rsidR="00407564" w:rsidRPr="00B62036" w:rsidRDefault="00407564" w:rsidP="003A6010">
      <w:pPr>
        <w:pStyle w:val="Heading2"/>
      </w:pPr>
      <w:bookmarkStart w:id="19" w:name="_Toc419359855"/>
      <w:r w:rsidRPr="00B62036">
        <w:lastRenderedPageBreak/>
        <w:t>Data Collection</w:t>
      </w:r>
      <w:bookmarkEnd w:id="19"/>
    </w:p>
    <w:p w14:paraId="1633379A" w14:textId="6D1B0691" w:rsidR="00407564" w:rsidRPr="00230515" w:rsidRDefault="002373C8" w:rsidP="00230515">
      <w:pPr>
        <w:spacing w:line="276" w:lineRule="auto"/>
        <w:jc w:val="both"/>
        <w:rPr>
          <w:rFonts w:ascii="Gill Sans MT" w:hAnsi="Gill Sans MT"/>
          <w:color w:val="000000" w:themeColor="text1"/>
          <w:sz w:val="20"/>
          <w:szCs w:val="20"/>
        </w:rPr>
      </w:pPr>
      <w:r w:rsidRPr="00B62036">
        <w:rPr>
          <w:rFonts w:ascii="Gill Sans MT" w:hAnsi="Gill Sans MT"/>
          <w:color w:val="000000" w:themeColor="text1"/>
          <w:sz w:val="20"/>
          <w:szCs w:val="20"/>
        </w:rPr>
        <w:t>During the data collection, the evaluation team established rapport with the local community participants by providing an explanation of the purpose of the focus group discussions, the intended use of the information and gave assurance of confidentiality. Probing techniques to encourage the participants to detail the basis for their conclusions and recommendations was adopted. In addition, the data collection team maintained a neutral attitude to avoid giving the impression of having strong views on the subject under discussion.</w:t>
      </w:r>
      <w:r w:rsidR="00230515">
        <w:rPr>
          <w:rFonts w:ascii="Gill Sans MT" w:hAnsi="Gill Sans MT"/>
          <w:color w:val="000000" w:themeColor="text1"/>
          <w:sz w:val="20"/>
          <w:szCs w:val="20"/>
        </w:rPr>
        <w:t xml:space="preserve"> </w:t>
      </w:r>
      <w:r w:rsidRPr="00B62036">
        <w:rPr>
          <w:rFonts w:ascii="Gill Sans MT" w:hAnsi="Gill Sans MT"/>
          <w:color w:val="000000" w:themeColor="text1"/>
          <w:sz w:val="20"/>
          <w:szCs w:val="20"/>
        </w:rPr>
        <w:t xml:space="preserve">Researchcare prioritized to engage the selected key informants </w:t>
      </w:r>
      <w:r w:rsidR="00230515" w:rsidRPr="00B62036">
        <w:rPr>
          <w:rFonts w:ascii="Gill Sans MT" w:hAnsi="Gill Sans MT"/>
          <w:color w:val="000000" w:themeColor="text1"/>
          <w:sz w:val="20"/>
          <w:szCs w:val="20"/>
        </w:rPr>
        <w:t>on</w:t>
      </w:r>
      <w:r w:rsidRPr="00B62036">
        <w:rPr>
          <w:rFonts w:ascii="Gill Sans MT" w:hAnsi="Gill Sans MT"/>
          <w:color w:val="000000" w:themeColor="text1"/>
          <w:sz w:val="20"/>
          <w:szCs w:val="20"/>
        </w:rPr>
        <w:t xml:space="preserve"> face-to-face in-depth meetings/interviews. Skype interviews were also conducted for crucial key informants who were not available for one-on-one meeting. At the end of each interview, the interviewer/s prepared an interview summary sheet capturing all the relevant information. </w:t>
      </w:r>
      <w:r w:rsidRPr="00B62036">
        <w:rPr>
          <w:rFonts w:ascii="Gill Sans MT" w:hAnsi="Gill Sans MT"/>
          <w:color w:val="000000" w:themeColor="text1"/>
          <w:sz w:val="20"/>
          <w:szCs w:val="20"/>
          <w:shd w:val="clear" w:color="auto" w:fill="FFFFFF" w:themeFill="background1"/>
        </w:rPr>
        <w:t xml:space="preserve">The information collected was then refined before it was submitted </w:t>
      </w:r>
      <w:r w:rsidRPr="00B62036">
        <w:rPr>
          <w:rFonts w:ascii="Gill Sans MT" w:hAnsi="Gill Sans MT"/>
          <w:sz w:val="20"/>
          <w:szCs w:val="20"/>
          <w:shd w:val="clear" w:color="auto" w:fill="FFFFFF" w:themeFill="background1"/>
        </w:rPr>
        <w:t>for further analysis.</w:t>
      </w:r>
    </w:p>
    <w:p w14:paraId="421D7845" w14:textId="77777777" w:rsidR="00BC4369" w:rsidRPr="00B62036" w:rsidRDefault="00BC4369" w:rsidP="003A6010">
      <w:pPr>
        <w:pStyle w:val="Heading2"/>
      </w:pPr>
      <w:bookmarkStart w:id="20" w:name="_Toc419359856"/>
      <w:r w:rsidRPr="00B62036">
        <w:t>Data analysis</w:t>
      </w:r>
      <w:bookmarkEnd w:id="20"/>
      <w:r w:rsidRPr="00B62036">
        <w:t xml:space="preserve"> </w:t>
      </w:r>
    </w:p>
    <w:p w14:paraId="42D1176A" w14:textId="774E44F8" w:rsidR="00407564" w:rsidRPr="00B62036" w:rsidRDefault="00407564" w:rsidP="00230515">
      <w:pPr>
        <w:tabs>
          <w:tab w:val="left" w:pos="7191"/>
        </w:tabs>
        <w:spacing w:line="276" w:lineRule="auto"/>
        <w:jc w:val="both"/>
        <w:rPr>
          <w:rFonts w:ascii="Gill Sans MT" w:hAnsi="Gill Sans MT"/>
          <w:sz w:val="20"/>
          <w:szCs w:val="20"/>
          <w:lang w:val="en-GB"/>
        </w:rPr>
      </w:pPr>
      <w:r w:rsidRPr="00B62036">
        <w:rPr>
          <w:rFonts w:ascii="Gill Sans MT" w:hAnsi="Gill Sans MT"/>
          <w:sz w:val="20"/>
          <w:szCs w:val="20"/>
          <w:lang w:val="en-GB"/>
        </w:rPr>
        <w:t xml:space="preserve">Narrative analysis on transcripts of the FGDs and key informant interviews with various stakeholders was conducted. For the quantitative data, Researchcare analysed using IBM SPSS software. Descriptive statistics was computed to examine the state of each variable studied and the findings from the quantitative data of the household survey presented in the form of frequency distributions, cross-tabulations, socio-economic variables (age, gender, </w:t>
      </w:r>
      <w:r w:rsidR="00230515" w:rsidRPr="00B62036">
        <w:rPr>
          <w:rFonts w:ascii="Gill Sans MT" w:hAnsi="Gill Sans MT"/>
          <w:sz w:val="20"/>
          <w:szCs w:val="20"/>
          <w:lang w:val="en-GB"/>
        </w:rPr>
        <w:t>and education</w:t>
      </w:r>
      <w:r w:rsidRPr="00B62036">
        <w:rPr>
          <w:rFonts w:ascii="Gill Sans MT" w:hAnsi="Gill Sans MT"/>
          <w:sz w:val="20"/>
          <w:szCs w:val="20"/>
          <w:lang w:val="en-GB"/>
        </w:rPr>
        <w:t xml:space="preserve">). </w:t>
      </w:r>
    </w:p>
    <w:p w14:paraId="1599E7EA" w14:textId="77777777" w:rsidR="00FA6D0F" w:rsidRPr="00B62036" w:rsidRDefault="00FA6D0F" w:rsidP="00230515">
      <w:pPr>
        <w:tabs>
          <w:tab w:val="left" w:pos="7191"/>
        </w:tabs>
        <w:jc w:val="both"/>
        <w:rPr>
          <w:rFonts w:ascii="Gill Sans MT" w:hAnsi="Gill Sans MT"/>
          <w:sz w:val="20"/>
          <w:szCs w:val="20"/>
        </w:rPr>
        <w:sectPr w:rsidR="00FA6D0F" w:rsidRPr="00B62036" w:rsidSect="00117C8B">
          <w:pgSz w:w="12240" w:h="15840"/>
          <w:pgMar w:top="1440" w:right="1440" w:bottom="1440" w:left="1440" w:header="720" w:footer="720" w:gutter="0"/>
          <w:pgNumType w:fmt="numberInDash"/>
          <w:cols w:space="720"/>
          <w:docGrid w:linePitch="360"/>
        </w:sectPr>
      </w:pPr>
    </w:p>
    <w:p w14:paraId="02742865" w14:textId="7C272C25" w:rsidR="00791BFD" w:rsidRPr="00B62036" w:rsidRDefault="003303C1" w:rsidP="00230515">
      <w:pPr>
        <w:pStyle w:val="Heading1"/>
      </w:pPr>
      <w:bookmarkStart w:id="21" w:name="_Toc442699424"/>
      <w:bookmarkStart w:id="22" w:name="_Toc419359857"/>
      <w:r w:rsidRPr="00B62036">
        <w:lastRenderedPageBreak/>
        <w:t>Results and findings</w:t>
      </w:r>
      <w:bookmarkEnd w:id="21"/>
      <w:bookmarkEnd w:id="22"/>
    </w:p>
    <w:p w14:paraId="1A598433" w14:textId="7B05CC30" w:rsidR="003303C1" w:rsidRDefault="003303C1" w:rsidP="003A6010">
      <w:pPr>
        <w:pStyle w:val="Heading2"/>
      </w:pPr>
      <w:bookmarkStart w:id="23" w:name="_Toc419359858"/>
      <w:r w:rsidRPr="00B62036">
        <w:t>Demographic</w:t>
      </w:r>
      <w:r w:rsidR="009D228A" w:rsidRPr="00B62036">
        <w:t xml:space="preserve"> Characteristics of Respondents</w:t>
      </w:r>
      <w:bookmarkEnd w:id="23"/>
    </w:p>
    <w:p w14:paraId="10B8C62C" w14:textId="77777777" w:rsidR="00230515" w:rsidRDefault="00230515" w:rsidP="00230515"/>
    <w:p w14:paraId="474E308D" w14:textId="0CA5E670" w:rsidR="000208E0" w:rsidRPr="00935322" w:rsidRDefault="00230515" w:rsidP="00935322">
      <w:pPr>
        <w:autoSpaceDE w:val="0"/>
        <w:autoSpaceDN w:val="0"/>
        <w:adjustRightInd w:val="0"/>
        <w:spacing w:line="276" w:lineRule="auto"/>
        <w:jc w:val="both"/>
        <w:rPr>
          <w:sz w:val="20"/>
          <w:szCs w:val="20"/>
        </w:rPr>
      </w:pPr>
      <w:r w:rsidRPr="00935322">
        <w:rPr>
          <w:rFonts w:ascii="Gill Sans MT" w:hAnsi="Gill Sans MT"/>
          <w:sz w:val="20"/>
          <w:szCs w:val="20"/>
        </w:rPr>
        <w:t>In addition to the focus group discussions and key information interviews, quantitative data was collected from</w:t>
      </w:r>
      <w:r w:rsidR="00935322" w:rsidRPr="00935322">
        <w:rPr>
          <w:rFonts w:ascii="Gill Sans MT" w:hAnsi="Gill Sans MT"/>
          <w:sz w:val="20"/>
          <w:szCs w:val="20"/>
        </w:rPr>
        <w:t xml:space="preserve"> </w:t>
      </w:r>
      <w:r w:rsidR="00935322">
        <w:rPr>
          <w:rFonts w:ascii="Gill Sans MT" w:hAnsi="Gill Sans MT"/>
          <w:sz w:val="20"/>
          <w:szCs w:val="20"/>
        </w:rPr>
        <w:t xml:space="preserve">598 </w:t>
      </w:r>
      <w:r w:rsidRPr="00935322">
        <w:rPr>
          <w:rFonts w:ascii="Gill Sans MT" w:hAnsi="Gill Sans MT"/>
          <w:sz w:val="20"/>
          <w:szCs w:val="20"/>
        </w:rPr>
        <w:t xml:space="preserve">household beneficiaries through household survey. </w:t>
      </w:r>
      <w:r w:rsidR="00935322" w:rsidRPr="00935322">
        <w:rPr>
          <w:sz w:val="20"/>
          <w:szCs w:val="20"/>
        </w:rPr>
        <w:t xml:space="preserve"> </w:t>
      </w:r>
      <w:r w:rsidR="000208E0" w:rsidRPr="00935322">
        <w:rPr>
          <w:rFonts w:ascii="Gill Sans MT" w:hAnsi="Gill Sans MT"/>
          <w:sz w:val="20"/>
          <w:szCs w:val="20"/>
        </w:rPr>
        <w:t xml:space="preserve">The survey sought to establish the </w:t>
      </w:r>
      <w:r w:rsidR="00FB1C5E" w:rsidRPr="00935322">
        <w:rPr>
          <w:rFonts w:ascii="Gill Sans MT" w:hAnsi="Gill Sans MT"/>
          <w:sz w:val="20"/>
          <w:szCs w:val="20"/>
        </w:rPr>
        <w:t>respondents’</w:t>
      </w:r>
      <w:r w:rsidR="000208E0" w:rsidRPr="00935322">
        <w:rPr>
          <w:rFonts w:ascii="Gill Sans MT" w:hAnsi="Gill Sans MT"/>
          <w:sz w:val="20"/>
          <w:szCs w:val="20"/>
        </w:rPr>
        <w:t xml:space="preserve"> household residential status at the time of the interview and it was established that 33.4% were returnees, 33.9% were IDPs and 32.6% were host community households. In addition, the returnees were further enquired about the duration of their stay since their arrival into the</w:t>
      </w:r>
      <w:r w:rsidR="00B600BD" w:rsidRPr="00935322">
        <w:rPr>
          <w:rFonts w:ascii="Gill Sans MT" w:hAnsi="Gill Sans MT"/>
          <w:sz w:val="20"/>
          <w:szCs w:val="20"/>
        </w:rPr>
        <w:t>ir</w:t>
      </w:r>
      <w:r w:rsidR="000208E0" w:rsidRPr="00935322">
        <w:rPr>
          <w:rFonts w:ascii="Gill Sans MT" w:hAnsi="Gill Sans MT"/>
          <w:sz w:val="20"/>
          <w:szCs w:val="20"/>
        </w:rPr>
        <w:t xml:space="preserve"> current location. From the analyses, </w:t>
      </w:r>
      <w:r w:rsidR="000208E0" w:rsidRPr="00935322">
        <w:rPr>
          <w:rFonts w:ascii="Gill Sans MT" w:hAnsi="Gill Sans MT"/>
          <w:sz w:val="20"/>
          <w:szCs w:val="20"/>
          <w:lang w:val="en-GB"/>
        </w:rPr>
        <w:t>most returnee</w:t>
      </w:r>
      <w:r w:rsidR="00B600BD" w:rsidRPr="00935322">
        <w:rPr>
          <w:rFonts w:ascii="Gill Sans MT" w:hAnsi="Gill Sans MT"/>
          <w:sz w:val="20"/>
          <w:szCs w:val="20"/>
          <w:lang w:val="en-GB"/>
        </w:rPr>
        <w:t>s</w:t>
      </w:r>
      <w:r w:rsidR="000208E0" w:rsidRPr="00935322">
        <w:rPr>
          <w:rFonts w:ascii="Gill Sans MT" w:hAnsi="Gill Sans MT"/>
          <w:sz w:val="20"/>
          <w:szCs w:val="20"/>
          <w:lang w:val="en-GB"/>
        </w:rPr>
        <w:t xml:space="preserve"> have stayed in the country for more than 2 years (68.9%) with majority being </w:t>
      </w:r>
      <w:r w:rsidR="00FB1C5E" w:rsidRPr="00935322">
        <w:rPr>
          <w:rFonts w:ascii="Gill Sans MT" w:hAnsi="Gill Sans MT"/>
          <w:sz w:val="20"/>
          <w:szCs w:val="20"/>
          <w:lang w:val="en-GB"/>
        </w:rPr>
        <w:t>females (</w:t>
      </w:r>
      <w:r w:rsidR="000208E0" w:rsidRPr="00935322">
        <w:rPr>
          <w:rFonts w:ascii="Gill Sans MT" w:hAnsi="Gill Sans MT"/>
          <w:sz w:val="20"/>
          <w:szCs w:val="20"/>
          <w:lang w:val="en-GB"/>
        </w:rPr>
        <w:t xml:space="preserve">56.3%). 27.3% of </w:t>
      </w:r>
      <w:r w:rsidR="00FB1C5E" w:rsidRPr="00935322">
        <w:rPr>
          <w:rFonts w:ascii="Gill Sans MT" w:hAnsi="Gill Sans MT"/>
          <w:sz w:val="20"/>
          <w:szCs w:val="20"/>
          <w:lang w:val="en-GB"/>
        </w:rPr>
        <w:t>returnees had</w:t>
      </w:r>
      <w:r w:rsidR="000208E0" w:rsidRPr="00935322">
        <w:rPr>
          <w:rFonts w:ascii="Gill Sans MT" w:hAnsi="Gill Sans MT"/>
          <w:sz w:val="20"/>
          <w:szCs w:val="20"/>
          <w:lang w:val="en-GB"/>
        </w:rPr>
        <w:t xml:space="preserve"> been in the co</w:t>
      </w:r>
      <w:r w:rsidR="00B600BD" w:rsidRPr="00935322">
        <w:rPr>
          <w:rFonts w:ascii="Gill Sans MT" w:hAnsi="Gill Sans MT"/>
          <w:sz w:val="20"/>
          <w:szCs w:val="20"/>
          <w:lang w:val="en-GB"/>
        </w:rPr>
        <w:t>untry for between 1 and 2 years, while</w:t>
      </w:r>
      <w:r w:rsidR="000208E0" w:rsidRPr="00935322">
        <w:rPr>
          <w:rFonts w:ascii="Gill Sans MT" w:hAnsi="Gill Sans MT"/>
          <w:sz w:val="20"/>
          <w:szCs w:val="20"/>
          <w:lang w:val="en-GB"/>
        </w:rPr>
        <w:t xml:space="preserve"> 3.8 % of the returnees had stayed in the country for less than a year (3.3% female and 0.5% males)</w:t>
      </w:r>
      <w:r w:rsidR="00A52F71" w:rsidRPr="00935322">
        <w:rPr>
          <w:rFonts w:ascii="Gill Sans MT" w:hAnsi="Gill Sans MT"/>
          <w:sz w:val="20"/>
          <w:szCs w:val="20"/>
          <w:lang w:val="en-GB"/>
        </w:rPr>
        <w:t>.</w:t>
      </w:r>
    </w:p>
    <w:p w14:paraId="56466DF9" w14:textId="77777777" w:rsidR="00202B30" w:rsidRPr="00B62036" w:rsidRDefault="00202B30" w:rsidP="00230515">
      <w:pPr>
        <w:autoSpaceDE w:val="0"/>
        <w:autoSpaceDN w:val="0"/>
        <w:adjustRightInd w:val="0"/>
        <w:spacing w:line="400" w:lineRule="atLeast"/>
        <w:jc w:val="both"/>
        <w:rPr>
          <w:rFonts w:ascii="Gill Sans MT" w:hAnsi="Gill Sans MT"/>
          <w:sz w:val="20"/>
          <w:szCs w:val="20"/>
          <w:lang w:val="en-GB"/>
        </w:rPr>
      </w:pPr>
    </w:p>
    <w:p w14:paraId="66F5C923" w14:textId="152CFE3C" w:rsidR="00202B30" w:rsidRPr="00742607" w:rsidRDefault="00742607" w:rsidP="00742607">
      <w:pPr>
        <w:pStyle w:val="Caption"/>
        <w:rPr>
          <w:rFonts w:ascii="Gill Sans MT" w:hAnsi="Gill Sans MT"/>
          <w:sz w:val="20"/>
          <w:szCs w:val="20"/>
        </w:rPr>
      </w:pPr>
      <w:r w:rsidRPr="00742607">
        <w:rPr>
          <w:rFonts w:ascii="Gill Sans MT" w:hAnsi="Gill Sans MT"/>
          <w:sz w:val="20"/>
          <w:szCs w:val="20"/>
        </w:rPr>
        <w:t xml:space="preserve">Table </w:t>
      </w:r>
      <w:r w:rsidRPr="00742607">
        <w:rPr>
          <w:rFonts w:ascii="Gill Sans MT" w:hAnsi="Gill Sans MT"/>
          <w:sz w:val="20"/>
          <w:szCs w:val="20"/>
        </w:rPr>
        <w:fldChar w:fldCharType="begin"/>
      </w:r>
      <w:r w:rsidRPr="00742607">
        <w:rPr>
          <w:rFonts w:ascii="Gill Sans MT" w:hAnsi="Gill Sans MT"/>
          <w:sz w:val="20"/>
          <w:szCs w:val="20"/>
        </w:rPr>
        <w:instrText xml:space="preserve"> SEQ Table \* ARABIC </w:instrText>
      </w:r>
      <w:r w:rsidRPr="00742607">
        <w:rPr>
          <w:rFonts w:ascii="Gill Sans MT" w:hAnsi="Gill Sans MT"/>
          <w:sz w:val="20"/>
          <w:szCs w:val="20"/>
        </w:rPr>
        <w:fldChar w:fldCharType="separate"/>
      </w:r>
      <w:r w:rsidR="00A52509">
        <w:rPr>
          <w:rFonts w:ascii="Gill Sans MT" w:hAnsi="Gill Sans MT"/>
          <w:noProof/>
          <w:sz w:val="20"/>
          <w:szCs w:val="20"/>
        </w:rPr>
        <w:t>4</w:t>
      </w:r>
      <w:r w:rsidRPr="00742607">
        <w:rPr>
          <w:rFonts w:ascii="Gill Sans MT" w:hAnsi="Gill Sans MT"/>
          <w:sz w:val="20"/>
          <w:szCs w:val="20"/>
        </w:rPr>
        <w:fldChar w:fldCharType="end"/>
      </w:r>
      <w:r w:rsidRPr="00742607">
        <w:rPr>
          <w:rFonts w:ascii="Gill Sans MT" w:hAnsi="Gill Sans MT"/>
          <w:sz w:val="20"/>
          <w:szCs w:val="20"/>
        </w:rPr>
        <w:t xml:space="preserve"> </w:t>
      </w:r>
      <w:r w:rsidR="00D16F36" w:rsidRPr="00742607">
        <w:rPr>
          <w:rFonts w:ascii="Gill Sans MT" w:hAnsi="Gill Sans MT"/>
          <w:sz w:val="20"/>
          <w:szCs w:val="20"/>
        </w:rPr>
        <w:t>Length of Stay of Returnee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008"/>
        <w:gridCol w:w="1395"/>
        <w:gridCol w:w="1396"/>
        <w:gridCol w:w="1601"/>
      </w:tblGrid>
      <w:tr w:rsidR="00742607" w:rsidRPr="00742607" w14:paraId="591682A5" w14:textId="77777777" w:rsidTr="00742607">
        <w:trPr>
          <w:trHeight w:val="300"/>
        </w:trPr>
        <w:tc>
          <w:tcPr>
            <w:tcW w:w="2707" w:type="pct"/>
            <w:gridSpan w:val="2"/>
            <w:vMerge w:val="restart"/>
            <w:shd w:val="clear" w:color="auto" w:fill="D9D9D9" w:themeFill="background1" w:themeFillShade="D9"/>
            <w:noWrap/>
            <w:vAlign w:val="bottom"/>
            <w:hideMark/>
          </w:tcPr>
          <w:p w14:paraId="513287E7" w14:textId="77777777" w:rsidR="00742607" w:rsidRPr="00742607" w:rsidRDefault="00742607" w:rsidP="001D4DE4">
            <w:pPr>
              <w:rPr>
                <w:rFonts w:ascii="Gill Sans MT" w:hAnsi="Gill Sans MT"/>
                <w:sz w:val="18"/>
                <w:szCs w:val="18"/>
              </w:rPr>
            </w:pPr>
            <w:r w:rsidRPr="00742607">
              <w:rPr>
                <w:rFonts w:ascii="Gill Sans MT" w:hAnsi="Gill Sans MT" w:cs="Arial"/>
                <w:b/>
                <w:bCs/>
                <w:color w:val="000000"/>
                <w:sz w:val="18"/>
                <w:szCs w:val="18"/>
              </w:rPr>
              <w:t>Length of stay of returnee</w:t>
            </w:r>
          </w:p>
          <w:p w14:paraId="1A948322" w14:textId="77777777" w:rsidR="00742607" w:rsidRPr="00742607" w:rsidRDefault="00742607" w:rsidP="001D4DE4">
            <w:pPr>
              <w:rPr>
                <w:rFonts w:ascii="Gill Sans MT" w:hAnsi="Gill Sans MT" w:cs="Calibri"/>
                <w:color w:val="000000"/>
                <w:sz w:val="18"/>
                <w:szCs w:val="18"/>
                <w:lang w:val="en-GB" w:eastAsia="en-GB"/>
              </w:rPr>
            </w:pPr>
          </w:p>
        </w:tc>
        <w:tc>
          <w:tcPr>
            <w:tcW w:w="2293" w:type="pct"/>
            <w:gridSpan w:val="3"/>
            <w:shd w:val="clear" w:color="auto" w:fill="D9D9D9" w:themeFill="background1" w:themeFillShade="D9"/>
            <w:noWrap/>
            <w:vAlign w:val="bottom"/>
            <w:hideMark/>
          </w:tcPr>
          <w:p w14:paraId="4E777D80" w14:textId="77777777" w:rsidR="00742607" w:rsidRPr="00742607" w:rsidRDefault="00742607" w:rsidP="001D4DE4">
            <w:pPr>
              <w:jc w:val="center"/>
              <w:rPr>
                <w:rFonts w:ascii="Gill Sans MT" w:hAnsi="Gill Sans MT" w:cs="Calibri"/>
                <w:b/>
                <w:color w:val="000000"/>
                <w:sz w:val="18"/>
                <w:szCs w:val="18"/>
                <w:lang w:val="en-GB" w:eastAsia="en-GB"/>
              </w:rPr>
            </w:pPr>
            <w:r w:rsidRPr="00742607">
              <w:rPr>
                <w:rFonts w:ascii="Gill Sans MT" w:hAnsi="Gill Sans MT" w:cs="Calibri"/>
                <w:b/>
                <w:color w:val="000000"/>
                <w:sz w:val="18"/>
                <w:szCs w:val="18"/>
                <w:lang w:val="en-GB" w:eastAsia="en-GB"/>
              </w:rPr>
              <w:t>Gender</w:t>
            </w:r>
          </w:p>
        </w:tc>
      </w:tr>
      <w:tr w:rsidR="00742607" w:rsidRPr="00742607" w14:paraId="46C725EF" w14:textId="77777777" w:rsidTr="00742607">
        <w:trPr>
          <w:trHeight w:val="300"/>
        </w:trPr>
        <w:tc>
          <w:tcPr>
            <w:tcW w:w="2707" w:type="pct"/>
            <w:gridSpan w:val="2"/>
            <w:vMerge/>
            <w:shd w:val="clear" w:color="auto" w:fill="D9D9D9" w:themeFill="background1" w:themeFillShade="D9"/>
            <w:noWrap/>
            <w:vAlign w:val="bottom"/>
            <w:hideMark/>
          </w:tcPr>
          <w:p w14:paraId="4F9EEA67" w14:textId="77777777" w:rsidR="00742607" w:rsidRPr="00742607" w:rsidRDefault="00742607" w:rsidP="001D4DE4">
            <w:pPr>
              <w:rPr>
                <w:rFonts w:ascii="Gill Sans MT" w:hAnsi="Gill Sans MT" w:cs="Calibri"/>
                <w:color w:val="000000"/>
                <w:sz w:val="18"/>
                <w:szCs w:val="18"/>
                <w:lang w:val="en-GB" w:eastAsia="en-GB"/>
              </w:rPr>
            </w:pPr>
          </w:p>
        </w:tc>
        <w:tc>
          <w:tcPr>
            <w:tcW w:w="729" w:type="pct"/>
            <w:shd w:val="clear" w:color="auto" w:fill="D9D9D9" w:themeFill="background1" w:themeFillShade="D9"/>
            <w:noWrap/>
            <w:vAlign w:val="bottom"/>
            <w:hideMark/>
          </w:tcPr>
          <w:p w14:paraId="1E9351EE" w14:textId="77777777" w:rsidR="00742607" w:rsidRPr="00742607" w:rsidRDefault="00742607" w:rsidP="001D4DE4">
            <w:pPr>
              <w:jc w:val="center"/>
              <w:rPr>
                <w:rFonts w:ascii="Gill Sans MT" w:hAnsi="Gill Sans MT" w:cs="Calibri"/>
                <w:b/>
                <w:color w:val="000000"/>
                <w:sz w:val="18"/>
                <w:szCs w:val="18"/>
                <w:lang w:val="en-GB" w:eastAsia="en-GB"/>
              </w:rPr>
            </w:pPr>
            <w:r w:rsidRPr="00742607">
              <w:rPr>
                <w:rFonts w:ascii="Gill Sans MT" w:hAnsi="Gill Sans MT" w:cs="Calibri"/>
                <w:b/>
                <w:color w:val="000000"/>
                <w:sz w:val="18"/>
                <w:szCs w:val="18"/>
                <w:lang w:val="en-GB" w:eastAsia="en-GB"/>
              </w:rPr>
              <w:t>Male</w:t>
            </w:r>
          </w:p>
        </w:tc>
        <w:tc>
          <w:tcPr>
            <w:tcW w:w="729" w:type="pct"/>
            <w:shd w:val="clear" w:color="auto" w:fill="D9D9D9" w:themeFill="background1" w:themeFillShade="D9"/>
            <w:noWrap/>
            <w:vAlign w:val="bottom"/>
            <w:hideMark/>
          </w:tcPr>
          <w:p w14:paraId="14BAC924" w14:textId="77777777" w:rsidR="00742607" w:rsidRPr="00742607" w:rsidRDefault="00742607" w:rsidP="001D4DE4">
            <w:pPr>
              <w:jc w:val="center"/>
              <w:rPr>
                <w:rFonts w:ascii="Gill Sans MT" w:hAnsi="Gill Sans MT" w:cs="Calibri"/>
                <w:b/>
                <w:color w:val="000000"/>
                <w:sz w:val="18"/>
                <w:szCs w:val="18"/>
                <w:lang w:val="en-GB" w:eastAsia="en-GB"/>
              </w:rPr>
            </w:pPr>
            <w:r w:rsidRPr="00742607">
              <w:rPr>
                <w:rFonts w:ascii="Gill Sans MT" w:hAnsi="Gill Sans MT" w:cs="Calibri"/>
                <w:b/>
                <w:color w:val="000000"/>
                <w:sz w:val="18"/>
                <w:szCs w:val="18"/>
                <w:lang w:val="en-GB" w:eastAsia="en-GB"/>
              </w:rPr>
              <w:t>Female</w:t>
            </w:r>
          </w:p>
        </w:tc>
        <w:tc>
          <w:tcPr>
            <w:tcW w:w="835" w:type="pct"/>
            <w:shd w:val="clear" w:color="auto" w:fill="D9D9D9" w:themeFill="background1" w:themeFillShade="D9"/>
            <w:noWrap/>
            <w:vAlign w:val="bottom"/>
            <w:hideMark/>
          </w:tcPr>
          <w:p w14:paraId="5CC32DF6" w14:textId="77777777" w:rsidR="00742607" w:rsidRPr="00742607" w:rsidRDefault="00742607" w:rsidP="001D4DE4">
            <w:pPr>
              <w:jc w:val="center"/>
              <w:rPr>
                <w:rFonts w:ascii="Gill Sans MT" w:hAnsi="Gill Sans MT" w:cs="Calibri"/>
                <w:b/>
                <w:color w:val="000000"/>
                <w:sz w:val="18"/>
                <w:szCs w:val="18"/>
                <w:lang w:val="en-GB" w:eastAsia="en-GB"/>
              </w:rPr>
            </w:pPr>
            <w:r w:rsidRPr="00742607">
              <w:rPr>
                <w:rFonts w:ascii="Gill Sans MT" w:hAnsi="Gill Sans MT" w:cs="Calibri"/>
                <w:b/>
                <w:color w:val="000000"/>
                <w:sz w:val="18"/>
                <w:szCs w:val="18"/>
                <w:lang w:val="en-GB" w:eastAsia="en-GB"/>
              </w:rPr>
              <w:t>Combined Total</w:t>
            </w:r>
          </w:p>
        </w:tc>
      </w:tr>
      <w:tr w:rsidR="00742607" w:rsidRPr="00742607" w14:paraId="434E135B" w14:textId="77777777" w:rsidTr="00742607">
        <w:trPr>
          <w:trHeight w:val="47"/>
        </w:trPr>
        <w:tc>
          <w:tcPr>
            <w:tcW w:w="2181" w:type="pct"/>
            <w:shd w:val="clear" w:color="auto" w:fill="auto"/>
            <w:noWrap/>
            <w:vAlign w:val="bottom"/>
            <w:hideMark/>
          </w:tcPr>
          <w:p w14:paraId="61072D6B" w14:textId="77777777" w:rsidR="00742607" w:rsidRPr="00742607" w:rsidRDefault="00742607" w:rsidP="001D4DE4">
            <w:pP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Between 6 months and 1 year</w:t>
            </w:r>
          </w:p>
        </w:tc>
        <w:tc>
          <w:tcPr>
            <w:tcW w:w="527" w:type="pct"/>
            <w:shd w:val="clear" w:color="auto" w:fill="auto"/>
            <w:noWrap/>
            <w:vAlign w:val="bottom"/>
            <w:hideMark/>
          </w:tcPr>
          <w:p w14:paraId="6B665BC7"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N</w:t>
            </w:r>
          </w:p>
          <w:p w14:paraId="50DBCF70"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w:t>
            </w:r>
          </w:p>
        </w:tc>
        <w:tc>
          <w:tcPr>
            <w:tcW w:w="729" w:type="pct"/>
            <w:shd w:val="clear" w:color="auto" w:fill="auto"/>
            <w:noWrap/>
            <w:vAlign w:val="bottom"/>
            <w:hideMark/>
          </w:tcPr>
          <w:p w14:paraId="1BB1D5FB"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w:t>
            </w:r>
          </w:p>
          <w:p w14:paraId="106AACF1"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2.9%</w:t>
            </w:r>
          </w:p>
        </w:tc>
        <w:tc>
          <w:tcPr>
            <w:tcW w:w="729" w:type="pct"/>
            <w:shd w:val="clear" w:color="auto" w:fill="auto"/>
            <w:noWrap/>
            <w:vAlign w:val="bottom"/>
            <w:hideMark/>
          </w:tcPr>
          <w:p w14:paraId="67795A36"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6</w:t>
            </w:r>
          </w:p>
          <w:p w14:paraId="3586C074"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4%</w:t>
            </w:r>
          </w:p>
        </w:tc>
        <w:tc>
          <w:tcPr>
            <w:tcW w:w="835" w:type="pct"/>
            <w:shd w:val="clear" w:color="auto" w:fill="auto"/>
            <w:noWrap/>
            <w:vAlign w:val="bottom"/>
            <w:hideMark/>
          </w:tcPr>
          <w:p w14:paraId="0D91FF21"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7</w:t>
            </w:r>
          </w:p>
          <w:p w14:paraId="34F5586D"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3.8%</w:t>
            </w:r>
          </w:p>
        </w:tc>
      </w:tr>
      <w:tr w:rsidR="00742607" w:rsidRPr="00742607" w14:paraId="0AC1E06A" w14:textId="77777777" w:rsidTr="00742607">
        <w:trPr>
          <w:trHeight w:val="47"/>
        </w:trPr>
        <w:tc>
          <w:tcPr>
            <w:tcW w:w="2181" w:type="pct"/>
            <w:shd w:val="clear" w:color="auto" w:fill="auto"/>
            <w:noWrap/>
            <w:vAlign w:val="bottom"/>
            <w:hideMark/>
          </w:tcPr>
          <w:p w14:paraId="25496805" w14:textId="77777777" w:rsidR="00742607" w:rsidRPr="00742607" w:rsidRDefault="00742607" w:rsidP="001D4DE4">
            <w:pP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Between 1  and 2 years</w:t>
            </w:r>
          </w:p>
        </w:tc>
        <w:tc>
          <w:tcPr>
            <w:tcW w:w="527" w:type="pct"/>
            <w:shd w:val="clear" w:color="auto" w:fill="auto"/>
            <w:noWrap/>
            <w:vAlign w:val="bottom"/>
            <w:hideMark/>
          </w:tcPr>
          <w:p w14:paraId="0C28591E"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N</w:t>
            </w:r>
          </w:p>
          <w:p w14:paraId="02EF8A73"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w:t>
            </w:r>
          </w:p>
        </w:tc>
        <w:tc>
          <w:tcPr>
            <w:tcW w:w="729" w:type="pct"/>
            <w:shd w:val="clear" w:color="auto" w:fill="auto"/>
            <w:noWrap/>
            <w:vAlign w:val="bottom"/>
            <w:hideMark/>
          </w:tcPr>
          <w:p w14:paraId="3A9F1A3F"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10</w:t>
            </w:r>
          </w:p>
          <w:p w14:paraId="04BEACC6"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29.4%</w:t>
            </w:r>
          </w:p>
        </w:tc>
        <w:tc>
          <w:tcPr>
            <w:tcW w:w="729" w:type="pct"/>
            <w:shd w:val="clear" w:color="auto" w:fill="auto"/>
            <w:noWrap/>
            <w:vAlign w:val="bottom"/>
            <w:hideMark/>
          </w:tcPr>
          <w:p w14:paraId="21F6CFCB"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40</w:t>
            </w:r>
          </w:p>
          <w:p w14:paraId="148E6A80"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26.8%</w:t>
            </w:r>
          </w:p>
        </w:tc>
        <w:tc>
          <w:tcPr>
            <w:tcW w:w="835" w:type="pct"/>
            <w:shd w:val="clear" w:color="auto" w:fill="auto"/>
            <w:noWrap/>
            <w:vAlign w:val="bottom"/>
            <w:hideMark/>
          </w:tcPr>
          <w:p w14:paraId="36987C7A"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50</w:t>
            </w:r>
          </w:p>
          <w:p w14:paraId="12EC353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27.3%</w:t>
            </w:r>
          </w:p>
        </w:tc>
      </w:tr>
      <w:tr w:rsidR="00742607" w:rsidRPr="00742607" w14:paraId="764BBFFD" w14:textId="77777777" w:rsidTr="00742607">
        <w:trPr>
          <w:trHeight w:val="47"/>
        </w:trPr>
        <w:tc>
          <w:tcPr>
            <w:tcW w:w="2181" w:type="pct"/>
            <w:shd w:val="clear" w:color="auto" w:fill="auto"/>
            <w:noWrap/>
            <w:vAlign w:val="bottom"/>
            <w:hideMark/>
          </w:tcPr>
          <w:p w14:paraId="4ACAF1CA" w14:textId="77777777" w:rsidR="00742607" w:rsidRPr="00742607" w:rsidRDefault="00742607" w:rsidP="001D4DE4">
            <w:pP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More than 2 years</w:t>
            </w:r>
          </w:p>
        </w:tc>
        <w:tc>
          <w:tcPr>
            <w:tcW w:w="527" w:type="pct"/>
            <w:shd w:val="clear" w:color="auto" w:fill="auto"/>
            <w:noWrap/>
            <w:vAlign w:val="bottom"/>
            <w:hideMark/>
          </w:tcPr>
          <w:p w14:paraId="66AA9D7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N</w:t>
            </w:r>
          </w:p>
          <w:p w14:paraId="3A6791DB"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w:t>
            </w:r>
          </w:p>
        </w:tc>
        <w:tc>
          <w:tcPr>
            <w:tcW w:w="729" w:type="pct"/>
            <w:shd w:val="clear" w:color="auto" w:fill="auto"/>
            <w:noWrap/>
            <w:vAlign w:val="bottom"/>
            <w:hideMark/>
          </w:tcPr>
          <w:p w14:paraId="32535E2B"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23</w:t>
            </w:r>
          </w:p>
          <w:p w14:paraId="435068C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67.6%</w:t>
            </w:r>
          </w:p>
        </w:tc>
        <w:tc>
          <w:tcPr>
            <w:tcW w:w="729" w:type="pct"/>
            <w:shd w:val="clear" w:color="auto" w:fill="auto"/>
            <w:noWrap/>
            <w:vAlign w:val="bottom"/>
            <w:hideMark/>
          </w:tcPr>
          <w:p w14:paraId="7ED01C8A"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103</w:t>
            </w:r>
          </w:p>
          <w:p w14:paraId="10E3C53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69.1%</w:t>
            </w:r>
          </w:p>
        </w:tc>
        <w:tc>
          <w:tcPr>
            <w:tcW w:w="835" w:type="pct"/>
            <w:shd w:val="clear" w:color="auto" w:fill="auto"/>
            <w:noWrap/>
            <w:vAlign w:val="bottom"/>
            <w:hideMark/>
          </w:tcPr>
          <w:p w14:paraId="0D114B76"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126</w:t>
            </w:r>
          </w:p>
          <w:p w14:paraId="6B88B319"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68.9%</w:t>
            </w:r>
          </w:p>
        </w:tc>
      </w:tr>
      <w:tr w:rsidR="00742607" w:rsidRPr="00742607" w14:paraId="18A6678A" w14:textId="77777777" w:rsidTr="00742607">
        <w:trPr>
          <w:trHeight w:val="47"/>
        </w:trPr>
        <w:tc>
          <w:tcPr>
            <w:tcW w:w="2181" w:type="pct"/>
            <w:shd w:val="clear" w:color="auto" w:fill="D9D9D9" w:themeFill="background1" w:themeFillShade="D9"/>
            <w:noWrap/>
            <w:vAlign w:val="bottom"/>
            <w:hideMark/>
          </w:tcPr>
          <w:p w14:paraId="53113B21" w14:textId="77777777" w:rsidR="00742607" w:rsidRPr="00742607" w:rsidRDefault="00742607" w:rsidP="001D4DE4">
            <w:pP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Total</w:t>
            </w:r>
          </w:p>
        </w:tc>
        <w:tc>
          <w:tcPr>
            <w:tcW w:w="527" w:type="pct"/>
            <w:shd w:val="clear" w:color="auto" w:fill="D9D9D9" w:themeFill="background1" w:themeFillShade="D9"/>
            <w:noWrap/>
            <w:vAlign w:val="bottom"/>
            <w:hideMark/>
          </w:tcPr>
          <w:p w14:paraId="57164252"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N</w:t>
            </w:r>
          </w:p>
          <w:p w14:paraId="0BFB1BC2"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w:t>
            </w:r>
          </w:p>
        </w:tc>
        <w:tc>
          <w:tcPr>
            <w:tcW w:w="729" w:type="pct"/>
            <w:shd w:val="clear" w:color="auto" w:fill="D9D9D9" w:themeFill="background1" w:themeFillShade="D9"/>
            <w:noWrap/>
            <w:vAlign w:val="bottom"/>
            <w:hideMark/>
          </w:tcPr>
          <w:p w14:paraId="3B649E6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34</w:t>
            </w:r>
          </w:p>
          <w:p w14:paraId="1E1D560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100%</w:t>
            </w:r>
          </w:p>
        </w:tc>
        <w:tc>
          <w:tcPr>
            <w:tcW w:w="729" w:type="pct"/>
            <w:shd w:val="clear" w:color="auto" w:fill="D9D9D9" w:themeFill="background1" w:themeFillShade="D9"/>
            <w:noWrap/>
            <w:vAlign w:val="bottom"/>
            <w:hideMark/>
          </w:tcPr>
          <w:p w14:paraId="6679C2AC"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149</w:t>
            </w:r>
          </w:p>
          <w:p w14:paraId="682E3DEA"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100%</w:t>
            </w:r>
          </w:p>
        </w:tc>
        <w:tc>
          <w:tcPr>
            <w:tcW w:w="835" w:type="pct"/>
            <w:shd w:val="clear" w:color="auto" w:fill="D9D9D9" w:themeFill="background1" w:themeFillShade="D9"/>
            <w:noWrap/>
            <w:vAlign w:val="bottom"/>
            <w:hideMark/>
          </w:tcPr>
          <w:p w14:paraId="510A1665"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183</w:t>
            </w:r>
          </w:p>
          <w:p w14:paraId="0B09F91C" w14:textId="77777777" w:rsidR="00742607" w:rsidRPr="00742607" w:rsidRDefault="00742607" w:rsidP="001D4DE4">
            <w:pPr>
              <w:jc w:val="center"/>
              <w:rPr>
                <w:rFonts w:ascii="Gill Sans MT" w:hAnsi="Gill Sans MT" w:cs="Calibri"/>
                <w:color w:val="000000"/>
                <w:sz w:val="18"/>
                <w:szCs w:val="18"/>
                <w:lang w:val="en-GB" w:eastAsia="en-GB"/>
              </w:rPr>
            </w:pPr>
            <w:r w:rsidRPr="00742607">
              <w:rPr>
                <w:rFonts w:ascii="Gill Sans MT" w:hAnsi="Gill Sans MT" w:cs="Calibri"/>
                <w:color w:val="000000"/>
                <w:sz w:val="18"/>
                <w:szCs w:val="18"/>
                <w:lang w:val="en-GB" w:eastAsia="en-GB"/>
              </w:rPr>
              <w:t>100%</w:t>
            </w:r>
          </w:p>
        </w:tc>
      </w:tr>
    </w:tbl>
    <w:p w14:paraId="057C22B0" w14:textId="77777777" w:rsidR="002C31A9" w:rsidRPr="00B62036" w:rsidRDefault="002C31A9" w:rsidP="00230515">
      <w:pPr>
        <w:jc w:val="both"/>
        <w:rPr>
          <w:rFonts w:ascii="Gill Sans MT" w:hAnsi="Gill Sans MT"/>
          <w:sz w:val="20"/>
          <w:szCs w:val="20"/>
        </w:rPr>
      </w:pPr>
    </w:p>
    <w:p w14:paraId="6B197BE5" w14:textId="0882AD3C" w:rsidR="007B4416" w:rsidRPr="00B62036" w:rsidRDefault="003303C1" w:rsidP="003A6010">
      <w:pPr>
        <w:pStyle w:val="Heading2"/>
      </w:pPr>
      <w:bookmarkStart w:id="24" w:name="_Toc419359859"/>
      <w:r w:rsidRPr="00B62036">
        <w:t>Efficiency</w:t>
      </w:r>
      <w:bookmarkEnd w:id="24"/>
    </w:p>
    <w:p w14:paraId="4BF1FE0B" w14:textId="5E230196" w:rsidR="00AC2E88" w:rsidRPr="00B62036" w:rsidRDefault="00AC2E88" w:rsidP="00230515">
      <w:pPr>
        <w:pStyle w:val="Heading3"/>
        <w:jc w:val="both"/>
        <w:rPr>
          <w:rFonts w:ascii="Gill Sans MT" w:hAnsi="Gill Sans MT"/>
          <w:sz w:val="20"/>
          <w:szCs w:val="20"/>
        </w:rPr>
      </w:pPr>
      <w:bookmarkStart w:id="25" w:name="_Toc419359860"/>
      <w:r w:rsidRPr="00B62036">
        <w:rPr>
          <w:rFonts w:ascii="Gill Sans MT" w:hAnsi="Gill Sans MT"/>
          <w:sz w:val="20"/>
          <w:szCs w:val="20"/>
        </w:rPr>
        <w:t>3.2.1 Efficiency of Project Implementation</w:t>
      </w:r>
      <w:bookmarkEnd w:id="25"/>
    </w:p>
    <w:p w14:paraId="28D3261A" w14:textId="2CCF53DA" w:rsidR="007B4416" w:rsidRPr="00B62036" w:rsidRDefault="00BC2A79" w:rsidP="00230515">
      <w:pPr>
        <w:pStyle w:val="Default"/>
        <w:tabs>
          <w:tab w:val="left" w:pos="1440"/>
        </w:tabs>
        <w:spacing w:line="276" w:lineRule="auto"/>
        <w:jc w:val="both"/>
        <w:rPr>
          <w:rFonts w:ascii="Gill Sans MT" w:hAnsi="Gill Sans MT" w:cs="Calibri"/>
          <w:sz w:val="20"/>
          <w:szCs w:val="20"/>
        </w:rPr>
      </w:pPr>
      <w:r>
        <w:rPr>
          <w:rFonts w:ascii="Gill Sans MT" w:eastAsia="ArialMT" w:hAnsi="Gill Sans MT" w:cs="Arial"/>
          <w:sz w:val="20"/>
          <w:szCs w:val="20"/>
        </w:rPr>
        <w:t>The criteria</w:t>
      </w:r>
      <w:r w:rsidRPr="00B62036">
        <w:rPr>
          <w:rFonts w:ascii="Gill Sans MT" w:eastAsia="ArialMT" w:hAnsi="Gill Sans MT" w:cs="Arial"/>
          <w:sz w:val="20"/>
          <w:szCs w:val="20"/>
        </w:rPr>
        <w:t xml:space="preserve"> of efficiency look</w:t>
      </w:r>
      <w:r>
        <w:rPr>
          <w:rFonts w:ascii="Gill Sans MT" w:eastAsia="ArialMT" w:hAnsi="Gill Sans MT" w:cs="Arial"/>
          <w:sz w:val="20"/>
          <w:szCs w:val="20"/>
        </w:rPr>
        <w:t>ed</w:t>
      </w:r>
      <w:r w:rsidR="007B4416" w:rsidRPr="00B62036">
        <w:rPr>
          <w:rFonts w:ascii="Gill Sans MT" w:eastAsia="ArialMT" w:hAnsi="Gill Sans MT" w:cs="Arial"/>
          <w:sz w:val="20"/>
          <w:szCs w:val="20"/>
        </w:rPr>
        <w:t xml:space="preserve"> at the extent to which the programme objectives and sub-objectives have been achieved with the appropriate amount of resources</w:t>
      </w:r>
      <w:r w:rsidR="00810A48" w:rsidRPr="00B62036">
        <w:rPr>
          <w:rFonts w:ascii="Gill Sans MT" w:eastAsia="ArialMT" w:hAnsi="Gill Sans MT" w:cs="Arial"/>
          <w:sz w:val="20"/>
          <w:szCs w:val="20"/>
        </w:rPr>
        <w:t xml:space="preserve">. Under efficiency the evaluation </w:t>
      </w:r>
      <w:r w:rsidR="008E23F8" w:rsidRPr="00B62036">
        <w:rPr>
          <w:rFonts w:ascii="Gill Sans MT" w:eastAsia="ArialMT" w:hAnsi="Gill Sans MT" w:cs="Arial"/>
          <w:sz w:val="20"/>
          <w:szCs w:val="20"/>
        </w:rPr>
        <w:t xml:space="preserve">specifically </w:t>
      </w:r>
      <w:r w:rsidR="00810A48" w:rsidRPr="00B62036">
        <w:rPr>
          <w:rFonts w:ascii="Gill Sans MT" w:eastAsia="ArialMT" w:hAnsi="Gill Sans MT" w:cs="Arial"/>
          <w:sz w:val="20"/>
          <w:szCs w:val="20"/>
        </w:rPr>
        <w:t xml:space="preserve">focused on </w:t>
      </w:r>
      <w:r w:rsidR="00B17A57" w:rsidRPr="00B62036">
        <w:rPr>
          <w:rFonts w:ascii="Gill Sans MT" w:hAnsi="Gill Sans MT" w:cs="Calibri"/>
          <w:sz w:val="20"/>
          <w:szCs w:val="20"/>
        </w:rPr>
        <w:t>a</w:t>
      </w:r>
      <w:r w:rsidR="008E23F8" w:rsidRPr="00B62036">
        <w:rPr>
          <w:rFonts w:ascii="Gill Sans MT" w:hAnsi="Gill Sans MT" w:cs="Calibri"/>
          <w:sz w:val="20"/>
          <w:szCs w:val="20"/>
        </w:rPr>
        <w:t>ssessing to what</w:t>
      </w:r>
      <w:r w:rsidR="00810A48" w:rsidRPr="00B62036">
        <w:rPr>
          <w:rFonts w:ascii="Gill Sans MT" w:hAnsi="Gill Sans MT" w:cs="Calibri"/>
          <w:sz w:val="20"/>
          <w:szCs w:val="20"/>
        </w:rPr>
        <w:t xml:space="preserve"> extent the logistics and quickness of implementation of the peace building project responded to returnees and their host needs; the timely implementation as well as the quality of the delivery </w:t>
      </w:r>
      <w:r w:rsidR="00B17A57" w:rsidRPr="00B62036">
        <w:rPr>
          <w:rFonts w:ascii="Gill Sans MT" w:hAnsi="Gill Sans MT" w:cs="Calibri"/>
          <w:sz w:val="20"/>
          <w:szCs w:val="20"/>
        </w:rPr>
        <w:t xml:space="preserve">process; </w:t>
      </w:r>
      <w:r w:rsidR="00810A48" w:rsidRPr="00B62036">
        <w:rPr>
          <w:rFonts w:ascii="Gill Sans MT" w:hAnsi="Gill Sans MT" w:cs="Calibri"/>
          <w:sz w:val="20"/>
          <w:szCs w:val="20"/>
        </w:rPr>
        <w:t>the cost</w:t>
      </w:r>
      <w:r w:rsidR="008E23F8" w:rsidRPr="00B62036">
        <w:rPr>
          <w:rFonts w:ascii="Gill Sans MT" w:hAnsi="Gill Sans MT" w:cs="Calibri"/>
          <w:sz w:val="20"/>
          <w:szCs w:val="20"/>
        </w:rPr>
        <w:t xml:space="preserve">-effectiveness of the project; </w:t>
      </w:r>
      <w:r w:rsidR="00810A48" w:rsidRPr="00B62036">
        <w:rPr>
          <w:rFonts w:ascii="Gill Sans MT" w:hAnsi="Gill Sans MT" w:cs="Calibri"/>
          <w:sz w:val="20"/>
          <w:szCs w:val="20"/>
        </w:rPr>
        <w:t xml:space="preserve">aspects of the project that could be improved; </w:t>
      </w:r>
      <w:r w:rsidR="008E23F8" w:rsidRPr="00B62036">
        <w:rPr>
          <w:rFonts w:ascii="Gill Sans MT" w:hAnsi="Gill Sans MT" w:cs="Calibri"/>
          <w:sz w:val="20"/>
          <w:szCs w:val="20"/>
        </w:rPr>
        <w:t xml:space="preserve">and </w:t>
      </w:r>
      <w:r w:rsidR="00810A48" w:rsidRPr="00B62036">
        <w:rPr>
          <w:rFonts w:ascii="Gill Sans MT" w:hAnsi="Gill Sans MT" w:cs="Calibri"/>
          <w:sz w:val="20"/>
          <w:szCs w:val="20"/>
        </w:rPr>
        <w:t xml:space="preserve">the </w:t>
      </w:r>
      <w:r w:rsidR="00FA2F02" w:rsidRPr="00B62036">
        <w:rPr>
          <w:rFonts w:ascii="Gill Sans MT" w:hAnsi="Gill Sans MT" w:cs="Calibri"/>
          <w:sz w:val="20"/>
          <w:szCs w:val="20"/>
        </w:rPr>
        <w:t xml:space="preserve">gender sensitive </w:t>
      </w:r>
      <w:r w:rsidR="00810A48" w:rsidRPr="00B62036">
        <w:rPr>
          <w:rFonts w:ascii="Gill Sans MT" w:hAnsi="Gill Sans MT" w:cs="Calibri"/>
          <w:sz w:val="20"/>
          <w:szCs w:val="20"/>
        </w:rPr>
        <w:t>aspect</w:t>
      </w:r>
      <w:r w:rsidR="008E23F8" w:rsidRPr="00B62036">
        <w:rPr>
          <w:rFonts w:ascii="Gill Sans MT" w:hAnsi="Gill Sans MT" w:cs="Calibri"/>
          <w:sz w:val="20"/>
          <w:szCs w:val="20"/>
        </w:rPr>
        <w:t>s</w:t>
      </w:r>
      <w:r w:rsidR="00810A48" w:rsidRPr="00B62036">
        <w:rPr>
          <w:rFonts w:ascii="Gill Sans MT" w:hAnsi="Gill Sans MT" w:cs="Calibri"/>
          <w:sz w:val="20"/>
          <w:szCs w:val="20"/>
        </w:rPr>
        <w:t xml:space="preserve"> of the project in its design and implementation</w:t>
      </w:r>
      <w:r w:rsidR="00FA2F02" w:rsidRPr="00B62036">
        <w:rPr>
          <w:rFonts w:ascii="Gill Sans MT" w:hAnsi="Gill Sans MT" w:cs="Calibri"/>
          <w:sz w:val="20"/>
          <w:szCs w:val="20"/>
        </w:rPr>
        <w:t xml:space="preserve">. Similarly, the evaluation looked into </w:t>
      </w:r>
      <w:r w:rsidR="00810A48" w:rsidRPr="00B62036">
        <w:rPr>
          <w:rFonts w:ascii="Gill Sans MT" w:hAnsi="Gill Sans MT" w:cs="Calibri"/>
          <w:sz w:val="20"/>
          <w:szCs w:val="20"/>
        </w:rPr>
        <w:t>the extent to which potential s</w:t>
      </w:r>
      <w:r w:rsidR="00FA2F02" w:rsidRPr="00B62036">
        <w:rPr>
          <w:rFonts w:ascii="Gill Sans MT" w:hAnsi="Gill Sans MT" w:cs="Calibri"/>
          <w:sz w:val="20"/>
          <w:szCs w:val="20"/>
        </w:rPr>
        <w:t xml:space="preserve">ynergies and complementarities </w:t>
      </w:r>
      <w:r w:rsidR="00810A48" w:rsidRPr="00B62036">
        <w:rPr>
          <w:rFonts w:ascii="Gill Sans MT" w:hAnsi="Gill Sans MT" w:cs="Calibri"/>
          <w:sz w:val="20"/>
          <w:szCs w:val="20"/>
        </w:rPr>
        <w:t xml:space="preserve">with other PBF projects such as Midnimo, Daldhis and Support to Stabilization, were harnessed during project implementation. </w:t>
      </w:r>
    </w:p>
    <w:p w14:paraId="3008B8DA" w14:textId="77777777" w:rsidR="00E46608" w:rsidRPr="00B62036" w:rsidRDefault="00E46608" w:rsidP="00230515">
      <w:pPr>
        <w:pStyle w:val="Default"/>
        <w:tabs>
          <w:tab w:val="left" w:pos="1440"/>
        </w:tabs>
        <w:spacing w:line="276" w:lineRule="auto"/>
        <w:jc w:val="both"/>
        <w:rPr>
          <w:rFonts w:ascii="Gill Sans MT" w:hAnsi="Gill Sans MT" w:cs="Calibri"/>
          <w:sz w:val="20"/>
          <w:szCs w:val="20"/>
        </w:rPr>
      </w:pPr>
    </w:p>
    <w:p w14:paraId="6410BAA3" w14:textId="7BA29414" w:rsidR="00F55459" w:rsidRPr="00B62036" w:rsidRDefault="008E23F8"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 xml:space="preserve">The </w:t>
      </w:r>
      <w:r w:rsidR="00617253">
        <w:rPr>
          <w:rFonts w:ascii="Gill Sans MT" w:hAnsi="Gill Sans MT" w:cs="Calibri"/>
          <w:sz w:val="20"/>
          <w:szCs w:val="20"/>
        </w:rPr>
        <w:t xml:space="preserve">PBF program </w:t>
      </w:r>
      <w:r w:rsidRPr="00B62036">
        <w:rPr>
          <w:rFonts w:ascii="Gill Sans MT" w:hAnsi="Gill Sans MT" w:cs="Calibri"/>
          <w:sz w:val="20"/>
          <w:szCs w:val="20"/>
        </w:rPr>
        <w:t>had</w:t>
      </w:r>
      <w:r w:rsidR="00A03035" w:rsidRPr="00B62036">
        <w:rPr>
          <w:rFonts w:ascii="Gill Sans MT" w:hAnsi="Gill Sans MT" w:cs="Calibri"/>
          <w:sz w:val="20"/>
          <w:szCs w:val="20"/>
        </w:rPr>
        <w:t xml:space="preserve"> several complementing activities that </w:t>
      </w:r>
      <w:r w:rsidR="004F561F" w:rsidRPr="00B62036">
        <w:rPr>
          <w:rFonts w:ascii="Gill Sans MT" w:hAnsi="Gill Sans MT" w:cs="Calibri"/>
          <w:sz w:val="20"/>
          <w:szCs w:val="20"/>
        </w:rPr>
        <w:t>were</w:t>
      </w:r>
      <w:r w:rsidR="00A03035" w:rsidRPr="00B62036">
        <w:rPr>
          <w:rFonts w:ascii="Gill Sans MT" w:hAnsi="Gill Sans MT" w:cs="Calibri"/>
          <w:sz w:val="20"/>
          <w:szCs w:val="20"/>
        </w:rPr>
        <w:t xml:space="preserve"> delivered by several UN agencies in collaboration with </w:t>
      </w:r>
      <w:r w:rsidR="007B4416" w:rsidRPr="00B62036">
        <w:rPr>
          <w:rFonts w:ascii="Gill Sans MT" w:hAnsi="Gill Sans MT" w:cs="Calibri"/>
          <w:sz w:val="20"/>
          <w:szCs w:val="20"/>
        </w:rPr>
        <w:t xml:space="preserve">international and </w:t>
      </w:r>
      <w:r w:rsidR="00A03035" w:rsidRPr="00B62036">
        <w:rPr>
          <w:rFonts w:ascii="Gill Sans MT" w:hAnsi="Gill Sans MT" w:cs="Calibri"/>
          <w:sz w:val="20"/>
          <w:szCs w:val="20"/>
        </w:rPr>
        <w:t>local partners</w:t>
      </w:r>
      <w:r w:rsidR="007B4416" w:rsidRPr="00B62036">
        <w:rPr>
          <w:rFonts w:ascii="Gill Sans MT" w:hAnsi="Gill Sans MT" w:cs="Calibri"/>
          <w:sz w:val="20"/>
          <w:szCs w:val="20"/>
        </w:rPr>
        <w:t>,</w:t>
      </w:r>
      <w:r w:rsidR="00A03035" w:rsidRPr="00B62036">
        <w:rPr>
          <w:rFonts w:ascii="Gill Sans MT" w:hAnsi="Gill Sans MT" w:cs="Calibri"/>
          <w:sz w:val="20"/>
          <w:szCs w:val="20"/>
        </w:rPr>
        <w:t xml:space="preserve"> and Ministry of Refugee and Diaspora </w:t>
      </w:r>
      <w:r w:rsidR="004F561F" w:rsidRPr="00B62036">
        <w:rPr>
          <w:rFonts w:ascii="Gill Sans MT" w:hAnsi="Gill Sans MT" w:cs="Calibri"/>
          <w:sz w:val="20"/>
          <w:szCs w:val="20"/>
        </w:rPr>
        <w:t>Affairs (</w:t>
      </w:r>
      <w:r w:rsidR="00A03035" w:rsidRPr="00B62036">
        <w:rPr>
          <w:rFonts w:ascii="Gill Sans MT" w:hAnsi="Gill Sans MT" w:cs="Calibri"/>
          <w:sz w:val="20"/>
          <w:szCs w:val="20"/>
        </w:rPr>
        <w:t>MORDA)</w:t>
      </w:r>
      <w:r w:rsidR="00230351" w:rsidRPr="00B62036">
        <w:rPr>
          <w:rFonts w:ascii="Gill Sans MT" w:hAnsi="Gill Sans MT" w:cs="Calibri"/>
          <w:sz w:val="20"/>
          <w:szCs w:val="20"/>
        </w:rPr>
        <w:t xml:space="preserve"> of</w:t>
      </w:r>
      <w:r w:rsidR="007B4416" w:rsidRPr="00B62036">
        <w:rPr>
          <w:rFonts w:ascii="Gill Sans MT" w:hAnsi="Gill Sans MT" w:cs="Calibri"/>
          <w:sz w:val="20"/>
          <w:szCs w:val="20"/>
        </w:rPr>
        <w:t xml:space="preserve"> South West State</w:t>
      </w:r>
      <w:r w:rsidR="00A03035" w:rsidRPr="00B62036">
        <w:rPr>
          <w:rFonts w:ascii="Gill Sans MT" w:hAnsi="Gill Sans MT" w:cs="Calibri"/>
          <w:sz w:val="20"/>
          <w:szCs w:val="20"/>
        </w:rPr>
        <w:t xml:space="preserve">. The project was </w:t>
      </w:r>
      <w:r w:rsidR="007B4416" w:rsidRPr="00B62036">
        <w:rPr>
          <w:rFonts w:ascii="Gill Sans MT" w:hAnsi="Gill Sans MT" w:cs="Calibri"/>
          <w:sz w:val="20"/>
          <w:szCs w:val="20"/>
        </w:rPr>
        <w:t xml:space="preserve">implemented from 2017-2018 and </w:t>
      </w:r>
      <w:r w:rsidR="00A03035" w:rsidRPr="00B62036">
        <w:rPr>
          <w:rFonts w:ascii="Gill Sans MT" w:hAnsi="Gill Sans MT" w:cs="Calibri"/>
          <w:sz w:val="20"/>
          <w:szCs w:val="20"/>
        </w:rPr>
        <w:t>was geared to</w:t>
      </w:r>
      <w:r w:rsidRPr="00B62036">
        <w:rPr>
          <w:rFonts w:ascii="Gill Sans MT" w:hAnsi="Gill Sans MT" w:cs="Calibri"/>
          <w:sz w:val="20"/>
          <w:szCs w:val="20"/>
        </w:rPr>
        <w:t>wards</w:t>
      </w:r>
      <w:r w:rsidR="00A03035" w:rsidRPr="00B62036">
        <w:rPr>
          <w:rFonts w:ascii="Gill Sans MT" w:hAnsi="Gill Sans MT" w:cs="Calibri"/>
          <w:sz w:val="20"/>
          <w:szCs w:val="20"/>
        </w:rPr>
        <w:t xml:space="preserve"> strengthen</w:t>
      </w:r>
      <w:r w:rsidRPr="00B62036">
        <w:rPr>
          <w:rFonts w:ascii="Gill Sans MT" w:hAnsi="Gill Sans MT" w:cs="Calibri"/>
          <w:sz w:val="20"/>
          <w:szCs w:val="20"/>
        </w:rPr>
        <w:t>ing</w:t>
      </w:r>
      <w:r w:rsidR="00A03035" w:rsidRPr="00B62036">
        <w:rPr>
          <w:rFonts w:ascii="Gill Sans MT" w:hAnsi="Gill Sans MT" w:cs="Calibri"/>
          <w:sz w:val="20"/>
          <w:szCs w:val="20"/>
        </w:rPr>
        <w:t xml:space="preserve"> social cohesion among returnees, Internally Displaced</w:t>
      </w:r>
      <w:r w:rsidR="00405C1C" w:rsidRPr="00B62036">
        <w:rPr>
          <w:rFonts w:ascii="Gill Sans MT" w:hAnsi="Gill Sans MT" w:cs="Calibri"/>
          <w:sz w:val="20"/>
          <w:szCs w:val="20"/>
        </w:rPr>
        <w:t xml:space="preserve"> Per</w:t>
      </w:r>
      <w:r w:rsidRPr="00B62036">
        <w:rPr>
          <w:rFonts w:ascii="Gill Sans MT" w:hAnsi="Gill Sans MT" w:cs="Calibri"/>
          <w:sz w:val="20"/>
          <w:szCs w:val="20"/>
        </w:rPr>
        <w:t>sons (IDPs) and host communities</w:t>
      </w:r>
      <w:r w:rsidR="00F91361" w:rsidRPr="00B62036">
        <w:rPr>
          <w:rFonts w:ascii="Gill Sans MT" w:hAnsi="Gill Sans MT" w:cs="Calibri"/>
          <w:sz w:val="20"/>
          <w:szCs w:val="20"/>
        </w:rPr>
        <w:t xml:space="preserve">. </w:t>
      </w:r>
      <w:r w:rsidR="00405C1C" w:rsidRPr="00B62036">
        <w:rPr>
          <w:rFonts w:ascii="Gill Sans MT" w:hAnsi="Gill Sans MT" w:cs="Calibri"/>
          <w:sz w:val="20"/>
          <w:szCs w:val="20"/>
        </w:rPr>
        <w:t xml:space="preserve">Most of the activities were implemented within the set time </w:t>
      </w:r>
      <w:r w:rsidR="00F55459" w:rsidRPr="00B62036">
        <w:rPr>
          <w:rFonts w:ascii="Gill Sans MT" w:hAnsi="Gill Sans MT" w:cs="Calibri"/>
          <w:sz w:val="20"/>
          <w:szCs w:val="20"/>
        </w:rPr>
        <w:t>frame;</w:t>
      </w:r>
      <w:r w:rsidR="00405C1C" w:rsidRPr="00B62036">
        <w:rPr>
          <w:rFonts w:ascii="Gill Sans MT" w:hAnsi="Gill Sans MT" w:cs="Calibri"/>
          <w:sz w:val="20"/>
          <w:szCs w:val="20"/>
        </w:rPr>
        <w:t xml:space="preserve"> however, due to external factors such as insecurity, severe drought in the region resulting influx of IDPs coupled with </w:t>
      </w:r>
      <w:r w:rsidR="007B4416" w:rsidRPr="00B62036">
        <w:rPr>
          <w:rFonts w:ascii="Gill Sans MT" w:hAnsi="Gill Sans MT" w:cs="Calibri"/>
          <w:sz w:val="20"/>
          <w:szCs w:val="20"/>
        </w:rPr>
        <w:t xml:space="preserve">political uncertainty over </w:t>
      </w:r>
      <w:r w:rsidRPr="00B62036">
        <w:rPr>
          <w:rFonts w:ascii="Gill Sans MT" w:hAnsi="Gill Sans MT" w:cs="Calibri"/>
          <w:sz w:val="20"/>
          <w:szCs w:val="20"/>
        </w:rPr>
        <w:t xml:space="preserve">the </w:t>
      </w:r>
      <w:r w:rsidR="007B4416" w:rsidRPr="00B62036">
        <w:rPr>
          <w:rFonts w:ascii="Gill Sans MT" w:hAnsi="Gill Sans MT" w:cs="Calibri"/>
          <w:sz w:val="20"/>
          <w:szCs w:val="20"/>
        </w:rPr>
        <w:t>presidential election of South West S</w:t>
      </w:r>
      <w:r w:rsidR="00405C1C" w:rsidRPr="00B62036">
        <w:rPr>
          <w:rFonts w:ascii="Gill Sans MT" w:hAnsi="Gill Sans MT" w:cs="Calibri"/>
          <w:sz w:val="20"/>
          <w:szCs w:val="20"/>
        </w:rPr>
        <w:t>tate</w:t>
      </w:r>
      <w:r w:rsidR="0066043B" w:rsidRPr="00B62036">
        <w:rPr>
          <w:rFonts w:ascii="Gill Sans MT" w:hAnsi="Gill Sans MT" w:cs="Calibri"/>
          <w:sz w:val="20"/>
          <w:szCs w:val="20"/>
        </w:rPr>
        <w:t xml:space="preserve">, </w:t>
      </w:r>
      <w:r w:rsidRPr="00B62036">
        <w:rPr>
          <w:rFonts w:ascii="Gill Sans MT" w:hAnsi="Gill Sans MT" w:cs="Calibri"/>
          <w:sz w:val="20"/>
          <w:szCs w:val="20"/>
        </w:rPr>
        <w:t xml:space="preserve">that caused </w:t>
      </w:r>
      <w:r w:rsidR="0066043B" w:rsidRPr="00B62036">
        <w:rPr>
          <w:rFonts w:ascii="Gill Sans MT" w:hAnsi="Gill Sans MT" w:cs="Calibri"/>
          <w:sz w:val="20"/>
          <w:szCs w:val="20"/>
        </w:rPr>
        <w:t xml:space="preserve">considerable delays </w:t>
      </w:r>
      <w:r w:rsidR="007B4416" w:rsidRPr="00B62036">
        <w:rPr>
          <w:rFonts w:ascii="Gill Sans MT" w:hAnsi="Gill Sans MT" w:cs="Calibri"/>
          <w:sz w:val="20"/>
          <w:szCs w:val="20"/>
        </w:rPr>
        <w:t xml:space="preserve">in the implementation of </w:t>
      </w:r>
      <w:r w:rsidR="00405C1C" w:rsidRPr="00B62036">
        <w:rPr>
          <w:rFonts w:ascii="Gill Sans MT" w:hAnsi="Gill Sans MT" w:cs="Calibri"/>
          <w:sz w:val="20"/>
          <w:szCs w:val="20"/>
        </w:rPr>
        <w:t>some project activities.</w:t>
      </w:r>
      <w:r w:rsidR="003C103D" w:rsidRPr="00B62036">
        <w:rPr>
          <w:rFonts w:ascii="Gill Sans MT" w:hAnsi="Gill Sans MT" w:cs="Calibri"/>
          <w:sz w:val="20"/>
          <w:szCs w:val="20"/>
        </w:rPr>
        <w:t xml:space="preserve">. </w:t>
      </w:r>
      <w:r w:rsidR="007B4416" w:rsidRPr="00B62036">
        <w:rPr>
          <w:rFonts w:ascii="Gill Sans MT" w:hAnsi="Gill Sans MT" w:cs="Calibri"/>
          <w:sz w:val="20"/>
          <w:szCs w:val="20"/>
        </w:rPr>
        <w:t xml:space="preserve">In addition, </w:t>
      </w:r>
      <w:r w:rsidR="00230351" w:rsidRPr="00B62036">
        <w:rPr>
          <w:rFonts w:ascii="Gill Sans MT" w:hAnsi="Gill Sans MT" w:cs="Calibri"/>
          <w:sz w:val="20"/>
          <w:szCs w:val="20"/>
        </w:rPr>
        <w:t xml:space="preserve">local government’s </w:t>
      </w:r>
      <w:r w:rsidR="00A45460" w:rsidRPr="00B62036">
        <w:rPr>
          <w:rFonts w:ascii="Gill Sans MT" w:hAnsi="Gill Sans MT" w:cs="Calibri"/>
          <w:sz w:val="20"/>
          <w:szCs w:val="20"/>
        </w:rPr>
        <w:lastRenderedPageBreak/>
        <w:t xml:space="preserve">interference in the contracting process of some project activities </w:t>
      </w:r>
      <w:r w:rsidR="007B4416" w:rsidRPr="00B62036">
        <w:rPr>
          <w:rFonts w:ascii="Gill Sans MT" w:hAnsi="Gill Sans MT" w:cs="Calibri"/>
          <w:sz w:val="20"/>
          <w:szCs w:val="20"/>
        </w:rPr>
        <w:t xml:space="preserve">has </w:t>
      </w:r>
      <w:r w:rsidR="00230351" w:rsidRPr="00B62036">
        <w:rPr>
          <w:rFonts w:ascii="Gill Sans MT" w:hAnsi="Gill Sans MT" w:cs="Calibri"/>
          <w:sz w:val="20"/>
          <w:szCs w:val="20"/>
        </w:rPr>
        <w:t>delay</w:t>
      </w:r>
      <w:r w:rsidR="00B943C8">
        <w:rPr>
          <w:rFonts w:ascii="Gill Sans MT" w:hAnsi="Gill Sans MT" w:cs="Calibri"/>
          <w:sz w:val="20"/>
          <w:szCs w:val="20"/>
        </w:rPr>
        <w:t>ed</w:t>
      </w:r>
      <w:r w:rsidR="00230351" w:rsidRPr="00B62036">
        <w:rPr>
          <w:rFonts w:ascii="Gill Sans MT" w:hAnsi="Gill Sans MT" w:cs="Calibri"/>
          <w:sz w:val="20"/>
          <w:szCs w:val="20"/>
        </w:rPr>
        <w:t xml:space="preserve"> </w:t>
      </w:r>
      <w:r w:rsidR="00A45460" w:rsidRPr="00B62036">
        <w:rPr>
          <w:rFonts w:ascii="Gill Sans MT" w:hAnsi="Gill Sans MT" w:cs="Calibri"/>
          <w:sz w:val="20"/>
          <w:szCs w:val="20"/>
        </w:rPr>
        <w:t xml:space="preserve">IOM’s planned </w:t>
      </w:r>
      <w:r w:rsidR="00230351" w:rsidRPr="00B62036">
        <w:rPr>
          <w:rFonts w:ascii="Gill Sans MT" w:hAnsi="Gill Sans MT" w:cs="Calibri"/>
          <w:sz w:val="20"/>
          <w:szCs w:val="20"/>
        </w:rPr>
        <w:t>kick-off of the construction</w:t>
      </w:r>
      <w:r w:rsidR="00A45460" w:rsidRPr="00B62036">
        <w:rPr>
          <w:rFonts w:ascii="Gill Sans MT" w:hAnsi="Gill Sans MT" w:cs="Calibri"/>
          <w:sz w:val="20"/>
          <w:szCs w:val="20"/>
        </w:rPr>
        <w:t xml:space="preserve"> of Kerrowfogi Bridge. </w:t>
      </w:r>
      <w:r w:rsidR="0066043B" w:rsidRPr="00B62036">
        <w:rPr>
          <w:rFonts w:ascii="Gill Sans MT" w:hAnsi="Gill Sans MT" w:cs="Calibri"/>
          <w:sz w:val="20"/>
          <w:szCs w:val="20"/>
        </w:rPr>
        <w:t>Nonetheless, d</w:t>
      </w:r>
      <w:r w:rsidR="00A45460" w:rsidRPr="00B62036">
        <w:rPr>
          <w:rFonts w:ascii="Gill Sans MT" w:hAnsi="Gill Sans MT" w:cs="Calibri"/>
          <w:sz w:val="20"/>
          <w:szCs w:val="20"/>
        </w:rPr>
        <w:t xml:space="preserve">espite the challenge PUNOs created efficient systems especially </w:t>
      </w:r>
      <w:r w:rsidR="004D343D" w:rsidRPr="00B62036">
        <w:rPr>
          <w:rFonts w:ascii="Gill Sans MT" w:hAnsi="Gill Sans MT" w:cs="Calibri"/>
          <w:sz w:val="20"/>
          <w:szCs w:val="20"/>
        </w:rPr>
        <w:t xml:space="preserve">for the </w:t>
      </w:r>
      <w:r w:rsidR="00A45460" w:rsidRPr="00B62036">
        <w:rPr>
          <w:rFonts w:ascii="Gill Sans MT" w:hAnsi="Gill Sans MT" w:cs="Calibri"/>
          <w:sz w:val="20"/>
          <w:szCs w:val="20"/>
        </w:rPr>
        <w:t xml:space="preserve">food voucher and cash for work </w:t>
      </w:r>
      <w:r w:rsidR="004D343D" w:rsidRPr="00B62036">
        <w:rPr>
          <w:rFonts w:ascii="Gill Sans MT" w:hAnsi="Gill Sans MT" w:cs="Calibri"/>
          <w:sz w:val="20"/>
          <w:szCs w:val="20"/>
        </w:rPr>
        <w:t>that targeted all groups (</w:t>
      </w:r>
      <w:r w:rsidR="00A45460" w:rsidRPr="00B62036">
        <w:rPr>
          <w:rFonts w:ascii="Gill Sans MT" w:hAnsi="Gill Sans MT" w:cs="Calibri"/>
          <w:sz w:val="20"/>
          <w:szCs w:val="20"/>
        </w:rPr>
        <w:t>hos</w:t>
      </w:r>
      <w:r w:rsidR="004D343D" w:rsidRPr="00B62036">
        <w:rPr>
          <w:rFonts w:ascii="Gill Sans MT" w:hAnsi="Gill Sans MT" w:cs="Calibri"/>
          <w:sz w:val="20"/>
          <w:szCs w:val="20"/>
        </w:rPr>
        <w:t>t community, returnees and IDPs).</w:t>
      </w:r>
    </w:p>
    <w:p w14:paraId="451EDB41" w14:textId="77777777" w:rsidR="004B0071" w:rsidRPr="00B62036" w:rsidRDefault="004B0071" w:rsidP="00230515">
      <w:pPr>
        <w:pStyle w:val="Default"/>
        <w:tabs>
          <w:tab w:val="left" w:pos="1440"/>
        </w:tabs>
        <w:spacing w:line="276" w:lineRule="auto"/>
        <w:jc w:val="both"/>
        <w:rPr>
          <w:rFonts w:ascii="Gill Sans MT" w:hAnsi="Gill Sans MT" w:cs="Calibri"/>
          <w:sz w:val="20"/>
          <w:szCs w:val="20"/>
        </w:rPr>
      </w:pPr>
    </w:p>
    <w:p w14:paraId="7B106187" w14:textId="2CA47D9B" w:rsidR="00C26D38" w:rsidRPr="00B62036" w:rsidRDefault="0025774E"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In terms of the timeliness of programme delivery, t</w:t>
      </w:r>
      <w:r w:rsidR="00F55459" w:rsidRPr="00B62036">
        <w:rPr>
          <w:rFonts w:ascii="Gill Sans MT" w:hAnsi="Gill Sans MT" w:cs="Calibri"/>
          <w:sz w:val="20"/>
          <w:szCs w:val="20"/>
        </w:rPr>
        <w:t>he implementation of the project activities coincided with</w:t>
      </w:r>
      <w:r w:rsidR="00CD4338" w:rsidRPr="00CD4338">
        <w:t xml:space="preserve"> </w:t>
      </w:r>
      <w:r w:rsidR="00CD4338" w:rsidRPr="00CD4338">
        <w:rPr>
          <w:rFonts w:ascii="Gill Sans MT" w:hAnsi="Gill Sans MT" w:cs="Calibri"/>
          <w:sz w:val="20"/>
          <w:szCs w:val="20"/>
        </w:rPr>
        <w:t xml:space="preserve">an extended lean season caused by 2016-2017 </w:t>
      </w:r>
      <w:r w:rsidR="002813A8" w:rsidRPr="00CD4338">
        <w:rPr>
          <w:rFonts w:ascii="Gill Sans MT" w:hAnsi="Gill Sans MT" w:cs="Calibri"/>
          <w:sz w:val="20"/>
          <w:szCs w:val="20"/>
        </w:rPr>
        <w:t>droughts</w:t>
      </w:r>
      <w:r w:rsidR="00CD4338" w:rsidRPr="00CD4338">
        <w:rPr>
          <w:rFonts w:ascii="Gill Sans MT" w:hAnsi="Gill Sans MT" w:cs="Calibri"/>
          <w:sz w:val="20"/>
          <w:szCs w:val="20"/>
        </w:rPr>
        <w:t xml:space="preserve"> </w:t>
      </w:r>
      <w:r w:rsidR="00CD4338">
        <w:rPr>
          <w:rFonts w:ascii="Gill Sans MT" w:hAnsi="Gill Sans MT" w:cs="Calibri"/>
          <w:sz w:val="20"/>
          <w:szCs w:val="20"/>
        </w:rPr>
        <w:t xml:space="preserve">in Somalia </w:t>
      </w:r>
      <w:r w:rsidR="00F55459" w:rsidRPr="00B62036">
        <w:rPr>
          <w:rFonts w:ascii="Gill Sans MT" w:hAnsi="Gill Sans MT" w:cs="Calibri"/>
          <w:sz w:val="20"/>
          <w:szCs w:val="20"/>
        </w:rPr>
        <w:t xml:space="preserve">that threatened the livelihoods of the host communities and returnees </w:t>
      </w:r>
      <w:r w:rsidR="004D343D" w:rsidRPr="00B62036">
        <w:rPr>
          <w:rFonts w:ascii="Gill Sans MT" w:hAnsi="Gill Sans MT" w:cs="Calibri"/>
          <w:sz w:val="20"/>
          <w:szCs w:val="20"/>
        </w:rPr>
        <w:t>and influx of IDPs.</w:t>
      </w:r>
      <w:r w:rsidR="005F591F" w:rsidRPr="005F591F">
        <w:rPr>
          <w:rFonts w:ascii="Gill Sans MT" w:hAnsi="Gill Sans MT"/>
          <w:sz w:val="20"/>
          <w:szCs w:val="20"/>
        </w:rPr>
        <w:t xml:space="preserve"> </w:t>
      </w:r>
      <w:r w:rsidR="005F591F" w:rsidRPr="005F591F">
        <w:rPr>
          <w:rFonts w:ascii="Gill Sans MT" w:hAnsi="Gill Sans MT"/>
          <w:sz w:val="20"/>
          <w:szCs w:val="20"/>
          <w:highlight w:val="green"/>
        </w:rPr>
        <w:t>The project intervention was successful at adapting to these challenges and some of the partners re-programed their activities. For instance,</w:t>
      </w:r>
      <w:r w:rsidR="005F591F" w:rsidRPr="005F591F">
        <w:rPr>
          <w:rFonts w:ascii="Gill Sans MT" w:eastAsia="Calibri" w:hAnsi="Gill Sans MT"/>
          <w:sz w:val="20"/>
          <w:szCs w:val="20"/>
          <w:highlight w:val="green"/>
        </w:rPr>
        <w:t xml:space="preserve"> due to the increased internal displacement (triggered by drought in particular), UNHCR used the funds committed under the PRMN component of PBF (Indicator 2.1.2 # of returnees recorded and tracked in PRMN as successfully integrated and coexisting well with host communities for 3000 PoCs) towards tracking 244,000 IDPs in 261 IDP sites for better programming. There was also re-alignment of funds to address immediate water needs in Baidoa.</w:t>
      </w:r>
      <w:r w:rsidR="005F591F" w:rsidRPr="005F591F">
        <w:rPr>
          <w:rFonts w:ascii="Gill Sans MT" w:eastAsia="Calibri" w:hAnsi="Gill Sans MT"/>
          <w:bCs/>
          <w:sz w:val="20"/>
          <w:szCs w:val="20"/>
          <w:highlight w:val="green"/>
        </w:rPr>
        <w:t xml:space="preserve"> Through PBF program activities 21 water points was either rehabilitated or constructed thus contributed to increased access of water to affected persons of concerns in Baidoa. Besides, the PBF program activities have enabled Education in Emergencies response in 14 schools in Baidoa, reaching more children than initially targeted through construction of temporary learning spaces and distribution of learning and recreational materials. In addition, </w:t>
      </w:r>
      <w:r w:rsidR="005F591F" w:rsidRPr="005F591F">
        <w:rPr>
          <w:rFonts w:ascii="Gill Sans MT" w:eastAsia="Calibri" w:hAnsi="Gill Sans MT"/>
          <w:sz w:val="20"/>
          <w:szCs w:val="20"/>
          <w:highlight w:val="green"/>
        </w:rPr>
        <w:t>the drought situation in Somalia in general and Baidoa in particular delayed the commencement of the agricultural inputs distribution by FAO. The targeted beneficiaries for farming have returned to the host communities after the onset of the Gu rains (April-July 2017) as such FAO did not find it technically appropriate to target the beneficiaries with agricultural and livestock inputs during Gu season. As a result, FAO reprogramed its activities to target the returnees and host communities during the oncoming Deyr season (October- December).</w:t>
      </w:r>
      <w:r w:rsidR="005F591F" w:rsidRPr="005F591F">
        <w:rPr>
          <w:rFonts w:ascii="Gill Sans MT" w:eastAsia="Calibri" w:hAnsi="Gill Sans MT"/>
          <w:sz w:val="20"/>
          <w:szCs w:val="20"/>
        </w:rPr>
        <w:t xml:space="preserve"> </w:t>
      </w:r>
      <w:r w:rsidR="004D343D" w:rsidRPr="00B62036">
        <w:rPr>
          <w:rFonts w:ascii="Gill Sans MT" w:hAnsi="Gill Sans MT" w:cs="Calibri"/>
          <w:sz w:val="20"/>
          <w:szCs w:val="20"/>
        </w:rPr>
        <w:t xml:space="preserve"> F</w:t>
      </w:r>
      <w:r w:rsidR="00F55459" w:rsidRPr="00B62036">
        <w:rPr>
          <w:rFonts w:ascii="Gill Sans MT" w:hAnsi="Gill Sans MT" w:cs="Calibri"/>
          <w:sz w:val="20"/>
          <w:szCs w:val="20"/>
        </w:rPr>
        <w:t xml:space="preserve">ield interviews with beneficiaries </w:t>
      </w:r>
      <w:r w:rsidR="004D343D" w:rsidRPr="00B62036">
        <w:rPr>
          <w:rFonts w:ascii="Gill Sans MT" w:hAnsi="Gill Sans MT" w:cs="Calibri"/>
          <w:sz w:val="20"/>
          <w:szCs w:val="20"/>
        </w:rPr>
        <w:t>of</w:t>
      </w:r>
      <w:r w:rsidR="00F55459" w:rsidRPr="00B62036">
        <w:rPr>
          <w:rFonts w:ascii="Gill Sans MT" w:hAnsi="Gill Sans MT" w:cs="Calibri"/>
          <w:sz w:val="20"/>
          <w:szCs w:val="20"/>
        </w:rPr>
        <w:t xml:space="preserve"> donkey carts, food voucher and cash for work </w:t>
      </w:r>
      <w:r w:rsidR="004D343D" w:rsidRPr="00B62036">
        <w:rPr>
          <w:rFonts w:ascii="Gill Sans MT" w:hAnsi="Gill Sans MT" w:cs="Calibri"/>
          <w:sz w:val="20"/>
          <w:szCs w:val="20"/>
        </w:rPr>
        <w:t xml:space="preserve">revealed that these interventions </w:t>
      </w:r>
      <w:r w:rsidR="00F55459" w:rsidRPr="00B62036">
        <w:rPr>
          <w:rFonts w:ascii="Gill Sans MT" w:hAnsi="Gill Sans MT" w:cs="Calibri"/>
          <w:sz w:val="20"/>
          <w:szCs w:val="20"/>
        </w:rPr>
        <w:t xml:space="preserve">improved their capacity </w:t>
      </w:r>
      <w:r w:rsidR="004D343D" w:rsidRPr="00B62036">
        <w:rPr>
          <w:rFonts w:ascii="Gill Sans MT" w:hAnsi="Gill Sans MT" w:cs="Calibri"/>
          <w:sz w:val="20"/>
          <w:szCs w:val="20"/>
        </w:rPr>
        <w:t xml:space="preserve">to </w:t>
      </w:r>
      <w:r w:rsidR="00F55459" w:rsidRPr="00B62036">
        <w:rPr>
          <w:rFonts w:ascii="Gill Sans MT" w:hAnsi="Gill Sans MT" w:cs="Calibri"/>
          <w:sz w:val="20"/>
          <w:szCs w:val="20"/>
        </w:rPr>
        <w:t>access immediate cash to meet their household needs. The provision of donkey carts by UNHCR and restocking by FAO ha</w:t>
      </w:r>
      <w:r w:rsidR="00C26D38" w:rsidRPr="00B62036">
        <w:rPr>
          <w:rFonts w:ascii="Gill Sans MT" w:hAnsi="Gill Sans MT" w:cs="Calibri"/>
          <w:sz w:val="20"/>
          <w:szCs w:val="20"/>
        </w:rPr>
        <w:t xml:space="preserve">s been described as </w:t>
      </w:r>
      <w:r w:rsidR="004D343D" w:rsidRPr="00B62036">
        <w:rPr>
          <w:rFonts w:ascii="Gill Sans MT" w:hAnsi="Gill Sans MT" w:cs="Calibri"/>
          <w:sz w:val="20"/>
          <w:szCs w:val="20"/>
        </w:rPr>
        <w:t xml:space="preserve">timely and </w:t>
      </w:r>
      <w:r w:rsidR="00C26D38" w:rsidRPr="00B62036">
        <w:rPr>
          <w:rFonts w:ascii="Gill Sans MT" w:hAnsi="Gill Sans MT" w:cs="Calibri"/>
          <w:sz w:val="20"/>
          <w:szCs w:val="20"/>
        </w:rPr>
        <w:t>useful by beneficiaries for improving their household income and restoring their dignity</w:t>
      </w:r>
      <w:r w:rsidR="004D343D" w:rsidRPr="00B62036">
        <w:rPr>
          <w:rFonts w:ascii="Gill Sans MT" w:hAnsi="Gill Sans MT" w:cs="Calibri"/>
          <w:sz w:val="20"/>
          <w:szCs w:val="20"/>
        </w:rPr>
        <w:t xml:space="preserve"> at a time when their lives were at stake</w:t>
      </w:r>
      <w:r w:rsidR="00C26D38" w:rsidRPr="00B62036">
        <w:rPr>
          <w:rFonts w:ascii="Gill Sans MT" w:hAnsi="Gill Sans MT" w:cs="Calibri"/>
          <w:sz w:val="20"/>
          <w:szCs w:val="20"/>
        </w:rPr>
        <w:t>.</w:t>
      </w:r>
    </w:p>
    <w:p w14:paraId="407E375E" w14:textId="77777777" w:rsidR="004B0071" w:rsidRPr="00B62036" w:rsidRDefault="004B0071" w:rsidP="00230515">
      <w:pPr>
        <w:pStyle w:val="Default"/>
        <w:tabs>
          <w:tab w:val="left" w:pos="1440"/>
        </w:tabs>
        <w:spacing w:line="276" w:lineRule="auto"/>
        <w:jc w:val="both"/>
        <w:rPr>
          <w:rFonts w:ascii="Gill Sans MT" w:hAnsi="Gill Sans MT" w:cs="Calibri"/>
          <w:sz w:val="20"/>
          <w:szCs w:val="20"/>
        </w:rPr>
      </w:pPr>
    </w:p>
    <w:p w14:paraId="18E3CFC1" w14:textId="5E89BBB2" w:rsidR="00B62036" w:rsidRPr="00B62036" w:rsidRDefault="0025774E" w:rsidP="00230515">
      <w:pPr>
        <w:pStyle w:val="Default"/>
        <w:spacing w:line="276" w:lineRule="auto"/>
        <w:jc w:val="both"/>
        <w:rPr>
          <w:rFonts w:ascii="Gill Sans MT" w:hAnsi="Gill Sans MT" w:cs="Arial"/>
          <w:color w:val="auto"/>
          <w:sz w:val="20"/>
          <w:szCs w:val="20"/>
        </w:rPr>
      </w:pPr>
      <w:r w:rsidRPr="00B62036">
        <w:rPr>
          <w:rFonts w:ascii="Gill Sans MT" w:hAnsi="Gill Sans MT" w:cs="Calibri"/>
          <w:sz w:val="20"/>
          <w:szCs w:val="20"/>
        </w:rPr>
        <w:t>Furthermore,</w:t>
      </w:r>
      <w:r w:rsidR="00624ABB" w:rsidRPr="00B62036">
        <w:rPr>
          <w:rFonts w:ascii="Gill Sans MT" w:hAnsi="Gill Sans MT" w:cs="Calibri"/>
          <w:sz w:val="20"/>
          <w:szCs w:val="20"/>
        </w:rPr>
        <w:t xml:space="preserve"> </w:t>
      </w:r>
      <w:r w:rsidR="00383471" w:rsidRPr="00B62036">
        <w:rPr>
          <w:rFonts w:ascii="Gill Sans MT" w:hAnsi="Gill Sans MT" w:cs="Calibri"/>
          <w:sz w:val="20"/>
          <w:szCs w:val="20"/>
        </w:rPr>
        <w:t xml:space="preserve">while the evaluation notes that the </w:t>
      </w:r>
      <w:r w:rsidR="00383471" w:rsidRPr="00B62036">
        <w:rPr>
          <w:rFonts w:ascii="Gill Sans MT" w:hAnsi="Gill Sans MT" w:cs="Arial"/>
          <w:sz w:val="20"/>
          <w:szCs w:val="20"/>
        </w:rPr>
        <w:t>operational environment in Somalia for INGOs is often quite costly as costs of delivering assist</w:t>
      </w:r>
      <w:r w:rsidR="00383471" w:rsidRPr="00B62036">
        <w:rPr>
          <w:rFonts w:ascii="Gill Sans MT" w:hAnsi="Gill Sans MT" w:cs="Arial"/>
          <w:sz w:val="20"/>
          <w:szCs w:val="20"/>
        </w:rPr>
        <w:softHyphen/>
        <w:t>ance are much higher than usual</w:t>
      </w:r>
      <w:r w:rsidR="004D343D" w:rsidRPr="00B62036">
        <w:rPr>
          <w:rFonts w:ascii="Gill Sans MT" w:hAnsi="Gill Sans MT" w:cs="Arial"/>
          <w:sz w:val="20"/>
          <w:szCs w:val="20"/>
        </w:rPr>
        <w:t>,</w:t>
      </w:r>
      <w:r w:rsidR="00383471" w:rsidRPr="00B62036">
        <w:rPr>
          <w:rFonts w:ascii="Gill Sans MT" w:hAnsi="Gill Sans MT" w:cs="Calibri"/>
          <w:sz w:val="20"/>
          <w:szCs w:val="20"/>
        </w:rPr>
        <w:t xml:space="preserve"> </w:t>
      </w:r>
      <w:r w:rsidR="00624ABB" w:rsidRPr="00B62036">
        <w:rPr>
          <w:rFonts w:ascii="Gill Sans MT" w:hAnsi="Gill Sans MT" w:cs="Calibri"/>
          <w:sz w:val="20"/>
          <w:szCs w:val="20"/>
        </w:rPr>
        <w:t xml:space="preserve">the use of local </w:t>
      </w:r>
      <w:r w:rsidRPr="00B62036">
        <w:rPr>
          <w:rFonts w:ascii="Gill Sans MT" w:hAnsi="Gill Sans MT" w:cs="Calibri"/>
          <w:sz w:val="20"/>
          <w:szCs w:val="20"/>
        </w:rPr>
        <w:t>organization</w:t>
      </w:r>
      <w:r w:rsidR="00624ABB" w:rsidRPr="00B62036">
        <w:rPr>
          <w:rFonts w:ascii="Gill Sans MT" w:hAnsi="Gill Sans MT" w:cs="Calibri"/>
          <w:sz w:val="20"/>
          <w:szCs w:val="20"/>
        </w:rPr>
        <w:t xml:space="preserve"> </w:t>
      </w:r>
      <w:r w:rsidR="004D343D" w:rsidRPr="00B62036">
        <w:rPr>
          <w:rFonts w:ascii="Gill Sans MT" w:hAnsi="Gill Sans MT" w:cs="Calibri"/>
          <w:sz w:val="20"/>
          <w:szCs w:val="20"/>
        </w:rPr>
        <w:t>as implementing partners by majority</w:t>
      </w:r>
      <w:r w:rsidRPr="00B62036">
        <w:rPr>
          <w:rFonts w:ascii="Gill Sans MT" w:hAnsi="Gill Sans MT" w:cs="Calibri"/>
          <w:sz w:val="20"/>
          <w:szCs w:val="20"/>
        </w:rPr>
        <w:t xml:space="preserve"> the partner UN organizations was see</w:t>
      </w:r>
      <w:r w:rsidR="002636B4">
        <w:rPr>
          <w:rFonts w:ascii="Gill Sans MT" w:hAnsi="Gill Sans MT" w:cs="Calibri"/>
          <w:sz w:val="20"/>
          <w:szCs w:val="20"/>
        </w:rPr>
        <w:t>n as a cost effective approach</w:t>
      </w:r>
      <w:r w:rsidRPr="00B62036">
        <w:rPr>
          <w:rFonts w:ascii="Gill Sans MT" w:hAnsi="Gill Sans MT" w:cs="Calibri"/>
          <w:sz w:val="20"/>
          <w:szCs w:val="20"/>
        </w:rPr>
        <w:t xml:space="preserve">. </w:t>
      </w:r>
      <w:r w:rsidRPr="00B62036">
        <w:rPr>
          <w:rFonts w:ascii="Gill Sans MT" w:hAnsi="Gill Sans MT" w:cs="Arial"/>
          <w:color w:val="auto"/>
          <w:sz w:val="20"/>
          <w:szCs w:val="20"/>
        </w:rPr>
        <w:t xml:space="preserve">PUNO’s engagement with local communities and local administrations was instrumental in building buy-in and ownership hence galvanizing support and continuity of the project. Through partnerships with local stakeholders and NGOs, UNHCR and other UN organizations </w:t>
      </w:r>
      <w:r w:rsidR="00383471" w:rsidRPr="00B62036">
        <w:rPr>
          <w:rFonts w:ascii="Gill Sans MT" w:hAnsi="Gill Sans MT" w:cs="Arial"/>
          <w:color w:val="auto"/>
          <w:sz w:val="20"/>
          <w:szCs w:val="20"/>
        </w:rPr>
        <w:t xml:space="preserve">engaged </w:t>
      </w:r>
      <w:r w:rsidRPr="00B62036">
        <w:rPr>
          <w:rFonts w:ascii="Gill Sans MT" w:hAnsi="Gill Sans MT" w:cs="Arial"/>
          <w:color w:val="auto"/>
          <w:sz w:val="20"/>
          <w:szCs w:val="20"/>
        </w:rPr>
        <w:t xml:space="preserve">dynamic and experienced agencies </w:t>
      </w:r>
      <w:r w:rsidR="004D343D" w:rsidRPr="00B62036">
        <w:rPr>
          <w:rFonts w:ascii="Gill Sans MT" w:hAnsi="Gill Sans MT" w:cs="Arial"/>
          <w:color w:val="auto"/>
          <w:sz w:val="20"/>
          <w:szCs w:val="20"/>
        </w:rPr>
        <w:t xml:space="preserve">and MORDA, which was </w:t>
      </w:r>
      <w:r w:rsidR="00B62036" w:rsidRPr="00B62036">
        <w:rPr>
          <w:rFonts w:ascii="Gill Sans MT" w:hAnsi="Gill Sans MT" w:cs="Arial"/>
          <w:color w:val="auto"/>
          <w:sz w:val="20"/>
          <w:szCs w:val="20"/>
        </w:rPr>
        <w:t xml:space="preserve">deemed effective. </w:t>
      </w:r>
    </w:p>
    <w:p w14:paraId="54CE8288" w14:textId="77777777" w:rsidR="00B62036" w:rsidRPr="00B62036" w:rsidRDefault="00B62036" w:rsidP="00230515">
      <w:pPr>
        <w:pStyle w:val="Default"/>
        <w:spacing w:line="276" w:lineRule="auto"/>
        <w:jc w:val="both"/>
        <w:rPr>
          <w:rFonts w:ascii="Gill Sans MT" w:hAnsi="Gill Sans MT" w:cs="Arial"/>
          <w:color w:val="auto"/>
          <w:sz w:val="20"/>
          <w:szCs w:val="20"/>
        </w:rPr>
      </w:pPr>
    </w:p>
    <w:p w14:paraId="3D26A33A" w14:textId="77777777" w:rsidR="00A64E72" w:rsidRDefault="00230351" w:rsidP="00230515">
      <w:pPr>
        <w:pStyle w:val="Default"/>
        <w:spacing w:line="276" w:lineRule="auto"/>
        <w:jc w:val="both"/>
        <w:rPr>
          <w:rFonts w:ascii="Gill Sans MT" w:hAnsi="Gill Sans MT" w:cs="Calibri"/>
          <w:sz w:val="20"/>
          <w:szCs w:val="20"/>
        </w:rPr>
      </w:pPr>
      <w:r w:rsidRPr="00B62036">
        <w:rPr>
          <w:rFonts w:ascii="Gill Sans MT" w:hAnsi="Gill Sans MT" w:cs="Arial"/>
          <w:color w:val="auto"/>
          <w:sz w:val="20"/>
          <w:szCs w:val="20"/>
        </w:rPr>
        <w:t>T</w:t>
      </w:r>
      <w:r w:rsidR="00AC2E88" w:rsidRPr="00B62036">
        <w:rPr>
          <w:rFonts w:ascii="Gill Sans MT" w:hAnsi="Gill Sans MT"/>
          <w:sz w:val="20"/>
          <w:szCs w:val="20"/>
        </w:rPr>
        <w:t>he evaluation</w:t>
      </w:r>
      <w:r w:rsidRPr="00B62036">
        <w:rPr>
          <w:rFonts w:ascii="Gill Sans MT" w:hAnsi="Gill Sans MT"/>
          <w:sz w:val="20"/>
          <w:szCs w:val="20"/>
        </w:rPr>
        <w:t xml:space="preserve"> also</w:t>
      </w:r>
      <w:r w:rsidR="00AC2E88" w:rsidRPr="00B62036">
        <w:rPr>
          <w:rFonts w:ascii="Gill Sans MT" w:hAnsi="Gill Sans MT"/>
          <w:sz w:val="20"/>
          <w:szCs w:val="20"/>
        </w:rPr>
        <w:t xml:space="preserve"> look</w:t>
      </w:r>
      <w:r w:rsidRPr="00B62036">
        <w:rPr>
          <w:rFonts w:ascii="Gill Sans MT" w:hAnsi="Gill Sans MT"/>
          <w:sz w:val="20"/>
          <w:szCs w:val="20"/>
        </w:rPr>
        <w:t>ed</w:t>
      </w:r>
      <w:r w:rsidR="00AC2E88" w:rsidRPr="00B62036">
        <w:rPr>
          <w:rFonts w:ascii="Gill Sans MT" w:hAnsi="Gill Sans MT"/>
          <w:sz w:val="20"/>
          <w:szCs w:val="20"/>
        </w:rPr>
        <w:t xml:space="preserve"> at</w:t>
      </w:r>
      <w:r w:rsidR="00AC2E88" w:rsidRPr="00B62036">
        <w:rPr>
          <w:rFonts w:ascii="Gill Sans MT" w:hAnsi="Gill Sans MT" w:cs="Calibri"/>
          <w:sz w:val="20"/>
          <w:szCs w:val="20"/>
        </w:rPr>
        <w:t xml:space="preserve"> the extent to which potential synergies and complementarities, in particular with other PBF projects such as Midnimo, Daldhis and Support to Stabilization, were harnessed during project implementation. </w:t>
      </w:r>
      <w:r w:rsidRPr="00B62036">
        <w:rPr>
          <w:rFonts w:ascii="Gill Sans MT" w:hAnsi="Gill Sans MT" w:cs="Calibri"/>
          <w:sz w:val="20"/>
          <w:szCs w:val="20"/>
        </w:rPr>
        <w:t xml:space="preserve">The study found there good linkage between the PBF program </w:t>
      </w:r>
      <w:r w:rsidR="00AC2E88" w:rsidRPr="00B62036">
        <w:rPr>
          <w:rFonts w:ascii="Gill Sans MT" w:hAnsi="Gill Sans MT" w:cs="Calibri"/>
          <w:sz w:val="20"/>
          <w:szCs w:val="20"/>
        </w:rPr>
        <w:t xml:space="preserve">with </w:t>
      </w:r>
      <w:r w:rsidRPr="00B62036">
        <w:rPr>
          <w:rFonts w:ascii="Gill Sans MT" w:hAnsi="Gill Sans MT" w:cs="Calibri"/>
          <w:sz w:val="20"/>
          <w:szCs w:val="20"/>
        </w:rPr>
        <w:t xml:space="preserve">other development programs such as </w:t>
      </w:r>
      <w:r w:rsidR="00AC2E88" w:rsidRPr="00B62036">
        <w:rPr>
          <w:rFonts w:ascii="Gill Sans MT" w:hAnsi="Gill Sans MT" w:cs="Calibri"/>
          <w:sz w:val="20"/>
          <w:szCs w:val="20"/>
        </w:rPr>
        <w:t xml:space="preserve">Midnimo, Daldhis and Support to Stabilization. </w:t>
      </w:r>
      <w:r w:rsidR="00B62036" w:rsidRPr="00B62036">
        <w:rPr>
          <w:rFonts w:ascii="Gill Sans MT" w:hAnsi="Gill Sans MT" w:cs="Calibri"/>
          <w:sz w:val="20"/>
          <w:szCs w:val="20"/>
        </w:rPr>
        <w:t xml:space="preserve">The programs strengthened the capacity of the south west state and particularly the local administration’s capacity to deliver services. Given that the state lacks adequate resources PBF injected substantial </w:t>
      </w:r>
      <w:r w:rsidR="003A3D76" w:rsidRPr="00B62036">
        <w:rPr>
          <w:rFonts w:ascii="Gill Sans MT" w:hAnsi="Gill Sans MT" w:cs="Calibri"/>
          <w:sz w:val="20"/>
          <w:szCs w:val="20"/>
        </w:rPr>
        <w:t>resources</w:t>
      </w:r>
      <w:r w:rsidR="00B62036" w:rsidRPr="00B62036">
        <w:rPr>
          <w:rFonts w:ascii="Gill Sans MT" w:hAnsi="Gill Sans MT" w:cs="Calibri"/>
          <w:sz w:val="20"/>
          <w:szCs w:val="20"/>
        </w:rPr>
        <w:t xml:space="preserve"> that has created temporary employment and rehabilitated over 35 KM road thus improving accessibility within the camps. </w:t>
      </w:r>
    </w:p>
    <w:p w14:paraId="642FFDD5" w14:textId="77777777" w:rsidR="00A64E72" w:rsidRDefault="00A64E72" w:rsidP="00A64E72">
      <w:pPr>
        <w:autoSpaceDE w:val="0"/>
        <w:autoSpaceDN w:val="0"/>
        <w:adjustRightInd w:val="0"/>
        <w:rPr>
          <w:rFonts w:ascii="Gill Sans MT" w:eastAsia="Calibri" w:hAnsi="Gill Sans MT" w:cs="ArialMT"/>
          <w:sz w:val="22"/>
          <w:szCs w:val="22"/>
        </w:rPr>
      </w:pPr>
    </w:p>
    <w:p w14:paraId="4CF4E4C1" w14:textId="0A5AA3CC" w:rsidR="00A64E72" w:rsidRPr="005D458E" w:rsidRDefault="00A64E72" w:rsidP="00A64E72">
      <w:pPr>
        <w:autoSpaceDE w:val="0"/>
        <w:autoSpaceDN w:val="0"/>
        <w:adjustRightInd w:val="0"/>
        <w:rPr>
          <w:rFonts w:ascii="Gill Sans MT" w:eastAsia="Calibri" w:hAnsi="Gill Sans MT" w:cs="ArialMT"/>
          <w:sz w:val="20"/>
          <w:szCs w:val="20"/>
        </w:rPr>
      </w:pPr>
      <w:r w:rsidRPr="005D458E">
        <w:rPr>
          <w:rFonts w:ascii="Gill Sans MT" w:eastAsia="Calibri" w:hAnsi="Gill Sans MT" w:cs="ArialMT"/>
          <w:sz w:val="20"/>
          <w:szCs w:val="20"/>
        </w:rPr>
        <w:t xml:space="preserve">The study underscores there were synergies and complementariness between the PBF program and other programs including </w:t>
      </w:r>
      <w:r w:rsidRPr="002636B4">
        <w:rPr>
          <w:rFonts w:ascii="Gill Sans MT" w:eastAsia="Calibri" w:hAnsi="Gill Sans MT" w:cs="Arial"/>
          <w:iCs/>
          <w:sz w:val="20"/>
          <w:szCs w:val="20"/>
        </w:rPr>
        <w:t>Daldhis, Midnimo (U</w:t>
      </w:r>
      <w:r w:rsidR="002636B4">
        <w:rPr>
          <w:rFonts w:ascii="Gill Sans MT" w:eastAsia="Calibri" w:hAnsi="Gill Sans MT" w:cs="Arial"/>
          <w:iCs/>
          <w:sz w:val="20"/>
          <w:szCs w:val="20"/>
        </w:rPr>
        <w:t>nity) and the Wadajir Framework.</w:t>
      </w:r>
      <w:r w:rsidRPr="005D458E">
        <w:rPr>
          <w:rFonts w:ascii="Gill Sans MT" w:eastAsia="Calibri" w:hAnsi="Gill Sans MT" w:cs="Arial"/>
          <w:i/>
          <w:iCs/>
          <w:sz w:val="20"/>
          <w:szCs w:val="20"/>
        </w:rPr>
        <w:t xml:space="preserve"> </w:t>
      </w:r>
      <w:r w:rsidR="002636B4" w:rsidRPr="002636B4">
        <w:rPr>
          <w:rFonts w:ascii="Gill Sans MT" w:eastAsia="Calibri" w:hAnsi="Gill Sans MT" w:cs="Arial"/>
          <w:iCs/>
          <w:sz w:val="20"/>
          <w:szCs w:val="20"/>
        </w:rPr>
        <w:t>The link among these programs was</w:t>
      </w:r>
      <w:r w:rsidRPr="002636B4">
        <w:rPr>
          <w:rFonts w:ascii="Gill Sans MT" w:eastAsia="Calibri" w:hAnsi="Gill Sans MT" w:cs="Arial"/>
          <w:iCs/>
          <w:sz w:val="20"/>
          <w:szCs w:val="20"/>
        </w:rPr>
        <w:t xml:space="preserve"> the </w:t>
      </w:r>
      <w:r w:rsidRPr="002636B4">
        <w:rPr>
          <w:rFonts w:ascii="Gill Sans MT" w:eastAsia="Calibri" w:hAnsi="Gill Sans MT" w:cs="Arial"/>
          <w:iCs/>
          <w:sz w:val="20"/>
          <w:szCs w:val="20"/>
        </w:rPr>
        <w:lastRenderedPageBreak/>
        <w:t xml:space="preserve">design of the activities and approach that </w:t>
      </w:r>
      <w:r w:rsidRPr="005D458E">
        <w:rPr>
          <w:rFonts w:ascii="Gill Sans MT" w:eastAsia="Calibri" w:hAnsi="Gill Sans MT" w:cs="ArialMT"/>
          <w:sz w:val="20"/>
          <w:szCs w:val="20"/>
        </w:rPr>
        <w:t xml:space="preserve">extend the authority and accountability of the Federal Member State and district authorities through joint </w:t>
      </w:r>
      <w:r w:rsidR="002636B4" w:rsidRPr="005D458E">
        <w:rPr>
          <w:rFonts w:ascii="Gill Sans MT" w:eastAsia="Calibri" w:hAnsi="Gill Sans MT" w:cs="ArialMT"/>
          <w:sz w:val="20"/>
          <w:szCs w:val="20"/>
        </w:rPr>
        <w:t>implementation of</w:t>
      </w:r>
      <w:r w:rsidRPr="005D458E">
        <w:rPr>
          <w:rFonts w:ascii="Gill Sans MT" w:eastAsia="Calibri" w:hAnsi="Gill Sans MT" w:cs="ArialMT"/>
          <w:sz w:val="20"/>
          <w:szCs w:val="20"/>
        </w:rPr>
        <w:t xml:space="preserve"> the program and giving visibility to MORDA, local municipality and local communities in the selection of beneficiaries and participation in the implementation process. </w:t>
      </w:r>
    </w:p>
    <w:p w14:paraId="69F8966E" w14:textId="77777777" w:rsidR="00A64E72" w:rsidRPr="005D458E" w:rsidRDefault="00A64E72" w:rsidP="00A64E72">
      <w:pPr>
        <w:autoSpaceDE w:val="0"/>
        <w:autoSpaceDN w:val="0"/>
        <w:adjustRightInd w:val="0"/>
        <w:ind w:left="720"/>
        <w:contextualSpacing/>
        <w:rPr>
          <w:rFonts w:ascii="Gill Sans MT" w:eastAsia="Calibri" w:hAnsi="Gill Sans MT" w:cs="ArialMT"/>
          <w:sz w:val="20"/>
          <w:szCs w:val="20"/>
        </w:rPr>
      </w:pPr>
    </w:p>
    <w:p w14:paraId="00AFDD65" w14:textId="524A7BE9" w:rsidR="00A64E72" w:rsidRPr="00A64E72" w:rsidRDefault="00A64E72" w:rsidP="00A64E72">
      <w:pPr>
        <w:autoSpaceDE w:val="0"/>
        <w:autoSpaceDN w:val="0"/>
        <w:adjustRightInd w:val="0"/>
        <w:rPr>
          <w:rFonts w:ascii="Gill Sans MT" w:eastAsia="Calibri" w:hAnsi="Gill Sans MT" w:cs="ArialMT"/>
          <w:sz w:val="22"/>
          <w:szCs w:val="22"/>
        </w:rPr>
      </w:pPr>
      <w:r w:rsidRPr="005D458E">
        <w:rPr>
          <w:rFonts w:ascii="Gill Sans MT" w:eastAsia="Calibri" w:hAnsi="Gill Sans MT" w:cs="ArialMT"/>
          <w:sz w:val="20"/>
          <w:szCs w:val="20"/>
        </w:rPr>
        <w:t xml:space="preserve">Besides, the </w:t>
      </w:r>
      <w:r w:rsidRPr="005D458E">
        <w:rPr>
          <w:rFonts w:ascii="Gill Sans MT" w:eastAsia="Calibri" w:hAnsi="Gill Sans MT" w:cs="Arial"/>
          <w:i/>
          <w:iCs/>
          <w:sz w:val="20"/>
          <w:szCs w:val="20"/>
        </w:rPr>
        <w:t xml:space="preserve">Midnimo </w:t>
      </w:r>
      <w:r w:rsidRPr="005D458E">
        <w:rPr>
          <w:rFonts w:ascii="Gill Sans MT" w:eastAsia="Calibri" w:hAnsi="Gill Sans MT" w:cs="ArialMT"/>
          <w:sz w:val="20"/>
          <w:szCs w:val="20"/>
        </w:rPr>
        <w:t xml:space="preserve">project, </w:t>
      </w:r>
      <w:r w:rsidRPr="005D458E">
        <w:rPr>
          <w:rFonts w:ascii="Gill Sans MT" w:eastAsia="Calibri" w:hAnsi="Gill Sans MT" w:cs="Arial"/>
          <w:i/>
          <w:iCs/>
          <w:sz w:val="20"/>
          <w:szCs w:val="20"/>
        </w:rPr>
        <w:t xml:space="preserve">Daldhis </w:t>
      </w:r>
      <w:r w:rsidRPr="005D458E">
        <w:rPr>
          <w:rFonts w:ascii="Gill Sans MT" w:eastAsia="Calibri" w:hAnsi="Gill Sans MT" w:cs="ArialMT"/>
          <w:sz w:val="20"/>
          <w:szCs w:val="20"/>
        </w:rPr>
        <w:t>project and PBF all contribute</w:t>
      </w:r>
      <w:r w:rsidR="002636B4">
        <w:rPr>
          <w:rFonts w:ascii="Gill Sans MT" w:eastAsia="Calibri" w:hAnsi="Gill Sans MT" w:cs="ArialMT"/>
          <w:sz w:val="20"/>
          <w:szCs w:val="20"/>
        </w:rPr>
        <w:t>d</w:t>
      </w:r>
      <w:r w:rsidRPr="005D458E">
        <w:rPr>
          <w:rFonts w:ascii="Gill Sans MT" w:eastAsia="Calibri" w:hAnsi="Gill Sans MT" w:cs="ArialMT"/>
          <w:sz w:val="20"/>
          <w:szCs w:val="20"/>
        </w:rPr>
        <w:t xml:space="preserve"> to the principles of Wadajir Framework that is designed to support the Federal Government of Somalia and its Federal Member States to rebuild their legitimacy vis-a-vis their citizens through the CRESTA approach. For instance, the PBF program activities coordinated with the MORDA and other government institutions thus improving their local engagement as well as leadership and visibility in the implementation of the project activities. Besides, by bringing diverse beneficiaries together such as returnees, IDPs and host communities the PBF program contributed to strengthened integration and community cohesion thus creating linkage</w:t>
      </w:r>
      <w:r w:rsidRPr="00A64E72">
        <w:rPr>
          <w:rFonts w:ascii="Gill Sans MT" w:eastAsia="Calibri" w:hAnsi="Gill Sans MT" w:cs="ArialMT"/>
          <w:sz w:val="22"/>
          <w:szCs w:val="22"/>
        </w:rPr>
        <w:t>,</w:t>
      </w:r>
    </w:p>
    <w:p w14:paraId="4D22DFCE" w14:textId="0000C38B" w:rsidR="00195905" w:rsidRPr="00B62036" w:rsidRDefault="00AC2E88" w:rsidP="00230515">
      <w:pPr>
        <w:pStyle w:val="Heading3"/>
        <w:jc w:val="both"/>
        <w:rPr>
          <w:rFonts w:ascii="Gill Sans MT" w:hAnsi="Gill Sans MT"/>
          <w:sz w:val="20"/>
          <w:szCs w:val="20"/>
        </w:rPr>
      </w:pPr>
      <w:bookmarkStart w:id="26" w:name="_Toc419359861"/>
      <w:r w:rsidRPr="00B62036">
        <w:rPr>
          <w:rFonts w:ascii="Gill Sans MT" w:hAnsi="Gill Sans MT"/>
          <w:sz w:val="20"/>
          <w:szCs w:val="20"/>
        </w:rPr>
        <w:t xml:space="preserve">3.2.2 </w:t>
      </w:r>
      <w:r w:rsidR="00300780" w:rsidRPr="00B62036">
        <w:rPr>
          <w:rFonts w:ascii="Gill Sans MT" w:hAnsi="Gill Sans MT"/>
          <w:sz w:val="20"/>
          <w:szCs w:val="20"/>
        </w:rPr>
        <w:t>Gender Sensitivity</w:t>
      </w:r>
      <w:bookmarkEnd w:id="26"/>
    </w:p>
    <w:p w14:paraId="62742B29" w14:textId="4A968EA5" w:rsidR="00CA5BFF" w:rsidRPr="00B62036" w:rsidRDefault="00C87623"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In a</w:t>
      </w:r>
      <w:r w:rsidR="003303C1" w:rsidRPr="00B62036">
        <w:rPr>
          <w:rFonts w:ascii="Gill Sans MT" w:hAnsi="Gill Sans MT" w:cs="Calibri"/>
          <w:sz w:val="20"/>
          <w:szCs w:val="20"/>
        </w:rPr>
        <w:t xml:space="preserve">ssessing </w:t>
      </w:r>
      <w:r w:rsidRPr="00B62036">
        <w:rPr>
          <w:rFonts w:ascii="Gill Sans MT" w:hAnsi="Gill Sans MT" w:cs="Calibri"/>
          <w:sz w:val="20"/>
          <w:szCs w:val="20"/>
        </w:rPr>
        <w:t xml:space="preserve">whether </w:t>
      </w:r>
      <w:r w:rsidR="003303C1" w:rsidRPr="00B62036">
        <w:rPr>
          <w:rFonts w:ascii="Gill Sans MT" w:hAnsi="Gill Sans MT" w:cs="Calibri"/>
          <w:sz w:val="20"/>
          <w:szCs w:val="20"/>
        </w:rPr>
        <w:t xml:space="preserve">the gender sensitive aspect of the project </w:t>
      </w:r>
      <w:r w:rsidR="00424586" w:rsidRPr="00B62036">
        <w:rPr>
          <w:rFonts w:ascii="Gill Sans MT" w:hAnsi="Gill Sans MT" w:cs="Calibri"/>
          <w:sz w:val="20"/>
          <w:szCs w:val="20"/>
        </w:rPr>
        <w:t xml:space="preserve">were considered by different partners, the evaluation sought to find out whether </w:t>
      </w:r>
      <w:r w:rsidR="003303C1" w:rsidRPr="00B62036">
        <w:rPr>
          <w:rFonts w:ascii="Gill Sans MT" w:hAnsi="Gill Sans MT" w:cs="Calibri"/>
          <w:sz w:val="20"/>
          <w:szCs w:val="20"/>
        </w:rPr>
        <w:t xml:space="preserve">the implementation of the project </w:t>
      </w:r>
      <w:r w:rsidR="00424586" w:rsidRPr="00B62036">
        <w:rPr>
          <w:rFonts w:ascii="Gill Sans MT" w:hAnsi="Gill Sans MT" w:cs="Calibri"/>
          <w:sz w:val="20"/>
          <w:szCs w:val="20"/>
        </w:rPr>
        <w:t xml:space="preserve">was </w:t>
      </w:r>
      <w:r w:rsidR="003303C1" w:rsidRPr="00B62036">
        <w:rPr>
          <w:rFonts w:ascii="Gill Sans MT" w:hAnsi="Gill Sans MT" w:cs="Calibri"/>
          <w:sz w:val="20"/>
          <w:szCs w:val="20"/>
        </w:rPr>
        <w:t xml:space="preserve">conducive to women </w:t>
      </w:r>
      <w:r w:rsidR="00424586" w:rsidRPr="00B62036">
        <w:rPr>
          <w:rFonts w:ascii="Gill Sans MT" w:hAnsi="Gill Sans MT" w:cs="Calibri"/>
          <w:sz w:val="20"/>
          <w:szCs w:val="20"/>
        </w:rPr>
        <w:t xml:space="preserve">empowerment and whether </w:t>
      </w:r>
      <w:r w:rsidR="003303C1" w:rsidRPr="00B62036">
        <w:rPr>
          <w:rFonts w:ascii="Gill Sans MT" w:hAnsi="Gill Sans MT" w:cs="Calibri"/>
          <w:sz w:val="20"/>
          <w:szCs w:val="20"/>
        </w:rPr>
        <w:t xml:space="preserve">gender sensitivity </w:t>
      </w:r>
      <w:r w:rsidR="00424586" w:rsidRPr="00B62036">
        <w:rPr>
          <w:rFonts w:ascii="Gill Sans MT" w:hAnsi="Gill Sans MT" w:cs="Calibri"/>
          <w:sz w:val="20"/>
          <w:szCs w:val="20"/>
        </w:rPr>
        <w:t>was taken</w:t>
      </w:r>
      <w:r w:rsidR="003303C1" w:rsidRPr="00B62036">
        <w:rPr>
          <w:rFonts w:ascii="Gill Sans MT" w:hAnsi="Gill Sans MT" w:cs="Calibri"/>
          <w:sz w:val="20"/>
          <w:szCs w:val="20"/>
        </w:rPr>
        <w:t xml:space="preserve"> into account during project</w:t>
      </w:r>
      <w:r w:rsidR="00D53A53" w:rsidRPr="00B62036">
        <w:rPr>
          <w:rFonts w:ascii="Gill Sans MT" w:hAnsi="Gill Sans MT" w:cs="Calibri"/>
          <w:sz w:val="20"/>
          <w:szCs w:val="20"/>
        </w:rPr>
        <w:t xml:space="preserve"> design and implementation</w:t>
      </w:r>
      <w:r w:rsidR="00424586" w:rsidRPr="00B62036">
        <w:rPr>
          <w:rFonts w:ascii="Gill Sans MT" w:hAnsi="Gill Sans MT" w:cs="Calibri"/>
          <w:sz w:val="20"/>
          <w:szCs w:val="20"/>
        </w:rPr>
        <w:t>.</w:t>
      </w:r>
      <w:r w:rsidR="003303C1" w:rsidRPr="00B62036">
        <w:rPr>
          <w:rFonts w:ascii="Gill Sans MT" w:hAnsi="Gill Sans MT" w:cs="Calibri"/>
          <w:sz w:val="20"/>
          <w:szCs w:val="20"/>
        </w:rPr>
        <w:t xml:space="preserve"> </w:t>
      </w:r>
      <w:r w:rsidR="00CA5BFF" w:rsidRPr="00B62036">
        <w:rPr>
          <w:rFonts w:ascii="Gill Sans MT" w:hAnsi="Gill Sans MT" w:cs="Calibri"/>
          <w:sz w:val="20"/>
          <w:szCs w:val="20"/>
        </w:rPr>
        <w:t xml:space="preserve">All PUNO </w:t>
      </w:r>
      <w:r w:rsidR="00424586" w:rsidRPr="00B62036">
        <w:rPr>
          <w:rFonts w:ascii="Gill Sans MT" w:hAnsi="Gill Sans MT" w:cs="Calibri"/>
          <w:sz w:val="20"/>
          <w:szCs w:val="20"/>
        </w:rPr>
        <w:t xml:space="preserve">agencies </w:t>
      </w:r>
      <w:r w:rsidR="00B62036">
        <w:rPr>
          <w:rFonts w:ascii="Gill Sans MT" w:hAnsi="Gill Sans MT" w:cs="Calibri"/>
          <w:sz w:val="20"/>
          <w:szCs w:val="20"/>
        </w:rPr>
        <w:t xml:space="preserve">adopted </w:t>
      </w:r>
      <w:r w:rsidR="00CA5BFF" w:rsidRPr="00B62036">
        <w:rPr>
          <w:rFonts w:ascii="Gill Sans MT" w:hAnsi="Gill Sans MT" w:cs="Calibri"/>
          <w:sz w:val="20"/>
          <w:szCs w:val="20"/>
        </w:rPr>
        <w:t>gender sensitive</w:t>
      </w:r>
      <w:r w:rsidR="00B62036">
        <w:rPr>
          <w:rFonts w:ascii="Gill Sans MT" w:hAnsi="Gill Sans MT" w:cs="Calibri"/>
          <w:sz w:val="20"/>
          <w:szCs w:val="20"/>
        </w:rPr>
        <w:t xml:space="preserve"> approach during the</w:t>
      </w:r>
      <w:r w:rsidR="00CA5BFF" w:rsidRPr="00B62036">
        <w:rPr>
          <w:rFonts w:ascii="Gill Sans MT" w:hAnsi="Gill Sans MT" w:cs="Calibri"/>
          <w:sz w:val="20"/>
          <w:szCs w:val="20"/>
        </w:rPr>
        <w:t xml:space="preserve"> beneficiary targeting in all its projects and where possible, prioritize</w:t>
      </w:r>
      <w:r w:rsidR="00424586" w:rsidRPr="00B62036">
        <w:rPr>
          <w:rFonts w:ascii="Gill Sans MT" w:hAnsi="Gill Sans MT" w:cs="Calibri"/>
          <w:sz w:val="20"/>
          <w:szCs w:val="20"/>
        </w:rPr>
        <w:t>d</w:t>
      </w:r>
      <w:r w:rsidR="00CA5BFF" w:rsidRPr="00B62036">
        <w:rPr>
          <w:rFonts w:ascii="Gill Sans MT" w:hAnsi="Gill Sans MT" w:cs="Calibri"/>
          <w:sz w:val="20"/>
          <w:szCs w:val="20"/>
        </w:rPr>
        <w:t xml:space="preserve"> women headed households. Participation of women and youth at all stages of the project management cycle consciously engaged with women, monitoring of projects engaged all sections of the community including women. Women have </w:t>
      </w:r>
      <w:r w:rsidR="00D53A53" w:rsidRPr="00B62036">
        <w:rPr>
          <w:rFonts w:ascii="Gill Sans MT" w:hAnsi="Gill Sans MT" w:cs="Calibri"/>
          <w:sz w:val="20"/>
          <w:szCs w:val="20"/>
        </w:rPr>
        <w:t xml:space="preserve">also </w:t>
      </w:r>
      <w:r w:rsidR="00CA5BFF" w:rsidRPr="00B62036">
        <w:rPr>
          <w:rFonts w:ascii="Gill Sans MT" w:hAnsi="Gill Sans MT" w:cs="Calibri"/>
          <w:sz w:val="20"/>
          <w:szCs w:val="20"/>
        </w:rPr>
        <w:t>been proactively involved and engaged in the formation and or strengthening of project management committee leadership positions to influence decision making and have their voices heard</w:t>
      </w:r>
      <w:r w:rsidR="00D53A53" w:rsidRPr="00B62036">
        <w:rPr>
          <w:rFonts w:ascii="Gill Sans MT" w:hAnsi="Gill Sans MT" w:cs="Calibri"/>
          <w:sz w:val="20"/>
          <w:szCs w:val="20"/>
        </w:rPr>
        <w:t>.</w:t>
      </w:r>
      <w:r w:rsidR="00CA5BFF" w:rsidRPr="00B62036">
        <w:rPr>
          <w:rFonts w:ascii="Gill Sans MT" w:hAnsi="Gill Sans MT" w:cs="Calibri"/>
          <w:sz w:val="20"/>
          <w:szCs w:val="20"/>
        </w:rPr>
        <w:t xml:space="preserve"> Certain activities like the vegetable production kits, tailoring trainings, etc. in particular, focus</w:t>
      </w:r>
      <w:r w:rsidR="00D53A53" w:rsidRPr="00B62036">
        <w:rPr>
          <w:rFonts w:ascii="Gill Sans MT" w:hAnsi="Gill Sans MT" w:cs="Calibri"/>
          <w:sz w:val="20"/>
          <w:szCs w:val="20"/>
        </w:rPr>
        <w:t>ed primarily on women.</w:t>
      </w:r>
    </w:p>
    <w:p w14:paraId="3C97F97B" w14:textId="77777777" w:rsidR="004B0071" w:rsidRPr="00B62036" w:rsidRDefault="004B0071" w:rsidP="00230515">
      <w:pPr>
        <w:pStyle w:val="Default"/>
        <w:tabs>
          <w:tab w:val="left" w:pos="1440"/>
        </w:tabs>
        <w:spacing w:line="276" w:lineRule="auto"/>
        <w:jc w:val="both"/>
        <w:rPr>
          <w:rFonts w:ascii="Gill Sans MT" w:hAnsi="Gill Sans MT" w:cs="Calibri"/>
          <w:sz w:val="20"/>
          <w:szCs w:val="20"/>
        </w:rPr>
      </w:pPr>
    </w:p>
    <w:p w14:paraId="0699E867" w14:textId="795CCCE9" w:rsidR="00300780" w:rsidRPr="00B62036" w:rsidRDefault="00D53A53"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Similarly, c</w:t>
      </w:r>
      <w:r w:rsidR="00300780" w:rsidRPr="00B62036">
        <w:rPr>
          <w:rFonts w:ascii="Gill Sans MT" w:hAnsi="Gill Sans MT" w:cs="Calibri"/>
          <w:sz w:val="20"/>
          <w:szCs w:val="20"/>
        </w:rPr>
        <w:t>ommunity consultations have been carried out with men and women separately as a key step in planning activities ensuring that wo</w:t>
      </w:r>
      <w:r w:rsidR="002636B4">
        <w:rPr>
          <w:rFonts w:ascii="Gill Sans MT" w:hAnsi="Gill Sans MT" w:cs="Calibri"/>
          <w:sz w:val="20"/>
          <w:szCs w:val="20"/>
        </w:rPr>
        <w:t>men's voices we</w:t>
      </w:r>
      <w:r w:rsidR="00300780" w:rsidRPr="00B62036">
        <w:rPr>
          <w:rFonts w:ascii="Gill Sans MT" w:hAnsi="Gill Sans MT" w:cs="Calibri"/>
          <w:sz w:val="20"/>
          <w:szCs w:val="20"/>
        </w:rPr>
        <w:t>re heard in the prioritization of projects and identification of project sites (in the case of WFP). For the training of primary s</w:t>
      </w:r>
      <w:r w:rsidRPr="00B62036">
        <w:rPr>
          <w:rFonts w:ascii="Gill Sans MT" w:hAnsi="Gill Sans MT" w:cs="Calibri"/>
          <w:sz w:val="20"/>
          <w:szCs w:val="20"/>
        </w:rPr>
        <w:t xml:space="preserve">chool teachers, each school </w:t>
      </w:r>
      <w:r w:rsidR="00300780" w:rsidRPr="00B62036">
        <w:rPr>
          <w:rFonts w:ascii="Gill Sans MT" w:hAnsi="Gill Sans MT" w:cs="Calibri"/>
          <w:sz w:val="20"/>
          <w:szCs w:val="20"/>
        </w:rPr>
        <w:t xml:space="preserve">nominated at least one female teacher in order to organize training sessions with gender-balanced participants. </w:t>
      </w:r>
      <w:r w:rsidRPr="00B62036">
        <w:rPr>
          <w:rFonts w:ascii="Gill Sans MT" w:hAnsi="Gill Sans MT" w:cs="Calibri"/>
          <w:sz w:val="20"/>
          <w:szCs w:val="20"/>
        </w:rPr>
        <w:t xml:space="preserve">For instance, </w:t>
      </w:r>
      <w:r w:rsidR="00300780" w:rsidRPr="00B62036">
        <w:rPr>
          <w:rFonts w:ascii="Gill Sans MT" w:hAnsi="Gill Sans MT" w:cs="Calibri"/>
          <w:sz w:val="20"/>
          <w:szCs w:val="20"/>
        </w:rPr>
        <w:t xml:space="preserve">18 out of 60 teachers trained were female, which represents 30 per cent of the total number of participants. Similarly, the vocational skills programme was designed to ensure that skills preferred by female participants were included – this was done through consultation with girls and has encouraged the active involvement of female participants in the training. </w:t>
      </w:r>
      <w:r w:rsidR="00300780" w:rsidRPr="00B62036">
        <w:rPr>
          <w:rStyle w:val="FootnoteReference"/>
          <w:rFonts w:ascii="Gill Sans MT" w:hAnsi="Gill Sans MT" w:cs="Calibri"/>
          <w:sz w:val="20"/>
          <w:szCs w:val="20"/>
        </w:rPr>
        <w:footnoteReference w:id="6"/>
      </w:r>
    </w:p>
    <w:p w14:paraId="4BCE18BD" w14:textId="77777777" w:rsidR="004B0071" w:rsidRPr="00B62036" w:rsidRDefault="004B0071" w:rsidP="00230515">
      <w:pPr>
        <w:pStyle w:val="Default"/>
        <w:tabs>
          <w:tab w:val="left" w:pos="1440"/>
        </w:tabs>
        <w:spacing w:line="276" w:lineRule="auto"/>
        <w:jc w:val="both"/>
        <w:rPr>
          <w:rFonts w:ascii="Gill Sans MT" w:hAnsi="Gill Sans MT" w:cs="Calibri"/>
          <w:sz w:val="20"/>
          <w:szCs w:val="20"/>
        </w:rPr>
      </w:pPr>
    </w:p>
    <w:p w14:paraId="2D3E8272" w14:textId="783885C0" w:rsidR="00300780" w:rsidRPr="00B62036" w:rsidRDefault="00D53A53"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Furthermore, t</w:t>
      </w:r>
      <w:r w:rsidR="00300780" w:rsidRPr="00B62036">
        <w:rPr>
          <w:rFonts w:ascii="Gill Sans MT" w:hAnsi="Gill Sans MT" w:cs="Calibri"/>
          <w:sz w:val="20"/>
          <w:szCs w:val="20"/>
        </w:rPr>
        <w:t>he registration of target</w:t>
      </w:r>
      <w:r w:rsidRPr="00B62036">
        <w:rPr>
          <w:rFonts w:ascii="Gill Sans MT" w:hAnsi="Gill Sans MT" w:cs="Calibri"/>
          <w:sz w:val="20"/>
          <w:szCs w:val="20"/>
        </w:rPr>
        <w:t>ed</w:t>
      </w:r>
      <w:r w:rsidR="00300780" w:rsidRPr="00B62036">
        <w:rPr>
          <w:rFonts w:ascii="Gill Sans MT" w:hAnsi="Gill Sans MT" w:cs="Calibri"/>
          <w:sz w:val="20"/>
          <w:szCs w:val="20"/>
        </w:rPr>
        <w:t xml:space="preserve"> beneficiaries gave priority to vulnerable groups including pregnant women and those with </w:t>
      </w:r>
      <w:r w:rsidRPr="00B62036">
        <w:rPr>
          <w:rFonts w:ascii="Gill Sans MT" w:hAnsi="Gill Sans MT" w:cs="Calibri"/>
          <w:sz w:val="20"/>
          <w:szCs w:val="20"/>
        </w:rPr>
        <w:t>under-5 children</w:t>
      </w:r>
      <w:r w:rsidR="00300780" w:rsidRPr="00B62036">
        <w:rPr>
          <w:rFonts w:ascii="Gill Sans MT" w:hAnsi="Gill Sans MT" w:cs="Calibri"/>
          <w:sz w:val="20"/>
          <w:szCs w:val="20"/>
        </w:rPr>
        <w:t>, women headed households</w:t>
      </w:r>
      <w:r w:rsidRPr="00B62036">
        <w:rPr>
          <w:rFonts w:ascii="Gill Sans MT" w:hAnsi="Gill Sans MT" w:cs="Calibri"/>
          <w:sz w:val="20"/>
          <w:szCs w:val="20"/>
        </w:rPr>
        <w:t>,</w:t>
      </w:r>
      <w:r w:rsidR="00300780" w:rsidRPr="00B62036">
        <w:rPr>
          <w:rFonts w:ascii="Gill Sans MT" w:hAnsi="Gill Sans MT" w:cs="Calibri"/>
          <w:sz w:val="20"/>
          <w:szCs w:val="20"/>
        </w:rPr>
        <w:t xml:space="preserve"> while ensuring that 30% of direct beneficiaries are women headed households for </w:t>
      </w:r>
      <w:r w:rsidRPr="00B62036">
        <w:rPr>
          <w:rFonts w:ascii="Gill Sans MT" w:hAnsi="Gill Sans MT" w:cs="Calibri"/>
          <w:sz w:val="20"/>
          <w:szCs w:val="20"/>
        </w:rPr>
        <w:t xml:space="preserve">the </w:t>
      </w:r>
      <w:r w:rsidR="00300780" w:rsidRPr="00B62036">
        <w:rPr>
          <w:rFonts w:ascii="Gill Sans MT" w:hAnsi="Gill Sans MT" w:cs="Calibri"/>
          <w:sz w:val="20"/>
          <w:szCs w:val="20"/>
        </w:rPr>
        <w:t>livestock assistance. Community sensitization sessions on gender issues related to nutritio</w:t>
      </w:r>
      <w:r w:rsidRPr="00B62036">
        <w:rPr>
          <w:rFonts w:ascii="Gill Sans MT" w:hAnsi="Gill Sans MT" w:cs="Calibri"/>
          <w:sz w:val="20"/>
          <w:szCs w:val="20"/>
        </w:rPr>
        <w:t>n, education and livelihoods were also</w:t>
      </w:r>
      <w:r w:rsidR="00300780" w:rsidRPr="00B62036">
        <w:rPr>
          <w:rFonts w:ascii="Gill Sans MT" w:hAnsi="Gill Sans MT" w:cs="Calibri"/>
          <w:sz w:val="20"/>
          <w:szCs w:val="20"/>
        </w:rPr>
        <w:t xml:space="preserve"> held where male household members for instance are targeted for nutrit</w:t>
      </w:r>
      <w:r w:rsidRPr="00B62036">
        <w:rPr>
          <w:rFonts w:ascii="Gill Sans MT" w:hAnsi="Gill Sans MT" w:cs="Calibri"/>
          <w:sz w:val="20"/>
          <w:szCs w:val="20"/>
        </w:rPr>
        <w:t>ion sensitization</w:t>
      </w:r>
      <w:r w:rsidR="00300780" w:rsidRPr="00B62036">
        <w:rPr>
          <w:rFonts w:ascii="Gill Sans MT" w:hAnsi="Gill Sans MT" w:cs="Calibri"/>
          <w:sz w:val="20"/>
          <w:szCs w:val="20"/>
        </w:rPr>
        <w:t xml:space="preserve">. Participatory tools, </w:t>
      </w:r>
      <w:r w:rsidRPr="00B62036">
        <w:rPr>
          <w:rFonts w:ascii="Gill Sans MT" w:hAnsi="Gill Sans MT" w:cs="Calibri"/>
          <w:sz w:val="20"/>
          <w:szCs w:val="20"/>
        </w:rPr>
        <w:t xml:space="preserve">such as </w:t>
      </w:r>
      <w:r w:rsidR="00300780" w:rsidRPr="00B62036">
        <w:rPr>
          <w:rFonts w:ascii="Gill Sans MT" w:hAnsi="Gill Sans MT" w:cs="Calibri"/>
          <w:sz w:val="20"/>
          <w:szCs w:val="20"/>
        </w:rPr>
        <w:t xml:space="preserve">social mapping, wealth ranking, </w:t>
      </w:r>
      <w:r w:rsidRPr="00B62036">
        <w:rPr>
          <w:rFonts w:ascii="Gill Sans MT" w:hAnsi="Gill Sans MT" w:cs="Calibri"/>
          <w:sz w:val="20"/>
          <w:szCs w:val="20"/>
        </w:rPr>
        <w:t xml:space="preserve">and </w:t>
      </w:r>
      <w:r w:rsidR="00300780" w:rsidRPr="00B62036">
        <w:rPr>
          <w:rFonts w:ascii="Gill Sans MT" w:hAnsi="Gill Sans MT" w:cs="Calibri"/>
          <w:sz w:val="20"/>
          <w:szCs w:val="20"/>
        </w:rPr>
        <w:t>the use of VENN diagrams and transect walks were most appropriate for marginalized and less educated people (mainly women), because these tools enabled them to visualize and understand the issues, communicate with each other, analyze options and make decisions.</w:t>
      </w:r>
    </w:p>
    <w:p w14:paraId="2D4AAFF6" w14:textId="77777777" w:rsidR="004B0071" w:rsidRPr="00B62036" w:rsidRDefault="004B0071" w:rsidP="00230515">
      <w:pPr>
        <w:pStyle w:val="Default"/>
        <w:tabs>
          <w:tab w:val="left" w:pos="1440"/>
        </w:tabs>
        <w:spacing w:line="276" w:lineRule="auto"/>
        <w:jc w:val="both"/>
        <w:rPr>
          <w:rFonts w:ascii="Gill Sans MT" w:hAnsi="Gill Sans MT" w:cs="Calibri"/>
          <w:sz w:val="20"/>
          <w:szCs w:val="20"/>
        </w:rPr>
      </w:pPr>
    </w:p>
    <w:p w14:paraId="2AF7E2ED" w14:textId="3ACC0CAA" w:rsidR="00F42F2C" w:rsidRPr="00B62036" w:rsidRDefault="00647744" w:rsidP="00230515">
      <w:pPr>
        <w:pStyle w:val="Default"/>
        <w:spacing w:before="60" w:after="60" w:line="276" w:lineRule="auto"/>
        <w:jc w:val="both"/>
        <w:rPr>
          <w:rFonts w:ascii="Gill Sans MT" w:hAnsi="Gill Sans MT"/>
          <w:sz w:val="20"/>
          <w:szCs w:val="20"/>
        </w:rPr>
      </w:pPr>
      <w:r w:rsidRPr="00B62036">
        <w:rPr>
          <w:rFonts w:ascii="Gill Sans MT" w:hAnsi="Gill Sans MT" w:cs="Calibri"/>
          <w:sz w:val="20"/>
          <w:szCs w:val="20"/>
        </w:rPr>
        <w:t>Whilst</w:t>
      </w:r>
      <w:r w:rsidR="00424586" w:rsidRPr="00B62036">
        <w:rPr>
          <w:rFonts w:ascii="Gill Sans MT" w:hAnsi="Gill Sans MT"/>
          <w:sz w:val="20"/>
          <w:szCs w:val="20"/>
        </w:rPr>
        <w:t xml:space="preserve"> the project took</w:t>
      </w:r>
      <w:r w:rsidR="00670A8A" w:rsidRPr="00B62036">
        <w:rPr>
          <w:rFonts w:ascii="Gill Sans MT" w:hAnsi="Gill Sans MT"/>
          <w:sz w:val="20"/>
          <w:szCs w:val="20"/>
        </w:rPr>
        <w:t xml:space="preserve"> into</w:t>
      </w:r>
      <w:r w:rsidR="00B62036">
        <w:rPr>
          <w:rFonts w:ascii="Gill Sans MT" w:hAnsi="Gill Sans MT"/>
          <w:sz w:val="20"/>
          <w:szCs w:val="20"/>
        </w:rPr>
        <w:t xml:space="preserve"> consideration the needs of </w:t>
      </w:r>
      <w:r w:rsidR="00670A8A" w:rsidRPr="00B62036">
        <w:rPr>
          <w:rFonts w:ascii="Gill Sans MT" w:hAnsi="Gill Sans MT"/>
          <w:sz w:val="20"/>
          <w:szCs w:val="20"/>
        </w:rPr>
        <w:t>women, men, boys and girls</w:t>
      </w:r>
      <w:r w:rsidR="00424586" w:rsidRPr="00B62036">
        <w:rPr>
          <w:rFonts w:ascii="Gill Sans MT" w:hAnsi="Gill Sans MT"/>
          <w:sz w:val="20"/>
          <w:szCs w:val="20"/>
        </w:rPr>
        <w:t xml:space="preserve"> of concern, special attention wa</w:t>
      </w:r>
      <w:r w:rsidR="00670A8A" w:rsidRPr="00B62036">
        <w:rPr>
          <w:rFonts w:ascii="Gill Sans MT" w:hAnsi="Gill Sans MT"/>
          <w:sz w:val="20"/>
          <w:szCs w:val="20"/>
        </w:rPr>
        <w:t xml:space="preserve">s accorded to women and girls through specific protection measures for their physical safety and actively </w:t>
      </w:r>
      <w:r w:rsidR="00670A8A" w:rsidRPr="00B62036">
        <w:rPr>
          <w:rFonts w:ascii="Gill Sans MT" w:hAnsi="Gill Sans MT"/>
          <w:sz w:val="20"/>
          <w:szCs w:val="20"/>
        </w:rPr>
        <w:lastRenderedPageBreak/>
        <w:t xml:space="preserve">supporting their involvement in all stages of the process. All staff of the </w:t>
      </w:r>
      <w:r w:rsidR="00424586" w:rsidRPr="00B62036">
        <w:rPr>
          <w:rFonts w:ascii="Gill Sans MT" w:hAnsi="Gill Sans MT"/>
          <w:sz w:val="20"/>
          <w:szCs w:val="20"/>
        </w:rPr>
        <w:t xml:space="preserve">PUNOs </w:t>
      </w:r>
      <w:r w:rsidR="00D53A53" w:rsidRPr="00B62036">
        <w:rPr>
          <w:rFonts w:ascii="Gill Sans MT" w:hAnsi="Gill Sans MT"/>
          <w:sz w:val="20"/>
          <w:szCs w:val="20"/>
        </w:rPr>
        <w:t>has</w:t>
      </w:r>
      <w:r w:rsidR="00670A8A" w:rsidRPr="00B62036">
        <w:rPr>
          <w:rFonts w:ascii="Gill Sans MT" w:hAnsi="Gill Sans MT"/>
          <w:sz w:val="20"/>
          <w:szCs w:val="20"/>
        </w:rPr>
        <w:t xml:space="preserve"> been trained on gender </w:t>
      </w:r>
      <w:r w:rsidR="00D53A53" w:rsidRPr="00B62036">
        <w:rPr>
          <w:rFonts w:ascii="Gill Sans MT" w:hAnsi="Gill Sans MT"/>
          <w:sz w:val="20"/>
          <w:szCs w:val="20"/>
        </w:rPr>
        <w:t>issues that include</w:t>
      </w:r>
      <w:r w:rsidR="00670A8A" w:rsidRPr="00B62036">
        <w:rPr>
          <w:rFonts w:ascii="Gill Sans MT" w:hAnsi="Gill Sans MT"/>
          <w:sz w:val="20"/>
          <w:szCs w:val="20"/>
        </w:rPr>
        <w:t xml:space="preserve"> how to address such issues on how to deal with cases of s</w:t>
      </w:r>
      <w:r w:rsidR="00424586" w:rsidRPr="00B62036">
        <w:rPr>
          <w:rFonts w:ascii="Gill Sans MT" w:hAnsi="Gill Sans MT"/>
          <w:sz w:val="20"/>
          <w:szCs w:val="20"/>
        </w:rPr>
        <w:t>exual and gender based violence</w:t>
      </w:r>
      <w:r w:rsidR="00670A8A" w:rsidRPr="00B62036">
        <w:rPr>
          <w:rFonts w:ascii="Gill Sans MT" w:hAnsi="Gill Sans MT"/>
          <w:sz w:val="20"/>
          <w:szCs w:val="20"/>
        </w:rPr>
        <w:t xml:space="preserve">. </w:t>
      </w:r>
      <w:r w:rsidR="00424586" w:rsidRPr="00B62036">
        <w:rPr>
          <w:rFonts w:ascii="Gill Sans MT" w:hAnsi="Gill Sans MT"/>
          <w:sz w:val="20"/>
          <w:szCs w:val="20"/>
        </w:rPr>
        <w:t xml:space="preserve">DRC and NRC </w:t>
      </w:r>
      <w:r w:rsidR="00670A8A" w:rsidRPr="00B62036">
        <w:rPr>
          <w:rFonts w:ascii="Gill Sans MT" w:hAnsi="Gill Sans MT"/>
          <w:sz w:val="20"/>
          <w:szCs w:val="20"/>
        </w:rPr>
        <w:t>made particula</w:t>
      </w:r>
      <w:r w:rsidR="00424586" w:rsidRPr="00B62036">
        <w:rPr>
          <w:rFonts w:ascii="Gill Sans MT" w:hAnsi="Gill Sans MT"/>
          <w:sz w:val="20"/>
          <w:szCs w:val="20"/>
        </w:rPr>
        <w:t xml:space="preserve">r effort to engage women in their trainings. For instance, although the target was 40% </w:t>
      </w:r>
      <w:r w:rsidR="00D53A53" w:rsidRPr="00B62036">
        <w:rPr>
          <w:rFonts w:ascii="Gill Sans MT" w:hAnsi="Gill Sans MT"/>
          <w:sz w:val="20"/>
          <w:szCs w:val="20"/>
        </w:rPr>
        <w:t xml:space="preserve">for female trainees the </w:t>
      </w:r>
      <w:r w:rsidR="006262E1" w:rsidRPr="00B62036">
        <w:rPr>
          <w:rFonts w:ascii="Gill Sans MT" w:hAnsi="Gill Sans MT"/>
          <w:sz w:val="20"/>
          <w:szCs w:val="20"/>
        </w:rPr>
        <w:t>project managed to reach 38%, which was</w:t>
      </w:r>
      <w:r w:rsidR="00670A8A" w:rsidRPr="00B62036">
        <w:rPr>
          <w:rFonts w:ascii="Gill Sans MT" w:hAnsi="Gill Sans MT"/>
          <w:sz w:val="20"/>
          <w:szCs w:val="20"/>
        </w:rPr>
        <w:t xml:space="preserve"> still </w:t>
      </w:r>
      <w:r w:rsidR="006262E1" w:rsidRPr="00B62036">
        <w:rPr>
          <w:rFonts w:ascii="Gill Sans MT" w:hAnsi="Gill Sans MT"/>
          <w:sz w:val="20"/>
          <w:szCs w:val="20"/>
        </w:rPr>
        <w:t xml:space="preserve">seen </w:t>
      </w:r>
      <w:r w:rsidR="00D53A53" w:rsidRPr="00B62036">
        <w:rPr>
          <w:rFonts w:ascii="Gill Sans MT" w:hAnsi="Gill Sans MT"/>
          <w:sz w:val="20"/>
          <w:szCs w:val="20"/>
        </w:rPr>
        <w:t>impressive,</w:t>
      </w:r>
      <w:r w:rsidR="00670A8A" w:rsidRPr="00B62036">
        <w:rPr>
          <w:rFonts w:ascii="Gill Sans MT" w:hAnsi="Gill Sans MT"/>
          <w:sz w:val="20"/>
          <w:szCs w:val="20"/>
        </w:rPr>
        <w:t xml:space="preserve"> considering the circumstances</w:t>
      </w:r>
      <w:r w:rsidR="006262E1" w:rsidRPr="00B62036">
        <w:rPr>
          <w:rFonts w:ascii="Gill Sans MT" w:hAnsi="Gill Sans MT"/>
          <w:sz w:val="20"/>
          <w:szCs w:val="20"/>
        </w:rPr>
        <w:t xml:space="preserve"> of low literacy levels among Baidoa returnees, and the traditional low literacy levels of female youth among the Somali refugees in general</w:t>
      </w:r>
      <w:r w:rsidR="00670A8A" w:rsidRPr="00B62036">
        <w:rPr>
          <w:rFonts w:ascii="Gill Sans MT" w:hAnsi="Gill Sans MT"/>
          <w:sz w:val="20"/>
          <w:szCs w:val="20"/>
        </w:rPr>
        <w:t xml:space="preserve">. </w:t>
      </w:r>
    </w:p>
    <w:p w14:paraId="51E16827" w14:textId="063410E7" w:rsidR="003303C1" w:rsidRPr="00D80E5E" w:rsidRDefault="003303C1" w:rsidP="003A6010">
      <w:pPr>
        <w:pStyle w:val="Heading2"/>
      </w:pPr>
      <w:bookmarkStart w:id="27" w:name="_Toc419359862"/>
      <w:r w:rsidRPr="00D80E5E">
        <w:t>Effectiveness</w:t>
      </w:r>
      <w:bookmarkEnd w:id="27"/>
    </w:p>
    <w:p w14:paraId="39FD4F31" w14:textId="7823F0F9" w:rsidR="00576CA6" w:rsidRPr="00D80E5E" w:rsidRDefault="003A2581" w:rsidP="00230515">
      <w:pPr>
        <w:pStyle w:val="Heading3"/>
        <w:jc w:val="both"/>
        <w:rPr>
          <w:rFonts w:ascii="Gill Sans MT" w:hAnsi="Gill Sans MT"/>
          <w:b w:val="0"/>
          <w:sz w:val="20"/>
          <w:szCs w:val="20"/>
        </w:rPr>
      </w:pPr>
      <w:bookmarkStart w:id="28" w:name="_Toc419359863"/>
      <w:r w:rsidRPr="00D80E5E">
        <w:rPr>
          <w:rFonts w:ascii="Gill Sans MT" w:hAnsi="Gill Sans MT"/>
          <w:b w:val="0"/>
          <w:sz w:val="20"/>
          <w:szCs w:val="20"/>
        </w:rPr>
        <w:t xml:space="preserve">3.3.1 </w:t>
      </w:r>
      <w:r w:rsidR="00713898" w:rsidRPr="002636B4">
        <w:rPr>
          <w:rFonts w:ascii="Gill Sans MT" w:hAnsi="Gill Sans MT"/>
          <w:sz w:val="20"/>
          <w:szCs w:val="20"/>
        </w:rPr>
        <w:t>Project Design</w:t>
      </w:r>
      <w:bookmarkEnd w:id="28"/>
    </w:p>
    <w:p w14:paraId="64ACAAFE" w14:textId="3D50E053" w:rsidR="00056E9F" w:rsidRPr="00B62036" w:rsidRDefault="00576CA6"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The </w:t>
      </w:r>
      <w:r w:rsidR="00080665" w:rsidRPr="00B62036">
        <w:rPr>
          <w:rFonts w:ascii="Gill Sans MT" w:hAnsi="Gill Sans MT"/>
          <w:sz w:val="20"/>
          <w:szCs w:val="20"/>
        </w:rPr>
        <w:t xml:space="preserve">Kenya- Somalia refugees and </w:t>
      </w:r>
      <w:r w:rsidR="003A3D76" w:rsidRPr="00B62036">
        <w:rPr>
          <w:rFonts w:ascii="Gill Sans MT" w:hAnsi="Gill Sans MT"/>
          <w:sz w:val="20"/>
          <w:szCs w:val="20"/>
        </w:rPr>
        <w:t>peace building</w:t>
      </w:r>
      <w:r w:rsidR="00080665" w:rsidRPr="00B62036">
        <w:rPr>
          <w:rFonts w:ascii="Gill Sans MT" w:hAnsi="Gill Sans MT"/>
          <w:sz w:val="20"/>
          <w:szCs w:val="20"/>
        </w:rPr>
        <w:t xml:space="preserve"> cross border pilot project for voluntary return, co-existence and sustainable Reintegration in the areas of return </w:t>
      </w:r>
      <w:r w:rsidRPr="00B62036">
        <w:rPr>
          <w:rFonts w:ascii="Gill Sans MT" w:hAnsi="Gill Sans MT"/>
          <w:sz w:val="20"/>
          <w:szCs w:val="20"/>
        </w:rPr>
        <w:t>project was one of the first program</w:t>
      </w:r>
      <w:r w:rsidR="00080665" w:rsidRPr="00B62036">
        <w:rPr>
          <w:rFonts w:ascii="Gill Sans MT" w:hAnsi="Gill Sans MT"/>
          <w:sz w:val="20"/>
          <w:szCs w:val="20"/>
        </w:rPr>
        <w:t>s</w:t>
      </w:r>
      <w:r w:rsidRPr="00B62036">
        <w:rPr>
          <w:rFonts w:ascii="Gill Sans MT" w:hAnsi="Gill Sans MT"/>
          <w:sz w:val="20"/>
          <w:szCs w:val="20"/>
        </w:rPr>
        <w:t xml:space="preserve"> offering reintegration of voluntary returnees in Bay region of Somalia, and the strong demand for such assistance demonstrates the relevance of such initiatives in that </w:t>
      </w:r>
      <w:r w:rsidR="00080665" w:rsidRPr="00B62036">
        <w:rPr>
          <w:rFonts w:ascii="Gill Sans MT" w:hAnsi="Gill Sans MT"/>
          <w:sz w:val="20"/>
          <w:szCs w:val="20"/>
        </w:rPr>
        <w:t>region</w:t>
      </w:r>
      <w:r w:rsidR="00056E9F" w:rsidRPr="00B62036">
        <w:rPr>
          <w:rFonts w:ascii="Gill Sans MT" w:hAnsi="Gill Sans MT"/>
          <w:sz w:val="20"/>
          <w:szCs w:val="20"/>
        </w:rPr>
        <w:t xml:space="preserve">. </w:t>
      </w:r>
      <w:r w:rsidRPr="00B62036">
        <w:rPr>
          <w:rFonts w:ascii="Gill Sans MT" w:hAnsi="Gill Sans MT"/>
          <w:sz w:val="20"/>
          <w:szCs w:val="20"/>
        </w:rPr>
        <w:t>Returnees interviewed were in general satisfied with the possibility offered by the program because their situation in the host country had become very</w:t>
      </w:r>
      <w:r w:rsidR="00DD7E3A" w:rsidRPr="00B62036">
        <w:rPr>
          <w:rFonts w:ascii="Gill Sans MT" w:hAnsi="Gill Sans MT"/>
          <w:sz w:val="20"/>
          <w:szCs w:val="20"/>
        </w:rPr>
        <w:t xml:space="preserve"> </w:t>
      </w:r>
      <w:r w:rsidRPr="00B62036">
        <w:rPr>
          <w:rFonts w:ascii="Gill Sans MT" w:hAnsi="Gill Sans MT"/>
          <w:sz w:val="20"/>
          <w:szCs w:val="20"/>
        </w:rPr>
        <w:t>difficult</w:t>
      </w:r>
      <w:r w:rsidR="00080665" w:rsidRPr="00B62036">
        <w:rPr>
          <w:rFonts w:ascii="Gill Sans MT" w:hAnsi="Gill Sans MT"/>
          <w:sz w:val="20"/>
          <w:szCs w:val="20"/>
        </w:rPr>
        <w:t xml:space="preserve"> upon return</w:t>
      </w:r>
      <w:r w:rsidRPr="00B62036">
        <w:rPr>
          <w:rFonts w:ascii="Gill Sans MT" w:hAnsi="Gill Sans MT"/>
          <w:sz w:val="20"/>
          <w:szCs w:val="20"/>
        </w:rPr>
        <w:t>, especially as it came at a time when there was a severe drought and they feared for their security.</w:t>
      </w:r>
      <w:r w:rsidR="00080665" w:rsidRPr="00B62036">
        <w:rPr>
          <w:rFonts w:ascii="Gill Sans MT" w:hAnsi="Gill Sans MT"/>
          <w:sz w:val="20"/>
          <w:szCs w:val="20"/>
        </w:rPr>
        <w:t xml:space="preserve"> In Dadaab, </w:t>
      </w:r>
      <w:r w:rsidR="00DD7E3A" w:rsidRPr="00B62036">
        <w:rPr>
          <w:rFonts w:ascii="Gill Sans MT" w:hAnsi="Gill Sans MT"/>
          <w:sz w:val="20"/>
          <w:szCs w:val="20"/>
        </w:rPr>
        <w:t>DRC and NRC implemented the vocational skills training component of the project</w:t>
      </w:r>
      <w:r w:rsidRPr="00B62036">
        <w:rPr>
          <w:rFonts w:ascii="Gill Sans MT" w:hAnsi="Gill Sans MT"/>
          <w:sz w:val="20"/>
          <w:szCs w:val="20"/>
        </w:rPr>
        <w:t xml:space="preserve"> with the aim of imparting high impact skills to potential voluntary returnees from Baidoa. The choice of training courses was based </w:t>
      </w:r>
      <w:r w:rsidR="003A3D76" w:rsidRPr="00B62036">
        <w:rPr>
          <w:rFonts w:ascii="Gill Sans MT" w:hAnsi="Gill Sans MT"/>
          <w:sz w:val="20"/>
          <w:szCs w:val="20"/>
        </w:rPr>
        <w:t>on</w:t>
      </w:r>
      <w:r w:rsidRPr="00B62036">
        <w:rPr>
          <w:rFonts w:ascii="Gill Sans MT" w:hAnsi="Gill Sans MT"/>
          <w:sz w:val="20"/>
          <w:szCs w:val="20"/>
        </w:rPr>
        <w:t xml:space="preserve"> ILO </w:t>
      </w:r>
      <w:r w:rsidR="003A2581" w:rsidRPr="00B62036">
        <w:rPr>
          <w:rFonts w:ascii="Gill Sans MT" w:hAnsi="Gill Sans MT"/>
          <w:sz w:val="20"/>
          <w:szCs w:val="20"/>
        </w:rPr>
        <w:t>Labour Market S</w:t>
      </w:r>
      <w:r w:rsidRPr="00B62036">
        <w:rPr>
          <w:rFonts w:ascii="Gill Sans MT" w:hAnsi="Gill Sans MT"/>
          <w:sz w:val="20"/>
          <w:szCs w:val="20"/>
        </w:rPr>
        <w:t xml:space="preserve">tudy that covered areas of return which highlighted ‘marketable’ courses in the areas of </w:t>
      </w:r>
      <w:r w:rsidR="00DD7E3A" w:rsidRPr="00B62036">
        <w:rPr>
          <w:rFonts w:ascii="Gill Sans MT" w:hAnsi="Gill Sans MT"/>
          <w:sz w:val="20"/>
          <w:szCs w:val="20"/>
        </w:rPr>
        <w:t>return. Furthermore</w:t>
      </w:r>
      <w:r w:rsidRPr="00B62036">
        <w:rPr>
          <w:rFonts w:ascii="Gill Sans MT" w:hAnsi="Gill Sans MT"/>
          <w:sz w:val="20"/>
          <w:szCs w:val="20"/>
        </w:rPr>
        <w:t xml:space="preserve">, DRC and NRC utilized their experiences of managing Youth Education Programme (YEP) </w:t>
      </w:r>
      <w:r w:rsidR="00DD7E3A" w:rsidRPr="00B62036">
        <w:rPr>
          <w:rFonts w:ascii="Gill Sans MT" w:hAnsi="Gill Sans MT"/>
          <w:sz w:val="20"/>
          <w:szCs w:val="20"/>
        </w:rPr>
        <w:t>Centers, which</w:t>
      </w:r>
      <w:r w:rsidRPr="00B62036">
        <w:rPr>
          <w:rFonts w:ascii="Gill Sans MT" w:hAnsi="Gill Sans MT"/>
          <w:sz w:val="20"/>
          <w:szCs w:val="20"/>
        </w:rPr>
        <w:t xml:space="preserve"> exposed them to the popular courses amongst </w:t>
      </w:r>
      <w:r w:rsidR="003A2581" w:rsidRPr="00B62036">
        <w:rPr>
          <w:rFonts w:ascii="Gill Sans MT" w:hAnsi="Gill Sans MT"/>
          <w:sz w:val="20"/>
          <w:szCs w:val="20"/>
        </w:rPr>
        <w:t>Somalis that</w:t>
      </w:r>
      <w:r w:rsidRPr="00B62036">
        <w:rPr>
          <w:rFonts w:ascii="Gill Sans MT" w:hAnsi="Gill Sans MT"/>
          <w:sz w:val="20"/>
          <w:szCs w:val="20"/>
        </w:rPr>
        <w:t xml:space="preserve"> have higher potential for </w:t>
      </w:r>
      <w:r w:rsidR="003A2581" w:rsidRPr="00B62036">
        <w:rPr>
          <w:rFonts w:ascii="Gill Sans MT" w:hAnsi="Gill Sans MT"/>
          <w:sz w:val="20"/>
          <w:szCs w:val="20"/>
        </w:rPr>
        <w:t>self-employment</w:t>
      </w:r>
      <w:r w:rsidRPr="00B62036">
        <w:rPr>
          <w:rFonts w:ascii="Gill Sans MT" w:hAnsi="Gill Sans MT"/>
          <w:sz w:val="20"/>
          <w:szCs w:val="20"/>
        </w:rPr>
        <w:t xml:space="preserve">. </w:t>
      </w:r>
    </w:p>
    <w:p w14:paraId="254D46C3" w14:textId="77777777" w:rsidR="004B0071" w:rsidRPr="00B62036" w:rsidRDefault="004B0071" w:rsidP="00230515">
      <w:pPr>
        <w:widowControl w:val="0"/>
        <w:autoSpaceDE w:val="0"/>
        <w:autoSpaceDN w:val="0"/>
        <w:adjustRightInd w:val="0"/>
        <w:spacing w:line="276" w:lineRule="auto"/>
        <w:jc w:val="both"/>
        <w:rPr>
          <w:rFonts w:ascii="Gill Sans MT" w:hAnsi="Gill Sans MT"/>
          <w:sz w:val="20"/>
          <w:szCs w:val="20"/>
        </w:rPr>
      </w:pPr>
    </w:p>
    <w:p w14:paraId="6A8438BF" w14:textId="1B9F9FF2" w:rsidR="00576CA6" w:rsidRPr="00B62036" w:rsidRDefault="00576CA6"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The training courses were largely from three main sectors: construction (masonry, electrical </w:t>
      </w:r>
      <w:r w:rsidR="003A3D76" w:rsidRPr="00B62036">
        <w:rPr>
          <w:rFonts w:ascii="Gill Sans MT" w:hAnsi="Gill Sans MT"/>
          <w:sz w:val="20"/>
          <w:szCs w:val="20"/>
        </w:rPr>
        <w:t>etc.</w:t>
      </w:r>
      <w:r w:rsidRPr="00B62036">
        <w:rPr>
          <w:rFonts w:ascii="Gill Sans MT" w:hAnsi="Gill Sans MT"/>
          <w:sz w:val="20"/>
          <w:szCs w:val="20"/>
        </w:rPr>
        <w:t xml:space="preserve">), transport (motor vehicle mechanic), and service industry (Beverages, housekeeping and hospitality </w:t>
      </w:r>
      <w:r w:rsidR="003A3D76" w:rsidRPr="00B62036">
        <w:rPr>
          <w:rFonts w:ascii="Gill Sans MT" w:hAnsi="Gill Sans MT"/>
          <w:sz w:val="20"/>
          <w:szCs w:val="20"/>
        </w:rPr>
        <w:t>etc.</w:t>
      </w:r>
      <w:r w:rsidRPr="00B62036">
        <w:rPr>
          <w:rFonts w:ascii="Gill Sans MT" w:hAnsi="Gill Sans MT"/>
          <w:sz w:val="20"/>
          <w:szCs w:val="20"/>
        </w:rPr>
        <w:t xml:space="preserve">). </w:t>
      </w:r>
      <w:r w:rsidR="00DD7E3A" w:rsidRPr="00B62036">
        <w:rPr>
          <w:rFonts w:ascii="Gill Sans MT" w:hAnsi="Gill Sans MT"/>
          <w:sz w:val="20"/>
          <w:szCs w:val="20"/>
        </w:rPr>
        <w:t>Integrated</w:t>
      </w:r>
      <w:r w:rsidRPr="00B62036">
        <w:rPr>
          <w:rFonts w:ascii="Gill Sans MT" w:hAnsi="Gill Sans MT"/>
          <w:sz w:val="20"/>
          <w:szCs w:val="20"/>
        </w:rPr>
        <w:t xml:space="preserve"> into the curriculum was a </w:t>
      </w:r>
      <w:r w:rsidR="003A2581" w:rsidRPr="00B62036">
        <w:rPr>
          <w:rFonts w:ascii="Gill Sans MT" w:hAnsi="Gill Sans MT"/>
          <w:sz w:val="20"/>
          <w:szCs w:val="20"/>
        </w:rPr>
        <w:t>peace-building</w:t>
      </w:r>
      <w:r w:rsidRPr="00B62036">
        <w:rPr>
          <w:rFonts w:ascii="Gill Sans MT" w:hAnsi="Gill Sans MT"/>
          <w:sz w:val="20"/>
          <w:szCs w:val="20"/>
        </w:rPr>
        <w:t xml:space="preserve"> </w:t>
      </w:r>
      <w:r w:rsidR="00DD7E3A" w:rsidRPr="00B62036">
        <w:rPr>
          <w:rFonts w:ascii="Gill Sans MT" w:hAnsi="Gill Sans MT"/>
          <w:sz w:val="20"/>
          <w:szCs w:val="20"/>
        </w:rPr>
        <w:t>component</w:t>
      </w:r>
      <w:r w:rsidRPr="00B62036">
        <w:rPr>
          <w:rFonts w:ascii="Gill Sans MT" w:hAnsi="Gill Sans MT"/>
          <w:sz w:val="20"/>
          <w:szCs w:val="20"/>
        </w:rPr>
        <w:t xml:space="preserve"> aimed at preparing the trainees for </w:t>
      </w:r>
      <w:r w:rsidR="00DD7E3A" w:rsidRPr="00B62036">
        <w:rPr>
          <w:rFonts w:ascii="Gill Sans MT" w:hAnsi="Gill Sans MT"/>
          <w:sz w:val="20"/>
          <w:szCs w:val="20"/>
        </w:rPr>
        <w:t>sustainable</w:t>
      </w:r>
      <w:r w:rsidRPr="00B62036">
        <w:rPr>
          <w:rFonts w:ascii="Gill Sans MT" w:hAnsi="Gill Sans MT"/>
          <w:sz w:val="20"/>
          <w:szCs w:val="20"/>
        </w:rPr>
        <w:t xml:space="preserve"> peace upon their return to Baidoa. Courses such as </w:t>
      </w:r>
      <w:r w:rsidR="003A2581" w:rsidRPr="00B62036">
        <w:rPr>
          <w:rFonts w:ascii="Gill Sans MT" w:hAnsi="Gill Sans MT"/>
          <w:sz w:val="20"/>
          <w:szCs w:val="20"/>
        </w:rPr>
        <w:t>governance</w:t>
      </w:r>
      <w:r w:rsidRPr="00B62036">
        <w:rPr>
          <w:rFonts w:ascii="Gill Sans MT" w:hAnsi="Gill Sans MT"/>
          <w:sz w:val="20"/>
          <w:szCs w:val="20"/>
        </w:rPr>
        <w:t xml:space="preserve">, religion, hygiene, </w:t>
      </w:r>
      <w:r w:rsidR="00742607" w:rsidRPr="00B62036">
        <w:rPr>
          <w:rFonts w:ascii="Gill Sans MT" w:hAnsi="Gill Sans MT"/>
          <w:sz w:val="20"/>
          <w:szCs w:val="20"/>
        </w:rPr>
        <w:t>and politics</w:t>
      </w:r>
      <w:r w:rsidRPr="00B62036">
        <w:rPr>
          <w:rFonts w:ascii="Gill Sans MT" w:hAnsi="Gill Sans MT"/>
          <w:sz w:val="20"/>
          <w:szCs w:val="20"/>
        </w:rPr>
        <w:t xml:space="preserve"> were some of the co-curricular courses means to make the trai</w:t>
      </w:r>
      <w:r w:rsidR="00DD7E3A" w:rsidRPr="00B62036">
        <w:rPr>
          <w:rFonts w:ascii="Gill Sans MT" w:hAnsi="Gill Sans MT"/>
          <w:sz w:val="20"/>
          <w:szCs w:val="20"/>
        </w:rPr>
        <w:t>ni</w:t>
      </w:r>
      <w:r w:rsidRPr="00B62036">
        <w:rPr>
          <w:rFonts w:ascii="Gill Sans MT" w:hAnsi="Gill Sans MT"/>
          <w:sz w:val="20"/>
          <w:szCs w:val="20"/>
        </w:rPr>
        <w:t xml:space="preserve">ng </w:t>
      </w:r>
      <w:r w:rsidR="00DD7E3A" w:rsidRPr="00B62036">
        <w:rPr>
          <w:rFonts w:ascii="Gill Sans MT" w:hAnsi="Gill Sans MT"/>
          <w:sz w:val="20"/>
          <w:szCs w:val="20"/>
        </w:rPr>
        <w:t>tailor-made</w:t>
      </w:r>
      <w:r w:rsidRPr="00B62036">
        <w:rPr>
          <w:rFonts w:ascii="Gill Sans MT" w:hAnsi="Gill Sans MT"/>
          <w:sz w:val="20"/>
          <w:szCs w:val="20"/>
        </w:rPr>
        <w:t xml:space="preserve">. Partnership with the National Industrial Training Authority (NITA) </w:t>
      </w:r>
      <w:r w:rsidR="00DD7E3A" w:rsidRPr="00B62036">
        <w:rPr>
          <w:rFonts w:ascii="Gill Sans MT" w:hAnsi="Gill Sans MT"/>
          <w:sz w:val="20"/>
          <w:szCs w:val="20"/>
        </w:rPr>
        <w:t>accredited</w:t>
      </w:r>
      <w:r w:rsidRPr="00B62036">
        <w:rPr>
          <w:rFonts w:ascii="Gill Sans MT" w:hAnsi="Gill Sans MT"/>
          <w:sz w:val="20"/>
          <w:szCs w:val="20"/>
        </w:rPr>
        <w:t xml:space="preserve"> colleges was a</w:t>
      </w:r>
      <w:r w:rsidR="003A2581" w:rsidRPr="00B62036">
        <w:rPr>
          <w:rFonts w:ascii="Gill Sans MT" w:hAnsi="Gill Sans MT"/>
          <w:sz w:val="20"/>
          <w:szCs w:val="20"/>
        </w:rPr>
        <w:t>lso</w:t>
      </w:r>
      <w:r w:rsidRPr="00B62036">
        <w:rPr>
          <w:rFonts w:ascii="Gill Sans MT" w:hAnsi="Gill Sans MT"/>
          <w:sz w:val="20"/>
          <w:szCs w:val="20"/>
        </w:rPr>
        <w:t xml:space="preserve"> </w:t>
      </w:r>
      <w:r w:rsidR="003A2581" w:rsidRPr="00B62036">
        <w:rPr>
          <w:rFonts w:ascii="Gill Sans MT" w:hAnsi="Gill Sans MT"/>
          <w:sz w:val="20"/>
          <w:szCs w:val="20"/>
        </w:rPr>
        <w:t xml:space="preserve">a very </w:t>
      </w:r>
      <w:r w:rsidRPr="00B62036">
        <w:rPr>
          <w:rFonts w:ascii="Gill Sans MT" w:hAnsi="Gill Sans MT"/>
          <w:sz w:val="20"/>
          <w:szCs w:val="20"/>
        </w:rPr>
        <w:t xml:space="preserve">relevant </w:t>
      </w:r>
      <w:r w:rsidR="003A2581" w:rsidRPr="00B62036">
        <w:rPr>
          <w:rFonts w:ascii="Gill Sans MT" w:hAnsi="Gill Sans MT"/>
          <w:sz w:val="20"/>
          <w:szCs w:val="20"/>
        </w:rPr>
        <w:t>consideration in the project design.</w:t>
      </w:r>
    </w:p>
    <w:p w14:paraId="20A06AE1" w14:textId="77777777" w:rsidR="004B0071" w:rsidRPr="00B62036" w:rsidRDefault="004B0071" w:rsidP="00230515">
      <w:pPr>
        <w:widowControl w:val="0"/>
        <w:autoSpaceDE w:val="0"/>
        <w:autoSpaceDN w:val="0"/>
        <w:adjustRightInd w:val="0"/>
        <w:spacing w:line="276" w:lineRule="auto"/>
        <w:jc w:val="both"/>
        <w:rPr>
          <w:rFonts w:ascii="Gill Sans MT" w:hAnsi="Gill Sans MT"/>
          <w:sz w:val="20"/>
          <w:szCs w:val="20"/>
        </w:rPr>
      </w:pPr>
    </w:p>
    <w:p w14:paraId="42902475" w14:textId="21BDE877" w:rsidR="00576CA6" w:rsidRPr="00B62036" w:rsidRDefault="003A2581"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However, a</w:t>
      </w:r>
      <w:r w:rsidR="00576CA6" w:rsidRPr="00B62036">
        <w:rPr>
          <w:rFonts w:ascii="Gill Sans MT" w:hAnsi="Gill Sans MT"/>
          <w:sz w:val="20"/>
          <w:szCs w:val="20"/>
        </w:rPr>
        <w:t xml:space="preserve"> key weak</w:t>
      </w:r>
      <w:r w:rsidRPr="00B62036">
        <w:rPr>
          <w:rFonts w:ascii="Gill Sans MT" w:hAnsi="Gill Sans MT"/>
          <w:sz w:val="20"/>
          <w:szCs w:val="20"/>
        </w:rPr>
        <w:t>ness</w:t>
      </w:r>
      <w:r w:rsidR="00576CA6" w:rsidRPr="00B62036">
        <w:rPr>
          <w:rFonts w:ascii="Gill Sans MT" w:hAnsi="Gill Sans MT"/>
          <w:sz w:val="20"/>
          <w:szCs w:val="20"/>
        </w:rPr>
        <w:t xml:space="preserve"> </w:t>
      </w:r>
      <w:r w:rsidR="00056E9F" w:rsidRPr="00B62036">
        <w:rPr>
          <w:rFonts w:ascii="Gill Sans MT" w:hAnsi="Gill Sans MT"/>
          <w:sz w:val="20"/>
          <w:szCs w:val="20"/>
        </w:rPr>
        <w:t xml:space="preserve">in the </w:t>
      </w:r>
      <w:r w:rsidR="00576CA6" w:rsidRPr="00B62036">
        <w:rPr>
          <w:rFonts w:ascii="Gill Sans MT" w:hAnsi="Gill Sans MT"/>
          <w:sz w:val="20"/>
          <w:szCs w:val="20"/>
        </w:rPr>
        <w:t>project design was the lack of proper community mobilization in Dadaab. While UNHCR and its partners endeavored to engage communities, there were unfounded innuendos that targeting Baidoa returnees for the pilot project was a</w:t>
      </w:r>
      <w:r w:rsidR="00DD7E3A" w:rsidRPr="00B62036">
        <w:rPr>
          <w:rFonts w:ascii="Gill Sans MT" w:hAnsi="Gill Sans MT"/>
          <w:sz w:val="20"/>
          <w:szCs w:val="20"/>
        </w:rPr>
        <w:t xml:space="preserve"> strategy</w:t>
      </w:r>
      <w:r w:rsidR="009B7C9B" w:rsidRPr="00B62036">
        <w:rPr>
          <w:rFonts w:ascii="Gill Sans MT" w:hAnsi="Gill Sans MT"/>
          <w:sz w:val="20"/>
          <w:szCs w:val="20"/>
        </w:rPr>
        <w:t xml:space="preserve"> by UNHCR and partners to </w:t>
      </w:r>
      <w:r w:rsidR="00576CA6" w:rsidRPr="00B62036">
        <w:rPr>
          <w:rFonts w:ascii="Gill Sans MT" w:hAnsi="Gill Sans MT"/>
          <w:sz w:val="20"/>
          <w:szCs w:val="20"/>
        </w:rPr>
        <w:t>return communities from Bay region</w:t>
      </w:r>
      <w:r w:rsidR="009B7C9B" w:rsidRPr="00B62036">
        <w:rPr>
          <w:rFonts w:ascii="Gill Sans MT" w:hAnsi="Gill Sans MT"/>
          <w:sz w:val="20"/>
          <w:szCs w:val="20"/>
        </w:rPr>
        <w:t xml:space="preserve"> only</w:t>
      </w:r>
      <w:r w:rsidR="00576CA6" w:rsidRPr="00B62036">
        <w:rPr>
          <w:rFonts w:ascii="Gill Sans MT" w:hAnsi="Gill Sans MT"/>
          <w:sz w:val="20"/>
          <w:szCs w:val="20"/>
        </w:rPr>
        <w:t>. Therefore, the fact that Somalis are traditionally divided along clan lines, and that some clans within the Rahanweyn are tradi</w:t>
      </w:r>
      <w:r w:rsidR="00DD7E3A" w:rsidRPr="00B62036">
        <w:rPr>
          <w:rFonts w:ascii="Gill Sans MT" w:hAnsi="Gill Sans MT"/>
          <w:sz w:val="20"/>
          <w:szCs w:val="20"/>
        </w:rPr>
        <w:t>ti</w:t>
      </w:r>
      <w:r w:rsidR="00576CA6" w:rsidRPr="00B62036">
        <w:rPr>
          <w:rFonts w:ascii="Gill Sans MT" w:hAnsi="Gill Sans MT"/>
          <w:sz w:val="20"/>
          <w:szCs w:val="20"/>
        </w:rPr>
        <w:t xml:space="preserve">onally </w:t>
      </w:r>
      <w:r w:rsidR="00DD7E3A" w:rsidRPr="00B62036">
        <w:rPr>
          <w:rFonts w:ascii="Gill Sans MT" w:hAnsi="Gill Sans MT"/>
          <w:sz w:val="20"/>
          <w:szCs w:val="20"/>
        </w:rPr>
        <w:t>marginalized</w:t>
      </w:r>
      <w:r w:rsidR="00576CA6" w:rsidRPr="00B62036">
        <w:rPr>
          <w:rFonts w:ascii="Gill Sans MT" w:hAnsi="Gill Sans MT"/>
          <w:sz w:val="20"/>
          <w:szCs w:val="20"/>
        </w:rPr>
        <w:t xml:space="preserve"> communities, UNHCR and the implementing partners ought to have devised a more inclusive and robust approach to forestall such sensitive </w:t>
      </w:r>
      <w:r w:rsidRPr="00B62036">
        <w:rPr>
          <w:rFonts w:ascii="Gill Sans MT" w:hAnsi="Gill Sans MT"/>
          <w:sz w:val="20"/>
          <w:szCs w:val="20"/>
        </w:rPr>
        <w:t>matters, which</w:t>
      </w:r>
      <w:r w:rsidR="00576CA6" w:rsidRPr="00B62036">
        <w:rPr>
          <w:rFonts w:ascii="Gill Sans MT" w:hAnsi="Gill Sans MT"/>
          <w:sz w:val="20"/>
          <w:szCs w:val="20"/>
        </w:rPr>
        <w:t xml:space="preserve"> would consequently affect project delivery and outcomes.</w:t>
      </w:r>
      <w:r w:rsidR="002813A8">
        <w:rPr>
          <w:rFonts w:ascii="Gill Sans MT" w:hAnsi="Gill Sans MT"/>
          <w:sz w:val="20"/>
          <w:szCs w:val="20"/>
        </w:rPr>
        <w:t xml:space="preserve"> Whilst</w:t>
      </w:r>
      <w:r w:rsidR="00576CA6" w:rsidRPr="00B62036">
        <w:rPr>
          <w:rFonts w:ascii="Gill Sans MT" w:hAnsi="Gill Sans MT"/>
          <w:sz w:val="20"/>
          <w:szCs w:val="20"/>
        </w:rPr>
        <w:t xml:space="preserve"> </w:t>
      </w:r>
      <w:r w:rsidR="002813A8" w:rsidRPr="002813A8">
        <w:rPr>
          <w:rFonts w:ascii="Gill Sans MT" w:hAnsi="Gill Sans MT"/>
          <w:sz w:val="20"/>
          <w:szCs w:val="20"/>
        </w:rPr>
        <w:t>the project was well planned but engagement of implementing partners, actors and relevant stakeholders needed to start early right from projects design stage</w:t>
      </w:r>
      <w:r w:rsidR="002813A8">
        <w:rPr>
          <w:rFonts w:ascii="Gill Sans MT" w:hAnsi="Gill Sans MT"/>
          <w:sz w:val="20"/>
          <w:szCs w:val="20"/>
        </w:rPr>
        <w:t>.</w:t>
      </w:r>
      <w:r w:rsidR="00576CA6" w:rsidRPr="00B62036">
        <w:rPr>
          <w:rFonts w:ascii="Gill Sans MT" w:hAnsi="Gill Sans MT"/>
          <w:sz w:val="20"/>
          <w:szCs w:val="20"/>
        </w:rPr>
        <w:t xml:space="preserve"> </w:t>
      </w:r>
    </w:p>
    <w:p w14:paraId="4530EA84" w14:textId="77777777" w:rsidR="004B0071" w:rsidRPr="00B62036" w:rsidRDefault="004B0071" w:rsidP="00230515">
      <w:pPr>
        <w:widowControl w:val="0"/>
        <w:autoSpaceDE w:val="0"/>
        <w:autoSpaceDN w:val="0"/>
        <w:adjustRightInd w:val="0"/>
        <w:spacing w:line="276" w:lineRule="auto"/>
        <w:jc w:val="both"/>
        <w:rPr>
          <w:rFonts w:ascii="Gill Sans MT" w:hAnsi="Gill Sans MT"/>
          <w:sz w:val="20"/>
          <w:szCs w:val="20"/>
        </w:rPr>
      </w:pPr>
    </w:p>
    <w:p w14:paraId="2ED37A3E" w14:textId="15E0811D" w:rsidR="00576CA6" w:rsidRPr="00B62036" w:rsidRDefault="003A2581" w:rsidP="00230515">
      <w:pPr>
        <w:pStyle w:val="Heading3"/>
        <w:jc w:val="both"/>
        <w:rPr>
          <w:rFonts w:ascii="Gill Sans MT" w:hAnsi="Gill Sans MT"/>
          <w:sz w:val="20"/>
          <w:szCs w:val="20"/>
        </w:rPr>
      </w:pPr>
      <w:bookmarkStart w:id="29" w:name="_Toc419359864"/>
      <w:r w:rsidRPr="00B62036">
        <w:rPr>
          <w:rFonts w:ascii="Gill Sans MT" w:hAnsi="Gill Sans MT"/>
          <w:sz w:val="20"/>
          <w:szCs w:val="20"/>
        </w:rPr>
        <w:t xml:space="preserve">3.3.2 </w:t>
      </w:r>
      <w:r w:rsidR="00576CA6" w:rsidRPr="00B62036">
        <w:rPr>
          <w:rFonts w:ascii="Gill Sans MT" w:hAnsi="Gill Sans MT"/>
          <w:sz w:val="20"/>
          <w:szCs w:val="20"/>
        </w:rPr>
        <w:t>Project Flexibility</w:t>
      </w:r>
      <w:bookmarkEnd w:id="29"/>
    </w:p>
    <w:p w14:paraId="2E3E0F33" w14:textId="54F4ECE0" w:rsidR="006224F3" w:rsidRDefault="00576CA6" w:rsidP="00230515">
      <w:pPr>
        <w:widowControl w:val="0"/>
        <w:autoSpaceDE w:val="0"/>
        <w:autoSpaceDN w:val="0"/>
        <w:adjustRightInd w:val="0"/>
        <w:spacing w:line="276" w:lineRule="auto"/>
        <w:jc w:val="both"/>
        <w:rPr>
          <w:rFonts w:ascii="Gill Sans MT" w:hAnsi="Gill Sans MT"/>
          <w:color w:val="000000"/>
          <w:sz w:val="20"/>
          <w:szCs w:val="20"/>
        </w:rPr>
      </w:pPr>
      <w:r w:rsidRPr="00B62036">
        <w:rPr>
          <w:rFonts w:ascii="Gill Sans MT" w:hAnsi="Gill Sans MT"/>
          <w:color w:val="000000"/>
          <w:sz w:val="20"/>
          <w:szCs w:val="20"/>
        </w:rPr>
        <w:t xml:space="preserve">The project was </w:t>
      </w:r>
      <w:r w:rsidR="00015EE6" w:rsidRPr="00B62036">
        <w:rPr>
          <w:rFonts w:ascii="Gill Sans MT" w:hAnsi="Gill Sans MT"/>
          <w:color w:val="000000"/>
          <w:sz w:val="20"/>
          <w:szCs w:val="20"/>
        </w:rPr>
        <w:t xml:space="preserve">partly </w:t>
      </w:r>
      <w:r w:rsidRPr="00B62036">
        <w:rPr>
          <w:rFonts w:ascii="Gill Sans MT" w:hAnsi="Gill Sans MT"/>
          <w:color w:val="000000"/>
          <w:sz w:val="20"/>
          <w:szCs w:val="20"/>
        </w:rPr>
        <w:t xml:space="preserve">implemented during a severe drought that had affected both </w:t>
      </w:r>
      <w:r w:rsidR="00015EE6" w:rsidRPr="00B62036">
        <w:rPr>
          <w:rFonts w:ascii="Gill Sans MT" w:hAnsi="Gill Sans MT"/>
          <w:color w:val="000000"/>
          <w:sz w:val="20"/>
          <w:szCs w:val="20"/>
        </w:rPr>
        <w:t>rural and urban populations in South-C</w:t>
      </w:r>
      <w:r w:rsidRPr="00B62036">
        <w:rPr>
          <w:rFonts w:ascii="Gill Sans MT" w:hAnsi="Gill Sans MT"/>
          <w:color w:val="000000"/>
          <w:sz w:val="20"/>
          <w:szCs w:val="20"/>
        </w:rPr>
        <w:t>entral Somalia</w:t>
      </w:r>
      <w:r w:rsidR="002813A8">
        <w:rPr>
          <w:rFonts w:ascii="Gill Sans MT" w:hAnsi="Gill Sans MT"/>
          <w:color w:val="000000"/>
          <w:sz w:val="20"/>
          <w:szCs w:val="20"/>
        </w:rPr>
        <w:t xml:space="preserve">. </w:t>
      </w:r>
      <w:r w:rsidR="00C302B7" w:rsidRPr="00C302B7">
        <w:rPr>
          <w:rFonts w:ascii="Gill Sans MT" w:hAnsi="Gill Sans MT"/>
          <w:bCs/>
          <w:color w:val="000000"/>
          <w:sz w:val="20"/>
          <w:szCs w:val="20"/>
          <w:highlight w:val="green"/>
        </w:rPr>
        <w:t xml:space="preserve">The </w:t>
      </w:r>
      <w:r w:rsidR="00617253">
        <w:rPr>
          <w:rFonts w:ascii="Gill Sans MT" w:hAnsi="Gill Sans MT"/>
          <w:bCs/>
          <w:color w:val="000000"/>
          <w:sz w:val="20"/>
          <w:szCs w:val="20"/>
          <w:highlight w:val="green"/>
        </w:rPr>
        <w:t xml:space="preserve">PBF program </w:t>
      </w:r>
      <w:r w:rsidR="00C302B7" w:rsidRPr="00C302B7">
        <w:rPr>
          <w:rFonts w:ascii="Gill Sans MT" w:hAnsi="Gill Sans MT"/>
          <w:bCs/>
          <w:color w:val="000000"/>
          <w:sz w:val="20"/>
          <w:szCs w:val="20"/>
          <w:highlight w:val="green"/>
        </w:rPr>
        <w:t xml:space="preserve">had clear implementation </w:t>
      </w:r>
      <w:r w:rsidR="006224F3">
        <w:rPr>
          <w:rFonts w:ascii="Gill Sans MT" w:hAnsi="Gill Sans MT"/>
          <w:bCs/>
          <w:color w:val="000000"/>
          <w:sz w:val="20"/>
          <w:szCs w:val="20"/>
          <w:highlight w:val="green"/>
        </w:rPr>
        <w:t xml:space="preserve">approach, with </w:t>
      </w:r>
      <w:r w:rsidR="00C302B7" w:rsidRPr="00C302B7">
        <w:rPr>
          <w:rFonts w:ascii="Gill Sans MT" w:hAnsi="Gill Sans MT"/>
          <w:bCs/>
          <w:color w:val="000000"/>
          <w:sz w:val="20"/>
          <w:szCs w:val="20"/>
          <w:highlight w:val="green"/>
        </w:rPr>
        <w:t>a built-in flexibility, offering a range of response options based on real-time needs and priorities on the ground, as they evolved. This allowed the project to adjust to climatic vagaries, needs and coverage by the partners, as well as fill critical gaps in assistance</w:t>
      </w:r>
      <w:r w:rsidR="006224F3">
        <w:rPr>
          <w:rFonts w:ascii="Gill Sans MT" w:hAnsi="Gill Sans MT"/>
          <w:bCs/>
          <w:color w:val="000000"/>
          <w:sz w:val="20"/>
          <w:szCs w:val="20"/>
          <w:highlight w:val="green"/>
        </w:rPr>
        <w:t xml:space="preserve"> when it was needed most</w:t>
      </w:r>
      <w:r w:rsidR="00C302B7" w:rsidRPr="00C302B7">
        <w:rPr>
          <w:rFonts w:ascii="Gill Sans MT" w:hAnsi="Gill Sans MT"/>
          <w:bCs/>
          <w:color w:val="000000"/>
          <w:sz w:val="20"/>
          <w:szCs w:val="20"/>
          <w:highlight w:val="green"/>
        </w:rPr>
        <w:t>.</w:t>
      </w:r>
      <w:r w:rsidR="00C302B7" w:rsidRPr="00C302B7">
        <w:rPr>
          <w:rFonts w:ascii="Gill Sans MT" w:hAnsi="Gill Sans MT"/>
          <w:bCs/>
          <w:color w:val="000000"/>
          <w:sz w:val="20"/>
          <w:szCs w:val="20"/>
        </w:rPr>
        <w:t xml:space="preserve"> </w:t>
      </w:r>
      <w:r w:rsidR="002813A8" w:rsidRPr="002813A8">
        <w:rPr>
          <w:rFonts w:ascii="Gill Sans MT" w:hAnsi="Gill Sans MT"/>
          <w:color w:val="000000"/>
          <w:sz w:val="20"/>
          <w:szCs w:val="20"/>
        </w:rPr>
        <w:t>Part of the flexibility was the construction of shallow wells</w:t>
      </w:r>
      <w:r w:rsidR="00C46FE6">
        <w:rPr>
          <w:rFonts w:ascii="Gill Sans MT" w:hAnsi="Gill Sans MT"/>
          <w:color w:val="000000"/>
          <w:sz w:val="20"/>
          <w:szCs w:val="20"/>
        </w:rPr>
        <w:t xml:space="preserve"> in different </w:t>
      </w:r>
      <w:r w:rsidR="00C46FE6" w:rsidRPr="00C302B7">
        <w:rPr>
          <w:rFonts w:ascii="Gill Sans MT" w:hAnsi="Gill Sans MT"/>
          <w:color w:val="000000"/>
          <w:sz w:val="20"/>
          <w:szCs w:val="20"/>
          <w:highlight w:val="green"/>
        </w:rPr>
        <w:t>IDP</w:t>
      </w:r>
      <w:r w:rsidR="006224F3">
        <w:rPr>
          <w:rFonts w:ascii="Gill Sans MT" w:hAnsi="Gill Sans MT"/>
          <w:color w:val="000000"/>
          <w:sz w:val="20"/>
          <w:szCs w:val="20"/>
          <w:highlight w:val="green"/>
        </w:rPr>
        <w:t xml:space="preserve"> settlements </w:t>
      </w:r>
      <w:r w:rsidR="006224F3">
        <w:rPr>
          <w:rFonts w:ascii="Gill Sans MT" w:hAnsi="Gill Sans MT"/>
          <w:color w:val="000000"/>
          <w:sz w:val="20"/>
          <w:szCs w:val="20"/>
          <w:highlight w:val="green"/>
        </w:rPr>
        <w:lastRenderedPageBreak/>
        <w:t xml:space="preserve">to cater for their </w:t>
      </w:r>
      <w:r w:rsidR="00C46FE6" w:rsidRPr="00C302B7">
        <w:rPr>
          <w:rFonts w:ascii="Gill Sans MT" w:hAnsi="Gill Sans MT"/>
          <w:color w:val="000000"/>
          <w:sz w:val="20"/>
          <w:szCs w:val="20"/>
          <w:highlight w:val="green"/>
        </w:rPr>
        <w:t>immediate needs without undermining the overall objectives of the PBF project</w:t>
      </w:r>
      <w:r w:rsidR="002813A8" w:rsidRPr="00C302B7">
        <w:rPr>
          <w:rFonts w:ascii="Gill Sans MT" w:hAnsi="Gill Sans MT"/>
          <w:color w:val="000000"/>
          <w:sz w:val="20"/>
          <w:szCs w:val="20"/>
          <w:highlight w:val="green"/>
        </w:rPr>
        <w:t xml:space="preserve">. </w:t>
      </w:r>
      <w:r w:rsidR="00C46FE6" w:rsidRPr="00C302B7">
        <w:rPr>
          <w:rFonts w:ascii="Gill Sans MT" w:hAnsi="Gill Sans MT"/>
          <w:color w:val="000000"/>
          <w:sz w:val="20"/>
          <w:szCs w:val="20"/>
          <w:highlight w:val="green"/>
        </w:rPr>
        <w:t>The evaluation team noted that some of the</w:t>
      </w:r>
      <w:r w:rsidR="006224F3">
        <w:rPr>
          <w:rFonts w:ascii="Gill Sans MT" w:hAnsi="Gill Sans MT"/>
          <w:color w:val="000000"/>
          <w:sz w:val="20"/>
          <w:szCs w:val="20"/>
          <w:highlight w:val="green"/>
        </w:rPr>
        <w:t>se</w:t>
      </w:r>
      <w:r w:rsidR="00C46FE6" w:rsidRPr="00C302B7">
        <w:rPr>
          <w:rFonts w:ascii="Gill Sans MT" w:hAnsi="Gill Sans MT"/>
          <w:color w:val="000000"/>
          <w:sz w:val="20"/>
          <w:szCs w:val="20"/>
          <w:highlight w:val="green"/>
        </w:rPr>
        <w:t xml:space="preserve"> unplanned project activities had not only alleviated beneficiary community needs but have had a complementary role in the achievement of peace building amongst the various communities i.e. returnees, IDPs and the host population. For instance, one of the key drivers of conflict </w:t>
      </w:r>
      <w:r w:rsidR="006224F3">
        <w:rPr>
          <w:rFonts w:ascii="Gill Sans MT" w:hAnsi="Gill Sans MT"/>
          <w:color w:val="000000"/>
          <w:sz w:val="20"/>
          <w:szCs w:val="20"/>
          <w:highlight w:val="green"/>
        </w:rPr>
        <w:t>among communities in Somalia is</w:t>
      </w:r>
      <w:r w:rsidR="00C46FE6" w:rsidRPr="00C302B7">
        <w:rPr>
          <w:rFonts w:ascii="Gill Sans MT" w:hAnsi="Gill Sans MT"/>
          <w:color w:val="000000"/>
          <w:sz w:val="20"/>
          <w:szCs w:val="20"/>
          <w:highlight w:val="green"/>
        </w:rPr>
        <w:t xml:space="preserve"> dispute over resources such as water; therefore the project’s flexibility to allow for the provision of water infrastructure was seen as a notable unintended impact of the project.</w:t>
      </w:r>
      <w:r w:rsidR="00C46FE6">
        <w:rPr>
          <w:rFonts w:ascii="Gill Sans MT" w:hAnsi="Gill Sans MT"/>
          <w:color w:val="000000"/>
          <w:sz w:val="20"/>
          <w:szCs w:val="20"/>
        </w:rPr>
        <w:t xml:space="preserve"> </w:t>
      </w:r>
      <w:r w:rsidR="006224F3" w:rsidRPr="006224F3">
        <w:rPr>
          <w:rFonts w:ascii="Gill Sans MT" w:hAnsi="Gill Sans MT"/>
          <w:color w:val="000000"/>
          <w:sz w:val="20"/>
          <w:szCs w:val="20"/>
          <w:highlight w:val="green"/>
        </w:rPr>
        <w:t>Given the unpredictable cycle of rainy/dry seasons</w:t>
      </w:r>
      <w:r w:rsidR="006224F3">
        <w:rPr>
          <w:rFonts w:ascii="Gill Sans MT" w:hAnsi="Gill Sans MT"/>
          <w:color w:val="000000"/>
          <w:sz w:val="20"/>
          <w:szCs w:val="20"/>
          <w:highlight w:val="green"/>
        </w:rPr>
        <w:t xml:space="preserve"> in the country and the fluidity of the general humanitarian environment, </w:t>
      </w:r>
      <w:r w:rsidR="006224F3" w:rsidRPr="006224F3">
        <w:rPr>
          <w:rFonts w:ascii="Gill Sans MT" w:hAnsi="Gill Sans MT"/>
          <w:color w:val="000000"/>
          <w:sz w:val="20"/>
          <w:szCs w:val="20"/>
          <w:highlight w:val="green"/>
        </w:rPr>
        <w:t xml:space="preserve">this programmatic flexibility also allowed for better targeting and prioritization of the project interventions to respond more effectively to the evolving immediate and recovery needs that could result from the unpredictability </w:t>
      </w:r>
      <w:r w:rsidR="006224F3">
        <w:rPr>
          <w:rFonts w:ascii="Gill Sans MT" w:hAnsi="Gill Sans MT"/>
          <w:color w:val="000000"/>
          <w:sz w:val="20"/>
          <w:szCs w:val="20"/>
          <w:highlight w:val="green"/>
        </w:rPr>
        <w:t xml:space="preserve">of the humanitarian context in the region. </w:t>
      </w:r>
    </w:p>
    <w:p w14:paraId="4EBEE0F1" w14:textId="77777777" w:rsidR="005F591F" w:rsidRPr="006224F3" w:rsidRDefault="005F591F" w:rsidP="00230515">
      <w:pPr>
        <w:widowControl w:val="0"/>
        <w:autoSpaceDE w:val="0"/>
        <w:autoSpaceDN w:val="0"/>
        <w:adjustRightInd w:val="0"/>
        <w:spacing w:line="276" w:lineRule="auto"/>
        <w:jc w:val="both"/>
        <w:rPr>
          <w:rFonts w:ascii="Gill Sans MT" w:hAnsi="Gill Sans MT"/>
          <w:bCs/>
          <w:color w:val="000000"/>
          <w:sz w:val="20"/>
          <w:szCs w:val="20"/>
        </w:rPr>
      </w:pPr>
    </w:p>
    <w:p w14:paraId="68F5107C" w14:textId="0BC86FAC" w:rsidR="00AA2A2F" w:rsidRPr="00AA2A2F" w:rsidRDefault="006224F3" w:rsidP="00AA2A2F">
      <w:pPr>
        <w:widowControl w:val="0"/>
        <w:autoSpaceDE w:val="0"/>
        <w:autoSpaceDN w:val="0"/>
        <w:adjustRightInd w:val="0"/>
        <w:spacing w:line="276" w:lineRule="auto"/>
        <w:jc w:val="both"/>
        <w:rPr>
          <w:rFonts w:ascii="Gill Sans MT" w:hAnsi="Gill Sans MT"/>
          <w:bCs/>
          <w:sz w:val="20"/>
          <w:szCs w:val="20"/>
        </w:rPr>
      </w:pPr>
      <w:r>
        <w:rPr>
          <w:rFonts w:ascii="Gill Sans MT" w:hAnsi="Gill Sans MT"/>
          <w:color w:val="000000"/>
          <w:sz w:val="20"/>
          <w:szCs w:val="20"/>
        </w:rPr>
        <w:t>Furthermore, t</w:t>
      </w:r>
      <w:r w:rsidR="00015EE6" w:rsidRPr="00B62036">
        <w:rPr>
          <w:rFonts w:ascii="Gill Sans MT" w:hAnsi="Gill Sans MT"/>
          <w:color w:val="000000"/>
          <w:sz w:val="20"/>
          <w:szCs w:val="20"/>
        </w:rPr>
        <w:t>he intervention</w:t>
      </w:r>
      <w:r w:rsidR="00576CA6" w:rsidRPr="00B62036">
        <w:rPr>
          <w:rFonts w:ascii="Gill Sans MT" w:hAnsi="Gill Sans MT"/>
          <w:color w:val="000000"/>
          <w:sz w:val="20"/>
          <w:szCs w:val="20"/>
        </w:rPr>
        <w:t xml:space="preserve"> </w:t>
      </w:r>
      <w:r w:rsidR="005F591F" w:rsidRPr="005F591F">
        <w:rPr>
          <w:rFonts w:ascii="Gill Sans MT" w:hAnsi="Gill Sans MT"/>
          <w:color w:val="000000"/>
          <w:sz w:val="20"/>
          <w:szCs w:val="20"/>
          <w:highlight w:val="green"/>
        </w:rPr>
        <w:t>successful at adapting to these challenges and some of the partners</w:t>
      </w:r>
      <w:r w:rsidR="005F591F">
        <w:rPr>
          <w:rFonts w:ascii="Gill Sans MT" w:hAnsi="Gill Sans MT"/>
          <w:color w:val="000000"/>
          <w:sz w:val="20"/>
          <w:szCs w:val="20"/>
          <w:highlight w:val="green"/>
        </w:rPr>
        <w:t xml:space="preserve"> either</w:t>
      </w:r>
      <w:r w:rsidR="005F591F" w:rsidRPr="005F591F">
        <w:rPr>
          <w:rFonts w:ascii="Gill Sans MT" w:hAnsi="Gill Sans MT"/>
          <w:color w:val="000000"/>
          <w:sz w:val="20"/>
          <w:szCs w:val="20"/>
          <w:highlight w:val="green"/>
        </w:rPr>
        <w:t xml:space="preserve"> re-programed</w:t>
      </w:r>
      <w:r w:rsidR="005F591F">
        <w:rPr>
          <w:rFonts w:ascii="Gill Sans MT" w:hAnsi="Gill Sans MT"/>
          <w:color w:val="000000"/>
          <w:sz w:val="20"/>
          <w:szCs w:val="20"/>
          <w:highlight w:val="green"/>
        </w:rPr>
        <w:t xml:space="preserve"> or aligned their planned activities due to the prevailing conditions.</w:t>
      </w:r>
      <w:r w:rsidR="005F591F" w:rsidRPr="005F591F">
        <w:rPr>
          <w:rFonts w:ascii="Gill Sans MT" w:hAnsi="Gill Sans MT"/>
          <w:color w:val="000000"/>
          <w:sz w:val="20"/>
          <w:szCs w:val="20"/>
          <w:highlight w:val="green"/>
        </w:rPr>
        <w:t xml:space="preserve"> For instance,</w:t>
      </w:r>
      <w:r w:rsidR="005F591F" w:rsidRPr="005F591F">
        <w:rPr>
          <w:rFonts w:ascii="Gill Sans MT" w:eastAsia="Calibri" w:hAnsi="Gill Sans MT"/>
          <w:sz w:val="20"/>
          <w:szCs w:val="20"/>
          <w:highlight w:val="green"/>
        </w:rPr>
        <w:t xml:space="preserve"> due to the increased internal displacement (triggered by drought in particular), UNHCR used the funds committed under the PRMN component of PBF (Indicator 2.1.2 # of returnees recorded and tracked in PRMN as successfully integrated and coexisting well with host communities for 3000 PoCs) towards tracking 244,000 IDPs in 261 IDP sites for better programming. There was also re-alignment of funds to address immediate water needs in Baidoa.</w:t>
      </w:r>
      <w:r w:rsidR="005F591F" w:rsidRPr="005F591F">
        <w:rPr>
          <w:rFonts w:ascii="Gill Sans MT" w:eastAsia="Calibri" w:hAnsi="Gill Sans MT"/>
          <w:bCs/>
          <w:sz w:val="20"/>
          <w:szCs w:val="20"/>
          <w:highlight w:val="green"/>
        </w:rPr>
        <w:t xml:space="preserve"> Through PBF program activities 21 water points was either rehabilitated or constructed thus contributed to increased access of water to affected persons of concerns in Baidoa. Besides, the PBF program activities have enabled Education in Emergencies response in 14 schools in Baidoa, reaching more children than initially targeted through construction of temporary learning spaces and distribution of learning and recreational materials. In addition, </w:t>
      </w:r>
      <w:r w:rsidR="005F591F" w:rsidRPr="005F591F">
        <w:rPr>
          <w:rFonts w:ascii="Gill Sans MT" w:eastAsia="Calibri" w:hAnsi="Gill Sans MT"/>
          <w:sz w:val="20"/>
          <w:szCs w:val="20"/>
          <w:highlight w:val="green"/>
        </w:rPr>
        <w:t>the drought situation in Somalia in general and Baidoa in particular delayed the commencement of the agricultural inputs distribution by FAO. The targeted beneficiaries for farming have returned to the host communities after the onset of the Gu rains (April-July 2017) as such FAO did not find it technically appropriate to target the beneficiaries with agricultural and livestock inputs during Gu season. As a result, FAO reprogramed its activities to target the returnees and host communities during the oncoming Deyr season (October- December).</w:t>
      </w:r>
      <w:r w:rsidR="005F591F" w:rsidRPr="005F591F">
        <w:rPr>
          <w:rFonts w:ascii="Gill Sans MT" w:eastAsia="Calibri" w:hAnsi="Gill Sans MT"/>
          <w:sz w:val="20"/>
          <w:szCs w:val="20"/>
        </w:rPr>
        <w:t xml:space="preserve"> </w:t>
      </w:r>
    </w:p>
    <w:p w14:paraId="2370BF1A" w14:textId="77777777" w:rsidR="005F591F" w:rsidRDefault="005F591F" w:rsidP="00230515">
      <w:pPr>
        <w:pStyle w:val="Heading3"/>
        <w:jc w:val="both"/>
        <w:rPr>
          <w:rFonts w:ascii="Gill Sans MT" w:hAnsi="Gill Sans MT"/>
          <w:sz w:val="20"/>
          <w:szCs w:val="20"/>
          <w:lang w:val="en-GB"/>
        </w:rPr>
      </w:pPr>
      <w:bookmarkStart w:id="30" w:name="_Toc419359865"/>
    </w:p>
    <w:p w14:paraId="5839F38F" w14:textId="73B08E8B" w:rsidR="00F10B90" w:rsidRPr="00B62036" w:rsidRDefault="004D4062" w:rsidP="00230515">
      <w:pPr>
        <w:pStyle w:val="Heading3"/>
        <w:jc w:val="both"/>
        <w:rPr>
          <w:rFonts w:ascii="Gill Sans MT" w:hAnsi="Gill Sans MT"/>
          <w:sz w:val="20"/>
          <w:szCs w:val="20"/>
          <w:lang w:val="en-GB"/>
        </w:rPr>
      </w:pPr>
      <w:r w:rsidRPr="00B62036">
        <w:rPr>
          <w:rFonts w:ascii="Gill Sans MT" w:hAnsi="Gill Sans MT"/>
          <w:sz w:val="20"/>
          <w:szCs w:val="20"/>
          <w:lang w:val="en-GB"/>
        </w:rPr>
        <w:t>3.3.3 Peace Building Component</w:t>
      </w:r>
      <w:bookmarkEnd w:id="30"/>
    </w:p>
    <w:p w14:paraId="575951AC" w14:textId="61C99AFB" w:rsidR="004D4062" w:rsidRDefault="004D4062" w:rsidP="00230515">
      <w:pPr>
        <w:tabs>
          <w:tab w:val="left" w:pos="3968"/>
        </w:tabs>
        <w:spacing w:line="276" w:lineRule="auto"/>
        <w:jc w:val="both"/>
        <w:rPr>
          <w:rFonts w:ascii="Gill Sans MT" w:hAnsi="Gill Sans MT"/>
          <w:sz w:val="20"/>
          <w:szCs w:val="20"/>
        </w:rPr>
      </w:pPr>
      <w:r w:rsidRPr="00B62036">
        <w:rPr>
          <w:rFonts w:ascii="Gill Sans MT" w:hAnsi="Gill Sans MT"/>
          <w:sz w:val="20"/>
          <w:szCs w:val="20"/>
        </w:rPr>
        <w:t xml:space="preserve">Under outcome 2, the project envisaged that Somalia returnees in Baidoa peacefully co-existing with their host communities and contributing to local development. </w:t>
      </w:r>
      <w:r w:rsidR="002813A8" w:rsidRPr="002813A8">
        <w:rPr>
          <w:rFonts w:ascii="Gill Sans MT" w:hAnsi="Gill Sans MT"/>
          <w:sz w:val="20"/>
          <w:szCs w:val="20"/>
        </w:rPr>
        <w:t>There were seminars conducted on peace building in Baidoa lead by MORDA</w:t>
      </w:r>
      <w:r w:rsidR="000204BF">
        <w:rPr>
          <w:rFonts w:ascii="Gill Sans MT" w:hAnsi="Gill Sans MT"/>
          <w:sz w:val="20"/>
          <w:szCs w:val="20"/>
        </w:rPr>
        <w:t xml:space="preserve"> while </w:t>
      </w:r>
      <w:r w:rsidRPr="00B62036">
        <w:rPr>
          <w:rFonts w:ascii="Gill Sans MT" w:hAnsi="Gill Sans MT"/>
          <w:sz w:val="20"/>
          <w:szCs w:val="20"/>
        </w:rPr>
        <w:t xml:space="preserve">RET International trained peace ambassadors in Dadaab for potential returnees. FGDs with the </w:t>
      </w:r>
      <w:r w:rsidR="00555A3A" w:rsidRPr="00B62036">
        <w:rPr>
          <w:rFonts w:ascii="Gill Sans MT" w:hAnsi="Gill Sans MT"/>
          <w:sz w:val="20"/>
          <w:szCs w:val="20"/>
        </w:rPr>
        <w:t>peace</w:t>
      </w:r>
      <w:r w:rsidRPr="00B62036">
        <w:rPr>
          <w:rFonts w:ascii="Gill Sans MT" w:hAnsi="Gill Sans MT"/>
          <w:sz w:val="20"/>
          <w:szCs w:val="20"/>
        </w:rPr>
        <w:t xml:space="preserve"> ambassadors (elders) confirmed that RET International trained them but the elders reported that the vast majority of them are currently based in Dadaab. This was further confirmed by the </w:t>
      </w:r>
      <w:r w:rsidR="00555A3A" w:rsidRPr="00B62036">
        <w:rPr>
          <w:rFonts w:ascii="Gill Sans MT" w:hAnsi="Gill Sans MT"/>
          <w:sz w:val="20"/>
          <w:szCs w:val="20"/>
        </w:rPr>
        <w:t>quantitative</w:t>
      </w:r>
      <w:r w:rsidRPr="00B62036">
        <w:rPr>
          <w:rFonts w:ascii="Gill Sans MT" w:hAnsi="Gill Sans MT"/>
          <w:sz w:val="20"/>
          <w:szCs w:val="20"/>
        </w:rPr>
        <w:t xml:space="preserve"> analysis which shows that </w:t>
      </w:r>
      <w:r w:rsidR="00BF53C1" w:rsidRPr="00B62036">
        <w:rPr>
          <w:rFonts w:ascii="Gill Sans MT" w:hAnsi="Gill Sans MT"/>
          <w:sz w:val="20"/>
          <w:szCs w:val="20"/>
        </w:rPr>
        <w:t>the vast majority (</w:t>
      </w:r>
      <w:r w:rsidR="00555A3A" w:rsidRPr="00B62036">
        <w:rPr>
          <w:rFonts w:ascii="Gill Sans MT" w:hAnsi="Gill Sans MT"/>
          <w:sz w:val="20"/>
          <w:szCs w:val="20"/>
          <w:lang w:val="en-GB"/>
        </w:rPr>
        <w:t>91.5%</w:t>
      </w:r>
      <w:r w:rsidR="00BF53C1" w:rsidRPr="00B62036">
        <w:rPr>
          <w:rFonts w:ascii="Gill Sans MT" w:hAnsi="Gill Sans MT"/>
          <w:sz w:val="20"/>
          <w:szCs w:val="20"/>
          <w:lang w:val="en-GB"/>
        </w:rPr>
        <w:t>)</w:t>
      </w:r>
      <w:r w:rsidR="00555A3A" w:rsidRPr="00B62036">
        <w:rPr>
          <w:rFonts w:ascii="Gill Sans MT" w:hAnsi="Gill Sans MT"/>
          <w:sz w:val="20"/>
          <w:szCs w:val="20"/>
          <w:lang w:val="en-GB"/>
        </w:rPr>
        <w:t xml:space="preserve"> of </w:t>
      </w:r>
      <w:r w:rsidR="00BF53C1" w:rsidRPr="00B62036">
        <w:rPr>
          <w:rFonts w:ascii="Gill Sans MT" w:hAnsi="Gill Sans MT"/>
          <w:sz w:val="20"/>
          <w:szCs w:val="20"/>
          <w:lang w:val="en-GB"/>
        </w:rPr>
        <w:t xml:space="preserve">the </w:t>
      </w:r>
      <w:r w:rsidR="00555A3A" w:rsidRPr="00B62036">
        <w:rPr>
          <w:rFonts w:ascii="Gill Sans MT" w:hAnsi="Gill Sans MT"/>
          <w:sz w:val="20"/>
          <w:szCs w:val="20"/>
          <w:lang w:val="en-GB"/>
        </w:rPr>
        <w:t>returnee</w:t>
      </w:r>
      <w:r w:rsidR="00BF53C1" w:rsidRPr="00B62036">
        <w:rPr>
          <w:rFonts w:ascii="Gill Sans MT" w:hAnsi="Gill Sans MT"/>
          <w:sz w:val="20"/>
          <w:szCs w:val="20"/>
          <w:lang w:val="en-GB"/>
        </w:rPr>
        <w:t>s</w:t>
      </w:r>
      <w:r w:rsidR="00555A3A" w:rsidRPr="00B62036">
        <w:rPr>
          <w:rFonts w:ascii="Gill Sans MT" w:hAnsi="Gill Sans MT"/>
          <w:sz w:val="20"/>
          <w:szCs w:val="20"/>
          <w:lang w:val="en-GB"/>
        </w:rPr>
        <w:t xml:space="preserve"> are of the view that the training on peace building and conflict resolutions has not helped them participate in democratic governance and reconciliation for they do not have any role in the government or security issues</w:t>
      </w:r>
      <w:r w:rsidR="00BF53C1" w:rsidRPr="00B62036">
        <w:rPr>
          <w:rFonts w:ascii="Gill Sans MT" w:hAnsi="Gill Sans MT"/>
          <w:sz w:val="20"/>
          <w:szCs w:val="20"/>
          <w:lang w:val="en-GB"/>
        </w:rPr>
        <w:t xml:space="preserve"> at present</w:t>
      </w:r>
      <w:r w:rsidR="00555A3A" w:rsidRPr="00B62036">
        <w:rPr>
          <w:rFonts w:ascii="Gill Sans MT" w:hAnsi="Gill Sans MT"/>
          <w:sz w:val="20"/>
          <w:szCs w:val="20"/>
          <w:lang w:val="en-GB"/>
        </w:rPr>
        <w:t xml:space="preserve">. </w:t>
      </w:r>
      <w:r w:rsidR="00BF53C1" w:rsidRPr="00B62036">
        <w:rPr>
          <w:rFonts w:ascii="Gill Sans MT" w:hAnsi="Gill Sans MT"/>
          <w:sz w:val="20"/>
          <w:szCs w:val="20"/>
          <w:lang w:val="en-GB"/>
        </w:rPr>
        <w:t xml:space="preserve">However, </w:t>
      </w:r>
      <w:r w:rsidR="00555A3A" w:rsidRPr="00B62036">
        <w:rPr>
          <w:rFonts w:ascii="Gill Sans MT" w:hAnsi="Gill Sans MT"/>
          <w:sz w:val="20"/>
          <w:szCs w:val="20"/>
          <w:lang w:val="en-GB"/>
        </w:rPr>
        <w:t xml:space="preserve">8.5% </w:t>
      </w:r>
      <w:r w:rsidR="00BF53C1" w:rsidRPr="00B62036">
        <w:rPr>
          <w:rFonts w:ascii="Gill Sans MT" w:hAnsi="Gill Sans MT"/>
          <w:sz w:val="20"/>
          <w:szCs w:val="20"/>
          <w:lang w:val="en-GB"/>
        </w:rPr>
        <w:t xml:space="preserve">reported to </w:t>
      </w:r>
      <w:r w:rsidR="00555A3A" w:rsidRPr="00B62036">
        <w:rPr>
          <w:rFonts w:ascii="Gill Sans MT" w:hAnsi="Gill Sans MT"/>
          <w:sz w:val="20"/>
          <w:szCs w:val="20"/>
          <w:lang w:val="en-GB"/>
        </w:rPr>
        <w:t>have benefited from the training as camp leaders/solution committee</w:t>
      </w:r>
      <w:r w:rsidR="00BF53C1" w:rsidRPr="00B62036">
        <w:rPr>
          <w:rFonts w:ascii="Gill Sans MT" w:hAnsi="Gill Sans MT"/>
          <w:sz w:val="20"/>
          <w:szCs w:val="20"/>
          <w:lang w:val="en-GB"/>
        </w:rPr>
        <w:t>, which is way below the targeted outcome for this activity</w:t>
      </w:r>
      <w:r w:rsidR="00555A3A" w:rsidRPr="00B62036">
        <w:rPr>
          <w:rFonts w:ascii="Gill Sans MT" w:hAnsi="Gill Sans MT"/>
          <w:sz w:val="20"/>
          <w:szCs w:val="20"/>
        </w:rPr>
        <w:t>.</w:t>
      </w:r>
    </w:p>
    <w:p w14:paraId="46F0487B" w14:textId="77777777" w:rsidR="00742607" w:rsidRPr="00B62036" w:rsidRDefault="00742607" w:rsidP="00230515">
      <w:pPr>
        <w:tabs>
          <w:tab w:val="left" w:pos="3968"/>
        </w:tabs>
        <w:spacing w:line="276" w:lineRule="auto"/>
        <w:jc w:val="both"/>
        <w:rPr>
          <w:rFonts w:ascii="Gill Sans MT" w:hAnsi="Gill Sans MT"/>
          <w:sz w:val="20"/>
          <w:szCs w:val="20"/>
          <w:lang w:val="en-GB"/>
        </w:rPr>
      </w:pPr>
    </w:p>
    <w:p w14:paraId="684B111D" w14:textId="22DC8225" w:rsidR="002C3571" w:rsidRPr="00B62036" w:rsidRDefault="007076E9" w:rsidP="00230515">
      <w:pPr>
        <w:pStyle w:val="Caption"/>
        <w:jc w:val="both"/>
        <w:rPr>
          <w:rFonts w:ascii="Gill Sans MT" w:hAnsi="Gill Sans MT"/>
          <w:sz w:val="20"/>
          <w:szCs w:val="20"/>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5</w:t>
      </w:r>
      <w:r w:rsidR="00AF3DCE" w:rsidRPr="00B62036">
        <w:rPr>
          <w:rFonts w:ascii="Gill Sans MT" w:hAnsi="Gill Sans MT"/>
          <w:noProof/>
          <w:sz w:val="20"/>
          <w:szCs w:val="20"/>
        </w:rPr>
        <w:fldChar w:fldCharType="end"/>
      </w:r>
      <w:r w:rsidRPr="00B62036">
        <w:rPr>
          <w:rFonts w:ascii="Gill Sans MT" w:hAnsi="Gill Sans MT"/>
          <w:sz w:val="20"/>
          <w:szCs w:val="20"/>
        </w:rPr>
        <w:t xml:space="preserve"> Participation of Returnees’ Training on Peace Building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0"/>
        <w:gridCol w:w="1703"/>
        <w:gridCol w:w="1103"/>
      </w:tblGrid>
      <w:tr w:rsidR="004D4062" w:rsidRPr="00B62036" w14:paraId="3F95C2CB" w14:textId="77777777" w:rsidTr="00742607">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535" w:type="pct"/>
            <w:vMerge w:val="restart"/>
            <w:shd w:val="clear" w:color="auto" w:fill="D9D9D9" w:themeFill="background1" w:themeFillShade="D9"/>
            <w:noWrap/>
            <w:hideMark/>
          </w:tcPr>
          <w:p w14:paraId="298132CF" w14:textId="6DA7518C" w:rsidR="004D4062" w:rsidRPr="00B62036" w:rsidRDefault="004D4062"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rPr>
              <w:t xml:space="preserve">Returnee training on peace building and conflict resolutions in </w:t>
            </w:r>
            <w:r w:rsidR="00742607" w:rsidRPr="00B62036">
              <w:rPr>
                <w:rFonts w:ascii="Gill Sans MT" w:hAnsi="Gill Sans MT" w:cs="Calibri"/>
                <w:b w:val="0"/>
                <w:color w:val="000000"/>
                <w:sz w:val="20"/>
                <w:szCs w:val="20"/>
              </w:rPr>
              <w:t>Dadaab</w:t>
            </w:r>
            <w:r w:rsidRPr="00B62036">
              <w:rPr>
                <w:rFonts w:ascii="Gill Sans MT" w:hAnsi="Gill Sans MT" w:cs="Calibri"/>
                <w:b w:val="0"/>
                <w:color w:val="000000"/>
                <w:sz w:val="20"/>
                <w:szCs w:val="20"/>
              </w:rPr>
              <w:t xml:space="preserve"> improved their participation in democratic governance and reconciliation processes</w:t>
            </w:r>
          </w:p>
        </w:tc>
        <w:tc>
          <w:tcPr>
            <w:tcW w:w="1465" w:type="pct"/>
            <w:gridSpan w:val="2"/>
            <w:shd w:val="clear" w:color="auto" w:fill="D9D9D9" w:themeFill="background1" w:themeFillShade="D9"/>
            <w:noWrap/>
          </w:tcPr>
          <w:p w14:paraId="5C86EF43" w14:textId="77777777" w:rsidR="004D4062" w:rsidRPr="00B62036" w:rsidRDefault="004D4062" w:rsidP="0023051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Responses</w:t>
            </w:r>
          </w:p>
        </w:tc>
      </w:tr>
      <w:tr w:rsidR="004D4062" w:rsidRPr="00B62036" w14:paraId="1664C373" w14:textId="77777777" w:rsidTr="00742607">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535" w:type="pct"/>
            <w:vMerge/>
            <w:tcBorders>
              <w:top w:val="none" w:sz="0" w:space="0" w:color="auto"/>
              <w:left w:val="none" w:sz="0" w:space="0" w:color="auto"/>
              <w:bottom w:val="none" w:sz="0" w:space="0" w:color="auto"/>
            </w:tcBorders>
            <w:shd w:val="clear" w:color="auto" w:fill="D9D9D9" w:themeFill="background1" w:themeFillShade="D9"/>
            <w:noWrap/>
          </w:tcPr>
          <w:p w14:paraId="6F5EBD56" w14:textId="77777777" w:rsidR="004D4062" w:rsidRPr="00B62036" w:rsidRDefault="004D4062" w:rsidP="00230515">
            <w:pPr>
              <w:jc w:val="both"/>
              <w:rPr>
                <w:rFonts w:ascii="Gill Sans MT" w:hAnsi="Gill Sans MT" w:cs="Calibri"/>
                <w:b w:val="0"/>
                <w:color w:val="000000"/>
                <w:sz w:val="20"/>
                <w:szCs w:val="20"/>
              </w:rPr>
            </w:pPr>
          </w:p>
        </w:tc>
        <w:tc>
          <w:tcPr>
            <w:tcW w:w="889" w:type="pct"/>
            <w:tcBorders>
              <w:top w:val="none" w:sz="0" w:space="0" w:color="auto"/>
              <w:bottom w:val="none" w:sz="0" w:space="0" w:color="auto"/>
            </w:tcBorders>
            <w:shd w:val="clear" w:color="auto" w:fill="D9D9D9" w:themeFill="background1" w:themeFillShade="D9"/>
            <w:noWrap/>
          </w:tcPr>
          <w:p w14:paraId="2092730C" w14:textId="77777777" w:rsidR="004D4062" w:rsidRPr="00B62036" w:rsidRDefault="004D4062"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N</w:t>
            </w:r>
          </w:p>
        </w:tc>
        <w:tc>
          <w:tcPr>
            <w:tcW w:w="576" w:type="pct"/>
            <w:tcBorders>
              <w:top w:val="none" w:sz="0" w:space="0" w:color="auto"/>
              <w:bottom w:val="none" w:sz="0" w:space="0" w:color="auto"/>
              <w:right w:val="none" w:sz="0" w:space="0" w:color="auto"/>
            </w:tcBorders>
            <w:shd w:val="clear" w:color="auto" w:fill="D9D9D9" w:themeFill="background1" w:themeFillShade="D9"/>
            <w:noWrap/>
          </w:tcPr>
          <w:p w14:paraId="2D544EEE" w14:textId="77777777" w:rsidR="004D4062" w:rsidRPr="00B62036" w:rsidRDefault="004D4062"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w:t>
            </w:r>
          </w:p>
        </w:tc>
      </w:tr>
      <w:tr w:rsidR="004D4062" w:rsidRPr="00B62036" w14:paraId="3EFEEB05" w14:textId="77777777" w:rsidTr="00742607">
        <w:trPr>
          <w:trHeight w:val="316"/>
        </w:trPr>
        <w:tc>
          <w:tcPr>
            <w:cnfStyle w:val="001000000000" w:firstRow="0" w:lastRow="0" w:firstColumn="1" w:lastColumn="0" w:oddVBand="0" w:evenVBand="0" w:oddHBand="0" w:evenHBand="0" w:firstRowFirstColumn="0" w:firstRowLastColumn="0" w:lastRowFirstColumn="0" w:lastRowLastColumn="0"/>
            <w:tcW w:w="3535" w:type="pct"/>
            <w:noWrap/>
            <w:hideMark/>
          </w:tcPr>
          <w:p w14:paraId="32AAD517" w14:textId="77777777" w:rsidR="004D4062" w:rsidRPr="00B62036" w:rsidRDefault="004D4062" w:rsidP="00230515">
            <w:pPr>
              <w:jc w:val="both"/>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Yes</w:t>
            </w:r>
          </w:p>
        </w:tc>
        <w:tc>
          <w:tcPr>
            <w:tcW w:w="889" w:type="pct"/>
            <w:noWrap/>
            <w:hideMark/>
          </w:tcPr>
          <w:p w14:paraId="5EBDA3AD" w14:textId="77777777" w:rsidR="004D4062" w:rsidRPr="00B62036" w:rsidRDefault="004D4062"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17</w:t>
            </w:r>
          </w:p>
        </w:tc>
        <w:tc>
          <w:tcPr>
            <w:tcW w:w="576" w:type="pct"/>
            <w:noWrap/>
            <w:hideMark/>
          </w:tcPr>
          <w:p w14:paraId="2C3D1943" w14:textId="77777777" w:rsidR="004D4062" w:rsidRPr="00B62036" w:rsidRDefault="004D4062"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8.5%</w:t>
            </w:r>
          </w:p>
        </w:tc>
      </w:tr>
      <w:tr w:rsidR="004D4062" w:rsidRPr="00B62036" w14:paraId="4CC03E96" w14:textId="77777777" w:rsidTr="00742607">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535" w:type="pct"/>
            <w:tcBorders>
              <w:top w:val="none" w:sz="0" w:space="0" w:color="auto"/>
              <w:left w:val="none" w:sz="0" w:space="0" w:color="auto"/>
              <w:bottom w:val="none" w:sz="0" w:space="0" w:color="auto"/>
            </w:tcBorders>
            <w:noWrap/>
            <w:hideMark/>
          </w:tcPr>
          <w:p w14:paraId="548AE3D3" w14:textId="77777777" w:rsidR="004D4062" w:rsidRPr="00B62036" w:rsidRDefault="004D4062" w:rsidP="00230515">
            <w:pPr>
              <w:jc w:val="both"/>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lastRenderedPageBreak/>
              <w:t>No</w:t>
            </w:r>
          </w:p>
        </w:tc>
        <w:tc>
          <w:tcPr>
            <w:tcW w:w="889" w:type="pct"/>
            <w:tcBorders>
              <w:top w:val="none" w:sz="0" w:space="0" w:color="auto"/>
              <w:bottom w:val="none" w:sz="0" w:space="0" w:color="auto"/>
            </w:tcBorders>
            <w:noWrap/>
            <w:hideMark/>
          </w:tcPr>
          <w:p w14:paraId="6F52FAA7" w14:textId="77777777" w:rsidR="004D4062" w:rsidRPr="00B62036" w:rsidRDefault="004D4062"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183</w:t>
            </w:r>
          </w:p>
        </w:tc>
        <w:tc>
          <w:tcPr>
            <w:tcW w:w="576" w:type="pct"/>
            <w:tcBorders>
              <w:top w:val="none" w:sz="0" w:space="0" w:color="auto"/>
              <w:bottom w:val="none" w:sz="0" w:space="0" w:color="auto"/>
              <w:right w:val="none" w:sz="0" w:space="0" w:color="auto"/>
            </w:tcBorders>
            <w:noWrap/>
            <w:hideMark/>
          </w:tcPr>
          <w:p w14:paraId="5D66D32D" w14:textId="77777777" w:rsidR="004D4062" w:rsidRPr="00B62036" w:rsidRDefault="004D4062"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91.5%</w:t>
            </w:r>
          </w:p>
        </w:tc>
      </w:tr>
      <w:tr w:rsidR="004D4062" w:rsidRPr="00B62036" w14:paraId="6BAD79EE" w14:textId="77777777" w:rsidTr="00742607">
        <w:trPr>
          <w:trHeight w:val="47"/>
        </w:trPr>
        <w:tc>
          <w:tcPr>
            <w:cnfStyle w:val="001000000000" w:firstRow="0" w:lastRow="0" w:firstColumn="1" w:lastColumn="0" w:oddVBand="0" w:evenVBand="0" w:oddHBand="0" w:evenHBand="0" w:firstRowFirstColumn="0" w:firstRowLastColumn="0" w:lastRowFirstColumn="0" w:lastRowLastColumn="0"/>
            <w:tcW w:w="3535" w:type="pct"/>
            <w:noWrap/>
            <w:hideMark/>
          </w:tcPr>
          <w:p w14:paraId="062DE726" w14:textId="77777777" w:rsidR="004D4062" w:rsidRPr="00B62036" w:rsidRDefault="004D4062" w:rsidP="00230515">
            <w:pPr>
              <w:jc w:val="both"/>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Total</w:t>
            </w:r>
          </w:p>
        </w:tc>
        <w:tc>
          <w:tcPr>
            <w:tcW w:w="889" w:type="pct"/>
            <w:noWrap/>
            <w:hideMark/>
          </w:tcPr>
          <w:p w14:paraId="2A094A70" w14:textId="77777777" w:rsidR="004D4062" w:rsidRPr="00B62036" w:rsidRDefault="004D4062"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200</w:t>
            </w:r>
          </w:p>
        </w:tc>
        <w:tc>
          <w:tcPr>
            <w:tcW w:w="576" w:type="pct"/>
            <w:noWrap/>
            <w:hideMark/>
          </w:tcPr>
          <w:p w14:paraId="417975EA" w14:textId="77777777" w:rsidR="004D4062" w:rsidRPr="00B62036" w:rsidRDefault="004D4062"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100%</w:t>
            </w:r>
          </w:p>
        </w:tc>
      </w:tr>
    </w:tbl>
    <w:p w14:paraId="0B196609" w14:textId="77777777" w:rsidR="00742607" w:rsidRDefault="00742607" w:rsidP="00230515">
      <w:pPr>
        <w:tabs>
          <w:tab w:val="left" w:pos="3968"/>
        </w:tabs>
        <w:spacing w:line="276" w:lineRule="auto"/>
        <w:jc w:val="both"/>
        <w:rPr>
          <w:rFonts w:ascii="Gill Sans MT" w:hAnsi="Gill Sans MT"/>
          <w:sz w:val="20"/>
          <w:szCs w:val="20"/>
          <w:lang w:val="en-GB"/>
        </w:rPr>
      </w:pPr>
    </w:p>
    <w:p w14:paraId="077D7F4C" w14:textId="298F0050" w:rsidR="00271968" w:rsidRPr="00B62036" w:rsidRDefault="00271968" w:rsidP="00230515">
      <w:pPr>
        <w:tabs>
          <w:tab w:val="left" w:pos="3968"/>
        </w:tabs>
        <w:spacing w:line="276" w:lineRule="auto"/>
        <w:jc w:val="both"/>
        <w:rPr>
          <w:rFonts w:ascii="Gill Sans MT" w:hAnsi="Gill Sans MT"/>
          <w:sz w:val="20"/>
          <w:szCs w:val="20"/>
        </w:rPr>
      </w:pPr>
      <w:r w:rsidRPr="00B62036">
        <w:rPr>
          <w:rFonts w:ascii="Gill Sans MT" w:hAnsi="Gill Sans MT"/>
          <w:sz w:val="20"/>
          <w:szCs w:val="20"/>
          <w:lang w:val="en-GB"/>
        </w:rPr>
        <w:t>Nonetheless, in Baidoa</w:t>
      </w:r>
      <w:r w:rsidR="00BF53C1" w:rsidRPr="00B62036">
        <w:rPr>
          <w:rFonts w:ascii="Gill Sans MT" w:hAnsi="Gill Sans MT"/>
          <w:sz w:val="20"/>
          <w:szCs w:val="20"/>
          <w:lang w:val="en-GB"/>
        </w:rPr>
        <w:t>,</w:t>
      </w:r>
      <w:r w:rsidRPr="00B62036">
        <w:rPr>
          <w:rFonts w:ascii="Gill Sans MT" w:hAnsi="Gill Sans MT"/>
          <w:sz w:val="20"/>
          <w:szCs w:val="20"/>
          <w:lang w:val="en-GB"/>
        </w:rPr>
        <w:t xml:space="preserve"> </w:t>
      </w:r>
      <w:r w:rsidRPr="00B62036">
        <w:rPr>
          <w:rFonts w:ascii="Gill Sans MT" w:hAnsi="Gill Sans MT"/>
          <w:sz w:val="20"/>
          <w:szCs w:val="20"/>
        </w:rPr>
        <w:t>Community Based Planning applied by all the implementing partners as the methodology and entry point for building social cohesion among returnees, IDPs and host communities in Baidoa district proved beneficial</w:t>
      </w:r>
      <w:r w:rsidR="00BF53C1" w:rsidRPr="00B62036">
        <w:rPr>
          <w:rFonts w:ascii="Gill Sans MT" w:hAnsi="Gill Sans MT"/>
          <w:sz w:val="20"/>
          <w:szCs w:val="20"/>
        </w:rPr>
        <w:t xml:space="preserve"> in promoting peaceful settling-</w:t>
      </w:r>
      <w:r w:rsidRPr="00B62036">
        <w:rPr>
          <w:rFonts w:ascii="Gill Sans MT" w:hAnsi="Gill Sans MT"/>
          <w:sz w:val="20"/>
          <w:szCs w:val="20"/>
        </w:rPr>
        <w:t>in for the returnees and cohesion among communities</w:t>
      </w:r>
      <w:r w:rsidR="00BF53C1" w:rsidRPr="00B62036">
        <w:rPr>
          <w:rFonts w:ascii="Gill Sans MT" w:hAnsi="Gill Sans MT"/>
          <w:sz w:val="20"/>
          <w:szCs w:val="20"/>
        </w:rPr>
        <w:t>/groups</w:t>
      </w:r>
      <w:r w:rsidRPr="00B62036">
        <w:rPr>
          <w:rFonts w:ascii="Gill Sans MT" w:hAnsi="Gill Sans MT"/>
          <w:sz w:val="20"/>
          <w:szCs w:val="20"/>
        </w:rPr>
        <w:t>. The community based planning/community consultations brought returnees, IDPs and host community together, contributing to their peaceful coexistence. Local leadership, IDPs and the broader existing communities in Baidoa were able to jointly negotiate and prioritize community-based projects that they will implement to improve access to basic services, security and recreation. From community feedback, it can be deduced that the process contributed to increased acceptance of IDPs and returnees by host community members thereby promoting integration and social cohesion.</w:t>
      </w:r>
      <w:r w:rsidRPr="00B62036">
        <w:rPr>
          <w:rStyle w:val="FootnoteReference"/>
          <w:rFonts w:ascii="Gill Sans MT" w:hAnsi="Gill Sans MT"/>
          <w:sz w:val="20"/>
          <w:szCs w:val="20"/>
        </w:rPr>
        <w:footnoteReference w:id="7"/>
      </w:r>
    </w:p>
    <w:p w14:paraId="6F6BDC7B" w14:textId="77777777" w:rsidR="00713898" w:rsidRPr="00B62036" w:rsidRDefault="00713898" w:rsidP="00230515">
      <w:pPr>
        <w:pStyle w:val="Default"/>
        <w:tabs>
          <w:tab w:val="left" w:pos="1440"/>
        </w:tabs>
        <w:jc w:val="both"/>
        <w:rPr>
          <w:rFonts w:ascii="Gill Sans MT" w:hAnsi="Gill Sans MT" w:cs="Calibri"/>
          <w:sz w:val="20"/>
          <w:szCs w:val="20"/>
          <w:highlight w:val="yellow"/>
        </w:rPr>
      </w:pPr>
    </w:p>
    <w:p w14:paraId="12F6892D" w14:textId="7A3E2F2A" w:rsidR="00DD7E3A" w:rsidRPr="00B62036" w:rsidRDefault="007D1889" w:rsidP="00230515">
      <w:pPr>
        <w:pStyle w:val="Heading3"/>
        <w:jc w:val="both"/>
        <w:rPr>
          <w:rFonts w:ascii="Gill Sans MT" w:hAnsi="Gill Sans MT"/>
          <w:sz w:val="20"/>
          <w:szCs w:val="20"/>
        </w:rPr>
      </w:pPr>
      <w:bookmarkStart w:id="31" w:name="_Toc419359866"/>
      <w:r w:rsidRPr="00B62036">
        <w:rPr>
          <w:rFonts w:ascii="Gill Sans MT" w:hAnsi="Gill Sans MT"/>
          <w:sz w:val="20"/>
          <w:szCs w:val="20"/>
        </w:rPr>
        <w:t xml:space="preserve">3.3.4 </w:t>
      </w:r>
      <w:r w:rsidR="00DD7E3A" w:rsidRPr="00B62036">
        <w:rPr>
          <w:rFonts w:ascii="Gill Sans MT" w:hAnsi="Gill Sans MT"/>
          <w:sz w:val="20"/>
          <w:szCs w:val="20"/>
        </w:rPr>
        <w:t>Beneficiary Selection</w:t>
      </w:r>
      <w:bookmarkEnd w:id="31"/>
    </w:p>
    <w:p w14:paraId="298F8109" w14:textId="4A63075E" w:rsidR="00647744" w:rsidRPr="00B62036" w:rsidRDefault="00BF53C1"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Although</w:t>
      </w:r>
      <w:r w:rsidR="00194A9E" w:rsidRPr="00B62036">
        <w:rPr>
          <w:rFonts w:ascii="Gill Sans MT" w:hAnsi="Gill Sans MT" w:cs="Calibri"/>
          <w:sz w:val="20"/>
          <w:szCs w:val="20"/>
        </w:rPr>
        <w:t xml:space="preserve"> the </w:t>
      </w:r>
      <w:r w:rsidR="00617253">
        <w:rPr>
          <w:rFonts w:ascii="Gill Sans MT" w:hAnsi="Gill Sans MT" w:cs="Calibri"/>
          <w:sz w:val="20"/>
          <w:szCs w:val="20"/>
        </w:rPr>
        <w:t xml:space="preserve">PBF program </w:t>
      </w:r>
      <w:r w:rsidR="00194A9E" w:rsidRPr="00B62036">
        <w:rPr>
          <w:rFonts w:ascii="Gill Sans MT" w:hAnsi="Gill Sans MT" w:cs="Calibri"/>
          <w:sz w:val="20"/>
          <w:szCs w:val="20"/>
        </w:rPr>
        <w:t xml:space="preserve">did not provide a harmonized approach for beneficiary selection process, PUNOs and respective partners adopted varied selection methods. The various mode of selection </w:t>
      </w:r>
      <w:r w:rsidRPr="00B62036">
        <w:rPr>
          <w:rFonts w:ascii="Gill Sans MT" w:hAnsi="Gill Sans MT" w:cs="Calibri"/>
          <w:sz w:val="20"/>
          <w:szCs w:val="20"/>
        </w:rPr>
        <w:t xml:space="preserve">adopted by partners </w:t>
      </w:r>
      <w:r w:rsidR="002636B4">
        <w:rPr>
          <w:rFonts w:ascii="Gill Sans MT" w:hAnsi="Gill Sans MT" w:cs="Calibri"/>
          <w:sz w:val="20"/>
          <w:szCs w:val="20"/>
        </w:rPr>
        <w:t xml:space="preserve">include; engagement with </w:t>
      </w:r>
      <w:r w:rsidR="00194A9E" w:rsidRPr="00B62036">
        <w:rPr>
          <w:rFonts w:ascii="Gill Sans MT" w:hAnsi="Gill Sans MT" w:cs="Calibri"/>
          <w:sz w:val="20"/>
          <w:szCs w:val="20"/>
        </w:rPr>
        <w:t xml:space="preserve">MORDA and community leaders to identify beneficiaries based on </w:t>
      </w:r>
      <w:r w:rsidRPr="00B62036">
        <w:rPr>
          <w:rFonts w:ascii="Gill Sans MT" w:hAnsi="Gill Sans MT" w:cs="Calibri"/>
          <w:sz w:val="20"/>
          <w:szCs w:val="20"/>
        </w:rPr>
        <w:t>a</w:t>
      </w:r>
      <w:r w:rsidR="00194A9E" w:rsidRPr="00B62036">
        <w:rPr>
          <w:rFonts w:ascii="Gill Sans MT" w:hAnsi="Gill Sans MT" w:cs="Calibri"/>
          <w:sz w:val="20"/>
          <w:szCs w:val="20"/>
        </w:rPr>
        <w:t xml:space="preserve"> set </w:t>
      </w:r>
      <w:r w:rsidRPr="00B62036">
        <w:rPr>
          <w:rFonts w:ascii="Gill Sans MT" w:hAnsi="Gill Sans MT" w:cs="Calibri"/>
          <w:sz w:val="20"/>
          <w:szCs w:val="20"/>
        </w:rPr>
        <w:t xml:space="preserve">vulnerability </w:t>
      </w:r>
      <w:r w:rsidR="00194A9E" w:rsidRPr="00B62036">
        <w:rPr>
          <w:rFonts w:ascii="Gill Sans MT" w:hAnsi="Gill Sans MT" w:cs="Calibri"/>
          <w:sz w:val="20"/>
          <w:szCs w:val="20"/>
        </w:rPr>
        <w:t>criteria w</w:t>
      </w:r>
      <w:r w:rsidRPr="00B62036">
        <w:rPr>
          <w:rFonts w:ascii="Gill Sans MT" w:hAnsi="Gill Sans MT" w:cs="Calibri"/>
          <w:sz w:val="20"/>
          <w:szCs w:val="20"/>
        </w:rPr>
        <w:t>hile taking a supervisory role. S</w:t>
      </w:r>
      <w:r w:rsidR="00194A9E" w:rsidRPr="00B62036">
        <w:rPr>
          <w:rFonts w:ascii="Gill Sans MT" w:hAnsi="Gill Sans MT" w:cs="Calibri"/>
          <w:sz w:val="20"/>
          <w:szCs w:val="20"/>
        </w:rPr>
        <w:t>ome partners used local municipality or office of the go</w:t>
      </w:r>
      <w:r w:rsidR="002636B4">
        <w:rPr>
          <w:rFonts w:ascii="Gill Sans MT" w:hAnsi="Gill Sans MT" w:cs="Calibri"/>
          <w:sz w:val="20"/>
          <w:szCs w:val="20"/>
        </w:rPr>
        <w:t>vernor and community leaders to assist</w:t>
      </w:r>
      <w:r w:rsidR="00194A9E" w:rsidRPr="00B62036">
        <w:rPr>
          <w:rFonts w:ascii="Gill Sans MT" w:hAnsi="Gill Sans MT" w:cs="Calibri"/>
          <w:sz w:val="20"/>
          <w:szCs w:val="20"/>
        </w:rPr>
        <w:t xml:space="preserve"> in the selection process, while a section of partners tasked MORDA to do the selection on their behalf with minimal supervision in the process.</w:t>
      </w:r>
      <w:r w:rsidR="008B451E" w:rsidRPr="00B62036">
        <w:rPr>
          <w:rFonts w:ascii="Gill Sans MT" w:hAnsi="Gill Sans MT" w:cs="Calibri"/>
          <w:sz w:val="20"/>
          <w:szCs w:val="20"/>
        </w:rPr>
        <w:t xml:space="preserve"> The target b</w:t>
      </w:r>
      <w:r w:rsidR="00194A9E" w:rsidRPr="00B62036">
        <w:rPr>
          <w:rFonts w:ascii="Gill Sans MT" w:hAnsi="Gill Sans MT" w:cs="Calibri"/>
          <w:sz w:val="20"/>
          <w:szCs w:val="20"/>
        </w:rPr>
        <w:t>eneficiaries were</w:t>
      </w:r>
      <w:r w:rsidR="008B451E" w:rsidRPr="00B62036">
        <w:rPr>
          <w:rFonts w:ascii="Gill Sans MT" w:hAnsi="Gill Sans MT" w:cs="Calibri"/>
          <w:sz w:val="20"/>
          <w:szCs w:val="20"/>
        </w:rPr>
        <w:t xml:space="preserve"> disproportionately selected from host community, returnees, and inter</w:t>
      </w:r>
      <w:r w:rsidR="008A3AA4" w:rsidRPr="00B62036">
        <w:rPr>
          <w:rFonts w:ascii="Gill Sans MT" w:hAnsi="Gill Sans MT" w:cs="Calibri"/>
          <w:sz w:val="20"/>
          <w:szCs w:val="20"/>
        </w:rPr>
        <w:t xml:space="preserve">nally displaced persons (IDPs). </w:t>
      </w:r>
    </w:p>
    <w:p w14:paraId="588A8F55" w14:textId="77777777" w:rsidR="00647744" w:rsidRPr="00B62036" w:rsidRDefault="00647744" w:rsidP="00230515">
      <w:pPr>
        <w:pStyle w:val="Default"/>
        <w:tabs>
          <w:tab w:val="left" w:pos="1440"/>
        </w:tabs>
        <w:spacing w:line="276" w:lineRule="auto"/>
        <w:jc w:val="both"/>
        <w:rPr>
          <w:rFonts w:ascii="Gill Sans MT" w:hAnsi="Gill Sans MT" w:cs="Calibri"/>
          <w:sz w:val="20"/>
          <w:szCs w:val="20"/>
        </w:rPr>
      </w:pPr>
    </w:p>
    <w:p w14:paraId="3BD14700" w14:textId="0923C651" w:rsidR="00E10229" w:rsidRPr="00B62036" w:rsidRDefault="00E951CC" w:rsidP="00230515">
      <w:pPr>
        <w:pStyle w:val="Default"/>
        <w:tabs>
          <w:tab w:val="left" w:pos="1440"/>
        </w:tabs>
        <w:spacing w:line="276" w:lineRule="auto"/>
        <w:jc w:val="both"/>
        <w:rPr>
          <w:rFonts w:ascii="Gill Sans MT" w:hAnsi="Gill Sans MT"/>
          <w:sz w:val="20"/>
          <w:szCs w:val="20"/>
        </w:rPr>
      </w:pPr>
      <w:r w:rsidRPr="00B62036">
        <w:rPr>
          <w:rFonts w:ascii="Gill Sans MT" w:hAnsi="Gill Sans MT" w:cs="Calibri"/>
          <w:sz w:val="20"/>
          <w:szCs w:val="20"/>
        </w:rPr>
        <w:t>Interviews with UN organizations</w:t>
      </w:r>
      <w:r w:rsidR="008A3AA4" w:rsidRPr="00B62036">
        <w:rPr>
          <w:rFonts w:ascii="Gill Sans MT" w:hAnsi="Gill Sans MT" w:cs="Calibri"/>
          <w:sz w:val="20"/>
          <w:szCs w:val="20"/>
        </w:rPr>
        <w:t xml:space="preserve"> and their implementing partners revealed that all the agencies adopted similar approaches.</w:t>
      </w:r>
      <w:r w:rsidR="009441C1" w:rsidRPr="00B62036">
        <w:rPr>
          <w:rFonts w:ascii="Gill Sans MT" w:hAnsi="Gill Sans MT" w:cs="Calibri"/>
          <w:sz w:val="20"/>
          <w:szCs w:val="20"/>
        </w:rPr>
        <w:t xml:space="preserve"> The deliberate inclusion of returnees, IDPs and host</w:t>
      </w:r>
      <w:r w:rsidR="002636B4">
        <w:rPr>
          <w:rFonts w:ascii="Gill Sans MT" w:hAnsi="Gill Sans MT" w:cs="Calibri"/>
          <w:sz w:val="20"/>
          <w:szCs w:val="20"/>
        </w:rPr>
        <w:t xml:space="preserve"> communities</w:t>
      </w:r>
      <w:r w:rsidR="009441C1" w:rsidRPr="00B62036">
        <w:rPr>
          <w:rFonts w:ascii="Gill Sans MT" w:hAnsi="Gill Sans MT" w:cs="Calibri"/>
          <w:sz w:val="20"/>
          <w:szCs w:val="20"/>
        </w:rPr>
        <w:t xml:space="preserve"> in project beneficiary selection </w:t>
      </w:r>
      <w:r w:rsidRPr="00B62036">
        <w:rPr>
          <w:rFonts w:ascii="Gill Sans MT" w:hAnsi="Gill Sans MT" w:cs="Calibri"/>
          <w:sz w:val="20"/>
          <w:szCs w:val="20"/>
        </w:rPr>
        <w:t>was</w:t>
      </w:r>
      <w:r w:rsidR="009441C1" w:rsidRPr="00B62036">
        <w:rPr>
          <w:rFonts w:ascii="Gill Sans MT" w:hAnsi="Gill Sans MT" w:cs="Calibri"/>
          <w:sz w:val="20"/>
          <w:szCs w:val="20"/>
        </w:rPr>
        <w:t xml:space="preserve"> a positive step towards creating peaceful </w:t>
      </w:r>
      <w:r w:rsidR="00057D34">
        <w:rPr>
          <w:rFonts w:ascii="Gill Sans MT" w:hAnsi="Gill Sans MT" w:cs="Calibri"/>
          <w:sz w:val="20"/>
          <w:szCs w:val="20"/>
        </w:rPr>
        <w:t>coexistence and acceptance. All the community segments were</w:t>
      </w:r>
      <w:r w:rsidR="009441C1" w:rsidRPr="00B62036">
        <w:rPr>
          <w:rFonts w:ascii="Gill Sans MT" w:hAnsi="Gill Sans MT" w:cs="Calibri"/>
          <w:sz w:val="20"/>
          <w:szCs w:val="20"/>
        </w:rPr>
        <w:t xml:space="preserve"> able to jointly work on community projects thereby enabling closer interaction, building trust and creating a harmonious living environment. </w:t>
      </w:r>
      <w:r w:rsidR="00E10229" w:rsidRPr="00B62036">
        <w:rPr>
          <w:rFonts w:ascii="Gill Sans MT" w:hAnsi="Gill Sans MT"/>
          <w:sz w:val="20"/>
          <w:szCs w:val="20"/>
        </w:rPr>
        <w:t>In terms of beneficiary targeting for the vocational</w:t>
      </w:r>
      <w:r w:rsidR="00D80E5E">
        <w:rPr>
          <w:rFonts w:ascii="Gill Sans MT" w:hAnsi="Gill Sans MT"/>
          <w:sz w:val="20"/>
          <w:szCs w:val="20"/>
        </w:rPr>
        <w:t xml:space="preserve"> skills training, the study noted</w:t>
      </w:r>
      <w:r w:rsidR="00E10229" w:rsidRPr="00B62036">
        <w:rPr>
          <w:rFonts w:ascii="Gill Sans MT" w:hAnsi="Gill Sans MT"/>
          <w:sz w:val="20"/>
          <w:szCs w:val="20"/>
        </w:rPr>
        <w:t xml:space="preserve"> that UNHCR used SOPs for Dadaab. Calls for proposals in both English and Somali were placed at strategic centers in all the camps. The same was also announced at local FM stations to ensure wider coverage. While all partners admitted that the literacy level for Baidoa returnees was relatively low, </w:t>
      </w:r>
      <w:r w:rsidR="007D1889" w:rsidRPr="00B62036">
        <w:rPr>
          <w:rFonts w:ascii="Gill Sans MT" w:hAnsi="Gill Sans MT"/>
          <w:sz w:val="20"/>
          <w:szCs w:val="20"/>
        </w:rPr>
        <w:t>the process</w:t>
      </w:r>
      <w:r w:rsidR="00E10229" w:rsidRPr="00B62036">
        <w:rPr>
          <w:rFonts w:ascii="Gill Sans MT" w:hAnsi="Gill Sans MT"/>
          <w:sz w:val="20"/>
          <w:szCs w:val="20"/>
        </w:rPr>
        <w:t xml:space="preserve"> was competitive and the best were selected from </w:t>
      </w:r>
      <w:r w:rsidRPr="00B62036">
        <w:rPr>
          <w:rFonts w:ascii="Gill Sans MT" w:hAnsi="Gill Sans MT"/>
          <w:sz w:val="20"/>
          <w:szCs w:val="20"/>
        </w:rPr>
        <w:t xml:space="preserve">refugees originally from Baidoa. To </w:t>
      </w:r>
      <w:r w:rsidR="00E10229" w:rsidRPr="00B62036">
        <w:rPr>
          <w:rFonts w:ascii="Gill Sans MT" w:hAnsi="Gill Sans MT"/>
          <w:sz w:val="20"/>
          <w:szCs w:val="20"/>
        </w:rPr>
        <w:t xml:space="preserve">confirm whether those targeted were from Baidoa, UNHCR used its Progress Data to </w:t>
      </w:r>
      <w:r w:rsidR="007D1889" w:rsidRPr="00B62036">
        <w:rPr>
          <w:rFonts w:ascii="Gill Sans MT" w:hAnsi="Gill Sans MT"/>
          <w:sz w:val="20"/>
          <w:szCs w:val="20"/>
        </w:rPr>
        <w:t>verify</w:t>
      </w:r>
      <w:r w:rsidR="00E10229" w:rsidRPr="00B62036">
        <w:rPr>
          <w:rFonts w:ascii="Gill Sans MT" w:hAnsi="Gill Sans MT"/>
          <w:sz w:val="20"/>
          <w:szCs w:val="20"/>
        </w:rPr>
        <w:t xml:space="preserve"> if </w:t>
      </w:r>
      <w:r w:rsidRPr="00B62036">
        <w:rPr>
          <w:rFonts w:ascii="Gill Sans MT" w:hAnsi="Gill Sans MT"/>
          <w:sz w:val="20"/>
          <w:szCs w:val="20"/>
        </w:rPr>
        <w:t xml:space="preserve">indeed </w:t>
      </w:r>
      <w:r w:rsidR="00E10229" w:rsidRPr="00B62036">
        <w:rPr>
          <w:rFonts w:ascii="Gill Sans MT" w:hAnsi="Gill Sans MT"/>
          <w:sz w:val="20"/>
          <w:szCs w:val="20"/>
        </w:rPr>
        <w:t xml:space="preserve">those enrolled were from Baidoa area. The age bracket </w:t>
      </w:r>
      <w:r w:rsidR="007D1889" w:rsidRPr="00B62036">
        <w:rPr>
          <w:rFonts w:ascii="Gill Sans MT" w:hAnsi="Gill Sans MT"/>
          <w:sz w:val="20"/>
          <w:szCs w:val="20"/>
        </w:rPr>
        <w:t xml:space="preserve">was, </w:t>
      </w:r>
      <w:r w:rsidR="00E10229" w:rsidRPr="00B62036">
        <w:rPr>
          <w:rFonts w:ascii="Gill Sans MT" w:hAnsi="Gill Sans MT"/>
          <w:sz w:val="20"/>
          <w:szCs w:val="20"/>
        </w:rPr>
        <w:t>15-24 years.</w:t>
      </w:r>
    </w:p>
    <w:p w14:paraId="06F056DB" w14:textId="77777777" w:rsidR="00742607" w:rsidRDefault="00742607" w:rsidP="00742607">
      <w:pPr>
        <w:pStyle w:val="Caption"/>
      </w:pPr>
    </w:p>
    <w:p w14:paraId="63D9AEED" w14:textId="6E427787" w:rsidR="008A3AA4" w:rsidRPr="00742607" w:rsidRDefault="00742607" w:rsidP="00742607">
      <w:pPr>
        <w:pStyle w:val="Caption"/>
        <w:rPr>
          <w:rFonts w:ascii="Gill Sans MT" w:hAnsi="Gill Sans MT" w:cs="Calibri"/>
          <w:b w:val="0"/>
          <w:sz w:val="20"/>
          <w:szCs w:val="20"/>
        </w:rPr>
      </w:pPr>
      <w:r w:rsidRPr="00742607">
        <w:rPr>
          <w:rFonts w:ascii="Gill Sans MT" w:hAnsi="Gill Sans MT"/>
          <w:sz w:val="20"/>
          <w:szCs w:val="20"/>
        </w:rPr>
        <w:t xml:space="preserve">Table </w:t>
      </w:r>
      <w:r w:rsidRPr="00742607">
        <w:rPr>
          <w:rFonts w:ascii="Gill Sans MT" w:hAnsi="Gill Sans MT"/>
          <w:sz w:val="20"/>
          <w:szCs w:val="20"/>
        </w:rPr>
        <w:fldChar w:fldCharType="begin"/>
      </w:r>
      <w:r w:rsidRPr="00742607">
        <w:rPr>
          <w:rFonts w:ascii="Gill Sans MT" w:hAnsi="Gill Sans MT"/>
          <w:sz w:val="20"/>
          <w:szCs w:val="20"/>
        </w:rPr>
        <w:instrText xml:space="preserve"> SEQ Table \* ARABIC </w:instrText>
      </w:r>
      <w:r w:rsidRPr="00742607">
        <w:rPr>
          <w:rFonts w:ascii="Gill Sans MT" w:hAnsi="Gill Sans MT"/>
          <w:sz w:val="20"/>
          <w:szCs w:val="20"/>
        </w:rPr>
        <w:fldChar w:fldCharType="separate"/>
      </w:r>
      <w:r w:rsidR="00A52509">
        <w:rPr>
          <w:rFonts w:ascii="Gill Sans MT" w:hAnsi="Gill Sans MT"/>
          <w:noProof/>
          <w:sz w:val="20"/>
          <w:szCs w:val="20"/>
        </w:rPr>
        <w:t>6</w:t>
      </w:r>
      <w:r w:rsidRPr="00742607">
        <w:rPr>
          <w:rFonts w:ascii="Gill Sans MT" w:hAnsi="Gill Sans MT"/>
          <w:sz w:val="20"/>
          <w:szCs w:val="20"/>
        </w:rPr>
        <w:fldChar w:fldCharType="end"/>
      </w:r>
      <w:r w:rsidRPr="00742607">
        <w:rPr>
          <w:rFonts w:ascii="Gill Sans MT" w:hAnsi="Gill Sans MT"/>
          <w:sz w:val="20"/>
          <w:szCs w:val="20"/>
        </w:rPr>
        <w:t xml:space="preserve"> </w:t>
      </w:r>
      <w:r w:rsidR="008A3AA4" w:rsidRPr="00742607">
        <w:rPr>
          <w:rFonts w:ascii="Gill Sans MT" w:hAnsi="Gill Sans MT" w:cs="Calibri"/>
          <w:b w:val="0"/>
          <w:sz w:val="20"/>
          <w:szCs w:val="20"/>
        </w:rPr>
        <w:t>Beneficiary selection process</w:t>
      </w:r>
      <w:r w:rsidR="00F26CB6" w:rsidRPr="00742607">
        <w:rPr>
          <w:rStyle w:val="FootnoteReference"/>
          <w:rFonts w:ascii="Gill Sans MT" w:hAnsi="Gill Sans MT" w:cs="Calibri"/>
          <w:b w:val="0"/>
          <w:sz w:val="20"/>
          <w:szCs w:val="20"/>
        </w:rPr>
        <w:footnoteReference w:id="8"/>
      </w:r>
    </w:p>
    <w:tbl>
      <w:tblPr>
        <w:tblStyle w:val="LightList-Accent3"/>
        <w:tblW w:w="5000" w:type="pct"/>
        <w:tblLook w:val="04A0" w:firstRow="1" w:lastRow="0" w:firstColumn="1" w:lastColumn="0" w:noHBand="0" w:noVBand="1"/>
      </w:tblPr>
      <w:tblGrid>
        <w:gridCol w:w="1127"/>
        <w:gridCol w:w="1500"/>
        <w:gridCol w:w="3511"/>
        <w:gridCol w:w="3438"/>
      </w:tblGrid>
      <w:tr w:rsidR="00FD216D" w:rsidRPr="00B62036" w14:paraId="5BA7184A" w14:textId="77777777" w:rsidTr="00742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Pr>
          <w:p w14:paraId="3118A4B9"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UN Agency </w:t>
            </w:r>
          </w:p>
        </w:tc>
        <w:tc>
          <w:tcPr>
            <w:tcW w:w="783" w:type="pct"/>
          </w:tcPr>
          <w:p w14:paraId="197412E5" w14:textId="77777777" w:rsidR="00FD216D" w:rsidRPr="00B62036" w:rsidRDefault="00FD216D" w:rsidP="00230515">
            <w:pPr>
              <w:pStyle w:val="Default"/>
              <w:tabs>
                <w:tab w:val="left" w:pos="1440"/>
              </w:tabs>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Partners </w:t>
            </w:r>
          </w:p>
        </w:tc>
        <w:tc>
          <w:tcPr>
            <w:tcW w:w="1833" w:type="pct"/>
          </w:tcPr>
          <w:p w14:paraId="15058BD3" w14:textId="77777777" w:rsidR="00FD216D" w:rsidRPr="00B62036" w:rsidRDefault="00FD216D" w:rsidP="00230515">
            <w:pPr>
              <w:pStyle w:val="Default"/>
              <w:tabs>
                <w:tab w:val="left" w:pos="1440"/>
              </w:tabs>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Beneficiary selection process </w:t>
            </w:r>
          </w:p>
        </w:tc>
        <w:tc>
          <w:tcPr>
            <w:tcW w:w="1795" w:type="pct"/>
          </w:tcPr>
          <w:p w14:paraId="10D1CCB6" w14:textId="77777777" w:rsidR="00FD216D" w:rsidRPr="00B62036" w:rsidRDefault="00FD216D" w:rsidP="00230515">
            <w:pPr>
              <w:pStyle w:val="Default"/>
              <w:tabs>
                <w:tab w:val="left" w:pos="1440"/>
              </w:tabs>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Inclusion of community segments </w:t>
            </w:r>
          </w:p>
        </w:tc>
      </w:tr>
      <w:tr w:rsidR="00FD216D" w:rsidRPr="00B62036" w14:paraId="5E97FB5B" w14:textId="77777777" w:rsidTr="0074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Pr>
          <w:p w14:paraId="345BB53C"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FAO</w:t>
            </w:r>
          </w:p>
        </w:tc>
        <w:tc>
          <w:tcPr>
            <w:tcW w:w="783" w:type="pct"/>
          </w:tcPr>
          <w:p w14:paraId="3D449D48" w14:textId="77777777" w:rsidR="00FD216D" w:rsidRPr="00B62036" w:rsidRDefault="00FD216D"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SYPD, SOWELPA, FEERO</w:t>
            </w:r>
          </w:p>
        </w:tc>
        <w:tc>
          <w:tcPr>
            <w:tcW w:w="1833" w:type="pct"/>
          </w:tcPr>
          <w:p w14:paraId="0C52AEDF" w14:textId="40827AE9" w:rsidR="00FD216D" w:rsidRPr="00B62036" w:rsidRDefault="00FD216D"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field team explained the list of beneficiaries was selected from UNHCR master list of returnees from Dada</w:t>
            </w:r>
            <w:r w:rsidR="00F26CB6" w:rsidRPr="00B62036">
              <w:rPr>
                <w:rFonts w:ascii="Gill Sans MT" w:hAnsi="Gill Sans MT" w:cs="Calibri"/>
                <w:sz w:val="20"/>
                <w:szCs w:val="20"/>
              </w:rPr>
              <w:t>a</w:t>
            </w:r>
            <w:r w:rsidRPr="00B62036">
              <w:rPr>
                <w:rFonts w:ascii="Gill Sans MT" w:hAnsi="Gill Sans MT" w:cs="Calibri"/>
                <w:sz w:val="20"/>
                <w:szCs w:val="20"/>
              </w:rPr>
              <w:t>b refugee camp</w:t>
            </w:r>
          </w:p>
        </w:tc>
        <w:tc>
          <w:tcPr>
            <w:tcW w:w="1795" w:type="pct"/>
          </w:tcPr>
          <w:p w14:paraId="5B0B6113" w14:textId="77777777" w:rsidR="00FD216D" w:rsidRPr="00B62036" w:rsidRDefault="00FD216D"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100% of the beneficiaries were returnees </w:t>
            </w:r>
          </w:p>
        </w:tc>
      </w:tr>
      <w:tr w:rsidR="00FD216D" w:rsidRPr="00B62036" w14:paraId="0B22F268" w14:textId="77777777" w:rsidTr="00742607">
        <w:tc>
          <w:tcPr>
            <w:cnfStyle w:val="001000000000" w:firstRow="0" w:lastRow="0" w:firstColumn="1" w:lastColumn="0" w:oddVBand="0" w:evenVBand="0" w:oddHBand="0" w:evenHBand="0" w:firstRowFirstColumn="0" w:firstRowLastColumn="0" w:lastRowFirstColumn="0" w:lastRowLastColumn="0"/>
            <w:tcW w:w="589" w:type="pct"/>
          </w:tcPr>
          <w:p w14:paraId="0792A9A7"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lastRenderedPageBreak/>
              <w:t xml:space="preserve">UNCHR </w:t>
            </w:r>
          </w:p>
        </w:tc>
        <w:tc>
          <w:tcPr>
            <w:tcW w:w="783" w:type="pct"/>
          </w:tcPr>
          <w:p w14:paraId="20832C1C" w14:textId="77777777" w:rsidR="00FD216D" w:rsidRPr="00B62036" w:rsidRDefault="00FD216D"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AVORD</w:t>
            </w:r>
          </w:p>
        </w:tc>
        <w:tc>
          <w:tcPr>
            <w:tcW w:w="1833" w:type="pct"/>
          </w:tcPr>
          <w:p w14:paraId="633FE9BD" w14:textId="77777777" w:rsidR="00FD216D" w:rsidRPr="00B62036" w:rsidRDefault="00FD216D"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The team explained the beneficiaries selection and verification was done in collaboration with respective community leaders </w:t>
            </w:r>
          </w:p>
        </w:tc>
        <w:tc>
          <w:tcPr>
            <w:tcW w:w="1795" w:type="pct"/>
          </w:tcPr>
          <w:p w14:paraId="25F6E103" w14:textId="77777777" w:rsidR="00FD216D" w:rsidRPr="00B62036" w:rsidRDefault="00FD216D"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80% of the beneficiaries were returnees, while</w:t>
            </w:r>
            <w:r w:rsidR="005C1155" w:rsidRPr="00B62036">
              <w:rPr>
                <w:rFonts w:ascii="Gill Sans MT" w:hAnsi="Gill Sans MT" w:cs="Calibri"/>
                <w:sz w:val="20"/>
                <w:szCs w:val="20"/>
              </w:rPr>
              <w:t xml:space="preserve"> the remaining</w:t>
            </w:r>
            <w:r w:rsidRPr="00B62036">
              <w:rPr>
                <w:rFonts w:ascii="Gill Sans MT" w:hAnsi="Gill Sans MT" w:cs="Calibri"/>
                <w:sz w:val="20"/>
                <w:szCs w:val="20"/>
              </w:rPr>
              <w:t xml:space="preserve"> 20% of  beneficiaries were  </w:t>
            </w:r>
            <w:r w:rsidR="005C1155" w:rsidRPr="00B62036">
              <w:rPr>
                <w:rFonts w:ascii="Gill Sans MT" w:hAnsi="Gill Sans MT" w:cs="Calibri"/>
                <w:sz w:val="20"/>
                <w:szCs w:val="20"/>
              </w:rPr>
              <w:t>proportionally distributed among host community and IDPs</w:t>
            </w:r>
          </w:p>
        </w:tc>
      </w:tr>
      <w:tr w:rsidR="00FD216D" w:rsidRPr="00B62036" w14:paraId="486CDDB8" w14:textId="77777777" w:rsidTr="0074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Pr>
          <w:p w14:paraId="56BA29BD"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WFP</w:t>
            </w:r>
          </w:p>
        </w:tc>
        <w:tc>
          <w:tcPr>
            <w:tcW w:w="783" w:type="pct"/>
          </w:tcPr>
          <w:p w14:paraId="3EE02D13" w14:textId="77777777" w:rsidR="00FD216D" w:rsidRPr="00B62036" w:rsidRDefault="00FD216D"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WVI</w:t>
            </w:r>
          </w:p>
        </w:tc>
        <w:tc>
          <w:tcPr>
            <w:tcW w:w="1833" w:type="pct"/>
          </w:tcPr>
          <w:p w14:paraId="392DFD95" w14:textId="77777777" w:rsidR="00FD216D" w:rsidRPr="00B62036" w:rsidRDefault="005C1155"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Beneficiary selection was done in collaboration with MORDA</w:t>
            </w:r>
          </w:p>
        </w:tc>
        <w:tc>
          <w:tcPr>
            <w:tcW w:w="1795" w:type="pct"/>
          </w:tcPr>
          <w:p w14:paraId="34660224" w14:textId="5C9E1F74" w:rsidR="00FD216D" w:rsidRPr="00B62036" w:rsidRDefault="005C1155"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78% of the beneficiaries were returnees, while 12</w:t>
            </w:r>
            <w:r w:rsidR="00AC698C" w:rsidRPr="00B62036">
              <w:rPr>
                <w:rFonts w:ascii="Gill Sans MT" w:hAnsi="Gill Sans MT" w:cs="Calibri"/>
                <w:sz w:val="20"/>
                <w:szCs w:val="20"/>
              </w:rPr>
              <w:t>% and</w:t>
            </w:r>
            <w:r w:rsidRPr="00B62036">
              <w:rPr>
                <w:rFonts w:ascii="Gill Sans MT" w:hAnsi="Gill Sans MT" w:cs="Calibri"/>
                <w:sz w:val="20"/>
                <w:szCs w:val="20"/>
              </w:rPr>
              <w:t xml:space="preserve"> 10% of the beneficiaries were IDPs and host community</w:t>
            </w:r>
            <w:r w:rsidR="00AC698C" w:rsidRPr="00B62036">
              <w:rPr>
                <w:rFonts w:ascii="Gill Sans MT" w:hAnsi="Gill Sans MT" w:cs="Calibri"/>
                <w:sz w:val="20"/>
                <w:szCs w:val="20"/>
              </w:rPr>
              <w:t xml:space="preserve"> respectively</w:t>
            </w:r>
          </w:p>
        </w:tc>
      </w:tr>
      <w:tr w:rsidR="00FD216D" w:rsidRPr="00B62036" w14:paraId="22C41B87" w14:textId="77777777" w:rsidTr="00742607">
        <w:tc>
          <w:tcPr>
            <w:cnfStyle w:val="001000000000" w:firstRow="0" w:lastRow="0" w:firstColumn="1" w:lastColumn="0" w:oddVBand="0" w:evenVBand="0" w:oddHBand="0" w:evenHBand="0" w:firstRowFirstColumn="0" w:firstRowLastColumn="0" w:lastRowFirstColumn="0" w:lastRowLastColumn="0"/>
            <w:tcW w:w="589" w:type="pct"/>
          </w:tcPr>
          <w:p w14:paraId="1382AFFE"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IOM</w:t>
            </w:r>
          </w:p>
        </w:tc>
        <w:tc>
          <w:tcPr>
            <w:tcW w:w="783" w:type="pct"/>
          </w:tcPr>
          <w:p w14:paraId="17A65614" w14:textId="77777777" w:rsidR="00FD216D" w:rsidRPr="00B62036" w:rsidRDefault="00FD216D"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p>
        </w:tc>
        <w:tc>
          <w:tcPr>
            <w:tcW w:w="1833" w:type="pct"/>
          </w:tcPr>
          <w:p w14:paraId="6340F695" w14:textId="1C405A6A" w:rsidR="00FD216D" w:rsidRPr="00B62036" w:rsidRDefault="00F04506"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team explained the b</w:t>
            </w:r>
            <w:r w:rsidR="005C1155" w:rsidRPr="00B62036">
              <w:rPr>
                <w:rFonts w:ascii="Gill Sans MT" w:hAnsi="Gill Sans MT" w:cs="Calibri"/>
                <w:sz w:val="20"/>
                <w:szCs w:val="20"/>
              </w:rPr>
              <w:t>eneficiary se</w:t>
            </w:r>
            <w:r w:rsidRPr="00B62036">
              <w:rPr>
                <w:rFonts w:ascii="Gill Sans MT" w:hAnsi="Gill Sans MT" w:cs="Calibri"/>
                <w:sz w:val="20"/>
                <w:szCs w:val="20"/>
              </w:rPr>
              <w:t>lection was done by Mayor’s office in consultation with co-facilitation team from Governor’s office, MORDA, and Ministry of in</w:t>
            </w:r>
            <w:r w:rsidR="00413BBF">
              <w:rPr>
                <w:rFonts w:ascii="Gill Sans MT" w:hAnsi="Gill Sans MT" w:cs="Calibri"/>
                <w:sz w:val="20"/>
                <w:szCs w:val="20"/>
              </w:rPr>
              <w:t>terior with oversight from IOM.</w:t>
            </w:r>
          </w:p>
        </w:tc>
        <w:tc>
          <w:tcPr>
            <w:tcW w:w="1795" w:type="pct"/>
          </w:tcPr>
          <w:p w14:paraId="4E40B09B" w14:textId="77777777" w:rsidR="00FD216D" w:rsidRPr="00B62036" w:rsidRDefault="00F04506"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Majority of the beneficiaries were returnees, followed by IDPs. Only 2% of the beneficiaries were host community</w:t>
            </w:r>
          </w:p>
        </w:tc>
      </w:tr>
      <w:tr w:rsidR="00FD216D" w:rsidRPr="00B62036" w14:paraId="34553EFF" w14:textId="77777777" w:rsidTr="00742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Pr>
          <w:p w14:paraId="5860CF20"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ILO</w:t>
            </w:r>
          </w:p>
        </w:tc>
        <w:tc>
          <w:tcPr>
            <w:tcW w:w="783" w:type="pct"/>
          </w:tcPr>
          <w:p w14:paraId="14F6EA9A" w14:textId="77777777" w:rsidR="00FD216D" w:rsidRPr="00B62036" w:rsidRDefault="0005410C"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WARDO</w:t>
            </w:r>
          </w:p>
        </w:tc>
        <w:tc>
          <w:tcPr>
            <w:tcW w:w="1833" w:type="pct"/>
          </w:tcPr>
          <w:p w14:paraId="5F92BF9B" w14:textId="77777777" w:rsidR="00FD216D" w:rsidRPr="00B62036" w:rsidRDefault="000454F3"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The team explained the beneficiary returnees were selected from UNHCR database while IDPs and host communities were selected in consultation by MORDA and local communities. </w:t>
            </w:r>
          </w:p>
        </w:tc>
        <w:tc>
          <w:tcPr>
            <w:tcW w:w="1795" w:type="pct"/>
          </w:tcPr>
          <w:p w14:paraId="1BCD76DA" w14:textId="77777777" w:rsidR="00FD216D" w:rsidRPr="00B62036" w:rsidRDefault="000454F3"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50% beneficiaries were returnees while 30% and 20% were IDPs and host community respectively</w:t>
            </w:r>
          </w:p>
        </w:tc>
      </w:tr>
      <w:tr w:rsidR="00FD216D" w:rsidRPr="00B62036" w14:paraId="161D8A7E" w14:textId="77777777" w:rsidTr="00742607">
        <w:tc>
          <w:tcPr>
            <w:cnfStyle w:val="001000000000" w:firstRow="0" w:lastRow="0" w:firstColumn="1" w:lastColumn="0" w:oddVBand="0" w:evenVBand="0" w:oddHBand="0" w:evenHBand="0" w:firstRowFirstColumn="0" w:firstRowLastColumn="0" w:lastRowFirstColumn="0" w:lastRowLastColumn="0"/>
            <w:tcW w:w="589" w:type="pct"/>
          </w:tcPr>
          <w:p w14:paraId="455E8026" w14:textId="77777777" w:rsidR="00FD216D" w:rsidRPr="00B62036" w:rsidRDefault="00FD216D"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UNICEF </w:t>
            </w:r>
          </w:p>
        </w:tc>
        <w:tc>
          <w:tcPr>
            <w:tcW w:w="783" w:type="pct"/>
          </w:tcPr>
          <w:p w14:paraId="5566FE88" w14:textId="77777777" w:rsidR="00FD216D" w:rsidRPr="00B62036" w:rsidRDefault="00FD216D"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BREK</w:t>
            </w:r>
          </w:p>
        </w:tc>
        <w:tc>
          <w:tcPr>
            <w:tcW w:w="1833" w:type="pct"/>
          </w:tcPr>
          <w:p w14:paraId="6B3F813E" w14:textId="77777777" w:rsidR="00FD216D" w:rsidRPr="00B62036" w:rsidRDefault="000454F3"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team explained the site identification was done in consultation with camp leaders. The TLS targeted all the children in the camps irrespective of their background</w:t>
            </w:r>
          </w:p>
        </w:tc>
        <w:tc>
          <w:tcPr>
            <w:tcW w:w="1795" w:type="pct"/>
          </w:tcPr>
          <w:p w14:paraId="7E4E1F8E" w14:textId="449C2AD2" w:rsidR="00FD216D" w:rsidRPr="00B62036" w:rsidRDefault="000454F3"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Although TLS were built in IDP camps</w:t>
            </w:r>
            <w:r w:rsidR="00AC698C" w:rsidRPr="00B62036">
              <w:rPr>
                <w:rFonts w:ascii="Gill Sans MT" w:hAnsi="Gill Sans MT" w:cs="Calibri"/>
                <w:sz w:val="20"/>
                <w:szCs w:val="20"/>
              </w:rPr>
              <w:t>,</w:t>
            </w:r>
            <w:r w:rsidRPr="00B62036">
              <w:rPr>
                <w:rFonts w:ascii="Gill Sans MT" w:hAnsi="Gill Sans MT" w:cs="Calibri"/>
                <w:sz w:val="20"/>
                <w:szCs w:val="20"/>
              </w:rPr>
              <w:t xml:space="preserve"> all the children </w:t>
            </w:r>
            <w:r w:rsidR="00AC698C" w:rsidRPr="00B62036">
              <w:rPr>
                <w:rFonts w:ascii="Gill Sans MT" w:hAnsi="Gill Sans MT" w:cs="Calibri"/>
                <w:sz w:val="20"/>
                <w:szCs w:val="20"/>
              </w:rPr>
              <w:t xml:space="preserve">were </w:t>
            </w:r>
            <w:r w:rsidRPr="00B62036">
              <w:rPr>
                <w:rFonts w:ascii="Gill Sans MT" w:hAnsi="Gill Sans MT" w:cs="Calibri"/>
                <w:sz w:val="20"/>
                <w:szCs w:val="20"/>
              </w:rPr>
              <w:t>from IDP</w:t>
            </w:r>
            <w:r w:rsidR="00AC698C" w:rsidRPr="00B62036">
              <w:rPr>
                <w:rFonts w:ascii="Gill Sans MT" w:hAnsi="Gill Sans MT" w:cs="Calibri"/>
                <w:sz w:val="20"/>
                <w:szCs w:val="20"/>
              </w:rPr>
              <w:t>s</w:t>
            </w:r>
            <w:r w:rsidRPr="00B62036">
              <w:rPr>
                <w:rFonts w:ascii="Gill Sans MT" w:hAnsi="Gill Sans MT" w:cs="Calibri"/>
                <w:sz w:val="20"/>
                <w:szCs w:val="20"/>
              </w:rPr>
              <w:t xml:space="preserve">, returnees and host </w:t>
            </w:r>
            <w:r w:rsidR="00AC698C" w:rsidRPr="00B62036">
              <w:rPr>
                <w:rFonts w:ascii="Gill Sans MT" w:hAnsi="Gill Sans MT" w:cs="Calibri"/>
                <w:sz w:val="20"/>
                <w:szCs w:val="20"/>
              </w:rPr>
              <w:t>community</w:t>
            </w:r>
            <w:r w:rsidRPr="00B62036">
              <w:rPr>
                <w:rFonts w:ascii="Gill Sans MT" w:hAnsi="Gill Sans MT" w:cs="Calibri"/>
                <w:sz w:val="20"/>
                <w:szCs w:val="20"/>
              </w:rPr>
              <w:t xml:space="preserve"> </w:t>
            </w:r>
            <w:r w:rsidR="00AC698C" w:rsidRPr="00B62036">
              <w:rPr>
                <w:rFonts w:ascii="Gill Sans MT" w:hAnsi="Gill Sans MT" w:cs="Calibri"/>
                <w:sz w:val="20"/>
                <w:szCs w:val="20"/>
              </w:rPr>
              <w:t>households</w:t>
            </w:r>
          </w:p>
        </w:tc>
      </w:tr>
    </w:tbl>
    <w:p w14:paraId="0656B9A7" w14:textId="77777777" w:rsidR="00BA5544" w:rsidRPr="00B62036" w:rsidRDefault="00BA5544" w:rsidP="00230515">
      <w:pPr>
        <w:pStyle w:val="Default"/>
        <w:tabs>
          <w:tab w:val="left" w:pos="1440"/>
        </w:tabs>
        <w:jc w:val="both"/>
        <w:rPr>
          <w:rFonts w:ascii="Gill Sans MT" w:hAnsi="Gill Sans MT" w:cs="Calibri"/>
          <w:sz w:val="20"/>
          <w:szCs w:val="20"/>
        </w:rPr>
      </w:pPr>
    </w:p>
    <w:p w14:paraId="2BDB0243" w14:textId="7089777B" w:rsidR="00E2512A" w:rsidRPr="00B62036" w:rsidRDefault="00E2512A" w:rsidP="00230515">
      <w:pPr>
        <w:pStyle w:val="Heading3"/>
        <w:jc w:val="both"/>
        <w:rPr>
          <w:rFonts w:ascii="Gill Sans MT" w:hAnsi="Gill Sans MT"/>
          <w:sz w:val="20"/>
          <w:szCs w:val="20"/>
        </w:rPr>
      </w:pPr>
      <w:bookmarkStart w:id="32" w:name="_Toc419359867"/>
      <w:r w:rsidRPr="00B62036">
        <w:rPr>
          <w:rFonts w:ascii="Gill Sans MT" w:hAnsi="Gill Sans MT"/>
          <w:sz w:val="20"/>
          <w:szCs w:val="20"/>
        </w:rPr>
        <w:t>3.3.5 Effectiveness of Project Activities</w:t>
      </w:r>
      <w:bookmarkEnd w:id="32"/>
    </w:p>
    <w:p w14:paraId="3A709E78" w14:textId="27BBF1E4" w:rsidR="005867B9" w:rsidRPr="00B62036" w:rsidRDefault="00094376"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 xml:space="preserve">The </w:t>
      </w:r>
      <w:r w:rsidR="0079347B" w:rsidRPr="00B62036">
        <w:rPr>
          <w:rFonts w:ascii="Gill Sans MT" w:hAnsi="Gill Sans MT" w:cs="Calibri"/>
          <w:sz w:val="20"/>
          <w:szCs w:val="20"/>
        </w:rPr>
        <w:t>implementation of the various project</w:t>
      </w:r>
      <w:r w:rsidR="0017590F" w:rsidRPr="00B62036">
        <w:rPr>
          <w:rFonts w:ascii="Gill Sans MT" w:hAnsi="Gill Sans MT" w:cs="Calibri"/>
          <w:sz w:val="20"/>
          <w:szCs w:val="20"/>
        </w:rPr>
        <w:t xml:space="preserve"> </w:t>
      </w:r>
      <w:r w:rsidRPr="00B62036">
        <w:rPr>
          <w:rFonts w:ascii="Gill Sans MT" w:hAnsi="Gill Sans MT" w:cs="Calibri"/>
          <w:sz w:val="20"/>
          <w:szCs w:val="20"/>
        </w:rPr>
        <w:t xml:space="preserve">activities </w:t>
      </w:r>
      <w:r w:rsidR="0017590F" w:rsidRPr="00B62036">
        <w:rPr>
          <w:rFonts w:ascii="Gill Sans MT" w:hAnsi="Gill Sans MT" w:cs="Calibri"/>
          <w:sz w:val="20"/>
          <w:szCs w:val="20"/>
        </w:rPr>
        <w:t>involved rehabilitation and construction of schools, markets, roads and government facilities</w:t>
      </w:r>
      <w:r w:rsidR="00057D34">
        <w:rPr>
          <w:rFonts w:ascii="Gill Sans MT" w:hAnsi="Gill Sans MT" w:cs="Calibri"/>
          <w:sz w:val="20"/>
          <w:szCs w:val="20"/>
        </w:rPr>
        <w:t xml:space="preserve"> </w:t>
      </w:r>
      <w:r w:rsidRPr="00B62036">
        <w:rPr>
          <w:rFonts w:ascii="Gill Sans MT" w:hAnsi="Gill Sans MT" w:cs="Calibri"/>
          <w:sz w:val="20"/>
          <w:szCs w:val="20"/>
        </w:rPr>
        <w:t>that</w:t>
      </w:r>
      <w:r w:rsidR="0079347B" w:rsidRPr="00B62036">
        <w:rPr>
          <w:rFonts w:ascii="Gill Sans MT" w:hAnsi="Gill Sans MT" w:cs="Calibri"/>
          <w:sz w:val="20"/>
          <w:szCs w:val="20"/>
        </w:rPr>
        <w:t xml:space="preserve"> </w:t>
      </w:r>
      <w:r w:rsidR="0017590F" w:rsidRPr="00B62036">
        <w:rPr>
          <w:rFonts w:ascii="Gill Sans MT" w:hAnsi="Gill Sans MT" w:cs="Calibri"/>
          <w:sz w:val="20"/>
          <w:szCs w:val="20"/>
        </w:rPr>
        <w:t xml:space="preserve">were jointly done </w:t>
      </w:r>
      <w:r w:rsidR="0079347B" w:rsidRPr="00B62036">
        <w:rPr>
          <w:rFonts w:ascii="Gill Sans MT" w:hAnsi="Gill Sans MT" w:cs="Calibri"/>
          <w:sz w:val="20"/>
          <w:szCs w:val="20"/>
        </w:rPr>
        <w:t>by women and</w:t>
      </w:r>
      <w:r w:rsidR="0017590F" w:rsidRPr="00B62036">
        <w:rPr>
          <w:rFonts w:ascii="Gill Sans MT" w:hAnsi="Gill Sans MT" w:cs="Calibri"/>
          <w:sz w:val="20"/>
          <w:szCs w:val="20"/>
        </w:rPr>
        <w:t xml:space="preserve"> men from various backgrounds </w:t>
      </w:r>
      <w:r w:rsidR="00AC698C" w:rsidRPr="00B62036">
        <w:rPr>
          <w:rFonts w:ascii="Gill Sans MT" w:hAnsi="Gill Sans MT" w:cs="Calibri"/>
          <w:sz w:val="20"/>
          <w:szCs w:val="20"/>
        </w:rPr>
        <w:t>that</w:t>
      </w:r>
      <w:r w:rsidR="0017590F" w:rsidRPr="00B62036">
        <w:rPr>
          <w:rFonts w:ascii="Gill Sans MT" w:hAnsi="Gill Sans MT" w:cs="Calibri"/>
          <w:sz w:val="20"/>
          <w:szCs w:val="20"/>
        </w:rPr>
        <w:t xml:space="preserve"> had limited or no engagement before</w:t>
      </w:r>
      <w:r w:rsidR="00057D34">
        <w:rPr>
          <w:rFonts w:ascii="Gill Sans MT" w:hAnsi="Gill Sans MT" w:cs="Calibri"/>
          <w:sz w:val="20"/>
          <w:szCs w:val="20"/>
        </w:rPr>
        <w:t xml:space="preserve"> the project</w:t>
      </w:r>
      <w:r w:rsidR="00AC698C" w:rsidRPr="00B62036">
        <w:rPr>
          <w:rFonts w:ascii="Gill Sans MT" w:hAnsi="Gill Sans MT" w:cs="Calibri"/>
          <w:sz w:val="20"/>
          <w:szCs w:val="20"/>
        </w:rPr>
        <w:t>.</w:t>
      </w:r>
      <w:r w:rsidR="00EF3A5B" w:rsidRPr="00B62036">
        <w:rPr>
          <w:rFonts w:ascii="Gill Sans MT" w:hAnsi="Gill Sans MT" w:cs="Calibri"/>
          <w:sz w:val="20"/>
          <w:szCs w:val="20"/>
        </w:rPr>
        <w:t xml:space="preserve"> </w:t>
      </w:r>
      <w:r w:rsidR="00AC698C" w:rsidRPr="00B62036">
        <w:rPr>
          <w:rFonts w:ascii="Gill Sans MT" w:hAnsi="Gill Sans MT" w:cs="Calibri"/>
          <w:sz w:val="20"/>
          <w:szCs w:val="20"/>
        </w:rPr>
        <w:t>Interviews</w:t>
      </w:r>
      <w:r w:rsidRPr="00B62036">
        <w:rPr>
          <w:rFonts w:ascii="Gill Sans MT" w:hAnsi="Gill Sans MT" w:cs="Calibri"/>
          <w:sz w:val="20"/>
          <w:szCs w:val="20"/>
        </w:rPr>
        <w:t xml:space="preserve"> with</w:t>
      </w:r>
      <w:r w:rsidR="00EF3A5B" w:rsidRPr="00B62036">
        <w:rPr>
          <w:rFonts w:ascii="Gill Sans MT" w:hAnsi="Gill Sans MT" w:cs="Calibri"/>
          <w:sz w:val="20"/>
          <w:szCs w:val="20"/>
        </w:rPr>
        <w:t xml:space="preserve"> some of the</w:t>
      </w:r>
      <w:r w:rsidRPr="00B62036">
        <w:rPr>
          <w:rFonts w:ascii="Gill Sans MT" w:hAnsi="Gill Sans MT" w:cs="Calibri"/>
          <w:sz w:val="20"/>
          <w:szCs w:val="20"/>
        </w:rPr>
        <w:t xml:space="preserve"> beneficiaries revealed </w:t>
      </w:r>
      <w:r w:rsidR="00AC698C" w:rsidRPr="00B62036">
        <w:rPr>
          <w:rFonts w:ascii="Gill Sans MT" w:hAnsi="Gill Sans MT" w:cs="Calibri"/>
          <w:sz w:val="20"/>
          <w:szCs w:val="20"/>
        </w:rPr>
        <w:t>that the project created a</w:t>
      </w:r>
      <w:r w:rsidRPr="00B62036">
        <w:rPr>
          <w:rFonts w:ascii="Gill Sans MT" w:hAnsi="Gill Sans MT" w:cs="Calibri"/>
          <w:sz w:val="20"/>
          <w:szCs w:val="20"/>
        </w:rPr>
        <w:t xml:space="preserve"> platform for engagement and interaction</w:t>
      </w:r>
      <w:r w:rsidR="00EF3A5B" w:rsidRPr="00B62036">
        <w:rPr>
          <w:rFonts w:ascii="Gill Sans MT" w:hAnsi="Gill Sans MT" w:cs="Calibri"/>
          <w:sz w:val="20"/>
          <w:szCs w:val="20"/>
        </w:rPr>
        <w:t xml:space="preserve"> </w:t>
      </w:r>
      <w:r w:rsidR="00AC698C" w:rsidRPr="00B62036">
        <w:rPr>
          <w:rFonts w:ascii="Gill Sans MT" w:hAnsi="Gill Sans MT" w:cs="Calibri"/>
          <w:sz w:val="20"/>
          <w:szCs w:val="20"/>
        </w:rPr>
        <w:t xml:space="preserve">among all groups </w:t>
      </w:r>
      <w:r w:rsidR="00EF3A5B" w:rsidRPr="00B62036">
        <w:rPr>
          <w:rFonts w:ascii="Gill Sans MT" w:hAnsi="Gill Sans MT" w:cs="Calibri"/>
          <w:sz w:val="20"/>
          <w:szCs w:val="20"/>
        </w:rPr>
        <w:t xml:space="preserve">and enhanced their relations after the project. The project was </w:t>
      </w:r>
      <w:r w:rsidR="00AC698C" w:rsidRPr="00B62036">
        <w:rPr>
          <w:rFonts w:ascii="Gill Sans MT" w:hAnsi="Gill Sans MT" w:cs="Calibri"/>
          <w:sz w:val="20"/>
          <w:szCs w:val="20"/>
        </w:rPr>
        <w:t xml:space="preserve">thus seen as </w:t>
      </w:r>
      <w:r w:rsidR="00EF3A5B" w:rsidRPr="00B62036">
        <w:rPr>
          <w:rFonts w:ascii="Gill Sans MT" w:hAnsi="Gill Sans MT" w:cs="Calibri"/>
          <w:sz w:val="20"/>
          <w:szCs w:val="20"/>
        </w:rPr>
        <w:t>having r</w:t>
      </w:r>
      <w:r w:rsidR="00AC698C" w:rsidRPr="00B62036">
        <w:rPr>
          <w:rFonts w:ascii="Gill Sans MT" w:hAnsi="Gill Sans MT" w:cs="Calibri"/>
          <w:sz w:val="20"/>
          <w:szCs w:val="20"/>
        </w:rPr>
        <w:t xml:space="preserve">emoved barriers and communities </w:t>
      </w:r>
      <w:r w:rsidR="00EF3A5B" w:rsidRPr="00B62036">
        <w:rPr>
          <w:rFonts w:ascii="Gill Sans MT" w:hAnsi="Gill Sans MT" w:cs="Calibri"/>
          <w:sz w:val="20"/>
          <w:szCs w:val="20"/>
        </w:rPr>
        <w:t xml:space="preserve">cultivated relations and have shared information about business environment and opportunities. The PBF </w:t>
      </w:r>
      <w:r w:rsidR="00AC698C" w:rsidRPr="00B62036">
        <w:rPr>
          <w:rFonts w:ascii="Gill Sans MT" w:hAnsi="Gill Sans MT" w:cs="Calibri"/>
          <w:sz w:val="20"/>
          <w:szCs w:val="20"/>
        </w:rPr>
        <w:t xml:space="preserve">therefore </w:t>
      </w:r>
      <w:r w:rsidR="00AF718D" w:rsidRPr="00B62036">
        <w:rPr>
          <w:rFonts w:ascii="Gill Sans MT" w:hAnsi="Gill Sans MT" w:cs="Calibri"/>
          <w:sz w:val="20"/>
          <w:szCs w:val="20"/>
        </w:rPr>
        <w:t>provided good</w:t>
      </w:r>
      <w:r w:rsidR="00EF3A5B" w:rsidRPr="00B62036">
        <w:rPr>
          <w:rFonts w:ascii="Gill Sans MT" w:hAnsi="Gill Sans MT" w:cs="Calibri"/>
          <w:sz w:val="20"/>
          <w:szCs w:val="20"/>
        </w:rPr>
        <w:t xml:space="preserve"> interface for returnees who have fled the civil war in Somalia and run to Kenya but </w:t>
      </w:r>
      <w:r w:rsidR="00AF718D" w:rsidRPr="00B62036">
        <w:rPr>
          <w:rFonts w:ascii="Gill Sans MT" w:hAnsi="Gill Sans MT" w:cs="Calibri"/>
          <w:sz w:val="20"/>
          <w:szCs w:val="20"/>
        </w:rPr>
        <w:t xml:space="preserve">decided to </w:t>
      </w:r>
      <w:r w:rsidR="00EF3A5B" w:rsidRPr="00B62036">
        <w:rPr>
          <w:rFonts w:ascii="Gill Sans MT" w:hAnsi="Gill Sans MT" w:cs="Calibri"/>
          <w:sz w:val="20"/>
          <w:szCs w:val="20"/>
        </w:rPr>
        <w:t>voluntary to return after more than a decade</w:t>
      </w:r>
      <w:r w:rsidR="00AC698C" w:rsidRPr="00B62036">
        <w:rPr>
          <w:rFonts w:ascii="Gill Sans MT" w:hAnsi="Gill Sans MT" w:cs="Calibri"/>
          <w:sz w:val="20"/>
          <w:szCs w:val="20"/>
        </w:rPr>
        <w:t xml:space="preserve"> as t</w:t>
      </w:r>
      <w:r w:rsidR="00EF3A5B" w:rsidRPr="00B62036">
        <w:rPr>
          <w:rFonts w:ascii="Gill Sans MT" w:hAnsi="Gill Sans MT" w:cs="Calibri"/>
          <w:sz w:val="20"/>
          <w:szCs w:val="20"/>
        </w:rPr>
        <w:t xml:space="preserve">he experience of starting a new life </w:t>
      </w:r>
      <w:r w:rsidR="00AF718D" w:rsidRPr="00B62036">
        <w:rPr>
          <w:rFonts w:ascii="Gill Sans MT" w:hAnsi="Gill Sans MT" w:cs="Calibri"/>
          <w:sz w:val="20"/>
          <w:szCs w:val="20"/>
        </w:rPr>
        <w:t xml:space="preserve">in such environment </w:t>
      </w:r>
      <w:r w:rsidR="00AC698C" w:rsidRPr="00B62036">
        <w:rPr>
          <w:rFonts w:ascii="Gill Sans MT" w:hAnsi="Gill Sans MT" w:cs="Calibri"/>
          <w:sz w:val="20"/>
          <w:szCs w:val="20"/>
        </w:rPr>
        <w:t xml:space="preserve">is quite challenging. </w:t>
      </w:r>
    </w:p>
    <w:p w14:paraId="24EE2289" w14:textId="77777777" w:rsidR="00647744" w:rsidRPr="00B62036" w:rsidRDefault="00647744" w:rsidP="00230515">
      <w:pPr>
        <w:pStyle w:val="Default"/>
        <w:tabs>
          <w:tab w:val="left" w:pos="1440"/>
        </w:tabs>
        <w:spacing w:line="276" w:lineRule="auto"/>
        <w:jc w:val="both"/>
        <w:rPr>
          <w:rFonts w:ascii="Gill Sans MT" w:hAnsi="Gill Sans MT" w:cs="Calibri"/>
          <w:sz w:val="20"/>
          <w:szCs w:val="20"/>
        </w:rPr>
      </w:pPr>
    </w:p>
    <w:p w14:paraId="25A81E1B" w14:textId="1E9281A7" w:rsidR="00B027D8" w:rsidRPr="00B62036" w:rsidRDefault="00AC698C" w:rsidP="00230515">
      <w:pPr>
        <w:pStyle w:val="Default"/>
        <w:tabs>
          <w:tab w:val="left" w:pos="1440"/>
        </w:tabs>
        <w:spacing w:line="276" w:lineRule="auto"/>
        <w:jc w:val="both"/>
        <w:rPr>
          <w:rFonts w:ascii="Gill Sans MT" w:hAnsi="Gill Sans MT"/>
          <w:sz w:val="20"/>
          <w:szCs w:val="20"/>
          <w:lang w:val="en-GB"/>
        </w:rPr>
      </w:pPr>
      <w:r w:rsidRPr="00B62036">
        <w:rPr>
          <w:rFonts w:ascii="Gill Sans MT" w:hAnsi="Gill Sans MT" w:cs="Calibri"/>
          <w:sz w:val="20"/>
          <w:szCs w:val="20"/>
        </w:rPr>
        <w:t>Overall, a total of 1,863 children (850 female, 1013 male</w:t>
      </w:r>
      <w:r w:rsidR="005867B9" w:rsidRPr="00B62036">
        <w:rPr>
          <w:rFonts w:ascii="Gill Sans MT" w:hAnsi="Gill Sans MT" w:cs="Calibri"/>
          <w:sz w:val="20"/>
          <w:szCs w:val="20"/>
        </w:rPr>
        <w:t>) have been supported in 14 target schools through distribution of teaching and learning materials, construction of</w:t>
      </w:r>
      <w:r w:rsidRPr="00B62036">
        <w:rPr>
          <w:rFonts w:ascii="Gill Sans MT" w:hAnsi="Gill Sans MT" w:cs="Calibri"/>
          <w:sz w:val="20"/>
          <w:szCs w:val="20"/>
        </w:rPr>
        <w:t xml:space="preserve"> temporary learning spaces</w:t>
      </w:r>
      <w:r w:rsidR="005867B9" w:rsidRPr="00B62036">
        <w:rPr>
          <w:rFonts w:ascii="Gill Sans MT" w:hAnsi="Gill Sans MT" w:cs="Calibri"/>
          <w:sz w:val="20"/>
          <w:szCs w:val="20"/>
        </w:rPr>
        <w:t xml:space="preserve">, emergency school cash grants, procurement of school furniture and monthly social mobilization campaigns on hygiene promotion, including prevention of acute watery diarrhea/cholera. In addition, </w:t>
      </w:r>
      <w:r w:rsidRPr="00B62036">
        <w:rPr>
          <w:rFonts w:ascii="Gill Sans MT" w:hAnsi="Gill Sans MT" w:cs="Calibri"/>
          <w:sz w:val="20"/>
          <w:szCs w:val="20"/>
        </w:rPr>
        <w:t xml:space="preserve">the </w:t>
      </w:r>
      <w:r w:rsidR="005867B9" w:rsidRPr="00B62036">
        <w:rPr>
          <w:rFonts w:ascii="Gill Sans MT" w:hAnsi="Gill Sans MT" w:cs="Calibri"/>
          <w:sz w:val="20"/>
          <w:szCs w:val="20"/>
        </w:rPr>
        <w:t>construction of 300 meters tarmac road was completed directly employing 62 beneficiaries (refugee returnees, IDPs and memb</w:t>
      </w:r>
      <w:r w:rsidRPr="00B62036">
        <w:rPr>
          <w:rFonts w:ascii="Gill Sans MT" w:hAnsi="Gill Sans MT" w:cs="Calibri"/>
          <w:sz w:val="20"/>
          <w:szCs w:val="20"/>
        </w:rPr>
        <w:t xml:space="preserve">ers of host community) </w:t>
      </w:r>
      <w:r w:rsidR="005867B9" w:rsidRPr="00B62036">
        <w:rPr>
          <w:rFonts w:ascii="Gill Sans MT" w:hAnsi="Gill Sans MT" w:cs="Calibri"/>
          <w:sz w:val="20"/>
          <w:szCs w:val="20"/>
        </w:rPr>
        <w:t xml:space="preserve">and 2,340 worker days created. Further, </w:t>
      </w:r>
      <w:r w:rsidRPr="00B62036">
        <w:rPr>
          <w:rFonts w:ascii="Gill Sans MT" w:hAnsi="Gill Sans MT" w:cs="Calibri"/>
          <w:sz w:val="20"/>
          <w:szCs w:val="20"/>
        </w:rPr>
        <w:t xml:space="preserve">the </w:t>
      </w:r>
      <w:r w:rsidR="005867B9" w:rsidRPr="00B62036">
        <w:rPr>
          <w:rFonts w:ascii="Gill Sans MT" w:hAnsi="Gill Sans MT" w:cs="Calibri"/>
          <w:sz w:val="20"/>
          <w:szCs w:val="20"/>
        </w:rPr>
        <w:t>rehabilitation of Shigaale market in Baidoa employed 40 people (17 returnees, 10 IDPs and 13 host community members). This improved economic opportunities through increased availability of business stalls for starting up enterprises. In Dadaab, 562 Persons of Concern (PoC) (422</w:t>
      </w:r>
      <w:r w:rsidRPr="00B62036">
        <w:rPr>
          <w:rFonts w:ascii="Gill Sans MT" w:hAnsi="Gill Sans MT" w:cs="Calibri"/>
          <w:sz w:val="20"/>
          <w:szCs w:val="20"/>
        </w:rPr>
        <w:t xml:space="preserve"> male, 140 female</w:t>
      </w:r>
      <w:r w:rsidR="005867B9" w:rsidRPr="00B62036">
        <w:rPr>
          <w:rFonts w:ascii="Gill Sans MT" w:hAnsi="Gill Sans MT" w:cs="Calibri"/>
          <w:sz w:val="20"/>
          <w:szCs w:val="20"/>
        </w:rPr>
        <w:t xml:space="preserve">) completed training in various training institutions in Kenya to undertake skills development in 2017. </w:t>
      </w:r>
      <w:r w:rsidR="005867B9" w:rsidRPr="00B62036">
        <w:rPr>
          <w:rFonts w:ascii="Gill Sans MT" w:hAnsi="Gill Sans MT" w:cs="Calibri"/>
          <w:sz w:val="20"/>
          <w:szCs w:val="20"/>
        </w:rPr>
        <w:lastRenderedPageBreak/>
        <w:t>Additionally, 490 (238</w:t>
      </w:r>
      <w:r w:rsidR="00140AA6" w:rsidRPr="00B62036">
        <w:rPr>
          <w:rFonts w:ascii="Gill Sans MT" w:hAnsi="Gill Sans MT" w:cs="Calibri"/>
          <w:sz w:val="20"/>
          <w:szCs w:val="20"/>
        </w:rPr>
        <w:t xml:space="preserve"> male, 252 female</w:t>
      </w:r>
      <w:r w:rsidR="005867B9" w:rsidRPr="00B62036">
        <w:rPr>
          <w:rFonts w:ascii="Gill Sans MT" w:hAnsi="Gill Sans MT" w:cs="Calibri"/>
          <w:sz w:val="20"/>
          <w:szCs w:val="20"/>
        </w:rPr>
        <w:t xml:space="preserve">) prospective Baidoa returnees </w:t>
      </w:r>
      <w:r w:rsidR="00140AA6" w:rsidRPr="00B62036">
        <w:rPr>
          <w:rFonts w:ascii="Gill Sans MT" w:hAnsi="Gill Sans MT" w:cs="Calibri"/>
          <w:sz w:val="20"/>
          <w:szCs w:val="20"/>
        </w:rPr>
        <w:t xml:space="preserve">were </w:t>
      </w:r>
      <w:r w:rsidR="005867B9" w:rsidRPr="00B62036">
        <w:rPr>
          <w:rFonts w:ascii="Gill Sans MT" w:hAnsi="Gill Sans MT" w:cs="Calibri"/>
          <w:sz w:val="20"/>
          <w:szCs w:val="20"/>
        </w:rPr>
        <w:t>trained in peace bu</w:t>
      </w:r>
      <w:r w:rsidR="00140AA6" w:rsidRPr="00B62036">
        <w:rPr>
          <w:rFonts w:ascii="Gill Sans MT" w:hAnsi="Gill Sans MT" w:cs="Calibri"/>
          <w:sz w:val="20"/>
          <w:szCs w:val="20"/>
        </w:rPr>
        <w:t xml:space="preserve">ilding and conflict resolutions, </w:t>
      </w:r>
      <w:r w:rsidR="005867B9" w:rsidRPr="00B62036">
        <w:rPr>
          <w:rFonts w:ascii="Gill Sans MT" w:hAnsi="Gill Sans MT" w:cs="Calibri"/>
          <w:sz w:val="20"/>
          <w:szCs w:val="20"/>
        </w:rPr>
        <w:t xml:space="preserve">democratic governance and reconciliation processes. </w:t>
      </w:r>
      <w:r w:rsidR="00140AA6" w:rsidRPr="00B62036">
        <w:rPr>
          <w:rFonts w:ascii="Gill Sans MT" w:hAnsi="Gill Sans MT" w:cs="Calibri"/>
          <w:sz w:val="20"/>
          <w:szCs w:val="20"/>
        </w:rPr>
        <w:t xml:space="preserve">Additionally, </w:t>
      </w:r>
      <w:r w:rsidR="005867B9" w:rsidRPr="00B62036">
        <w:rPr>
          <w:rFonts w:ascii="Gill Sans MT" w:hAnsi="Gill Sans MT" w:cs="Calibri"/>
          <w:sz w:val="20"/>
          <w:szCs w:val="20"/>
        </w:rPr>
        <w:t>77 (39</w:t>
      </w:r>
      <w:r w:rsidR="00140AA6" w:rsidRPr="00B62036">
        <w:rPr>
          <w:rFonts w:ascii="Gill Sans MT" w:hAnsi="Gill Sans MT" w:cs="Calibri"/>
          <w:sz w:val="20"/>
          <w:szCs w:val="20"/>
        </w:rPr>
        <w:t xml:space="preserve"> male, 38 female</w:t>
      </w:r>
      <w:r w:rsidR="005867B9" w:rsidRPr="00B62036">
        <w:rPr>
          <w:rFonts w:ascii="Gill Sans MT" w:hAnsi="Gill Sans MT" w:cs="Calibri"/>
          <w:sz w:val="20"/>
          <w:szCs w:val="20"/>
        </w:rPr>
        <w:t xml:space="preserve">) peace ambassadors </w:t>
      </w:r>
      <w:r w:rsidR="00140AA6" w:rsidRPr="00B62036">
        <w:rPr>
          <w:rFonts w:ascii="Gill Sans MT" w:hAnsi="Gill Sans MT" w:cs="Calibri"/>
          <w:sz w:val="20"/>
          <w:szCs w:val="20"/>
        </w:rPr>
        <w:t xml:space="preserve">were </w:t>
      </w:r>
      <w:r w:rsidR="005867B9" w:rsidRPr="00B62036">
        <w:rPr>
          <w:rFonts w:ascii="Gill Sans MT" w:hAnsi="Gill Sans MT" w:cs="Calibri"/>
          <w:sz w:val="20"/>
          <w:szCs w:val="20"/>
        </w:rPr>
        <w:t xml:space="preserve">trained </w:t>
      </w:r>
      <w:r w:rsidR="00140AA6" w:rsidRPr="00B62036">
        <w:rPr>
          <w:rFonts w:ascii="Gill Sans MT" w:hAnsi="Gill Sans MT" w:cs="Calibri"/>
          <w:sz w:val="20"/>
          <w:szCs w:val="20"/>
        </w:rPr>
        <w:t xml:space="preserve">in Dadaab </w:t>
      </w:r>
      <w:r w:rsidR="005867B9" w:rsidRPr="00B62036">
        <w:rPr>
          <w:rFonts w:ascii="Gill Sans MT" w:hAnsi="Gill Sans MT" w:cs="Calibri"/>
          <w:sz w:val="20"/>
          <w:szCs w:val="20"/>
        </w:rPr>
        <w:t>to act as trainers of trainees.</w:t>
      </w:r>
      <w:r w:rsidR="005867B9" w:rsidRPr="00B62036">
        <w:rPr>
          <w:rStyle w:val="FootnoteReference"/>
          <w:rFonts w:ascii="Gill Sans MT" w:hAnsi="Gill Sans MT" w:cs="Calibri"/>
          <w:sz w:val="20"/>
          <w:szCs w:val="20"/>
        </w:rPr>
        <w:footnoteReference w:id="9"/>
      </w:r>
      <w:r w:rsidR="00647744" w:rsidRPr="00B62036">
        <w:rPr>
          <w:rFonts w:ascii="Gill Sans MT" w:hAnsi="Gill Sans MT" w:cs="Calibri"/>
          <w:sz w:val="20"/>
          <w:szCs w:val="20"/>
        </w:rPr>
        <w:t xml:space="preserve"> </w:t>
      </w:r>
      <w:r w:rsidR="00B027D8" w:rsidRPr="00B62036">
        <w:rPr>
          <w:rFonts w:ascii="Gill Sans MT" w:hAnsi="Gill Sans MT" w:cs="Calibri"/>
          <w:sz w:val="20"/>
          <w:szCs w:val="20"/>
        </w:rPr>
        <w:t xml:space="preserve">The analysis of the household survey show that </w:t>
      </w:r>
      <w:r w:rsidR="00B027D8" w:rsidRPr="00B62036">
        <w:rPr>
          <w:rFonts w:ascii="Gill Sans MT" w:hAnsi="Gill Sans MT"/>
          <w:sz w:val="20"/>
          <w:szCs w:val="20"/>
          <w:lang w:val="en-GB"/>
        </w:rPr>
        <w:t>most assistance returnee</w:t>
      </w:r>
      <w:r w:rsidR="003E3A9A" w:rsidRPr="00B62036">
        <w:rPr>
          <w:rFonts w:ascii="Gill Sans MT" w:hAnsi="Gill Sans MT"/>
          <w:sz w:val="20"/>
          <w:szCs w:val="20"/>
          <w:lang w:val="en-GB"/>
        </w:rPr>
        <w:t>s</w:t>
      </w:r>
      <w:r w:rsidR="00B027D8" w:rsidRPr="00B62036">
        <w:rPr>
          <w:rFonts w:ascii="Gill Sans MT" w:hAnsi="Gill Sans MT"/>
          <w:sz w:val="20"/>
          <w:szCs w:val="20"/>
          <w:lang w:val="en-GB"/>
        </w:rPr>
        <w:t xml:space="preserve"> got from UNHCR was return voucher</w:t>
      </w:r>
      <w:r w:rsidR="003E3A9A" w:rsidRPr="00B62036">
        <w:rPr>
          <w:rFonts w:ascii="Gill Sans MT" w:hAnsi="Gill Sans MT"/>
          <w:sz w:val="20"/>
          <w:szCs w:val="20"/>
          <w:lang w:val="en-GB"/>
        </w:rPr>
        <w:t xml:space="preserve"> as reported </w:t>
      </w:r>
      <w:r w:rsidR="00140AA6" w:rsidRPr="00B62036">
        <w:rPr>
          <w:rFonts w:ascii="Gill Sans MT" w:hAnsi="Gill Sans MT"/>
          <w:sz w:val="20"/>
          <w:szCs w:val="20"/>
          <w:lang w:val="en-GB"/>
        </w:rPr>
        <w:t>by 59.5%</w:t>
      </w:r>
      <w:r w:rsidR="003E3A9A" w:rsidRPr="00B62036">
        <w:rPr>
          <w:rFonts w:ascii="Gill Sans MT" w:hAnsi="Gill Sans MT"/>
          <w:sz w:val="20"/>
          <w:szCs w:val="20"/>
          <w:lang w:val="en-GB"/>
        </w:rPr>
        <w:t>, support for children (43.5%) and VST training (23%)</w:t>
      </w:r>
      <w:r w:rsidR="00140AA6" w:rsidRPr="00B62036">
        <w:rPr>
          <w:rFonts w:ascii="Gill Sans MT" w:hAnsi="Gill Sans MT"/>
          <w:sz w:val="20"/>
          <w:szCs w:val="20"/>
          <w:lang w:val="en-GB"/>
        </w:rPr>
        <w:t>. The a</w:t>
      </w:r>
      <w:r w:rsidR="00B027D8" w:rsidRPr="00B62036">
        <w:rPr>
          <w:rFonts w:ascii="Gill Sans MT" w:hAnsi="Gill Sans MT"/>
          <w:sz w:val="20"/>
          <w:szCs w:val="20"/>
          <w:lang w:val="en-GB"/>
        </w:rPr>
        <w:t>ssistance was either given independen</w:t>
      </w:r>
      <w:r w:rsidR="00241BC9" w:rsidRPr="00B62036">
        <w:rPr>
          <w:rFonts w:ascii="Gill Sans MT" w:hAnsi="Gill Sans MT"/>
          <w:sz w:val="20"/>
          <w:szCs w:val="20"/>
          <w:lang w:val="en-GB"/>
        </w:rPr>
        <w:t xml:space="preserve">tly or a combination of others. Other support reported includes peace building and reconciliation (18%) and shelter (10%). </w:t>
      </w:r>
    </w:p>
    <w:p w14:paraId="5213DAA2" w14:textId="77777777" w:rsidR="00241BC9" w:rsidRPr="00B62036" w:rsidRDefault="00241BC9" w:rsidP="00230515">
      <w:pPr>
        <w:tabs>
          <w:tab w:val="left" w:pos="3968"/>
        </w:tabs>
        <w:jc w:val="both"/>
        <w:rPr>
          <w:rFonts w:ascii="Gill Sans MT" w:hAnsi="Gill Sans MT"/>
          <w:sz w:val="20"/>
          <w:szCs w:val="20"/>
          <w:lang w:val="en-GB"/>
        </w:rPr>
      </w:pPr>
    </w:p>
    <w:p w14:paraId="35791C7E" w14:textId="11A58FF3" w:rsidR="00E6794E" w:rsidRPr="00B62036" w:rsidRDefault="002C5B80" w:rsidP="00230515">
      <w:pPr>
        <w:pStyle w:val="Caption"/>
        <w:jc w:val="both"/>
        <w:rPr>
          <w:rFonts w:ascii="Gill Sans MT" w:hAnsi="Gill Sans MT"/>
          <w:sz w:val="20"/>
          <w:szCs w:val="20"/>
          <w:lang w:val="en-GB"/>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7</w:t>
      </w:r>
      <w:r w:rsidR="00AF3DCE" w:rsidRPr="00B62036">
        <w:rPr>
          <w:rFonts w:ascii="Gill Sans MT" w:hAnsi="Gill Sans MT"/>
          <w:noProof/>
          <w:sz w:val="20"/>
          <w:szCs w:val="20"/>
        </w:rPr>
        <w:fldChar w:fldCharType="end"/>
      </w:r>
      <w:r w:rsidRPr="00B62036">
        <w:rPr>
          <w:rFonts w:ascii="Gill Sans MT" w:hAnsi="Gill Sans MT"/>
          <w:sz w:val="20"/>
          <w:szCs w:val="20"/>
        </w:rPr>
        <w:t xml:space="preserve"> Support Returnees Received from UNHCR</w:t>
      </w:r>
    </w:p>
    <w:tbl>
      <w:tblPr>
        <w:tblStyle w:val="LightList-Accent3"/>
        <w:tblW w:w="5000" w:type="pct"/>
        <w:tblLook w:val="04A0" w:firstRow="1" w:lastRow="0" w:firstColumn="1" w:lastColumn="0" w:noHBand="0" w:noVBand="1"/>
      </w:tblPr>
      <w:tblGrid>
        <w:gridCol w:w="6287"/>
        <w:gridCol w:w="1500"/>
        <w:gridCol w:w="1789"/>
      </w:tblGrid>
      <w:tr w:rsidR="00E6794E" w:rsidRPr="00B62036" w14:paraId="796CD283" w14:textId="77777777" w:rsidTr="00413BBF">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283" w:type="pct"/>
            <w:vMerge w:val="restart"/>
            <w:shd w:val="clear" w:color="auto" w:fill="D9D9D9" w:themeFill="background1" w:themeFillShade="D9"/>
            <w:noWrap/>
          </w:tcPr>
          <w:p w14:paraId="0246DB07" w14:textId="77777777" w:rsidR="00E6794E" w:rsidRPr="00B62036" w:rsidRDefault="00E6794E" w:rsidP="00230515">
            <w:pPr>
              <w:jc w:val="both"/>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Support returnee received from UNHCR</w:t>
            </w:r>
          </w:p>
        </w:tc>
        <w:tc>
          <w:tcPr>
            <w:tcW w:w="1717" w:type="pct"/>
            <w:gridSpan w:val="2"/>
            <w:shd w:val="clear" w:color="auto" w:fill="D9D9D9" w:themeFill="background1" w:themeFillShade="D9"/>
          </w:tcPr>
          <w:p w14:paraId="734D596E" w14:textId="1E0DFE3F" w:rsidR="00E6794E" w:rsidRPr="00B62036" w:rsidRDefault="00413BBF" w:rsidP="0023051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Pr>
                <w:rFonts w:ascii="Gill Sans MT" w:hAnsi="Gill Sans MT" w:cs="Calibri"/>
                <w:color w:val="000000"/>
                <w:sz w:val="20"/>
                <w:szCs w:val="20"/>
                <w:lang w:val="en-GB" w:eastAsia="en-GB"/>
              </w:rPr>
              <w:t>Returnee Respondents</w:t>
            </w:r>
          </w:p>
        </w:tc>
      </w:tr>
      <w:tr w:rsidR="00E6794E" w:rsidRPr="00B62036" w14:paraId="0EACB4C6" w14:textId="77777777" w:rsidTr="00413BB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283" w:type="pct"/>
            <w:vMerge/>
            <w:shd w:val="clear" w:color="auto" w:fill="D9D9D9" w:themeFill="background1" w:themeFillShade="D9"/>
            <w:noWrap/>
            <w:hideMark/>
          </w:tcPr>
          <w:p w14:paraId="5ED4DE9A" w14:textId="77777777" w:rsidR="00E6794E" w:rsidRPr="00B62036" w:rsidRDefault="00E6794E" w:rsidP="00230515">
            <w:pPr>
              <w:jc w:val="both"/>
              <w:rPr>
                <w:rFonts w:ascii="Gill Sans MT" w:hAnsi="Gill Sans MT" w:cs="Calibri"/>
                <w:color w:val="000000"/>
                <w:sz w:val="20"/>
                <w:szCs w:val="20"/>
                <w:lang w:val="en-GB" w:eastAsia="en-GB"/>
              </w:rPr>
            </w:pPr>
          </w:p>
        </w:tc>
        <w:tc>
          <w:tcPr>
            <w:tcW w:w="783" w:type="pct"/>
            <w:shd w:val="clear" w:color="auto" w:fill="D9D9D9" w:themeFill="background1" w:themeFillShade="D9"/>
            <w:noWrap/>
            <w:hideMark/>
          </w:tcPr>
          <w:p w14:paraId="276CB342"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N</w:t>
            </w:r>
          </w:p>
        </w:tc>
        <w:tc>
          <w:tcPr>
            <w:tcW w:w="934" w:type="pct"/>
            <w:shd w:val="clear" w:color="auto" w:fill="D9D9D9" w:themeFill="background1" w:themeFillShade="D9"/>
            <w:noWrap/>
            <w:hideMark/>
          </w:tcPr>
          <w:p w14:paraId="1025A161"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 xml:space="preserve">% </w:t>
            </w:r>
          </w:p>
        </w:tc>
      </w:tr>
      <w:tr w:rsidR="00E6794E" w:rsidRPr="00B62036" w14:paraId="1EF907C0" w14:textId="77777777" w:rsidTr="00413BBF">
        <w:trPr>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129FBBB1"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Return Voucher</w:t>
            </w:r>
          </w:p>
        </w:tc>
        <w:tc>
          <w:tcPr>
            <w:tcW w:w="783" w:type="pct"/>
            <w:noWrap/>
            <w:hideMark/>
          </w:tcPr>
          <w:p w14:paraId="14F02BC7"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119</w:t>
            </w:r>
          </w:p>
        </w:tc>
        <w:tc>
          <w:tcPr>
            <w:tcW w:w="934" w:type="pct"/>
            <w:noWrap/>
            <w:hideMark/>
          </w:tcPr>
          <w:p w14:paraId="5CCC26CA"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59.5%</w:t>
            </w:r>
          </w:p>
        </w:tc>
      </w:tr>
      <w:tr w:rsidR="00E6794E" w:rsidRPr="00B62036" w14:paraId="5709B9DB" w14:textId="77777777" w:rsidTr="00413BB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52AB0799"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VST, business/entrepreneurial skills trainings</w:t>
            </w:r>
          </w:p>
        </w:tc>
        <w:tc>
          <w:tcPr>
            <w:tcW w:w="783" w:type="pct"/>
            <w:noWrap/>
            <w:hideMark/>
          </w:tcPr>
          <w:p w14:paraId="064F50ED"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46</w:t>
            </w:r>
          </w:p>
        </w:tc>
        <w:tc>
          <w:tcPr>
            <w:tcW w:w="934" w:type="pct"/>
            <w:noWrap/>
            <w:hideMark/>
          </w:tcPr>
          <w:p w14:paraId="2BE04D7F"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23%</w:t>
            </w:r>
          </w:p>
        </w:tc>
      </w:tr>
      <w:tr w:rsidR="00E6794E" w:rsidRPr="00B62036" w14:paraId="0106D1B5" w14:textId="77777777" w:rsidTr="00413BBF">
        <w:trPr>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2B2BF3A8"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Peace building and conflict resolutions</w:t>
            </w:r>
          </w:p>
        </w:tc>
        <w:tc>
          <w:tcPr>
            <w:tcW w:w="783" w:type="pct"/>
            <w:noWrap/>
            <w:hideMark/>
          </w:tcPr>
          <w:p w14:paraId="502F397D"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36</w:t>
            </w:r>
          </w:p>
        </w:tc>
        <w:tc>
          <w:tcPr>
            <w:tcW w:w="934" w:type="pct"/>
            <w:noWrap/>
            <w:hideMark/>
          </w:tcPr>
          <w:p w14:paraId="3EBD58DC"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18%</w:t>
            </w:r>
          </w:p>
        </w:tc>
      </w:tr>
      <w:tr w:rsidR="00E6794E" w:rsidRPr="00B62036" w14:paraId="544334F7" w14:textId="77777777" w:rsidTr="00413BB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7DA7C1CD"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Support for children education</w:t>
            </w:r>
          </w:p>
        </w:tc>
        <w:tc>
          <w:tcPr>
            <w:tcW w:w="783" w:type="pct"/>
            <w:noWrap/>
            <w:hideMark/>
          </w:tcPr>
          <w:p w14:paraId="27C2C664"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87</w:t>
            </w:r>
          </w:p>
        </w:tc>
        <w:tc>
          <w:tcPr>
            <w:tcW w:w="934" w:type="pct"/>
            <w:noWrap/>
            <w:hideMark/>
          </w:tcPr>
          <w:p w14:paraId="7641C583"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43.5%</w:t>
            </w:r>
          </w:p>
        </w:tc>
      </w:tr>
      <w:tr w:rsidR="00E6794E" w:rsidRPr="00B62036" w14:paraId="7BB8D933" w14:textId="77777777" w:rsidTr="00413BBF">
        <w:trPr>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3153C3AB"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Business start-up grants</w:t>
            </w:r>
          </w:p>
        </w:tc>
        <w:tc>
          <w:tcPr>
            <w:tcW w:w="783" w:type="pct"/>
            <w:noWrap/>
            <w:hideMark/>
          </w:tcPr>
          <w:p w14:paraId="75864C16"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4</w:t>
            </w:r>
          </w:p>
        </w:tc>
        <w:tc>
          <w:tcPr>
            <w:tcW w:w="934" w:type="pct"/>
            <w:noWrap/>
            <w:hideMark/>
          </w:tcPr>
          <w:p w14:paraId="3C21E772"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w:t>
            </w:r>
          </w:p>
        </w:tc>
      </w:tr>
      <w:tr w:rsidR="00E6794E" w:rsidRPr="00B62036" w14:paraId="25E5BD79" w14:textId="77777777" w:rsidTr="00413BB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7D718318"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Agriculture packages</w:t>
            </w:r>
          </w:p>
        </w:tc>
        <w:tc>
          <w:tcPr>
            <w:tcW w:w="783" w:type="pct"/>
            <w:noWrap/>
            <w:hideMark/>
          </w:tcPr>
          <w:p w14:paraId="06BF1C72"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20</w:t>
            </w:r>
          </w:p>
        </w:tc>
        <w:tc>
          <w:tcPr>
            <w:tcW w:w="934" w:type="pct"/>
            <w:noWrap/>
            <w:hideMark/>
          </w:tcPr>
          <w:p w14:paraId="6CB2E41A"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10%</w:t>
            </w:r>
          </w:p>
        </w:tc>
      </w:tr>
      <w:tr w:rsidR="00E6794E" w:rsidRPr="00B62036" w14:paraId="6EFBF12F" w14:textId="77777777" w:rsidTr="00413BBF">
        <w:trPr>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79A28087"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Allocation of land</w:t>
            </w:r>
          </w:p>
        </w:tc>
        <w:tc>
          <w:tcPr>
            <w:tcW w:w="783" w:type="pct"/>
            <w:noWrap/>
            <w:hideMark/>
          </w:tcPr>
          <w:p w14:paraId="6A29B65F"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32</w:t>
            </w:r>
          </w:p>
        </w:tc>
        <w:tc>
          <w:tcPr>
            <w:tcW w:w="934" w:type="pct"/>
            <w:noWrap/>
            <w:hideMark/>
          </w:tcPr>
          <w:p w14:paraId="5D465A1D"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16%</w:t>
            </w:r>
          </w:p>
        </w:tc>
      </w:tr>
      <w:tr w:rsidR="00E6794E" w:rsidRPr="00B62036" w14:paraId="2C92A710" w14:textId="77777777" w:rsidTr="00413BB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83" w:type="pct"/>
            <w:noWrap/>
            <w:hideMark/>
          </w:tcPr>
          <w:p w14:paraId="5260926E" w14:textId="0397EE6C" w:rsidR="00E6794E" w:rsidRPr="00B62036" w:rsidRDefault="00906145"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Shelter</w:t>
            </w:r>
            <w:r w:rsidR="00E6794E" w:rsidRPr="00B62036">
              <w:rPr>
                <w:rFonts w:ascii="Gill Sans MT" w:hAnsi="Gill Sans MT" w:cs="Calibri"/>
                <w:b w:val="0"/>
                <w:color w:val="000000"/>
                <w:sz w:val="20"/>
                <w:szCs w:val="20"/>
                <w:lang w:val="en-GB" w:eastAsia="en-GB"/>
              </w:rPr>
              <w:t xml:space="preserve"> </w:t>
            </w:r>
          </w:p>
        </w:tc>
        <w:tc>
          <w:tcPr>
            <w:tcW w:w="783" w:type="pct"/>
            <w:noWrap/>
            <w:hideMark/>
          </w:tcPr>
          <w:p w14:paraId="5DDE77A0"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20</w:t>
            </w:r>
          </w:p>
        </w:tc>
        <w:tc>
          <w:tcPr>
            <w:tcW w:w="934" w:type="pct"/>
            <w:noWrap/>
            <w:hideMark/>
          </w:tcPr>
          <w:p w14:paraId="3AA02405" w14:textId="77777777" w:rsidR="00E6794E" w:rsidRPr="00B62036" w:rsidRDefault="00E6794E"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10%</w:t>
            </w:r>
          </w:p>
        </w:tc>
      </w:tr>
      <w:tr w:rsidR="00E6794E" w:rsidRPr="00B62036" w14:paraId="09A8A463" w14:textId="77777777" w:rsidTr="00413BBF">
        <w:trPr>
          <w:trHeight w:val="355"/>
        </w:trPr>
        <w:tc>
          <w:tcPr>
            <w:cnfStyle w:val="001000000000" w:firstRow="0" w:lastRow="0" w:firstColumn="1" w:lastColumn="0" w:oddVBand="0" w:evenVBand="0" w:oddHBand="0" w:evenHBand="0" w:firstRowFirstColumn="0" w:firstRowLastColumn="0" w:lastRowFirstColumn="0" w:lastRowLastColumn="0"/>
            <w:tcW w:w="3283" w:type="pct"/>
            <w:shd w:val="clear" w:color="auto" w:fill="D9D9D9" w:themeFill="background1" w:themeFillShade="D9"/>
            <w:noWrap/>
          </w:tcPr>
          <w:p w14:paraId="111FE316" w14:textId="77777777" w:rsidR="00E6794E" w:rsidRPr="00B62036" w:rsidRDefault="00E6794E"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Total</w:t>
            </w:r>
          </w:p>
        </w:tc>
        <w:tc>
          <w:tcPr>
            <w:tcW w:w="783" w:type="pct"/>
            <w:shd w:val="clear" w:color="auto" w:fill="D9D9D9" w:themeFill="background1" w:themeFillShade="D9"/>
            <w:noWrap/>
          </w:tcPr>
          <w:p w14:paraId="0F578768" w14:textId="77777777"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364</w:t>
            </w:r>
          </w:p>
        </w:tc>
        <w:tc>
          <w:tcPr>
            <w:tcW w:w="934" w:type="pct"/>
            <w:shd w:val="clear" w:color="auto" w:fill="D9D9D9" w:themeFill="background1" w:themeFillShade="D9"/>
            <w:noWrap/>
          </w:tcPr>
          <w:p w14:paraId="2BF24E0A" w14:textId="19DF8544" w:rsidR="00E6794E" w:rsidRPr="00B62036" w:rsidRDefault="00E6794E"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182%</w:t>
            </w:r>
            <w:r w:rsidR="00413BBF">
              <w:rPr>
                <w:rStyle w:val="FootnoteReference"/>
                <w:rFonts w:ascii="Gill Sans MT" w:hAnsi="Gill Sans MT" w:cs="Calibri"/>
                <w:color w:val="000000"/>
                <w:sz w:val="20"/>
                <w:szCs w:val="20"/>
                <w:lang w:val="en-GB" w:eastAsia="en-GB"/>
              </w:rPr>
              <w:footnoteReference w:id="10"/>
            </w:r>
          </w:p>
        </w:tc>
      </w:tr>
    </w:tbl>
    <w:p w14:paraId="5A316EEB" w14:textId="77777777" w:rsidR="00E6794E" w:rsidRPr="00B62036" w:rsidRDefault="00E6794E" w:rsidP="00230515">
      <w:pPr>
        <w:pStyle w:val="Default"/>
        <w:tabs>
          <w:tab w:val="left" w:pos="1440"/>
        </w:tabs>
        <w:jc w:val="both"/>
        <w:rPr>
          <w:rFonts w:ascii="Gill Sans MT" w:hAnsi="Gill Sans MT" w:cs="Calibri"/>
          <w:sz w:val="20"/>
          <w:szCs w:val="20"/>
        </w:rPr>
      </w:pPr>
    </w:p>
    <w:p w14:paraId="63D04F6E" w14:textId="3013F3DC" w:rsidR="00413BBF" w:rsidRDefault="00241BC9" w:rsidP="00230515">
      <w:pPr>
        <w:autoSpaceDE w:val="0"/>
        <w:autoSpaceDN w:val="0"/>
        <w:adjustRightInd w:val="0"/>
        <w:spacing w:line="276" w:lineRule="auto"/>
        <w:jc w:val="both"/>
        <w:rPr>
          <w:rFonts w:ascii="Gill Sans MT" w:hAnsi="Gill Sans MT"/>
          <w:sz w:val="20"/>
          <w:szCs w:val="20"/>
          <w:lang w:val="en-GB"/>
        </w:rPr>
      </w:pPr>
      <w:r w:rsidRPr="00B62036">
        <w:rPr>
          <w:rFonts w:ascii="Gill Sans MT" w:hAnsi="Gill Sans MT"/>
          <w:sz w:val="20"/>
          <w:szCs w:val="20"/>
          <w:lang w:val="en-GB"/>
        </w:rPr>
        <w:t xml:space="preserve">The support for children largely involved facilitation of access to schools in the areas of return. UNICEF was the partner UN organization that implemented this </w:t>
      </w:r>
      <w:r w:rsidR="004B03E6" w:rsidRPr="00B62036">
        <w:rPr>
          <w:rFonts w:ascii="Gill Sans MT" w:hAnsi="Gill Sans MT"/>
          <w:sz w:val="20"/>
          <w:szCs w:val="20"/>
          <w:lang w:val="en-GB"/>
        </w:rPr>
        <w:t>segment</w:t>
      </w:r>
      <w:r w:rsidRPr="00B62036">
        <w:rPr>
          <w:rFonts w:ascii="Gill Sans MT" w:hAnsi="Gill Sans MT"/>
          <w:sz w:val="20"/>
          <w:szCs w:val="20"/>
          <w:lang w:val="en-GB"/>
        </w:rPr>
        <w:t xml:space="preserve"> of the project. From the analysis, 58.2% of the interviewed households reported that </w:t>
      </w:r>
      <w:r w:rsidR="004B03E6" w:rsidRPr="00B62036">
        <w:rPr>
          <w:rFonts w:ascii="Gill Sans MT" w:hAnsi="Gill Sans MT"/>
          <w:sz w:val="20"/>
          <w:szCs w:val="20"/>
          <w:lang w:val="en-GB"/>
        </w:rPr>
        <w:t>‘</w:t>
      </w:r>
      <w:r w:rsidRPr="00B62036">
        <w:rPr>
          <w:rFonts w:ascii="Gill Sans MT" w:hAnsi="Gill Sans MT"/>
          <w:sz w:val="20"/>
          <w:szCs w:val="20"/>
          <w:lang w:val="en-GB"/>
        </w:rPr>
        <w:t>some of the respondent’s children were attending schools in the region</w:t>
      </w:r>
      <w:r w:rsidR="004B03E6" w:rsidRPr="00B62036">
        <w:rPr>
          <w:rFonts w:ascii="Gill Sans MT" w:hAnsi="Gill Sans MT"/>
          <w:sz w:val="20"/>
          <w:szCs w:val="20"/>
          <w:lang w:val="en-GB"/>
        </w:rPr>
        <w:t>’,</w:t>
      </w:r>
      <w:r w:rsidRPr="00B62036">
        <w:rPr>
          <w:rFonts w:ascii="Gill Sans MT" w:hAnsi="Gill Sans MT"/>
          <w:sz w:val="20"/>
          <w:szCs w:val="20"/>
          <w:lang w:val="en-GB"/>
        </w:rPr>
        <w:t xml:space="preserve"> while 16.6% had enrolled all their children in schools in the region.  However, 25.3 % of respondent’s children are not attending school. </w:t>
      </w:r>
      <w:r w:rsidR="00655C83" w:rsidRPr="00B62036">
        <w:rPr>
          <w:rFonts w:ascii="Gill Sans MT" w:hAnsi="Gill Sans MT"/>
          <w:sz w:val="20"/>
          <w:szCs w:val="20"/>
          <w:lang w:val="en-GB"/>
        </w:rPr>
        <w:t xml:space="preserve">Disaggregating this by the residential status of the respondents, </w:t>
      </w:r>
      <w:r w:rsidR="00692DD8" w:rsidRPr="00692DD8">
        <w:rPr>
          <w:rFonts w:ascii="Gill Sans MT" w:hAnsi="Gill Sans MT"/>
          <w:sz w:val="20"/>
          <w:szCs w:val="20"/>
          <w:lang w:val="en-GB"/>
        </w:rPr>
        <w:t>a larger number of returnee children were all attending schools in Baidoa (26.5%) compared to IDP children (18.72%) and host community children (4.1%).</w:t>
      </w:r>
      <w:r w:rsidR="00692DD8">
        <w:rPr>
          <w:rFonts w:ascii="Gill Sans MT" w:hAnsi="Gill Sans MT"/>
          <w:sz w:val="20"/>
          <w:szCs w:val="20"/>
          <w:lang w:val="en-GB"/>
        </w:rPr>
        <w:t xml:space="preserve"> </w:t>
      </w:r>
      <w:r w:rsidR="008B6212" w:rsidRPr="00B62036">
        <w:rPr>
          <w:rFonts w:ascii="Gill Sans MT" w:hAnsi="Gill Sans MT"/>
          <w:sz w:val="20"/>
          <w:szCs w:val="20"/>
          <w:lang w:val="en-GB"/>
        </w:rPr>
        <w:t>FGDs with the returnees explained that some households preferred sending out children to engage in casual labour as a means of earning income for the households.</w:t>
      </w:r>
    </w:p>
    <w:p w14:paraId="01B9308C" w14:textId="77777777" w:rsidR="005D458E" w:rsidRDefault="005D458E" w:rsidP="00230515">
      <w:pPr>
        <w:autoSpaceDE w:val="0"/>
        <w:autoSpaceDN w:val="0"/>
        <w:adjustRightInd w:val="0"/>
        <w:spacing w:line="276" w:lineRule="auto"/>
        <w:jc w:val="both"/>
        <w:rPr>
          <w:rFonts w:ascii="Gill Sans MT" w:hAnsi="Gill Sans MT"/>
          <w:sz w:val="20"/>
          <w:szCs w:val="20"/>
          <w:lang w:val="en-GB"/>
        </w:rPr>
      </w:pPr>
    </w:p>
    <w:p w14:paraId="38882095" w14:textId="77777777" w:rsidR="005D458E" w:rsidRDefault="005D458E" w:rsidP="00230515">
      <w:pPr>
        <w:autoSpaceDE w:val="0"/>
        <w:autoSpaceDN w:val="0"/>
        <w:adjustRightInd w:val="0"/>
        <w:spacing w:line="276" w:lineRule="auto"/>
        <w:jc w:val="both"/>
        <w:rPr>
          <w:rFonts w:ascii="Gill Sans MT" w:hAnsi="Gill Sans MT"/>
          <w:sz w:val="20"/>
          <w:szCs w:val="20"/>
          <w:lang w:val="en-GB"/>
        </w:rPr>
      </w:pPr>
    </w:p>
    <w:p w14:paraId="5956D709" w14:textId="77777777" w:rsidR="005D458E" w:rsidRDefault="005D458E" w:rsidP="00230515">
      <w:pPr>
        <w:autoSpaceDE w:val="0"/>
        <w:autoSpaceDN w:val="0"/>
        <w:adjustRightInd w:val="0"/>
        <w:spacing w:line="276" w:lineRule="auto"/>
        <w:jc w:val="both"/>
        <w:rPr>
          <w:rFonts w:ascii="Gill Sans MT" w:hAnsi="Gill Sans MT"/>
          <w:sz w:val="20"/>
          <w:szCs w:val="20"/>
          <w:lang w:val="en-GB"/>
        </w:rPr>
      </w:pPr>
    </w:p>
    <w:p w14:paraId="73845C1E" w14:textId="77777777" w:rsidR="005D458E" w:rsidRDefault="005D458E" w:rsidP="00230515">
      <w:pPr>
        <w:autoSpaceDE w:val="0"/>
        <w:autoSpaceDN w:val="0"/>
        <w:adjustRightInd w:val="0"/>
        <w:spacing w:line="276" w:lineRule="auto"/>
        <w:jc w:val="both"/>
        <w:rPr>
          <w:rFonts w:ascii="Gill Sans MT" w:hAnsi="Gill Sans MT"/>
          <w:sz w:val="20"/>
          <w:szCs w:val="20"/>
          <w:lang w:val="en-GB"/>
        </w:rPr>
      </w:pPr>
    </w:p>
    <w:p w14:paraId="1514D0A3" w14:textId="498418C2" w:rsidR="00241BC9" w:rsidRPr="00B62036" w:rsidRDefault="008B6212" w:rsidP="00230515">
      <w:pPr>
        <w:autoSpaceDE w:val="0"/>
        <w:autoSpaceDN w:val="0"/>
        <w:adjustRightInd w:val="0"/>
        <w:spacing w:line="276" w:lineRule="auto"/>
        <w:jc w:val="both"/>
        <w:rPr>
          <w:rFonts w:ascii="Gill Sans MT" w:hAnsi="Gill Sans MT"/>
          <w:sz w:val="20"/>
          <w:szCs w:val="20"/>
          <w:lang w:val="en-GB"/>
        </w:rPr>
      </w:pPr>
      <w:r w:rsidRPr="00B62036">
        <w:rPr>
          <w:rFonts w:ascii="Gill Sans MT" w:hAnsi="Gill Sans MT"/>
          <w:sz w:val="20"/>
          <w:szCs w:val="20"/>
          <w:lang w:val="en-GB"/>
        </w:rPr>
        <w:t xml:space="preserve"> </w:t>
      </w:r>
    </w:p>
    <w:p w14:paraId="3D1ADCF4" w14:textId="6DD266F1" w:rsidR="002A424D" w:rsidRPr="00692DD8" w:rsidRDefault="00692DD8" w:rsidP="00692DD8">
      <w:pPr>
        <w:pStyle w:val="Caption"/>
        <w:rPr>
          <w:rFonts w:ascii="Gill Sans MT" w:hAnsi="Gill Sans MT"/>
          <w:sz w:val="20"/>
          <w:szCs w:val="20"/>
        </w:rPr>
      </w:pPr>
      <w:r w:rsidRPr="00692DD8">
        <w:rPr>
          <w:rFonts w:ascii="Gill Sans MT" w:hAnsi="Gill Sans MT"/>
        </w:rPr>
        <w:t xml:space="preserve">Table </w:t>
      </w:r>
      <w:r w:rsidRPr="00692DD8">
        <w:rPr>
          <w:rFonts w:ascii="Gill Sans MT" w:hAnsi="Gill Sans MT"/>
        </w:rPr>
        <w:fldChar w:fldCharType="begin"/>
      </w:r>
      <w:r w:rsidRPr="00692DD8">
        <w:rPr>
          <w:rFonts w:ascii="Gill Sans MT" w:hAnsi="Gill Sans MT"/>
        </w:rPr>
        <w:instrText xml:space="preserve"> SEQ Table \* ARABIC </w:instrText>
      </w:r>
      <w:r w:rsidRPr="00692DD8">
        <w:rPr>
          <w:rFonts w:ascii="Gill Sans MT" w:hAnsi="Gill Sans MT"/>
        </w:rPr>
        <w:fldChar w:fldCharType="separate"/>
      </w:r>
      <w:r w:rsidR="00A52509">
        <w:rPr>
          <w:rFonts w:ascii="Gill Sans MT" w:hAnsi="Gill Sans MT"/>
          <w:noProof/>
        </w:rPr>
        <w:t>8</w:t>
      </w:r>
      <w:r w:rsidRPr="00692DD8">
        <w:rPr>
          <w:rFonts w:ascii="Gill Sans MT" w:hAnsi="Gill Sans MT"/>
        </w:rPr>
        <w:fldChar w:fldCharType="end"/>
      </w:r>
      <w:r w:rsidRPr="00692DD8">
        <w:rPr>
          <w:rFonts w:ascii="Gill Sans MT" w:hAnsi="Gill Sans MT"/>
        </w:rPr>
        <w:t xml:space="preserve"> </w:t>
      </w:r>
      <w:r w:rsidR="00941927" w:rsidRPr="00692DD8">
        <w:rPr>
          <w:rFonts w:ascii="Gill Sans MT" w:hAnsi="Gill Sans MT"/>
          <w:sz w:val="20"/>
          <w:szCs w:val="20"/>
        </w:rPr>
        <w:t>School Attendances</w:t>
      </w:r>
      <w:r w:rsidR="00241BC9" w:rsidRPr="00692DD8">
        <w:rPr>
          <w:rFonts w:ascii="Gill Sans MT" w:hAnsi="Gill Sans MT"/>
          <w:sz w:val="20"/>
          <w:szCs w:val="20"/>
        </w:rPr>
        <w:t xml:space="preserve"> for PoC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63"/>
        <w:gridCol w:w="825"/>
        <w:gridCol w:w="1441"/>
        <w:gridCol w:w="1544"/>
        <w:gridCol w:w="1852"/>
        <w:gridCol w:w="1645"/>
      </w:tblGrid>
      <w:tr w:rsidR="00413BBF" w:rsidRPr="00692DD8" w14:paraId="64B1A93D" w14:textId="77777777" w:rsidTr="00692DD8">
        <w:trPr>
          <w:cantSplit/>
          <w:trHeight w:val="135"/>
        </w:trPr>
        <w:tc>
          <w:tcPr>
            <w:tcW w:w="1541" w:type="pct"/>
            <w:gridSpan w:val="2"/>
            <w:shd w:val="clear" w:color="auto" w:fill="D9D9D9" w:themeFill="background1" w:themeFillShade="D9"/>
          </w:tcPr>
          <w:p w14:paraId="0DF721BA" w14:textId="6D252069" w:rsidR="00413BBF" w:rsidRPr="00692DD8" w:rsidRDefault="00413BBF" w:rsidP="00692DD8">
            <w:pPr>
              <w:autoSpaceDE w:val="0"/>
              <w:autoSpaceDN w:val="0"/>
              <w:adjustRightInd w:val="0"/>
              <w:jc w:val="center"/>
              <w:rPr>
                <w:rFonts w:ascii="Gill Sans MT" w:hAnsi="Gill Sans MT" w:cs="Arial"/>
                <w:b/>
                <w:color w:val="000000"/>
                <w:sz w:val="18"/>
                <w:szCs w:val="18"/>
                <w:lang w:val="en-GB"/>
              </w:rPr>
            </w:pPr>
            <w:r w:rsidRPr="00692DD8">
              <w:rPr>
                <w:rFonts w:ascii="Gill Sans MT" w:hAnsi="Gill Sans MT" w:cs="Arial"/>
                <w:b/>
                <w:color w:val="000000"/>
                <w:sz w:val="18"/>
                <w:szCs w:val="18"/>
                <w:lang w:val="en-GB"/>
              </w:rPr>
              <w:t>Children attend school in this location</w:t>
            </w:r>
          </w:p>
        </w:tc>
        <w:tc>
          <w:tcPr>
            <w:tcW w:w="769" w:type="pct"/>
            <w:shd w:val="clear" w:color="auto" w:fill="D9D9D9" w:themeFill="background1" w:themeFillShade="D9"/>
          </w:tcPr>
          <w:p w14:paraId="5CD584BB" w14:textId="77777777" w:rsidR="00413BBF" w:rsidRPr="00692DD8" w:rsidRDefault="00413BBF" w:rsidP="00692DD8">
            <w:pPr>
              <w:autoSpaceDE w:val="0"/>
              <w:autoSpaceDN w:val="0"/>
              <w:adjustRightInd w:val="0"/>
              <w:spacing w:line="320" w:lineRule="atLeast"/>
              <w:ind w:left="60" w:right="60"/>
              <w:jc w:val="center"/>
              <w:rPr>
                <w:rFonts w:ascii="Gill Sans MT" w:hAnsi="Gill Sans MT" w:cs="Arial"/>
                <w:b/>
                <w:color w:val="000000"/>
                <w:sz w:val="18"/>
                <w:szCs w:val="18"/>
                <w:lang w:val="en-GB"/>
              </w:rPr>
            </w:pPr>
            <w:r w:rsidRPr="00692DD8">
              <w:rPr>
                <w:rFonts w:ascii="Gill Sans MT" w:hAnsi="Gill Sans MT" w:cs="Arial"/>
                <w:b/>
                <w:color w:val="000000"/>
                <w:sz w:val="18"/>
                <w:szCs w:val="18"/>
                <w:lang w:val="en-GB"/>
              </w:rPr>
              <w:t>Returnee</w:t>
            </w:r>
          </w:p>
        </w:tc>
        <w:tc>
          <w:tcPr>
            <w:tcW w:w="824" w:type="pct"/>
            <w:shd w:val="clear" w:color="auto" w:fill="D9D9D9" w:themeFill="background1" w:themeFillShade="D9"/>
          </w:tcPr>
          <w:p w14:paraId="0651E190" w14:textId="77777777" w:rsidR="00413BBF" w:rsidRPr="00692DD8" w:rsidRDefault="00413BBF" w:rsidP="00692DD8">
            <w:pPr>
              <w:autoSpaceDE w:val="0"/>
              <w:autoSpaceDN w:val="0"/>
              <w:adjustRightInd w:val="0"/>
              <w:spacing w:line="320" w:lineRule="atLeast"/>
              <w:ind w:left="60" w:right="60"/>
              <w:jc w:val="center"/>
              <w:rPr>
                <w:rFonts w:ascii="Gill Sans MT" w:hAnsi="Gill Sans MT" w:cs="Arial"/>
                <w:b/>
                <w:color w:val="000000"/>
                <w:sz w:val="18"/>
                <w:szCs w:val="18"/>
                <w:lang w:val="en-GB"/>
              </w:rPr>
            </w:pPr>
            <w:r w:rsidRPr="00692DD8">
              <w:rPr>
                <w:rFonts w:ascii="Gill Sans MT" w:hAnsi="Gill Sans MT" w:cs="Arial"/>
                <w:b/>
                <w:color w:val="000000"/>
                <w:sz w:val="18"/>
                <w:szCs w:val="18"/>
                <w:lang w:val="en-GB"/>
              </w:rPr>
              <w:t>IDP</w:t>
            </w:r>
          </w:p>
        </w:tc>
        <w:tc>
          <w:tcPr>
            <w:tcW w:w="988" w:type="pct"/>
            <w:shd w:val="clear" w:color="auto" w:fill="D9D9D9" w:themeFill="background1" w:themeFillShade="D9"/>
          </w:tcPr>
          <w:p w14:paraId="56C31D37" w14:textId="722EAB5A" w:rsidR="00413BBF" w:rsidRPr="00692DD8" w:rsidRDefault="00413BBF" w:rsidP="00692DD8">
            <w:pPr>
              <w:autoSpaceDE w:val="0"/>
              <w:autoSpaceDN w:val="0"/>
              <w:adjustRightInd w:val="0"/>
              <w:spacing w:line="320" w:lineRule="atLeast"/>
              <w:ind w:right="60"/>
              <w:jc w:val="center"/>
              <w:rPr>
                <w:rFonts w:ascii="Gill Sans MT" w:hAnsi="Gill Sans MT" w:cs="Arial"/>
                <w:b/>
                <w:color w:val="000000"/>
                <w:sz w:val="18"/>
                <w:szCs w:val="18"/>
                <w:lang w:val="en-GB"/>
              </w:rPr>
            </w:pPr>
            <w:r w:rsidRPr="00692DD8">
              <w:rPr>
                <w:rFonts w:ascii="Gill Sans MT" w:hAnsi="Gill Sans MT" w:cs="Arial"/>
                <w:b/>
                <w:color w:val="000000"/>
                <w:sz w:val="18"/>
                <w:szCs w:val="18"/>
                <w:lang w:val="en-GB"/>
              </w:rPr>
              <w:t>Host Community</w:t>
            </w:r>
          </w:p>
        </w:tc>
        <w:tc>
          <w:tcPr>
            <w:tcW w:w="879" w:type="pct"/>
            <w:shd w:val="clear" w:color="auto" w:fill="D9D9D9" w:themeFill="background1" w:themeFillShade="D9"/>
          </w:tcPr>
          <w:p w14:paraId="140529E7" w14:textId="77777777" w:rsidR="00692DD8" w:rsidRDefault="00692DD8" w:rsidP="00692DD8">
            <w:pPr>
              <w:autoSpaceDE w:val="0"/>
              <w:autoSpaceDN w:val="0"/>
              <w:adjustRightInd w:val="0"/>
              <w:jc w:val="center"/>
              <w:rPr>
                <w:rFonts w:ascii="Gill Sans MT" w:hAnsi="Gill Sans MT" w:cs="Arial"/>
                <w:b/>
                <w:color w:val="000000"/>
                <w:sz w:val="18"/>
                <w:szCs w:val="18"/>
                <w:lang w:val="en-GB"/>
              </w:rPr>
            </w:pPr>
          </w:p>
          <w:p w14:paraId="1644B3C7" w14:textId="77777777" w:rsidR="00413BBF" w:rsidRPr="00692DD8" w:rsidRDefault="00413BBF" w:rsidP="00692DD8">
            <w:pPr>
              <w:autoSpaceDE w:val="0"/>
              <w:autoSpaceDN w:val="0"/>
              <w:adjustRightInd w:val="0"/>
              <w:rPr>
                <w:rFonts w:ascii="Gill Sans MT" w:hAnsi="Gill Sans MT" w:cs="Arial"/>
                <w:b/>
                <w:color w:val="000000"/>
                <w:sz w:val="18"/>
                <w:szCs w:val="18"/>
                <w:lang w:val="en-GB"/>
              </w:rPr>
            </w:pPr>
            <w:r w:rsidRPr="00692DD8">
              <w:rPr>
                <w:rFonts w:ascii="Gill Sans MT" w:hAnsi="Gill Sans MT" w:cs="Arial"/>
                <w:b/>
                <w:color w:val="000000"/>
                <w:sz w:val="18"/>
                <w:szCs w:val="18"/>
                <w:lang w:val="en-GB"/>
              </w:rPr>
              <w:t>Combined Total</w:t>
            </w:r>
          </w:p>
        </w:tc>
      </w:tr>
      <w:tr w:rsidR="00413BBF" w:rsidRPr="00692DD8" w14:paraId="243194E4" w14:textId="77777777" w:rsidTr="00692DD8">
        <w:trPr>
          <w:cantSplit/>
          <w:trHeight w:val="123"/>
        </w:trPr>
        <w:tc>
          <w:tcPr>
            <w:tcW w:w="1101" w:type="pct"/>
            <w:shd w:val="clear" w:color="auto" w:fill="FFFFFF"/>
            <w:vAlign w:val="center"/>
          </w:tcPr>
          <w:p w14:paraId="0EB68219"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lang w:val="en-GB"/>
              </w:rPr>
              <w:lastRenderedPageBreak/>
              <w:t>Yes, All attend</w:t>
            </w:r>
          </w:p>
        </w:tc>
        <w:tc>
          <w:tcPr>
            <w:tcW w:w="439" w:type="pct"/>
            <w:shd w:val="clear" w:color="auto" w:fill="FFFFFF"/>
            <w:vAlign w:val="center"/>
          </w:tcPr>
          <w:p w14:paraId="0AA9B301"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rPr>
            </w:pPr>
            <w:r w:rsidRPr="00692DD8">
              <w:rPr>
                <w:rFonts w:ascii="Gill Sans MT" w:hAnsi="Gill Sans MT" w:cs="Arial"/>
                <w:color w:val="000000"/>
                <w:sz w:val="18"/>
                <w:szCs w:val="18"/>
              </w:rPr>
              <w:t>N</w:t>
            </w:r>
          </w:p>
          <w:p w14:paraId="2B44F080"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rPr>
              <w:t>%</w:t>
            </w:r>
          </w:p>
        </w:tc>
        <w:tc>
          <w:tcPr>
            <w:tcW w:w="769" w:type="pct"/>
            <w:shd w:val="clear" w:color="auto" w:fill="FFFFFF"/>
            <w:vAlign w:val="center"/>
          </w:tcPr>
          <w:p w14:paraId="0ECB2EC0"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53</w:t>
            </w:r>
          </w:p>
          <w:p w14:paraId="23CD43D5"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26.5%</w:t>
            </w:r>
          </w:p>
        </w:tc>
        <w:tc>
          <w:tcPr>
            <w:tcW w:w="824" w:type="pct"/>
            <w:shd w:val="clear" w:color="auto" w:fill="FFFFFF"/>
            <w:vAlign w:val="center"/>
          </w:tcPr>
          <w:p w14:paraId="14B0122E"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38</w:t>
            </w:r>
          </w:p>
          <w:p w14:paraId="41B63358"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18.72%</w:t>
            </w:r>
          </w:p>
        </w:tc>
        <w:tc>
          <w:tcPr>
            <w:tcW w:w="988" w:type="pct"/>
            <w:shd w:val="clear" w:color="auto" w:fill="FFFFFF"/>
            <w:vAlign w:val="center"/>
          </w:tcPr>
          <w:p w14:paraId="05DC9F7F"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8</w:t>
            </w:r>
          </w:p>
          <w:p w14:paraId="7BDF8D85"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4.1%</w:t>
            </w:r>
          </w:p>
        </w:tc>
        <w:tc>
          <w:tcPr>
            <w:tcW w:w="879" w:type="pct"/>
            <w:shd w:val="clear" w:color="auto" w:fill="FFFFFF"/>
            <w:vAlign w:val="center"/>
          </w:tcPr>
          <w:p w14:paraId="4A4524F9"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99</w:t>
            </w:r>
          </w:p>
          <w:p w14:paraId="59A82F76"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16.6%</w:t>
            </w:r>
          </w:p>
        </w:tc>
      </w:tr>
      <w:tr w:rsidR="00413BBF" w:rsidRPr="00692DD8" w14:paraId="72278A64" w14:textId="77777777" w:rsidTr="00692DD8">
        <w:trPr>
          <w:cantSplit/>
          <w:trHeight w:val="176"/>
        </w:trPr>
        <w:tc>
          <w:tcPr>
            <w:tcW w:w="1101" w:type="pct"/>
            <w:shd w:val="clear" w:color="auto" w:fill="FFFFFF"/>
            <w:vAlign w:val="center"/>
          </w:tcPr>
          <w:p w14:paraId="1D29AC32"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lang w:val="en-GB"/>
              </w:rPr>
              <w:t>Yes, Some of them  attend</w:t>
            </w:r>
          </w:p>
        </w:tc>
        <w:tc>
          <w:tcPr>
            <w:tcW w:w="439" w:type="pct"/>
            <w:shd w:val="clear" w:color="auto" w:fill="FFFFFF"/>
            <w:vAlign w:val="center"/>
          </w:tcPr>
          <w:p w14:paraId="62BFCAEF"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rPr>
            </w:pPr>
            <w:r w:rsidRPr="00692DD8">
              <w:rPr>
                <w:rFonts w:ascii="Gill Sans MT" w:hAnsi="Gill Sans MT" w:cs="Arial"/>
                <w:color w:val="000000"/>
                <w:sz w:val="18"/>
                <w:szCs w:val="18"/>
              </w:rPr>
              <w:t>N</w:t>
            </w:r>
          </w:p>
          <w:p w14:paraId="72D92BAE"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rPr>
              <w:t>%</w:t>
            </w:r>
          </w:p>
        </w:tc>
        <w:tc>
          <w:tcPr>
            <w:tcW w:w="769" w:type="pct"/>
            <w:shd w:val="clear" w:color="auto" w:fill="FFFFFF"/>
            <w:vAlign w:val="center"/>
          </w:tcPr>
          <w:p w14:paraId="106DB1E4"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118</w:t>
            </w:r>
          </w:p>
          <w:p w14:paraId="5B4E3F15"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59%</w:t>
            </w:r>
          </w:p>
        </w:tc>
        <w:tc>
          <w:tcPr>
            <w:tcW w:w="824" w:type="pct"/>
            <w:shd w:val="clear" w:color="auto" w:fill="FFFFFF"/>
            <w:vAlign w:val="center"/>
          </w:tcPr>
          <w:p w14:paraId="63D6FEDD"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82</w:t>
            </w:r>
          </w:p>
          <w:p w14:paraId="49FC5640"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40%</w:t>
            </w:r>
          </w:p>
        </w:tc>
        <w:tc>
          <w:tcPr>
            <w:tcW w:w="988" w:type="pct"/>
            <w:shd w:val="clear" w:color="auto" w:fill="FFFFFF"/>
            <w:vAlign w:val="center"/>
          </w:tcPr>
          <w:p w14:paraId="7085B9A7"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148</w:t>
            </w:r>
          </w:p>
          <w:p w14:paraId="553024CB"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75.9%</w:t>
            </w:r>
          </w:p>
        </w:tc>
        <w:tc>
          <w:tcPr>
            <w:tcW w:w="879" w:type="pct"/>
            <w:shd w:val="clear" w:color="auto" w:fill="FFFFFF"/>
            <w:vAlign w:val="center"/>
          </w:tcPr>
          <w:p w14:paraId="33005398"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348</w:t>
            </w:r>
          </w:p>
          <w:p w14:paraId="2E93AB83"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58.2%</w:t>
            </w:r>
          </w:p>
        </w:tc>
      </w:tr>
      <w:tr w:rsidR="00413BBF" w:rsidRPr="00692DD8" w14:paraId="7E5D1A3B" w14:textId="77777777" w:rsidTr="00692DD8">
        <w:trPr>
          <w:cantSplit/>
          <w:trHeight w:val="47"/>
        </w:trPr>
        <w:tc>
          <w:tcPr>
            <w:tcW w:w="1101" w:type="pct"/>
            <w:shd w:val="clear" w:color="auto" w:fill="FFFFFF"/>
            <w:vAlign w:val="center"/>
          </w:tcPr>
          <w:p w14:paraId="71F51B4E" w14:textId="0E1C8B91" w:rsidR="00413BBF" w:rsidRPr="00692DD8" w:rsidRDefault="00692DD8" w:rsidP="001D4DE4">
            <w:pPr>
              <w:autoSpaceDE w:val="0"/>
              <w:autoSpaceDN w:val="0"/>
              <w:adjustRightInd w:val="0"/>
              <w:spacing w:line="320" w:lineRule="atLeast"/>
              <w:ind w:left="60" w:right="60"/>
              <w:rPr>
                <w:rFonts w:ascii="Gill Sans MT" w:hAnsi="Gill Sans MT" w:cs="Arial"/>
                <w:color w:val="000000"/>
                <w:sz w:val="18"/>
                <w:szCs w:val="18"/>
                <w:lang w:val="en-GB"/>
              </w:rPr>
            </w:pPr>
            <w:r>
              <w:rPr>
                <w:rFonts w:ascii="Gill Sans MT" w:hAnsi="Gill Sans MT" w:cs="Arial"/>
                <w:color w:val="000000"/>
                <w:sz w:val="18"/>
                <w:szCs w:val="18"/>
                <w:lang w:val="en-GB"/>
              </w:rPr>
              <w:t>N</w:t>
            </w:r>
            <w:r w:rsidR="00413BBF" w:rsidRPr="00692DD8">
              <w:rPr>
                <w:rFonts w:ascii="Gill Sans MT" w:hAnsi="Gill Sans MT" w:cs="Arial"/>
                <w:color w:val="000000"/>
                <w:sz w:val="18"/>
                <w:szCs w:val="18"/>
                <w:lang w:val="en-GB"/>
              </w:rPr>
              <w:t>one attend</w:t>
            </w:r>
          </w:p>
        </w:tc>
        <w:tc>
          <w:tcPr>
            <w:tcW w:w="439" w:type="pct"/>
            <w:shd w:val="clear" w:color="auto" w:fill="FFFFFF"/>
            <w:vAlign w:val="center"/>
          </w:tcPr>
          <w:p w14:paraId="63257EA3"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rPr>
            </w:pPr>
            <w:r w:rsidRPr="00692DD8">
              <w:rPr>
                <w:rFonts w:ascii="Gill Sans MT" w:hAnsi="Gill Sans MT" w:cs="Arial"/>
                <w:color w:val="000000"/>
                <w:sz w:val="18"/>
                <w:szCs w:val="18"/>
              </w:rPr>
              <w:t>N</w:t>
            </w:r>
          </w:p>
          <w:p w14:paraId="3078246F"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rPr>
              <w:t>%</w:t>
            </w:r>
          </w:p>
        </w:tc>
        <w:tc>
          <w:tcPr>
            <w:tcW w:w="769" w:type="pct"/>
            <w:shd w:val="clear" w:color="auto" w:fill="FFFFFF"/>
            <w:vAlign w:val="center"/>
          </w:tcPr>
          <w:p w14:paraId="0C1A7B69"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29</w:t>
            </w:r>
          </w:p>
          <w:p w14:paraId="6EFD30C0"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14.5%</w:t>
            </w:r>
          </w:p>
        </w:tc>
        <w:tc>
          <w:tcPr>
            <w:tcW w:w="824" w:type="pct"/>
            <w:shd w:val="clear" w:color="auto" w:fill="FFFFFF"/>
            <w:vAlign w:val="center"/>
          </w:tcPr>
          <w:p w14:paraId="02442C24"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83</w:t>
            </w:r>
          </w:p>
          <w:p w14:paraId="0C5E1442"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40.89%</w:t>
            </w:r>
          </w:p>
        </w:tc>
        <w:tc>
          <w:tcPr>
            <w:tcW w:w="988" w:type="pct"/>
            <w:shd w:val="clear" w:color="auto" w:fill="FFFFFF"/>
            <w:vAlign w:val="center"/>
          </w:tcPr>
          <w:p w14:paraId="103BDDC8"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39</w:t>
            </w:r>
          </w:p>
          <w:p w14:paraId="63B7F5CC"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20%</w:t>
            </w:r>
          </w:p>
        </w:tc>
        <w:tc>
          <w:tcPr>
            <w:tcW w:w="879" w:type="pct"/>
            <w:shd w:val="clear" w:color="auto" w:fill="FFFFFF"/>
            <w:vAlign w:val="center"/>
          </w:tcPr>
          <w:p w14:paraId="235D6DE3"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151</w:t>
            </w:r>
          </w:p>
          <w:p w14:paraId="524D665F"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25.3%</w:t>
            </w:r>
          </w:p>
        </w:tc>
      </w:tr>
      <w:tr w:rsidR="00413BBF" w:rsidRPr="00692DD8" w14:paraId="2EF7CD03" w14:textId="77777777" w:rsidTr="005D458E">
        <w:trPr>
          <w:cantSplit/>
          <w:trHeight w:val="47"/>
        </w:trPr>
        <w:tc>
          <w:tcPr>
            <w:tcW w:w="1101" w:type="pct"/>
            <w:shd w:val="clear" w:color="auto" w:fill="D9D9D9" w:themeFill="background1" w:themeFillShade="D9"/>
            <w:vAlign w:val="center"/>
          </w:tcPr>
          <w:p w14:paraId="54C453D3"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lang w:val="en-GB"/>
              </w:rPr>
              <w:t>Total</w:t>
            </w:r>
          </w:p>
        </w:tc>
        <w:tc>
          <w:tcPr>
            <w:tcW w:w="439" w:type="pct"/>
            <w:shd w:val="clear" w:color="auto" w:fill="D9D9D9" w:themeFill="background1" w:themeFillShade="D9"/>
            <w:vAlign w:val="center"/>
          </w:tcPr>
          <w:p w14:paraId="0AD0B260"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rPr>
            </w:pPr>
            <w:r w:rsidRPr="00692DD8">
              <w:rPr>
                <w:rFonts w:ascii="Gill Sans MT" w:hAnsi="Gill Sans MT" w:cs="Arial"/>
                <w:color w:val="000000"/>
                <w:sz w:val="18"/>
                <w:szCs w:val="18"/>
              </w:rPr>
              <w:t>N</w:t>
            </w:r>
          </w:p>
          <w:p w14:paraId="0357D5DC" w14:textId="77777777" w:rsidR="00413BBF" w:rsidRPr="00692DD8" w:rsidRDefault="00413BBF" w:rsidP="001D4DE4">
            <w:pPr>
              <w:autoSpaceDE w:val="0"/>
              <w:autoSpaceDN w:val="0"/>
              <w:adjustRightInd w:val="0"/>
              <w:spacing w:line="320" w:lineRule="atLeast"/>
              <w:ind w:left="60" w:right="60"/>
              <w:rPr>
                <w:rFonts w:ascii="Gill Sans MT" w:hAnsi="Gill Sans MT" w:cs="Arial"/>
                <w:color w:val="000000"/>
                <w:sz w:val="18"/>
                <w:szCs w:val="18"/>
                <w:lang w:val="en-GB"/>
              </w:rPr>
            </w:pPr>
            <w:r w:rsidRPr="00692DD8">
              <w:rPr>
                <w:rFonts w:ascii="Gill Sans MT" w:hAnsi="Gill Sans MT" w:cs="Arial"/>
                <w:color w:val="000000"/>
                <w:sz w:val="18"/>
                <w:szCs w:val="18"/>
              </w:rPr>
              <w:t>%</w:t>
            </w:r>
          </w:p>
        </w:tc>
        <w:tc>
          <w:tcPr>
            <w:tcW w:w="769" w:type="pct"/>
            <w:shd w:val="clear" w:color="auto" w:fill="D9D9D9" w:themeFill="background1" w:themeFillShade="D9"/>
            <w:vAlign w:val="center"/>
          </w:tcPr>
          <w:p w14:paraId="5BB40940"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 xml:space="preserve">200 </w:t>
            </w:r>
          </w:p>
          <w:p w14:paraId="24D3BC29"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100%</w:t>
            </w:r>
          </w:p>
        </w:tc>
        <w:tc>
          <w:tcPr>
            <w:tcW w:w="824" w:type="pct"/>
            <w:shd w:val="clear" w:color="auto" w:fill="D9D9D9" w:themeFill="background1" w:themeFillShade="D9"/>
            <w:vAlign w:val="center"/>
          </w:tcPr>
          <w:p w14:paraId="69E6378D"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203</w:t>
            </w:r>
          </w:p>
          <w:p w14:paraId="3FEE0114"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100%</w:t>
            </w:r>
          </w:p>
        </w:tc>
        <w:tc>
          <w:tcPr>
            <w:tcW w:w="988" w:type="pct"/>
            <w:shd w:val="clear" w:color="auto" w:fill="D9D9D9" w:themeFill="background1" w:themeFillShade="D9"/>
            <w:vAlign w:val="center"/>
          </w:tcPr>
          <w:p w14:paraId="28AC227A"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 xml:space="preserve">195 </w:t>
            </w:r>
          </w:p>
          <w:p w14:paraId="6EB35D5C"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color w:val="000000"/>
                <w:sz w:val="18"/>
                <w:szCs w:val="18"/>
                <w:lang w:val="en-GB"/>
              </w:rPr>
            </w:pPr>
            <w:r w:rsidRPr="00692DD8">
              <w:rPr>
                <w:rFonts w:ascii="Gill Sans MT" w:hAnsi="Gill Sans MT" w:cs="Arial"/>
                <w:color w:val="000000"/>
                <w:sz w:val="18"/>
                <w:szCs w:val="18"/>
                <w:lang w:val="en-GB"/>
              </w:rPr>
              <w:t>100%</w:t>
            </w:r>
          </w:p>
        </w:tc>
        <w:tc>
          <w:tcPr>
            <w:tcW w:w="879" w:type="pct"/>
            <w:shd w:val="clear" w:color="auto" w:fill="D9D9D9" w:themeFill="background1" w:themeFillShade="D9"/>
            <w:vAlign w:val="center"/>
          </w:tcPr>
          <w:p w14:paraId="721197B7"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b/>
                <w:color w:val="000000"/>
                <w:sz w:val="18"/>
                <w:szCs w:val="18"/>
                <w:lang w:val="en-GB"/>
              </w:rPr>
            </w:pPr>
            <w:r w:rsidRPr="00692DD8">
              <w:rPr>
                <w:rFonts w:ascii="Gill Sans MT" w:hAnsi="Gill Sans MT" w:cs="Arial"/>
                <w:b/>
                <w:color w:val="000000"/>
                <w:sz w:val="18"/>
                <w:szCs w:val="18"/>
                <w:lang w:val="en-GB"/>
              </w:rPr>
              <w:t>598</w:t>
            </w:r>
          </w:p>
          <w:p w14:paraId="27F64D14" w14:textId="77777777" w:rsidR="00413BBF" w:rsidRPr="00692DD8" w:rsidRDefault="00413BBF" w:rsidP="001D4DE4">
            <w:pPr>
              <w:autoSpaceDE w:val="0"/>
              <w:autoSpaceDN w:val="0"/>
              <w:adjustRightInd w:val="0"/>
              <w:spacing w:line="320" w:lineRule="atLeast"/>
              <w:ind w:left="60" w:right="60"/>
              <w:jc w:val="center"/>
              <w:rPr>
                <w:rFonts w:ascii="Gill Sans MT" w:hAnsi="Gill Sans MT" w:cs="Arial"/>
                <w:b/>
                <w:color w:val="000000"/>
                <w:sz w:val="18"/>
                <w:szCs w:val="18"/>
                <w:lang w:val="en-GB"/>
              </w:rPr>
            </w:pPr>
            <w:r w:rsidRPr="00692DD8">
              <w:rPr>
                <w:rFonts w:ascii="Gill Sans MT" w:hAnsi="Gill Sans MT" w:cs="Arial"/>
                <w:b/>
                <w:color w:val="000000"/>
                <w:sz w:val="18"/>
                <w:szCs w:val="18"/>
                <w:lang w:val="en-GB"/>
              </w:rPr>
              <w:t>100%</w:t>
            </w:r>
          </w:p>
        </w:tc>
      </w:tr>
    </w:tbl>
    <w:p w14:paraId="16C1EAA1" w14:textId="77777777" w:rsidR="00AF718D" w:rsidRPr="00B62036" w:rsidRDefault="00AF718D" w:rsidP="00230515">
      <w:pPr>
        <w:pStyle w:val="Default"/>
        <w:tabs>
          <w:tab w:val="left" w:pos="1440"/>
        </w:tabs>
        <w:spacing w:line="276" w:lineRule="auto"/>
        <w:jc w:val="both"/>
        <w:rPr>
          <w:rFonts w:ascii="Gill Sans MT" w:hAnsi="Gill Sans MT" w:cs="Calibri"/>
          <w:sz w:val="20"/>
          <w:szCs w:val="20"/>
        </w:rPr>
      </w:pPr>
    </w:p>
    <w:p w14:paraId="6E81CE6F" w14:textId="44917EDA" w:rsidR="00596583" w:rsidRPr="00B62036" w:rsidRDefault="001D06C7"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S</w:t>
      </w:r>
      <w:r w:rsidR="00596583" w:rsidRPr="00B62036">
        <w:rPr>
          <w:rFonts w:ascii="Gill Sans MT" w:hAnsi="Gill Sans MT" w:cs="Calibri"/>
          <w:sz w:val="20"/>
          <w:szCs w:val="20"/>
        </w:rPr>
        <w:t xml:space="preserve">imilarly, the evaluation established the effectiveness of the project activities especially on the livelihoods of beneficiaries. Beneficiaries shared evidence of </w:t>
      </w:r>
      <w:r w:rsidRPr="00B62036">
        <w:rPr>
          <w:rFonts w:ascii="Gill Sans MT" w:hAnsi="Gill Sans MT" w:cs="Calibri"/>
          <w:sz w:val="20"/>
          <w:szCs w:val="20"/>
        </w:rPr>
        <w:t>stories of the how the projec</w:t>
      </w:r>
      <w:r w:rsidR="00DD7E3A" w:rsidRPr="00B62036">
        <w:rPr>
          <w:rFonts w:ascii="Gill Sans MT" w:hAnsi="Gill Sans MT" w:cs="Calibri"/>
          <w:sz w:val="20"/>
          <w:szCs w:val="20"/>
        </w:rPr>
        <w:t xml:space="preserve">t has contributed to </w:t>
      </w:r>
      <w:r w:rsidR="0058617E" w:rsidRPr="00B62036">
        <w:rPr>
          <w:rFonts w:ascii="Gill Sans MT" w:hAnsi="Gill Sans MT" w:cs="Calibri"/>
          <w:sz w:val="20"/>
          <w:szCs w:val="20"/>
        </w:rPr>
        <w:t xml:space="preserve">improving household income, in </w:t>
      </w:r>
      <w:r w:rsidR="00DD7E3A" w:rsidRPr="00B62036">
        <w:rPr>
          <w:rFonts w:ascii="Gill Sans MT" w:hAnsi="Gill Sans MT" w:cs="Calibri"/>
          <w:sz w:val="20"/>
          <w:szCs w:val="20"/>
        </w:rPr>
        <w:t>breaking bar</w:t>
      </w:r>
      <w:r w:rsidRPr="00B62036">
        <w:rPr>
          <w:rFonts w:ascii="Gill Sans MT" w:hAnsi="Gill Sans MT" w:cs="Calibri"/>
          <w:sz w:val="20"/>
          <w:szCs w:val="20"/>
        </w:rPr>
        <w:t>riers and building bridges. Despite the FAO project beneficiaries being returnees who received agricultural inputs but did not have farmlands</w:t>
      </w:r>
      <w:r w:rsidR="0058617E" w:rsidRPr="00B62036">
        <w:rPr>
          <w:rFonts w:ascii="Gill Sans MT" w:hAnsi="Gill Sans MT" w:cs="Calibri"/>
          <w:sz w:val="20"/>
          <w:szCs w:val="20"/>
        </w:rPr>
        <w:t>, they</w:t>
      </w:r>
      <w:r w:rsidRPr="00B62036">
        <w:rPr>
          <w:rFonts w:ascii="Gill Sans MT" w:hAnsi="Gill Sans MT" w:cs="Calibri"/>
          <w:sz w:val="20"/>
          <w:szCs w:val="20"/>
        </w:rPr>
        <w:t xml:space="preserve"> were able to negotiate with land</w:t>
      </w:r>
      <w:r w:rsidR="00447B1F" w:rsidRPr="00B62036">
        <w:rPr>
          <w:rFonts w:ascii="Gill Sans MT" w:hAnsi="Gill Sans MT" w:cs="Calibri"/>
          <w:sz w:val="20"/>
          <w:szCs w:val="20"/>
        </w:rPr>
        <w:t xml:space="preserve">owners mainly host communities and were allowed </w:t>
      </w:r>
      <w:r w:rsidR="00A535D8" w:rsidRPr="00B62036">
        <w:rPr>
          <w:rFonts w:ascii="Gill Sans MT" w:hAnsi="Gill Sans MT" w:cs="Calibri"/>
          <w:sz w:val="20"/>
          <w:szCs w:val="20"/>
        </w:rPr>
        <w:t xml:space="preserve">to till a portion of their land and recorded a bumper harvest during the </w:t>
      </w:r>
      <w:r w:rsidR="00A535D8" w:rsidRPr="00B62036">
        <w:rPr>
          <w:rFonts w:ascii="Gill Sans MT" w:hAnsi="Gill Sans MT" w:cs="Calibri"/>
          <w:i/>
          <w:sz w:val="20"/>
          <w:szCs w:val="20"/>
        </w:rPr>
        <w:t>deyr</w:t>
      </w:r>
      <w:r w:rsidR="00A535D8" w:rsidRPr="00B62036">
        <w:rPr>
          <w:rFonts w:ascii="Gill Sans MT" w:hAnsi="Gill Sans MT" w:cs="Calibri"/>
          <w:sz w:val="20"/>
          <w:szCs w:val="20"/>
        </w:rPr>
        <w:t xml:space="preserve"> season</w:t>
      </w:r>
      <w:r w:rsidR="0058617E" w:rsidRPr="00B62036">
        <w:rPr>
          <w:rFonts w:ascii="Gill Sans MT" w:hAnsi="Gill Sans MT" w:cs="Calibri"/>
          <w:sz w:val="20"/>
          <w:szCs w:val="20"/>
        </w:rPr>
        <w:t xml:space="preserve"> of 2018</w:t>
      </w:r>
      <w:r w:rsidR="00A535D8" w:rsidRPr="00B62036">
        <w:rPr>
          <w:rFonts w:ascii="Gill Sans MT" w:hAnsi="Gill Sans MT" w:cs="Calibri"/>
          <w:i/>
          <w:sz w:val="20"/>
          <w:szCs w:val="20"/>
        </w:rPr>
        <w:t xml:space="preserve">. </w:t>
      </w:r>
      <w:r w:rsidR="00A535D8" w:rsidRPr="00B62036">
        <w:rPr>
          <w:rFonts w:ascii="Gill Sans MT" w:hAnsi="Gill Sans MT" w:cs="Calibri"/>
          <w:sz w:val="20"/>
          <w:szCs w:val="20"/>
        </w:rPr>
        <w:t xml:space="preserve">Besides, </w:t>
      </w:r>
      <w:r w:rsidR="00B17FEE" w:rsidRPr="00B62036">
        <w:rPr>
          <w:rFonts w:ascii="Gill Sans MT" w:hAnsi="Gill Sans MT" w:cs="Calibri"/>
          <w:sz w:val="20"/>
          <w:szCs w:val="20"/>
        </w:rPr>
        <w:t xml:space="preserve">community leaders indicated the PBF projects have contributed to improved </w:t>
      </w:r>
      <w:r w:rsidR="0058617E" w:rsidRPr="00B62036">
        <w:rPr>
          <w:rFonts w:ascii="Gill Sans MT" w:hAnsi="Gill Sans MT" w:cs="Calibri"/>
          <w:sz w:val="20"/>
          <w:szCs w:val="20"/>
        </w:rPr>
        <w:t xml:space="preserve">livelihoods as </w:t>
      </w:r>
      <w:r w:rsidR="00B17FEE" w:rsidRPr="00B62036">
        <w:rPr>
          <w:rFonts w:ascii="Gill Sans MT" w:hAnsi="Gill Sans MT" w:cs="Calibri"/>
          <w:sz w:val="20"/>
          <w:szCs w:val="20"/>
        </w:rPr>
        <w:t>some returnees have opened business outlets and especially those who received d</w:t>
      </w:r>
      <w:r w:rsidR="007245F4" w:rsidRPr="00B62036">
        <w:rPr>
          <w:rFonts w:ascii="Gill Sans MT" w:hAnsi="Gill Sans MT" w:cs="Calibri"/>
          <w:sz w:val="20"/>
          <w:szCs w:val="20"/>
        </w:rPr>
        <w:t>onkey carts</w:t>
      </w:r>
      <w:r w:rsidR="0058617E" w:rsidRPr="00B62036">
        <w:rPr>
          <w:rFonts w:ascii="Gill Sans MT" w:hAnsi="Gill Sans MT" w:cs="Calibri"/>
          <w:sz w:val="20"/>
          <w:szCs w:val="20"/>
        </w:rPr>
        <w:t xml:space="preserve"> </w:t>
      </w:r>
      <w:r w:rsidR="007245F4" w:rsidRPr="00B62036">
        <w:rPr>
          <w:rFonts w:ascii="Gill Sans MT" w:hAnsi="Gill Sans MT" w:cs="Calibri"/>
          <w:sz w:val="20"/>
          <w:szCs w:val="20"/>
        </w:rPr>
        <w:t>are</w:t>
      </w:r>
      <w:r w:rsidR="00D80E5E">
        <w:rPr>
          <w:rFonts w:ascii="Gill Sans MT" w:hAnsi="Gill Sans MT" w:cs="Calibri"/>
          <w:sz w:val="20"/>
          <w:szCs w:val="20"/>
        </w:rPr>
        <w:t xml:space="preserve"> currently</w:t>
      </w:r>
      <w:r w:rsidR="007245F4" w:rsidRPr="00B62036">
        <w:rPr>
          <w:rFonts w:ascii="Gill Sans MT" w:hAnsi="Gill Sans MT" w:cs="Calibri"/>
          <w:sz w:val="20"/>
          <w:szCs w:val="20"/>
        </w:rPr>
        <w:t xml:space="preserve"> supplying water to host communities at a </w:t>
      </w:r>
      <w:r w:rsidR="00B17FEE" w:rsidRPr="00B62036">
        <w:rPr>
          <w:rFonts w:ascii="Gill Sans MT" w:hAnsi="Gill Sans MT" w:cs="Calibri"/>
          <w:sz w:val="20"/>
          <w:szCs w:val="20"/>
        </w:rPr>
        <w:t xml:space="preserve">fee. </w:t>
      </w:r>
    </w:p>
    <w:p w14:paraId="0B0E8E61" w14:textId="77777777" w:rsidR="004B0071" w:rsidRPr="00B62036" w:rsidRDefault="004B0071" w:rsidP="00230515">
      <w:pPr>
        <w:pStyle w:val="Default"/>
        <w:tabs>
          <w:tab w:val="left" w:pos="1440"/>
        </w:tabs>
        <w:spacing w:line="276" w:lineRule="auto"/>
        <w:jc w:val="both"/>
        <w:rPr>
          <w:rFonts w:ascii="Gill Sans MT" w:hAnsi="Gill Sans MT" w:cs="Calibri"/>
          <w:i/>
          <w:sz w:val="20"/>
          <w:szCs w:val="20"/>
        </w:rPr>
      </w:pPr>
    </w:p>
    <w:p w14:paraId="28A6930B" w14:textId="1F994710" w:rsidR="005B5FDF" w:rsidRDefault="005B5FDF" w:rsidP="00230515">
      <w:pPr>
        <w:tabs>
          <w:tab w:val="left" w:pos="3968"/>
        </w:tabs>
        <w:spacing w:line="276" w:lineRule="auto"/>
        <w:jc w:val="both"/>
        <w:rPr>
          <w:rFonts w:ascii="Gill Sans MT" w:hAnsi="Gill Sans MT"/>
          <w:sz w:val="20"/>
          <w:szCs w:val="20"/>
          <w:lang w:val="en-GB"/>
        </w:rPr>
      </w:pPr>
      <w:r w:rsidRPr="00B62036">
        <w:rPr>
          <w:rFonts w:ascii="Gill Sans MT" w:hAnsi="Gill Sans MT" w:cs="Calibri"/>
          <w:color w:val="000000"/>
          <w:sz w:val="20"/>
          <w:szCs w:val="20"/>
        </w:rPr>
        <w:t xml:space="preserve">Analysis of the survey data shows that returnees started income generating activities upon their return to Baidoa. </w:t>
      </w:r>
      <w:r w:rsidRPr="00B62036">
        <w:rPr>
          <w:rFonts w:ascii="Gill Sans MT" w:hAnsi="Gill Sans MT"/>
          <w:sz w:val="20"/>
          <w:szCs w:val="20"/>
          <w:lang w:val="en-GB"/>
        </w:rPr>
        <w:t xml:space="preserve">62% of returnee respondents indicated to have started income generating activities, while a notable </w:t>
      </w:r>
      <w:r w:rsidR="0058617E" w:rsidRPr="00B62036">
        <w:rPr>
          <w:rFonts w:ascii="Gill Sans MT" w:hAnsi="Gill Sans MT"/>
          <w:sz w:val="20"/>
          <w:szCs w:val="20"/>
          <w:lang w:val="en-GB"/>
        </w:rPr>
        <w:t xml:space="preserve">proportion </w:t>
      </w:r>
      <w:r w:rsidRPr="00B62036">
        <w:rPr>
          <w:rFonts w:ascii="Gill Sans MT" w:hAnsi="Gill Sans MT"/>
          <w:sz w:val="20"/>
          <w:szCs w:val="20"/>
          <w:lang w:val="en-GB"/>
        </w:rPr>
        <w:t xml:space="preserve">(38%) of the returnee population reported to have started none. </w:t>
      </w:r>
    </w:p>
    <w:p w14:paraId="3F6B0287" w14:textId="77777777" w:rsidR="00692DD8" w:rsidRPr="00B62036" w:rsidRDefault="00692DD8" w:rsidP="00230515">
      <w:pPr>
        <w:tabs>
          <w:tab w:val="left" w:pos="3968"/>
        </w:tabs>
        <w:spacing w:line="276" w:lineRule="auto"/>
        <w:jc w:val="both"/>
        <w:rPr>
          <w:rFonts w:ascii="Gill Sans MT" w:hAnsi="Gill Sans MT"/>
          <w:sz w:val="20"/>
          <w:szCs w:val="20"/>
          <w:lang w:val="en-GB"/>
        </w:rPr>
      </w:pPr>
    </w:p>
    <w:p w14:paraId="277A0053" w14:textId="2960F112" w:rsidR="005B5FDF" w:rsidRPr="00B62036" w:rsidRDefault="005B5FDF" w:rsidP="00EA7389">
      <w:pPr>
        <w:pStyle w:val="Caption"/>
        <w:spacing w:after="0"/>
        <w:jc w:val="both"/>
        <w:rPr>
          <w:rFonts w:ascii="Gill Sans MT" w:hAnsi="Gill Sans MT"/>
          <w:sz w:val="20"/>
          <w:szCs w:val="20"/>
          <w:lang w:val="en-GB"/>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9</w:t>
      </w:r>
      <w:r w:rsidR="00AF3DCE" w:rsidRPr="00B62036">
        <w:rPr>
          <w:rFonts w:ascii="Gill Sans MT" w:hAnsi="Gill Sans MT"/>
          <w:noProof/>
          <w:sz w:val="20"/>
          <w:szCs w:val="20"/>
        </w:rPr>
        <w:fldChar w:fldCharType="end"/>
      </w:r>
      <w:r w:rsidRPr="00B62036">
        <w:rPr>
          <w:rFonts w:ascii="Gill Sans MT" w:hAnsi="Gill Sans MT"/>
          <w:sz w:val="20"/>
          <w:szCs w:val="20"/>
        </w:rPr>
        <w:t xml:space="preserve"> Income Generating Activities Started by Returnees</w:t>
      </w:r>
    </w:p>
    <w:tbl>
      <w:tblPr>
        <w:tblStyle w:val="LightList-Accent3"/>
        <w:tblW w:w="5000" w:type="pct"/>
        <w:tblLook w:val="04A0" w:firstRow="1" w:lastRow="0" w:firstColumn="1" w:lastColumn="0" w:noHBand="0" w:noVBand="1"/>
      </w:tblPr>
      <w:tblGrid>
        <w:gridCol w:w="6554"/>
        <w:gridCol w:w="1666"/>
        <w:gridCol w:w="1356"/>
      </w:tblGrid>
      <w:tr w:rsidR="005B5FDF" w:rsidRPr="00B62036" w14:paraId="73EEB876" w14:textId="77777777" w:rsidTr="00692DD8">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421" w:type="pct"/>
            <w:shd w:val="clear" w:color="auto" w:fill="D9D9D9" w:themeFill="background1" w:themeFillShade="D9"/>
            <w:noWrap/>
            <w:hideMark/>
          </w:tcPr>
          <w:p w14:paraId="0E6B2667" w14:textId="1E92221E" w:rsidR="005B5FDF" w:rsidRPr="00B62036" w:rsidRDefault="005B5FDF"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rPr>
              <w:t xml:space="preserve">Returnee has </w:t>
            </w:r>
            <w:r w:rsidR="0058617E" w:rsidRPr="00B62036">
              <w:rPr>
                <w:rFonts w:ascii="Gill Sans MT" w:hAnsi="Gill Sans MT" w:cs="Calibri"/>
                <w:b w:val="0"/>
                <w:color w:val="000000"/>
                <w:sz w:val="20"/>
                <w:szCs w:val="20"/>
              </w:rPr>
              <w:t>started income</w:t>
            </w:r>
            <w:r w:rsidRPr="00B62036">
              <w:rPr>
                <w:rFonts w:ascii="Gill Sans MT" w:hAnsi="Gill Sans MT" w:cs="Calibri"/>
                <w:b w:val="0"/>
                <w:color w:val="000000"/>
                <w:sz w:val="20"/>
                <w:szCs w:val="20"/>
              </w:rPr>
              <w:t xml:space="preserve"> generating activities after coming to Baidoa</w:t>
            </w:r>
          </w:p>
        </w:tc>
        <w:tc>
          <w:tcPr>
            <w:tcW w:w="870" w:type="pct"/>
            <w:shd w:val="clear" w:color="auto" w:fill="D9D9D9" w:themeFill="background1" w:themeFillShade="D9"/>
            <w:noWrap/>
            <w:hideMark/>
          </w:tcPr>
          <w:p w14:paraId="6B8DB13C" w14:textId="3E847824" w:rsidR="005B5FDF" w:rsidRPr="00B62036" w:rsidRDefault="00692DD8" w:rsidP="0023051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b w:val="0"/>
                <w:color w:val="000000"/>
                <w:sz w:val="20"/>
                <w:szCs w:val="20"/>
                <w:lang w:val="en-GB" w:eastAsia="en-GB"/>
              </w:rPr>
            </w:pPr>
            <w:r>
              <w:rPr>
                <w:rFonts w:ascii="Gill Sans MT" w:hAnsi="Gill Sans MT" w:cs="Calibri"/>
                <w:b w:val="0"/>
                <w:color w:val="000000"/>
                <w:sz w:val="20"/>
                <w:szCs w:val="20"/>
                <w:lang w:val="en-GB" w:eastAsia="en-GB"/>
              </w:rPr>
              <w:t>N</w:t>
            </w:r>
          </w:p>
        </w:tc>
        <w:tc>
          <w:tcPr>
            <w:tcW w:w="708" w:type="pct"/>
            <w:shd w:val="clear" w:color="auto" w:fill="D9D9D9" w:themeFill="background1" w:themeFillShade="D9"/>
            <w:noWrap/>
            <w:hideMark/>
          </w:tcPr>
          <w:p w14:paraId="53014CDE" w14:textId="7B01CC46" w:rsidR="005B5FDF" w:rsidRPr="00B62036" w:rsidRDefault="00692DD8" w:rsidP="0023051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b w:val="0"/>
                <w:color w:val="000000"/>
                <w:sz w:val="20"/>
                <w:szCs w:val="20"/>
                <w:lang w:val="en-GB" w:eastAsia="en-GB"/>
              </w:rPr>
            </w:pPr>
            <w:r>
              <w:rPr>
                <w:rFonts w:ascii="Gill Sans MT" w:hAnsi="Gill Sans MT" w:cs="Calibri"/>
                <w:b w:val="0"/>
                <w:color w:val="000000"/>
                <w:sz w:val="20"/>
                <w:szCs w:val="20"/>
                <w:lang w:val="en-GB" w:eastAsia="en-GB"/>
              </w:rPr>
              <w:t>%</w:t>
            </w:r>
          </w:p>
        </w:tc>
      </w:tr>
      <w:tr w:rsidR="005B5FDF" w:rsidRPr="00B62036" w14:paraId="60CBA874" w14:textId="77777777" w:rsidTr="00EA7389">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421" w:type="pct"/>
            <w:noWrap/>
            <w:hideMark/>
          </w:tcPr>
          <w:p w14:paraId="0EC9170C" w14:textId="4567E9E3" w:rsidR="005B5FDF" w:rsidRPr="00B62036" w:rsidRDefault="00692DD8" w:rsidP="00230515">
            <w:pPr>
              <w:jc w:val="both"/>
              <w:rPr>
                <w:rFonts w:ascii="Gill Sans MT" w:hAnsi="Gill Sans MT" w:cs="Calibri"/>
                <w:color w:val="000000"/>
                <w:sz w:val="20"/>
                <w:szCs w:val="20"/>
                <w:lang w:val="en-GB" w:eastAsia="en-GB"/>
              </w:rPr>
            </w:pPr>
            <w:r>
              <w:rPr>
                <w:rFonts w:ascii="Gill Sans MT" w:hAnsi="Gill Sans MT" w:cs="Calibri"/>
                <w:color w:val="000000"/>
                <w:sz w:val="20"/>
                <w:szCs w:val="20"/>
                <w:lang w:val="en-GB" w:eastAsia="en-GB"/>
              </w:rPr>
              <w:t>Yes</w:t>
            </w:r>
          </w:p>
        </w:tc>
        <w:tc>
          <w:tcPr>
            <w:tcW w:w="870" w:type="pct"/>
            <w:noWrap/>
            <w:hideMark/>
          </w:tcPr>
          <w:p w14:paraId="5385F270" w14:textId="77777777" w:rsidR="005B5FDF" w:rsidRPr="00B62036" w:rsidRDefault="005B5FDF"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124</w:t>
            </w:r>
          </w:p>
        </w:tc>
        <w:tc>
          <w:tcPr>
            <w:tcW w:w="708" w:type="pct"/>
            <w:noWrap/>
            <w:hideMark/>
          </w:tcPr>
          <w:p w14:paraId="54B28CAD" w14:textId="77777777" w:rsidR="005B5FDF" w:rsidRPr="00B62036" w:rsidRDefault="005B5FDF"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62%</w:t>
            </w:r>
          </w:p>
        </w:tc>
      </w:tr>
      <w:tr w:rsidR="005B5FDF" w:rsidRPr="00B62036" w14:paraId="11C81A34" w14:textId="77777777" w:rsidTr="00EA7389">
        <w:trPr>
          <w:trHeight w:val="37"/>
        </w:trPr>
        <w:tc>
          <w:tcPr>
            <w:cnfStyle w:val="001000000000" w:firstRow="0" w:lastRow="0" w:firstColumn="1" w:lastColumn="0" w:oddVBand="0" w:evenVBand="0" w:oddHBand="0" w:evenHBand="0" w:firstRowFirstColumn="0" w:firstRowLastColumn="0" w:lastRowFirstColumn="0" w:lastRowLastColumn="0"/>
            <w:tcW w:w="3421" w:type="pct"/>
            <w:noWrap/>
            <w:hideMark/>
          </w:tcPr>
          <w:p w14:paraId="295112A5" w14:textId="25FF1225" w:rsidR="005B5FDF" w:rsidRPr="00B62036" w:rsidRDefault="00692DD8" w:rsidP="00230515">
            <w:pPr>
              <w:jc w:val="both"/>
              <w:rPr>
                <w:rFonts w:ascii="Gill Sans MT" w:hAnsi="Gill Sans MT" w:cs="Calibri"/>
                <w:color w:val="000000"/>
                <w:sz w:val="20"/>
                <w:szCs w:val="20"/>
                <w:lang w:val="en-GB" w:eastAsia="en-GB"/>
              </w:rPr>
            </w:pPr>
            <w:r>
              <w:rPr>
                <w:rFonts w:ascii="Gill Sans MT" w:hAnsi="Gill Sans MT" w:cs="Calibri"/>
                <w:color w:val="000000"/>
                <w:sz w:val="20"/>
                <w:szCs w:val="20"/>
                <w:lang w:val="en-GB" w:eastAsia="en-GB"/>
              </w:rPr>
              <w:t>No</w:t>
            </w:r>
          </w:p>
        </w:tc>
        <w:tc>
          <w:tcPr>
            <w:tcW w:w="870" w:type="pct"/>
            <w:noWrap/>
            <w:hideMark/>
          </w:tcPr>
          <w:p w14:paraId="264508A7" w14:textId="77777777" w:rsidR="005B5FDF" w:rsidRPr="00B62036" w:rsidRDefault="005B5FDF"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76</w:t>
            </w:r>
          </w:p>
        </w:tc>
        <w:tc>
          <w:tcPr>
            <w:tcW w:w="708" w:type="pct"/>
            <w:noWrap/>
            <w:hideMark/>
          </w:tcPr>
          <w:p w14:paraId="4169C56F" w14:textId="77777777" w:rsidR="005B5FDF" w:rsidRPr="00B62036" w:rsidRDefault="005B5FDF"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38%</w:t>
            </w:r>
          </w:p>
        </w:tc>
      </w:tr>
      <w:tr w:rsidR="005B5FDF" w:rsidRPr="00B62036" w14:paraId="0F48769D" w14:textId="77777777" w:rsidTr="00EA7389">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421" w:type="pct"/>
            <w:shd w:val="clear" w:color="auto" w:fill="D9D9D9" w:themeFill="background1" w:themeFillShade="D9"/>
            <w:noWrap/>
            <w:hideMark/>
          </w:tcPr>
          <w:p w14:paraId="15D0DDD4" w14:textId="70090B30" w:rsidR="005B5FDF" w:rsidRPr="00B62036" w:rsidRDefault="00692DD8" w:rsidP="00230515">
            <w:pPr>
              <w:jc w:val="both"/>
              <w:rPr>
                <w:rFonts w:ascii="Gill Sans MT" w:hAnsi="Gill Sans MT" w:cs="Calibri"/>
                <w:color w:val="000000"/>
                <w:sz w:val="20"/>
                <w:szCs w:val="20"/>
                <w:lang w:val="en-GB" w:eastAsia="en-GB"/>
              </w:rPr>
            </w:pPr>
            <w:r>
              <w:rPr>
                <w:rFonts w:ascii="Gill Sans MT" w:hAnsi="Gill Sans MT" w:cs="Calibri"/>
                <w:color w:val="000000"/>
                <w:sz w:val="20"/>
                <w:szCs w:val="20"/>
                <w:lang w:val="en-GB" w:eastAsia="en-GB"/>
              </w:rPr>
              <w:t>Total</w:t>
            </w:r>
          </w:p>
        </w:tc>
        <w:tc>
          <w:tcPr>
            <w:tcW w:w="870" w:type="pct"/>
            <w:shd w:val="clear" w:color="auto" w:fill="D9D9D9" w:themeFill="background1" w:themeFillShade="D9"/>
            <w:noWrap/>
            <w:hideMark/>
          </w:tcPr>
          <w:p w14:paraId="08DAD0B5" w14:textId="77777777" w:rsidR="005B5FDF" w:rsidRPr="00B62036" w:rsidRDefault="005B5FDF"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200</w:t>
            </w:r>
          </w:p>
        </w:tc>
        <w:tc>
          <w:tcPr>
            <w:tcW w:w="708" w:type="pct"/>
            <w:shd w:val="clear" w:color="auto" w:fill="D9D9D9" w:themeFill="background1" w:themeFillShade="D9"/>
            <w:noWrap/>
            <w:hideMark/>
          </w:tcPr>
          <w:p w14:paraId="4D855631" w14:textId="77777777" w:rsidR="005B5FDF" w:rsidRPr="00B62036" w:rsidRDefault="005B5FDF"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100%</w:t>
            </w:r>
          </w:p>
        </w:tc>
      </w:tr>
    </w:tbl>
    <w:p w14:paraId="69FB0C38" w14:textId="77777777" w:rsidR="005B5FDF" w:rsidRPr="00B62036" w:rsidRDefault="005B5FDF" w:rsidP="00230515">
      <w:pPr>
        <w:tabs>
          <w:tab w:val="left" w:pos="3968"/>
        </w:tabs>
        <w:jc w:val="both"/>
        <w:rPr>
          <w:rFonts w:ascii="Gill Sans MT" w:hAnsi="Gill Sans MT"/>
          <w:sz w:val="20"/>
          <w:szCs w:val="20"/>
          <w:lang w:val="en-GB"/>
        </w:rPr>
      </w:pPr>
    </w:p>
    <w:p w14:paraId="5F10C078" w14:textId="6F8B692B" w:rsidR="005B5FDF" w:rsidRDefault="005B5FDF" w:rsidP="00230515">
      <w:pPr>
        <w:tabs>
          <w:tab w:val="left" w:pos="3968"/>
        </w:tabs>
        <w:spacing w:line="276" w:lineRule="auto"/>
        <w:jc w:val="both"/>
        <w:rPr>
          <w:rFonts w:ascii="Gill Sans MT" w:hAnsi="Gill Sans MT"/>
          <w:sz w:val="20"/>
          <w:szCs w:val="20"/>
          <w:lang w:val="en-GB"/>
        </w:rPr>
      </w:pPr>
      <w:r w:rsidRPr="00B62036">
        <w:rPr>
          <w:rFonts w:ascii="Gill Sans MT" w:hAnsi="Gill Sans MT"/>
          <w:sz w:val="20"/>
          <w:szCs w:val="20"/>
          <w:lang w:val="en-GB"/>
        </w:rPr>
        <w:t xml:space="preserve">The type of income generating activities started by the returning households include farming (30.2%), kiosk trading (37.6%) or use of acquired VST related business (25.5%). </w:t>
      </w:r>
    </w:p>
    <w:p w14:paraId="6838C7A6" w14:textId="77777777" w:rsidR="00692DD8" w:rsidRPr="00B62036" w:rsidRDefault="00692DD8" w:rsidP="00230515">
      <w:pPr>
        <w:tabs>
          <w:tab w:val="left" w:pos="3968"/>
        </w:tabs>
        <w:spacing w:line="276" w:lineRule="auto"/>
        <w:jc w:val="both"/>
        <w:rPr>
          <w:rFonts w:ascii="Gill Sans MT" w:hAnsi="Gill Sans MT"/>
          <w:sz w:val="20"/>
          <w:szCs w:val="20"/>
          <w:lang w:val="en-GB"/>
        </w:rPr>
      </w:pPr>
    </w:p>
    <w:p w14:paraId="08060E23" w14:textId="2323B5FB" w:rsidR="005B5FDF" w:rsidRPr="00B62036" w:rsidRDefault="005B5FDF" w:rsidP="00EA7389">
      <w:pPr>
        <w:pStyle w:val="Caption"/>
        <w:spacing w:after="0"/>
        <w:jc w:val="both"/>
        <w:rPr>
          <w:rFonts w:ascii="Gill Sans MT" w:hAnsi="Gill Sans MT"/>
          <w:sz w:val="20"/>
          <w:szCs w:val="20"/>
          <w:lang w:val="en-GB"/>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10</w:t>
      </w:r>
      <w:r w:rsidR="00AF3DCE" w:rsidRPr="00B62036">
        <w:rPr>
          <w:rFonts w:ascii="Gill Sans MT" w:hAnsi="Gill Sans MT"/>
          <w:noProof/>
          <w:sz w:val="20"/>
          <w:szCs w:val="20"/>
        </w:rPr>
        <w:fldChar w:fldCharType="end"/>
      </w:r>
      <w:r w:rsidRPr="00B62036">
        <w:rPr>
          <w:rFonts w:ascii="Gill Sans MT" w:hAnsi="Gill Sans MT"/>
          <w:sz w:val="20"/>
          <w:szCs w:val="20"/>
        </w:rPr>
        <w:t xml:space="preserve"> Type of Income Generating Activity</w:t>
      </w:r>
    </w:p>
    <w:tbl>
      <w:tblPr>
        <w:tblStyle w:val="LightList-Accent3"/>
        <w:tblW w:w="5000" w:type="pct"/>
        <w:tblLook w:val="04A0" w:firstRow="1" w:lastRow="0" w:firstColumn="1" w:lastColumn="0" w:noHBand="0" w:noVBand="1"/>
      </w:tblPr>
      <w:tblGrid>
        <w:gridCol w:w="7065"/>
        <w:gridCol w:w="1191"/>
        <w:gridCol w:w="1320"/>
      </w:tblGrid>
      <w:tr w:rsidR="005B5FDF" w:rsidRPr="00B62036" w14:paraId="38AE5FD7" w14:textId="77777777" w:rsidTr="005D458E">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689" w:type="pct"/>
            <w:shd w:val="clear" w:color="auto" w:fill="D9D9D9" w:themeFill="background1" w:themeFillShade="D9"/>
            <w:noWrap/>
            <w:hideMark/>
          </w:tcPr>
          <w:p w14:paraId="6B58FDA0" w14:textId="77777777" w:rsidR="005B5FDF" w:rsidRPr="00692DD8" w:rsidRDefault="005B5FDF" w:rsidP="005D458E">
            <w:pPr>
              <w:jc w:val="both"/>
              <w:rPr>
                <w:rFonts w:ascii="Gill Sans MT" w:hAnsi="Gill Sans MT" w:cs="Calibri"/>
                <w:color w:val="000000"/>
                <w:sz w:val="20"/>
                <w:szCs w:val="20"/>
                <w:lang w:val="en-GB" w:eastAsia="en-GB"/>
              </w:rPr>
            </w:pPr>
            <w:r w:rsidRPr="00692DD8">
              <w:rPr>
                <w:rFonts w:ascii="Gill Sans MT" w:hAnsi="Gill Sans MT" w:cs="Calibri"/>
                <w:color w:val="000000"/>
                <w:sz w:val="20"/>
                <w:szCs w:val="20"/>
                <w:lang w:val="en-GB" w:eastAsia="en-GB"/>
              </w:rPr>
              <w:t>Type of Income generating activity started</w:t>
            </w:r>
          </w:p>
        </w:tc>
        <w:tc>
          <w:tcPr>
            <w:tcW w:w="622" w:type="pct"/>
            <w:shd w:val="clear" w:color="auto" w:fill="D9D9D9" w:themeFill="background1" w:themeFillShade="D9"/>
            <w:noWrap/>
            <w:hideMark/>
          </w:tcPr>
          <w:p w14:paraId="5006C3B5" w14:textId="77777777" w:rsidR="005B5FDF" w:rsidRPr="00692DD8" w:rsidRDefault="005B5FDF" w:rsidP="005D458E">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692DD8">
              <w:rPr>
                <w:rFonts w:ascii="Gill Sans MT" w:hAnsi="Gill Sans MT" w:cs="Calibri"/>
                <w:color w:val="000000"/>
                <w:sz w:val="20"/>
                <w:szCs w:val="20"/>
                <w:lang w:val="en-GB" w:eastAsia="en-GB"/>
              </w:rPr>
              <w:t>N</w:t>
            </w:r>
          </w:p>
        </w:tc>
        <w:tc>
          <w:tcPr>
            <w:tcW w:w="689" w:type="pct"/>
            <w:shd w:val="clear" w:color="auto" w:fill="D9D9D9" w:themeFill="background1" w:themeFillShade="D9"/>
            <w:noWrap/>
            <w:hideMark/>
          </w:tcPr>
          <w:p w14:paraId="2E8ED5D7" w14:textId="77777777" w:rsidR="005B5FDF" w:rsidRPr="00692DD8" w:rsidRDefault="005B5FDF" w:rsidP="005D458E">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692DD8">
              <w:rPr>
                <w:rFonts w:ascii="Gill Sans MT" w:hAnsi="Gill Sans MT" w:cs="Calibri"/>
                <w:color w:val="000000"/>
                <w:sz w:val="20"/>
                <w:szCs w:val="20"/>
                <w:lang w:val="en-GB" w:eastAsia="en-GB"/>
              </w:rPr>
              <w:t>%</w:t>
            </w:r>
          </w:p>
        </w:tc>
      </w:tr>
      <w:tr w:rsidR="005B5FDF" w:rsidRPr="00B62036" w14:paraId="0408FD2E" w14:textId="77777777" w:rsidTr="005D458E">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689" w:type="pct"/>
            <w:noWrap/>
            <w:hideMark/>
          </w:tcPr>
          <w:p w14:paraId="149F8091" w14:textId="77777777" w:rsidR="005B5FDF" w:rsidRPr="00692DD8" w:rsidRDefault="005B5FDF" w:rsidP="005D458E">
            <w:pPr>
              <w:jc w:val="both"/>
              <w:rPr>
                <w:rFonts w:ascii="Gill Sans MT" w:hAnsi="Gill Sans MT" w:cs="Calibri"/>
                <w:b w:val="0"/>
                <w:color w:val="000000"/>
                <w:sz w:val="20"/>
                <w:szCs w:val="20"/>
                <w:lang w:val="en-GB" w:eastAsia="en-GB"/>
              </w:rPr>
            </w:pPr>
            <w:r w:rsidRPr="00692DD8">
              <w:rPr>
                <w:rFonts w:ascii="Gill Sans MT" w:hAnsi="Gill Sans MT" w:cs="Calibri"/>
                <w:b w:val="0"/>
                <w:color w:val="000000"/>
                <w:sz w:val="20"/>
                <w:szCs w:val="20"/>
                <w:lang w:val="en-GB" w:eastAsia="en-GB"/>
              </w:rPr>
              <w:t>Employment</w:t>
            </w:r>
          </w:p>
        </w:tc>
        <w:tc>
          <w:tcPr>
            <w:tcW w:w="622" w:type="pct"/>
            <w:noWrap/>
            <w:hideMark/>
          </w:tcPr>
          <w:p w14:paraId="4613FCC3" w14:textId="77777777" w:rsidR="005B5FDF" w:rsidRPr="00B62036" w:rsidRDefault="005B5FDF" w:rsidP="005D458E">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10</w:t>
            </w:r>
          </w:p>
        </w:tc>
        <w:tc>
          <w:tcPr>
            <w:tcW w:w="689" w:type="pct"/>
            <w:noWrap/>
            <w:hideMark/>
          </w:tcPr>
          <w:p w14:paraId="07D4A6A0" w14:textId="77777777" w:rsidR="005B5FDF" w:rsidRPr="00B62036" w:rsidRDefault="005B5FDF" w:rsidP="005D458E">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6.7%</w:t>
            </w:r>
          </w:p>
        </w:tc>
      </w:tr>
      <w:tr w:rsidR="005B5FDF" w:rsidRPr="00B62036" w14:paraId="4456582C" w14:textId="77777777" w:rsidTr="005D458E">
        <w:trPr>
          <w:trHeight w:val="37"/>
        </w:trPr>
        <w:tc>
          <w:tcPr>
            <w:cnfStyle w:val="001000000000" w:firstRow="0" w:lastRow="0" w:firstColumn="1" w:lastColumn="0" w:oddVBand="0" w:evenVBand="0" w:oddHBand="0" w:evenHBand="0" w:firstRowFirstColumn="0" w:firstRowLastColumn="0" w:lastRowFirstColumn="0" w:lastRowLastColumn="0"/>
            <w:tcW w:w="3689" w:type="pct"/>
            <w:noWrap/>
            <w:hideMark/>
          </w:tcPr>
          <w:p w14:paraId="67E571E6" w14:textId="77777777" w:rsidR="005B5FDF" w:rsidRPr="00692DD8" w:rsidRDefault="005B5FDF" w:rsidP="005D458E">
            <w:pPr>
              <w:jc w:val="both"/>
              <w:rPr>
                <w:rFonts w:ascii="Gill Sans MT" w:hAnsi="Gill Sans MT" w:cs="Calibri"/>
                <w:b w:val="0"/>
                <w:color w:val="000000"/>
                <w:sz w:val="20"/>
                <w:szCs w:val="20"/>
                <w:lang w:val="en-GB" w:eastAsia="en-GB"/>
              </w:rPr>
            </w:pPr>
            <w:r w:rsidRPr="00692DD8">
              <w:rPr>
                <w:rFonts w:ascii="Gill Sans MT" w:hAnsi="Gill Sans MT" w:cs="Calibri"/>
                <w:b w:val="0"/>
                <w:color w:val="000000"/>
                <w:sz w:val="20"/>
                <w:szCs w:val="20"/>
                <w:lang w:val="en-GB" w:eastAsia="en-GB"/>
              </w:rPr>
              <w:t>Farming</w:t>
            </w:r>
          </w:p>
        </w:tc>
        <w:tc>
          <w:tcPr>
            <w:tcW w:w="622" w:type="pct"/>
            <w:noWrap/>
            <w:hideMark/>
          </w:tcPr>
          <w:p w14:paraId="684F7A7D" w14:textId="77777777" w:rsidR="005B5FDF" w:rsidRPr="00B62036" w:rsidRDefault="005B5FDF" w:rsidP="005D458E">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45</w:t>
            </w:r>
          </w:p>
        </w:tc>
        <w:tc>
          <w:tcPr>
            <w:tcW w:w="689" w:type="pct"/>
            <w:noWrap/>
            <w:hideMark/>
          </w:tcPr>
          <w:p w14:paraId="4C1B09DE" w14:textId="77777777" w:rsidR="005B5FDF" w:rsidRPr="00B62036" w:rsidRDefault="005B5FDF" w:rsidP="005D458E">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30.2%</w:t>
            </w:r>
          </w:p>
        </w:tc>
      </w:tr>
      <w:tr w:rsidR="005B5FDF" w:rsidRPr="00B62036" w14:paraId="2A23CA08" w14:textId="77777777" w:rsidTr="005D458E">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689" w:type="pct"/>
            <w:noWrap/>
            <w:hideMark/>
          </w:tcPr>
          <w:p w14:paraId="3F81779C" w14:textId="77777777" w:rsidR="005B5FDF" w:rsidRPr="00692DD8" w:rsidRDefault="005B5FDF" w:rsidP="005D458E">
            <w:pPr>
              <w:jc w:val="both"/>
              <w:rPr>
                <w:rFonts w:ascii="Gill Sans MT" w:hAnsi="Gill Sans MT" w:cs="Calibri"/>
                <w:b w:val="0"/>
                <w:color w:val="000000"/>
                <w:sz w:val="20"/>
                <w:szCs w:val="20"/>
                <w:lang w:val="en-GB" w:eastAsia="en-GB"/>
              </w:rPr>
            </w:pPr>
            <w:r w:rsidRPr="00692DD8">
              <w:rPr>
                <w:rFonts w:ascii="Gill Sans MT" w:hAnsi="Gill Sans MT" w:cs="Calibri"/>
                <w:b w:val="0"/>
                <w:color w:val="000000"/>
                <w:sz w:val="20"/>
                <w:szCs w:val="20"/>
                <w:lang w:val="en-GB" w:eastAsia="en-GB"/>
              </w:rPr>
              <w:t>Kiosk/petty trading</w:t>
            </w:r>
          </w:p>
        </w:tc>
        <w:tc>
          <w:tcPr>
            <w:tcW w:w="622" w:type="pct"/>
            <w:noWrap/>
            <w:hideMark/>
          </w:tcPr>
          <w:p w14:paraId="64D67D87" w14:textId="77777777" w:rsidR="005B5FDF" w:rsidRPr="00B62036" w:rsidRDefault="005B5FDF" w:rsidP="005D458E">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56</w:t>
            </w:r>
          </w:p>
        </w:tc>
        <w:tc>
          <w:tcPr>
            <w:tcW w:w="689" w:type="pct"/>
            <w:noWrap/>
            <w:hideMark/>
          </w:tcPr>
          <w:p w14:paraId="139A866D" w14:textId="77777777" w:rsidR="005B5FDF" w:rsidRPr="00B62036" w:rsidRDefault="005B5FDF" w:rsidP="005D458E">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37.6%</w:t>
            </w:r>
          </w:p>
        </w:tc>
      </w:tr>
      <w:tr w:rsidR="005B5FDF" w:rsidRPr="00B62036" w14:paraId="26FA4291" w14:textId="77777777" w:rsidTr="00692DD8">
        <w:trPr>
          <w:trHeight w:val="355"/>
        </w:trPr>
        <w:tc>
          <w:tcPr>
            <w:cnfStyle w:val="001000000000" w:firstRow="0" w:lastRow="0" w:firstColumn="1" w:lastColumn="0" w:oddVBand="0" w:evenVBand="0" w:oddHBand="0" w:evenHBand="0" w:firstRowFirstColumn="0" w:firstRowLastColumn="0" w:lastRowFirstColumn="0" w:lastRowLastColumn="0"/>
            <w:tcW w:w="3689" w:type="pct"/>
            <w:noWrap/>
            <w:hideMark/>
          </w:tcPr>
          <w:p w14:paraId="3A0A64DB" w14:textId="77777777" w:rsidR="005B5FDF" w:rsidRPr="00692DD8" w:rsidRDefault="005B5FDF" w:rsidP="005D458E">
            <w:pPr>
              <w:jc w:val="both"/>
              <w:rPr>
                <w:rFonts w:ascii="Gill Sans MT" w:hAnsi="Gill Sans MT" w:cs="Calibri"/>
                <w:b w:val="0"/>
                <w:color w:val="000000"/>
                <w:sz w:val="20"/>
                <w:szCs w:val="20"/>
                <w:lang w:val="en-GB" w:eastAsia="en-GB"/>
              </w:rPr>
            </w:pPr>
            <w:r w:rsidRPr="00692DD8">
              <w:rPr>
                <w:rFonts w:ascii="Gill Sans MT" w:hAnsi="Gill Sans MT" w:cs="Calibri"/>
                <w:b w:val="0"/>
                <w:color w:val="000000"/>
                <w:sz w:val="20"/>
                <w:szCs w:val="20"/>
                <w:lang w:val="en-GB" w:eastAsia="en-GB"/>
              </w:rPr>
              <w:t>Acquired VST related business such as tailoring, Sewing, Masonry, Carpentry, Henna</w:t>
            </w:r>
          </w:p>
        </w:tc>
        <w:tc>
          <w:tcPr>
            <w:tcW w:w="622" w:type="pct"/>
            <w:noWrap/>
            <w:hideMark/>
          </w:tcPr>
          <w:p w14:paraId="3BCBF821" w14:textId="77777777" w:rsidR="005B5FDF" w:rsidRPr="00B62036" w:rsidRDefault="005B5FDF" w:rsidP="005D458E">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38</w:t>
            </w:r>
          </w:p>
        </w:tc>
        <w:tc>
          <w:tcPr>
            <w:tcW w:w="689" w:type="pct"/>
            <w:noWrap/>
            <w:hideMark/>
          </w:tcPr>
          <w:p w14:paraId="1AFAEA46" w14:textId="77777777" w:rsidR="005B5FDF" w:rsidRPr="00B62036" w:rsidRDefault="005B5FDF" w:rsidP="005D458E">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25.5%</w:t>
            </w:r>
          </w:p>
        </w:tc>
      </w:tr>
      <w:tr w:rsidR="005B5FDF" w:rsidRPr="00B62036" w14:paraId="17630A3A" w14:textId="77777777" w:rsidTr="005D458E">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689" w:type="pct"/>
            <w:shd w:val="clear" w:color="auto" w:fill="D9D9D9" w:themeFill="background1" w:themeFillShade="D9"/>
            <w:noWrap/>
            <w:hideMark/>
          </w:tcPr>
          <w:p w14:paraId="69D884EC" w14:textId="77777777" w:rsidR="005B5FDF" w:rsidRPr="00692DD8" w:rsidRDefault="005B5FDF" w:rsidP="005D458E">
            <w:pPr>
              <w:jc w:val="both"/>
              <w:rPr>
                <w:rFonts w:ascii="Gill Sans MT" w:hAnsi="Gill Sans MT" w:cs="Calibri"/>
                <w:color w:val="000000"/>
                <w:sz w:val="20"/>
                <w:szCs w:val="20"/>
                <w:lang w:val="en-GB" w:eastAsia="en-GB"/>
              </w:rPr>
            </w:pPr>
            <w:r w:rsidRPr="00692DD8">
              <w:rPr>
                <w:rFonts w:ascii="Gill Sans MT" w:hAnsi="Gill Sans MT" w:cs="Calibri"/>
                <w:color w:val="000000"/>
                <w:sz w:val="20"/>
                <w:szCs w:val="20"/>
                <w:lang w:val="en-GB" w:eastAsia="en-GB"/>
              </w:rPr>
              <w:t>Total</w:t>
            </w:r>
          </w:p>
        </w:tc>
        <w:tc>
          <w:tcPr>
            <w:tcW w:w="622" w:type="pct"/>
            <w:shd w:val="clear" w:color="auto" w:fill="D9D9D9" w:themeFill="background1" w:themeFillShade="D9"/>
            <w:noWrap/>
            <w:hideMark/>
          </w:tcPr>
          <w:p w14:paraId="3270402E" w14:textId="77777777" w:rsidR="005B5FDF" w:rsidRPr="00692DD8" w:rsidRDefault="005B5FDF" w:rsidP="005D458E">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b/>
                <w:color w:val="000000"/>
                <w:sz w:val="20"/>
                <w:szCs w:val="20"/>
                <w:lang w:val="en-GB" w:eastAsia="en-GB"/>
              </w:rPr>
            </w:pPr>
            <w:r w:rsidRPr="00692DD8">
              <w:rPr>
                <w:rFonts w:ascii="Gill Sans MT" w:hAnsi="Gill Sans MT" w:cs="Calibri"/>
                <w:b/>
                <w:color w:val="000000"/>
                <w:sz w:val="20"/>
                <w:szCs w:val="20"/>
                <w:lang w:val="en-GB" w:eastAsia="en-GB"/>
              </w:rPr>
              <w:t>149</w:t>
            </w:r>
          </w:p>
        </w:tc>
        <w:tc>
          <w:tcPr>
            <w:tcW w:w="689" w:type="pct"/>
            <w:shd w:val="clear" w:color="auto" w:fill="D9D9D9" w:themeFill="background1" w:themeFillShade="D9"/>
            <w:noWrap/>
            <w:hideMark/>
          </w:tcPr>
          <w:p w14:paraId="175AF483" w14:textId="77777777" w:rsidR="005B5FDF" w:rsidRPr="00692DD8" w:rsidRDefault="005B5FDF" w:rsidP="005D458E">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b/>
                <w:color w:val="000000"/>
                <w:sz w:val="20"/>
                <w:szCs w:val="20"/>
                <w:lang w:val="en-GB" w:eastAsia="en-GB"/>
              </w:rPr>
            </w:pPr>
            <w:r w:rsidRPr="00692DD8">
              <w:rPr>
                <w:rFonts w:ascii="Gill Sans MT" w:hAnsi="Gill Sans MT" w:cs="Calibri"/>
                <w:b/>
                <w:color w:val="000000"/>
                <w:sz w:val="20"/>
                <w:szCs w:val="20"/>
                <w:lang w:val="en-GB" w:eastAsia="en-GB"/>
              </w:rPr>
              <w:t>100%</w:t>
            </w:r>
          </w:p>
        </w:tc>
      </w:tr>
    </w:tbl>
    <w:p w14:paraId="65500824" w14:textId="77777777" w:rsidR="00692DD8" w:rsidRDefault="00692DD8" w:rsidP="00230515">
      <w:pPr>
        <w:pStyle w:val="Default"/>
        <w:tabs>
          <w:tab w:val="left" w:pos="1440"/>
        </w:tabs>
        <w:spacing w:line="276" w:lineRule="auto"/>
        <w:jc w:val="both"/>
        <w:rPr>
          <w:rFonts w:ascii="Gill Sans MT" w:hAnsi="Gill Sans MT"/>
          <w:color w:val="auto"/>
          <w:sz w:val="20"/>
          <w:szCs w:val="20"/>
          <w:lang w:val="en-GB"/>
        </w:rPr>
      </w:pPr>
    </w:p>
    <w:p w14:paraId="3A915449" w14:textId="67A58513" w:rsidR="00213DED" w:rsidRDefault="00213DED"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 xml:space="preserve">Interview with various beneficiaries have given mixed reaction about their various PBF projects implemented in Baidoa. Overall, the communities gave positive feedback about the impact of the project but most importantly made critical observations. </w:t>
      </w:r>
      <w:r w:rsidR="0058617E" w:rsidRPr="00B62036">
        <w:rPr>
          <w:rFonts w:ascii="Gill Sans MT" w:hAnsi="Gill Sans MT" w:cs="Calibri"/>
          <w:sz w:val="20"/>
          <w:szCs w:val="20"/>
        </w:rPr>
        <w:t>A summary of the views on eac</w:t>
      </w:r>
      <w:r w:rsidR="00692DD8">
        <w:rPr>
          <w:rFonts w:ascii="Gill Sans MT" w:hAnsi="Gill Sans MT" w:cs="Calibri"/>
          <w:sz w:val="20"/>
          <w:szCs w:val="20"/>
        </w:rPr>
        <w:t>h project is illustrated in table 11.</w:t>
      </w:r>
    </w:p>
    <w:p w14:paraId="522DC56F" w14:textId="77777777" w:rsidR="00692DD8" w:rsidRDefault="00692DD8" w:rsidP="00230515">
      <w:pPr>
        <w:pStyle w:val="Default"/>
        <w:tabs>
          <w:tab w:val="left" w:pos="1440"/>
        </w:tabs>
        <w:spacing w:line="276" w:lineRule="auto"/>
        <w:jc w:val="both"/>
        <w:rPr>
          <w:rFonts w:ascii="Gill Sans MT" w:hAnsi="Gill Sans MT" w:cs="Calibri"/>
          <w:sz w:val="20"/>
          <w:szCs w:val="20"/>
        </w:rPr>
      </w:pPr>
    </w:p>
    <w:p w14:paraId="745B39C0" w14:textId="6A23B1BF" w:rsidR="00213DED" w:rsidRPr="00692DD8" w:rsidRDefault="00692DD8" w:rsidP="00EA7389">
      <w:pPr>
        <w:pStyle w:val="Caption"/>
        <w:spacing w:after="0"/>
        <w:rPr>
          <w:rFonts w:ascii="Gill Sans MT" w:hAnsi="Gill Sans MT" w:cs="Calibri"/>
          <w:b w:val="0"/>
          <w:i/>
          <w:sz w:val="20"/>
          <w:szCs w:val="20"/>
        </w:rPr>
      </w:pPr>
      <w:r w:rsidRPr="00692DD8">
        <w:rPr>
          <w:rFonts w:ascii="Gill Sans MT" w:hAnsi="Gill Sans MT"/>
        </w:rPr>
        <w:t xml:space="preserve">Table </w:t>
      </w:r>
      <w:r w:rsidRPr="00692DD8">
        <w:rPr>
          <w:rFonts w:ascii="Gill Sans MT" w:hAnsi="Gill Sans MT"/>
        </w:rPr>
        <w:fldChar w:fldCharType="begin"/>
      </w:r>
      <w:r w:rsidRPr="00692DD8">
        <w:rPr>
          <w:rFonts w:ascii="Gill Sans MT" w:hAnsi="Gill Sans MT"/>
        </w:rPr>
        <w:instrText xml:space="preserve"> SEQ Table \* ARABIC </w:instrText>
      </w:r>
      <w:r w:rsidRPr="00692DD8">
        <w:rPr>
          <w:rFonts w:ascii="Gill Sans MT" w:hAnsi="Gill Sans MT"/>
        </w:rPr>
        <w:fldChar w:fldCharType="separate"/>
      </w:r>
      <w:r w:rsidR="00A52509">
        <w:rPr>
          <w:rFonts w:ascii="Gill Sans MT" w:hAnsi="Gill Sans MT"/>
          <w:noProof/>
        </w:rPr>
        <w:t>11</w:t>
      </w:r>
      <w:r w:rsidRPr="00692DD8">
        <w:rPr>
          <w:rFonts w:ascii="Gill Sans MT" w:hAnsi="Gill Sans MT"/>
        </w:rPr>
        <w:fldChar w:fldCharType="end"/>
      </w:r>
      <w:r w:rsidRPr="00692DD8">
        <w:rPr>
          <w:rFonts w:ascii="Gill Sans MT" w:hAnsi="Gill Sans MT"/>
        </w:rPr>
        <w:t xml:space="preserve"> </w:t>
      </w:r>
      <w:r w:rsidR="00014AAC" w:rsidRPr="00692DD8">
        <w:rPr>
          <w:rFonts w:ascii="Gill Sans MT" w:hAnsi="Gill Sans MT" w:cs="Calibri"/>
          <w:b w:val="0"/>
          <w:i/>
          <w:sz w:val="20"/>
          <w:szCs w:val="20"/>
        </w:rPr>
        <w:t>Beneficiary experiences and preferences about PBF projects</w:t>
      </w:r>
    </w:p>
    <w:tbl>
      <w:tblPr>
        <w:tblStyle w:val="TableGrid"/>
        <w:tblW w:w="5000" w:type="pct"/>
        <w:tblLayout w:type="fixed"/>
        <w:tblLook w:val="04A0" w:firstRow="1" w:lastRow="0" w:firstColumn="1" w:lastColumn="0" w:noHBand="0" w:noVBand="1"/>
      </w:tblPr>
      <w:tblGrid>
        <w:gridCol w:w="1458"/>
        <w:gridCol w:w="1980"/>
        <w:gridCol w:w="6138"/>
      </w:tblGrid>
      <w:tr w:rsidR="007820B3" w:rsidRPr="00B62036" w14:paraId="44655B39" w14:textId="77777777" w:rsidTr="00692DD8">
        <w:tc>
          <w:tcPr>
            <w:tcW w:w="761" w:type="pct"/>
            <w:shd w:val="clear" w:color="auto" w:fill="D9D9D9" w:themeFill="background1" w:themeFillShade="D9"/>
          </w:tcPr>
          <w:p w14:paraId="6AC374A8" w14:textId="77777777" w:rsidR="007820B3" w:rsidRPr="00B62036" w:rsidRDefault="007820B3" w:rsidP="00230515">
            <w:pPr>
              <w:pStyle w:val="Default"/>
              <w:tabs>
                <w:tab w:val="left" w:pos="1440"/>
              </w:tabs>
              <w:jc w:val="both"/>
              <w:rPr>
                <w:rFonts w:ascii="Gill Sans MT" w:hAnsi="Gill Sans MT" w:cs="Calibri"/>
                <w:b/>
                <w:sz w:val="20"/>
                <w:szCs w:val="20"/>
              </w:rPr>
            </w:pPr>
            <w:r w:rsidRPr="00B62036">
              <w:rPr>
                <w:rFonts w:ascii="Gill Sans MT" w:hAnsi="Gill Sans MT" w:cs="Calibri"/>
                <w:b/>
                <w:sz w:val="20"/>
                <w:szCs w:val="20"/>
              </w:rPr>
              <w:t xml:space="preserve">Partners </w:t>
            </w:r>
          </w:p>
        </w:tc>
        <w:tc>
          <w:tcPr>
            <w:tcW w:w="1034" w:type="pct"/>
            <w:shd w:val="clear" w:color="auto" w:fill="D9D9D9" w:themeFill="background1" w:themeFillShade="D9"/>
          </w:tcPr>
          <w:p w14:paraId="675F3F40" w14:textId="77777777" w:rsidR="007820B3" w:rsidRPr="00B62036" w:rsidRDefault="007820B3" w:rsidP="00230515">
            <w:pPr>
              <w:pStyle w:val="Default"/>
              <w:tabs>
                <w:tab w:val="left" w:pos="1440"/>
              </w:tabs>
              <w:jc w:val="both"/>
              <w:rPr>
                <w:rFonts w:ascii="Gill Sans MT" w:hAnsi="Gill Sans MT" w:cs="Calibri"/>
                <w:b/>
                <w:sz w:val="20"/>
                <w:szCs w:val="20"/>
              </w:rPr>
            </w:pPr>
            <w:r w:rsidRPr="00B62036">
              <w:rPr>
                <w:rFonts w:ascii="Gill Sans MT" w:hAnsi="Gill Sans MT" w:cs="Calibri"/>
                <w:b/>
                <w:sz w:val="20"/>
                <w:szCs w:val="20"/>
              </w:rPr>
              <w:t xml:space="preserve">Activities </w:t>
            </w:r>
          </w:p>
        </w:tc>
        <w:tc>
          <w:tcPr>
            <w:tcW w:w="3205" w:type="pct"/>
            <w:shd w:val="clear" w:color="auto" w:fill="D9D9D9" w:themeFill="background1" w:themeFillShade="D9"/>
          </w:tcPr>
          <w:p w14:paraId="4C0A5B82" w14:textId="77777777" w:rsidR="007820B3" w:rsidRPr="00B62036" w:rsidRDefault="007820B3" w:rsidP="00230515">
            <w:pPr>
              <w:pStyle w:val="Default"/>
              <w:tabs>
                <w:tab w:val="left" w:pos="1440"/>
              </w:tabs>
              <w:jc w:val="both"/>
              <w:rPr>
                <w:rFonts w:ascii="Gill Sans MT" w:hAnsi="Gill Sans MT" w:cs="Calibri"/>
                <w:b/>
                <w:sz w:val="20"/>
                <w:szCs w:val="20"/>
              </w:rPr>
            </w:pPr>
            <w:r w:rsidRPr="00B62036">
              <w:rPr>
                <w:rFonts w:ascii="Gill Sans MT" w:hAnsi="Gill Sans MT" w:cs="Calibri"/>
                <w:b/>
                <w:sz w:val="20"/>
                <w:szCs w:val="20"/>
              </w:rPr>
              <w:t>Beneficiaries observation</w:t>
            </w:r>
          </w:p>
        </w:tc>
      </w:tr>
      <w:tr w:rsidR="007820B3" w:rsidRPr="00B62036" w14:paraId="72B7DEBF" w14:textId="77777777" w:rsidTr="004B0071">
        <w:trPr>
          <w:trHeight w:val="1619"/>
        </w:trPr>
        <w:tc>
          <w:tcPr>
            <w:tcW w:w="761" w:type="pct"/>
          </w:tcPr>
          <w:p w14:paraId="7F69811B" w14:textId="43FFF5D2" w:rsidR="00D15B67"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UNHCR</w:t>
            </w:r>
            <w:r w:rsidR="00021246" w:rsidRPr="00B62036">
              <w:rPr>
                <w:rFonts w:ascii="Gill Sans MT" w:hAnsi="Gill Sans MT" w:cs="Calibri"/>
                <w:sz w:val="20"/>
                <w:szCs w:val="20"/>
              </w:rPr>
              <w:t xml:space="preserve"> &amp;</w:t>
            </w:r>
          </w:p>
          <w:p w14:paraId="0D8ADC20" w14:textId="77777777" w:rsidR="007820B3"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Implementing partner</w:t>
            </w:r>
            <w:r w:rsidR="007820B3" w:rsidRPr="00B62036">
              <w:rPr>
                <w:rFonts w:ascii="Gill Sans MT" w:hAnsi="Gill Sans MT" w:cs="Calibri"/>
                <w:sz w:val="20"/>
                <w:szCs w:val="20"/>
              </w:rPr>
              <w:t xml:space="preserve"> AVORD</w:t>
            </w:r>
          </w:p>
        </w:tc>
        <w:tc>
          <w:tcPr>
            <w:tcW w:w="1034" w:type="pct"/>
          </w:tcPr>
          <w:p w14:paraId="232B8015" w14:textId="022EDCD7" w:rsidR="007820B3" w:rsidRPr="00B62036" w:rsidRDefault="007820B3" w:rsidP="005D458E">
            <w:pPr>
              <w:pStyle w:val="Default"/>
              <w:numPr>
                <w:ilvl w:val="0"/>
                <w:numId w:val="5"/>
              </w:numPr>
              <w:tabs>
                <w:tab w:val="left" w:pos="1440"/>
              </w:tabs>
              <w:jc w:val="both"/>
              <w:rPr>
                <w:rFonts w:ascii="Gill Sans MT" w:hAnsi="Gill Sans MT" w:cs="Calibri"/>
                <w:sz w:val="20"/>
                <w:szCs w:val="20"/>
              </w:rPr>
            </w:pPr>
            <w:r w:rsidRPr="00B62036">
              <w:rPr>
                <w:rFonts w:ascii="Gill Sans MT" w:hAnsi="Gill Sans MT" w:cs="Calibri"/>
                <w:sz w:val="20"/>
                <w:szCs w:val="20"/>
              </w:rPr>
              <w:t>Infrastructure</w:t>
            </w:r>
            <w:r w:rsidR="00021246" w:rsidRPr="00B62036">
              <w:rPr>
                <w:rFonts w:ascii="Gill Sans MT" w:hAnsi="Gill Sans MT" w:cs="Calibri"/>
                <w:sz w:val="20"/>
                <w:szCs w:val="20"/>
              </w:rPr>
              <w:t xml:space="preserve"> (school, </w:t>
            </w:r>
            <w:r w:rsidRPr="00B62036">
              <w:rPr>
                <w:rFonts w:ascii="Gill Sans MT" w:hAnsi="Gill Sans MT" w:cs="Calibri"/>
                <w:sz w:val="20"/>
                <w:szCs w:val="20"/>
              </w:rPr>
              <w:t>market centre</w:t>
            </w:r>
            <w:r w:rsidR="00021246" w:rsidRPr="00B62036">
              <w:rPr>
                <w:rFonts w:ascii="Gill Sans MT" w:hAnsi="Gill Sans MT" w:cs="Calibri"/>
                <w:sz w:val="20"/>
                <w:szCs w:val="20"/>
              </w:rPr>
              <w:t xml:space="preserve"> and shallow wells</w:t>
            </w:r>
            <w:r w:rsidRPr="00B62036">
              <w:rPr>
                <w:rFonts w:ascii="Gill Sans MT" w:hAnsi="Gill Sans MT" w:cs="Calibri"/>
                <w:sz w:val="20"/>
                <w:szCs w:val="20"/>
              </w:rPr>
              <w:t xml:space="preserve">) rehabilitation through cash for work </w:t>
            </w:r>
          </w:p>
          <w:p w14:paraId="56DD71E8" w14:textId="5ADAD568" w:rsidR="007820B3" w:rsidRPr="00B62036" w:rsidRDefault="007820B3" w:rsidP="005D458E">
            <w:pPr>
              <w:pStyle w:val="Default"/>
              <w:numPr>
                <w:ilvl w:val="0"/>
                <w:numId w:val="5"/>
              </w:numPr>
              <w:tabs>
                <w:tab w:val="left" w:pos="1440"/>
              </w:tabs>
              <w:jc w:val="both"/>
              <w:rPr>
                <w:rFonts w:ascii="Gill Sans MT" w:hAnsi="Gill Sans MT" w:cs="Calibri"/>
                <w:sz w:val="20"/>
                <w:szCs w:val="20"/>
              </w:rPr>
            </w:pPr>
            <w:r w:rsidRPr="00B62036">
              <w:rPr>
                <w:rFonts w:ascii="Gill Sans MT" w:hAnsi="Gill Sans MT" w:cs="Calibri"/>
                <w:sz w:val="20"/>
                <w:szCs w:val="20"/>
              </w:rPr>
              <w:t>Vocational skills training for you</w:t>
            </w:r>
            <w:r w:rsidR="00021246" w:rsidRPr="00B62036">
              <w:rPr>
                <w:rFonts w:ascii="Gill Sans MT" w:hAnsi="Gill Sans MT" w:cs="Calibri"/>
                <w:sz w:val="20"/>
                <w:szCs w:val="20"/>
              </w:rPr>
              <w:t>th,</w:t>
            </w:r>
            <w:r w:rsidRPr="00B62036">
              <w:rPr>
                <w:rFonts w:ascii="Gill Sans MT" w:hAnsi="Gill Sans MT" w:cs="Calibri"/>
                <w:sz w:val="20"/>
                <w:szCs w:val="20"/>
              </w:rPr>
              <w:t xml:space="preserve"> mainly from IDPs and host community</w:t>
            </w:r>
            <w:r w:rsidR="00D15B67" w:rsidRPr="00B62036">
              <w:rPr>
                <w:rFonts w:ascii="Gill Sans MT" w:hAnsi="Gill Sans MT" w:cs="Calibri"/>
                <w:sz w:val="20"/>
                <w:szCs w:val="20"/>
              </w:rPr>
              <w:t xml:space="preserve"> and provision of carpentry tool kits </w:t>
            </w:r>
          </w:p>
          <w:p w14:paraId="0867A7AD" w14:textId="77777777" w:rsidR="007820B3" w:rsidRPr="00B62036" w:rsidRDefault="00D15B67" w:rsidP="005D458E">
            <w:pPr>
              <w:pStyle w:val="Default"/>
              <w:numPr>
                <w:ilvl w:val="0"/>
                <w:numId w:val="5"/>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Provision of donkey carts </w:t>
            </w:r>
          </w:p>
        </w:tc>
        <w:tc>
          <w:tcPr>
            <w:tcW w:w="3205" w:type="pct"/>
          </w:tcPr>
          <w:p w14:paraId="0B985BE3" w14:textId="00AB3205" w:rsidR="00D32E23" w:rsidRPr="00B62036" w:rsidRDefault="00014AAC"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The construction of a </w:t>
            </w:r>
            <w:r w:rsidR="00D80E5E">
              <w:rPr>
                <w:rFonts w:ascii="Gill Sans MT" w:hAnsi="Gill Sans MT" w:cs="Calibri"/>
                <w:sz w:val="20"/>
                <w:szCs w:val="20"/>
              </w:rPr>
              <w:t xml:space="preserve">concrete </w:t>
            </w:r>
            <w:r w:rsidRPr="00B62036">
              <w:rPr>
                <w:rFonts w:ascii="Gill Sans MT" w:hAnsi="Gill Sans MT" w:cs="Calibri"/>
                <w:sz w:val="20"/>
                <w:szCs w:val="20"/>
              </w:rPr>
              <w:t xml:space="preserve">fence for Hawlwadag </w:t>
            </w:r>
            <w:r w:rsidR="00D32E23" w:rsidRPr="00B62036">
              <w:rPr>
                <w:rFonts w:ascii="Gill Sans MT" w:hAnsi="Gill Sans MT" w:cs="Calibri"/>
                <w:sz w:val="20"/>
                <w:szCs w:val="20"/>
              </w:rPr>
              <w:t>School</w:t>
            </w:r>
            <w:r w:rsidRPr="00B62036">
              <w:rPr>
                <w:rFonts w:ascii="Gill Sans MT" w:hAnsi="Gill Sans MT" w:cs="Calibri"/>
                <w:sz w:val="20"/>
                <w:szCs w:val="20"/>
              </w:rPr>
              <w:t xml:space="preserve"> and construction of five additional classes and rehabilitation of 600 meters </w:t>
            </w:r>
            <w:r w:rsidR="00D80E5E">
              <w:rPr>
                <w:rFonts w:ascii="Gill Sans MT" w:hAnsi="Gill Sans MT" w:cs="Calibri"/>
                <w:sz w:val="20"/>
                <w:szCs w:val="20"/>
              </w:rPr>
              <w:t xml:space="preserve">road </w:t>
            </w:r>
            <w:r w:rsidRPr="00B62036">
              <w:rPr>
                <w:rFonts w:ascii="Gill Sans MT" w:hAnsi="Gill Sans MT" w:cs="Calibri"/>
                <w:sz w:val="20"/>
                <w:szCs w:val="20"/>
              </w:rPr>
              <w:t>in IDP camps has</w:t>
            </w:r>
            <w:r w:rsidR="00D32E23" w:rsidRPr="00B62036">
              <w:rPr>
                <w:rFonts w:ascii="Gill Sans MT" w:hAnsi="Gill Sans MT" w:cs="Calibri"/>
                <w:sz w:val="20"/>
                <w:szCs w:val="20"/>
              </w:rPr>
              <w:t xml:space="preserve"> been described as effective. The additional classes and fence has improved security, improved the capacity of the school to admit more students thus enhancing integration, and improved overall learning environment. The road rehabilitation has improved road conditions and access to IDP camps.</w:t>
            </w:r>
          </w:p>
          <w:p w14:paraId="6F09C43E" w14:textId="6019DEC6" w:rsidR="007820B3" w:rsidRPr="00B62036" w:rsidRDefault="00887138"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The rehabilitation of </w:t>
            </w:r>
            <w:r w:rsidR="00021246" w:rsidRPr="00B62036">
              <w:rPr>
                <w:rFonts w:ascii="Gill Sans MT" w:hAnsi="Gill Sans MT" w:cs="Calibri"/>
                <w:sz w:val="20"/>
                <w:szCs w:val="20"/>
              </w:rPr>
              <w:t xml:space="preserve">a </w:t>
            </w:r>
            <w:r w:rsidRPr="00B62036">
              <w:rPr>
                <w:rFonts w:ascii="Gill Sans MT" w:hAnsi="Gill Sans MT" w:cs="Calibri"/>
                <w:sz w:val="20"/>
                <w:szCs w:val="20"/>
              </w:rPr>
              <w:t xml:space="preserve">blacksmith market was welcomed by blacksmiths who </w:t>
            </w:r>
            <w:r w:rsidR="00021246" w:rsidRPr="00B62036">
              <w:rPr>
                <w:rFonts w:ascii="Gill Sans MT" w:hAnsi="Gill Sans MT" w:cs="Calibri"/>
                <w:sz w:val="20"/>
                <w:szCs w:val="20"/>
              </w:rPr>
              <w:t xml:space="preserve">were </w:t>
            </w:r>
            <w:r w:rsidRPr="00B62036">
              <w:rPr>
                <w:rFonts w:ascii="Gill Sans MT" w:hAnsi="Gill Sans MT" w:cs="Calibri"/>
                <w:sz w:val="20"/>
                <w:szCs w:val="20"/>
              </w:rPr>
              <w:t xml:space="preserve">mostly from minority clans. The chairman indicated the project constructed corrugated roof </w:t>
            </w:r>
            <w:r w:rsidR="00021246" w:rsidRPr="00B62036">
              <w:rPr>
                <w:rFonts w:ascii="Gill Sans MT" w:hAnsi="Gill Sans MT" w:cs="Calibri"/>
                <w:sz w:val="20"/>
                <w:szCs w:val="20"/>
              </w:rPr>
              <w:t xml:space="preserve">for </w:t>
            </w:r>
            <w:r w:rsidRPr="00B62036">
              <w:rPr>
                <w:rFonts w:ascii="Gill Sans MT" w:hAnsi="Gill Sans MT" w:cs="Calibri"/>
                <w:sz w:val="20"/>
                <w:szCs w:val="20"/>
              </w:rPr>
              <w:t>the</w:t>
            </w:r>
            <w:r w:rsidR="00021246" w:rsidRPr="00B62036">
              <w:rPr>
                <w:rFonts w:ascii="Gill Sans MT" w:hAnsi="Gill Sans MT" w:cs="Calibri"/>
                <w:sz w:val="20"/>
                <w:szCs w:val="20"/>
              </w:rPr>
              <w:t>ir</w:t>
            </w:r>
            <w:r w:rsidRPr="00B62036">
              <w:rPr>
                <w:rFonts w:ascii="Gill Sans MT" w:hAnsi="Gill Sans MT" w:cs="Calibri"/>
                <w:sz w:val="20"/>
                <w:szCs w:val="20"/>
              </w:rPr>
              <w:t xml:space="preserve"> premises which accommodates over 40 members</w:t>
            </w:r>
            <w:r w:rsidR="00D80E5E">
              <w:rPr>
                <w:rFonts w:ascii="Gill Sans MT" w:hAnsi="Gill Sans MT" w:cs="Calibri"/>
                <w:sz w:val="20"/>
                <w:szCs w:val="20"/>
              </w:rPr>
              <w:t xml:space="preserve">. </w:t>
            </w:r>
          </w:p>
          <w:p w14:paraId="64BA61E0" w14:textId="744F95C4" w:rsidR="00887138" w:rsidRPr="00B62036" w:rsidRDefault="00887138"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Provision of donkey </w:t>
            </w:r>
            <w:r w:rsidR="00021246" w:rsidRPr="00B62036">
              <w:rPr>
                <w:rFonts w:ascii="Gill Sans MT" w:hAnsi="Gill Sans MT" w:cs="Calibri"/>
                <w:sz w:val="20"/>
                <w:szCs w:val="20"/>
              </w:rPr>
              <w:t>carts was lauded as effective in</w:t>
            </w:r>
            <w:r w:rsidRPr="00B62036">
              <w:rPr>
                <w:rFonts w:ascii="Gill Sans MT" w:hAnsi="Gill Sans MT" w:cs="Calibri"/>
                <w:sz w:val="20"/>
                <w:szCs w:val="20"/>
              </w:rPr>
              <w:t xml:space="preserve"> improving the </w:t>
            </w:r>
            <w:r w:rsidR="00651638" w:rsidRPr="00B62036">
              <w:rPr>
                <w:rFonts w:ascii="Gill Sans MT" w:hAnsi="Gill Sans MT" w:cs="Calibri"/>
                <w:sz w:val="20"/>
                <w:szCs w:val="20"/>
              </w:rPr>
              <w:t>beneficiaries’</w:t>
            </w:r>
            <w:r w:rsidRPr="00B62036">
              <w:rPr>
                <w:rFonts w:ascii="Gill Sans MT" w:hAnsi="Gill Sans MT" w:cs="Calibri"/>
                <w:sz w:val="20"/>
                <w:szCs w:val="20"/>
              </w:rPr>
              <w:t xml:space="preserve"> incomes</w:t>
            </w:r>
            <w:r w:rsidR="00021246" w:rsidRPr="00B62036">
              <w:rPr>
                <w:rFonts w:ascii="Gill Sans MT" w:hAnsi="Gill Sans MT" w:cs="Calibri"/>
                <w:sz w:val="20"/>
                <w:szCs w:val="20"/>
              </w:rPr>
              <w:t>,</w:t>
            </w:r>
            <w:r w:rsidRPr="00B62036">
              <w:rPr>
                <w:rFonts w:ascii="Gill Sans MT" w:hAnsi="Gill Sans MT" w:cs="Calibri"/>
                <w:sz w:val="20"/>
                <w:szCs w:val="20"/>
              </w:rPr>
              <w:t xml:space="preserve"> however due to its high demand and potential income it </w:t>
            </w:r>
            <w:r w:rsidR="00021246" w:rsidRPr="00B62036">
              <w:rPr>
                <w:rFonts w:ascii="Gill Sans MT" w:hAnsi="Gill Sans MT" w:cs="Calibri"/>
                <w:sz w:val="20"/>
                <w:szCs w:val="20"/>
              </w:rPr>
              <w:t xml:space="preserve">generates, </w:t>
            </w:r>
            <w:r w:rsidRPr="00B62036">
              <w:rPr>
                <w:rFonts w:ascii="Gill Sans MT" w:hAnsi="Gill Sans MT" w:cs="Calibri"/>
                <w:sz w:val="20"/>
                <w:szCs w:val="20"/>
              </w:rPr>
              <w:t xml:space="preserve">the number of donkey carts distributed was not adequate. </w:t>
            </w:r>
          </w:p>
          <w:p w14:paraId="5D49C92E" w14:textId="77777777" w:rsidR="00651638" w:rsidRPr="00B62036" w:rsidRDefault="00651638"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The host community members complained they feel marginalised considering the small number of beneficiaries allocated to them as opposed to the Returnees who received the largest allocation. </w:t>
            </w:r>
          </w:p>
        </w:tc>
      </w:tr>
      <w:tr w:rsidR="007820B3" w:rsidRPr="00B62036" w14:paraId="12FC24A7" w14:textId="77777777" w:rsidTr="004B0071">
        <w:tc>
          <w:tcPr>
            <w:tcW w:w="761" w:type="pct"/>
          </w:tcPr>
          <w:p w14:paraId="12E93AF4" w14:textId="45C587C6" w:rsidR="007820B3"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FAO</w:t>
            </w:r>
            <w:r w:rsidR="00021246" w:rsidRPr="00B62036">
              <w:rPr>
                <w:rFonts w:ascii="Gill Sans MT" w:hAnsi="Gill Sans MT" w:cs="Calibri"/>
                <w:sz w:val="20"/>
                <w:szCs w:val="20"/>
              </w:rPr>
              <w:t xml:space="preserve"> &amp;</w:t>
            </w:r>
          </w:p>
          <w:p w14:paraId="188755F8" w14:textId="20223B79" w:rsidR="00D15B67" w:rsidRPr="00B62036" w:rsidRDefault="00021246"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Implementing partners</w:t>
            </w:r>
            <w:r w:rsidR="00D15B67" w:rsidRPr="00B62036">
              <w:rPr>
                <w:rFonts w:ascii="Gill Sans MT" w:hAnsi="Gill Sans MT" w:cs="Calibri"/>
                <w:sz w:val="20"/>
                <w:szCs w:val="20"/>
              </w:rPr>
              <w:t xml:space="preserve"> SYP, SOWELPA &amp; FEERO</w:t>
            </w:r>
          </w:p>
        </w:tc>
        <w:tc>
          <w:tcPr>
            <w:tcW w:w="1034" w:type="pct"/>
          </w:tcPr>
          <w:p w14:paraId="1AF9CED5" w14:textId="77777777" w:rsidR="007820B3" w:rsidRPr="00B62036" w:rsidRDefault="00D15B67" w:rsidP="005D458E">
            <w:pPr>
              <w:pStyle w:val="Default"/>
              <w:numPr>
                <w:ilvl w:val="0"/>
                <w:numId w:val="6"/>
              </w:numPr>
              <w:tabs>
                <w:tab w:val="left" w:pos="1440"/>
              </w:tabs>
              <w:jc w:val="both"/>
              <w:rPr>
                <w:rFonts w:ascii="Gill Sans MT" w:hAnsi="Gill Sans MT" w:cs="Calibri"/>
                <w:sz w:val="20"/>
                <w:szCs w:val="20"/>
              </w:rPr>
            </w:pPr>
            <w:r w:rsidRPr="00B62036">
              <w:rPr>
                <w:rFonts w:ascii="Gill Sans MT" w:hAnsi="Gill Sans MT" w:cs="Calibri"/>
                <w:sz w:val="20"/>
                <w:szCs w:val="20"/>
              </w:rPr>
              <w:t>Provision of tools kits and seeds</w:t>
            </w:r>
          </w:p>
          <w:p w14:paraId="7C807CA5" w14:textId="77777777" w:rsidR="00D15B67" w:rsidRPr="00B62036" w:rsidRDefault="00D15B67" w:rsidP="005D458E">
            <w:pPr>
              <w:pStyle w:val="Default"/>
              <w:numPr>
                <w:ilvl w:val="0"/>
                <w:numId w:val="6"/>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Restocking </w:t>
            </w:r>
          </w:p>
        </w:tc>
        <w:tc>
          <w:tcPr>
            <w:tcW w:w="3205" w:type="pct"/>
          </w:tcPr>
          <w:p w14:paraId="683AB9C7" w14:textId="1E295524" w:rsidR="00651638" w:rsidRPr="00B62036" w:rsidRDefault="00651638"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The project </w:t>
            </w:r>
            <w:r w:rsidR="00C425D0" w:rsidRPr="00B62036">
              <w:rPr>
                <w:rFonts w:ascii="Gill Sans MT" w:hAnsi="Gill Sans MT" w:cs="Calibri"/>
                <w:sz w:val="20"/>
                <w:szCs w:val="20"/>
              </w:rPr>
              <w:t xml:space="preserve">purely </w:t>
            </w:r>
            <w:r w:rsidRPr="00B62036">
              <w:rPr>
                <w:rFonts w:ascii="Gill Sans MT" w:hAnsi="Gill Sans MT" w:cs="Calibri"/>
                <w:sz w:val="20"/>
                <w:szCs w:val="20"/>
              </w:rPr>
              <w:t>targeted returnees and provided assorted seeds and tools as well as restocking to 160 households. The returnees indicated that majority of them borro</w:t>
            </w:r>
            <w:r w:rsidR="00D80E5E">
              <w:rPr>
                <w:rFonts w:ascii="Gill Sans MT" w:hAnsi="Gill Sans MT" w:cs="Calibri"/>
                <w:sz w:val="20"/>
                <w:szCs w:val="20"/>
              </w:rPr>
              <w:t>wed or rented farms which they planted</w:t>
            </w:r>
            <w:r w:rsidRPr="00B62036">
              <w:rPr>
                <w:rFonts w:ascii="Gill Sans MT" w:hAnsi="Gill Sans MT" w:cs="Calibri"/>
                <w:sz w:val="20"/>
                <w:szCs w:val="20"/>
              </w:rPr>
              <w:t xml:space="preserve">. Although there was bumper </w:t>
            </w:r>
            <w:r w:rsidR="00C425D0" w:rsidRPr="00B62036">
              <w:rPr>
                <w:rFonts w:ascii="Gill Sans MT" w:hAnsi="Gill Sans MT" w:cs="Calibri"/>
                <w:sz w:val="20"/>
                <w:szCs w:val="20"/>
              </w:rPr>
              <w:t xml:space="preserve">harvest, </w:t>
            </w:r>
            <w:r w:rsidRPr="00B62036">
              <w:rPr>
                <w:rFonts w:ascii="Gill Sans MT" w:hAnsi="Gill Sans MT" w:cs="Calibri"/>
                <w:sz w:val="20"/>
                <w:szCs w:val="20"/>
              </w:rPr>
              <w:t xml:space="preserve">they had to share the proceeds with landowners. They indicated </w:t>
            </w:r>
            <w:r w:rsidR="00C425D0" w:rsidRPr="00B62036">
              <w:rPr>
                <w:rFonts w:ascii="Gill Sans MT" w:hAnsi="Gill Sans MT" w:cs="Calibri"/>
                <w:sz w:val="20"/>
                <w:szCs w:val="20"/>
              </w:rPr>
              <w:t xml:space="preserve">that </w:t>
            </w:r>
            <w:r w:rsidRPr="00B62036">
              <w:rPr>
                <w:rFonts w:ascii="Gill Sans MT" w:hAnsi="Gill Sans MT" w:cs="Calibri"/>
                <w:sz w:val="20"/>
                <w:szCs w:val="20"/>
              </w:rPr>
              <w:t xml:space="preserve">transportation of </w:t>
            </w:r>
            <w:r w:rsidR="001065AA" w:rsidRPr="00B62036">
              <w:rPr>
                <w:rFonts w:ascii="Gill Sans MT" w:hAnsi="Gill Sans MT" w:cs="Calibri"/>
                <w:sz w:val="20"/>
                <w:szCs w:val="20"/>
              </w:rPr>
              <w:t xml:space="preserve">the </w:t>
            </w:r>
            <w:r w:rsidRPr="00B62036">
              <w:rPr>
                <w:rFonts w:ascii="Gill Sans MT" w:hAnsi="Gill Sans MT" w:cs="Calibri"/>
                <w:sz w:val="20"/>
                <w:szCs w:val="20"/>
              </w:rPr>
              <w:t>proceeds from farms</w:t>
            </w:r>
            <w:r w:rsidR="001065AA" w:rsidRPr="00B62036">
              <w:rPr>
                <w:rFonts w:ascii="Gill Sans MT" w:hAnsi="Gill Sans MT" w:cs="Calibri"/>
                <w:sz w:val="20"/>
                <w:szCs w:val="20"/>
              </w:rPr>
              <w:t xml:space="preserve"> to the market centres was challenge and </w:t>
            </w:r>
            <w:r w:rsidR="00C425D0" w:rsidRPr="00B62036">
              <w:rPr>
                <w:rFonts w:ascii="Gill Sans MT" w:hAnsi="Gill Sans MT" w:cs="Calibri"/>
                <w:sz w:val="20"/>
                <w:szCs w:val="20"/>
              </w:rPr>
              <w:t xml:space="preserve">the </w:t>
            </w:r>
            <w:r w:rsidR="001065AA" w:rsidRPr="00B62036">
              <w:rPr>
                <w:rFonts w:ascii="Gill Sans MT" w:hAnsi="Gill Sans MT" w:cs="Calibri"/>
                <w:sz w:val="20"/>
                <w:szCs w:val="20"/>
              </w:rPr>
              <w:t xml:space="preserve">cost </w:t>
            </w:r>
            <w:r w:rsidR="00C425D0" w:rsidRPr="00B62036">
              <w:rPr>
                <w:rFonts w:ascii="Gill Sans MT" w:hAnsi="Gill Sans MT" w:cs="Calibri"/>
                <w:sz w:val="20"/>
                <w:szCs w:val="20"/>
              </w:rPr>
              <w:t xml:space="preserve">incurred </w:t>
            </w:r>
            <w:r w:rsidR="001065AA" w:rsidRPr="00B62036">
              <w:rPr>
                <w:rFonts w:ascii="Gill Sans MT" w:hAnsi="Gill Sans MT" w:cs="Calibri"/>
                <w:sz w:val="20"/>
                <w:szCs w:val="20"/>
              </w:rPr>
              <w:t>in hiring donkey carts or vehicle</w:t>
            </w:r>
            <w:r w:rsidR="00C425D0" w:rsidRPr="00B62036">
              <w:rPr>
                <w:rFonts w:ascii="Gill Sans MT" w:hAnsi="Gill Sans MT" w:cs="Calibri"/>
                <w:sz w:val="20"/>
                <w:szCs w:val="20"/>
              </w:rPr>
              <w:t>s</w:t>
            </w:r>
            <w:r w:rsidR="001065AA" w:rsidRPr="00B62036">
              <w:rPr>
                <w:rFonts w:ascii="Gill Sans MT" w:hAnsi="Gill Sans MT" w:cs="Calibri"/>
                <w:sz w:val="20"/>
                <w:szCs w:val="20"/>
              </w:rPr>
              <w:t xml:space="preserve"> was expensive. They observed provision of donkey carts to famers would have eased their burden and save the cost of hiring transport. They also indicated some of the vegetable seeds s</w:t>
            </w:r>
            <w:r w:rsidR="00C425D0" w:rsidRPr="00B62036">
              <w:rPr>
                <w:rFonts w:ascii="Gill Sans MT" w:hAnsi="Gill Sans MT" w:cs="Calibri"/>
                <w:sz w:val="20"/>
                <w:szCs w:val="20"/>
              </w:rPr>
              <w:t xml:space="preserve">uch as Amaranthus and Ethiopian </w:t>
            </w:r>
            <w:r w:rsidR="001065AA" w:rsidRPr="00B62036">
              <w:rPr>
                <w:rFonts w:ascii="Gill Sans MT" w:hAnsi="Gill Sans MT" w:cs="Calibri"/>
                <w:sz w:val="20"/>
                <w:szCs w:val="20"/>
              </w:rPr>
              <w:t>Mustard failed to germinate due to poor weather condi</w:t>
            </w:r>
            <w:r w:rsidR="00C425D0" w:rsidRPr="00B62036">
              <w:rPr>
                <w:rFonts w:ascii="Gill Sans MT" w:hAnsi="Gill Sans MT" w:cs="Calibri"/>
                <w:sz w:val="20"/>
                <w:szCs w:val="20"/>
              </w:rPr>
              <w:t>tions. They indicated their stap</w:t>
            </w:r>
            <w:r w:rsidR="001065AA" w:rsidRPr="00B62036">
              <w:rPr>
                <w:rFonts w:ascii="Gill Sans MT" w:hAnsi="Gill Sans MT" w:cs="Calibri"/>
                <w:sz w:val="20"/>
                <w:szCs w:val="20"/>
              </w:rPr>
              <w:t xml:space="preserve">le food is Maize and beans and </w:t>
            </w:r>
            <w:r w:rsidR="00C425D0" w:rsidRPr="00B62036">
              <w:rPr>
                <w:rFonts w:ascii="Gill Sans MT" w:hAnsi="Gill Sans MT" w:cs="Calibri"/>
                <w:sz w:val="20"/>
                <w:szCs w:val="20"/>
              </w:rPr>
              <w:t>hence noted</w:t>
            </w:r>
            <w:r w:rsidR="001065AA" w:rsidRPr="00B62036">
              <w:rPr>
                <w:rFonts w:ascii="Gill Sans MT" w:hAnsi="Gill Sans MT" w:cs="Calibri"/>
                <w:sz w:val="20"/>
                <w:szCs w:val="20"/>
              </w:rPr>
              <w:t xml:space="preserve"> Maize should have been included in the seeds distributed.</w:t>
            </w:r>
          </w:p>
          <w:p w14:paraId="3E2FFA04" w14:textId="3D692103" w:rsidR="00D80E5E" w:rsidRDefault="00D80E5E" w:rsidP="00230515">
            <w:pPr>
              <w:pStyle w:val="Default"/>
              <w:numPr>
                <w:ilvl w:val="0"/>
                <w:numId w:val="4"/>
              </w:numPr>
              <w:tabs>
                <w:tab w:val="left" w:pos="1440"/>
              </w:tabs>
              <w:jc w:val="both"/>
              <w:rPr>
                <w:rFonts w:ascii="Gill Sans MT" w:hAnsi="Gill Sans MT" w:cs="Calibri"/>
                <w:sz w:val="20"/>
                <w:szCs w:val="20"/>
              </w:rPr>
            </w:pPr>
            <w:r>
              <w:rPr>
                <w:rFonts w:ascii="Gill Sans MT" w:hAnsi="Gill Sans MT" w:cs="Calibri"/>
                <w:sz w:val="20"/>
                <w:szCs w:val="20"/>
              </w:rPr>
              <w:t xml:space="preserve">Majority of the livestock beneficiaries indicated they have either sold to boost the household income or lost to drought because of high cost of maintenance. </w:t>
            </w:r>
          </w:p>
          <w:p w14:paraId="0B81F0B6" w14:textId="7B975FB0" w:rsidR="00D80E5E" w:rsidRPr="00D80E5E" w:rsidRDefault="00C425D0"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Host community and IDPs leadership </w:t>
            </w:r>
            <w:r w:rsidR="001065AA" w:rsidRPr="00B62036">
              <w:rPr>
                <w:rFonts w:ascii="Gill Sans MT" w:hAnsi="Gill Sans MT" w:cs="Calibri"/>
                <w:sz w:val="20"/>
                <w:szCs w:val="20"/>
              </w:rPr>
              <w:t xml:space="preserve">suggested they would have preferred if they could also benefit from kits and restocking </w:t>
            </w:r>
            <w:r w:rsidRPr="00B62036">
              <w:rPr>
                <w:rFonts w:ascii="Gill Sans MT" w:hAnsi="Gill Sans MT" w:cs="Calibri"/>
                <w:sz w:val="20"/>
                <w:szCs w:val="20"/>
              </w:rPr>
              <w:t xml:space="preserve">was </w:t>
            </w:r>
            <w:r w:rsidR="001065AA" w:rsidRPr="00B62036">
              <w:rPr>
                <w:rFonts w:ascii="Gill Sans MT" w:hAnsi="Gill Sans MT" w:cs="Calibri"/>
                <w:sz w:val="20"/>
                <w:szCs w:val="20"/>
              </w:rPr>
              <w:t xml:space="preserve">extended to </w:t>
            </w:r>
            <w:r w:rsidRPr="00B62036">
              <w:rPr>
                <w:rFonts w:ascii="Gill Sans MT" w:hAnsi="Gill Sans MT" w:cs="Calibri"/>
                <w:sz w:val="20"/>
                <w:szCs w:val="20"/>
              </w:rPr>
              <w:t xml:space="preserve">the </w:t>
            </w:r>
            <w:r w:rsidR="00D80E5E">
              <w:rPr>
                <w:rFonts w:ascii="Gill Sans MT" w:hAnsi="Gill Sans MT" w:cs="Calibri"/>
                <w:sz w:val="20"/>
                <w:szCs w:val="20"/>
              </w:rPr>
              <w:t>returnees.</w:t>
            </w:r>
          </w:p>
        </w:tc>
      </w:tr>
      <w:tr w:rsidR="007820B3" w:rsidRPr="00B62036" w14:paraId="0D581186" w14:textId="77777777" w:rsidTr="004B0071">
        <w:tc>
          <w:tcPr>
            <w:tcW w:w="761" w:type="pct"/>
          </w:tcPr>
          <w:p w14:paraId="6E16C66C" w14:textId="451B2A3B" w:rsidR="007820B3"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WFP </w:t>
            </w:r>
            <w:r w:rsidR="00C425D0" w:rsidRPr="00B62036">
              <w:rPr>
                <w:rFonts w:ascii="Gill Sans MT" w:hAnsi="Gill Sans MT" w:cs="Calibri"/>
                <w:sz w:val="20"/>
                <w:szCs w:val="20"/>
              </w:rPr>
              <w:t>&amp;</w:t>
            </w:r>
          </w:p>
          <w:p w14:paraId="7AC7206E" w14:textId="77777777" w:rsidR="00D15B67"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Implementing partner World Vision</w:t>
            </w:r>
          </w:p>
        </w:tc>
        <w:tc>
          <w:tcPr>
            <w:tcW w:w="1034" w:type="pct"/>
          </w:tcPr>
          <w:p w14:paraId="44341E43" w14:textId="77777777" w:rsidR="007820B3" w:rsidRPr="00B62036" w:rsidRDefault="00D15B67" w:rsidP="005D458E">
            <w:pPr>
              <w:pStyle w:val="Default"/>
              <w:numPr>
                <w:ilvl w:val="0"/>
                <w:numId w:val="7"/>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Rehabilitation of community infrastructure through cash for work </w:t>
            </w:r>
          </w:p>
        </w:tc>
        <w:tc>
          <w:tcPr>
            <w:tcW w:w="3205" w:type="pct"/>
          </w:tcPr>
          <w:p w14:paraId="397B8D1C" w14:textId="77777777" w:rsidR="00373A63" w:rsidRPr="00373A63" w:rsidRDefault="00373A63" w:rsidP="00373A63">
            <w:pPr>
              <w:pStyle w:val="Default"/>
              <w:numPr>
                <w:ilvl w:val="0"/>
                <w:numId w:val="4"/>
              </w:numPr>
              <w:tabs>
                <w:tab w:val="left" w:pos="1440"/>
              </w:tabs>
              <w:jc w:val="both"/>
              <w:rPr>
                <w:rFonts w:ascii="Gill Sans MT" w:hAnsi="Gill Sans MT" w:cs="Calibri"/>
                <w:sz w:val="20"/>
                <w:szCs w:val="20"/>
              </w:rPr>
            </w:pPr>
            <w:r w:rsidRPr="00373A63">
              <w:rPr>
                <w:rFonts w:ascii="Gill Sans MT" w:hAnsi="Gill Sans MT" w:cs="Calibri"/>
                <w:sz w:val="20"/>
                <w:szCs w:val="20"/>
              </w:rPr>
              <w:t xml:space="preserve">The project rehabilitated 31KM feeder roads linking Baidoa town and IDP settlements as well within IDP settlements through food voucher. The project has delivered significant impacts that included improved households income and increased access to food and dietary diversity during the project. </w:t>
            </w:r>
          </w:p>
          <w:p w14:paraId="1F5EF191" w14:textId="53E1489B" w:rsidR="00373A63" w:rsidRPr="006F3A6C" w:rsidRDefault="00373A63" w:rsidP="00373A63">
            <w:pPr>
              <w:pStyle w:val="Default"/>
              <w:numPr>
                <w:ilvl w:val="0"/>
                <w:numId w:val="4"/>
              </w:numPr>
              <w:tabs>
                <w:tab w:val="left" w:pos="1440"/>
              </w:tabs>
              <w:jc w:val="both"/>
              <w:rPr>
                <w:rFonts w:ascii="Gill Sans MT" w:hAnsi="Gill Sans MT" w:cs="Calibri"/>
                <w:sz w:val="20"/>
                <w:szCs w:val="20"/>
              </w:rPr>
            </w:pPr>
            <w:r>
              <w:rPr>
                <w:rFonts w:ascii="Gill Sans MT" w:hAnsi="Gill Sans MT" w:cs="Calibri"/>
                <w:sz w:val="20"/>
                <w:szCs w:val="20"/>
              </w:rPr>
              <w:t>Besides, t</w:t>
            </w:r>
            <w:r w:rsidRPr="006F3A6C">
              <w:rPr>
                <w:rFonts w:ascii="Gill Sans MT" w:hAnsi="Gill Sans MT" w:cs="Calibri"/>
                <w:sz w:val="20"/>
                <w:szCs w:val="20"/>
              </w:rPr>
              <w:t>he project saw an improved quality of access roads through rehabilitation of 31km stretch road from the main road of Baidoa cutting and interconnecting through 21 IDPs within the area.</w:t>
            </w:r>
          </w:p>
          <w:p w14:paraId="5A6FC7FD" w14:textId="4089E9C7" w:rsidR="006C54EA" w:rsidRPr="00D80E5E" w:rsidRDefault="00373A63" w:rsidP="009B0913">
            <w:pPr>
              <w:pStyle w:val="Default"/>
              <w:numPr>
                <w:ilvl w:val="0"/>
                <w:numId w:val="4"/>
              </w:numPr>
              <w:tabs>
                <w:tab w:val="left" w:pos="1440"/>
              </w:tabs>
              <w:jc w:val="both"/>
              <w:rPr>
                <w:rFonts w:ascii="Gill Sans MT" w:hAnsi="Gill Sans MT" w:cs="Calibri"/>
                <w:sz w:val="20"/>
                <w:szCs w:val="20"/>
              </w:rPr>
            </w:pPr>
            <w:r w:rsidRPr="006F3A6C">
              <w:rPr>
                <w:rFonts w:ascii="Gill Sans MT" w:hAnsi="Gill Sans MT" w:cs="Calibri"/>
                <w:sz w:val="20"/>
                <w:szCs w:val="20"/>
              </w:rPr>
              <w:lastRenderedPageBreak/>
              <w:t xml:space="preserve">The rehabilitated road reduced travel time to the markets especially during rainy season, improved social services </w:t>
            </w:r>
            <w:r w:rsidR="005D458E" w:rsidRPr="006F3A6C">
              <w:rPr>
                <w:rFonts w:ascii="Gill Sans MT" w:hAnsi="Gill Sans MT" w:cs="Calibri"/>
                <w:sz w:val="20"/>
                <w:szCs w:val="20"/>
              </w:rPr>
              <w:t>e.g.</w:t>
            </w:r>
            <w:r w:rsidRPr="006F3A6C">
              <w:rPr>
                <w:rFonts w:ascii="Gill Sans MT" w:hAnsi="Gill Sans MT" w:cs="Calibri"/>
                <w:sz w:val="20"/>
                <w:szCs w:val="20"/>
              </w:rPr>
              <w:t xml:space="preserve"> Hospitals for pregnant and elderly, increased vehicular activity.  There has been an increase in use of the roads for both commercial and non-commercial. One of the resident quoted that, before, the rehabilitation, the small vehicles ‘</w:t>
            </w:r>
            <w:r w:rsidR="009B0913">
              <w:rPr>
                <w:rFonts w:ascii="Gill Sans MT" w:hAnsi="Gill Sans MT" w:cs="Calibri"/>
                <w:sz w:val="20"/>
                <w:szCs w:val="20"/>
              </w:rPr>
              <w:t>T</w:t>
            </w:r>
            <w:r w:rsidRPr="006F3A6C">
              <w:rPr>
                <w:rFonts w:ascii="Gill Sans MT" w:hAnsi="Gill Sans MT" w:cs="Calibri"/>
                <w:sz w:val="20"/>
                <w:szCs w:val="20"/>
              </w:rPr>
              <w:t xml:space="preserve">uk </w:t>
            </w:r>
            <w:r w:rsidR="009B0913">
              <w:rPr>
                <w:rFonts w:ascii="Gill Sans MT" w:hAnsi="Gill Sans MT" w:cs="Calibri"/>
                <w:sz w:val="20"/>
                <w:szCs w:val="20"/>
              </w:rPr>
              <w:t>T</w:t>
            </w:r>
            <w:r w:rsidRPr="006F3A6C">
              <w:rPr>
                <w:rFonts w:ascii="Gill Sans MT" w:hAnsi="Gill Sans MT" w:cs="Calibri"/>
                <w:sz w:val="20"/>
                <w:szCs w:val="20"/>
              </w:rPr>
              <w:t xml:space="preserve">uk’ would not enter the IDP camps because of the state of the road but now they can making it easy to carry foodstuff and other items from their market. </w:t>
            </w:r>
            <w:r w:rsidRPr="009D0C4D">
              <w:rPr>
                <w:rFonts w:ascii="Gill Sans MT" w:hAnsi="Gill Sans MT" w:cs="Calibri"/>
                <w:sz w:val="20"/>
                <w:szCs w:val="20"/>
                <w:highlight w:val="yellow"/>
              </w:rPr>
              <w:t xml:space="preserve">  </w:t>
            </w:r>
          </w:p>
        </w:tc>
      </w:tr>
      <w:tr w:rsidR="007820B3" w:rsidRPr="00B62036" w14:paraId="17FAA150" w14:textId="77777777" w:rsidTr="004B0071">
        <w:tc>
          <w:tcPr>
            <w:tcW w:w="761" w:type="pct"/>
          </w:tcPr>
          <w:p w14:paraId="06A508A4" w14:textId="66AE180F" w:rsidR="007820B3"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lastRenderedPageBreak/>
              <w:t xml:space="preserve">UNICEF </w:t>
            </w:r>
            <w:r w:rsidR="007E6465" w:rsidRPr="00B62036">
              <w:rPr>
                <w:rFonts w:ascii="Gill Sans MT" w:hAnsi="Gill Sans MT" w:cs="Calibri"/>
                <w:sz w:val="20"/>
                <w:szCs w:val="20"/>
              </w:rPr>
              <w:t>&amp;</w:t>
            </w:r>
          </w:p>
          <w:p w14:paraId="04492F95" w14:textId="77777777" w:rsidR="00D15B67"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Implementing partner BREK</w:t>
            </w:r>
          </w:p>
        </w:tc>
        <w:tc>
          <w:tcPr>
            <w:tcW w:w="1034" w:type="pct"/>
          </w:tcPr>
          <w:p w14:paraId="06B31CDB" w14:textId="77777777" w:rsidR="007820B3" w:rsidRPr="00B62036" w:rsidRDefault="00D15B67" w:rsidP="005D458E">
            <w:pPr>
              <w:pStyle w:val="Default"/>
              <w:numPr>
                <w:ilvl w:val="0"/>
                <w:numId w:val="8"/>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Construction of Temporary Learning Spaces </w:t>
            </w:r>
          </w:p>
          <w:p w14:paraId="2066BA1A" w14:textId="77777777" w:rsidR="00D15B67" w:rsidRPr="00B62036" w:rsidRDefault="00D15B67" w:rsidP="005D458E">
            <w:pPr>
              <w:pStyle w:val="Default"/>
              <w:numPr>
                <w:ilvl w:val="0"/>
                <w:numId w:val="8"/>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Training of teachers </w:t>
            </w:r>
          </w:p>
          <w:p w14:paraId="1FFE484C" w14:textId="77777777" w:rsidR="00D15B67" w:rsidRPr="00B62036" w:rsidRDefault="00D15B67" w:rsidP="005D458E">
            <w:pPr>
              <w:pStyle w:val="Default"/>
              <w:numPr>
                <w:ilvl w:val="0"/>
                <w:numId w:val="8"/>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Vocational skills training for teachers </w:t>
            </w:r>
          </w:p>
        </w:tc>
        <w:tc>
          <w:tcPr>
            <w:tcW w:w="3205" w:type="pct"/>
          </w:tcPr>
          <w:p w14:paraId="79283EB5" w14:textId="75047DFD" w:rsidR="007820B3" w:rsidRPr="00B62036" w:rsidRDefault="003C75CA"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Beneficiaries indicated </w:t>
            </w:r>
            <w:r w:rsidR="007E6465" w:rsidRPr="00B62036">
              <w:rPr>
                <w:rFonts w:ascii="Gill Sans MT" w:hAnsi="Gill Sans MT" w:cs="Calibri"/>
                <w:sz w:val="20"/>
                <w:szCs w:val="20"/>
              </w:rPr>
              <w:t>that the TLS was helpful</w:t>
            </w:r>
            <w:r w:rsidRPr="00B62036">
              <w:rPr>
                <w:rFonts w:ascii="Gill Sans MT" w:hAnsi="Gill Sans MT" w:cs="Calibri"/>
                <w:sz w:val="20"/>
                <w:szCs w:val="20"/>
              </w:rPr>
              <w:t xml:space="preserve"> in providing learning spaces for children in IDPs or informal settlement</w:t>
            </w:r>
            <w:r w:rsidR="007E6465" w:rsidRPr="00B62036">
              <w:rPr>
                <w:rFonts w:ascii="Gill Sans MT" w:hAnsi="Gill Sans MT" w:cs="Calibri"/>
                <w:sz w:val="20"/>
                <w:szCs w:val="20"/>
              </w:rPr>
              <w:t>s</w:t>
            </w:r>
            <w:r w:rsidRPr="00B62036">
              <w:rPr>
                <w:rFonts w:ascii="Gill Sans MT" w:hAnsi="Gill Sans MT" w:cs="Calibri"/>
                <w:sz w:val="20"/>
                <w:szCs w:val="20"/>
              </w:rPr>
              <w:t xml:space="preserve">. Given their nature as temporary spaces, community leaders pointed myriad challenges in operating such facilities and suggested the following; </w:t>
            </w:r>
            <w:r w:rsidR="007E6465" w:rsidRPr="00B62036">
              <w:rPr>
                <w:rFonts w:ascii="Gill Sans MT" w:hAnsi="Gill Sans MT" w:cs="Calibri"/>
                <w:sz w:val="20"/>
                <w:szCs w:val="20"/>
              </w:rPr>
              <w:t xml:space="preserve">that </w:t>
            </w:r>
            <w:r w:rsidRPr="00B62036">
              <w:rPr>
                <w:rFonts w:ascii="Gill Sans MT" w:hAnsi="Gill Sans MT" w:cs="Calibri"/>
                <w:sz w:val="20"/>
                <w:szCs w:val="20"/>
              </w:rPr>
              <w:t>there’s need to improve the standards of TLS to include a staffroom for the teachers</w:t>
            </w:r>
            <w:r w:rsidR="002C7936" w:rsidRPr="00B62036">
              <w:rPr>
                <w:rFonts w:ascii="Gill Sans MT" w:hAnsi="Gill Sans MT" w:cs="Calibri"/>
                <w:sz w:val="20"/>
                <w:szCs w:val="20"/>
              </w:rPr>
              <w:t>, children</w:t>
            </w:r>
            <w:r w:rsidR="007E6465" w:rsidRPr="00B62036">
              <w:rPr>
                <w:rFonts w:ascii="Gill Sans MT" w:hAnsi="Gill Sans MT" w:cs="Calibri"/>
                <w:sz w:val="20"/>
                <w:szCs w:val="20"/>
              </w:rPr>
              <w:t xml:space="preserve"> </w:t>
            </w:r>
            <w:r w:rsidRPr="00B62036">
              <w:rPr>
                <w:rFonts w:ascii="Gill Sans MT" w:hAnsi="Gill Sans MT" w:cs="Calibri"/>
                <w:sz w:val="20"/>
                <w:szCs w:val="20"/>
              </w:rPr>
              <w:t xml:space="preserve">playing ground, review </w:t>
            </w:r>
            <w:r w:rsidR="007E6465" w:rsidRPr="00B62036">
              <w:rPr>
                <w:rFonts w:ascii="Gill Sans MT" w:hAnsi="Gill Sans MT" w:cs="Calibri"/>
                <w:sz w:val="20"/>
                <w:szCs w:val="20"/>
              </w:rPr>
              <w:t xml:space="preserve">of </w:t>
            </w:r>
            <w:r w:rsidRPr="00B62036">
              <w:rPr>
                <w:rFonts w:ascii="Gill Sans MT" w:hAnsi="Gill Sans MT" w:cs="Calibri"/>
                <w:sz w:val="20"/>
                <w:szCs w:val="20"/>
              </w:rPr>
              <w:t>student-teacher ratio and sustainability of such spaces. There’s preference for permanent schools for children that</w:t>
            </w:r>
            <w:r w:rsidR="00B247D0" w:rsidRPr="00B62036">
              <w:rPr>
                <w:rFonts w:ascii="Gill Sans MT" w:hAnsi="Gill Sans MT" w:cs="Calibri"/>
                <w:sz w:val="20"/>
                <w:szCs w:val="20"/>
              </w:rPr>
              <w:t xml:space="preserve"> are</w:t>
            </w:r>
            <w:r w:rsidRPr="00B62036">
              <w:rPr>
                <w:rFonts w:ascii="Gill Sans MT" w:hAnsi="Gill Sans MT" w:cs="Calibri"/>
                <w:sz w:val="20"/>
                <w:szCs w:val="20"/>
              </w:rPr>
              <w:t xml:space="preserve"> disaggregated into grades. Most of the returnee children found the centres not convenient because it was taught is Somali or Arabic as opposed to English and Kiswahili </w:t>
            </w:r>
            <w:r w:rsidR="002C7936" w:rsidRPr="00B62036">
              <w:rPr>
                <w:rFonts w:ascii="Gill Sans MT" w:hAnsi="Gill Sans MT" w:cs="Calibri"/>
                <w:sz w:val="20"/>
                <w:szCs w:val="20"/>
              </w:rPr>
              <w:t xml:space="preserve">that are used to while in Kenya (Dadaab </w:t>
            </w:r>
            <w:r w:rsidRPr="00B62036">
              <w:rPr>
                <w:rFonts w:ascii="Gill Sans MT" w:hAnsi="Gill Sans MT" w:cs="Calibri"/>
                <w:sz w:val="20"/>
                <w:szCs w:val="20"/>
              </w:rPr>
              <w:t>camps</w:t>
            </w:r>
            <w:r w:rsidR="002C7936" w:rsidRPr="00B62036">
              <w:rPr>
                <w:rFonts w:ascii="Gill Sans MT" w:hAnsi="Gill Sans MT" w:cs="Calibri"/>
                <w:sz w:val="20"/>
                <w:szCs w:val="20"/>
              </w:rPr>
              <w:t>)</w:t>
            </w:r>
            <w:r w:rsidRPr="00B62036">
              <w:rPr>
                <w:rFonts w:ascii="Gill Sans MT" w:hAnsi="Gill Sans MT" w:cs="Calibri"/>
                <w:sz w:val="20"/>
                <w:szCs w:val="20"/>
              </w:rPr>
              <w:t>.</w:t>
            </w:r>
          </w:p>
        </w:tc>
      </w:tr>
      <w:tr w:rsidR="007820B3" w:rsidRPr="00B62036" w14:paraId="2F7F446D" w14:textId="77777777" w:rsidTr="004B0071">
        <w:tc>
          <w:tcPr>
            <w:tcW w:w="761" w:type="pct"/>
          </w:tcPr>
          <w:p w14:paraId="050B41C6" w14:textId="3FDDE0F3" w:rsidR="007820B3"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ILO </w:t>
            </w:r>
            <w:r w:rsidR="007E6465" w:rsidRPr="00B62036">
              <w:rPr>
                <w:rFonts w:ascii="Gill Sans MT" w:hAnsi="Gill Sans MT" w:cs="Calibri"/>
                <w:sz w:val="20"/>
                <w:szCs w:val="20"/>
              </w:rPr>
              <w:t>&amp;</w:t>
            </w:r>
          </w:p>
          <w:p w14:paraId="1BE6F5E4" w14:textId="77777777" w:rsidR="00D15B67" w:rsidRPr="00B62036" w:rsidRDefault="0005410C"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Implementing partner W</w:t>
            </w:r>
            <w:r w:rsidR="00D15B67" w:rsidRPr="00B62036">
              <w:rPr>
                <w:rFonts w:ascii="Gill Sans MT" w:hAnsi="Gill Sans MT" w:cs="Calibri"/>
                <w:sz w:val="20"/>
                <w:szCs w:val="20"/>
              </w:rPr>
              <w:t>ARDO</w:t>
            </w:r>
          </w:p>
        </w:tc>
        <w:tc>
          <w:tcPr>
            <w:tcW w:w="1034" w:type="pct"/>
          </w:tcPr>
          <w:p w14:paraId="0673DEB5" w14:textId="77777777" w:rsidR="007820B3" w:rsidRPr="00B62036" w:rsidRDefault="00D15B67" w:rsidP="005D458E">
            <w:pPr>
              <w:pStyle w:val="Default"/>
              <w:numPr>
                <w:ilvl w:val="0"/>
                <w:numId w:val="9"/>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Construction of community road through cash for work </w:t>
            </w:r>
          </w:p>
          <w:p w14:paraId="2633860B" w14:textId="77777777" w:rsidR="00D15B67" w:rsidRPr="00B62036" w:rsidRDefault="00D15B67" w:rsidP="005D458E">
            <w:pPr>
              <w:pStyle w:val="Default"/>
              <w:numPr>
                <w:ilvl w:val="0"/>
                <w:numId w:val="9"/>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Vocational skills training to boost </w:t>
            </w:r>
            <w:r w:rsidR="00014AAC" w:rsidRPr="00B62036">
              <w:rPr>
                <w:rFonts w:ascii="Gill Sans MT" w:hAnsi="Gill Sans MT" w:cs="Calibri"/>
                <w:sz w:val="20"/>
                <w:szCs w:val="20"/>
              </w:rPr>
              <w:t xml:space="preserve">employment opportunities </w:t>
            </w:r>
          </w:p>
        </w:tc>
        <w:tc>
          <w:tcPr>
            <w:tcW w:w="3205" w:type="pct"/>
          </w:tcPr>
          <w:p w14:paraId="21AA27FE" w14:textId="3C0C04F5" w:rsidR="007820B3" w:rsidRPr="00B62036" w:rsidRDefault="0005410C" w:rsidP="00D008E4">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The road rehabilitation activity and vocational skills training was hailed as having increased accessibility and availability of cash to beneficiaries. Besides, the vocational skills exposed students to various courses including; Auto-Mechanic and Driving, Hospitality/catering; Electrical installation; Business Entrepreneurship and Mobile and Electronic repairing.</w:t>
            </w:r>
            <w:r w:rsidR="00D008E4" w:rsidRPr="00D008E4">
              <w:rPr>
                <w:rFonts w:ascii="Gill Sans MT" w:hAnsi="Gill Sans MT" w:cs="Calibri"/>
                <w:sz w:val="20"/>
                <w:szCs w:val="20"/>
              </w:rPr>
              <w:t xml:space="preserve"> </w:t>
            </w:r>
            <w:r w:rsidR="00D008E4">
              <w:rPr>
                <w:rFonts w:ascii="Gill Sans MT" w:hAnsi="Gill Sans MT" w:cs="Calibri"/>
                <w:sz w:val="20"/>
                <w:szCs w:val="20"/>
              </w:rPr>
              <w:t xml:space="preserve">The </w:t>
            </w:r>
            <w:r w:rsidR="00D008E4" w:rsidRPr="00D008E4">
              <w:rPr>
                <w:rFonts w:ascii="Gill Sans MT" w:hAnsi="Gill Sans MT" w:cs="Calibri"/>
                <w:sz w:val="20"/>
                <w:szCs w:val="20"/>
              </w:rPr>
              <w:t>skills</w:t>
            </w:r>
            <w:r w:rsidR="00D008E4">
              <w:rPr>
                <w:rFonts w:ascii="Gill Sans MT" w:hAnsi="Gill Sans MT" w:cs="Calibri"/>
                <w:sz w:val="20"/>
                <w:szCs w:val="20"/>
              </w:rPr>
              <w:t xml:space="preserve"> development course also </w:t>
            </w:r>
            <w:r w:rsidR="00D008E4" w:rsidRPr="00D008E4">
              <w:rPr>
                <w:rFonts w:ascii="Gill Sans MT" w:hAnsi="Gill Sans MT" w:cs="Calibri"/>
                <w:sz w:val="20"/>
                <w:szCs w:val="20"/>
              </w:rPr>
              <w:t>linked</w:t>
            </w:r>
            <w:r w:rsidR="00D008E4">
              <w:rPr>
                <w:rFonts w:ascii="Gill Sans MT" w:hAnsi="Gill Sans MT" w:cs="Calibri"/>
                <w:sz w:val="20"/>
                <w:szCs w:val="20"/>
              </w:rPr>
              <w:t xml:space="preserve"> trainees</w:t>
            </w:r>
            <w:r w:rsidR="00D008E4" w:rsidRPr="00D008E4">
              <w:rPr>
                <w:rFonts w:ascii="Gill Sans MT" w:hAnsi="Gill Sans MT" w:cs="Calibri"/>
                <w:sz w:val="20"/>
                <w:szCs w:val="20"/>
              </w:rPr>
              <w:t xml:space="preserve"> to relevant job placements with Beco Company, Horyal Hotel, Bay Workshop and medina Salon</w:t>
            </w:r>
            <w:r w:rsidR="00D008E4">
              <w:rPr>
                <w:rFonts w:ascii="Gill Sans MT" w:hAnsi="Gill Sans MT" w:cs="Calibri"/>
                <w:sz w:val="20"/>
                <w:szCs w:val="20"/>
              </w:rPr>
              <w:t xml:space="preserve"> thus reducing the unemployment rates among the youth selected from diverse community segments. </w:t>
            </w:r>
          </w:p>
          <w:p w14:paraId="17CD0681" w14:textId="48625609" w:rsidR="0005410C" w:rsidRPr="00B62036" w:rsidRDefault="0005410C"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Local community leaders suggested </w:t>
            </w:r>
            <w:r w:rsidR="002C7936" w:rsidRPr="00B62036">
              <w:rPr>
                <w:rFonts w:ascii="Gill Sans MT" w:hAnsi="Gill Sans MT" w:cs="Calibri"/>
                <w:sz w:val="20"/>
                <w:szCs w:val="20"/>
              </w:rPr>
              <w:t xml:space="preserve">that </w:t>
            </w:r>
            <w:r w:rsidRPr="00B62036">
              <w:rPr>
                <w:rFonts w:ascii="Gill Sans MT" w:hAnsi="Gill Sans MT" w:cs="Calibri"/>
                <w:sz w:val="20"/>
                <w:szCs w:val="20"/>
              </w:rPr>
              <w:t xml:space="preserve">there is need for market linkage and provision of start-up grants to boost the confidence of the graduates and motivate them to use the skills gained. </w:t>
            </w:r>
          </w:p>
        </w:tc>
      </w:tr>
      <w:tr w:rsidR="007820B3" w:rsidRPr="00B62036" w14:paraId="296DE321" w14:textId="77777777" w:rsidTr="004B0071">
        <w:tc>
          <w:tcPr>
            <w:tcW w:w="761" w:type="pct"/>
          </w:tcPr>
          <w:p w14:paraId="4070E0F7" w14:textId="77777777" w:rsidR="007820B3" w:rsidRPr="00B62036" w:rsidRDefault="00D15B67"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IOM </w:t>
            </w:r>
          </w:p>
        </w:tc>
        <w:tc>
          <w:tcPr>
            <w:tcW w:w="1034" w:type="pct"/>
          </w:tcPr>
          <w:p w14:paraId="457335A1" w14:textId="77777777" w:rsidR="00014AAC" w:rsidRPr="00B62036" w:rsidRDefault="00014AAC" w:rsidP="005D458E">
            <w:pPr>
              <w:pStyle w:val="Default"/>
              <w:numPr>
                <w:ilvl w:val="0"/>
                <w:numId w:val="10"/>
              </w:numPr>
              <w:tabs>
                <w:tab w:val="left" w:pos="1440"/>
              </w:tabs>
              <w:jc w:val="both"/>
              <w:rPr>
                <w:rFonts w:ascii="Gill Sans MT" w:hAnsi="Gill Sans MT" w:cs="Calibri"/>
                <w:sz w:val="20"/>
                <w:szCs w:val="20"/>
              </w:rPr>
            </w:pPr>
            <w:r w:rsidRPr="00B62036">
              <w:rPr>
                <w:rFonts w:ascii="Gill Sans MT" w:hAnsi="Gill Sans MT" w:cs="Calibri"/>
                <w:sz w:val="20"/>
                <w:szCs w:val="20"/>
              </w:rPr>
              <w:t>Construction of ISHA Police Station,</w:t>
            </w:r>
          </w:p>
          <w:p w14:paraId="6FDD296B" w14:textId="77777777" w:rsidR="00014AAC" w:rsidRPr="00B62036" w:rsidRDefault="00014AAC" w:rsidP="005D458E">
            <w:pPr>
              <w:pStyle w:val="Default"/>
              <w:numPr>
                <w:ilvl w:val="0"/>
                <w:numId w:val="10"/>
              </w:numPr>
              <w:tabs>
                <w:tab w:val="left" w:pos="1440"/>
              </w:tabs>
              <w:jc w:val="both"/>
              <w:rPr>
                <w:rFonts w:ascii="Gill Sans MT" w:hAnsi="Gill Sans MT" w:cs="Calibri"/>
                <w:sz w:val="20"/>
                <w:szCs w:val="20"/>
              </w:rPr>
            </w:pPr>
            <w:r w:rsidRPr="00B62036">
              <w:rPr>
                <w:rFonts w:ascii="Gill Sans MT" w:hAnsi="Gill Sans MT" w:cs="Calibri"/>
                <w:sz w:val="20"/>
                <w:szCs w:val="20"/>
              </w:rPr>
              <w:t>Construction of Kerowfogi Bridge</w:t>
            </w:r>
          </w:p>
          <w:p w14:paraId="128AD619" w14:textId="77777777" w:rsidR="007820B3" w:rsidRPr="00B62036" w:rsidRDefault="00644EDE" w:rsidP="005D458E">
            <w:pPr>
              <w:pStyle w:val="Default"/>
              <w:numPr>
                <w:ilvl w:val="0"/>
                <w:numId w:val="10"/>
              </w:numPr>
              <w:tabs>
                <w:tab w:val="left" w:pos="1440"/>
              </w:tabs>
              <w:jc w:val="both"/>
              <w:rPr>
                <w:rFonts w:ascii="Gill Sans MT" w:hAnsi="Gill Sans MT" w:cs="Calibri"/>
                <w:sz w:val="20"/>
                <w:szCs w:val="20"/>
              </w:rPr>
            </w:pPr>
            <w:r w:rsidRPr="00B62036">
              <w:rPr>
                <w:rFonts w:ascii="Gill Sans MT" w:hAnsi="Gill Sans MT" w:cs="Calibri"/>
                <w:sz w:val="20"/>
                <w:szCs w:val="20"/>
              </w:rPr>
              <w:t>Rehabilitation</w:t>
            </w:r>
            <w:r w:rsidR="00014AAC" w:rsidRPr="00B62036">
              <w:rPr>
                <w:rFonts w:ascii="Gill Sans MT" w:hAnsi="Gill Sans MT" w:cs="Calibri"/>
                <w:sz w:val="20"/>
                <w:szCs w:val="20"/>
              </w:rPr>
              <w:t xml:space="preserve"> of Dr. Ayub Stadium had to be delayed</w:t>
            </w:r>
          </w:p>
        </w:tc>
        <w:tc>
          <w:tcPr>
            <w:tcW w:w="3205" w:type="pct"/>
          </w:tcPr>
          <w:p w14:paraId="73444A08" w14:textId="77777777" w:rsidR="007820B3" w:rsidRPr="00B62036" w:rsidRDefault="00644EDE"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The construction of the police post was welcomed as improving service delivery and security situation in Baidoa town. </w:t>
            </w:r>
          </w:p>
          <w:p w14:paraId="1DD903A7" w14:textId="7F8B6C4F" w:rsidR="00644EDE" w:rsidRPr="00B62036" w:rsidRDefault="00644EDE" w:rsidP="00230515">
            <w:pPr>
              <w:pStyle w:val="Default"/>
              <w:numPr>
                <w:ilvl w:val="0"/>
                <w:numId w:val="4"/>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However, the construction of the bridge and Dr. Ayub </w:t>
            </w:r>
            <w:r w:rsidR="002C7936" w:rsidRPr="00B62036">
              <w:rPr>
                <w:rFonts w:ascii="Gill Sans MT" w:hAnsi="Gill Sans MT" w:cs="Calibri"/>
                <w:sz w:val="20"/>
                <w:szCs w:val="20"/>
              </w:rPr>
              <w:t xml:space="preserve">stadium </w:t>
            </w:r>
            <w:r w:rsidRPr="00B62036">
              <w:rPr>
                <w:rFonts w:ascii="Gill Sans MT" w:hAnsi="Gill Sans MT" w:cs="Calibri"/>
                <w:sz w:val="20"/>
                <w:szCs w:val="20"/>
              </w:rPr>
              <w:t>is yet to start due to government interference in the award of the tender. IOM has since re-advertised the tender and construction of the bridge and stadium is expected to commence in March 2019.</w:t>
            </w:r>
          </w:p>
        </w:tc>
      </w:tr>
    </w:tbl>
    <w:p w14:paraId="77AF2B12" w14:textId="77777777" w:rsidR="00213DED" w:rsidRPr="00B62036" w:rsidRDefault="00213DED" w:rsidP="00230515">
      <w:pPr>
        <w:pStyle w:val="Default"/>
        <w:tabs>
          <w:tab w:val="left" w:pos="1440"/>
        </w:tabs>
        <w:jc w:val="both"/>
        <w:rPr>
          <w:rFonts w:ascii="Gill Sans MT" w:hAnsi="Gill Sans MT" w:cs="Calibri"/>
          <w:sz w:val="20"/>
          <w:szCs w:val="20"/>
        </w:rPr>
      </w:pPr>
    </w:p>
    <w:p w14:paraId="2E830D9B" w14:textId="603F1717" w:rsidR="008A688B" w:rsidRPr="00B62036" w:rsidRDefault="006F6524" w:rsidP="00230515">
      <w:pPr>
        <w:spacing w:line="276" w:lineRule="auto"/>
        <w:jc w:val="both"/>
        <w:rPr>
          <w:rFonts w:ascii="Gill Sans MT" w:hAnsi="Gill Sans MT"/>
          <w:sz w:val="20"/>
          <w:szCs w:val="20"/>
        </w:rPr>
      </w:pPr>
      <w:r w:rsidRPr="00B62036">
        <w:rPr>
          <w:rFonts w:ascii="Gill Sans MT" w:hAnsi="Gill Sans MT"/>
          <w:sz w:val="20"/>
          <w:szCs w:val="20"/>
        </w:rPr>
        <w:t>For the VST training in Dadaab-Kenya, a</w:t>
      </w:r>
      <w:r w:rsidR="00540730" w:rsidRPr="00B62036">
        <w:rPr>
          <w:rFonts w:ascii="Gill Sans MT" w:hAnsi="Gill Sans MT"/>
          <w:sz w:val="20"/>
          <w:szCs w:val="20"/>
        </w:rPr>
        <w:t xml:space="preserve">lthough the project initially aimed at providing start up kits for the graduate trainees, this was not fully </w:t>
      </w:r>
      <w:r w:rsidR="005B5FDF" w:rsidRPr="00B62036">
        <w:rPr>
          <w:rFonts w:ascii="Gill Sans MT" w:hAnsi="Gill Sans MT"/>
          <w:sz w:val="20"/>
          <w:szCs w:val="20"/>
        </w:rPr>
        <w:t>realized</w:t>
      </w:r>
      <w:r w:rsidR="00540730" w:rsidRPr="00B62036">
        <w:rPr>
          <w:rFonts w:ascii="Gill Sans MT" w:hAnsi="Gill Sans MT"/>
          <w:sz w:val="20"/>
          <w:szCs w:val="20"/>
        </w:rPr>
        <w:t xml:space="preserve">. Therefore, the post-training support of business </w:t>
      </w:r>
      <w:r w:rsidR="003A3D76" w:rsidRPr="00B62036">
        <w:rPr>
          <w:rFonts w:ascii="Gill Sans MT" w:hAnsi="Gill Sans MT"/>
          <w:sz w:val="20"/>
          <w:szCs w:val="20"/>
        </w:rPr>
        <w:t>startup</w:t>
      </w:r>
      <w:r w:rsidR="00540730" w:rsidRPr="00B62036">
        <w:rPr>
          <w:rFonts w:ascii="Gill Sans MT" w:hAnsi="Gill Sans MT"/>
          <w:sz w:val="20"/>
          <w:szCs w:val="20"/>
        </w:rPr>
        <w:t xml:space="preserve"> was not sufficiently addressed. Implementing partners reported that per project budget the amount allocated would be ksh. 7000 (approximately $70), hence they couldn’t be able to achieve this. Nonetheless, DRC and NRC offered to cluster the trainees into groups of four and provided them with some little start up kits, which according to the </w:t>
      </w:r>
      <w:r w:rsidR="00540730" w:rsidRPr="00B62036">
        <w:rPr>
          <w:rFonts w:ascii="Gill Sans MT" w:hAnsi="Gill Sans MT"/>
          <w:sz w:val="20"/>
          <w:szCs w:val="20"/>
        </w:rPr>
        <w:lastRenderedPageBreak/>
        <w:t xml:space="preserve">trainees was far from enough to support their </w:t>
      </w:r>
      <w:r w:rsidR="003A3D76" w:rsidRPr="00B62036">
        <w:rPr>
          <w:rFonts w:ascii="Gill Sans MT" w:hAnsi="Gill Sans MT"/>
          <w:sz w:val="20"/>
          <w:szCs w:val="20"/>
        </w:rPr>
        <w:t>business’s</w:t>
      </w:r>
      <w:r w:rsidRPr="00B62036">
        <w:rPr>
          <w:rFonts w:ascii="Gill Sans MT" w:hAnsi="Gill Sans MT"/>
          <w:sz w:val="20"/>
          <w:szCs w:val="20"/>
        </w:rPr>
        <w:t xml:space="preserve"> needs</w:t>
      </w:r>
      <w:r w:rsidR="00540730" w:rsidRPr="00B62036">
        <w:rPr>
          <w:rFonts w:ascii="Gill Sans MT" w:hAnsi="Gill Sans MT"/>
          <w:sz w:val="20"/>
          <w:szCs w:val="20"/>
        </w:rPr>
        <w:t xml:space="preserve">. Some of these trained youth even reported that </w:t>
      </w:r>
      <w:r w:rsidR="005B5FDF" w:rsidRPr="00B62036">
        <w:rPr>
          <w:rFonts w:ascii="Gill Sans MT" w:hAnsi="Gill Sans MT"/>
          <w:sz w:val="20"/>
          <w:szCs w:val="20"/>
        </w:rPr>
        <w:t>because</w:t>
      </w:r>
      <w:r w:rsidR="00540730" w:rsidRPr="00B62036">
        <w:rPr>
          <w:rFonts w:ascii="Gill Sans MT" w:hAnsi="Gill Sans MT"/>
          <w:sz w:val="20"/>
          <w:szCs w:val="20"/>
        </w:rPr>
        <w:t xml:space="preserve"> of challenges emanating from group disagreements</w:t>
      </w:r>
      <w:r w:rsidRPr="00B62036">
        <w:rPr>
          <w:rFonts w:ascii="Gill Sans MT" w:hAnsi="Gill Sans MT"/>
          <w:sz w:val="20"/>
          <w:szCs w:val="20"/>
        </w:rPr>
        <w:t>,</w:t>
      </w:r>
      <w:r w:rsidR="00540730" w:rsidRPr="00B62036">
        <w:rPr>
          <w:rFonts w:ascii="Gill Sans MT" w:hAnsi="Gill Sans MT"/>
          <w:sz w:val="20"/>
          <w:szCs w:val="20"/>
        </w:rPr>
        <w:t xml:space="preserve"> most of them </w:t>
      </w:r>
      <w:r w:rsidR="005B5FDF" w:rsidRPr="00B62036">
        <w:rPr>
          <w:rFonts w:ascii="Gill Sans MT" w:hAnsi="Gill Sans MT"/>
          <w:sz w:val="20"/>
          <w:szCs w:val="20"/>
        </w:rPr>
        <w:t>ended</w:t>
      </w:r>
      <w:r w:rsidR="00540730" w:rsidRPr="00B62036">
        <w:rPr>
          <w:rFonts w:ascii="Gill Sans MT" w:hAnsi="Gill Sans MT"/>
          <w:sz w:val="20"/>
          <w:szCs w:val="20"/>
        </w:rPr>
        <w:t xml:space="preserve"> up selling the kits, affecting their morale. </w:t>
      </w:r>
    </w:p>
    <w:p w14:paraId="6F44D8FD" w14:textId="581FC8DE" w:rsidR="009F2E46" w:rsidRPr="00B62036" w:rsidRDefault="0008789D" w:rsidP="00230515">
      <w:pPr>
        <w:pStyle w:val="Heading3"/>
        <w:jc w:val="both"/>
        <w:rPr>
          <w:rFonts w:ascii="Gill Sans MT" w:hAnsi="Gill Sans MT"/>
          <w:sz w:val="20"/>
          <w:szCs w:val="20"/>
        </w:rPr>
      </w:pPr>
      <w:bookmarkStart w:id="33" w:name="_Toc419359868"/>
      <w:r w:rsidRPr="00B62036">
        <w:rPr>
          <w:rFonts w:ascii="Gill Sans MT" w:hAnsi="Gill Sans MT"/>
          <w:sz w:val="20"/>
          <w:szCs w:val="20"/>
        </w:rPr>
        <w:t xml:space="preserve">3.3.7 </w:t>
      </w:r>
      <w:r w:rsidR="009F2E46" w:rsidRPr="00B62036">
        <w:rPr>
          <w:rFonts w:ascii="Gill Sans MT" w:hAnsi="Gill Sans MT"/>
          <w:sz w:val="20"/>
          <w:szCs w:val="20"/>
        </w:rPr>
        <w:t>Reintegration of Returnees</w:t>
      </w:r>
      <w:bookmarkEnd w:id="33"/>
    </w:p>
    <w:p w14:paraId="6AD689B1" w14:textId="5714142B" w:rsidR="00647744" w:rsidRPr="00B62036" w:rsidRDefault="00057D34" w:rsidP="00230515">
      <w:pPr>
        <w:widowControl w:val="0"/>
        <w:autoSpaceDE w:val="0"/>
        <w:autoSpaceDN w:val="0"/>
        <w:adjustRightInd w:val="0"/>
        <w:spacing w:line="276" w:lineRule="auto"/>
        <w:jc w:val="both"/>
        <w:rPr>
          <w:rFonts w:ascii="Gill Sans MT" w:hAnsi="Gill Sans MT"/>
          <w:sz w:val="20"/>
          <w:szCs w:val="20"/>
        </w:rPr>
      </w:pPr>
      <w:r>
        <w:rPr>
          <w:rFonts w:ascii="Gill Sans MT" w:hAnsi="Gill Sans MT"/>
          <w:sz w:val="20"/>
          <w:szCs w:val="20"/>
        </w:rPr>
        <w:t>While the reintegration component</w:t>
      </w:r>
      <w:r w:rsidR="009F2E46" w:rsidRPr="00B62036">
        <w:rPr>
          <w:rFonts w:ascii="Gill Sans MT" w:hAnsi="Gill Sans MT"/>
          <w:sz w:val="20"/>
          <w:szCs w:val="20"/>
        </w:rPr>
        <w:t xml:space="preserve"> of the project was not well spelt out by all </w:t>
      </w:r>
      <w:r w:rsidR="00E072C9" w:rsidRPr="00B62036">
        <w:rPr>
          <w:rFonts w:ascii="Gill Sans MT" w:hAnsi="Gill Sans MT"/>
          <w:sz w:val="20"/>
          <w:szCs w:val="20"/>
        </w:rPr>
        <w:t>partners</w:t>
      </w:r>
      <w:r w:rsidR="009F2E46" w:rsidRPr="00B62036">
        <w:rPr>
          <w:rFonts w:ascii="Gill Sans MT" w:hAnsi="Gill Sans MT"/>
          <w:sz w:val="20"/>
          <w:szCs w:val="20"/>
        </w:rPr>
        <w:t>, the</w:t>
      </w:r>
      <w:r w:rsidR="00E072C9" w:rsidRPr="00B62036">
        <w:rPr>
          <w:rFonts w:ascii="Gill Sans MT" w:hAnsi="Gill Sans MT"/>
          <w:sz w:val="20"/>
          <w:szCs w:val="20"/>
        </w:rPr>
        <w:t xml:space="preserve"> </w:t>
      </w:r>
      <w:r w:rsidR="00617253">
        <w:rPr>
          <w:rFonts w:ascii="Gill Sans MT" w:hAnsi="Gill Sans MT"/>
          <w:sz w:val="20"/>
          <w:szCs w:val="20"/>
        </w:rPr>
        <w:t xml:space="preserve">PBF program </w:t>
      </w:r>
      <w:r w:rsidR="009F2E46" w:rsidRPr="00B62036">
        <w:rPr>
          <w:rFonts w:ascii="Gill Sans MT" w:hAnsi="Gill Sans MT"/>
          <w:sz w:val="20"/>
          <w:szCs w:val="20"/>
        </w:rPr>
        <w:t xml:space="preserve">has had verifiably positive achievements in this area. Firstly, the main focus of assistance was at the local level, where municipal and non-government actors have been supported through funding and capacity development assistance for local return and reintegration projects, which resulted in the rehabilitation of local infrastructure such as schools, the provision of socio-economic assistance to returnees, and the undertaking of community development initiatives. From the focus group discussions with </w:t>
      </w:r>
      <w:r w:rsidR="00692DD8" w:rsidRPr="00B62036">
        <w:rPr>
          <w:rFonts w:ascii="Gill Sans MT" w:hAnsi="Gill Sans MT"/>
          <w:sz w:val="20"/>
          <w:szCs w:val="20"/>
        </w:rPr>
        <w:t>the</w:t>
      </w:r>
      <w:r w:rsidR="009F2E46" w:rsidRPr="00B62036">
        <w:rPr>
          <w:rFonts w:ascii="Gill Sans MT" w:hAnsi="Gill Sans MT"/>
          <w:sz w:val="20"/>
          <w:szCs w:val="20"/>
        </w:rPr>
        <w:t xml:space="preserve"> host communities and returnees, these infrastructural projects benefitted the whole community in terms of improved relations and therefore played a role in supporting the reintegration of the returnees. </w:t>
      </w:r>
      <w:r w:rsidR="009F2E46" w:rsidRPr="00B62036">
        <w:rPr>
          <w:rFonts w:ascii="Gill Sans MT" w:hAnsi="Gill Sans MT"/>
          <w:sz w:val="20"/>
          <w:szCs w:val="20"/>
          <w:lang w:val="en-GB"/>
        </w:rPr>
        <w:t xml:space="preserve"> </w:t>
      </w:r>
      <w:r w:rsidR="009F2E46" w:rsidRPr="00B62036">
        <w:rPr>
          <w:rFonts w:ascii="Gill Sans MT" w:hAnsi="Gill Sans MT"/>
          <w:sz w:val="20"/>
          <w:szCs w:val="20"/>
        </w:rPr>
        <w:t xml:space="preserve">The engagement of the South West State’s MORDA was a key step </w:t>
      </w:r>
      <w:r w:rsidR="008E22B9" w:rsidRPr="00B62036">
        <w:rPr>
          <w:rFonts w:ascii="Gill Sans MT" w:hAnsi="Gill Sans MT"/>
          <w:sz w:val="20"/>
          <w:szCs w:val="20"/>
        </w:rPr>
        <w:t xml:space="preserve">in </w:t>
      </w:r>
      <w:r w:rsidR="009F2E46" w:rsidRPr="00B62036">
        <w:rPr>
          <w:rFonts w:ascii="Gill Sans MT" w:hAnsi="Gill Sans MT"/>
          <w:sz w:val="20"/>
          <w:szCs w:val="20"/>
        </w:rPr>
        <w:t xml:space="preserve">promoting </w:t>
      </w:r>
      <w:r w:rsidR="008E22B9" w:rsidRPr="00B62036">
        <w:rPr>
          <w:rFonts w:ascii="Gill Sans MT" w:hAnsi="Gill Sans MT"/>
          <w:sz w:val="20"/>
          <w:szCs w:val="20"/>
        </w:rPr>
        <w:t xml:space="preserve">the </w:t>
      </w:r>
      <w:r w:rsidR="009F2E46" w:rsidRPr="00B62036">
        <w:rPr>
          <w:rFonts w:ascii="Gill Sans MT" w:hAnsi="Gill Sans MT"/>
          <w:sz w:val="20"/>
          <w:szCs w:val="20"/>
        </w:rPr>
        <w:t xml:space="preserve">prospect for reintegration of the returnees. </w:t>
      </w:r>
      <w:r w:rsidR="00AB249D" w:rsidRPr="00B62036">
        <w:rPr>
          <w:rFonts w:ascii="Gill Sans MT" w:hAnsi="Gill Sans MT"/>
          <w:sz w:val="20"/>
          <w:szCs w:val="20"/>
        </w:rPr>
        <w:t>A Community Action Plan (CAP) developed through a five-day community consultation, held in Baidoa district in July 2017, with local authorities and government line ministry focal persons also serve</w:t>
      </w:r>
      <w:r w:rsidR="008E22B9" w:rsidRPr="00B62036">
        <w:rPr>
          <w:rFonts w:ascii="Gill Sans MT" w:hAnsi="Gill Sans MT"/>
          <w:sz w:val="20"/>
          <w:szCs w:val="20"/>
        </w:rPr>
        <w:t>d</w:t>
      </w:r>
      <w:r w:rsidR="00AB249D" w:rsidRPr="00B62036">
        <w:rPr>
          <w:rFonts w:ascii="Gill Sans MT" w:hAnsi="Gill Sans MT"/>
          <w:sz w:val="20"/>
          <w:szCs w:val="20"/>
        </w:rPr>
        <w:t xml:space="preserve"> both as a monitoring and as a joint planning tool for implementing partners and the district authorities working in Baidoa.</w:t>
      </w:r>
      <w:r w:rsidR="00AB249D" w:rsidRPr="00B62036">
        <w:rPr>
          <w:rStyle w:val="FootnoteReference"/>
          <w:rFonts w:ascii="Gill Sans MT" w:hAnsi="Gill Sans MT"/>
          <w:sz w:val="20"/>
          <w:szCs w:val="20"/>
        </w:rPr>
        <w:footnoteReference w:id="11"/>
      </w:r>
      <w:r w:rsidR="00647744" w:rsidRPr="00B62036">
        <w:rPr>
          <w:rFonts w:ascii="Gill Sans MT" w:hAnsi="Gill Sans MT"/>
          <w:sz w:val="20"/>
          <w:szCs w:val="20"/>
        </w:rPr>
        <w:t xml:space="preserve"> </w:t>
      </w:r>
    </w:p>
    <w:p w14:paraId="506CC2D6" w14:textId="77777777" w:rsidR="00647744" w:rsidRPr="00B62036" w:rsidRDefault="00647744" w:rsidP="00230515">
      <w:pPr>
        <w:widowControl w:val="0"/>
        <w:autoSpaceDE w:val="0"/>
        <w:autoSpaceDN w:val="0"/>
        <w:adjustRightInd w:val="0"/>
        <w:spacing w:line="276" w:lineRule="auto"/>
        <w:jc w:val="both"/>
        <w:rPr>
          <w:rFonts w:ascii="Gill Sans MT" w:hAnsi="Gill Sans MT"/>
          <w:sz w:val="20"/>
          <w:szCs w:val="20"/>
        </w:rPr>
      </w:pPr>
    </w:p>
    <w:p w14:paraId="79C580F0" w14:textId="436D3A92" w:rsidR="009F2E46" w:rsidRDefault="009F2E46" w:rsidP="00230515">
      <w:pPr>
        <w:widowControl w:val="0"/>
        <w:autoSpaceDE w:val="0"/>
        <w:autoSpaceDN w:val="0"/>
        <w:adjustRightInd w:val="0"/>
        <w:spacing w:line="276" w:lineRule="auto"/>
        <w:jc w:val="both"/>
        <w:rPr>
          <w:rFonts w:ascii="Gill Sans MT" w:hAnsi="Gill Sans MT"/>
          <w:sz w:val="20"/>
          <w:szCs w:val="20"/>
          <w:lang w:val="en-GB"/>
        </w:rPr>
      </w:pPr>
      <w:r w:rsidRPr="00B62036">
        <w:rPr>
          <w:rFonts w:ascii="Gill Sans MT" w:hAnsi="Gill Sans MT"/>
          <w:sz w:val="20"/>
          <w:szCs w:val="20"/>
        </w:rPr>
        <w:t xml:space="preserve">Another important aspect of reintegration is the local community perception on their role in welcoming the returnees.  </w:t>
      </w:r>
      <w:r w:rsidR="00130B54" w:rsidRPr="00B62036">
        <w:rPr>
          <w:rFonts w:ascii="Gill Sans MT" w:hAnsi="Gill Sans MT"/>
          <w:sz w:val="20"/>
          <w:szCs w:val="20"/>
        </w:rPr>
        <w:t>Analyses</w:t>
      </w:r>
      <w:r w:rsidRPr="00B62036">
        <w:rPr>
          <w:rFonts w:ascii="Gill Sans MT" w:hAnsi="Gill Sans MT"/>
          <w:sz w:val="20"/>
          <w:szCs w:val="20"/>
        </w:rPr>
        <w:t xml:space="preserve"> show that </w:t>
      </w:r>
      <w:r w:rsidRPr="00B62036">
        <w:rPr>
          <w:rFonts w:ascii="Gill Sans MT" w:hAnsi="Gill Sans MT"/>
          <w:sz w:val="20"/>
          <w:szCs w:val="20"/>
          <w:lang w:val="en-GB"/>
        </w:rPr>
        <w:t>84.8 % of the respondents strongly believe</w:t>
      </w:r>
      <w:r w:rsidR="008E22B9" w:rsidRPr="00B62036">
        <w:rPr>
          <w:rFonts w:ascii="Gill Sans MT" w:hAnsi="Gill Sans MT"/>
          <w:sz w:val="20"/>
          <w:szCs w:val="20"/>
          <w:lang w:val="en-GB"/>
        </w:rPr>
        <w:t xml:space="preserve"> that host community are oblig</w:t>
      </w:r>
      <w:r w:rsidRPr="00B62036">
        <w:rPr>
          <w:rFonts w:ascii="Gill Sans MT" w:hAnsi="Gill Sans MT"/>
          <w:sz w:val="20"/>
          <w:szCs w:val="20"/>
          <w:lang w:val="en-GB"/>
        </w:rPr>
        <w:t>ed to help returnees as much as they possi</w:t>
      </w:r>
      <w:r w:rsidR="008E22B9" w:rsidRPr="00B62036">
        <w:rPr>
          <w:rFonts w:ascii="Gill Sans MT" w:hAnsi="Gill Sans MT"/>
          <w:sz w:val="20"/>
          <w:szCs w:val="20"/>
          <w:lang w:val="en-GB"/>
        </w:rPr>
        <w:t>bly can, 13.2% feel less oblig</w:t>
      </w:r>
      <w:r w:rsidRPr="00B62036">
        <w:rPr>
          <w:rFonts w:ascii="Gill Sans MT" w:hAnsi="Gill Sans MT"/>
          <w:sz w:val="20"/>
          <w:szCs w:val="20"/>
          <w:lang w:val="en-GB"/>
        </w:rPr>
        <w:t>ed to help returnees and are of the opinion that returnees should rely for help on thei</w:t>
      </w:r>
      <w:r w:rsidR="008E22B9" w:rsidRPr="00B62036">
        <w:rPr>
          <w:rFonts w:ascii="Gill Sans MT" w:hAnsi="Gill Sans MT"/>
          <w:sz w:val="20"/>
          <w:szCs w:val="20"/>
          <w:lang w:val="en-GB"/>
        </w:rPr>
        <w:t xml:space="preserve">r own clan members and only </w:t>
      </w:r>
      <w:r w:rsidRPr="00B62036">
        <w:rPr>
          <w:rFonts w:ascii="Gill Sans MT" w:hAnsi="Gill Sans MT"/>
          <w:sz w:val="20"/>
          <w:szCs w:val="20"/>
          <w:lang w:val="en-GB"/>
        </w:rPr>
        <w:t xml:space="preserve">2% feel the obligation to help returnees is the job for aid agencies and government. </w:t>
      </w:r>
    </w:p>
    <w:p w14:paraId="35B1D029" w14:textId="77777777" w:rsidR="00A52509" w:rsidRPr="00B62036" w:rsidRDefault="00A52509" w:rsidP="00230515">
      <w:pPr>
        <w:widowControl w:val="0"/>
        <w:autoSpaceDE w:val="0"/>
        <w:autoSpaceDN w:val="0"/>
        <w:adjustRightInd w:val="0"/>
        <w:spacing w:line="276" w:lineRule="auto"/>
        <w:jc w:val="both"/>
        <w:rPr>
          <w:rFonts w:ascii="Gill Sans MT" w:hAnsi="Gill Sans MT"/>
          <w:sz w:val="20"/>
          <w:szCs w:val="20"/>
          <w:lang w:val="en-GB"/>
        </w:rPr>
      </w:pPr>
    </w:p>
    <w:p w14:paraId="28F0676F" w14:textId="1582FAAC" w:rsidR="009F2E46" w:rsidRPr="00A52509" w:rsidRDefault="00A52509" w:rsidP="00EA7389">
      <w:pPr>
        <w:pStyle w:val="Caption"/>
        <w:spacing w:after="0"/>
        <w:rPr>
          <w:rFonts w:ascii="Gill Sans MT" w:hAnsi="Gill Sans MT"/>
          <w:sz w:val="20"/>
          <w:szCs w:val="20"/>
        </w:rPr>
      </w:pPr>
      <w:r w:rsidRPr="00A52509">
        <w:rPr>
          <w:rFonts w:ascii="Gill Sans MT" w:hAnsi="Gill Sans MT"/>
          <w:sz w:val="20"/>
          <w:szCs w:val="20"/>
        </w:rPr>
        <w:t xml:space="preserve">Table </w:t>
      </w:r>
      <w:r w:rsidRPr="00A52509">
        <w:rPr>
          <w:rFonts w:ascii="Gill Sans MT" w:hAnsi="Gill Sans MT"/>
          <w:sz w:val="20"/>
          <w:szCs w:val="20"/>
        </w:rPr>
        <w:fldChar w:fldCharType="begin"/>
      </w:r>
      <w:r w:rsidRPr="00A52509">
        <w:rPr>
          <w:rFonts w:ascii="Gill Sans MT" w:hAnsi="Gill Sans MT"/>
          <w:sz w:val="20"/>
          <w:szCs w:val="20"/>
        </w:rPr>
        <w:instrText xml:space="preserve"> SEQ Table \* ARABIC </w:instrText>
      </w:r>
      <w:r w:rsidRPr="00A52509">
        <w:rPr>
          <w:rFonts w:ascii="Gill Sans MT" w:hAnsi="Gill Sans MT"/>
          <w:sz w:val="20"/>
          <w:szCs w:val="20"/>
        </w:rPr>
        <w:fldChar w:fldCharType="separate"/>
      </w:r>
      <w:r>
        <w:rPr>
          <w:rFonts w:ascii="Gill Sans MT" w:hAnsi="Gill Sans MT"/>
          <w:noProof/>
          <w:sz w:val="20"/>
          <w:szCs w:val="20"/>
        </w:rPr>
        <w:t>12</w:t>
      </w:r>
      <w:r w:rsidRPr="00A52509">
        <w:rPr>
          <w:rFonts w:ascii="Gill Sans MT" w:hAnsi="Gill Sans MT"/>
          <w:sz w:val="20"/>
          <w:szCs w:val="20"/>
        </w:rPr>
        <w:fldChar w:fldCharType="end"/>
      </w:r>
      <w:r w:rsidRPr="00A52509">
        <w:rPr>
          <w:rFonts w:ascii="Gill Sans MT" w:hAnsi="Gill Sans MT"/>
          <w:sz w:val="20"/>
          <w:szCs w:val="20"/>
        </w:rPr>
        <w:t xml:space="preserve"> </w:t>
      </w:r>
      <w:r w:rsidR="00A02492" w:rsidRPr="00A52509">
        <w:rPr>
          <w:rFonts w:ascii="Gill Sans MT" w:hAnsi="Gill Sans MT"/>
          <w:sz w:val="20"/>
          <w:szCs w:val="20"/>
        </w:rPr>
        <w:t xml:space="preserve">Host Community Obligation to Returnees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1134"/>
        <w:gridCol w:w="1701"/>
        <w:gridCol w:w="1104"/>
      </w:tblGrid>
      <w:tr w:rsidR="00A52509" w:rsidRPr="00692DD8" w14:paraId="44EFBE23" w14:textId="77777777" w:rsidTr="00A52509">
        <w:trPr>
          <w:trHeight w:val="300"/>
        </w:trPr>
        <w:tc>
          <w:tcPr>
            <w:tcW w:w="5637" w:type="dxa"/>
            <w:gridSpan w:val="2"/>
            <w:shd w:val="clear" w:color="auto" w:fill="D9D9D9" w:themeFill="background1" w:themeFillShade="D9"/>
            <w:noWrap/>
            <w:vAlign w:val="bottom"/>
            <w:hideMark/>
          </w:tcPr>
          <w:p w14:paraId="4CAAA92A" w14:textId="193FA2D2" w:rsidR="00692DD8" w:rsidRPr="00692DD8" w:rsidRDefault="00692DD8" w:rsidP="00A52509">
            <w:pPr>
              <w:jc w:val="center"/>
              <w:rPr>
                <w:rFonts w:ascii="Gill Sans MT" w:hAnsi="Gill Sans MT" w:cs="Calibri"/>
                <w:b/>
                <w:color w:val="000000"/>
                <w:sz w:val="18"/>
                <w:szCs w:val="18"/>
                <w:lang w:val="en-GB" w:eastAsia="en-GB"/>
              </w:rPr>
            </w:pPr>
            <w:r w:rsidRPr="00692DD8">
              <w:rPr>
                <w:rFonts w:ascii="Gill Sans MT" w:hAnsi="Gill Sans MT" w:cs="Calibri"/>
                <w:b/>
                <w:color w:val="000000"/>
                <w:sz w:val="18"/>
                <w:szCs w:val="18"/>
                <w:lang w:val="en-GB" w:eastAsia="en-GB"/>
              </w:rPr>
              <w:t>Host community obligation to helping returnees</w:t>
            </w:r>
          </w:p>
        </w:tc>
        <w:tc>
          <w:tcPr>
            <w:tcW w:w="1134" w:type="dxa"/>
            <w:shd w:val="clear" w:color="auto" w:fill="D9D9D9" w:themeFill="background1" w:themeFillShade="D9"/>
            <w:noWrap/>
            <w:vAlign w:val="bottom"/>
            <w:hideMark/>
          </w:tcPr>
          <w:p w14:paraId="4A28805B" w14:textId="77777777" w:rsidR="00692DD8" w:rsidRPr="00692DD8" w:rsidRDefault="00692DD8" w:rsidP="001D4DE4">
            <w:pPr>
              <w:rPr>
                <w:rFonts w:ascii="Gill Sans MT" w:hAnsi="Gill Sans MT" w:cs="Calibri"/>
                <w:b/>
                <w:sz w:val="18"/>
                <w:szCs w:val="18"/>
                <w:lang w:val="en-GB" w:eastAsia="en-GB"/>
              </w:rPr>
            </w:pPr>
            <w:r w:rsidRPr="00692DD8">
              <w:rPr>
                <w:rFonts w:ascii="Gill Sans MT" w:hAnsi="Gill Sans MT" w:cs="Calibri"/>
                <w:b/>
                <w:sz w:val="18"/>
                <w:szCs w:val="18"/>
                <w:lang w:val="en-GB" w:eastAsia="en-GB"/>
              </w:rPr>
              <w:t>Returnee</w:t>
            </w:r>
          </w:p>
        </w:tc>
        <w:tc>
          <w:tcPr>
            <w:tcW w:w="1701" w:type="dxa"/>
            <w:shd w:val="clear" w:color="auto" w:fill="D9D9D9" w:themeFill="background1" w:themeFillShade="D9"/>
            <w:noWrap/>
            <w:vAlign w:val="bottom"/>
            <w:hideMark/>
          </w:tcPr>
          <w:p w14:paraId="0ED10392" w14:textId="77777777" w:rsidR="00692DD8" w:rsidRPr="00692DD8" w:rsidRDefault="00692DD8" w:rsidP="001D4DE4">
            <w:pPr>
              <w:rPr>
                <w:rFonts w:ascii="Gill Sans MT" w:hAnsi="Gill Sans MT" w:cs="Calibri"/>
                <w:b/>
                <w:sz w:val="18"/>
                <w:szCs w:val="18"/>
                <w:lang w:val="en-GB" w:eastAsia="en-GB"/>
              </w:rPr>
            </w:pPr>
            <w:r w:rsidRPr="00692DD8">
              <w:rPr>
                <w:rFonts w:ascii="Gill Sans MT" w:hAnsi="Gill Sans MT" w:cs="Calibri"/>
                <w:b/>
                <w:sz w:val="18"/>
                <w:szCs w:val="18"/>
                <w:lang w:val="en-GB" w:eastAsia="en-GB"/>
              </w:rPr>
              <w:t>Host Community</w:t>
            </w:r>
          </w:p>
        </w:tc>
        <w:tc>
          <w:tcPr>
            <w:tcW w:w="1104" w:type="dxa"/>
            <w:shd w:val="clear" w:color="auto" w:fill="D9D9D9" w:themeFill="background1" w:themeFillShade="D9"/>
            <w:noWrap/>
            <w:vAlign w:val="bottom"/>
            <w:hideMark/>
          </w:tcPr>
          <w:p w14:paraId="46B5BBBB" w14:textId="1A21AEE7" w:rsidR="00692DD8" w:rsidRPr="00692DD8" w:rsidRDefault="00692DD8" w:rsidP="001D4DE4">
            <w:pPr>
              <w:rPr>
                <w:rFonts w:ascii="Gill Sans MT" w:hAnsi="Gill Sans MT" w:cs="Calibri"/>
                <w:b/>
                <w:color w:val="000000"/>
                <w:sz w:val="18"/>
                <w:szCs w:val="18"/>
                <w:lang w:val="en-GB" w:eastAsia="en-GB"/>
              </w:rPr>
            </w:pPr>
            <w:r w:rsidRPr="00692DD8">
              <w:rPr>
                <w:rFonts w:ascii="Gill Sans MT" w:hAnsi="Gill Sans MT" w:cs="Calibri"/>
                <w:b/>
                <w:color w:val="000000"/>
                <w:sz w:val="18"/>
                <w:szCs w:val="18"/>
                <w:lang w:val="en-GB" w:eastAsia="en-GB"/>
              </w:rPr>
              <w:t>Combined</w:t>
            </w:r>
          </w:p>
        </w:tc>
      </w:tr>
      <w:tr w:rsidR="00A52509" w:rsidRPr="00692DD8" w14:paraId="154DDCB0" w14:textId="77777777" w:rsidTr="00A52509">
        <w:trPr>
          <w:trHeight w:val="300"/>
        </w:trPr>
        <w:tc>
          <w:tcPr>
            <w:tcW w:w="4786" w:type="dxa"/>
            <w:shd w:val="clear" w:color="auto" w:fill="auto"/>
            <w:noWrap/>
            <w:vAlign w:val="bottom"/>
            <w:hideMark/>
          </w:tcPr>
          <w:p w14:paraId="3C5E3050" w14:textId="77777777" w:rsidR="00692DD8" w:rsidRPr="00692DD8" w:rsidRDefault="00692DD8" w:rsidP="001D4DE4">
            <w:pP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Strong obligation to help as much as possible</w:t>
            </w:r>
          </w:p>
        </w:tc>
        <w:tc>
          <w:tcPr>
            <w:tcW w:w="851" w:type="dxa"/>
            <w:shd w:val="clear" w:color="auto" w:fill="auto"/>
            <w:vAlign w:val="bottom"/>
          </w:tcPr>
          <w:p w14:paraId="0470409D" w14:textId="77777777" w:rsidR="00692DD8" w:rsidRPr="00692DD8" w:rsidRDefault="00692DD8" w:rsidP="001D4DE4">
            <w:pPr>
              <w:autoSpaceDE w:val="0"/>
              <w:autoSpaceDN w:val="0"/>
              <w:adjustRightInd w:val="0"/>
              <w:spacing w:line="320" w:lineRule="atLeast"/>
              <w:ind w:left="60" w:right="60"/>
              <w:jc w:val="center"/>
              <w:rPr>
                <w:rFonts w:ascii="Gill Sans MT" w:hAnsi="Gill Sans MT" w:cs="Arial"/>
                <w:color w:val="000000"/>
                <w:sz w:val="18"/>
                <w:szCs w:val="18"/>
              </w:rPr>
            </w:pPr>
            <w:r w:rsidRPr="00692DD8">
              <w:rPr>
                <w:rFonts w:ascii="Gill Sans MT" w:hAnsi="Gill Sans MT" w:cs="Arial"/>
                <w:color w:val="000000"/>
                <w:sz w:val="18"/>
                <w:szCs w:val="18"/>
              </w:rPr>
              <w:t>N</w:t>
            </w:r>
          </w:p>
          <w:p w14:paraId="616B6874"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Arial"/>
                <w:color w:val="000000"/>
                <w:sz w:val="18"/>
                <w:szCs w:val="18"/>
              </w:rPr>
              <w:t>%</w:t>
            </w:r>
          </w:p>
        </w:tc>
        <w:tc>
          <w:tcPr>
            <w:tcW w:w="1134" w:type="dxa"/>
            <w:shd w:val="clear" w:color="auto" w:fill="auto"/>
            <w:noWrap/>
            <w:vAlign w:val="bottom"/>
            <w:hideMark/>
          </w:tcPr>
          <w:p w14:paraId="7093046D"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141</w:t>
            </w:r>
          </w:p>
          <w:p w14:paraId="531DC514"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70.5%</w:t>
            </w:r>
          </w:p>
        </w:tc>
        <w:tc>
          <w:tcPr>
            <w:tcW w:w="1701" w:type="dxa"/>
            <w:shd w:val="clear" w:color="auto" w:fill="auto"/>
            <w:noWrap/>
            <w:vAlign w:val="bottom"/>
            <w:hideMark/>
          </w:tcPr>
          <w:p w14:paraId="381E774B"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194</w:t>
            </w:r>
          </w:p>
          <w:p w14:paraId="03D348B9"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99.5%</w:t>
            </w:r>
          </w:p>
        </w:tc>
        <w:tc>
          <w:tcPr>
            <w:tcW w:w="1104" w:type="dxa"/>
            <w:shd w:val="clear" w:color="auto" w:fill="auto"/>
            <w:noWrap/>
            <w:vAlign w:val="bottom"/>
            <w:hideMark/>
          </w:tcPr>
          <w:p w14:paraId="5B9997D4"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335</w:t>
            </w:r>
          </w:p>
          <w:p w14:paraId="2E6289D1"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84.8%</w:t>
            </w:r>
          </w:p>
        </w:tc>
      </w:tr>
      <w:tr w:rsidR="00A52509" w:rsidRPr="00692DD8" w14:paraId="213820F5" w14:textId="77777777" w:rsidTr="00A52509">
        <w:trPr>
          <w:trHeight w:val="300"/>
        </w:trPr>
        <w:tc>
          <w:tcPr>
            <w:tcW w:w="4786" w:type="dxa"/>
            <w:shd w:val="clear" w:color="auto" w:fill="auto"/>
            <w:noWrap/>
            <w:vAlign w:val="bottom"/>
            <w:hideMark/>
          </w:tcPr>
          <w:p w14:paraId="67180388" w14:textId="77777777" w:rsidR="00692DD8" w:rsidRPr="00692DD8" w:rsidRDefault="00692DD8" w:rsidP="001D4DE4">
            <w:pP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Limited obligation to help the returnees: should rely mainly on their own clan members</w:t>
            </w:r>
          </w:p>
        </w:tc>
        <w:tc>
          <w:tcPr>
            <w:tcW w:w="851" w:type="dxa"/>
            <w:shd w:val="clear" w:color="auto" w:fill="auto"/>
            <w:vAlign w:val="bottom"/>
          </w:tcPr>
          <w:p w14:paraId="1F4C7012" w14:textId="77777777" w:rsidR="00692DD8" w:rsidRPr="00692DD8" w:rsidRDefault="00692DD8" w:rsidP="001D4DE4">
            <w:pPr>
              <w:autoSpaceDE w:val="0"/>
              <w:autoSpaceDN w:val="0"/>
              <w:adjustRightInd w:val="0"/>
              <w:spacing w:line="320" w:lineRule="atLeast"/>
              <w:ind w:left="60" w:right="60"/>
              <w:jc w:val="center"/>
              <w:rPr>
                <w:rFonts w:ascii="Gill Sans MT" w:hAnsi="Gill Sans MT" w:cs="Arial"/>
                <w:color w:val="000000"/>
                <w:sz w:val="18"/>
                <w:szCs w:val="18"/>
              </w:rPr>
            </w:pPr>
            <w:r w:rsidRPr="00692DD8">
              <w:rPr>
                <w:rFonts w:ascii="Gill Sans MT" w:hAnsi="Gill Sans MT" w:cs="Arial"/>
                <w:color w:val="000000"/>
                <w:sz w:val="18"/>
                <w:szCs w:val="18"/>
              </w:rPr>
              <w:t>N</w:t>
            </w:r>
          </w:p>
          <w:p w14:paraId="52741916"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Arial"/>
                <w:color w:val="000000"/>
                <w:sz w:val="18"/>
                <w:szCs w:val="18"/>
              </w:rPr>
              <w:t>%</w:t>
            </w:r>
          </w:p>
        </w:tc>
        <w:tc>
          <w:tcPr>
            <w:tcW w:w="1134" w:type="dxa"/>
            <w:shd w:val="clear" w:color="auto" w:fill="auto"/>
            <w:noWrap/>
            <w:vAlign w:val="bottom"/>
            <w:hideMark/>
          </w:tcPr>
          <w:p w14:paraId="4AF343D2"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51</w:t>
            </w:r>
          </w:p>
          <w:p w14:paraId="717DBF87"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25.5%</w:t>
            </w:r>
          </w:p>
        </w:tc>
        <w:tc>
          <w:tcPr>
            <w:tcW w:w="1701" w:type="dxa"/>
            <w:shd w:val="clear" w:color="auto" w:fill="auto"/>
            <w:noWrap/>
            <w:vAlign w:val="bottom"/>
            <w:hideMark/>
          </w:tcPr>
          <w:p w14:paraId="0029A1FF"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1</w:t>
            </w:r>
          </w:p>
          <w:p w14:paraId="5838622B"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0.5%</w:t>
            </w:r>
          </w:p>
        </w:tc>
        <w:tc>
          <w:tcPr>
            <w:tcW w:w="1104" w:type="dxa"/>
            <w:shd w:val="clear" w:color="auto" w:fill="auto"/>
            <w:noWrap/>
            <w:vAlign w:val="bottom"/>
            <w:hideMark/>
          </w:tcPr>
          <w:p w14:paraId="061ADDBF"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52</w:t>
            </w:r>
          </w:p>
          <w:p w14:paraId="4FB9AD3F"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13.2%</w:t>
            </w:r>
          </w:p>
        </w:tc>
      </w:tr>
      <w:tr w:rsidR="00A52509" w:rsidRPr="00692DD8" w14:paraId="57FE7A87" w14:textId="77777777" w:rsidTr="00A52509">
        <w:trPr>
          <w:trHeight w:val="47"/>
        </w:trPr>
        <w:tc>
          <w:tcPr>
            <w:tcW w:w="4786" w:type="dxa"/>
            <w:shd w:val="clear" w:color="auto" w:fill="auto"/>
            <w:noWrap/>
            <w:vAlign w:val="bottom"/>
            <w:hideMark/>
          </w:tcPr>
          <w:p w14:paraId="01550D08" w14:textId="77777777" w:rsidR="00692DD8" w:rsidRPr="00692DD8" w:rsidRDefault="00692DD8" w:rsidP="001D4DE4">
            <w:pP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No obligation to help, that is the job of the aid agencies and government</w:t>
            </w:r>
          </w:p>
        </w:tc>
        <w:tc>
          <w:tcPr>
            <w:tcW w:w="851" w:type="dxa"/>
            <w:shd w:val="clear" w:color="auto" w:fill="auto"/>
            <w:vAlign w:val="bottom"/>
          </w:tcPr>
          <w:p w14:paraId="36E19DF6" w14:textId="77777777" w:rsidR="00692DD8" w:rsidRPr="00692DD8" w:rsidRDefault="00692DD8" w:rsidP="001D4DE4">
            <w:pPr>
              <w:autoSpaceDE w:val="0"/>
              <w:autoSpaceDN w:val="0"/>
              <w:adjustRightInd w:val="0"/>
              <w:spacing w:line="320" w:lineRule="atLeast"/>
              <w:ind w:left="60" w:right="60"/>
              <w:jc w:val="center"/>
              <w:rPr>
                <w:rFonts w:ascii="Gill Sans MT" w:hAnsi="Gill Sans MT" w:cs="Arial"/>
                <w:color w:val="000000"/>
                <w:sz w:val="18"/>
                <w:szCs w:val="18"/>
              </w:rPr>
            </w:pPr>
            <w:r w:rsidRPr="00692DD8">
              <w:rPr>
                <w:rFonts w:ascii="Gill Sans MT" w:hAnsi="Gill Sans MT" w:cs="Arial"/>
                <w:color w:val="000000"/>
                <w:sz w:val="18"/>
                <w:szCs w:val="18"/>
              </w:rPr>
              <w:t>N</w:t>
            </w:r>
          </w:p>
          <w:p w14:paraId="0875A6BC"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Arial"/>
                <w:color w:val="000000"/>
                <w:sz w:val="18"/>
                <w:szCs w:val="18"/>
              </w:rPr>
              <w:t>%</w:t>
            </w:r>
          </w:p>
        </w:tc>
        <w:tc>
          <w:tcPr>
            <w:tcW w:w="1134" w:type="dxa"/>
            <w:shd w:val="clear" w:color="auto" w:fill="auto"/>
            <w:noWrap/>
            <w:vAlign w:val="bottom"/>
            <w:hideMark/>
          </w:tcPr>
          <w:p w14:paraId="248A3A5D"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8</w:t>
            </w:r>
          </w:p>
          <w:p w14:paraId="65EDC0DF"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4%</w:t>
            </w:r>
          </w:p>
        </w:tc>
        <w:tc>
          <w:tcPr>
            <w:tcW w:w="1701" w:type="dxa"/>
            <w:shd w:val="clear" w:color="auto" w:fill="auto"/>
            <w:noWrap/>
            <w:vAlign w:val="bottom"/>
            <w:hideMark/>
          </w:tcPr>
          <w:p w14:paraId="6D0D28F7"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0</w:t>
            </w:r>
          </w:p>
          <w:p w14:paraId="2CE97289" w14:textId="77777777" w:rsidR="00692DD8" w:rsidRPr="00692DD8" w:rsidRDefault="00692DD8" w:rsidP="001D4DE4">
            <w:pPr>
              <w:jc w:val="center"/>
              <w:rPr>
                <w:rFonts w:ascii="Gill Sans MT" w:hAnsi="Gill Sans MT" w:cs="Calibri"/>
                <w:sz w:val="18"/>
                <w:szCs w:val="18"/>
                <w:lang w:val="en-GB" w:eastAsia="en-GB"/>
              </w:rPr>
            </w:pPr>
            <w:r w:rsidRPr="00692DD8">
              <w:rPr>
                <w:rFonts w:ascii="Gill Sans MT" w:hAnsi="Gill Sans MT" w:cs="Calibri"/>
                <w:sz w:val="18"/>
                <w:szCs w:val="18"/>
                <w:lang w:val="en-GB" w:eastAsia="en-GB"/>
              </w:rPr>
              <w:t>0%</w:t>
            </w:r>
          </w:p>
        </w:tc>
        <w:tc>
          <w:tcPr>
            <w:tcW w:w="1104" w:type="dxa"/>
            <w:shd w:val="clear" w:color="auto" w:fill="auto"/>
            <w:noWrap/>
            <w:vAlign w:val="bottom"/>
            <w:hideMark/>
          </w:tcPr>
          <w:p w14:paraId="12DBAD57"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8</w:t>
            </w:r>
          </w:p>
          <w:p w14:paraId="1095A598" w14:textId="77777777" w:rsidR="00692DD8" w:rsidRPr="00692DD8" w:rsidRDefault="00692DD8" w:rsidP="001D4DE4">
            <w:pPr>
              <w:jc w:val="center"/>
              <w:rPr>
                <w:rFonts w:ascii="Gill Sans MT" w:hAnsi="Gill Sans MT" w:cs="Calibri"/>
                <w:color w:val="000000"/>
                <w:sz w:val="18"/>
                <w:szCs w:val="18"/>
                <w:lang w:val="en-GB" w:eastAsia="en-GB"/>
              </w:rPr>
            </w:pPr>
            <w:r w:rsidRPr="00692DD8">
              <w:rPr>
                <w:rFonts w:ascii="Gill Sans MT" w:hAnsi="Gill Sans MT" w:cs="Calibri"/>
                <w:color w:val="000000"/>
                <w:sz w:val="18"/>
                <w:szCs w:val="18"/>
                <w:lang w:val="en-GB" w:eastAsia="en-GB"/>
              </w:rPr>
              <w:t>2%</w:t>
            </w:r>
          </w:p>
        </w:tc>
      </w:tr>
      <w:tr w:rsidR="00A52509" w:rsidRPr="00692DD8" w14:paraId="44A83E35" w14:textId="77777777" w:rsidTr="00A52509">
        <w:trPr>
          <w:trHeight w:val="300"/>
        </w:trPr>
        <w:tc>
          <w:tcPr>
            <w:tcW w:w="4786" w:type="dxa"/>
            <w:shd w:val="clear" w:color="auto" w:fill="D9D9D9" w:themeFill="background1" w:themeFillShade="D9"/>
            <w:noWrap/>
            <w:vAlign w:val="bottom"/>
            <w:hideMark/>
          </w:tcPr>
          <w:p w14:paraId="58AF83BA" w14:textId="77777777" w:rsidR="00692DD8" w:rsidRPr="00A52509" w:rsidRDefault="00692DD8"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Total</w:t>
            </w:r>
          </w:p>
        </w:tc>
        <w:tc>
          <w:tcPr>
            <w:tcW w:w="851" w:type="dxa"/>
            <w:shd w:val="clear" w:color="auto" w:fill="D9D9D9" w:themeFill="background1" w:themeFillShade="D9"/>
            <w:vAlign w:val="bottom"/>
          </w:tcPr>
          <w:p w14:paraId="605D6BFB" w14:textId="77777777" w:rsidR="00692DD8" w:rsidRPr="00A52509" w:rsidRDefault="00692DD8" w:rsidP="001D4DE4">
            <w:pPr>
              <w:autoSpaceDE w:val="0"/>
              <w:autoSpaceDN w:val="0"/>
              <w:adjustRightInd w:val="0"/>
              <w:spacing w:line="320" w:lineRule="atLeast"/>
              <w:ind w:left="60" w:right="60"/>
              <w:jc w:val="center"/>
              <w:rPr>
                <w:rFonts w:ascii="Gill Sans MT" w:hAnsi="Gill Sans MT" w:cs="Arial"/>
                <w:b/>
                <w:color w:val="000000"/>
                <w:sz w:val="18"/>
                <w:szCs w:val="18"/>
              </w:rPr>
            </w:pPr>
            <w:r w:rsidRPr="00A52509">
              <w:rPr>
                <w:rFonts w:ascii="Gill Sans MT" w:hAnsi="Gill Sans MT" w:cs="Arial"/>
                <w:b/>
                <w:color w:val="000000"/>
                <w:sz w:val="18"/>
                <w:szCs w:val="18"/>
              </w:rPr>
              <w:t>N</w:t>
            </w:r>
          </w:p>
          <w:p w14:paraId="7B046E39" w14:textId="77777777" w:rsidR="00692DD8" w:rsidRPr="00A52509" w:rsidRDefault="00692DD8" w:rsidP="001D4DE4">
            <w:pPr>
              <w:jc w:val="center"/>
              <w:rPr>
                <w:rFonts w:ascii="Gill Sans MT" w:hAnsi="Gill Sans MT" w:cs="Calibri"/>
                <w:b/>
                <w:color w:val="000000"/>
                <w:sz w:val="18"/>
                <w:szCs w:val="18"/>
                <w:lang w:val="en-GB" w:eastAsia="en-GB"/>
              </w:rPr>
            </w:pPr>
            <w:r w:rsidRPr="00A52509">
              <w:rPr>
                <w:rFonts w:ascii="Gill Sans MT" w:hAnsi="Gill Sans MT" w:cs="Arial"/>
                <w:b/>
                <w:color w:val="000000"/>
                <w:sz w:val="18"/>
                <w:szCs w:val="18"/>
              </w:rPr>
              <w:t>%</w:t>
            </w:r>
          </w:p>
        </w:tc>
        <w:tc>
          <w:tcPr>
            <w:tcW w:w="1134" w:type="dxa"/>
            <w:shd w:val="clear" w:color="auto" w:fill="D9D9D9" w:themeFill="background1" w:themeFillShade="D9"/>
            <w:noWrap/>
            <w:vAlign w:val="bottom"/>
            <w:hideMark/>
          </w:tcPr>
          <w:p w14:paraId="74056C14" w14:textId="77777777" w:rsidR="00692DD8" w:rsidRPr="00A52509" w:rsidRDefault="00692DD8"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200</w:t>
            </w:r>
          </w:p>
          <w:p w14:paraId="0F102059" w14:textId="77777777" w:rsidR="00692DD8" w:rsidRPr="00A52509" w:rsidRDefault="00692DD8"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100%</w:t>
            </w:r>
          </w:p>
        </w:tc>
        <w:tc>
          <w:tcPr>
            <w:tcW w:w="1701" w:type="dxa"/>
            <w:shd w:val="clear" w:color="auto" w:fill="D9D9D9" w:themeFill="background1" w:themeFillShade="D9"/>
            <w:noWrap/>
            <w:vAlign w:val="bottom"/>
            <w:hideMark/>
          </w:tcPr>
          <w:p w14:paraId="78B5AB27" w14:textId="77777777" w:rsidR="00692DD8" w:rsidRPr="00A52509" w:rsidRDefault="00692DD8"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195</w:t>
            </w:r>
          </w:p>
          <w:p w14:paraId="6C73F98A" w14:textId="77777777" w:rsidR="00692DD8" w:rsidRPr="00A52509" w:rsidRDefault="00692DD8"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100%</w:t>
            </w:r>
          </w:p>
        </w:tc>
        <w:tc>
          <w:tcPr>
            <w:tcW w:w="1104" w:type="dxa"/>
            <w:shd w:val="clear" w:color="auto" w:fill="D9D9D9" w:themeFill="background1" w:themeFillShade="D9"/>
            <w:noWrap/>
            <w:vAlign w:val="bottom"/>
            <w:hideMark/>
          </w:tcPr>
          <w:p w14:paraId="3839256F" w14:textId="77777777" w:rsidR="00692DD8" w:rsidRPr="00A52509" w:rsidRDefault="00692DD8" w:rsidP="001D4DE4">
            <w:pPr>
              <w:jc w:val="cente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395</w:t>
            </w:r>
          </w:p>
          <w:p w14:paraId="035DE85F" w14:textId="77777777" w:rsidR="00692DD8" w:rsidRPr="00A52509" w:rsidRDefault="00692DD8" w:rsidP="001D4DE4">
            <w:pPr>
              <w:jc w:val="cente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100%</w:t>
            </w:r>
          </w:p>
        </w:tc>
      </w:tr>
    </w:tbl>
    <w:p w14:paraId="1C22ECF2" w14:textId="77777777" w:rsidR="00A52509" w:rsidRDefault="00A52509" w:rsidP="00230515">
      <w:pPr>
        <w:widowControl w:val="0"/>
        <w:autoSpaceDE w:val="0"/>
        <w:autoSpaceDN w:val="0"/>
        <w:adjustRightInd w:val="0"/>
        <w:spacing w:line="276" w:lineRule="auto"/>
        <w:jc w:val="both"/>
      </w:pPr>
    </w:p>
    <w:p w14:paraId="7DFB80DB" w14:textId="1265D5B7" w:rsidR="009511E6" w:rsidRPr="00B62036" w:rsidRDefault="009511E6"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The </w:t>
      </w:r>
      <w:r w:rsidR="008E22B9" w:rsidRPr="00B62036">
        <w:rPr>
          <w:rFonts w:ascii="Gill Sans MT" w:hAnsi="Gill Sans MT"/>
          <w:sz w:val="20"/>
          <w:szCs w:val="20"/>
        </w:rPr>
        <w:t>implementation of some project activities especially the education project, which was</w:t>
      </w:r>
      <w:r w:rsidRPr="00B62036">
        <w:rPr>
          <w:rFonts w:ascii="Gill Sans MT" w:hAnsi="Gill Sans MT"/>
          <w:sz w:val="20"/>
          <w:szCs w:val="20"/>
        </w:rPr>
        <w:t xml:space="preserve"> part of UNICEF reintegration project for children released from armed groups and forces and other vulnerable children including children returning from refugee camps in Kenya</w:t>
      </w:r>
      <w:r w:rsidR="008E22B9" w:rsidRPr="00B62036">
        <w:rPr>
          <w:rFonts w:ascii="Gill Sans MT" w:hAnsi="Gill Sans MT"/>
          <w:sz w:val="20"/>
          <w:szCs w:val="20"/>
        </w:rPr>
        <w:t xml:space="preserve"> proved to have unintended consequence of promoting reintegration.  The initiative reached </w:t>
      </w:r>
      <w:r w:rsidRPr="00B62036">
        <w:rPr>
          <w:rFonts w:ascii="Gill Sans MT" w:hAnsi="Gill Sans MT"/>
          <w:sz w:val="20"/>
          <w:szCs w:val="20"/>
        </w:rPr>
        <w:t>349 children of which 56 are returnees from Kenya</w:t>
      </w:r>
      <w:r w:rsidR="005A7E3C" w:rsidRPr="00B62036">
        <w:rPr>
          <w:rFonts w:ascii="Gill Sans MT" w:hAnsi="Gill Sans MT"/>
          <w:sz w:val="20"/>
          <w:szCs w:val="20"/>
        </w:rPr>
        <w:t xml:space="preserve">. </w:t>
      </w:r>
      <w:r w:rsidR="00781630" w:rsidRPr="00B62036">
        <w:rPr>
          <w:rFonts w:ascii="Gill Sans MT" w:hAnsi="Gill Sans MT"/>
          <w:sz w:val="20"/>
          <w:szCs w:val="20"/>
        </w:rPr>
        <w:t xml:space="preserve">Evidence from activities at school level shows that education </w:t>
      </w:r>
      <w:r w:rsidR="00005E22" w:rsidRPr="00B62036">
        <w:rPr>
          <w:rFonts w:ascii="Gill Sans MT" w:hAnsi="Gill Sans MT"/>
          <w:sz w:val="20"/>
          <w:szCs w:val="20"/>
        </w:rPr>
        <w:t xml:space="preserve">delivered </w:t>
      </w:r>
      <w:r w:rsidR="00781630" w:rsidRPr="00B62036">
        <w:rPr>
          <w:rFonts w:ascii="Gill Sans MT" w:hAnsi="Gill Sans MT"/>
          <w:sz w:val="20"/>
          <w:szCs w:val="20"/>
        </w:rPr>
        <w:t xml:space="preserve">in an inclusive manner </w:t>
      </w:r>
      <w:r w:rsidR="00005E22" w:rsidRPr="00B62036">
        <w:rPr>
          <w:rFonts w:ascii="Gill Sans MT" w:hAnsi="Gill Sans MT"/>
          <w:sz w:val="20"/>
          <w:szCs w:val="20"/>
        </w:rPr>
        <w:t>positively impacted</w:t>
      </w:r>
      <w:r w:rsidR="00781630" w:rsidRPr="00B62036">
        <w:rPr>
          <w:rFonts w:ascii="Gill Sans MT" w:hAnsi="Gill Sans MT"/>
          <w:sz w:val="20"/>
          <w:szCs w:val="20"/>
        </w:rPr>
        <w:t xml:space="preserve"> the promotion of peaceful attitudes and tolerance among children of different ethnic backgrounds. The support to schools through rehabilitations and scholastic materials enabled schools to absorb more IDP and returnees families thus furthering </w:t>
      </w:r>
      <w:r w:rsidR="00781630" w:rsidRPr="00B62036">
        <w:rPr>
          <w:rFonts w:ascii="Gill Sans MT" w:hAnsi="Gill Sans MT"/>
          <w:sz w:val="20"/>
          <w:szCs w:val="20"/>
        </w:rPr>
        <w:lastRenderedPageBreak/>
        <w:t xml:space="preserve">the </w:t>
      </w:r>
      <w:r w:rsidR="005A7E3C" w:rsidRPr="00B62036">
        <w:rPr>
          <w:rFonts w:ascii="Gill Sans MT" w:hAnsi="Gill Sans MT"/>
          <w:sz w:val="20"/>
          <w:szCs w:val="20"/>
        </w:rPr>
        <w:t>much-desired</w:t>
      </w:r>
      <w:r w:rsidR="00781630" w:rsidRPr="00B62036">
        <w:rPr>
          <w:rFonts w:ascii="Gill Sans MT" w:hAnsi="Gill Sans MT"/>
          <w:sz w:val="20"/>
          <w:szCs w:val="20"/>
        </w:rPr>
        <w:t xml:space="preserve"> coexistence.</w:t>
      </w:r>
      <w:r w:rsidR="003022A6" w:rsidRPr="00B62036">
        <w:rPr>
          <w:rStyle w:val="FootnoteReference"/>
          <w:rFonts w:ascii="Gill Sans MT" w:hAnsi="Gill Sans MT"/>
          <w:sz w:val="20"/>
          <w:szCs w:val="20"/>
        </w:rPr>
        <w:footnoteReference w:id="12"/>
      </w:r>
    </w:p>
    <w:p w14:paraId="777B76BD" w14:textId="77777777" w:rsidR="00647744" w:rsidRPr="00B62036" w:rsidRDefault="00647744" w:rsidP="00230515">
      <w:pPr>
        <w:widowControl w:val="0"/>
        <w:autoSpaceDE w:val="0"/>
        <w:autoSpaceDN w:val="0"/>
        <w:adjustRightInd w:val="0"/>
        <w:spacing w:line="276" w:lineRule="auto"/>
        <w:jc w:val="both"/>
        <w:rPr>
          <w:rFonts w:ascii="Gill Sans MT" w:hAnsi="Gill Sans MT"/>
          <w:sz w:val="20"/>
          <w:szCs w:val="20"/>
        </w:rPr>
      </w:pPr>
    </w:p>
    <w:p w14:paraId="26D364CF" w14:textId="2D24942D" w:rsidR="006F6524" w:rsidRDefault="00E072C9"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sz w:val="20"/>
          <w:szCs w:val="20"/>
        </w:rPr>
        <w:t>Nevertheless, as interviewed stakeholders acknowledged that sustainability of return and reintegration remains the outstanding challenge for any returns project. Therefore carefully targeted follow-up is required to ensure the sustainable reintegration of the returnee families</w:t>
      </w:r>
      <w:r w:rsidR="00E67F1E" w:rsidRPr="00B62036">
        <w:rPr>
          <w:rFonts w:ascii="Gill Sans MT" w:hAnsi="Gill Sans MT"/>
          <w:sz w:val="20"/>
          <w:szCs w:val="20"/>
        </w:rPr>
        <w:t xml:space="preserve"> </w:t>
      </w:r>
      <w:r w:rsidRPr="00B62036">
        <w:rPr>
          <w:rFonts w:ascii="Gill Sans MT" w:hAnsi="Gill Sans MT"/>
          <w:sz w:val="20"/>
          <w:szCs w:val="20"/>
        </w:rPr>
        <w:t xml:space="preserve">supported by the project. </w:t>
      </w:r>
      <w:r w:rsidR="006F6524" w:rsidRPr="00B62036">
        <w:rPr>
          <w:rFonts w:ascii="Gill Sans MT" w:hAnsi="Gill Sans MT"/>
          <w:sz w:val="20"/>
          <w:szCs w:val="20"/>
        </w:rPr>
        <w:t xml:space="preserve">For instance, </w:t>
      </w:r>
      <w:r w:rsidR="006F6524" w:rsidRPr="00B62036">
        <w:rPr>
          <w:rFonts w:ascii="Gill Sans MT" w:hAnsi="Gill Sans MT" w:cs="Calibri"/>
          <w:sz w:val="20"/>
          <w:szCs w:val="20"/>
        </w:rPr>
        <w:t xml:space="preserve">a key concern raised by the host community in Baidoa is the low percentage number of beneficiaries allocated to their constituencies despite the presence the existence of vulnerable household. They lamented that aid development should not be skewed towards </w:t>
      </w:r>
      <w:r w:rsidR="008E22B9" w:rsidRPr="00B62036">
        <w:rPr>
          <w:rFonts w:ascii="Gill Sans MT" w:hAnsi="Gill Sans MT" w:cs="Calibri"/>
          <w:sz w:val="20"/>
          <w:szCs w:val="20"/>
        </w:rPr>
        <w:t xml:space="preserve">returnees and </w:t>
      </w:r>
      <w:r w:rsidR="006F6524" w:rsidRPr="00B62036">
        <w:rPr>
          <w:rFonts w:ascii="Gill Sans MT" w:hAnsi="Gill Sans MT" w:cs="Calibri"/>
          <w:sz w:val="20"/>
          <w:szCs w:val="20"/>
        </w:rPr>
        <w:t xml:space="preserve">IDPs and </w:t>
      </w:r>
      <w:r w:rsidR="008E22B9" w:rsidRPr="00B62036">
        <w:rPr>
          <w:rFonts w:ascii="Gill Sans MT" w:hAnsi="Gill Sans MT" w:cs="Calibri"/>
          <w:sz w:val="20"/>
          <w:szCs w:val="20"/>
        </w:rPr>
        <w:t>they</w:t>
      </w:r>
      <w:r w:rsidR="006F6524" w:rsidRPr="00B62036">
        <w:rPr>
          <w:rFonts w:ascii="Gill Sans MT" w:hAnsi="Gill Sans MT" w:cs="Calibri"/>
          <w:sz w:val="20"/>
          <w:szCs w:val="20"/>
        </w:rPr>
        <w:t xml:space="preserve"> warned </w:t>
      </w:r>
      <w:r w:rsidR="008E22B9" w:rsidRPr="00B62036">
        <w:rPr>
          <w:rFonts w:ascii="Gill Sans MT" w:hAnsi="Gill Sans MT" w:cs="Calibri"/>
          <w:sz w:val="20"/>
          <w:szCs w:val="20"/>
        </w:rPr>
        <w:t xml:space="preserve">that </w:t>
      </w:r>
      <w:r w:rsidR="006F6524" w:rsidRPr="00B62036">
        <w:rPr>
          <w:rFonts w:ascii="Gill Sans MT" w:hAnsi="Gill Sans MT" w:cs="Calibri"/>
          <w:sz w:val="20"/>
          <w:szCs w:val="20"/>
        </w:rPr>
        <w:t xml:space="preserve">this might strain relations and create negative perceptions towards IDPs and returnees. Nonetheless, in assessing the perception on the </w:t>
      </w:r>
      <w:r w:rsidR="006F6524" w:rsidRPr="00B62036">
        <w:rPr>
          <w:rFonts w:ascii="Gill Sans MT" w:hAnsi="Gill Sans MT" w:cs="Calibri"/>
          <w:sz w:val="20"/>
          <w:szCs w:val="20"/>
          <w:lang w:val="en-GB"/>
        </w:rPr>
        <w:t xml:space="preserve">level of security the returnees enjoy in Baidoa, and the </w:t>
      </w:r>
      <w:r w:rsidR="006F6524" w:rsidRPr="00B62036">
        <w:rPr>
          <w:rFonts w:ascii="Gill Sans MT" w:hAnsi="Gill Sans MT" w:cs="Calibri"/>
          <w:sz w:val="20"/>
          <w:szCs w:val="20"/>
        </w:rPr>
        <w:t xml:space="preserve">extent to which capacity building programmes that were carried out in Kenya contributed to peaceful coexistence and re-integration for Baidoa returnees, the evaluation indicates that returnees enjoy the same level of protection as the local population is the strongest belief (99%) among the respondents.  This is indicative of the warm relationship between the returning and host communities. </w:t>
      </w:r>
    </w:p>
    <w:p w14:paraId="3B72C05C" w14:textId="77777777" w:rsidR="00A52509" w:rsidRPr="00B62036" w:rsidRDefault="00A52509" w:rsidP="00230515">
      <w:pPr>
        <w:pStyle w:val="Default"/>
        <w:tabs>
          <w:tab w:val="left" w:pos="1440"/>
        </w:tabs>
        <w:spacing w:line="276" w:lineRule="auto"/>
        <w:jc w:val="both"/>
        <w:rPr>
          <w:rFonts w:ascii="Gill Sans MT" w:hAnsi="Gill Sans MT" w:cs="Calibri"/>
          <w:sz w:val="20"/>
          <w:szCs w:val="20"/>
        </w:rPr>
      </w:pPr>
    </w:p>
    <w:p w14:paraId="16CF252E" w14:textId="77777777" w:rsidR="006F6524" w:rsidRDefault="006F6524" w:rsidP="00230515">
      <w:pPr>
        <w:pStyle w:val="Caption"/>
        <w:jc w:val="both"/>
        <w:rPr>
          <w:rFonts w:ascii="Gill Sans MT" w:hAnsi="Gill Sans MT"/>
          <w:sz w:val="20"/>
          <w:szCs w:val="20"/>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13</w:t>
      </w:r>
      <w:r w:rsidR="00AF3DCE" w:rsidRPr="00B62036">
        <w:rPr>
          <w:rFonts w:ascii="Gill Sans MT" w:hAnsi="Gill Sans MT"/>
          <w:noProof/>
          <w:sz w:val="20"/>
          <w:szCs w:val="20"/>
        </w:rPr>
        <w:fldChar w:fldCharType="end"/>
      </w:r>
      <w:r w:rsidRPr="00B62036">
        <w:rPr>
          <w:rFonts w:ascii="Gill Sans MT" w:hAnsi="Gill Sans MT"/>
          <w:sz w:val="20"/>
          <w:szCs w:val="20"/>
        </w:rPr>
        <w:t xml:space="preserve"> Level of Security Enjoyed by Returnees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25"/>
        <w:gridCol w:w="1050"/>
        <w:gridCol w:w="1555"/>
        <w:gridCol w:w="1477"/>
      </w:tblGrid>
      <w:tr w:rsidR="00A52509" w:rsidRPr="00A52509" w14:paraId="53F1AECC" w14:textId="77777777" w:rsidTr="00EA7389">
        <w:trPr>
          <w:trHeight w:val="308"/>
        </w:trPr>
        <w:tc>
          <w:tcPr>
            <w:tcW w:w="2869" w:type="pct"/>
            <w:gridSpan w:val="2"/>
            <w:shd w:val="clear" w:color="auto" w:fill="D9D9D9" w:themeFill="background1" w:themeFillShade="D9"/>
            <w:noWrap/>
            <w:vAlign w:val="bottom"/>
            <w:hideMark/>
          </w:tcPr>
          <w:p w14:paraId="65D24DC8"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Level of security  the returnees enjoy</w:t>
            </w:r>
          </w:p>
        </w:tc>
        <w:tc>
          <w:tcPr>
            <w:tcW w:w="548" w:type="pct"/>
            <w:shd w:val="clear" w:color="auto" w:fill="D9D9D9" w:themeFill="background1" w:themeFillShade="D9"/>
            <w:noWrap/>
            <w:vAlign w:val="bottom"/>
            <w:hideMark/>
          </w:tcPr>
          <w:p w14:paraId="4FFEE9B1"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Returnee</w:t>
            </w:r>
          </w:p>
        </w:tc>
        <w:tc>
          <w:tcPr>
            <w:tcW w:w="812" w:type="pct"/>
            <w:shd w:val="clear" w:color="auto" w:fill="D9D9D9" w:themeFill="background1" w:themeFillShade="D9"/>
            <w:noWrap/>
            <w:vAlign w:val="bottom"/>
            <w:hideMark/>
          </w:tcPr>
          <w:p w14:paraId="015804B2"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Host Community</w:t>
            </w:r>
          </w:p>
        </w:tc>
        <w:tc>
          <w:tcPr>
            <w:tcW w:w="771" w:type="pct"/>
            <w:shd w:val="clear" w:color="auto" w:fill="D9D9D9" w:themeFill="background1" w:themeFillShade="D9"/>
            <w:noWrap/>
            <w:vAlign w:val="bottom"/>
            <w:hideMark/>
          </w:tcPr>
          <w:p w14:paraId="28B8C887"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Combined Total</w:t>
            </w:r>
          </w:p>
        </w:tc>
      </w:tr>
      <w:tr w:rsidR="00A52509" w:rsidRPr="00A52509" w14:paraId="4318272D" w14:textId="77777777" w:rsidTr="00EA7389">
        <w:trPr>
          <w:trHeight w:val="47"/>
        </w:trPr>
        <w:tc>
          <w:tcPr>
            <w:tcW w:w="2647" w:type="pct"/>
            <w:shd w:val="clear" w:color="auto" w:fill="auto"/>
            <w:noWrap/>
            <w:vAlign w:val="bottom"/>
            <w:hideMark/>
          </w:tcPr>
          <w:p w14:paraId="79CB9F96"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They enjoy the same security and protection as the local population</w:t>
            </w:r>
          </w:p>
        </w:tc>
        <w:tc>
          <w:tcPr>
            <w:tcW w:w="222" w:type="pct"/>
            <w:shd w:val="clear" w:color="auto" w:fill="auto"/>
            <w:noWrap/>
            <w:vAlign w:val="bottom"/>
            <w:hideMark/>
          </w:tcPr>
          <w:p w14:paraId="13B62D10"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w:t>
            </w:r>
          </w:p>
          <w:p w14:paraId="4EEB841F"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 xml:space="preserve">% </w:t>
            </w:r>
          </w:p>
        </w:tc>
        <w:tc>
          <w:tcPr>
            <w:tcW w:w="548" w:type="pct"/>
            <w:shd w:val="clear" w:color="auto" w:fill="auto"/>
            <w:noWrap/>
            <w:vAlign w:val="bottom"/>
            <w:hideMark/>
          </w:tcPr>
          <w:p w14:paraId="3C3873C7"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196</w:t>
            </w:r>
          </w:p>
          <w:p w14:paraId="5CBE5CF4"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98%</w:t>
            </w:r>
          </w:p>
        </w:tc>
        <w:tc>
          <w:tcPr>
            <w:tcW w:w="812" w:type="pct"/>
            <w:shd w:val="clear" w:color="auto" w:fill="auto"/>
            <w:noWrap/>
            <w:vAlign w:val="bottom"/>
            <w:hideMark/>
          </w:tcPr>
          <w:p w14:paraId="0E00D74F"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195</w:t>
            </w:r>
          </w:p>
          <w:p w14:paraId="51509CEF"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100%</w:t>
            </w:r>
          </w:p>
        </w:tc>
        <w:tc>
          <w:tcPr>
            <w:tcW w:w="771" w:type="pct"/>
            <w:shd w:val="clear" w:color="auto" w:fill="auto"/>
            <w:noWrap/>
            <w:vAlign w:val="bottom"/>
            <w:hideMark/>
          </w:tcPr>
          <w:p w14:paraId="1CA14F3F"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391</w:t>
            </w:r>
          </w:p>
          <w:p w14:paraId="7369F63B"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99%</w:t>
            </w:r>
          </w:p>
        </w:tc>
      </w:tr>
      <w:tr w:rsidR="00A52509" w:rsidRPr="00A52509" w14:paraId="76A8C3EF" w14:textId="77777777" w:rsidTr="00EA7389">
        <w:trPr>
          <w:trHeight w:val="47"/>
        </w:trPr>
        <w:tc>
          <w:tcPr>
            <w:tcW w:w="2647" w:type="pct"/>
            <w:shd w:val="clear" w:color="auto" w:fill="auto"/>
            <w:noWrap/>
            <w:vAlign w:val="bottom"/>
            <w:hideMark/>
          </w:tcPr>
          <w:p w14:paraId="10A3B8DA"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They enjoy somewhat less security and protection than the local population</w:t>
            </w:r>
          </w:p>
        </w:tc>
        <w:tc>
          <w:tcPr>
            <w:tcW w:w="222" w:type="pct"/>
            <w:shd w:val="clear" w:color="auto" w:fill="auto"/>
            <w:noWrap/>
            <w:vAlign w:val="bottom"/>
            <w:hideMark/>
          </w:tcPr>
          <w:p w14:paraId="73F72BF4"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w:t>
            </w:r>
          </w:p>
          <w:p w14:paraId="6C5E28A6"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 xml:space="preserve">% </w:t>
            </w:r>
          </w:p>
        </w:tc>
        <w:tc>
          <w:tcPr>
            <w:tcW w:w="548" w:type="pct"/>
            <w:shd w:val="clear" w:color="auto" w:fill="auto"/>
            <w:noWrap/>
            <w:vAlign w:val="bottom"/>
            <w:hideMark/>
          </w:tcPr>
          <w:p w14:paraId="734A4FA1"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3</w:t>
            </w:r>
          </w:p>
          <w:p w14:paraId="04DDBFEA"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1.5%</w:t>
            </w:r>
          </w:p>
        </w:tc>
        <w:tc>
          <w:tcPr>
            <w:tcW w:w="812" w:type="pct"/>
            <w:shd w:val="clear" w:color="auto" w:fill="auto"/>
            <w:noWrap/>
            <w:vAlign w:val="bottom"/>
            <w:hideMark/>
          </w:tcPr>
          <w:p w14:paraId="4A182130"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0</w:t>
            </w:r>
          </w:p>
          <w:p w14:paraId="1ABE1C96"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0%</w:t>
            </w:r>
          </w:p>
        </w:tc>
        <w:tc>
          <w:tcPr>
            <w:tcW w:w="771" w:type="pct"/>
            <w:shd w:val="clear" w:color="auto" w:fill="auto"/>
            <w:noWrap/>
            <w:vAlign w:val="bottom"/>
            <w:hideMark/>
          </w:tcPr>
          <w:p w14:paraId="0A5B5A6C"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3</w:t>
            </w:r>
          </w:p>
          <w:p w14:paraId="6DA88FFD"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0.8%</w:t>
            </w:r>
          </w:p>
        </w:tc>
      </w:tr>
      <w:tr w:rsidR="00A52509" w:rsidRPr="00A52509" w14:paraId="1ED462F1" w14:textId="77777777" w:rsidTr="00EA7389">
        <w:trPr>
          <w:trHeight w:val="47"/>
        </w:trPr>
        <w:tc>
          <w:tcPr>
            <w:tcW w:w="2647" w:type="pct"/>
            <w:shd w:val="clear" w:color="auto" w:fill="auto"/>
            <w:noWrap/>
            <w:vAlign w:val="bottom"/>
            <w:hideMark/>
          </w:tcPr>
          <w:p w14:paraId="43719EBC"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They enjoy much less security and protection than the local population</w:t>
            </w:r>
          </w:p>
        </w:tc>
        <w:tc>
          <w:tcPr>
            <w:tcW w:w="222" w:type="pct"/>
            <w:shd w:val="clear" w:color="auto" w:fill="auto"/>
            <w:noWrap/>
            <w:vAlign w:val="bottom"/>
            <w:hideMark/>
          </w:tcPr>
          <w:p w14:paraId="78E37653"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w:t>
            </w:r>
          </w:p>
          <w:p w14:paraId="493F3ACC"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 xml:space="preserve">% </w:t>
            </w:r>
          </w:p>
        </w:tc>
        <w:tc>
          <w:tcPr>
            <w:tcW w:w="548" w:type="pct"/>
            <w:shd w:val="clear" w:color="auto" w:fill="auto"/>
            <w:noWrap/>
            <w:vAlign w:val="bottom"/>
            <w:hideMark/>
          </w:tcPr>
          <w:p w14:paraId="19BF8C7D"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1</w:t>
            </w:r>
          </w:p>
          <w:p w14:paraId="647D4BDC"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0.5%</w:t>
            </w:r>
          </w:p>
        </w:tc>
        <w:tc>
          <w:tcPr>
            <w:tcW w:w="812" w:type="pct"/>
            <w:shd w:val="clear" w:color="auto" w:fill="auto"/>
            <w:noWrap/>
            <w:vAlign w:val="bottom"/>
            <w:hideMark/>
          </w:tcPr>
          <w:p w14:paraId="35D41675"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0</w:t>
            </w:r>
          </w:p>
          <w:p w14:paraId="246E50AF" w14:textId="77777777" w:rsidR="00A52509" w:rsidRPr="00A52509" w:rsidRDefault="00A52509" w:rsidP="001D4DE4">
            <w:pPr>
              <w:jc w:val="center"/>
              <w:rPr>
                <w:rFonts w:ascii="Gill Sans MT" w:hAnsi="Gill Sans MT" w:cs="Calibri"/>
                <w:sz w:val="18"/>
                <w:szCs w:val="18"/>
                <w:lang w:val="en-GB" w:eastAsia="en-GB"/>
              </w:rPr>
            </w:pPr>
            <w:r w:rsidRPr="00A52509">
              <w:rPr>
                <w:rFonts w:ascii="Gill Sans MT" w:hAnsi="Gill Sans MT" w:cs="Calibri"/>
                <w:sz w:val="18"/>
                <w:szCs w:val="18"/>
                <w:lang w:val="en-GB" w:eastAsia="en-GB"/>
              </w:rPr>
              <w:t>0%</w:t>
            </w:r>
          </w:p>
        </w:tc>
        <w:tc>
          <w:tcPr>
            <w:tcW w:w="771" w:type="pct"/>
            <w:shd w:val="clear" w:color="auto" w:fill="auto"/>
            <w:noWrap/>
            <w:vAlign w:val="bottom"/>
            <w:hideMark/>
          </w:tcPr>
          <w:p w14:paraId="371A1CAC"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w:t>
            </w:r>
          </w:p>
          <w:p w14:paraId="7FCAB6D1"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0.3%</w:t>
            </w:r>
          </w:p>
        </w:tc>
      </w:tr>
      <w:tr w:rsidR="00A52509" w:rsidRPr="00A52509" w14:paraId="051472EB" w14:textId="77777777" w:rsidTr="00EA7389">
        <w:trPr>
          <w:trHeight w:val="47"/>
        </w:trPr>
        <w:tc>
          <w:tcPr>
            <w:tcW w:w="2647" w:type="pct"/>
            <w:shd w:val="clear" w:color="auto" w:fill="D9D9D9" w:themeFill="background1" w:themeFillShade="D9"/>
            <w:noWrap/>
            <w:vAlign w:val="bottom"/>
            <w:hideMark/>
          </w:tcPr>
          <w:p w14:paraId="54E48A7F"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Total</w:t>
            </w:r>
          </w:p>
        </w:tc>
        <w:tc>
          <w:tcPr>
            <w:tcW w:w="222" w:type="pct"/>
            <w:shd w:val="clear" w:color="auto" w:fill="D9D9D9" w:themeFill="background1" w:themeFillShade="D9"/>
            <w:noWrap/>
            <w:vAlign w:val="bottom"/>
            <w:hideMark/>
          </w:tcPr>
          <w:p w14:paraId="5EA206E5"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N</w:t>
            </w:r>
          </w:p>
          <w:p w14:paraId="08EF7A74"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 xml:space="preserve">% </w:t>
            </w:r>
          </w:p>
        </w:tc>
        <w:tc>
          <w:tcPr>
            <w:tcW w:w="548" w:type="pct"/>
            <w:shd w:val="clear" w:color="auto" w:fill="D9D9D9" w:themeFill="background1" w:themeFillShade="D9"/>
            <w:noWrap/>
            <w:vAlign w:val="bottom"/>
            <w:hideMark/>
          </w:tcPr>
          <w:p w14:paraId="66395FE6" w14:textId="77777777" w:rsidR="00A52509" w:rsidRPr="00A52509" w:rsidRDefault="00A52509"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200</w:t>
            </w:r>
          </w:p>
          <w:p w14:paraId="4220D764" w14:textId="77777777" w:rsidR="00A52509" w:rsidRPr="00A52509" w:rsidRDefault="00A52509"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100%</w:t>
            </w:r>
          </w:p>
        </w:tc>
        <w:tc>
          <w:tcPr>
            <w:tcW w:w="812" w:type="pct"/>
            <w:shd w:val="clear" w:color="auto" w:fill="D9D9D9" w:themeFill="background1" w:themeFillShade="D9"/>
            <w:noWrap/>
            <w:vAlign w:val="bottom"/>
            <w:hideMark/>
          </w:tcPr>
          <w:p w14:paraId="00F3F332" w14:textId="77777777" w:rsidR="00A52509" w:rsidRPr="00A52509" w:rsidRDefault="00A52509"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195</w:t>
            </w:r>
          </w:p>
          <w:p w14:paraId="29C56CCE" w14:textId="77777777" w:rsidR="00A52509" w:rsidRPr="00A52509" w:rsidRDefault="00A52509" w:rsidP="001D4DE4">
            <w:pPr>
              <w:jc w:val="center"/>
              <w:rPr>
                <w:rFonts w:ascii="Gill Sans MT" w:hAnsi="Gill Sans MT" w:cs="Calibri"/>
                <w:b/>
                <w:sz w:val="18"/>
                <w:szCs w:val="18"/>
                <w:lang w:val="en-GB" w:eastAsia="en-GB"/>
              </w:rPr>
            </w:pPr>
            <w:r w:rsidRPr="00A52509">
              <w:rPr>
                <w:rFonts w:ascii="Gill Sans MT" w:hAnsi="Gill Sans MT" w:cs="Calibri"/>
                <w:b/>
                <w:sz w:val="18"/>
                <w:szCs w:val="18"/>
                <w:lang w:val="en-GB" w:eastAsia="en-GB"/>
              </w:rPr>
              <w:t>100%</w:t>
            </w:r>
          </w:p>
        </w:tc>
        <w:tc>
          <w:tcPr>
            <w:tcW w:w="771" w:type="pct"/>
            <w:shd w:val="clear" w:color="auto" w:fill="D9D9D9" w:themeFill="background1" w:themeFillShade="D9"/>
            <w:noWrap/>
            <w:vAlign w:val="bottom"/>
            <w:hideMark/>
          </w:tcPr>
          <w:p w14:paraId="15EBD1B0" w14:textId="77777777" w:rsidR="00A52509" w:rsidRPr="00A52509" w:rsidRDefault="00A52509" w:rsidP="001D4DE4">
            <w:pPr>
              <w:jc w:val="cente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395</w:t>
            </w:r>
          </w:p>
          <w:p w14:paraId="12D80A6B" w14:textId="77777777" w:rsidR="00A52509" w:rsidRPr="00A52509" w:rsidRDefault="00A52509" w:rsidP="001D4DE4">
            <w:pPr>
              <w:jc w:val="cente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100%</w:t>
            </w:r>
          </w:p>
        </w:tc>
      </w:tr>
    </w:tbl>
    <w:p w14:paraId="7F666A26" w14:textId="467F9066" w:rsidR="00E072C9" w:rsidRPr="00B62036" w:rsidRDefault="00E072C9" w:rsidP="00230515">
      <w:pPr>
        <w:widowControl w:val="0"/>
        <w:autoSpaceDE w:val="0"/>
        <w:autoSpaceDN w:val="0"/>
        <w:adjustRightInd w:val="0"/>
        <w:spacing w:line="276" w:lineRule="auto"/>
        <w:jc w:val="both"/>
        <w:rPr>
          <w:rFonts w:ascii="Gill Sans MT" w:hAnsi="Gill Sans MT"/>
          <w:sz w:val="20"/>
          <w:szCs w:val="20"/>
        </w:rPr>
      </w:pPr>
    </w:p>
    <w:p w14:paraId="4537D07D" w14:textId="5A903D91" w:rsidR="00533FB8" w:rsidRPr="00B62036" w:rsidRDefault="009F2E46" w:rsidP="00230515">
      <w:pPr>
        <w:pStyle w:val="Heading3"/>
        <w:jc w:val="both"/>
        <w:rPr>
          <w:rFonts w:ascii="Gill Sans MT" w:hAnsi="Gill Sans MT" w:cs="Calibri"/>
          <w:sz w:val="20"/>
          <w:szCs w:val="20"/>
        </w:rPr>
      </w:pPr>
      <w:bookmarkStart w:id="34" w:name="_Toc419359869"/>
      <w:r w:rsidRPr="00B62036">
        <w:rPr>
          <w:rFonts w:ascii="Gill Sans MT" w:hAnsi="Gill Sans MT"/>
          <w:sz w:val="20"/>
          <w:szCs w:val="20"/>
        </w:rPr>
        <w:t xml:space="preserve">3.3.8 </w:t>
      </w:r>
      <w:r w:rsidR="0008789D" w:rsidRPr="00B62036">
        <w:rPr>
          <w:rFonts w:ascii="Gill Sans MT" w:hAnsi="Gill Sans MT"/>
          <w:sz w:val="20"/>
          <w:szCs w:val="20"/>
        </w:rPr>
        <w:t>Assessment of Theory of Change Model</w:t>
      </w:r>
      <w:bookmarkEnd w:id="34"/>
    </w:p>
    <w:p w14:paraId="09461897" w14:textId="0C8D4848" w:rsidR="00533FB8" w:rsidRPr="00B62036" w:rsidRDefault="00533FB8"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cs="Garamond"/>
          <w:color w:val="000000"/>
          <w:sz w:val="20"/>
          <w:szCs w:val="20"/>
        </w:rPr>
        <w:t xml:space="preserve">The theory of change was based on the assumption that </w:t>
      </w:r>
      <w:r w:rsidR="00402A3B" w:rsidRPr="00B62036">
        <w:rPr>
          <w:rFonts w:ascii="Gill Sans MT" w:hAnsi="Gill Sans MT" w:cs="Garamond"/>
          <w:color w:val="000000"/>
          <w:sz w:val="20"/>
          <w:szCs w:val="20"/>
        </w:rPr>
        <w:t xml:space="preserve">the </w:t>
      </w:r>
      <w:r w:rsidRPr="00B62036">
        <w:rPr>
          <w:rFonts w:ascii="Gill Sans MT" w:hAnsi="Gill Sans MT" w:cs="Garamond"/>
          <w:color w:val="000000"/>
          <w:sz w:val="20"/>
          <w:szCs w:val="20"/>
        </w:rPr>
        <w:t>project is expected to contribute to the overall outcome of enhanced capacity for peace building if reduced vulnerabilities, enhanced capacities for conflict resolution and peace d</w:t>
      </w:r>
      <w:r w:rsidR="00404E69" w:rsidRPr="00B62036">
        <w:rPr>
          <w:rFonts w:ascii="Gill Sans MT" w:hAnsi="Gill Sans MT" w:cs="Garamond"/>
          <w:color w:val="000000"/>
          <w:sz w:val="20"/>
          <w:szCs w:val="20"/>
        </w:rPr>
        <w:t>ividends in the form of improved</w:t>
      </w:r>
      <w:r w:rsidRPr="00B62036">
        <w:rPr>
          <w:rFonts w:ascii="Gill Sans MT" w:hAnsi="Gill Sans MT" w:cs="Garamond"/>
          <w:color w:val="000000"/>
          <w:sz w:val="20"/>
          <w:szCs w:val="20"/>
        </w:rPr>
        <w:t xml:space="preserve"> livelihoods and productive infrastructure and social services lea</w:t>
      </w:r>
      <w:r w:rsidR="00404E69" w:rsidRPr="00B62036">
        <w:rPr>
          <w:rFonts w:ascii="Gill Sans MT" w:hAnsi="Gill Sans MT" w:cs="Garamond"/>
          <w:color w:val="000000"/>
          <w:sz w:val="20"/>
          <w:szCs w:val="20"/>
        </w:rPr>
        <w:t>d to the peaceful coexistence of</w:t>
      </w:r>
      <w:r w:rsidRPr="00B62036">
        <w:rPr>
          <w:rFonts w:ascii="Gill Sans MT" w:hAnsi="Gill Sans MT" w:cs="Garamond"/>
          <w:color w:val="000000"/>
          <w:sz w:val="20"/>
          <w:szCs w:val="20"/>
        </w:rPr>
        <w:t xml:space="preserve"> returnee</w:t>
      </w:r>
      <w:r w:rsidR="00202BA8" w:rsidRPr="00B62036">
        <w:rPr>
          <w:rFonts w:ascii="Gill Sans MT" w:hAnsi="Gill Sans MT" w:cs="Garamond"/>
          <w:color w:val="000000"/>
          <w:sz w:val="20"/>
          <w:szCs w:val="20"/>
        </w:rPr>
        <w:t>s and resident communities. It wa</w:t>
      </w:r>
      <w:r w:rsidRPr="00B62036">
        <w:rPr>
          <w:rFonts w:ascii="Gill Sans MT" w:hAnsi="Gill Sans MT" w:cs="Garamond"/>
          <w:color w:val="000000"/>
          <w:sz w:val="20"/>
          <w:szCs w:val="20"/>
        </w:rPr>
        <w:t xml:space="preserve">s expected that resilient, cohesive </w:t>
      </w:r>
      <w:r w:rsidR="00202BA8" w:rsidRPr="00B62036">
        <w:rPr>
          <w:rFonts w:ascii="Gill Sans MT" w:hAnsi="Gill Sans MT" w:cs="Garamond"/>
          <w:color w:val="000000"/>
          <w:sz w:val="20"/>
          <w:szCs w:val="20"/>
        </w:rPr>
        <w:t>communities would</w:t>
      </w:r>
      <w:r w:rsidRPr="00B62036">
        <w:rPr>
          <w:rFonts w:ascii="Gill Sans MT" w:hAnsi="Gill Sans MT" w:cs="Garamond"/>
          <w:color w:val="000000"/>
          <w:sz w:val="20"/>
          <w:szCs w:val="20"/>
        </w:rPr>
        <w:t xml:space="preserve"> become key drivers of peace together with a strengthened civil society, including community </w:t>
      </w:r>
      <w:r w:rsidR="006D1032" w:rsidRPr="00B62036">
        <w:rPr>
          <w:rFonts w:ascii="Gill Sans MT" w:hAnsi="Gill Sans MT" w:cs="Garamond"/>
          <w:color w:val="000000"/>
          <w:sz w:val="20"/>
          <w:szCs w:val="20"/>
        </w:rPr>
        <w:t>organizations</w:t>
      </w:r>
      <w:r w:rsidRPr="00B62036">
        <w:rPr>
          <w:rFonts w:ascii="Gill Sans MT" w:hAnsi="Gill Sans MT" w:cs="Garamond"/>
          <w:color w:val="000000"/>
          <w:sz w:val="20"/>
          <w:szCs w:val="20"/>
        </w:rPr>
        <w:t xml:space="preserve">, contributing to manage root causes of conflict. </w:t>
      </w:r>
      <w:r w:rsidR="00202BA8" w:rsidRPr="00B62036">
        <w:rPr>
          <w:rFonts w:ascii="Gill Sans MT" w:hAnsi="Gill Sans MT"/>
          <w:sz w:val="20"/>
          <w:szCs w:val="20"/>
        </w:rPr>
        <w:t>The model</w:t>
      </w:r>
      <w:r w:rsidR="00402A3B" w:rsidRPr="00B62036">
        <w:rPr>
          <w:rFonts w:ascii="Gill Sans MT" w:hAnsi="Gill Sans MT"/>
          <w:sz w:val="20"/>
          <w:szCs w:val="20"/>
        </w:rPr>
        <w:t xml:space="preserve"> hypothesized that if the c</w:t>
      </w:r>
      <w:r w:rsidR="00202BA8" w:rsidRPr="00B62036">
        <w:rPr>
          <w:rFonts w:ascii="Gill Sans MT" w:hAnsi="Gill Sans MT"/>
          <w:sz w:val="20"/>
          <w:szCs w:val="20"/>
        </w:rPr>
        <w:t xml:space="preserve">apacity </w:t>
      </w:r>
      <w:r w:rsidRPr="00B62036">
        <w:rPr>
          <w:rFonts w:ascii="Gill Sans MT" w:hAnsi="Gill Sans MT"/>
          <w:sz w:val="20"/>
          <w:szCs w:val="20"/>
        </w:rPr>
        <w:t xml:space="preserve">of refugee returnees to engage constructively in rebuilding Somalia and their resilience is enhanced with the condition that the resident communities have the capacity to absorb the spontaneous returnees, </w:t>
      </w:r>
      <w:r w:rsidR="00202BA8" w:rsidRPr="00B62036">
        <w:rPr>
          <w:rFonts w:ascii="Gill Sans MT" w:hAnsi="Gill Sans MT"/>
          <w:sz w:val="20"/>
          <w:szCs w:val="20"/>
        </w:rPr>
        <w:t xml:space="preserve">it would </w:t>
      </w:r>
      <w:r w:rsidRPr="00B62036">
        <w:rPr>
          <w:rFonts w:ascii="Gill Sans MT" w:hAnsi="Gill Sans MT"/>
          <w:sz w:val="20"/>
          <w:szCs w:val="20"/>
        </w:rPr>
        <w:t>have dual outcome</w:t>
      </w:r>
      <w:r w:rsidR="00402A3B" w:rsidRPr="00B62036">
        <w:rPr>
          <w:rFonts w:ascii="Gill Sans MT" w:hAnsi="Gill Sans MT"/>
          <w:sz w:val="20"/>
          <w:szCs w:val="20"/>
        </w:rPr>
        <w:t xml:space="preserve">; </w:t>
      </w:r>
      <w:r w:rsidR="00202BA8" w:rsidRPr="00B62036">
        <w:rPr>
          <w:rFonts w:ascii="Gill Sans MT" w:hAnsi="Gill Sans MT"/>
          <w:sz w:val="20"/>
          <w:szCs w:val="20"/>
        </w:rPr>
        <w:t xml:space="preserve">that </w:t>
      </w:r>
      <w:r w:rsidR="00402A3B" w:rsidRPr="00B62036">
        <w:rPr>
          <w:rFonts w:ascii="Gill Sans MT" w:hAnsi="Gill Sans MT"/>
          <w:sz w:val="20"/>
          <w:szCs w:val="20"/>
        </w:rPr>
        <w:t>there</w:t>
      </w:r>
      <w:r w:rsidR="00202BA8" w:rsidRPr="00B62036">
        <w:rPr>
          <w:rFonts w:ascii="Gill Sans MT" w:hAnsi="Gill Sans MT"/>
          <w:sz w:val="20"/>
          <w:szCs w:val="20"/>
        </w:rPr>
        <w:t xml:space="preserve"> is l</w:t>
      </w:r>
      <w:r w:rsidRPr="00B62036">
        <w:rPr>
          <w:rFonts w:ascii="Gill Sans MT" w:hAnsi="Gill Sans MT"/>
          <w:sz w:val="20"/>
          <w:szCs w:val="20"/>
        </w:rPr>
        <w:t>ikelihood that the return movement may escalates tension with the potential for undermining the fragile peace</w:t>
      </w:r>
      <w:r w:rsidR="00202BA8" w:rsidRPr="00B62036">
        <w:rPr>
          <w:rFonts w:ascii="Gill Sans MT" w:hAnsi="Gill Sans MT"/>
          <w:sz w:val="20"/>
          <w:szCs w:val="20"/>
        </w:rPr>
        <w:t>;</w:t>
      </w:r>
      <w:r w:rsidRPr="00B62036">
        <w:rPr>
          <w:rFonts w:ascii="Gill Sans MT" w:hAnsi="Gill Sans MT"/>
          <w:sz w:val="20"/>
          <w:szCs w:val="20"/>
        </w:rPr>
        <w:t xml:space="preserve"> </w:t>
      </w:r>
      <w:r w:rsidR="006D1032" w:rsidRPr="00B62036">
        <w:rPr>
          <w:rFonts w:ascii="Gill Sans MT" w:hAnsi="Gill Sans MT"/>
          <w:sz w:val="20"/>
          <w:szCs w:val="20"/>
        </w:rPr>
        <w:t>or the</w:t>
      </w:r>
      <w:r w:rsidR="00202BA8" w:rsidRPr="00B62036">
        <w:rPr>
          <w:rFonts w:ascii="Gill Sans MT" w:hAnsi="Gill Sans MT"/>
          <w:sz w:val="20"/>
          <w:szCs w:val="20"/>
        </w:rPr>
        <w:t xml:space="preserve"> enhanced </w:t>
      </w:r>
      <w:r w:rsidRPr="00B62036">
        <w:rPr>
          <w:rFonts w:ascii="Gill Sans MT" w:hAnsi="Gill Sans MT"/>
          <w:sz w:val="20"/>
          <w:szCs w:val="20"/>
        </w:rPr>
        <w:t>capacity of the retu</w:t>
      </w:r>
      <w:r w:rsidR="00202BA8" w:rsidRPr="00B62036">
        <w:rPr>
          <w:rFonts w:ascii="Gill Sans MT" w:hAnsi="Gill Sans MT"/>
          <w:sz w:val="20"/>
          <w:szCs w:val="20"/>
        </w:rPr>
        <w:t>rnee and residents communities would</w:t>
      </w:r>
      <w:r w:rsidRPr="00B62036">
        <w:rPr>
          <w:rFonts w:ascii="Gill Sans MT" w:hAnsi="Gill Sans MT"/>
          <w:sz w:val="20"/>
          <w:szCs w:val="20"/>
        </w:rPr>
        <w:t xml:space="preserve"> build peace dividends in form strengthened livelihood and enhance</w:t>
      </w:r>
      <w:r w:rsidR="00202BA8" w:rsidRPr="00B62036">
        <w:rPr>
          <w:rFonts w:ascii="Gill Sans MT" w:hAnsi="Gill Sans MT"/>
          <w:sz w:val="20"/>
          <w:szCs w:val="20"/>
        </w:rPr>
        <w:t>d</w:t>
      </w:r>
      <w:r w:rsidRPr="00B62036">
        <w:rPr>
          <w:rFonts w:ascii="Gill Sans MT" w:hAnsi="Gill Sans MT"/>
          <w:sz w:val="20"/>
          <w:szCs w:val="20"/>
        </w:rPr>
        <w:t xml:space="preserve"> governance. </w:t>
      </w:r>
    </w:p>
    <w:p w14:paraId="5687192F" w14:textId="77777777" w:rsidR="00647744" w:rsidRPr="00B62036" w:rsidRDefault="00647744" w:rsidP="00230515">
      <w:pPr>
        <w:widowControl w:val="0"/>
        <w:autoSpaceDE w:val="0"/>
        <w:autoSpaceDN w:val="0"/>
        <w:adjustRightInd w:val="0"/>
        <w:spacing w:line="276" w:lineRule="auto"/>
        <w:jc w:val="both"/>
        <w:rPr>
          <w:rFonts w:ascii="Gill Sans MT" w:hAnsi="Gill Sans MT" w:cs="Garamond"/>
          <w:color w:val="000000"/>
          <w:sz w:val="20"/>
          <w:szCs w:val="20"/>
        </w:rPr>
      </w:pPr>
    </w:p>
    <w:p w14:paraId="4A72B5BD" w14:textId="2A2B4082" w:rsidR="00BE6E43" w:rsidRPr="00B62036" w:rsidRDefault="00402A3B" w:rsidP="00230515">
      <w:pPr>
        <w:spacing w:line="276" w:lineRule="auto"/>
        <w:contextualSpacing/>
        <w:jc w:val="both"/>
        <w:rPr>
          <w:rFonts w:ascii="Gill Sans MT" w:hAnsi="Gill Sans MT"/>
          <w:sz w:val="20"/>
          <w:szCs w:val="20"/>
        </w:rPr>
      </w:pPr>
      <w:r w:rsidRPr="00B62036">
        <w:rPr>
          <w:rFonts w:ascii="Gill Sans MT" w:hAnsi="Gill Sans MT" w:cs="Garamond"/>
          <w:color w:val="000000"/>
          <w:sz w:val="20"/>
          <w:szCs w:val="20"/>
        </w:rPr>
        <w:t xml:space="preserve">Overall, the evaluation noted that </w:t>
      </w:r>
      <w:r w:rsidR="0046517A" w:rsidRPr="00B62036">
        <w:rPr>
          <w:rFonts w:ascii="Gill Sans MT" w:hAnsi="Gill Sans MT" w:cs="Garamond"/>
          <w:color w:val="000000"/>
          <w:sz w:val="20"/>
          <w:szCs w:val="20"/>
        </w:rPr>
        <w:t xml:space="preserve">the project has achieved considerable milestones </w:t>
      </w:r>
      <w:r w:rsidR="00BE6E43" w:rsidRPr="00B62036">
        <w:rPr>
          <w:rFonts w:ascii="Gill Sans MT" w:hAnsi="Gill Sans MT" w:cs="Garamond"/>
          <w:color w:val="000000"/>
          <w:sz w:val="20"/>
          <w:szCs w:val="20"/>
        </w:rPr>
        <w:t xml:space="preserve">in </w:t>
      </w:r>
      <w:r w:rsidR="0046517A" w:rsidRPr="00B62036">
        <w:rPr>
          <w:rFonts w:ascii="Gill Sans MT" w:hAnsi="Gill Sans MT" w:cs="Garamond"/>
          <w:color w:val="000000"/>
          <w:sz w:val="20"/>
          <w:szCs w:val="20"/>
        </w:rPr>
        <w:t xml:space="preserve">building the capacity of </w:t>
      </w:r>
      <w:r w:rsidR="0046517A" w:rsidRPr="00B62036">
        <w:rPr>
          <w:rFonts w:ascii="Gill Sans MT" w:hAnsi="Gill Sans MT"/>
          <w:sz w:val="20"/>
          <w:szCs w:val="20"/>
        </w:rPr>
        <w:t xml:space="preserve">refugee </w:t>
      </w:r>
      <w:r w:rsidR="00BE6E43" w:rsidRPr="00B62036">
        <w:rPr>
          <w:rFonts w:ascii="Gill Sans MT" w:hAnsi="Gill Sans MT"/>
          <w:sz w:val="20"/>
          <w:szCs w:val="20"/>
        </w:rPr>
        <w:t>returnees’</w:t>
      </w:r>
      <w:r w:rsidR="0046517A" w:rsidRPr="00B62036">
        <w:rPr>
          <w:rFonts w:ascii="Gill Sans MT" w:hAnsi="Gill Sans MT"/>
          <w:sz w:val="20"/>
          <w:szCs w:val="20"/>
        </w:rPr>
        <w:t xml:space="preserve"> resilience through the provision of basic infrastructure and livelihoods support. The construction of schools for returnee children </w:t>
      </w:r>
      <w:r w:rsidR="00BE6E43" w:rsidRPr="00B62036">
        <w:rPr>
          <w:rFonts w:ascii="Gill Sans MT" w:hAnsi="Gill Sans MT"/>
          <w:sz w:val="20"/>
          <w:szCs w:val="20"/>
        </w:rPr>
        <w:t>w</w:t>
      </w:r>
      <w:r w:rsidR="0046517A" w:rsidRPr="00B62036">
        <w:rPr>
          <w:rFonts w:ascii="Gill Sans MT" w:hAnsi="Gill Sans MT"/>
          <w:sz w:val="20"/>
          <w:szCs w:val="20"/>
        </w:rPr>
        <w:t xml:space="preserve">as </w:t>
      </w:r>
      <w:r w:rsidR="00BE6E43" w:rsidRPr="00B62036">
        <w:rPr>
          <w:rFonts w:ascii="Gill Sans MT" w:hAnsi="Gill Sans MT"/>
          <w:sz w:val="20"/>
          <w:szCs w:val="20"/>
        </w:rPr>
        <w:t xml:space="preserve">for instance </w:t>
      </w:r>
      <w:r w:rsidR="0046517A" w:rsidRPr="00B62036">
        <w:rPr>
          <w:rFonts w:ascii="Gill Sans MT" w:hAnsi="Gill Sans MT"/>
          <w:sz w:val="20"/>
          <w:szCs w:val="20"/>
        </w:rPr>
        <w:t xml:space="preserve">an important </w:t>
      </w:r>
      <w:r w:rsidR="00BE6E43" w:rsidRPr="00B62036">
        <w:rPr>
          <w:rFonts w:ascii="Gill Sans MT" w:hAnsi="Gill Sans MT"/>
          <w:sz w:val="20"/>
          <w:szCs w:val="20"/>
        </w:rPr>
        <w:t xml:space="preserve">intervention </w:t>
      </w:r>
      <w:r w:rsidR="0046517A" w:rsidRPr="00B62036">
        <w:rPr>
          <w:rFonts w:ascii="Gill Sans MT" w:hAnsi="Gill Sans MT"/>
          <w:sz w:val="20"/>
          <w:szCs w:val="20"/>
        </w:rPr>
        <w:t xml:space="preserve">considering the limited availability of social services in Baidoa. Other interventions such as development of road networks and provision of </w:t>
      </w:r>
      <w:r w:rsidR="0046517A" w:rsidRPr="00B62036">
        <w:rPr>
          <w:rFonts w:ascii="Gill Sans MT" w:hAnsi="Gill Sans MT"/>
          <w:sz w:val="20"/>
          <w:szCs w:val="20"/>
        </w:rPr>
        <w:lastRenderedPageBreak/>
        <w:t>tools for returnee farmers have been welcomed by the beneficiaries as it provided alternative income for these returning families. Nevertheless, it has been noted that a critical element in the theory of change model, i.e. enhance</w:t>
      </w:r>
      <w:r w:rsidR="00BE6E43" w:rsidRPr="00B62036">
        <w:rPr>
          <w:rFonts w:ascii="Gill Sans MT" w:hAnsi="Gill Sans MT"/>
          <w:sz w:val="20"/>
          <w:szCs w:val="20"/>
        </w:rPr>
        <w:t xml:space="preserve">d </w:t>
      </w:r>
      <w:r w:rsidR="0046517A" w:rsidRPr="00B62036">
        <w:rPr>
          <w:rFonts w:ascii="Gill Sans MT" w:hAnsi="Gill Sans MT"/>
          <w:sz w:val="20"/>
          <w:szCs w:val="20"/>
        </w:rPr>
        <w:t>capacity of the returnee and residents communities to build</w:t>
      </w:r>
      <w:r w:rsidR="00BE6E43" w:rsidRPr="00B62036">
        <w:rPr>
          <w:rFonts w:ascii="Gill Sans MT" w:hAnsi="Gill Sans MT"/>
          <w:sz w:val="20"/>
          <w:szCs w:val="20"/>
        </w:rPr>
        <w:t>ing</w:t>
      </w:r>
      <w:r w:rsidR="0046517A" w:rsidRPr="00B62036">
        <w:rPr>
          <w:rFonts w:ascii="Gill Sans MT" w:hAnsi="Gill Sans MT"/>
          <w:sz w:val="20"/>
          <w:szCs w:val="20"/>
        </w:rPr>
        <w:t xml:space="preserve"> peace dividends w</w:t>
      </w:r>
      <w:r w:rsidR="00BE6E43" w:rsidRPr="00B62036">
        <w:rPr>
          <w:rFonts w:ascii="Gill Sans MT" w:hAnsi="Gill Sans MT"/>
          <w:sz w:val="20"/>
          <w:szCs w:val="20"/>
        </w:rPr>
        <w:t>as not properly delivered</w:t>
      </w:r>
      <w:r w:rsidR="0046517A" w:rsidRPr="00B62036">
        <w:rPr>
          <w:rFonts w:ascii="Gill Sans MT" w:hAnsi="Gill Sans MT"/>
          <w:sz w:val="20"/>
          <w:szCs w:val="20"/>
        </w:rPr>
        <w:t xml:space="preserve"> by the implementing partners. In fact the evaluation found out that this component was not delivered in accordance with the project proposal, despite the theory of change model’s linkage of this element </w:t>
      </w:r>
      <w:r w:rsidR="00BE6E43" w:rsidRPr="00B62036">
        <w:rPr>
          <w:rFonts w:ascii="Gill Sans MT" w:hAnsi="Gill Sans MT"/>
          <w:sz w:val="20"/>
          <w:szCs w:val="20"/>
        </w:rPr>
        <w:t>to the reduction in the l</w:t>
      </w:r>
      <w:r w:rsidR="0046517A" w:rsidRPr="00B62036">
        <w:rPr>
          <w:rFonts w:ascii="Gill Sans MT" w:hAnsi="Gill Sans MT"/>
          <w:sz w:val="20"/>
          <w:szCs w:val="20"/>
        </w:rPr>
        <w:t>ikelihood that the return movement may escalates tension with the potential for undermining the fragile peace.</w:t>
      </w:r>
      <w:r w:rsidR="00BE6E43" w:rsidRPr="00B62036">
        <w:rPr>
          <w:rFonts w:ascii="Gill Sans MT" w:hAnsi="Gill Sans MT"/>
          <w:sz w:val="20"/>
          <w:szCs w:val="20"/>
        </w:rPr>
        <w:t xml:space="preserve"> Majority of prospective Baidoa returnees trained in peace building and conflict resolutions for increased participation in democratic governance and reconciliation processes and the 77 (39M, 38F) peace ambassadors trained to act as trainers of trainees were not able to be traced as most are still in Dadaab refugee camps. Therefore, the lack of return for these peace ambassadors to Baidoa is likely to affect the outcome on increased capacity of the returnees and to build peace dividends and enhance governance.</w:t>
      </w:r>
      <w:r w:rsidR="008E1532" w:rsidRPr="00B62036">
        <w:rPr>
          <w:rFonts w:ascii="Gill Sans MT" w:hAnsi="Gill Sans MT"/>
          <w:sz w:val="20"/>
          <w:szCs w:val="20"/>
        </w:rPr>
        <w:t xml:space="preserve"> </w:t>
      </w:r>
    </w:p>
    <w:p w14:paraId="4878DBC8" w14:textId="77777777" w:rsidR="004B0071" w:rsidRPr="00B62036" w:rsidRDefault="004B0071" w:rsidP="00230515">
      <w:pPr>
        <w:spacing w:line="276" w:lineRule="auto"/>
        <w:contextualSpacing/>
        <w:jc w:val="both"/>
        <w:rPr>
          <w:rFonts w:ascii="Gill Sans MT" w:hAnsi="Gill Sans MT"/>
          <w:sz w:val="20"/>
          <w:szCs w:val="20"/>
        </w:rPr>
      </w:pPr>
    </w:p>
    <w:p w14:paraId="55DCB2B7" w14:textId="2F1D550D" w:rsidR="006D1032" w:rsidRDefault="008E1532" w:rsidP="00230515">
      <w:pPr>
        <w:spacing w:line="276" w:lineRule="auto"/>
        <w:contextualSpacing/>
        <w:jc w:val="both"/>
        <w:rPr>
          <w:rFonts w:ascii="Gill Sans MT" w:hAnsi="Gill Sans MT"/>
          <w:sz w:val="20"/>
          <w:szCs w:val="20"/>
        </w:rPr>
      </w:pPr>
      <w:r w:rsidRPr="00B62036">
        <w:rPr>
          <w:rFonts w:ascii="Gill Sans MT" w:hAnsi="Gill Sans MT"/>
          <w:sz w:val="20"/>
          <w:szCs w:val="20"/>
        </w:rPr>
        <w:t xml:space="preserve">Similarly, due to unforeseen circumstance created by </w:t>
      </w:r>
      <w:r w:rsidR="000204BF">
        <w:rPr>
          <w:rFonts w:ascii="Gill Sans MT" w:hAnsi="Gill Sans MT"/>
          <w:sz w:val="20"/>
          <w:szCs w:val="20"/>
        </w:rPr>
        <w:t xml:space="preserve">undue </w:t>
      </w:r>
      <w:r w:rsidR="00FF4B8D" w:rsidRPr="00B62036">
        <w:rPr>
          <w:rFonts w:ascii="Gill Sans MT" w:hAnsi="Gill Sans MT"/>
          <w:sz w:val="20"/>
          <w:szCs w:val="20"/>
        </w:rPr>
        <w:t xml:space="preserve">government interference and overlapping of </w:t>
      </w:r>
      <w:r w:rsidRPr="00B62036">
        <w:rPr>
          <w:rFonts w:ascii="Gill Sans MT" w:hAnsi="Gill Sans MT"/>
          <w:sz w:val="20"/>
          <w:szCs w:val="20"/>
        </w:rPr>
        <w:t xml:space="preserve">some project activities such as </w:t>
      </w:r>
      <w:r w:rsidR="00FF4B8D" w:rsidRPr="00B62036">
        <w:rPr>
          <w:rFonts w:ascii="Gill Sans MT" w:hAnsi="Gill Sans MT"/>
          <w:sz w:val="20"/>
          <w:szCs w:val="20"/>
        </w:rPr>
        <w:t>rehabilitation of Kerrowfogi bridge and Dr. Ayuub stadium were delayed and are yet to be implemented during the field study, nevertheless the issues were resolved and</w:t>
      </w:r>
      <w:r w:rsidR="000204BF">
        <w:rPr>
          <w:rFonts w:ascii="Gill Sans MT" w:hAnsi="Gill Sans MT"/>
          <w:sz w:val="20"/>
          <w:szCs w:val="20"/>
        </w:rPr>
        <w:t xml:space="preserve"> according to IOM project team</w:t>
      </w:r>
      <w:r w:rsidR="00FF4B8D" w:rsidRPr="00B62036">
        <w:rPr>
          <w:rFonts w:ascii="Gill Sans MT" w:hAnsi="Gill Sans MT"/>
          <w:sz w:val="20"/>
          <w:szCs w:val="20"/>
        </w:rPr>
        <w:t xml:space="preserve"> the activities were planned to commence immediately. Besides, due to the severe drought caused some partners to change some project activities </w:t>
      </w:r>
      <w:r w:rsidRPr="00B62036">
        <w:rPr>
          <w:rFonts w:ascii="Gill Sans MT" w:hAnsi="Gill Sans MT"/>
          <w:sz w:val="20"/>
          <w:szCs w:val="20"/>
        </w:rPr>
        <w:t xml:space="preserve">midway through project implementation, hence affecting </w:t>
      </w:r>
      <w:r w:rsidR="00BE6E43" w:rsidRPr="00B62036">
        <w:rPr>
          <w:rFonts w:ascii="Gill Sans MT" w:hAnsi="Gill Sans MT"/>
          <w:sz w:val="20"/>
          <w:szCs w:val="20"/>
        </w:rPr>
        <w:t>activities, which</w:t>
      </w:r>
      <w:r w:rsidRPr="00B62036">
        <w:rPr>
          <w:rFonts w:ascii="Gill Sans MT" w:hAnsi="Gill Sans MT"/>
          <w:sz w:val="20"/>
          <w:szCs w:val="20"/>
        </w:rPr>
        <w:t xml:space="preserve"> acted as a pillar for the theory of change.</w:t>
      </w:r>
      <w:r w:rsidR="005F591F" w:rsidRPr="005F591F">
        <w:rPr>
          <w:rFonts w:ascii="Gill Sans MT" w:hAnsi="Gill Sans MT"/>
          <w:sz w:val="20"/>
          <w:szCs w:val="20"/>
        </w:rPr>
        <w:t xml:space="preserve"> </w:t>
      </w:r>
      <w:r w:rsidR="005F591F" w:rsidRPr="005F591F">
        <w:rPr>
          <w:rFonts w:ascii="Gill Sans MT" w:hAnsi="Gill Sans MT"/>
          <w:sz w:val="20"/>
          <w:szCs w:val="20"/>
          <w:highlight w:val="green"/>
        </w:rPr>
        <w:t>For instance, t</w:t>
      </w:r>
      <w:r w:rsidR="005F591F" w:rsidRPr="005F591F">
        <w:rPr>
          <w:rFonts w:ascii="Gill Sans MT" w:eastAsia="Calibri" w:hAnsi="Gill Sans MT"/>
          <w:sz w:val="20"/>
          <w:szCs w:val="20"/>
          <w:highlight w:val="green"/>
        </w:rPr>
        <w:t>he drought situation in Somalia in general and Baidoa in particular delayed the commencement of the agricultural inputs distribution by FAO. The targeted beneficiaries for farming have returned to the host communities after the onset of the Gu rains (April-July 2017) as such FAO did not find it technically appropriate to target the beneficiaries with agricultural and livestock inputs during Gu season. As a result, FAO reprogramed its activities to target the returnees and host communities during the oncoming Deyr season (October- December).</w:t>
      </w:r>
      <w:r w:rsidR="00FF4B8D" w:rsidRPr="005F591F">
        <w:rPr>
          <w:rFonts w:ascii="Gill Sans MT" w:hAnsi="Gill Sans MT"/>
          <w:sz w:val="20"/>
          <w:szCs w:val="20"/>
          <w:highlight w:val="green"/>
        </w:rPr>
        <w:t xml:space="preserve"> </w:t>
      </w:r>
      <w:r w:rsidR="00BE6E43" w:rsidRPr="005F591F">
        <w:rPr>
          <w:rFonts w:ascii="Gill Sans MT" w:hAnsi="Gill Sans MT"/>
          <w:sz w:val="20"/>
          <w:szCs w:val="20"/>
          <w:highlight w:val="green"/>
        </w:rPr>
        <w:t>However, a</w:t>
      </w:r>
      <w:r w:rsidR="006D1032" w:rsidRPr="005F591F">
        <w:rPr>
          <w:rFonts w:ascii="Gill Sans MT" w:hAnsi="Gill Sans MT"/>
          <w:sz w:val="20"/>
          <w:szCs w:val="20"/>
          <w:highlight w:val="green"/>
        </w:rPr>
        <w:t xml:space="preserve">s </w:t>
      </w:r>
      <w:r w:rsidR="00BE6E43" w:rsidRPr="005F591F">
        <w:rPr>
          <w:rFonts w:ascii="Gill Sans MT" w:hAnsi="Gill Sans MT"/>
          <w:sz w:val="20"/>
          <w:szCs w:val="20"/>
          <w:highlight w:val="green"/>
        </w:rPr>
        <w:t>demonstrated</w:t>
      </w:r>
      <w:r w:rsidR="006D1032" w:rsidRPr="005F591F">
        <w:rPr>
          <w:rFonts w:ascii="Gill Sans MT" w:hAnsi="Gill Sans MT"/>
          <w:sz w:val="20"/>
          <w:szCs w:val="20"/>
          <w:highlight w:val="green"/>
        </w:rPr>
        <w:t xml:space="preserve"> in the </w:t>
      </w:r>
      <w:r w:rsidR="00AB249D" w:rsidRPr="005F591F">
        <w:rPr>
          <w:rFonts w:ascii="Gill Sans MT" w:hAnsi="Gill Sans MT"/>
          <w:sz w:val="20"/>
          <w:szCs w:val="20"/>
          <w:highlight w:val="green"/>
        </w:rPr>
        <w:t xml:space="preserve">progress report results matrix below, </w:t>
      </w:r>
      <w:r w:rsidR="00F10B89" w:rsidRPr="005F591F">
        <w:rPr>
          <w:rFonts w:ascii="Gill Sans MT" w:hAnsi="Gill Sans MT"/>
          <w:sz w:val="20"/>
          <w:szCs w:val="20"/>
          <w:highlight w:val="green"/>
        </w:rPr>
        <w:t>most of the project’s outcomes especially in the area of enhanced capacities for economic revitalization and opportunities for reintegration were achieved.</w:t>
      </w:r>
      <w:r w:rsidR="00F10B89" w:rsidRPr="00B62036">
        <w:rPr>
          <w:rFonts w:ascii="Gill Sans MT" w:hAnsi="Gill Sans MT"/>
          <w:sz w:val="20"/>
          <w:szCs w:val="20"/>
        </w:rPr>
        <w:t xml:space="preserve"> </w:t>
      </w:r>
    </w:p>
    <w:p w14:paraId="69465475" w14:textId="77777777" w:rsidR="00A52509" w:rsidRPr="00B62036" w:rsidRDefault="00A52509" w:rsidP="00230515">
      <w:pPr>
        <w:spacing w:line="276" w:lineRule="auto"/>
        <w:contextualSpacing/>
        <w:jc w:val="both"/>
        <w:rPr>
          <w:rFonts w:ascii="Gill Sans MT" w:hAnsi="Gill Sans MT"/>
          <w:sz w:val="20"/>
          <w:szCs w:val="20"/>
        </w:rPr>
      </w:pPr>
    </w:p>
    <w:p w14:paraId="71EAFDD2" w14:textId="168D8249" w:rsidR="006D1032" w:rsidRPr="00B62036" w:rsidRDefault="006D1032" w:rsidP="00230515">
      <w:pPr>
        <w:pStyle w:val="Caption"/>
        <w:jc w:val="both"/>
        <w:rPr>
          <w:rFonts w:ascii="Gill Sans MT" w:hAnsi="Gill Sans MT"/>
          <w:sz w:val="20"/>
          <w:szCs w:val="20"/>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14</w:t>
      </w:r>
      <w:r w:rsidR="00AF3DCE" w:rsidRPr="00B62036">
        <w:rPr>
          <w:rFonts w:ascii="Gill Sans MT" w:hAnsi="Gill Sans MT"/>
          <w:noProof/>
          <w:sz w:val="20"/>
          <w:szCs w:val="20"/>
        </w:rPr>
        <w:fldChar w:fldCharType="end"/>
      </w:r>
      <w:r w:rsidRPr="00B62036">
        <w:rPr>
          <w:rFonts w:ascii="Gill Sans MT" w:hAnsi="Gill Sans MT"/>
          <w:sz w:val="20"/>
          <w:szCs w:val="20"/>
        </w:rPr>
        <w:t xml:space="preserve"> Project Outcomes &amp; Indicators</w:t>
      </w:r>
      <w:r w:rsidR="00F10B89" w:rsidRPr="00B62036">
        <w:rPr>
          <w:rStyle w:val="FootnoteReference"/>
          <w:rFonts w:ascii="Gill Sans MT" w:hAnsi="Gill Sans MT"/>
          <w:sz w:val="20"/>
          <w:szCs w:val="20"/>
        </w:rPr>
        <w:footnoteReference w:id="13"/>
      </w:r>
    </w:p>
    <w:tbl>
      <w:tblPr>
        <w:tblStyle w:val="TableGrid"/>
        <w:tblW w:w="5000" w:type="pct"/>
        <w:tblLook w:val="04A0" w:firstRow="1" w:lastRow="0" w:firstColumn="1" w:lastColumn="0" w:noHBand="0" w:noVBand="1"/>
      </w:tblPr>
      <w:tblGrid>
        <w:gridCol w:w="3190"/>
        <w:gridCol w:w="4298"/>
        <w:gridCol w:w="2088"/>
      </w:tblGrid>
      <w:tr w:rsidR="00A52509" w:rsidRPr="00B62036" w14:paraId="42314298" w14:textId="2E7458E6" w:rsidTr="00A52509">
        <w:tc>
          <w:tcPr>
            <w:tcW w:w="1666" w:type="pct"/>
            <w:shd w:val="clear" w:color="auto" w:fill="D9D9D9" w:themeFill="background1" w:themeFillShade="D9"/>
          </w:tcPr>
          <w:p w14:paraId="5F1857C0" w14:textId="77777777" w:rsidR="00A52509" w:rsidRPr="00B62036" w:rsidRDefault="00A52509" w:rsidP="00230515">
            <w:pPr>
              <w:jc w:val="both"/>
              <w:rPr>
                <w:rFonts w:ascii="Gill Sans MT" w:hAnsi="Gill Sans MT"/>
                <w:b/>
                <w:sz w:val="20"/>
                <w:szCs w:val="20"/>
              </w:rPr>
            </w:pPr>
            <w:r w:rsidRPr="00B62036">
              <w:rPr>
                <w:rFonts w:ascii="Gill Sans MT" w:hAnsi="Gill Sans MT"/>
                <w:b/>
                <w:sz w:val="20"/>
                <w:szCs w:val="20"/>
              </w:rPr>
              <w:t>Outcomes</w:t>
            </w:r>
          </w:p>
        </w:tc>
        <w:tc>
          <w:tcPr>
            <w:tcW w:w="2244" w:type="pct"/>
            <w:shd w:val="clear" w:color="auto" w:fill="D9D9D9" w:themeFill="background1" w:themeFillShade="D9"/>
          </w:tcPr>
          <w:p w14:paraId="43EB4155" w14:textId="77777777" w:rsidR="00A52509" w:rsidRPr="00B62036" w:rsidRDefault="00A52509" w:rsidP="00230515">
            <w:pPr>
              <w:jc w:val="both"/>
              <w:rPr>
                <w:rFonts w:ascii="Gill Sans MT" w:hAnsi="Gill Sans MT"/>
                <w:b/>
                <w:sz w:val="20"/>
                <w:szCs w:val="20"/>
              </w:rPr>
            </w:pPr>
            <w:r w:rsidRPr="00B62036">
              <w:rPr>
                <w:rFonts w:ascii="Gill Sans MT" w:hAnsi="Gill Sans MT"/>
                <w:b/>
                <w:sz w:val="20"/>
                <w:szCs w:val="20"/>
              </w:rPr>
              <w:t>Performance indicators</w:t>
            </w:r>
          </w:p>
        </w:tc>
        <w:tc>
          <w:tcPr>
            <w:tcW w:w="1090" w:type="pct"/>
            <w:shd w:val="clear" w:color="auto" w:fill="D9D9D9" w:themeFill="background1" w:themeFillShade="D9"/>
          </w:tcPr>
          <w:p w14:paraId="333638E4" w14:textId="77777777" w:rsidR="00A52509" w:rsidRPr="00B62036" w:rsidRDefault="00A52509" w:rsidP="00230515">
            <w:pPr>
              <w:jc w:val="both"/>
              <w:rPr>
                <w:rFonts w:ascii="Gill Sans MT" w:hAnsi="Gill Sans MT"/>
                <w:b/>
                <w:sz w:val="20"/>
                <w:szCs w:val="20"/>
              </w:rPr>
            </w:pPr>
            <w:r w:rsidRPr="00B62036">
              <w:rPr>
                <w:rFonts w:ascii="Gill Sans MT" w:hAnsi="Gill Sans MT"/>
                <w:b/>
                <w:sz w:val="20"/>
                <w:szCs w:val="20"/>
              </w:rPr>
              <w:t>End of project Indicator Target</w:t>
            </w:r>
          </w:p>
        </w:tc>
      </w:tr>
      <w:tr w:rsidR="00A52509" w:rsidRPr="00B62036" w14:paraId="7727DEC3" w14:textId="03C985BA" w:rsidTr="00A52509">
        <w:tc>
          <w:tcPr>
            <w:tcW w:w="1666" w:type="pct"/>
            <w:vMerge w:val="restart"/>
            <w:shd w:val="clear" w:color="auto" w:fill="FFFFFF" w:themeFill="background1"/>
          </w:tcPr>
          <w:p w14:paraId="76D48ACC" w14:textId="77777777" w:rsidR="00A52509" w:rsidRPr="00B62036" w:rsidRDefault="00A52509" w:rsidP="00230515">
            <w:pPr>
              <w:jc w:val="both"/>
              <w:rPr>
                <w:rFonts w:ascii="Gill Sans MT" w:hAnsi="Gill Sans MT"/>
                <w:sz w:val="20"/>
                <w:szCs w:val="20"/>
              </w:rPr>
            </w:pPr>
            <w:r w:rsidRPr="00B62036">
              <w:rPr>
                <w:rFonts w:ascii="Gill Sans MT" w:hAnsi="Gill Sans MT"/>
                <w:b/>
                <w:sz w:val="20"/>
                <w:szCs w:val="20"/>
              </w:rPr>
              <w:t>Outcome1:</w:t>
            </w:r>
            <w:r w:rsidRPr="00B62036">
              <w:rPr>
                <w:rFonts w:ascii="Gill Sans MT" w:hAnsi="Gill Sans MT"/>
                <w:sz w:val="20"/>
                <w:szCs w:val="20"/>
              </w:rPr>
              <w:t xml:space="preserve">  Prospective Somali returnees have enhanced capacities for economic revitalization, peace and community reconciliation and positive participation in democratic governance.</w:t>
            </w:r>
          </w:p>
        </w:tc>
        <w:tc>
          <w:tcPr>
            <w:tcW w:w="2244" w:type="pct"/>
            <w:shd w:val="clear" w:color="auto" w:fill="FFFFFF" w:themeFill="background1"/>
          </w:tcPr>
          <w:p w14:paraId="52DD9C2F" w14:textId="77777777" w:rsidR="00A52509" w:rsidRPr="00B62036" w:rsidRDefault="00A52509" w:rsidP="00230515">
            <w:pPr>
              <w:jc w:val="both"/>
              <w:rPr>
                <w:rFonts w:ascii="Gill Sans MT" w:hAnsi="Gill Sans MT"/>
                <w:sz w:val="20"/>
                <w:szCs w:val="20"/>
              </w:rPr>
            </w:pPr>
            <w:r w:rsidRPr="00B62036">
              <w:rPr>
                <w:rFonts w:ascii="Gill Sans MT" w:hAnsi="Gill Sans MT"/>
                <w:b/>
                <w:sz w:val="20"/>
                <w:szCs w:val="20"/>
              </w:rPr>
              <w:t>Indicator 1.1 #</w:t>
            </w:r>
            <w:r w:rsidRPr="00B62036">
              <w:rPr>
                <w:rFonts w:ascii="Gill Sans MT" w:hAnsi="Gill Sans MT"/>
                <w:sz w:val="20"/>
                <w:szCs w:val="20"/>
              </w:rPr>
              <w:t xml:space="preserve"> of returnees trained in peace building and conflict resolutions and are participating in democratic governance and reconciliation processes</w:t>
            </w:r>
          </w:p>
        </w:tc>
        <w:tc>
          <w:tcPr>
            <w:tcW w:w="1090" w:type="pct"/>
            <w:shd w:val="clear" w:color="auto" w:fill="FFFFFF" w:themeFill="background1"/>
          </w:tcPr>
          <w:p w14:paraId="1ABD9C74"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750</w:t>
            </w:r>
          </w:p>
        </w:tc>
      </w:tr>
      <w:tr w:rsidR="00A52509" w:rsidRPr="00B62036" w14:paraId="3A1D9F1F" w14:textId="79141D05" w:rsidTr="00A52509">
        <w:tc>
          <w:tcPr>
            <w:tcW w:w="1666" w:type="pct"/>
            <w:vMerge/>
            <w:shd w:val="clear" w:color="auto" w:fill="FFFFFF" w:themeFill="background1"/>
          </w:tcPr>
          <w:p w14:paraId="4F99C9C3" w14:textId="77777777" w:rsidR="00A52509" w:rsidRPr="00B62036" w:rsidRDefault="00A52509" w:rsidP="00230515">
            <w:pPr>
              <w:jc w:val="both"/>
              <w:rPr>
                <w:rFonts w:ascii="Gill Sans MT" w:hAnsi="Gill Sans MT"/>
                <w:sz w:val="20"/>
                <w:szCs w:val="20"/>
              </w:rPr>
            </w:pPr>
          </w:p>
        </w:tc>
        <w:tc>
          <w:tcPr>
            <w:tcW w:w="2244" w:type="pct"/>
            <w:shd w:val="clear" w:color="auto" w:fill="FFFFFF" w:themeFill="background1"/>
          </w:tcPr>
          <w:p w14:paraId="59DE1F78" w14:textId="77777777" w:rsidR="00A52509" w:rsidRPr="00B62036" w:rsidRDefault="00A52509" w:rsidP="00230515">
            <w:pPr>
              <w:jc w:val="both"/>
              <w:rPr>
                <w:rFonts w:ascii="Gill Sans MT" w:hAnsi="Gill Sans MT"/>
                <w:sz w:val="20"/>
                <w:szCs w:val="20"/>
              </w:rPr>
            </w:pPr>
            <w:r w:rsidRPr="00B62036">
              <w:rPr>
                <w:rFonts w:ascii="Gill Sans MT" w:hAnsi="Gill Sans MT"/>
                <w:b/>
                <w:sz w:val="20"/>
                <w:szCs w:val="20"/>
              </w:rPr>
              <w:t>Indicator 1.2 #</w:t>
            </w:r>
            <w:r w:rsidRPr="00B62036">
              <w:rPr>
                <w:rFonts w:ascii="Gill Sans MT" w:hAnsi="Gill Sans MT"/>
                <w:sz w:val="20"/>
                <w:szCs w:val="20"/>
              </w:rPr>
              <w:t xml:space="preserve"> of youth aged 15-24 enrolled in certified livelihoods training</w:t>
            </w:r>
          </w:p>
        </w:tc>
        <w:tc>
          <w:tcPr>
            <w:tcW w:w="1090" w:type="pct"/>
            <w:shd w:val="clear" w:color="auto" w:fill="FFFFFF" w:themeFill="background1"/>
          </w:tcPr>
          <w:p w14:paraId="396A326F"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750</w:t>
            </w:r>
          </w:p>
        </w:tc>
      </w:tr>
      <w:tr w:rsidR="00A52509" w:rsidRPr="00B62036" w14:paraId="5B94C84D" w14:textId="076F6E9A" w:rsidTr="00A52509">
        <w:tc>
          <w:tcPr>
            <w:tcW w:w="1666" w:type="pct"/>
            <w:vMerge/>
            <w:shd w:val="clear" w:color="auto" w:fill="FFFFFF" w:themeFill="background1"/>
          </w:tcPr>
          <w:p w14:paraId="1D6E3717" w14:textId="77777777" w:rsidR="00A52509" w:rsidRPr="00B62036" w:rsidRDefault="00A52509" w:rsidP="00230515">
            <w:pPr>
              <w:jc w:val="both"/>
              <w:rPr>
                <w:rFonts w:ascii="Gill Sans MT" w:hAnsi="Gill Sans MT"/>
                <w:sz w:val="20"/>
                <w:szCs w:val="20"/>
              </w:rPr>
            </w:pPr>
          </w:p>
        </w:tc>
        <w:tc>
          <w:tcPr>
            <w:tcW w:w="2244" w:type="pct"/>
            <w:shd w:val="clear" w:color="auto" w:fill="FFFFFF" w:themeFill="background1"/>
          </w:tcPr>
          <w:p w14:paraId="28442421" w14:textId="14D4235A" w:rsidR="00A52509" w:rsidRPr="00B62036" w:rsidRDefault="00A52509" w:rsidP="00230515">
            <w:pPr>
              <w:jc w:val="both"/>
              <w:rPr>
                <w:rFonts w:ascii="Gill Sans MT" w:hAnsi="Gill Sans MT"/>
                <w:sz w:val="20"/>
                <w:szCs w:val="20"/>
              </w:rPr>
            </w:pPr>
            <w:r w:rsidRPr="00B62036">
              <w:rPr>
                <w:rFonts w:ascii="Gill Sans MT" w:hAnsi="Gill Sans MT"/>
                <w:b/>
                <w:sz w:val="20"/>
                <w:szCs w:val="20"/>
              </w:rPr>
              <w:t>Indicator 1.3 #</w:t>
            </w:r>
            <w:r w:rsidRPr="00B62036">
              <w:rPr>
                <w:rFonts w:ascii="Gill Sans MT" w:hAnsi="Gill Sans MT"/>
                <w:sz w:val="20"/>
                <w:szCs w:val="20"/>
              </w:rPr>
              <w:t xml:space="preserve"> of persons of concern (18-59) with own business/self-employed for more than 12 months</w:t>
            </w:r>
          </w:p>
        </w:tc>
        <w:tc>
          <w:tcPr>
            <w:tcW w:w="1090" w:type="pct"/>
            <w:shd w:val="clear" w:color="auto" w:fill="FFFFFF" w:themeFill="background1"/>
          </w:tcPr>
          <w:p w14:paraId="592AD75C"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750</w:t>
            </w:r>
          </w:p>
        </w:tc>
      </w:tr>
      <w:tr w:rsidR="00A52509" w:rsidRPr="00B62036" w14:paraId="676433B6" w14:textId="75DAAD10" w:rsidTr="00A52509">
        <w:tc>
          <w:tcPr>
            <w:tcW w:w="1666" w:type="pct"/>
            <w:vMerge w:val="restart"/>
            <w:shd w:val="clear" w:color="auto" w:fill="FFFFFF" w:themeFill="background1"/>
          </w:tcPr>
          <w:p w14:paraId="75D510AE" w14:textId="77777777" w:rsidR="00A52509" w:rsidRPr="00B62036" w:rsidRDefault="00A52509" w:rsidP="00230515">
            <w:pPr>
              <w:jc w:val="both"/>
              <w:rPr>
                <w:rFonts w:ascii="Gill Sans MT" w:hAnsi="Gill Sans MT"/>
                <w:sz w:val="20"/>
                <w:szCs w:val="20"/>
              </w:rPr>
            </w:pPr>
            <w:r w:rsidRPr="00B62036">
              <w:rPr>
                <w:rFonts w:ascii="Gill Sans MT" w:hAnsi="Gill Sans MT"/>
                <w:b/>
                <w:sz w:val="20"/>
                <w:szCs w:val="20"/>
              </w:rPr>
              <w:t>Outcome 2</w:t>
            </w:r>
            <w:r w:rsidRPr="00B62036">
              <w:rPr>
                <w:rFonts w:ascii="Gill Sans MT" w:hAnsi="Gill Sans MT"/>
                <w:sz w:val="20"/>
                <w:szCs w:val="20"/>
              </w:rPr>
              <w:t xml:space="preserve"> Somalia returnees in Baidoa coexist peacefully with their host communities and contribute to local employment creation and economic development</w:t>
            </w:r>
          </w:p>
        </w:tc>
        <w:tc>
          <w:tcPr>
            <w:tcW w:w="2244" w:type="pct"/>
            <w:shd w:val="clear" w:color="auto" w:fill="FFFFFF" w:themeFill="background1"/>
          </w:tcPr>
          <w:p w14:paraId="09EDD3D5" w14:textId="5197309A"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2.1 # of persons benefitting from social services provided in newly resettled areas</w:t>
            </w:r>
          </w:p>
        </w:tc>
        <w:tc>
          <w:tcPr>
            <w:tcW w:w="1090" w:type="pct"/>
            <w:shd w:val="clear" w:color="auto" w:fill="FFFFFF" w:themeFill="background1"/>
          </w:tcPr>
          <w:p w14:paraId="03E44629"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3000</w:t>
            </w:r>
          </w:p>
        </w:tc>
      </w:tr>
      <w:tr w:rsidR="00A52509" w:rsidRPr="00B62036" w14:paraId="52708060" w14:textId="46652BED" w:rsidTr="00A52509">
        <w:tc>
          <w:tcPr>
            <w:tcW w:w="1666" w:type="pct"/>
            <w:vMerge/>
            <w:shd w:val="clear" w:color="auto" w:fill="FFFFFF" w:themeFill="background1"/>
          </w:tcPr>
          <w:p w14:paraId="0A20BC64" w14:textId="77777777" w:rsidR="00A52509" w:rsidRPr="00B62036" w:rsidRDefault="00A52509" w:rsidP="00230515">
            <w:pPr>
              <w:jc w:val="both"/>
              <w:rPr>
                <w:rFonts w:ascii="Gill Sans MT" w:hAnsi="Gill Sans MT"/>
                <w:sz w:val="20"/>
                <w:szCs w:val="20"/>
              </w:rPr>
            </w:pPr>
          </w:p>
        </w:tc>
        <w:tc>
          <w:tcPr>
            <w:tcW w:w="2244" w:type="pct"/>
            <w:shd w:val="clear" w:color="auto" w:fill="FFFFFF" w:themeFill="background1"/>
          </w:tcPr>
          <w:p w14:paraId="24E7F1B1"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2.2 # of returnees recorded and tracked in PRMN as successfully integrated and coexisting well with host communities</w:t>
            </w:r>
          </w:p>
        </w:tc>
        <w:tc>
          <w:tcPr>
            <w:tcW w:w="1090" w:type="pct"/>
            <w:shd w:val="clear" w:color="auto" w:fill="FFFFFF" w:themeFill="background1"/>
          </w:tcPr>
          <w:p w14:paraId="712FD0F7"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1500</w:t>
            </w:r>
          </w:p>
        </w:tc>
      </w:tr>
      <w:tr w:rsidR="00A52509" w:rsidRPr="00B62036" w14:paraId="54A9E56C" w14:textId="35ACEA20" w:rsidTr="00A52509">
        <w:tc>
          <w:tcPr>
            <w:tcW w:w="1666" w:type="pct"/>
            <w:vMerge w:val="restart"/>
            <w:shd w:val="clear" w:color="auto" w:fill="FFFFFF" w:themeFill="background1"/>
          </w:tcPr>
          <w:p w14:paraId="40F9CB66"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lastRenderedPageBreak/>
              <w:t xml:space="preserve">Output 2.1 Equitable access to social services, enhanced capacities for peace and social reconciliation for returnees in Baidoa </w:t>
            </w:r>
          </w:p>
          <w:p w14:paraId="49FCF0CE" w14:textId="77777777" w:rsidR="00A52509" w:rsidRPr="00B62036" w:rsidRDefault="00A52509" w:rsidP="00230515">
            <w:pPr>
              <w:jc w:val="both"/>
              <w:rPr>
                <w:rFonts w:ascii="Gill Sans MT" w:hAnsi="Gill Sans MT"/>
                <w:sz w:val="20"/>
                <w:szCs w:val="20"/>
              </w:rPr>
            </w:pPr>
          </w:p>
        </w:tc>
        <w:tc>
          <w:tcPr>
            <w:tcW w:w="2244" w:type="pct"/>
            <w:shd w:val="clear" w:color="auto" w:fill="FFFFFF" w:themeFill="background1"/>
          </w:tcPr>
          <w:p w14:paraId="07AEE622" w14:textId="1FC43E6B"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2.1.1 #  of persons benefitting from social services provided in newly resettled areas</w:t>
            </w:r>
          </w:p>
        </w:tc>
        <w:tc>
          <w:tcPr>
            <w:tcW w:w="1090" w:type="pct"/>
            <w:shd w:val="clear" w:color="auto" w:fill="FFFFFF" w:themeFill="background1"/>
          </w:tcPr>
          <w:p w14:paraId="5BBF4AEA"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3000</w:t>
            </w:r>
          </w:p>
        </w:tc>
      </w:tr>
      <w:tr w:rsidR="00A52509" w:rsidRPr="00B62036" w14:paraId="6E13CBE3" w14:textId="72F5AD1D" w:rsidTr="00A52509">
        <w:tc>
          <w:tcPr>
            <w:tcW w:w="1666" w:type="pct"/>
            <w:vMerge/>
          </w:tcPr>
          <w:p w14:paraId="14D34817" w14:textId="77777777" w:rsidR="00A52509" w:rsidRPr="00B62036" w:rsidRDefault="00A52509" w:rsidP="00230515">
            <w:pPr>
              <w:jc w:val="both"/>
              <w:rPr>
                <w:rFonts w:ascii="Gill Sans MT" w:hAnsi="Gill Sans MT"/>
                <w:sz w:val="20"/>
                <w:szCs w:val="20"/>
              </w:rPr>
            </w:pPr>
          </w:p>
        </w:tc>
        <w:tc>
          <w:tcPr>
            <w:tcW w:w="2244" w:type="pct"/>
          </w:tcPr>
          <w:p w14:paraId="08814465" w14:textId="60CDDF3E"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2.1.2 # of returnees recorded and tracked in PRMN as successfully integrated and coexisting well with host communities</w:t>
            </w:r>
          </w:p>
        </w:tc>
        <w:tc>
          <w:tcPr>
            <w:tcW w:w="1090" w:type="pct"/>
          </w:tcPr>
          <w:p w14:paraId="62298658"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1500</w:t>
            </w:r>
          </w:p>
        </w:tc>
      </w:tr>
      <w:tr w:rsidR="00A52509" w:rsidRPr="00B62036" w14:paraId="0FF78EB8" w14:textId="3A38106D" w:rsidTr="00A52509">
        <w:tc>
          <w:tcPr>
            <w:tcW w:w="1666" w:type="pct"/>
            <w:vMerge w:val="restart"/>
          </w:tcPr>
          <w:p w14:paraId="0881AF37"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Output 2.2 Provision of basic needs and services to returnees, IDPs and host communities in Baidoa</w:t>
            </w:r>
          </w:p>
        </w:tc>
        <w:tc>
          <w:tcPr>
            <w:tcW w:w="2244" w:type="pct"/>
          </w:tcPr>
          <w:p w14:paraId="722B8C3F"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 xml:space="preserve">Indicator 2.2.1 # of children attending primary school. </w:t>
            </w:r>
          </w:p>
          <w:p w14:paraId="0BB040BB" w14:textId="77777777" w:rsidR="00A52509" w:rsidRPr="00B62036" w:rsidRDefault="00A52509" w:rsidP="00230515">
            <w:pPr>
              <w:jc w:val="both"/>
              <w:rPr>
                <w:rFonts w:ascii="Gill Sans MT" w:hAnsi="Gill Sans MT"/>
                <w:sz w:val="20"/>
                <w:szCs w:val="20"/>
              </w:rPr>
            </w:pPr>
          </w:p>
        </w:tc>
        <w:tc>
          <w:tcPr>
            <w:tcW w:w="1090" w:type="pct"/>
          </w:tcPr>
          <w:p w14:paraId="03AFF285"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1800</w:t>
            </w:r>
          </w:p>
        </w:tc>
      </w:tr>
      <w:tr w:rsidR="00A52509" w:rsidRPr="00B62036" w14:paraId="2C0CEBD2" w14:textId="54E20DB6" w:rsidTr="00A52509">
        <w:tc>
          <w:tcPr>
            <w:tcW w:w="1666" w:type="pct"/>
            <w:vMerge/>
          </w:tcPr>
          <w:p w14:paraId="272AD760" w14:textId="77777777" w:rsidR="00A52509" w:rsidRPr="00B62036" w:rsidRDefault="00A52509" w:rsidP="00230515">
            <w:pPr>
              <w:jc w:val="both"/>
              <w:rPr>
                <w:rFonts w:ascii="Gill Sans MT" w:hAnsi="Gill Sans MT"/>
                <w:sz w:val="20"/>
                <w:szCs w:val="20"/>
              </w:rPr>
            </w:pPr>
          </w:p>
        </w:tc>
        <w:tc>
          <w:tcPr>
            <w:tcW w:w="2244" w:type="pct"/>
          </w:tcPr>
          <w:p w14:paraId="31954FFF" w14:textId="2609F571" w:rsidR="00A52509" w:rsidRPr="00B62036" w:rsidRDefault="00A52509" w:rsidP="00230515">
            <w:pPr>
              <w:jc w:val="both"/>
              <w:rPr>
                <w:rFonts w:ascii="Gill Sans MT" w:hAnsi="Gill Sans MT"/>
                <w:sz w:val="20"/>
                <w:szCs w:val="20"/>
              </w:rPr>
            </w:pPr>
            <w:r w:rsidRPr="00B62036">
              <w:rPr>
                <w:rFonts w:ascii="Gill Sans MT" w:hAnsi="Gill Sans MT"/>
                <w:sz w:val="20"/>
                <w:szCs w:val="20"/>
              </w:rPr>
              <w:t xml:space="preserve">Indicator 2.2.2 # of teacher training and incentives     </w:t>
            </w:r>
          </w:p>
        </w:tc>
        <w:tc>
          <w:tcPr>
            <w:tcW w:w="1090" w:type="pct"/>
          </w:tcPr>
          <w:p w14:paraId="482AC679"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75</w:t>
            </w:r>
          </w:p>
        </w:tc>
      </w:tr>
      <w:tr w:rsidR="00A52509" w:rsidRPr="00B62036" w14:paraId="3B66F936" w14:textId="2965A153" w:rsidTr="00A52509">
        <w:tc>
          <w:tcPr>
            <w:tcW w:w="1666" w:type="pct"/>
            <w:vMerge w:val="restart"/>
          </w:tcPr>
          <w:p w14:paraId="06BFA54B"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Employment opportunities created and economic infrastructure improved</w:t>
            </w:r>
          </w:p>
        </w:tc>
        <w:tc>
          <w:tcPr>
            <w:tcW w:w="2244" w:type="pct"/>
          </w:tcPr>
          <w:p w14:paraId="0134E519" w14:textId="2D27CA34"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2.3.1 # of short-term jobs created.</w:t>
            </w:r>
          </w:p>
        </w:tc>
        <w:tc>
          <w:tcPr>
            <w:tcW w:w="1090" w:type="pct"/>
          </w:tcPr>
          <w:p w14:paraId="6545A20F"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200</w:t>
            </w:r>
          </w:p>
        </w:tc>
      </w:tr>
      <w:tr w:rsidR="00A52509" w:rsidRPr="00B62036" w14:paraId="0DC4F93C" w14:textId="59292F3E" w:rsidTr="00A52509">
        <w:tc>
          <w:tcPr>
            <w:tcW w:w="1666" w:type="pct"/>
            <w:vMerge/>
          </w:tcPr>
          <w:p w14:paraId="787350CC" w14:textId="77777777" w:rsidR="00A52509" w:rsidRPr="00B62036" w:rsidRDefault="00A52509" w:rsidP="00230515">
            <w:pPr>
              <w:jc w:val="both"/>
              <w:rPr>
                <w:rFonts w:ascii="Gill Sans MT" w:hAnsi="Gill Sans MT"/>
                <w:sz w:val="20"/>
                <w:szCs w:val="20"/>
              </w:rPr>
            </w:pPr>
          </w:p>
        </w:tc>
        <w:tc>
          <w:tcPr>
            <w:tcW w:w="2244" w:type="pct"/>
          </w:tcPr>
          <w:p w14:paraId="7AEFAD8C" w14:textId="59F8999F"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2.3.2 # of beneficiaries with VST, business/entrepreneurial skills</w:t>
            </w:r>
          </w:p>
        </w:tc>
        <w:tc>
          <w:tcPr>
            <w:tcW w:w="1090" w:type="pct"/>
          </w:tcPr>
          <w:p w14:paraId="57E1D569"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100</w:t>
            </w:r>
          </w:p>
        </w:tc>
      </w:tr>
      <w:tr w:rsidR="00A52509" w:rsidRPr="00B62036" w14:paraId="1959837F" w14:textId="356FBD7E" w:rsidTr="00A52509">
        <w:tc>
          <w:tcPr>
            <w:tcW w:w="1666" w:type="pct"/>
            <w:vMerge w:val="restart"/>
          </w:tcPr>
          <w:p w14:paraId="589A2F56"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Output 2.4 Reduced vulnerabilities s and enhanced coping capacities to shocks for both the returnees and the local community through coherent humanitarian and early recovery to development response in return/newly recovered areas.</w:t>
            </w:r>
          </w:p>
        </w:tc>
        <w:tc>
          <w:tcPr>
            <w:tcW w:w="2244" w:type="pct"/>
          </w:tcPr>
          <w:p w14:paraId="2E16ED74" w14:textId="3C8F0806" w:rsidR="00A52509" w:rsidRPr="00B62036" w:rsidRDefault="00A52509" w:rsidP="00230515">
            <w:pPr>
              <w:jc w:val="both"/>
              <w:rPr>
                <w:rFonts w:ascii="Gill Sans MT" w:hAnsi="Gill Sans MT"/>
                <w:sz w:val="20"/>
                <w:szCs w:val="20"/>
              </w:rPr>
            </w:pPr>
            <w:r w:rsidRPr="00B62036">
              <w:rPr>
                <w:rFonts w:ascii="Gill Sans MT" w:hAnsi="Gill Sans MT"/>
                <w:sz w:val="20"/>
                <w:szCs w:val="20"/>
              </w:rPr>
              <w:t xml:space="preserve">Indicator 2.4.1: # of short-term jobs created and number of beneficiaries receiving agricultural package. </w:t>
            </w:r>
          </w:p>
          <w:p w14:paraId="40A0549B" w14:textId="77777777" w:rsidR="00A52509" w:rsidRPr="00B62036" w:rsidRDefault="00A52509" w:rsidP="00230515">
            <w:pPr>
              <w:jc w:val="both"/>
              <w:rPr>
                <w:rFonts w:ascii="Gill Sans MT" w:hAnsi="Gill Sans MT"/>
                <w:sz w:val="20"/>
                <w:szCs w:val="20"/>
              </w:rPr>
            </w:pPr>
          </w:p>
        </w:tc>
        <w:tc>
          <w:tcPr>
            <w:tcW w:w="1090" w:type="pct"/>
          </w:tcPr>
          <w:p w14:paraId="61DA9380"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610</w:t>
            </w:r>
          </w:p>
        </w:tc>
      </w:tr>
      <w:tr w:rsidR="00A52509" w:rsidRPr="00B62036" w14:paraId="038683FD" w14:textId="20D176CC" w:rsidTr="00A52509">
        <w:tc>
          <w:tcPr>
            <w:tcW w:w="1666" w:type="pct"/>
            <w:vMerge/>
          </w:tcPr>
          <w:p w14:paraId="1A166B7E" w14:textId="77777777" w:rsidR="00A52509" w:rsidRPr="00B62036" w:rsidRDefault="00A52509" w:rsidP="00230515">
            <w:pPr>
              <w:jc w:val="both"/>
              <w:rPr>
                <w:rFonts w:ascii="Gill Sans MT" w:hAnsi="Gill Sans MT"/>
                <w:sz w:val="20"/>
                <w:szCs w:val="20"/>
              </w:rPr>
            </w:pPr>
          </w:p>
        </w:tc>
        <w:tc>
          <w:tcPr>
            <w:tcW w:w="2244" w:type="pct"/>
          </w:tcPr>
          <w:p w14:paraId="692677C5" w14:textId="5106814A" w:rsidR="00A52509" w:rsidRPr="00B62036" w:rsidRDefault="00A52509" w:rsidP="00230515">
            <w:pPr>
              <w:jc w:val="both"/>
              <w:rPr>
                <w:rFonts w:ascii="Gill Sans MT" w:hAnsi="Gill Sans MT"/>
                <w:sz w:val="20"/>
                <w:szCs w:val="20"/>
              </w:rPr>
            </w:pPr>
            <w:r w:rsidRPr="00B62036">
              <w:rPr>
                <w:rFonts w:ascii="Gill Sans MT" w:hAnsi="Gill Sans MT"/>
                <w:sz w:val="20"/>
                <w:szCs w:val="20"/>
              </w:rPr>
              <w:t>Indicator 2.4.2 # of beneficiaries receiving livestock package</w:t>
            </w:r>
          </w:p>
        </w:tc>
        <w:tc>
          <w:tcPr>
            <w:tcW w:w="1090" w:type="pct"/>
          </w:tcPr>
          <w:p w14:paraId="03CDA6D9" w14:textId="77777777" w:rsidR="00A52509" w:rsidRPr="00B62036" w:rsidRDefault="00A52509" w:rsidP="00230515">
            <w:pPr>
              <w:jc w:val="both"/>
              <w:rPr>
                <w:rFonts w:ascii="Gill Sans MT" w:hAnsi="Gill Sans MT"/>
                <w:sz w:val="20"/>
                <w:szCs w:val="20"/>
              </w:rPr>
            </w:pPr>
            <w:r w:rsidRPr="00B62036">
              <w:rPr>
                <w:rFonts w:ascii="Gill Sans MT" w:hAnsi="Gill Sans MT"/>
                <w:sz w:val="20"/>
                <w:szCs w:val="20"/>
              </w:rPr>
              <w:t>160</w:t>
            </w:r>
          </w:p>
        </w:tc>
      </w:tr>
    </w:tbl>
    <w:p w14:paraId="3BA480A3" w14:textId="4C5E274B" w:rsidR="007E7267" w:rsidRPr="00B62036" w:rsidRDefault="003303C1" w:rsidP="003A6010">
      <w:pPr>
        <w:pStyle w:val="Heading2"/>
      </w:pPr>
      <w:bookmarkStart w:id="35" w:name="_Toc419359870"/>
      <w:r w:rsidRPr="00B62036">
        <w:t>Accountability to Affected Population (AAP)</w:t>
      </w:r>
      <w:bookmarkEnd w:id="35"/>
    </w:p>
    <w:p w14:paraId="1EA72B7B" w14:textId="4A22EC56" w:rsidR="00B21B04" w:rsidRDefault="007E7267"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 xml:space="preserve">The study found </w:t>
      </w:r>
      <w:r w:rsidR="000626E4" w:rsidRPr="00B62036">
        <w:rPr>
          <w:rFonts w:ascii="Gill Sans MT" w:hAnsi="Gill Sans MT" w:cs="Calibri"/>
          <w:sz w:val="20"/>
          <w:szCs w:val="20"/>
        </w:rPr>
        <w:t xml:space="preserve">out that beneficiaries and </w:t>
      </w:r>
      <w:r w:rsidRPr="00B62036">
        <w:rPr>
          <w:rFonts w:ascii="Gill Sans MT" w:hAnsi="Gill Sans MT" w:cs="Calibri"/>
          <w:sz w:val="20"/>
          <w:szCs w:val="20"/>
        </w:rPr>
        <w:t xml:space="preserve">community leaders including IDP camp heads, chiefs and traditional elders played a key role in the targeting and selection of beneficiaries. Interview with field teams indicated that they held meetings with government officials including MORDA, local municipality and respective community leaders and shared </w:t>
      </w:r>
      <w:r w:rsidR="000626E4" w:rsidRPr="00B62036">
        <w:rPr>
          <w:rFonts w:ascii="Gill Sans MT" w:hAnsi="Gill Sans MT" w:cs="Calibri"/>
          <w:sz w:val="20"/>
          <w:szCs w:val="20"/>
        </w:rPr>
        <w:t>them with the design of the project</w:t>
      </w:r>
      <w:r w:rsidRPr="00B62036">
        <w:rPr>
          <w:rFonts w:ascii="Gill Sans MT" w:hAnsi="Gill Sans MT" w:cs="Calibri"/>
          <w:sz w:val="20"/>
          <w:szCs w:val="20"/>
        </w:rPr>
        <w:t xml:space="preserve">, nature of activities, objectives and number of target beneficiaries required from each community segments. The government played a role in the identification of sites especially IDP camps from </w:t>
      </w:r>
      <w:r w:rsidR="000626E4" w:rsidRPr="00B62036">
        <w:rPr>
          <w:rFonts w:ascii="Gill Sans MT" w:hAnsi="Gill Sans MT" w:cs="Calibri"/>
          <w:sz w:val="20"/>
          <w:szCs w:val="20"/>
        </w:rPr>
        <w:t>protracted cases (</w:t>
      </w:r>
      <w:r w:rsidRPr="00B62036">
        <w:rPr>
          <w:rFonts w:ascii="Gill Sans MT" w:hAnsi="Gill Sans MT" w:cs="Calibri"/>
          <w:sz w:val="20"/>
          <w:szCs w:val="20"/>
        </w:rPr>
        <w:t>existing camps</w:t>
      </w:r>
      <w:r w:rsidR="000626E4" w:rsidRPr="00B62036">
        <w:rPr>
          <w:rFonts w:ascii="Gill Sans MT" w:hAnsi="Gill Sans MT" w:cs="Calibri"/>
          <w:sz w:val="20"/>
          <w:szCs w:val="20"/>
        </w:rPr>
        <w:t>)</w:t>
      </w:r>
      <w:r w:rsidRPr="00B62036">
        <w:rPr>
          <w:rFonts w:ascii="Gill Sans MT" w:hAnsi="Gill Sans MT" w:cs="Calibri"/>
          <w:sz w:val="20"/>
          <w:szCs w:val="20"/>
        </w:rPr>
        <w:t xml:space="preserve">. In addition, some implementing partners explained that beneficiaries’ details were obtained from UNHCR or were given final list of beneficiaries by </w:t>
      </w:r>
      <w:r w:rsidR="000626E4" w:rsidRPr="00B62036">
        <w:rPr>
          <w:rFonts w:ascii="Gill Sans MT" w:hAnsi="Gill Sans MT" w:cs="Calibri"/>
          <w:sz w:val="20"/>
          <w:szCs w:val="20"/>
        </w:rPr>
        <w:t>PUNO</w:t>
      </w:r>
      <w:r w:rsidRPr="00B62036">
        <w:rPr>
          <w:rFonts w:ascii="Gill Sans MT" w:hAnsi="Gill Sans MT" w:cs="Calibri"/>
          <w:sz w:val="20"/>
          <w:szCs w:val="20"/>
        </w:rPr>
        <w:t xml:space="preserve"> agency. </w:t>
      </w:r>
      <w:r w:rsidR="000626E4" w:rsidRPr="00B62036">
        <w:rPr>
          <w:rFonts w:ascii="Gill Sans MT" w:hAnsi="Gill Sans MT" w:cs="Calibri"/>
          <w:sz w:val="20"/>
          <w:szCs w:val="20"/>
        </w:rPr>
        <w:t xml:space="preserve">For accountability and transparency, implementing partners did verification of beneficiaries. This indicates that </w:t>
      </w:r>
      <w:r w:rsidRPr="00B62036">
        <w:rPr>
          <w:rFonts w:ascii="Gill Sans MT" w:hAnsi="Gill Sans MT" w:cs="Calibri"/>
          <w:sz w:val="20"/>
          <w:szCs w:val="20"/>
        </w:rPr>
        <w:t>despite the government</w:t>
      </w:r>
      <w:r w:rsidR="000626E4" w:rsidRPr="00B62036">
        <w:rPr>
          <w:rFonts w:ascii="Gill Sans MT" w:hAnsi="Gill Sans MT" w:cs="Calibri"/>
          <w:sz w:val="20"/>
          <w:szCs w:val="20"/>
        </w:rPr>
        <w:t>’s</w:t>
      </w:r>
      <w:r w:rsidRPr="00B62036">
        <w:rPr>
          <w:rFonts w:ascii="Gill Sans MT" w:hAnsi="Gill Sans MT" w:cs="Calibri"/>
          <w:sz w:val="20"/>
          <w:szCs w:val="20"/>
        </w:rPr>
        <w:t xml:space="preserve"> involvement in the process, beneficiarie</w:t>
      </w:r>
      <w:r w:rsidR="000626E4" w:rsidRPr="00B62036">
        <w:rPr>
          <w:rFonts w:ascii="Gill Sans MT" w:hAnsi="Gill Sans MT" w:cs="Calibri"/>
          <w:sz w:val="20"/>
          <w:szCs w:val="20"/>
        </w:rPr>
        <w:t>s interviewed observed that it (government)</w:t>
      </w:r>
      <w:r w:rsidRPr="00B62036">
        <w:rPr>
          <w:rFonts w:ascii="Gill Sans MT" w:hAnsi="Gill Sans MT" w:cs="Calibri"/>
          <w:sz w:val="20"/>
          <w:szCs w:val="20"/>
        </w:rPr>
        <w:t xml:space="preserve"> had minimal no role in the targeting process. Further, the study noted that some UN agencies had conducted own evaluations and interviewed beneficiaries to assess project performance and impact. The table below illustrates a summary of how PUNOs and their implement</w:t>
      </w:r>
      <w:r w:rsidR="000626E4" w:rsidRPr="00B62036">
        <w:rPr>
          <w:rFonts w:ascii="Gill Sans MT" w:hAnsi="Gill Sans MT" w:cs="Calibri"/>
          <w:sz w:val="20"/>
          <w:szCs w:val="20"/>
        </w:rPr>
        <w:t>ing partners embedded mechanism</w:t>
      </w:r>
      <w:r w:rsidRPr="00B62036">
        <w:rPr>
          <w:rFonts w:ascii="Gill Sans MT" w:hAnsi="Gill Sans MT" w:cs="Calibri"/>
          <w:sz w:val="20"/>
          <w:szCs w:val="20"/>
        </w:rPr>
        <w:t xml:space="preserve"> of accountability to affected populations.</w:t>
      </w:r>
    </w:p>
    <w:p w14:paraId="38D1854C" w14:textId="77777777" w:rsidR="00A52509" w:rsidRPr="00B62036" w:rsidRDefault="00A52509" w:rsidP="00230515">
      <w:pPr>
        <w:pStyle w:val="Default"/>
        <w:tabs>
          <w:tab w:val="left" w:pos="1440"/>
        </w:tabs>
        <w:spacing w:line="276" w:lineRule="auto"/>
        <w:jc w:val="both"/>
        <w:rPr>
          <w:rFonts w:ascii="Gill Sans MT" w:hAnsi="Gill Sans MT" w:cs="Calibri"/>
          <w:sz w:val="20"/>
          <w:szCs w:val="20"/>
        </w:rPr>
      </w:pPr>
    </w:p>
    <w:p w14:paraId="4B69BDDE" w14:textId="51E7FD4B" w:rsidR="007245F4" w:rsidRPr="00A52509" w:rsidRDefault="00A52509" w:rsidP="00A52509">
      <w:pPr>
        <w:pStyle w:val="Caption"/>
        <w:spacing w:after="0"/>
        <w:rPr>
          <w:rFonts w:ascii="Gill Sans MT" w:hAnsi="Gill Sans MT" w:cs="Calibri"/>
          <w:sz w:val="20"/>
          <w:szCs w:val="20"/>
        </w:rPr>
      </w:pPr>
      <w:r w:rsidRPr="00A52509">
        <w:rPr>
          <w:rFonts w:ascii="Gill Sans MT" w:hAnsi="Gill Sans MT"/>
          <w:sz w:val="20"/>
          <w:szCs w:val="20"/>
        </w:rPr>
        <w:t xml:space="preserve">Table </w:t>
      </w:r>
      <w:r w:rsidRPr="00A52509">
        <w:rPr>
          <w:rFonts w:ascii="Gill Sans MT" w:hAnsi="Gill Sans MT"/>
          <w:sz w:val="20"/>
          <w:szCs w:val="20"/>
        </w:rPr>
        <w:fldChar w:fldCharType="begin"/>
      </w:r>
      <w:r w:rsidRPr="00A52509">
        <w:rPr>
          <w:rFonts w:ascii="Gill Sans MT" w:hAnsi="Gill Sans MT"/>
          <w:sz w:val="20"/>
          <w:szCs w:val="20"/>
        </w:rPr>
        <w:instrText xml:space="preserve"> SEQ Table \* ARABIC </w:instrText>
      </w:r>
      <w:r w:rsidRPr="00A52509">
        <w:rPr>
          <w:rFonts w:ascii="Gill Sans MT" w:hAnsi="Gill Sans MT"/>
          <w:sz w:val="20"/>
          <w:szCs w:val="20"/>
        </w:rPr>
        <w:fldChar w:fldCharType="separate"/>
      </w:r>
      <w:r w:rsidRPr="00A52509">
        <w:rPr>
          <w:rFonts w:ascii="Gill Sans MT" w:hAnsi="Gill Sans MT"/>
          <w:noProof/>
          <w:sz w:val="20"/>
          <w:szCs w:val="20"/>
        </w:rPr>
        <w:t>15</w:t>
      </w:r>
      <w:r w:rsidRPr="00A52509">
        <w:rPr>
          <w:rFonts w:ascii="Gill Sans MT" w:hAnsi="Gill Sans MT"/>
          <w:sz w:val="20"/>
          <w:szCs w:val="20"/>
        </w:rPr>
        <w:fldChar w:fldCharType="end"/>
      </w:r>
      <w:r w:rsidRPr="00A52509">
        <w:rPr>
          <w:rFonts w:ascii="Gill Sans MT" w:hAnsi="Gill Sans MT"/>
          <w:sz w:val="20"/>
          <w:szCs w:val="20"/>
        </w:rPr>
        <w:t xml:space="preserve"> </w:t>
      </w:r>
      <w:r w:rsidR="000626E4" w:rsidRPr="00A52509">
        <w:rPr>
          <w:rFonts w:ascii="Gill Sans MT" w:hAnsi="Gill Sans MT" w:cs="Calibri"/>
          <w:sz w:val="20"/>
          <w:szCs w:val="20"/>
        </w:rPr>
        <w:t>Implementing Partners’ Feedback Mechanisms</w:t>
      </w:r>
    </w:p>
    <w:tbl>
      <w:tblPr>
        <w:tblStyle w:val="LightList-Accent3"/>
        <w:tblW w:w="5000" w:type="pct"/>
        <w:tblLook w:val="04A0" w:firstRow="1" w:lastRow="0" w:firstColumn="1" w:lastColumn="0" w:noHBand="0" w:noVBand="1"/>
      </w:tblPr>
      <w:tblGrid>
        <w:gridCol w:w="1385"/>
        <w:gridCol w:w="1783"/>
        <w:gridCol w:w="6408"/>
      </w:tblGrid>
      <w:tr w:rsidR="007245F4" w:rsidRPr="00B62036" w14:paraId="5AD3A55A" w14:textId="77777777" w:rsidTr="00A52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32A5BA4D"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UN Agency </w:t>
            </w:r>
          </w:p>
        </w:tc>
        <w:tc>
          <w:tcPr>
            <w:tcW w:w="931" w:type="pct"/>
          </w:tcPr>
          <w:p w14:paraId="1AE8EED9" w14:textId="77777777" w:rsidR="007245F4" w:rsidRPr="00B62036" w:rsidRDefault="007245F4" w:rsidP="00230515">
            <w:pPr>
              <w:pStyle w:val="Default"/>
              <w:tabs>
                <w:tab w:val="left" w:pos="1440"/>
              </w:tabs>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Partners </w:t>
            </w:r>
          </w:p>
        </w:tc>
        <w:tc>
          <w:tcPr>
            <w:tcW w:w="3346" w:type="pct"/>
          </w:tcPr>
          <w:p w14:paraId="751FAA42" w14:textId="77777777" w:rsidR="007245F4" w:rsidRPr="00B62036" w:rsidRDefault="007245F4" w:rsidP="00230515">
            <w:pPr>
              <w:pStyle w:val="Default"/>
              <w:tabs>
                <w:tab w:val="left" w:pos="1440"/>
              </w:tabs>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Feedback Mechanism </w:t>
            </w:r>
          </w:p>
        </w:tc>
      </w:tr>
      <w:tr w:rsidR="007245F4" w:rsidRPr="00B62036" w14:paraId="52D23B31" w14:textId="77777777" w:rsidTr="00A5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047B65CF"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FAO</w:t>
            </w:r>
          </w:p>
        </w:tc>
        <w:tc>
          <w:tcPr>
            <w:tcW w:w="931" w:type="pct"/>
          </w:tcPr>
          <w:p w14:paraId="0CFD7032" w14:textId="77777777" w:rsidR="007245F4" w:rsidRPr="00B62036" w:rsidRDefault="007245F4"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SYPD, SOWELPA, FEERO</w:t>
            </w:r>
          </w:p>
        </w:tc>
        <w:tc>
          <w:tcPr>
            <w:tcW w:w="3346" w:type="pct"/>
          </w:tcPr>
          <w:p w14:paraId="71C5F844" w14:textId="0E3BE368" w:rsidR="007245F4" w:rsidRPr="00B62036" w:rsidRDefault="00C240BC"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field teams explained feedback mechanism was embedded in the project implementation.  Beneficiaries were provided with hotlines in which they could call to seek information or complain. Caller’s identity is concealed at all times and a follow up is made by the agency to address</w:t>
            </w:r>
            <w:r w:rsidR="00B21B04">
              <w:rPr>
                <w:rFonts w:ascii="Gill Sans MT" w:hAnsi="Gill Sans MT" w:cs="Calibri"/>
                <w:sz w:val="20"/>
                <w:szCs w:val="20"/>
              </w:rPr>
              <w:t xml:space="preserve"> complaints</w:t>
            </w:r>
            <w:r w:rsidRPr="00B62036">
              <w:rPr>
                <w:rFonts w:ascii="Gill Sans MT" w:hAnsi="Gill Sans MT" w:cs="Calibri"/>
                <w:sz w:val="20"/>
                <w:szCs w:val="20"/>
              </w:rPr>
              <w:t xml:space="preserve">. </w:t>
            </w:r>
            <w:r w:rsidR="007245F4" w:rsidRPr="00B62036">
              <w:rPr>
                <w:rFonts w:ascii="Gill Sans MT" w:hAnsi="Gill Sans MT" w:cs="Calibri"/>
                <w:sz w:val="20"/>
                <w:szCs w:val="20"/>
              </w:rPr>
              <w:t xml:space="preserve"> </w:t>
            </w:r>
          </w:p>
        </w:tc>
      </w:tr>
      <w:tr w:rsidR="007245F4" w:rsidRPr="00B62036" w14:paraId="6D5D3793" w14:textId="77777777" w:rsidTr="00A52509">
        <w:tc>
          <w:tcPr>
            <w:cnfStyle w:val="001000000000" w:firstRow="0" w:lastRow="0" w:firstColumn="1" w:lastColumn="0" w:oddVBand="0" w:evenVBand="0" w:oddHBand="0" w:evenHBand="0" w:firstRowFirstColumn="0" w:firstRowLastColumn="0" w:lastRowFirstColumn="0" w:lastRowLastColumn="0"/>
            <w:tcW w:w="723" w:type="pct"/>
          </w:tcPr>
          <w:p w14:paraId="6635B59E"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UNCHR </w:t>
            </w:r>
          </w:p>
        </w:tc>
        <w:tc>
          <w:tcPr>
            <w:tcW w:w="931" w:type="pct"/>
          </w:tcPr>
          <w:p w14:paraId="3585610A" w14:textId="77777777" w:rsidR="007245F4" w:rsidRPr="00B62036" w:rsidRDefault="007245F4"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AVORD</w:t>
            </w:r>
          </w:p>
        </w:tc>
        <w:tc>
          <w:tcPr>
            <w:tcW w:w="3346" w:type="pct"/>
          </w:tcPr>
          <w:p w14:paraId="58E89306" w14:textId="77777777" w:rsidR="007245F4" w:rsidRPr="00B62036" w:rsidRDefault="0041438C"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team acknowledged the project did not provide hotline or f</w:t>
            </w:r>
            <w:r w:rsidR="007245F4" w:rsidRPr="00B62036">
              <w:rPr>
                <w:rFonts w:ascii="Gill Sans MT" w:hAnsi="Gill Sans MT" w:cs="Calibri"/>
                <w:sz w:val="20"/>
                <w:szCs w:val="20"/>
              </w:rPr>
              <w:t>eedback mechanism</w:t>
            </w:r>
            <w:r w:rsidRPr="00B62036">
              <w:rPr>
                <w:rFonts w:ascii="Gill Sans MT" w:hAnsi="Gill Sans MT" w:cs="Calibri"/>
                <w:sz w:val="20"/>
                <w:szCs w:val="20"/>
              </w:rPr>
              <w:t xml:space="preserve"> to beneficiaries. The team explained if beneficiaries had complains they would come to their offices or call one of the staffs</w:t>
            </w:r>
            <w:r w:rsidR="0097354C" w:rsidRPr="00B62036">
              <w:rPr>
                <w:rFonts w:ascii="Gill Sans MT" w:hAnsi="Gill Sans MT" w:cs="Calibri"/>
                <w:sz w:val="20"/>
                <w:szCs w:val="20"/>
              </w:rPr>
              <w:t xml:space="preserve"> or can talk to project committees who will in turn call the partner</w:t>
            </w:r>
            <w:r w:rsidRPr="00B62036">
              <w:rPr>
                <w:rFonts w:ascii="Gill Sans MT" w:hAnsi="Gill Sans MT" w:cs="Calibri"/>
                <w:sz w:val="20"/>
                <w:szCs w:val="20"/>
              </w:rPr>
              <w:t>. The challenge with such mechanism is that it does provide confidentiality</w:t>
            </w:r>
            <w:r w:rsidR="00C240BC" w:rsidRPr="00B62036">
              <w:rPr>
                <w:rFonts w:ascii="Gill Sans MT" w:hAnsi="Gill Sans MT" w:cs="Calibri"/>
                <w:sz w:val="20"/>
                <w:szCs w:val="20"/>
              </w:rPr>
              <w:t xml:space="preserve"> and discourages beneficiaries to report concerns.</w:t>
            </w:r>
            <w:r w:rsidRPr="00B62036">
              <w:rPr>
                <w:rFonts w:ascii="Gill Sans MT" w:hAnsi="Gill Sans MT" w:cs="Calibri"/>
                <w:sz w:val="20"/>
                <w:szCs w:val="20"/>
              </w:rPr>
              <w:t xml:space="preserve"> </w:t>
            </w:r>
          </w:p>
        </w:tc>
      </w:tr>
      <w:tr w:rsidR="007245F4" w:rsidRPr="00B62036" w14:paraId="66548337" w14:textId="77777777" w:rsidTr="00A5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2C29FFE9"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WFP</w:t>
            </w:r>
          </w:p>
        </w:tc>
        <w:tc>
          <w:tcPr>
            <w:tcW w:w="931" w:type="pct"/>
          </w:tcPr>
          <w:p w14:paraId="624B4AB6" w14:textId="77777777" w:rsidR="007245F4" w:rsidRPr="00B62036" w:rsidRDefault="007245F4"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WVI</w:t>
            </w:r>
          </w:p>
        </w:tc>
        <w:tc>
          <w:tcPr>
            <w:tcW w:w="3346" w:type="pct"/>
          </w:tcPr>
          <w:p w14:paraId="7D7E0360" w14:textId="77777777" w:rsidR="007245F4" w:rsidRPr="00B62036" w:rsidRDefault="009F7602"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The field teams explained they had a feedback mechanism. Beneficiaries </w:t>
            </w:r>
            <w:r w:rsidRPr="00B62036">
              <w:rPr>
                <w:rFonts w:ascii="Gill Sans MT" w:hAnsi="Gill Sans MT" w:cs="Calibri"/>
                <w:sz w:val="20"/>
                <w:szCs w:val="20"/>
              </w:rPr>
              <w:lastRenderedPageBreak/>
              <w:t xml:space="preserve">were provided with hotlines in which they could call to seek information or complain to a call centre in Mogadishu. Complaints are compiled and sent to WFP area manager to investigate the matter and respond urgently. Caller’s identity is concealed at all times and a follow up is made by the agency to address </w:t>
            </w:r>
          </w:p>
        </w:tc>
      </w:tr>
      <w:tr w:rsidR="007245F4" w:rsidRPr="00B62036" w14:paraId="00DCF840" w14:textId="77777777" w:rsidTr="00A52509">
        <w:tc>
          <w:tcPr>
            <w:cnfStyle w:val="001000000000" w:firstRow="0" w:lastRow="0" w:firstColumn="1" w:lastColumn="0" w:oddVBand="0" w:evenVBand="0" w:oddHBand="0" w:evenHBand="0" w:firstRowFirstColumn="0" w:firstRowLastColumn="0" w:lastRowFirstColumn="0" w:lastRowLastColumn="0"/>
            <w:tcW w:w="723" w:type="pct"/>
          </w:tcPr>
          <w:p w14:paraId="533AD33C"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lastRenderedPageBreak/>
              <w:t>IOM</w:t>
            </w:r>
          </w:p>
        </w:tc>
        <w:tc>
          <w:tcPr>
            <w:tcW w:w="931" w:type="pct"/>
          </w:tcPr>
          <w:p w14:paraId="12C6811D" w14:textId="77777777" w:rsidR="007245F4" w:rsidRPr="00B62036" w:rsidRDefault="007245F4"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p>
        </w:tc>
        <w:tc>
          <w:tcPr>
            <w:tcW w:w="3346" w:type="pct"/>
          </w:tcPr>
          <w:p w14:paraId="6453E09E" w14:textId="77777777" w:rsidR="007245F4" w:rsidRPr="00B62036" w:rsidRDefault="00C240BC"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team explained the project did provide feedback mechanism to beneficiaries. The team explained if beneficiaries had complains they would come to their offices or call one of the staffs.</w:t>
            </w:r>
          </w:p>
        </w:tc>
      </w:tr>
      <w:tr w:rsidR="007245F4" w:rsidRPr="00B62036" w14:paraId="562D6779" w14:textId="77777777" w:rsidTr="00A5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14:paraId="382C637A"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ILO</w:t>
            </w:r>
          </w:p>
        </w:tc>
        <w:tc>
          <w:tcPr>
            <w:tcW w:w="931" w:type="pct"/>
          </w:tcPr>
          <w:p w14:paraId="19F109F4" w14:textId="77777777" w:rsidR="007245F4" w:rsidRPr="00B62036" w:rsidRDefault="007245F4"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WARDO</w:t>
            </w:r>
          </w:p>
        </w:tc>
        <w:tc>
          <w:tcPr>
            <w:tcW w:w="3346" w:type="pct"/>
          </w:tcPr>
          <w:p w14:paraId="4F179148" w14:textId="77777777" w:rsidR="007245F4" w:rsidRPr="00B62036" w:rsidRDefault="00C240BC" w:rsidP="00230515">
            <w:pPr>
              <w:pStyle w:val="Default"/>
              <w:tabs>
                <w:tab w:val="left" w:pos="1440"/>
              </w:tabs>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The team explained the project did provide feedback mechanism to beneficiaries. The team explained if beneficiaries had complains they would come to their offices or call one of the staffs.</w:t>
            </w:r>
          </w:p>
        </w:tc>
      </w:tr>
      <w:tr w:rsidR="007245F4" w:rsidRPr="00B62036" w14:paraId="02C66A96" w14:textId="77777777" w:rsidTr="00A52509">
        <w:tc>
          <w:tcPr>
            <w:cnfStyle w:val="001000000000" w:firstRow="0" w:lastRow="0" w:firstColumn="1" w:lastColumn="0" w:oddVBand="0" w:evenVBand="0" w:oddHBand="0" w:evenHBand="0" w:firstRowFirstColumn="0" w:firstRowLastColumn="0" w:lastRowFirstColumn="0" w:lastRowLastColumn="0"/>
            <w:tcW w:w="723" w:type="pct"/>
          </w:tcPr>
          <w:p w14:paraId="26E77183" w14:textId="77777777" w:rsidR="007245F4" w:rsidRPr="00B62036" w:rsidRDefault="007245F4" w:rsidP="00230515">
            <w:pPr>
              <w:pStyle w:val="Default"/>
              <w:tabs>
                <w:tab w:val="left" w:pos="1440"/>
              </w:tabs>
              <w:jc w:val="both"/>
              <w:rPr>
                <w:rFonts w:ascii="Gill Sans MT" w:hAnsi="Gill Sans MT" w:cs="Calibri"/>
                <w:sz w:val="20"/>
                <w:szCs w:val="20"/>
              </w:rPr>
            </w:pPr>
            <w:r w:rsidRPr="00B62036">
              <w:rPr>
                <w:rFonts w:ascii="Gill Sans MT" w:hAnsi="Gill Sans MT" w:cs="Calibri"/>
                <w:sz w:val="20"/>
                <w:szCs w:val="20"/>
              </w:rPr>
              <w:t xml:space="preserve">UNICEF </w:t>
            </w:r>
          </w:p>
        </w:tc>
        <w:tc>
          <w:tcPr>
            <w:tcW w:w="931" w:type="pct"/>
          </w:tcPr>
          <w:p w14:paraId="17FA7F4A" w14:textId="77777777" w:rsidR="007245F4" w:rsidRPr="00B62036" w:rsidRDefault="007245F4"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BREK</w:t>
            </w:r>
          </w:p>
        </w:tc>
        <w:tc>
          <w:tcPr>
            <w:tcW w:w="3346" w:type="pct"/>
          </w:tcPr>
          <w:p w14:paraId="7FF20568" w14:textId="77777777" w:rsidR="007245F4" w:rsidRPr="00B62036" w:rsidRDefault="0097354C" w:rsidP="00230515">
            <w:pPr>
              <w:pStyle w:val="Default"/>
              <w:tabs>
                <w:tab w:val="left" w:pos="1440"/>
              </w:tabs>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szCs w:val="20"/>
              </w:rPr>
            </w:pPr>
            <w:r w:rsidRPr="00B62036">
              <w:rPr>
                <w:rFonts w:ascii="Gill Sans MT" w:hAnsi="Gill Sans MT" w:cs="Calibri"/>
                <w:sz w:val="20"/>
                <w:szCs w:val="20"/>
              </w:rPr>
              <w:t xml:space="preserve">The partner did not have feedback mechanism but beneficiaries are able to channel their grievances to the community although this not the preferred system. </w:t>
            </w:r>
          </w:p>
        </w:tc>
      </w:tr>
    </w:tbl>
    <w:p w14:paraId="6F78E910" w14:textId="38569980" w:rsidR="00A96CFF" w:rsidRDefault="000626E4" w:rsidP="00230515">
      <w:pPr>
        <w:tabs>
          <w:tab w:val="left" w:pos="3968"/>
        </w:tabs>
        <w:spacing w:line="276" w:lineRule="auto"/>
        <w:jc w:val="both"/>
        <w:rPr>
          <w:rFonts w:ascii="Gill Sans MT" w:hAnsi="Gill Sans MT"/>
          <w:sz w:val="20"/>
          <w:szCs w:val="20"/>
          <w:lang w:val="en-GB"/>
        </w:rPr>
      </w:pPr>
      <w:r w:rsidRPr="00B62036">
        <w:rPr>
          <w:rFonts w:ascii="Gill Sans MT" w:hAnsi="Gill Sans MT" w:cs="Calibri"/>
          <w:sz w:val="20"/>
          <w:szCs w:val="20"/>
        </w:rPr>
        <w:t>The evaluation</w:t>
      </w:r>
      <w:r w:rsidR="00532A03" w:rsidRPr="00B62036">
        <w:rPr>
          <w:rFonts w:ascii="Gill Sans MT" w:hAnsi="Gill Sans MT" w:cs="Calibri"/>
          <w:sz w:val="20"/>
          <w:szCs w:val="20"/>
        </w:rPr>
        <w:t xml:space="preserve"> further assess</w:t>
      </w:r>
      <w:r w:rsidRPr="00B62036">
        <w:rPr>
          <w:rFonts w:ascii="Gill Sans MT" w:hAnsi="Gill Sans MT" w:cs="Calibri"/>
          <w:sz w:val="20"/>
          <w:szCs w:val="20"/>
        </w:rPr>
        <w:t>ed</w:t>
      </w:r>
      <w:r w:rsidR="00532A03" w:rsidRPr="00B62036">
        <w:rPr>
          <w:rFonts w:ascii="Gill Sans MT" w:hAnsi="Gill Sans MT" w:cs="Calibri"/>
          <w:sz w:val="20"/>
          <w:szCs w:val="20"/>
        </w:rPr>
        <w:t xml:space="preserve"> </w:t>
      </w:r>
      <w:r w:rsidR="003303C1" w:rsidRPr="00B62036">
        <w:rPr>
          <w:rFonts w:ascii="Gill Sans MT" w:hAnsi="Gill Sans MT" w:cs="Calibri"/>
          <w:sz w:val="20"/>
          <w:szCs w:val="20"/>
        </w:rPr>
        <w:t>the level</w:t>
      </w:r>
      <w:r w:rsidR="00057D34">
        <w:rPr>
          <w:rFonts w:ascii="Gill Sans MT" w:hAnsi="Gill Sans MT" w:cs="Calibri"/>
          <w:sz w:val="20"/>
          <w:szCs w:val="20"/>
        </w:rPr>
        <w:t xml:space="preserve"> of</w:t>
      </w:r>
      <w:r w:rsidR="003303C1" w:rsidRPr="00B62036">
        <w:rPr>
          <w:rFonts w:ascii="Gill Sans MT" w:hAnsi="Gill Sans MT" w:cs="Calibri"/>
          <w:sz w:val="20"/>
          <w:szCs w:val="20"/>
        </w:rPr>
        <w:t xml:space="preserve"> awareness created regarding the entitlements of beneficiaries on what they are to receive every distribution.</w:t>
      </w:r>
      <w:r w:rsidR="00532A03" w:rsidRPr="00B62036">
        <w:rPr>
          <w:rFonts w:ascii="Gill Sans MT" w:hAnsi="Gill Sans MT" w:cs="Calibri"/>
          <w:sz w:val="20"/>
          <w:szCs w:val="20"/>
        </w:rPr>
        <w:t xml:space="preserve"> </w:t>
      </w:r>
      <w:r w:rsidR="00176DBE" w:rsidRPr="00B62036">
        <w:rPr>
          <w:rFonts w:ascii="Gill Sans MT" w:hAnsi="Gill Sans MT" w:cs="Calibri"/>
          <w:sz w:val="20"/>
          <w:szCs w:val="20"/>
        </w:rPr>
        <w:t xml:space="preserve">Partners </w:t>
      </w:r>
      <w:r w:rsidR="00075C25" w:rsidRPr="00B62036">
        <w:rPr>
          <w:rFonts w:ascii="Gill Sans MT" w:hAnsi="Gill Sans MT" w:cs="Calibri"/>
          <w:sz w:val="20"/>
          <w:szCs w:val="20"/>
        </w:rPr>
        <w:t>held meetings with the beneficia</w:t>
      </w:r>
      <w:r w:rsidR="00176DBE" w:rsidRPr="00B62036">
        <w:rPr>
          <w:rFonts w:ascii="Gill Sans MT" w:hAnsi="Gill Sans MT" w:cs="Calibri"/>
          <w:sz w:val="20"/>
          <w:szCs w:val="20"/>
        </w:rPr>
        <w:t xml:space="preserve">ries and informed them of their entitlements. </w:t>
      </w:r>
      <w:r w:rsidRPr="00B62036">
        <w:rPr>
          <w:rFonts w:ascii="Gill Sans MT" w:hAnsi="Gill Sans MT" w:cs="Calibri"/>
          <w:sz w:val="20"/>
          <w:szCs w:val="20"/>
        </w:rPr>
        <w:t>For instance, respondents</w:t>
      </w:r>
      <w:r w:rsidR="00A727E0" w:rsidRPr="00B62036">
        <w:rPr>
          <w:rFonts w:ascii="Gill Sans MT" w:hAnsi="Gill Sans MT" w:cs="Calibri"/>
          <w:sz w:val="20"/>
          <w:szCs w:val="20"/>
        </w:rPr>
        <w:t xml:space="preserve"> involved in the cash for work or food voucher</w:t>
      </w:r>
      <w:r w:rsidRPr="00B62036">
        <w:rPr>
          <w:rFonts w:ascii="Gill Sans MT" w:hAnsi="Gill Sans MT" w:cs="Calibri"/>
          <w:sz w:val="20"/>
          <w:szCs w:val="20"/>
        </w:rPr>
        <w:t xml:space="preserve"> indicated that t</w:t>
      </w:r>
      <w:r w:rsidR="00A727E0" w:rsidRPr="00B62036">
        <w:rPr>
          <w:rFonts w:ascii="Gill Sans MT" w:hAnsi="Gill Sans MT" w:cs="Calibri"/>
          <w:sz w:val="20"/>
          <w:szCs w:val="20"/>
        </w:rPr>
        <w:t>hey</w:t>
      </w:r>
      <w:r w:rsidR="00176DBE" w:rsidRPr="00B62036">
        <w:rPr>
          <w:rFonts w:ascii="Gill Sans MT" w:hAnsi="Gill Sans MT" w:cs="Calibri"/>
          <w:sz w:val="20"/>
          <w:szCs w:val="20"/>
        </w:rPr>
        <w:t xml:space="preserve"> knew </w:t>
      </w:r>
      <w:r w:rsidRPr="00B62036">
        <w:rPr>
          <w:rFonts w:ascii="Gill Sans MT" w:hAnsi="Gill Sans MT" w:cs="Calibri"/>
          <w:sz w:val="20"/>
          <w:szCs w:val="20"/>
        </w:rPr>
        <w:t xml:space="preserve">about their </w:t>
      </w:r>
      <w:r w:rsidR="00176DBE" w:rsidRPr="00B62036">
        <w:rPr>
          <w:rFonts w:ascii="Gill Sans MT" w:hAnsi="Gill Sans MT" w:cs="Calibri"/>
          <w:sz w:val="20"/>
          <w:szCs w:val="20"/>
        </w:rPr>
        <w:t>daily wages</w:t>
      </w:r>
      <w:r w:rsidRPr="00B62036">
        <w:rPr>
          <w:rFonts w:ascii="Gill Sans MT" w:hAnsi="Gill Sans MT" w:cs="Calibri"/>
          <w:sz w:val="20"/>
          <w:szCs w:val="20"/>
        </w:rPr>
        <w:t>/entitlements</w:t>
      </w:r>
      <w:r w:rsidR="00176DBE" w:rsidRPr="00B62036">
        <w:rPr>
          <w:rFonts w:ascii="Gill Sans MT" w:hAnsi="Gill Sans MT" w:cs="Calibri"/>
          <w:sz w:val="20"/>
          <w:szCs w:val="20"/>
        </w:rPr>
        <w:t xml:space="preserve"> or monthly </w:t>
      </w:r>
      <w:r w:rsidRPr="00B62036">
        <w:rPr>
          <w:rFonts w:ascii="Gill Sans MT" w:hAnsi="Gill Sans MT" w:cs="Calibri"/>
          <w:sz w:val="20"/>
          <w:szCs w:val="20"/>
        </w:rPr>
        <w:t>stipends.</w:t>
      </w:r>
      <w:r w:rsidR="00176DBE" w:rsidRPr="00B62036">
        <w:rPr>
          <w:rFonts w:ascii="Gill Sans MT" w:hAnsi="Gill Sans MT" w:cs="Calibri"/>
          <w:sz w:val="20"/>
          <w:szCs w:val="20"/>
        </w:rPr>
        <w:t xml:space="preserve"> </w:t>
      </w:r>
      <w:r w:rsidRPr="00B62036">
        <w:rPr>
          <w:rFonts w:ascii="Gill Sans MT" w:hAnsi="Gill Sans MT" w:cs="Calibri"/>
          <w:sz w:val="20"/>
          <w:szCs w:val="20"/>
        </w:rPr>
        <w:t>Similarly</w:t>
      </w:r>
      <w:r w:rsidR="00176DBE" w:rsidRPr="00B62036">
        <w:rPr>
          <w:rFonts w:ascii="Gill Sans MT" w:hAnsi="Gill Sans MT" w:cs="Calibri"/>
          <w:sz w:val="20"/>
          <w:szCs w:val="20"/>
        </w:rPr>
        <w:t>, food voucher beneficiaries working with WFP were informed about the quantities of food they could collect from selected vendors</w:t>
      </w:r>
      <w:r w:rsidRPr="00B62036">
        <w:rPr>
          <w:rFonts w:ascii="Gill Sans MT" w:hAnsi="Gill Sans MT" w:cs="Calibri"/>
          <w:sz w:val="20"/>
          <w:szCs w:val="20"/>
        </w:rPr>
        <w:t xml:space="preserve"> prior to the commencement of the activities</w:t>
      </w:r>
      <w:r w:rsidR="00176DBE" w:rsidRPr="00B62036">
        <w:rPr>
          <w:rFonts w:ascii="Gill Sans MT" w:hAnsi="Gill Sans MT" w:cs="Calibri"/>
          <w:sz w:val="20"/>
          <w:szCs w:val="20"/>
        </w:rPr>
        <w:t>. Like</w:t>
      </w:r>
      <w:r w:rsidR="00A64676" w:rsidRPr="00B62036">
        <w:rPr>
          <w:rFonts w:ascii="Gill Sans MT" w:hAnsi="Gill Sans MT" w:cs="Calibri"/>
          <w:sz w:val="20"/>
          <w:szCs w:val="20"/>
        </w:rPr>
        <w:t>wise,</w:t>
      </w:r>
      <w:r w:rsidR="00176DBE" w:rsidRPr="00B62036">
        <w:rPr>
          <w:rFonts w:ascii="Gill Sans MT" w:hAnsi="Gill Sans MT" w:cs="Calibri"/>
          <w:sz w:val="20"/>
          <w:szCs w:val="20"/>
        </w:rPr>
        <w:t xml:space="preserve"> FAO</w:t>
      </w:r>
      <w:r w:rsidR="00A64676" w:rsidRPr="00B62036">
        <w:rPr>
          <w:rFonts w:ascii="Gill Sans MT" w:hAnsi="Gill Sans MT" w:cs="Calibri"/>
          <w:sz w:val="20"/>
          <w:szCs w:val="20"/>
        </w:rPr>
        <w:t xml:space="preserve">’s implementing partners created awareness about the types of </w:t>
      </w:r>
      <w:r w:rsidR="009D767E" w:rsidRPr="00B62036">
        <w:rPr>
          <w:rFonts w:ascii="Gill Sans MT" w:hAnsi="Gill Sans MT" w:cs="Calibri"/>
          <w:sz w:val="20"/>
          <w:szCs w:val="20"/>
        </w:rPr>
        <w:t xml:space="preserve">agricultural inputs and </w:t>
      </w:r>
      <w:r w:rsidR="00A64676" w:rsidRPr="00B62036">
        <w:rPr>
          <w:rFonts w:ascii="Gill Sans MT" w:hAnsi="Gill Sans MT" w:cs="Calibri"/>
          <w:sz w:val="20"/>
          <w:szCs w:val="20"/>
        </w:rPr>
        <w:t xml:space="preserve">quantities of </w:t>
      </w:r>
      <w:r w:rsidR="009D767E" w:rsidRPr="00B62036">
        <w:rPr>
          <w:rFonts w:ascii="Gill Sans MT" w:hAnsi="Gill Sans MT" w:cs="Calibri"/>
          <w:sz w:val="20"/>
          <w:szCs w:val="20"/>
        </w:rPr>
        <w:t xml:space="preserve">assorted </w:t>
      </w:r>
      <w:r w:rsidR="00A64676" w:rsidRPr="00B62036">
        <w:rPr>
          <w:rFonts w:ascii="Gill Sans MT" w:hAnsi="Gill Sans MT" w:cs="Calibri"/>
          <w:sz w:val="20"/>
          <w:szCs w:val="20"/>
        </w:rPr>
        <w:t xml:space="preserve">seeds and </w:t>
      </w:r>
      <w:r w:rsidRPr="00B62036">
        <w:rPr>
          <w:rFonts w:ascii="Gill Sans MT" w:hAnsi="Gill Sans MT" w:cs="Calibri"/>
          <w:sz w:val="20"/>
          <w:szCs w:val="20"/>
        </w:rPr>
        <w:t xml:space="preserve">the </w:t>
      </w:r>
      <w:r w:rsidR="00A64676" w:rsidRPr="00B62036">
        <w:rPr>
          <w:rFonts w:ascii="Gill Sans MT" w:hAnsi="Gill Sans MT" w:cs="Calibri"/>
          <w:sz w:val="20"/>
          <w:szCs w:val="20"/>
        </w:rPr>
        <w:t>number of goats that</w:t>
      </w:r>
      <w:r w:rsidR="009D767E" w:rsidRPr="00B62036">
        <w:rPr>
          <w:rFonts w:ascii="Gill Sans MT" w:hAnsi="Gill Sans MT" w:cs="Calibri"/>
          <w:sz w:val="20"/>
          <w:szCs w:val="20"/>
        </w:rPr>
        <w:t xml:space="preserve"> respective </w:t>
      </w:r>
      <w:r w:rsidR="00A64676" w:rsidRPr="00B62036">
        <w:rPr>
          <w:rFonts w:ascii="Gill Sans MT" w:hAnsi="Gill Sans MT" w:cs="Calibri"/>
          <w:sz w:val="20"/>
          <w:szCs w:val="20"/>
        </w:rPr>
        <w:t>beneficiaries were entitled to receive from the project. Interview with beneficiaries confirmed that partner conducted awareness about their entitlements</w:t>
      </w:r>
      <w:r w:rsidRPr="00B62036">
        <w:rPr>
          <w:rFonts w:ascii="Gill Sans MT" w:hAnsi="Gill Sans MT" w:cs="Calibri"/>
          <w:sz w:val="20"/>
          <w:szCs w:val="20"/>
        </w:rPr>
        <w:t xml:space="preserve"> hence creating a sense of openness</w:t>
      </w:r>
      <w:r w:rsidR="00A64676" w:rsidRPr="00B62036">
        <w:rPr>
          <w:rFonts w:ascii="Gill Sans MT" w:hAnsi="Gill Sans MT" w:cs="Calibri"/>
          <w:sz w:val="20"/>
          <w:szCs w:val="20"/>
        </w:rPr>
        <w:t xml:space="preserve">. </w:t>
      </w:r>
      <w:r w:rsidR="00E90AFD" w:rsidRPr="00B62036">
        <w:rPr>
          <w:rFonts w:ascii="Gill Sans MT" w:hAnsi="Gill Sans MT" w:cs="Calibri"/>
          <w:sz w:val="20"/>
          <w:szCs w:val="20"/>
        </w:rPr>
        <w:t>Interestingly though, the q</w:t>
      </w:r>
      <w:r w:rsidRPr="00B62036">
        <w:rPr>
          <w:rFonts w:ascii="Gill Sans MT" w:hAnsi="Gill Sans MT" w:cs="Calibri"/>
          <w:sz w:val="20"/>
          <w:szCs w:val="20"/>
        </w:rPr>
        <w:t>uantitative</w:t>
      </w:r>
      <w:r w:rsidR="00A96CFF" w:rsidRPr="00B62036">
        <w:rPr>
          <w:rFonts w:ascii="Gill Sans MT" w:hAnsi="Gill Sans MT" w:cs="Calibri"/>
          <w:sz w:val="20"/>
          <w:szCs w:val="20"/>
        </w:rPr>
        <w:t xml:space="preserve"> analysis of survey data indicates that only </w:t>
      </w:r>
      <w:r w:rsidR="00E90AFD" w:rsidRPr="00B62036">
        <w:rPr>
          <w:rFonts w:ascii="Gill Sans MT" w:hAnsi="Gill Sans MT"/>
          <w:sz w:val="20"/>
          <w:szCs w:val="20"/>
          <w:lang w:val="en-GB"/>
        </w:rPr>
        <w:t xml:space="preserve">19.7% of </w:t>
      </w:r>
      <w:r w:rsidR="00A96CFF" w:rsidRPr="00B62036">
        <w:rPr>
          <w:rFonts w:ascii="Gill Sans MT" w:hAnsi="Gill Sans MT"/>
          <w:sz w:val="20"/>
          <w:szCs w:val="20"/>
          <w:lang w:val="en-GB"/>
        </w:rPr>
        <w:t xml:space="preserve">the respondents </w:t>
      </w:r>
      <w:r w:rsidR="00E90AFD" w:rsidRPr="00B62036">
        <w:rPr>
          <w:rFonts w:ascii="Gill Sans MT" w:hAnsi="Gill Sans MT"/>
          <w:sz w:val="20"/>
          <w:szCs w:val="20"/>
          <w:lang w:val="en-GB"/>
        </w:rPr>
        <w:t xml:space="preserve">had </w:t>
      </w:r>
      <w:r w:rsidR="00A96CFF" w:rsidRPr="00B62036">
        <w:rPr>
          <w:rFonts w:ascii="Gill Sans MT" w:hAnsi="Gill Sans MT"/>
          <w:sz w:val="20"/>
          <w:szCs w:val="20"/>
          <w:lang w:val="en-GB"/>
        </w:rPr>
        <w:t>know</w:t>
      </w:r>
      <w:r w:rsidR="00E90AFD" w:rsidRPr="00B62036">
        <w:rPr>
          <w:rFonts w:ascii="Gill Sans MT" w:hAnsi="Gill Sans MT"/>
          <w:sz w:val="20"/>
          <w:szCs w:val="20"/>
          <w:lang w:val="en-GB"/>
        </w:rPr>
        <w:t>ledge of</w:t>
      </w:r>
      <w:r w:rsidR="00A96CFF" w:rsidRPr="00B62036">
        <w:rPr>
          <w:rFonts w:ascii="Gill Sans MT" w:hAnsi="Gill Sans MT"/>
          <w:sz w:val="20"/>
          <w:szCs w:val="20"/>
          <w:lang w:val="en-GB"/>
        </w:rPr>
        <w:t xml:space="preserve"> the formal </w:t>
      </w:r>
      <w:r w:rsidR="00E90AFD" w:rsidRPr="00B62036">
        <w:rPr>
          <w:rFonts w:ascii="Gill Sans MT" w:hAnsi="Gill Sans MT"/>
          <w:sz w:val="20"/>
          <w:szCs w:val="20"/>
          <w:lang w:val="en-GB"/>
        </w:rPr>
        <w:t>mechanism through which they could lodge their grievances</w:t>
      </w:r>
      <w:r w:rsidR="00A96CFF" w:rsidRPr="00B62036">
        <w:rPr>
          <w:rFonts w:ascii="Gill Sans MT" w:hAnsi="Gill Sans MT"/>
          <w:sz w:val="20"/>
          <w:szCs w:val="20"/>
          <w:lang w:val="en-GB"/>
        </w:rPr>
        <w:t xml:space="preserve">, with 80.3% of interviewed respondents reporting of </w:t>
      </w:r>
      <w:r w:rsidR="00E90AFD" w:rsidRPr="00B62036">
        <w:rPr>
          <w:rFonts w:ascii="Gill Sans MT" w:hAnsi="Gill Sans MT"/>
          <w:sz w:val="20"/>
          <w:szCs w:val="20"/>
          <w:lang w:val="en-GB"/>
        </w:rPr>
        <w:t xml:space="preserve">having </w:t>
      </w:r>
      <w:r w:rsidR="00A96CFF" w:rsidRPr="00B62036">
        <w:rPr>
          <w:rFonts w:ascii="Gill Sans MT" w:hAnsi="Gill Sans MT"/>
          <w:sz w:val="20"/>
          <w:szCs w:val="20"/>
          <w:lang w:val="en-GB"/>
        </w:rPr>
        <w:t xml:space="preserve">no knowledge of community feedback mechanisms. </w:t>
      </w:r>
    </w:p>
    <w:p w14:paraId="50D59A7C" w14:textId="77777777" w:rsidR="00B21B04" w:rsidRPr="00B62036" w:rsidRDefault="00B21B04" w:rsidP="00230515">
      <w:pPr>
        <w:tabs>
          <w:tab w:val="left" w:pos="3968"/>
        </w:tabs>
        <w:spacing w:line="276" w:lineRule="auto"/>
        <w:jc w:val="both"/>
        <w:rPr>
          <w:rFonts w:ascii="Gill Sans MT" w:hAnsi="Gill Sans MT"/>
          <w:sz w:val="20"/>
          <w:szCs w:val="20"/>
          <w:lang w:val="en-GB"/>
        </w:rPr>
      </w:pPr>
    </w:p>
    <w:p w14:paraId="05B62994" w14:textId="62A01609" w:rsidR="00BD38FC" w:rsidRDefault="00A96CFF" w:rsidP="00230515">
      <w:pPr>
        <w:pStyle w:val="Caption"/>
        <w:jc w:val="both"/>
        <w:rPr>
          <w:rFonts w:ascii="Gill Sans MT" w:hAnsi="Gill Sans MT"/>
          <w:sz w:val="20"/>
          <w:szCs w:val="20"/>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16</w:t>
      </w:r>
      <w:r w:rsidR="00AF3DCE" w:rsidRPr="00B62036">
        <w:rPr>
          <w:rFonts w:ascii="Gill Sans MT" w:hAnsi="Gill Sans MT"/>
          <w:noProof/>
          <w:sz w:val="20"/>
          <w:szCs w:val="20"/>
        </w:rPr>
        <w:fldChar w:fldCharType="end"/>
      </w:r>
      <w:r w:rsidRPr="00B62036">
        <w:rPr>
          <w:rFonts w:ascii="Gill Sans MT" w:hAnsi="Gill Sans MT"/>
          <w:sz w:val="20"/>
          <w:szCs w:val="20"/>
        </w:rPr>
        <w:t xml:space="preserve"> Awareness on Community Feedback Mechanisms</w:t>
      </w:r>
    </w:p>
    <w:tbl>
      <w:tblPr>
        <w:tblW w:w="9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530"/>
        <w:gridCol w:w="1440"/>
        <w:gridCol w:w="1259"/>
        <w:gridCol w:w="1644"/>
        <w:gridCol w:w="1149"/>
      </w:tblGrid>
      <w:tr w:rsidR="00A52509" w:rsidRPr="00A52509" w14:paraId="15CBA571" w14:textId="77777777" w:rsidTr="00A52509">
        <w:trPr>
          <w:trHeight w:val="300"/>
        </w:trPr>
        <w:tc>
          <w:tcPr>
            <w:tcW w:w="4155" w:type="dxa"/>
            <w:gridSpan w:val="2"/>
            <w:shd w:val="clear" w:color="auto" w:fill="D9D9D9" w:themeFill="background1" w:themeFillShade="D9"/>
            <w:noWrap/>
            <w:vAlign w:val="bottom"/>
            <w:hideMark/>
          </w:tcPr>
          <w:p w14:paraId="1A633E05"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b/>
                <w:color w:val="000000"/>
                <w:sz w:val="18"/>
                <w:szCs w:val="18"/>
                <w:lang w:val="en-GB" w:eastAsia="en-GB"/>
              </w:rPr>
              <w:t>Awareness of formal mechanism or procedures in place to report concerns or grievances on this project</w:t>
            </w:r>
          </w:p>
        </w:tc>
        <w:tc>
          <w:tcPr>
            <w:tcW w:w="1440" w:type="dxa"/>
            <w:shd w:val="clear" w:color="auto" w:fill="D9D9D9" w:themeFill="background1" w:themeFillShade="D9"/>
            <w:noWrap/>
            <w:vAlign w:val="bottom"/>
            <w:hideMark/>
          </w:tcPr>
          <w:p w14:paraId="6C4F0BDF"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Returnee</w:t>
            </w:r>
          </w:p>
        </w:tc>
        <w:tc>
          <w:tcPr>
            <w:tcW w:w="1259" w:type="dxa"/>
            <w:shd w:val="clear" w:color="auto" w:fill="D9D9D9" w:themeFill="background1" w:themeFillShade="D9"/>
            <w:noWrap/>
            <w:vAlign w:val="bottom"/>
            <w:hideMark/>
          </w:tcPr>
          <w:p w14:paraId="2F8763D9"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IDP</w:t>
            </w:r>
          </w:p>
        </w:tc>
        <w:tc>
          <w:tcPr>
            <w:tcW w:w="1644" w:type="dxa"/>
            <w:shd w:val="clear" w:color="auto" w:fill="D9D9D9" w:themeFill="background1" w:themeFillShade="D9"/>
            <w:noWrap/>
            <w:vAlign w:val="bottom"/>
            <w:hideMark/>
          </w:tcPr>
          <w:p w14:paraId="780E3CA4"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Host Community</w:t>
            </w:r>
          </w:p>
        </w:tc>
        <w:tc>
          <w:tcPr>
            <w:tcW w:w="1149" w:type="dxa"/>
            <w:shd w:val="clear" w:color="auto" w:fill="D9D9D9" w:themeFill="background1" w:themeFillShade="D9"/>
            <w:noWrap/>
            <w:vAlign w:val="bottom"/>
            <w:hideMark/>
          </w:tcPr>
          <w:p w14:paraId="5539645A" w14:textId="77777777" w:rsidR="00A52509" w:rsidRPr="00A52509" w:rsidRDefault="00A52509" w:rsidP="001D4DE4">
            <w:pPr>
              <w:rPr>
                <w:rFonts w:ascii="Gill Sans MT" w:hAnsi="Gill Sans MT" w:cs="Calibri"/>
                <w:b/>
                <w:color w:val="000000"/>
                <w:sz w:val="18"/>
                <w:szCs w:val="18"/>
                <w:lang w:val="en-GB" w:eastAsia="en-GB"/>
              </w:rPr>
            </w:pPr>
            <w:r w:rsidRPr="00A52509">
              <w:rPr>
                <w:rFonts w:ascii="Gill Sans MT" w:hAnsi="Gill Sans MT" w:cs="Calibri"/>
                <w:b/>
                <w:color w:val="000000"/>
                <w:sz w:val="18"/>
                <w:szCs w:val="18"/>
                <w:lang w:val="en-GB" w:eastAsia="en-GB"/>
              </w:rPr>
              <w:t>Combined Total</w:t>
            </w:r>
          </w:p>
        </w:tc>
      </w:tr>
      <w:tr w:rsidR="00A52509" w:rsidRPr="00A52509" w14:paraId="26E7FD8A" w14:textId="77777777" w:rsidTr="00A52509">
        <w:trPr>
          <w:trHeight w:val="207"/>
        </w:trPr>
        <w:tc>
          <w:tcPr>
            <w:tcW w:w="2625" w:type="dxa"/>
            <w:shd w:val="clear" w:color="auto" w:fill="auto"/>
            <w:noWrap/>
            <w:vAlign w:val="bottom"/>
            <w:hideMark/>
          </w:tcPr>
          <w:p w14:paraId="4096A43C"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Yes</w:t>
            </w:r>
          </w:p>
        </w:tc>
        <w:tc>
          <w:tcPr>
            <w:tcW w:w="1530" w:type="dxa"/>
            <w:shd w:val="clear" w:color="auto" w:fill="auto"/>
            <w:noWrap/>
            <w:vAlign w:val="bottom"/>
            <w:hideMark/>
          </w:tcPr>
          <w:p w14:paraId="6E2776DF"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w:t>
            </w:r>
          </w:p>
          <w:p w14:paraId="7B084A7C"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 xml:space="preserve">% </w:t>
            </w:r>
          </w:p>
        </w:tc>
        <w:tc>
          <w:tcPr>
            <w:tcW w:w="1440" w:type="dxa"/>
            <w:shd w:val="clear" w:color="auto" w:fill="auto"/>
            <w:noWrap/>
            <w:vAlign w:val="bottom"/>
            <w:hideMark/>
          </w:tcPr>
          <w:p w14:paraId="081E7275"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77</w:t>
            </w:r>
          </w:p>
          <w:p w14:paraId="1319AC47"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38.5%</w:t>
            </w:r>
          </w:p>
        </w:tc>
        <w:tc>
          <w:tcPr>
            <w:tcW w:w="1259" w:type="dxa"/>
            <w:shd w:val="clear" w:color="auto" w:fill="auto"/>
            <w:noWrap/>
            <w:vAlign w:val="bottom"/>
            <w:hideMark/>
          </w:tcPr>
          <w:p w14:paraId="5AF2D4FE"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34</w:t>
            </w:r>
          </w:p>
          <w:p w14:paraId="30E1ECC4"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16.7%</w:t>
            </w:r>
          </w:p>
        </w:tc>
        <w:tc>
          <w:tcPr>
            <w:tcW w:w="1644" w:type="dxa"/>
            <w:shd w:val="clear" w:color="auto" w:fill="auto"/>
            <w:noWrap/>
            <w:vAlign w:val="bottom"/>
            <w:hideMark/>
          </w:tcPr>
          <w:p w14:paraId="6644E288"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7</w:t>
            </w:r>
          </w:p>
          <w:p w14:paraId="7BB3789C"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3.6%</w:t>
            </w:r>
          </w:p>
        </w:tc>
        <w:tc>
          <w:tcPr>
            <w:tcW w:w="1149" w:type="dxa"/>
            <w:shd w:val="clear" w:color="auto" w:fill="auto"/>
            <w:noWrap/>
            <w:vAlign w:val="bottom"/>
            <w:hideMark/>
          </w:tcPr>
          <w:p w14:paraId="2F26E685"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118</w:t>
            </w:r>
          </w:p>
          <w:p w14:paraId="02663ABC"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19.7%</w:t>
            </w:r>
          </w:p>
        </w:tc>
      </w:tr>
      <w:tr w:rsidR="00A52509" w:rsidRPr="00A52509" w14:paraId="60621383" w14:textId="77777777" w:rsidTr="00A52509">
        <w:trPr>
          <w:trHeight w:val="47"/>
        </w:trPr>
        <w:tc>
          <w:tcPr>
            <w:tcW w:w="2625" w:type="dxa"/>
            <w:shd w:val="clear" w:color="auto" w:fill="auto"/>
            <w:noWrap/>
            <w:vAlign w:val="bottom"/>
            <w:hideMark/>
          </w:tcPr>
          <w:p w14:paraId="2CF6564D"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No</w:t>
            </w:r>
          </w:p>
        </w:tc>
        <w:tc>
          <w:tcPr>
            <w:tcW w:w="1530" w:type="dxa"/>
            <w:shd w:val="clear" w:color="auto" w:fill="auto"/>
            <w:noWrap/>
            <w:vAlign w:val="bottom"/>
            <w:hideMark/>
          </w:tcPr>
          <w:p w14:paraId="0159972D"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w:t>
            </w:r>
          </w:p>
          <w:p w14:paraId="65094C99"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 xml:space="preserve">% </w:t>
            </w:r>
          </w:p>
        </w:tc>
        <w:tc>
          <w:tcPr>
            <w:tcW w:w="1440" w:type="dxa"/>
            <w:shd w:val="clear" w:color="auto" w:fill="auto"/>
            <w:noWrap/>
            <w:vAlign w:val="bottom"/>
            <w:hideMark/>
          </w:tcPr>
          <w:p w14:paraId="30CC6CB7"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123</w:t>
            </w:r>
          </w:p>
          <w:p w14:paraId="2D737356"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61.5%</w:t>
            </w:r>
          </w:p>
        </w:tc>
        <w:tc>
          <w:tcPr>
            <w:tcW w:w="1259" w:type="dxa"/>
            <w:shd w:val="clear" w:color="auto" w:fill="auto"/>
            <w:noWrap/>
            <w:vAlign w:val="bottom"/>
            <w:hideMark/>
          </w:tcPr>
          <w:p w14:paraId="411C6F54"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169</w:t>
            </w:r>
          </w:p>
          <w:p w14:paraId="7AE7AF1F"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83.3%</w:t>
            </w:r>
          </w:p>
        </w:tc>
        <w:tc>
          <w:tcPr>
            <w:tcW w:w="1644" w:type="dxa"/>
            <w:shd w:val="clear" w:color="auto" w:fill="auto"/>
            <w:noWrap/>
            <w:vAlign w:val="bottom"/>
            <w:hideMark/>
          </w:tcPr>
          <w:p w14:paraId="25362EA6"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188</w:t>
            </w:r>
          </w:p>
          <w:p w14:paraId="2AA86FD8"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96.4%</w:t>
            </w:r>
          </w:p>
        </w:tc>
        <w:tc>
          <w:tcPr>
            <w:tcW w:w="1149" w:type="dxa"/>
            <w:shd w:val="clear" w:color="auto" w:fill="auto"/>
            <w:noWrap/>
            <w:vAlign w:val="bottom"/>
            <w:hideMark/>
          </w:tcPr>
          <w:p w14:paraId="1AD78DA2"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480</w:t>
            </w:r>
          </w:p>
          <w:p w14:paraId="5A61435C"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80.3%</w:t>
            </w:r>
          </w:p>
        </w:tc>
      </w:tr>
      <w:tr w:rsidR="00A52509" w:rsidRPr="00A52509" w14:paraId="146B5754" w14:textId="77777777" w:rsidTr="00A52509">
        <w:trPr>
          <w:trHeight w:val="98"/>
        </w:trPr>
        <w:tc>
          <w:tcPr>
            <w:tcW w:w="2625" w:type="dxa"/>
            <w:shd w:val="clear" w:color="auto" w:fill="D9D9D9" w:themeFill="background1" w:themeFillShade="D9"/>
            <w:noWrap/>
            <w:vAlign w:val="bottom"/>
            <w:hideMark/>
          </w:tcPr>
          <w:p w14:paraId="2D93626E"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Total</w:t>
            </w:r>
          </w:p>
        </w:tc>
        <w:tc>
          <w:tcPr>
            <w:tcW w:w="1530" w:type="dxa"/>
            <w:shd w:val="clear" w:color="auto" w:fill="D9D9D9" w:themeFill="background1" w:themeFillShade="D9"/>
            <w:noWrap/>
            <w:vAlign w:val="bottom"/>
            <w:hideMark/>
          </w:tcPr>
          <w:p w14:paraId="0A33E7A3"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N</w:t>
            </w:r>
          </w:p>
          <w:p w14:paraId="044A0B3F" w14:textId="77777777" w:rsidR="00A52509" w:rsidRPr="00A52509" w:rsidRDefault="00A52509" w:rsidP="001D4DE4">
            <w:pP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 xml:space="preserve">% </w:t>
            </w:r>
          </w:p>
        </w:tc>
        <w:tc>
          <w:tcPr>
            <w:tcW w:w="1440" w:type="dxa"/>
            <w:shd w:val="clear" w:color="auto" w:fill="D9D9D9" w:themeFill="background1" w:themeFillShade="D9"/>
            <w:noWrap/>
            <w:vAlign w:val="bottom"/>
            <w:hideMark/>
          </w:tcPr>
          <w:p w14:paraId="279E17C0"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200</w:t>
            </w:r>
          </w:p>
          <w:p w14:paraId="7701EC80"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100%</w:t>
            </w:r>
          </w:p>
        </w:tc>
        <w:tc>
          <w:tcPr>
            <w:tcW w:w="1259" w:type="dxa"/>
            <w:shd w:val="clear" w:color="auto" w:fill="D9D9D9" w:themeFill="background1" w:themeFillShade="D9"/>
            <w:noWrap/>
            <w:vAlign w:val="bottom"/>
            <w:hideMark/>
          </w:tcPr>
          <w:p w14:paraId="1FDADCD8"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203</w:t>
            </w:r>
          </w:p>
          <w:p w14:paraId="2A5704FD"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100%</w:t>
            </w:r>
          </w:p>
        </w:tc>
        <w:tc>
          <w:tcPr>
            <w:tcW w:w="1644" w:type="dxa"/>
            <w:shd w:val="clear" w:color="auto" w:fill="D9D9D9" w:themeFill="background1" w:themeFillShade="D9"/>
            <w:noWrap/>
            <w:vAlign w:val="bottom"/>
            <w:hideMark/>
          </w:tcPr>
          <w:p w14:paraId="6767326D"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195</w:t>
            </w:r>
          </w:p>
          <w:p w14:paraId="7D067B9A"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100%</w:t>
            </w:r>
          </w:p>
        </w:tc>
        <w:tc>
          <w:tcPr>
            <w:tcW w:w="1149" w:type="dxa"/>
            <w:shd w:val="clear" w:color="auto" w:fill="D9D9D9" w:themeFill="background1" w:themeFillShade="D9"/>
            <w:noWrap/>
            <w:vAlign w:val="bottom"/>
            <w:hideMark/>
          </w:tcPr>
          <w:p w14:paraId="7CC0B462"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598</w:t>
            </w:r>
          </w:p>
          <w:p w14:paraId="07D513F5" w14:textId="77777777" w:rsidR="00A52509" w:rsidRPr="00A52509" w:rsidRDefault="00A52509" w:rsidP="001D4DE4">
            <w:pPr>
              <w:jc w:val="center"/>
              <w:rPr>
                <w:rFonts w:ascii="Gill Sans MT" w:hAnsi="Gill Sans MT" w:cs="Calibri"/>
                <w:color w:val="000000"/>
                <w:sz w:val="18"/>
                <w:szCs w:val="18"/>
                <w:lang w:val="en-GB" w:eastAsia="en-GB"/>
              </w:rPr>
            </w:pPr>
            <w:r w:rsidRPr="00A52509">
              <w:rPr>
                <w:rFonts w:ascii="Gill Sans MT" w:hAnsi="Gill Sans MT" w:cs="Calibri"/>
                <w:color w:val="000000"/>
                <w:sz w:val="18"/>
                <w:szCs w:val="18"/>
                <w:lang w:val="en-GB" w:eastAsia="en-GB"/>
              </w:rPr>
              <w:t>100%</w:t>
            </w:r>
          </w:p>
        </w:tc>
      </w:tr>
    </w:tbl>
    <w:p w14:paraId="38BB0DAF" w14:textId="77777777" w:rsidR="00A52509" w:rsidRDefault="00A52509" w:rsidP="00A52509"/>
    <w:p w14:paraId="7CD5DE37" w14:textId="71EE5C61" w:rsidR="00A96CFF" w:rsidRDefault="00A96CFF" w:rsidP="00230515">
      <w:pPr>
        <w:tabs>
          <w:tab w:val="left" w:pos="3968"/>
        </w:tabs>
        <w:spacing w:line="276" w:lineRule="auto"/>
        <w:jc w:val="both"/>
        <w:rPr>
          <w:rFonts w:ascii="Gill Sans MT" w:hAnsi="Gill Sans MT"/>
          <w:sz w:val="20"/>
          <w:szCs w:val="20"/>
          <w:lang w:val="en-GB"/>
        </w:rPr>
      </w:pPr>
      <w:r w:rsidRPr="00B62036">
        <w:rPr>
          <w:rFonts w:ascii="Gill Sans MT" w:hAnsi="Gill Sans MT"/>
          <w:sz w:val="20"/>
          <w:szCs w:val="20"/>
          <w:lang w:val="en-GB"/>
        </w:rPr>
        <w:t>For those who reported to be aware of community feedback</w:t>
      </w:r>
      <w:r w:rsidR="00130B54" w:rsidRPr="00B62036">
        <w:rPr>
          <w:rFonts w:ascii="Gill Sans MT" w:hAnsi="Gill Sans MT"/>
          <w:sz w:val="20"/>
          <w:szCs w:val="20"/>
          <w:lang w:val="en-GB"/>
        </w:rPr>
        <w:t xml:space="preserve"> mechanisms, they reported that </w:t>
      </w:r>
      <w:r w:rsidRPr="00B62036">
        <w:rPr>
          <w:rFonts w:ascii="Gill Sans MT" w:hAnsi="Gill Sans MT"/>
          <w:sz w:val="20"/>
          <w:szCs w:val="20"/>
          <w:lang w:val="en-GB"/>
        </w:rPr>
        <w:t>grievance</w:t>
      </w:r>
      <w:r w:rsidR="00E90AFD" w:rsidRPr="00B62036">
        <w:rPr>
          <w:rFonts w:ascii="Gill Sans MT" w:hAnsi="Gill Sans MT"/>
          <w:sz w:val="20"/>
          <w:szCs w:val="20"/>
          <w:lang w:val="en-GB"/>
        </w:rPr>
        <w:t>s or concerns we</w:t>
      </w:r>
      <w:r w:rsidRPr="00B62036">
        <w:rPr>
          <w:rFonts w:ascii="Gill Sans MT" w:hAnsi="Gill Sans MT"/>
          <w:sz w:val="20"/>
          <w:szCs w:val="20"/>
          <w:lang w:val="en-GB"/>
        </w:rPr>
        <w:t xml:space="preserve">re mainly channelled through friends (55.9%) or phone calls (50%), which are largely considered as informal mechanism. </w:t>
      </w:r>
    </w:p>
    <w:p w14:paraId="3EA5811D" w14:textId="77777777" w:rsidR="00EA7389" w:rsidRDefault="00EA7389" w:rsidP="00230515">
      <w:pPr>
        <w:tabs>
          <w:tab w:val="left" w:pos="3968"/>
        </w:tabs>
        <w:spacing w:line="276" w:lineRule="auto"/>
        <w:jc w:val="both"/>
        <w:rPr>
          <w:rFonts w:ascii="Gill Sans MT" w:hAnsi="Gill Sans MT"/>
          <w:sz w:val="20"/>
          <w:szCs w:val="20"/>
          <w:lang w:val="en-GB"/>
        </w:rPr>
      </w:pPr>
    </w:p>
    <w:p w14:paraId="6E5719B6" w14:textId="77777777" w:rsidR="00EA7389" w:rsidRDefault="00EA7389" w:rsidP="00230515">
      <w:pPr>
        <w:tabs>
          <w:tab w:val="left" w:pos="3968"/>
        </w:tabs>
        <w:spacing w:line="276" w:lineRule="auto"/>
        <w:jc w:val="both"/>
        <w:rPr>
          <w:rFonts w:ascii="Gill Sans MT" w:hAnsi="Gill Sans MT"/>
          <w:sz w:val="20"/>
          <w:szCs w:val="20"/>
          <w:lang w:val="en-GB"/>
        </w:rPr>
      </w:pPr>
    </w:p>
    <w:p w14:paraId="1E8255B4" w14:textId="77777777" w:rsidR="00EA7389" w:rsidRDefault="00EA7389" w:rsidP="00230515">
      <w:pPr>
        <w:tabs>
          <w:tab w:val="left" w:pos="3968"/>
        </w:tabs>
        <w:spacing w:line="276" w:lineRule="auto"/>
        <w:jc w:val="both"/>
        <w:rPr>
          <w:rFonts w:ascii="Gill Sans MT" w:hAnsi="Gill Sans MT"/>
          <w:sz w:val="20"/>
          <w:szCs w:val="20"/>
          <w:lang w:val="en-GB"/>
        </w:rPr>
      </w:pPr>
    </w:p>
    <w:p w14:paraId="091E942A" w14:textId="77777777" w:rsidR="00EA7389" w:rsidRDefault="00EA7389" w:rsidP="00230515">
      <w:pPr>
        <w:tabs>
          <w:tab w:val="left" w:pos="3968"/>
        </w:tabs>
        <w:spacing w:line="276" w:lineRule="auto"/>
        <w:jc w:val="both"/>
        <w:rPr>
          <w:rFonts w:ascii="Gill Sans MT" w:hAnsi="Gill Sans MT"/>
          <w:sz w:val="20"/>
          <w:szCs w:val="20"/>
          <w:lang w:val="en-GB"/>
        </w:rPr>
      </w:pPr>
    </w:p>
    <w:p w14:paraId="62DB287F" w14:textId="77777777" w:rsidR="001D4DE4" w:rsidRPr="00B62036" w:rsidRDefault="001D4DE4" w:rsidP="00230515">
      <w:pPr>
        <w:tabs>
          <w:tab w:val="left" w:pos="3968"/>
        </w:tabs>
        <w:spacing w:line="276" w:lineRule="auto"/>
        <w:jc w:val="both"/>
        <w:rPr>
          <w:rFonts w:ascii="Gill Sans MT" w:hAnsi="Gill Sans MT"/>
          <w:sz w:val="20"/>
          <w:szCs w:val="20"/>
          <w:lang w:val="en-GB"/>
        </w:rPr>
      </w:pPr>
    </w:p>
    <w:p w14:paraId="09BB0E97" w14:textId="71B9E2D8" w:rsidR="00BD38FC" w:rsidRPr="00B62036" w:rsidRDefault="00A96CFF" w:rsidP="00230515">
      <w:pPr>
        <w:pStyle w:val="Caption"/>
        <w:jc w:val="both"/>
        <w:rPr>
          <w:rFonts w:ascii="Gill Sans MT" w:hAnsi="Gill Sans MT"/>
          <w:sz w:val="20"/>
          <w:szCs w:val="20"/>
          <w:lang w:val="en-GB"/>
        </w:rPr>
      </w:pPr>
      <w:r w:rsidRPr="00B62036">
        <w:rPr>
          <w:rFonts w:ascii="Gill Sans MT" w:hAnsi="Gill Sans MT"/>
          <w:sz w:val="20"/>
          <w:szCs w:val="20"/>
        </w:rPr>
        <w:lastRenderedPageBreak/>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17</w:t>
      </w:r>
      <w:r w:rsidR="00AF3DCE" w:rsidRPr="00B62036">
        <w:rPr>
          <w:rFonts w:ascii="Gill Sans MT" w:hAnsi="Gill Sans MT"/>
          <w:noProof/>
          <w:sz w:val="20"/>
          <w:szCs w:val="20"/>
        </w:rPr>
        <w:fldChar w:fldCharType="end"/>
      </w:r>
      <w:r w:rsidRPr="00B62036">
        <w:rPr>
          <w:rFonts w:ascii="Gill Sans MT" w:hAnsi="Gill Sans MT"/>
          <w:sz w:val="20"/>
          <w:szCs w:val="20"/>
        </w:rPr>
        <w:t xml:space="preserve"> Channels for Submitting Grievances</w:t>
      </w:r>
    </w:p>
    <w:tbl>
      <w:tblPr>
        <w:tblStyle w:val="LightList-Accent3"/>
        <w:tblW w:w="5000" w:type="pct"/>
        <w:tblLook w:val="04A0" w:firstRow="1" w:lastRow="0" w:firstColumn="1" w:lastColumn="0" w:noHBand="0" w:noVBand="1"/>
      </w:tblPr>
      <w:tblGrid>
        <w:gridCol w:w="5809"/>
        <w:gridCol w:w="1858"/>
        <w:gridCol w:w="1909"/>
      </w:tblGrid>
      <w:tr w:rsidR="00BD38FC" w:rsidRPr="00B62036" w14:paraId="1DCBDF87" w14:textId="77777777" w:rsidTr="001D4DE4">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033" w:type="pct"/>
            <w:vMerge w:val="restart"/>
            <w:shd w:val="clear" w:color="auto" w:fill="D9D9D9" w:themeFill="background1" w:themeFillShade="D9"/>
            <w:noWrap/>
          </w:tcPr>
          <w:p w14:paraId="682B74AB" w14:textId="77777777" w:rsidR="00BD38FC" w:rsidRPr="001D4DE4" w:rsidRDefault="00BD38FC" w:rsidP="00230515">
            <w:pPr>
              <w:jc w:val="both"/>
              <w:rPr>
                <w:rFonts w:ascii="Gill Sans MT" w:hAnsi="Gill Sans MT" w:cs="Calibri"/>
                <w:color w:val="000000"/>
                <w:sz w:val="20"/>
                <w:szCs w:val="20"/>
                <w:lang w:val="en-GB" w:eastAsia="en-GB"/>
              </w:rPr>
            </w:pPr>
            <w:r w:rsidRPr="001D4DE4">
              <w:rPr>
                <w:rFonts w:ascii="Gill Sans MT" w:hAnsi="Gill Sans MT" w:cs="Calibri"/>
                <w:color w:val="000000"/>
                <w:sz w:val="20"/>
                <w:szCs w:val="20"/>
                <w:lang w:val="en-GB" w:eastAsia="en-GB"/>
              </w:rPr>
              <w:t>Channel for grievances</w:t>
            </w:r>
          </w:p>
        </w:tc>
        <w:tc>
          <w:tcPr>
            <w:tcW w:w="1967" w:type="pct"/>
            <w:gridSpan w:val="2"/>
            <w:shd w:val="clear" w:color="auto" w:fill="D9D9D9" w:themeFill="background1" w:themeFillShade="D9"/>
            <w:noWrap/>
          </w:tcPr>
          <w:p w14:paraId="6627BEB4" w14:textId="77777777" w:rsidR="00BD38FC" w:rsidRPr="001D4DE4" w:rsidRDefault="00BD38FC" w:rsidP="00230515">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1D4DE4">
              <w:rPr>
                <w:rFonts w:ascii="Gill Sans MT" w:hAnsi="Gill Sans MT" w:cs="Calibri"/>
                <w:color w:val="000000"/>
                <w:sz w:val="20"/>
                <w:szCs w:val="20"/>
                <w:lang w:val="en-GB" w:eastAsia="en-GB"/>
              </w:rPr>
              <w:t xml:space="preserve">Responses </w:t>
            </w:r>
          </w:p>
        </w:tc>
      </w:tr>
      <w:tr w:rsidR="00BD38FC" w:rsidRPr="00B62036" w14:paraId="71CE0FDC" w14:textId="77777777" w:rsidTr="001D4DE4">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033" w:type="pct"/>
            <w:vMerge/>
            <w:shd w:val="clear" w:color="auto" w:fill="D9D9D9" w:themeFill="background1" w:themeFillShade="D9"/>
            <w:noWrap/>
            <w:hideMark/>
          </w:tcPr>
          <w:p w14:paraId="314AF33E" w14:textId="77777777" w:rsidR="00BD38FC" w:rsidRPr="001D4DE4" w:rsidRDefault="00BD38FC" w:rsidP="00230515">
            <w:pPr>
              <w:jc w:val="both"/>
              <w:rPr>
                <w:rFonts w:ascii="Gill Sans MT" w:hAnsi="Gill Sans MT" w:cs="Calibri"/>
                <w:color w:val="000000"/>
                <w:sz w:val="20"/>
                <w:szCs w:val="20"/>
                <w:lang w:val="en-GB" w:eastAsia="en-GB"/>
              </w:rPr>
            </w:pPr>
          </w:p>
        </w:tc>
        <w:tc>
          <w:tcPr>
            <w:tcW w:w="970" w:type="pct"/>
            <w:shd w:val="clear" w:color="auto" w:fill="D9D9D9" w:themeFill="background1" w:themeFillShade="D9"/>
            <w:noWrap/>
            <w:hideMark/>
          </w:tcPr>
          <w:p w14:paraId="23626A04" w14:textId="77777777" w:rsidR="00BD38FC" w:rsidRPr="001D4DE4"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b/>
                <w:color w:val="000000"/>
                <w:sz w:val="20"/>
                <w:szCs w:val="20"/>
                <w:lang w:val="en-GB" w:eastAsia="en-GB"/>
              </w:rPr>
            </w:pPr>
            <w:r w:rsidRPr="001D4DE4">
              <w:rPr>
                <w:rFonts w:ascii="Gill Sans MT" w:hAnsi="Gill Sans MT" w:cs="Calibri"/>
                <w:b/>
                <w:color w:val="000000"/>
                <w:sz w:val="20"/>
                <w:szCs w:val="20"/>
                <w:lang w:val="en-GB" w:eastAsia="en-GB"/>
              </w:rPr>
              <w:t>N</w:t>
            </w:r>
          </w:p>
        </w:tc>
        <w:tc>
          <w:tcPr>
            <w:tcW w:w="997" w:type="pct"/>
            <w:shd w:val="clear" w:color="auto" w:fill="D9D9D9" w:themeFill="background1" w:themeFillShade="D9"/>
            <w:noWrap/>
            <w:hideMark/>
          </w:tcPr>
          <w:p w14:paraId="1189E2CA" w14:textId="77777777" w:rsidR="00BD38FC" w:rsidRPr="001D4DE4"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b/>
                <w:color w:val="000000"/>
                <w:sz w:val="20"/>
                <w:szCs w:val="20"/>
                <w:lang w:val="en-GB" w:eastAsia="en-GB"/>
              </w:rPr>
            </w:pPr>
            <w:r w:rsidRPr="001D4DE4">
              <w:rPr>
                <w:rFonts w:ascii="Gill Sans MT" w:hAnsi="Gill Sans MT" w:cs="Calibri"/>
                <w:b/>
                <w:color w:val="000000"/>
                <w:sz w:val="20"/>
                <w:szCs w:val="20"/>
                <w:lang w:val="en-GB" w:eastAsia="en-GB"/>
              </w:rPr>
              <w:t>%</w:t>
            </w:r>
          </w:p>
        </w:tc>
      </w:tr>
      <w:tr w:rsidR="00BD38FC" w:rsidRPr="00B62036" w14:paraId="3013657B" w14:textId="77777777" w:rsidTr="001D4DE4">
        <w:trPr>
          <w:trHeight w:val="327"/>
        </w:trPr>
        <w:tc>
          <w:tcPr>
            <w:cnfStyle w:val="001000000000" w:firstRow="0" w:lastRow="0" w:firstColumn="1" w:lastColumn="0" w:oddVBand="0" w:evenVBand="0" w:oddHBand="0" w:evenHBand="0" w:firstRowFirstColumn="0" w:firstRowLastColumn="0" w:lastRowFirstColumn="0" w:lastRowLastColumn="0"/>
            <w:tcW w:w="3033" w:type="pct"/>
            <w:noWrap/>
            <w:hideMark/>
          </w:tcPr>
          <w:p w14:paraId="094358C5" w14:textId="77777777" w:rsidR="00BD38FC" w:rsidRPr="00B62036" w:rsidRDefault="00BD38FC"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Meeting with staff</w:t>
            </w:r>
          </w:p>
        </w:tc>
        <w:tc>
          <w:tcPr>
            <w:tcW w:w="970" w:type="pct"/>
            <w:noWrap/>
            <w:hideMark/>
          </w:tcPr>
          <w:p w14:paraId="77B13C21" w14:textId="77777777" w:rsidR="00BD38FC" w:rsidRPr="00B62036"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27</w:t>
            </w:r>
          </w:p>
        </w:tc>
        <w:tc>
          <w:tcPr>
            <w:tcW w:w="997" w:type="pct"/>
            <w:noWrap/>
            <w:hideMark/>
          </w:tcPr>
          <w:p w14:paraId="655CB187" w14:textId="77777777" w:rsidR="00BD38FC" w:rsidRPr="00B62036"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22.9%</w:t>
            </w:r>
          </w:p>
        </w:tc>
      </w:tr>
      <w:tr w:rsidR="00BD38FC" w:rsidRPr="00B62036" w14:paraId="47F467CA" w14:textId="77777777" w:rsidTr="001D4DE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pct"/>
            <w:noWrap/>
            <w:hideMark/>
          </w:tcPr>
          <w:p w14:paraId="7328E690" w14:textId="77777777" w:rsidR="00BD38FC" w:rsidRPr="00B62036" w:rsidRDefault="00BD38FC"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Through a friend</w:t>
            </w:r>
          </w:p>
        </w:tc>
        <w:tc>
          <w:tcPr>
            <w:tcW w:w="970" w:type="pct"/>
            <w:noWrap/>
            <w:hideMark/>
          </w:tcPr>
          <w:p w14:paraId="03221C13" w14:textId="77777777" w:rsidR="00BD38FC" w:rsidRPr="00B62036"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66</w:t>
            </w:r>
          </w:p>
        </w:tc>
        <w:tc>
          <w:tcPr>
            <w:tcW w:w="997" w:type="pct"/>
            <w:noWrap/>
            <w:hideMark/>
          </w:tcPr>
          <w:p w14:paraId="4E9BBED2" w14:textId="77777777" w:rsidR="00BD38FC" w:rsidRPr="00B62036"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55.9%</w:t>
            </w:r>
          </w:p>
        </w:tc>
      </w:tr>
      <w:tr w:rsidR="00BD38FC" w:rsidRPr="00B62036" w14:paraId="38B98B02" w14:textId="77777777" w:rsidTr="001D4DE4">
        <w:trPr>
          <w:trHeight w:val="327"/>
        </w:trPr>
        <w:tc>
          <w:tcPr>
            <w:cnfStyle w:val="001000000000" w:firstRow="0" w:lastRow="0" w:firstColumn="1" w:lastColumn="0" w:oddVBand="0" w:evenVBand="0" w:oddHBand="0" w:evenHBand="0" w:firstRowFirstColumn="0" w:firstRowLastColumn="0" w:lastRowFirstColumn="0" w:lastRowLastColumn="0"/>
            <w:tcW w:w="3033" w:type="pct"/>
            <w:noWrap/>
            <w:hideMark/>
          </w:tcPr>
          <w:p w14:paraId="063E97A3" w14:textId="77777777" w:rsidR="00BD38FC" w:rsidRPr="00B62036" w:rsidRDefault="00BD38FC"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Notice boards</w:t>
            </w:r>
          </w:p>
        </w:tc>
        <w:tc>
          <w:tcPr>
            <w:tcW w:w="970" w:type="pct"/>
            <w:noWrap/>
            <w:hideMark/>
          </w:tcPr>
          <w:p w14:paraId="2A4C073B" w14:textId="77777777" w:rsidR="00BD38FC" w:rsidRPr="00B62036"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w:t>
            </w:r>
          </w:p>
        </w:tc>
        <w:tc>
          <w:tcPr>
            <w:tcW w:w="997" w:type="pct"/>
            <w:noWrap/>
            <w:hideMark/>
          </w:tcPr>
          <w:p w14:paraId="41BE330F" w14:textId="77777777" w:rsidR="00BD38FC" w:rsidRPr="00B62036"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0.8%</w:t>
            </w:r>
          </w:p>
        </w:tc>
      </w:tr>
      <w:tr w:rsidR="00BD38FC" w:rsidRPr="00B62036" w14:paraId="632F0451" w14:textId="77777777" w:rsidTr="001D4DE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116AD49" w14:textId="77777777" w:rsidR="00BD38FC" w:rsidRPr="00B62036" w:rsidRDefault="00BD38FC"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Through Project committees</w:t>
            </w:r>
          </w:p>
        </w:tc>
        <w:tc>
          <w:tcPr>
            <w:tcW w:w="970" w:type="pct"/>
            <w:noWrap/>
            <w:hideMark/>
          </w:tcPr>
          <w:p w14:paraId="1E029008" w14:textId="77777777" w:rsidR="00BD38FC" w:rsidRPr="00B62036"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19</w:t>
            </w:r>
          </w:p>
        </w:tc>
        <w:tc>
          <w:tcPr>
            <w:tcW w:w="997" w:type="pct"/>
            <w:noWrap/>
            <w:hideMark/>
          </w:tcPr>
          <w:p w14:paraId="635C3375" w14:textId="77777777" w:rsidR="00BD38FC" w:rsidRPr="00B62036"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16.1%</w:t>
            </w:r>
          </w:p>
        </w:tc>
      </w:tr>
      <w:tr w:rsidR="00BD38FC" w:rsidRPr="00B62036" w14:paraId="62B21461" w14:textId="77777777" w:rsidTr="001D4DE4">
        <w:trPr>
          <w:trHeight w:val="327"/>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DC57816" w14:textId="77777777" w:rsidR="00BD38FC" w:rsidRPr="00B62036" w:rsidRDefault="00BD38FC"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Phone call/messages</w:t>
            </w:r>
          </w:p>
        </w:tc>
        <w:tc>
          <w:tcPr>
            <w:tcW w:w="970" w:type="pct"/>
            <w:noWrap/>
            <w:hideMark/>
          </w:tcPr>
          <w:p w14:paraId="3B9CA39B" w14:textId="77777777" w:rsidR="00BD38FC" w:rsidRPr="00B62036"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59</w:t>
            </w:r>
          </w:p>
        </w:tc>
        <w:tc>
          <w:tcPr>
            <w:tcW w:w="997" w:type="pct"/>
            <w:noWrap/>
            <w:hideMark/>
          </w:tcPr>
          <w:p w14:paraId="033D5352" w14:textId="77777777" w:rsidR="00BD38FC" w:rsidRPr="00B62036"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50%</w:t>
            </w:r>
          </w:p>
        </w:tc>
      </w:tr>
      <w:tr w:rsidR="00BD38FC" w:rsidRPr="00B62036" w14:paraId="2C19E86C" w14:textId="77777777" w:rsidTr="001D4DE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pct"/>
            <w:noWrap/>
            <w:hideMark/>
          </w:tcPr>
          <w:p w14:paraId="64C4B1CB" w14:textId="77777777" w:rsidR="00BD38FC" w:rsidRPr="00B62036" w:rsidRDefault="00BD38FC" w:rsidP="00230515">
            <w:pPr>
              <w:jc w:val="both"/>
              <w:rPr>
                <w:rFonts w:ascii="Gill Sans MT" w:hAnsi="Gill Sans MT" w:cs="Calibri"/>
                <w:b w:val="0"/>
                <w:color w:val="000000"/>
                <w:sz w:val="20"/>
                <w:szCs w:val="20"/>
                <w:lang w:val="en-GB" w:eastAsia="en-GB"/>
              </w:rPr>
            </w:pPr>
            <w:r w:rsidRPr="00B62036">
              <w:rPr>
                <w:rFonts w:ascii="Gill Sans MT" w:hAnsi="Gill Sans MT" w:cs="Calibri"/>
                <w:b w:val="0"/>
                <w:color w:val="000000"/>
                <w:sz w:val="20"/>
                <w:szCs w:val="20"/>
                <w:lang w:val="en-GB" w:eastAsia="en-GB"/>
              </w:rPr>
              <w:t>Through camp leader</w:t>
            </w:r>
          </w:p>
        </w:tc>
        <w:tc>
          <w:tcPr>
            <w:tcW w:w="970" w:type="pct"/>
            <w:noWrap/>
            <w:hideMark/>
          </w:tcPr>
          <w:p w14:paraId="68E5A072" w14:textId="77777777" w:rsidR="00BD38FC" w:rsidRPr="00B62036"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9</w:t>
            </w:r>
          </w:p>
        </w:tc>
        <w:tc>
          <w:tcPr>
            <w:tcW w:w="997" w:type="pct"/>
            <w:noWrap/>
            <w:hideMark/>
          </w:tcPr>
          <w:p w14:paraId="4C491E3D" w14:textId="77777777" w:rsidR="00BD38FC" w:rsidRPr="00B62036" w:rsidRDefault="00BD38FC" w:rsidP="00230515">
            <w:pPr>
              <w:jc w:val="both"/>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0"/>
                <w:szCs w:val="20"/>
                <w:lang w:val="en-GB" w:eastAsia="en-GB"/>
              </w:rPr>
            </w:pPr>
            <w:r w:rsidRPr="00B62036">
              <w:rPr>
                <w:rFonts w:ascii="Gill Sans MT" w:hAnsi="Gill Sans MT" w:cs="Calibri"/>
                <w:color w:val="000000"/>
                <w:sz w:val="20"/>
                <w:szCs w:val="20"/>
                <w:lang w:val="en-GB" w:eastAsia="en-GB"/>
              </w:rPr>
              <w:t>7.6%</w:t>
            </w:r>
          </w:p>
        </w:tc>
      </w:tr>
      <w:tr w:rsidR="00BD38FC" w:rsidRPr="001D4DE4" w14:paraId="13451579" w14:textId="77777777" w:rsidTr="001D4DE4">
        <w:trPr>
          <w:trHeight w:val="37"/>
        </w:trPr>
        <w:tc>
          <w:tcPr>
            <w:cnfStyle w:val="001000000000" w:firstRow="0" w:lastRow="0" w:firstColumn="1" w:lastColumn="0" w:oddVBand="0" w:evenVBand="0" w:oddHBand="0" w:evenHBand="0" w:firstRowFirstColumn="0" w:firstRowLastColumn="0" w:lastRowFirstColumn="0" w:lastRowLastColumn="0"/>
            <w:tcW w:w="3033" w:type="pct"/>
            <w:shd w:val="clear" w:color="auto" w:fill="D9D9D9" w:themeFill="background1" w:themeFillShade="D9"/>
            <w:noWrap/>
            <w:hideMark/>
          </w:tcPr>
          <w:p w14:paraId="78F63E0A" w14:textId="77777777" w:rsidR="00BD38FC" w:rsidRPr="001D4DE4" w:rsidRDefault="00BD38FC" w:rsidP="00230515">
            <w:pPr>
              <w:jc w:val="both"/>
              <w:rPr>
                <w:rFonts w:ascii="Gill Sans MT" w:hAnsi="Gill Sans MT" w:cs="Calibri"/>
                <w:color w:val="000000"/>
                <w:sz w:val="20"/>
                <w:szCs w:val="20"/>
                <w:lang w:val="en-GB" w:eastAsia="en-GB"/>
              </w:rPr>
            </w:pPr>
            <w:r w:rsidRPr="001D4DE4">
              <w:rPr>
                <w:rFonts w:ascii="Gill Sans MT" w:hAnsi="Gill Sans MT" w:cs="Calibri"/>
                <w:color w:val="000000"/>
                <w:sz w:val="20"/>
                <w:szCs w:val="20"/>
                <w:lang w:val="en-GB" w:eastAsia="en-GB"/>
              </w:rPr>
              <w:t>Total</w:t>
            </w:r>
          </w:p>
        </w:tc>
        <w:tc>
          <w:tcPr>
            <w:tcW w:w="970" w:type="pct"/>
            <w:shd w:val="clear" w:color="auto" w:fill="D9D9D9" w:themeFill="background1" w:themeFillShade="D9"/>
            <w:noWrap/>
            <w:hideMark/>
          </w:tcPr>
          <w:p w14:paraId="19B6F86D" w14:textId="77777777" w:rsidR="00BD38FC" w:rsidRPr="001D4DE4"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b/>
                <w:color w:val="000000"/>
                <w:sz w:val="20"/>
                <w:szCs w:val="20"/>
                <w:lang w:val="en-GB" w:eastAsia="en-GB"/>
              </w:rPr>
            </w:pPr>
            <w:r w:rsidRPr="001D4DE4">
              <w:rPr>
                <w:rFonts w:ascii="Gill Sans MT" w:hAnsi="Gill Sans MT" w:cs="Calibri"/>
                <w:b/>
                <w:color w:val="000000"/>
                <w:sz w:val="20"/>
                <w:szCs w:val="20"/>
                <w:lang w:val="en-GB" w:eastAsia="en-GB"/>
              </w:rPr>
              <w:t>181</w:t>
            </w:r>
          </w:p>
        </w:tc>
        <w:tc>
          <w:tcPr>
            <w:tcW w:w="997" w:type="pct"/>
            <w:shd w:val="clear" w:color="auto" w:fill="D9D9D9" w:themeFill="background1" w:themeFillShade="D9"/>
            <w:noWrap/>
            <w:hideMark/>
          </w:tcPr>
          <w:p w14:paraId="1B652B91" w14:textId="6AE0C67D" w:rsidR="00BD38FC" w:rsidRPr="001D4DE4" w:rsidRDefault="00BD38FC" w:rsidP="00230515">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b/>
                <w:color w:val="000000"/>
                <w:sz w:val="20"/>
                <w:szCs w:val="20"/>
                <w:lang w:val="en-GB" w:eastAsia="en-GB"/>
              </w:rPr>
            </w:pPr>
            <w:r w:rsidRPr="001D4DE4">
              <w:rPr>
                <w:rFonts w:ascii="Gill Sans MT" w:hAnsi="Gill Sans MT" w:cs="Calibri"/>
                <w:b/>
                <w:color w:val="000000"/>
                <w:sz w:val="20"/>
                <w:szCs w:val="20"/>
                <w:lang w:val="en-GB" w:eastAsia="en-GB"/>
              </w:rPr>
              <w:t>153.4%</w:t>
            </w:r>
            <w:r w:rsidR="001D4DE4">
              <w:rPr>
                <w:rStyle w:val="FootnoteReference"/>
                <w:rFonts w:ascii="Gill Sans MT" w:hAnsi="Gill Sans MT" w:cs="Calibri"/>
                <w:b/>
                <w:color w:val="000000"/>
                <w:sz w:val="20"/>
                <w:szCs w:val="20"/>
                <w:lang w:val="en-GB" w:eastAsia="en-GB"/>
              </w:rPr>
              <w:footnoteReference w:id="14"/>
            </w:r>
          </w:p>
        </w:tc>
      </w:tr>
    </w:tbl>
    <w:p w14:paraId="5C55747C" w14:textId="77777777" w:rsidR="00BD38FC" w:rsidRPr="001D4DE4" w:rsidRDefault="00BD38FC" w:rsidP="00230515">
      <w:pPr>
        <w:tabs>
          <w:tab w:val="left" w:pos="3968"/>
        </w:tabs>
        <w:jc w:val="both"/>
        <w:rPr>
          <w:rFonts w:ascii="Gill Sans MT" w:hAnsi="Gill Sans MT"/>
          <w:b/>
          <w:sz w:val="20"/>
          <w:szCs w:val="20"/>
          <w:lang w:val="en-GB"/>
        </w:rPr>
      </w:pPr>
    </w:p>
    <w:p w14:paraId="75471692" w14:textId="1D4A9836" w:rsidR="00FA5DEC" w:rsidRPr="00B62036" w:rsidRDefault="00FA5DEC" w:rsidP="00230515">
      <w:pPr>
        <w:tabs>
          <w:tab w:val="left" w:pos="3968"/>
        </w:tabs>
        <w:spacing w:line="276" w:lineRule="auto"/>
        <w:jc w:val="both"/>
        <w:rPr>
          <w:rFonts w:ascii="Gill Sans MT" w:hAnsi="Gill Sans MT"/>
          <w:sz w:val="20"/>
          <w:szCs w:val="20"/>
          <w:lang w:val="en-GB"/>
        </w:rPr>
      </w:pPr>
      <w:r w:rsidRPr="00B62036">
        <w:rPr>
          <w:rFonts w:ascii="Gill Sans MT" w:hAnsi="Gill Sans MT"/>
          <w:sz w:val="20"/>
          <w:szCs w:val="20"/>
          <w:lang w:val="en-GB"/>
        </w:rPr>
        <w:t xml:space="preserve">In terms of feedback from the PUNOs and implementing partners, the vast majority (83.4%) of respondents </w:t>
      </w:r>
      <w:r w:rsidR="00E90AFD" w:rsidRPr="00B62036">
        <w:rPr>
          <w:rFonts w:ascii="Gill Sans MT" w:hAnsi="Gill Sans MT"/>
          <w:sz w:val="20"/>
          <w:szCs w:val="20"/>
          <w:lang w:val="en-GB"/>
        </w:rPr>
        <w:t xml:space="preserve">who had submitted complaints/feedback </w:t>
      </w:r>
      <w:r w:rsidRPr="00B62036">
        <w:rPr>
          <w:rFonts w:ascii="Gill Sans MT" w:hAnsi="Gill Sans MT"/>
          <w:sz w:val="20"/>
          <w:szCs w:val="20"/>
          <w:lang w:val="en-GB"/>
        </w:rPr>
        <w:t xml:space="preserve">reported that they did not receive </w:t>
      </w:r>
      <w:r w:rsidR="00E90AFD" w:rsidRPr="00B62036">
        <w:rPr>
          <w:rFonts w:ascii="Gill Sans MT" w:hAnsi="Gill Sans MT" w:cs="Calibri"/>
          <w:color w:val="000000"/>
          <w:sz w:val="20"/>
          <w:szCs w:val="20"/>
        </w:rPr>
        <w:t>response</w:t>
      </w:r>
      <w:r w:rsidRPr="00B62036">
        <w:rPr>
          <w:rFonts w:ascii="Gill Sans MT" w:hAnsi="Gill Sans MT" w:cs="Calibri"/>
          <w:color w:val="000000"/>
          <w:sz w:val="20"/>
          <w:szCs w:val="20"/>
        </w:rPr>
        <w:t xml:space="preserve"> from UNHCR or Partners after reportin</w:t>
      </w:r>
      <w:r w:rsidR="00E90AFD" w:rsidRPr="00B62036">
        <w:rPr>
          <w:rFonts w:ascii="Gill Sans MT" w:hAnsi="Gill Sans MT" w:cs="Calibri"/>
          <w:color w:val="000000"/>
          <w:sz w:val="20"/>
          <w:szCs w:val="20"/>
        </w:rPr>
        <w:t>g concerns or grievances on the</w:t>
      </w:r>
      <w:r w:rsidRPr="00B62036">
        <w:rPr>
          <w:rFonts w:ascii="Gill Sans MT" w:hAnsi="Gill Sans MT" w:cs="Calibri"/>
          <w:color w:val="000000"/>
          <w:sz w:val="20"/>
          <w:szCs w:val="20"/>
        </w:rPr>
        <w:t xml:space="preserve"> project. Only </w:t>
      </w:r>
      <w:r w:rsidRPr="00B62036">
        <w:rPr>
          <w:rFonts w:ascii="Gill Sans MT" w:hAnsi="Gill Sans MT"/>
          <w:sz w:val="20"/>
          <w:szCs w:val="20"/>
          <w:lang w:val="en-GB"/>
        </w:rPr>
        <w:t>16.6% of respond</w:t>
      </w:r>
      <w:r w:rsidR="00417080" w:rsidRPr="00B62036">
        <w:rPr>
          <w:rFonts w:ascii="Gill Sans MT" w:hAnsi="Gill Sans MT"/>
          <w:sz w:val="20"/>
          <w:szCs w:val="20"/>
          <w:lang w:val="en-GB"/>
        </w:rPr>
        <w:t xml:space="preserve">ents </w:t>
      </w:r>
      <w:r w:rsidR="00E90AFD" w:rsidRPr="00B62036">
        <w:rPr>
          <w:rFonts w:ascii="Gill Sans MT" w:hAnsi="Gill Sans MT"/>
          <w:sz w:val="20"/>
          <w:szCs w:val="20"/>
          <w:lang w:val="en-GB"/>
        </w:rPr>
        <w:t>reportedly received</w:t>
      </w:r>
      <w:r w:rsidR="00417080" w:rsidRPr="00B62036">
        <w:rPr>
          <w:rFonts w:ascii="Gill Sans MT" w:hAnsi="Gill Sans MT"/>
          <w:sz w:val="20"/>
          <w:szCs w:val="20"/>
          <w:lang w:val="en-GB"/>
        </w:rPr>
        <w:t xml:space="preserve"> feedback on </w:t>
      </w:r>
      <w:r w:rsidRPr="00B62036">
        <w:rPr>
          <w:rFonts w:ascii="Gill Sans MT" w:hAnsi="Gill Sans MT"/>
          <w:sz w:val="20"/>
          <w:szCs w:val="20"/>
          <w:lang w:val="en-GB"/>
        </w:rPr>
        <w:t>grievances/concerns that they had raised</w:t>
      </w:r>
    </w:p>
    <w:p w14:paraId="7CB045BE" w14:textId="520DC4E3" w:rsidR="00BD38FC" w:rsidRPr="00B62036" w:rsidRDefault="00BD38FC" w:rsidP="00230515">
      <w:pPr>
        <w:tabs>
          <w:tab w:val="left" w:pos="3968"/>
        </w:tabs>
        <w:jc w:val="both"/>
        <w:rPr>
          <w:rFonts w:ascii="Gill Sans MT" w:hAnsi="Gill Sans MT"/>
          <w:sz w:val="20"/>
          <w:szCs w:val="20"/>
          <w:lang w:val="en-GB"/>
        </w:rPr>
      </w:pPr>
    </w:p>
    <w:p w14:paraId="117088A8" w14:textId="5BC5FB61" w:rsidR="00BD38FC" w:rsidRDefault="00FA5DEC" w:rsidP="00230515">
      <w:pPr>
        <w:pStyle w:val="Caption"/>
        <w:jc w:val="both"/>
        <w:rPr>
          <w:rFonts w:ascii="Gill Sans MT" w:hAnsi="Gill Sans MT"/>
          <w:sz w:val="20"/>
          <w:szCs w:val="20"/>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18</w:t>
      </w:r>
      <w:r w:rsidR="00AF3DCE" w:rsidRPr="00B62036">
        <w:rPr>
          <w:rFonts w:ascii="Gill Sans MT" w:hAnsi="Gill Sans MT"/>
          <w:noProof/>
          <w:sz w:val="20"/>
          <w:szCs w:val="20"/>
        </w:rPr>
        <w:fldChar w:fldCharType="end"/>
      </w:r>
      <w:r w:rsidR="00727507" w:rsidRPr="00B62036">
        <w:rPr>
          <w:rFonts w:ascii="Gill Sans MT" w:hAnsi="Gill Sans MT"/>
          <w:sz w:val="20"/>
          <w:szCs w:val="20"/>
        </w:rPr>
        <w:t xml:space="preserve"> Feedbacks</w:t>
      </w:r>
      <w:r w:rsidRPr="00B62036">
        <w:rPr>
          <w:rFonts w:ascii="Gill Sans MT" w:hAnsi="Gill Sans MT"/>
          <w:sz w:val="20"/>
          <w:szCs w:val="20"/>
        </w:rPr>
        <w:t xml:space="preserve"> from </w:t>
      </w:r>
      <w:r w:rsidR="001D4DE4" w:rsidRPr="001D4DE4">
        <w:rPr>
          <w:rFonts w:ascii="Gill Sans MT" w:hAnsi="Gill Sans MT"/>
          <w:sz w:val="20"/>
          <w:szCs w:val="20"/>
        </w:rPr>
        <w:t xml:space="preserve">UNHCR or </w:t>
      </w:r>
      <w:r w:rsidR="001D4DE4">
        <w:rPr>
          <w:rFonts w:ascii="Gill Sans MT" w:hAnsi="Gill Sans MT"/>
          <w:sz w:val="20"/>
          <w:szCs w:val="20"/>
        </w:rPr>
        <w:t xml:space="preserve">PUNO </w:t>
      </w:r>
      <w:r w:rsidR="001D4DE4" w:rsidRPr="001D4DE4">
        <w:rPr>
          <w:rFonts w:ascii="Gill Sans MT" w:hAnsi="Gill Sans MT"/>
          <w:sz w:val="20"/>
          <w:szCs w:val="20"/>
        </w:rPr>
        <w:t xml:space="preserve">Partners </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900"/>
        <w:gridCol w:w="1260"/>
        <w:gridCol w:w="1080"/>
        <w:gridCol w:w="1440"/>
        <w:gridCol w:w="1350"/>
      </w:tblGrid>
      <w:tr w:rsidR="001D4DE4" w:rsidRPr="001D4DE4" w14:paraId="030E1E2E" w14:textId="77777777" w:rsidTr="001D4DE4">
        <w:trPr>
          <w:trHeight w:val="145"/>
        </w:trPr>
        <w:tc>
          <w:tcPr>
            <w:tcW w:w="4425" w:type="dxa"/>
            <w:gridSpan w:val="2"/>
            <w:shd w:val="clear" w:color="auto" w:fill="D9D9D9" w:themeFill="background1" w:themeFillShade="D9"/>
            <w:noWrap/>
            <w:vAlign w:val="bottom"/>
            <w:hideMark/>
          </w:tcPr>
          <w:p w14:paraId="5E6F7E72"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b/>
                <w:color w:val="000000"/>
                <w:sz w:val="18"/>
                <w:szCs w:val="18"/>
                <w:lang w:val="en-GB" w:eastAsia="en-GB"/>
              </w:rPr>
              <w:t>Receive feedback from UNHCR or Partners after reporting  concerns or grievances on this project</w:t>
            </w:r>
          </w:p>
        </w:tc>
        <w:tc>
          <w:tcPr>
            <w:tcW w:w="1260" w:type="dxa"/>
            <w:shd w:val="clear" w:color="auto" w:fill="D9D9D9" w:themeFill="background1" w:themeFillShade="D9"/>
            <w:noWrap/>
            <w:vAlign w:val="bottom"/>
            <w:hideMark/>
          </w:tcPr>
          <w:p w14:paraId="7652B2ED"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Returnee</w:t>
            </w:r>
          </w:p>
        </w:tc>
        <w:tc>
          <w:tcPr>
            <w:tcW w:w="1080" w:type="dxa"/>
            <w:shd w:val="clear" w:color="auto" w:fill="D9D9D9" w:themeFill="background1" w:themeFillShade="D9"/>
            <w:noWrap/>
            <w:vAlign w:val="bottom"/>
            <w:hideMark/>
          </w:tcPr>
          <w:p w14:paraId="5DA7344B"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IDP</w:t>
            </w:r>
          </w:p>
        </w:tc>
        <w:tc>
          <w:tcPr>
            <w:tcW w:w="1440" w:type="dxa"/>
            <w:shd w:val="clear" w:color="auto" w:fill="D9D9D9" w:themeFill="background1" w:themeFillShade="D9"/>
            <w:noWrap/>
            <w:vAlign w:val="bottom"/>
            <w:hideMark/>
          </w:tcPr>
          <w:p w14:paraId="728E075F"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Host Community</w:t>
            </w:r>
          </w:p>
        </w:tc>
        <w:tc>
          <w:tcPr>
            <w:tcW w:w="1350" w:type="dxa"/>
            <w:shd w:val="clear" w:color="auto" w:fill="D9D9D9" w:themeFill="background1" w:themeFillShade="D9"/>
            <w:noWrap/>
            <w:vAlign w:val="bottom"/>
            <w:hideMark/>
          </w:tcPr>
          <w:p w14:paraId="4DBDB774"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 xml:space="preserve">Combined </w:t>
            </w:r>
          </w:p>
          <w:p w14:paraId="0233C538"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Total</w:t>
            </w:r>
          </w:p>
          <w:p w14:paraId="1721B449" w14:textId="77777777" w:rsidR="001D4DE4" w:rsidRPr="001D4DE4" w:rsidRDefault="001D4DE4" w:rsidP="001D4DE4">
            <w:pPr>
              <w:rPr>
                <w:rFonts w:ascii="Gill Sans MT" w:hAnsi="Gill Sans MT" w:cs="Calibri"/>
                <w:color w:val="000000"/>
                <w:sz w:val="18"/>
                <w:szCs w:val="18"/>
                <w:lang w:val="en-GB" w:eastAsia="en-GB"/>
              </w:rPr>
            </w:pPr>
          </w:p>
        </w:tc>
      </w:tr>
      <w:tr w:rsidR="001D4DE4" w:rsidRPr="001D4DE4" w14:paraId="70D7C9E8" w14:textId="77777777" w:rsidTr="001D4DE4">
        <w:trPr>
          <w:trHeight w:val="70"/>
        </w:trPr>
        <w:tc>
          <w:tcPr>
            <w:tcW w:w="3525" w:type="dxa"/>
            <w:shd w:val="clear" w:color="auto" w:fill="auto"/>
            <w:noWrap/>
            <w:vAlign w:val="bottom"/>
            <w:hideMark/>
          </w:tcPr>
          <w:p w14:paraId="4FA88408"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Yes</w:t>
            </w:r>
          </w:p>
        </w:tc>
        <w:tc>
          <w:tcPr>
            <w:tcW w:w="900" w:type="dxa"/>
            <w:shd w:val="clear" w:color="auto" w:fill="auto"/>
            <w:noWrap/>
            <w:vAlign w:val="bottom"/>
            <w:hideMark/>
          </w:tcPr>
          <w:p w14:paraId="0EDDFF07"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w:t>
            </w:r>
          </w:p>
          <w:p w14:paraId="758D6B08"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 xml:space="preserve">% </w:t>
            </w:r>
          </w:p>
        </w:tc>
        <w:tc>
          <w:tcPr>
            <w:tcW w:w="1260" w:type="dxa"/>
            <w:shd w:val="clear" w:color="auto" w:fill="auto"/>
            <w:noWrap/>
            <w:vAlign w:val="bottom"/>
            <w:hideMark/>
          </w:tcPr>
          <w:p w14:paraId="4D501AA6"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62</w:t>
            </w:r>
          </w:p>
          <w:p w14:paraId="151B3F2E"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31%</w:t>
            </w:r>
          </w:p>
        </w:tc>
        <w:tc>
          <w:tcPr>
            <w:tcW w:w="1080" w:type="dxa"/>
            <w:shd w:val="clear" w:color="auto" w:fill="auto"/>
            <w:noWrap/>
            <w:vAlign w:val="bottom"/>
            <w:hideMark/>
          </w:tcPr>
          <w:p w14:paraId="51537844"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36</w:t>
            </w:r>
          </w:p>
          <w:p w14:paraId="0A399728"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17.7%</w:t>
            </w:r>
          </w:p>
        </w:tc>
        <w:tc>
          <w:tcPr>
            <w:tcW w:w="1440" w:type="dxa"/>
            <w:shd w:val="clear" w:color="auto" w:fill="auto"/>
            <w:noWrap/>
            <w:vAlign w:val="bottom"/>
            <w:hideMark/>
          </w:tcPr>
          <w:p w14:paraId="5E6893D3"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p w14:paraId="6CFBEBA1"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0.5%</w:t>
            </w:r>
          </w:p>
        </w:tc>
        <w:tc>
          <w:tcPr>
            <w:tcW w:w="1350" w:type="dxa"/>
            <w:shd w:val="clear" w:color="auto" w:fill="auto"/>
            <w:noWrap/>
            <w:vAlign w:val="bottom"/>
            <w:hideMark/>
          </w:tcPr>
          <w:p w14:paraId="178B617F"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99</w:t>
            </w:r>
          </w:p>
          <w:p w14:paraId="59280F17"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16.6%</w:t>
            </w:r>
          </w:p>
        </w:tc>
      </w:tr>
      <w:tr w:rsidR="001D4DE4" w:rsidRPr="001D4DE4" w14:paraId="162C8CDB" w14:textId="77777777" w:rsidTr="001D4DE4">
        <w:trPr>
          <w:trHeight w:val="61"/>
        </w:trPr>
        <w:tc>
          <w:tcPr>
            <w:tcW w:w="3525" w:type="dxa"/>
            <w:shd w:val="clear" w:color="auto" w:fill="auto"/>
            <w:noWrap/>
            <w:vAlign w:val="bottom"/>
            <w:hideMark/>
          </w:tcPr>
          <w:p w14:paraId="2169C058"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No</w:t>
            </w:r>
          </w:p>
        </w:tc>
        <w:tc>
          <w:tcPr>
            <w:tcW w:w="900" w:type="dxa"/>
            <w:shd w:val="clear" w:color="auto" w:fill="auto"/>
            <w:noWrap/>
            <w:vAlign w:val="bottom"/>
            <w:hideMark/>
          </w:tcPr>
          <w:p w14:paraId="7104BB92"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w:t>
            </w:r>
          </w:p>
          <w:p w14:paraId="5D9CB471"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 xml:space="preserve">% </w:t>
            </w:r>
          </w:p>
        </w:tc>
        <w:tc>
          <w:tcPr>
            <w:tcW w:w="1260" w:type="dxa"/>
            <w:shd w:val="clear" w:color="auto" w:fill="auto"/>
            <w:noWrap/>
            <w:vAlign w:val="bottom"/>
            <w:hideMark/>
          </w:tcPr>
          <w:p w14:paraId="5FC33C2C"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138</w:t>
            </w:r>
          </w:p>
          <w:p w14:paraId="5FE85E1E"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69%</w:t>
            </w:r>
          </w:p>
        </w:tc>
        <w:tc>
          <w:tcPr>
            <w:tcW w:w="1080" w:type="dxa"/>
            <w:shd w:val="clear" w:color="auto" w:fill="auto"/>
            <w:noWrap/>
            <w:vAlign w:val="bottom"/>
            <w:hideMark/>
          </w:tcPr>
          <w:p w14:paraId="706F8195"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167</w:t>
            </w:r>
          </w:p>
          <w:p w14:paraId="00CB256C"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82.3%</w:t>
            </w:r>
          </w:p>
        </w:tc>
        <w:tc>
          <w:tcPr>
            <w:tcW w:w="1440" w:type="dxa"/>
            <w:shd w:val="clear" w:color="auto" w:fill="auto"/>
            <w:noWrap/>
            <w:vAlign w:val="bottom"/>
            <w:hideMark/>
          </w:tcPr>
          <w:p w14:paraId="0C67501E"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194</w:t>
            </w:r>
          </w:p>
          <w:p w14:paraId="727944FF"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99.5%</w:t>
            </w:r>
          </w:p>
        </w:tc>
        <w:tc>
          <w:tcPr>
            <w:tcW w:w="1350" w:type="dxa"/>
            <w:shd w:val="clear" w:color="auto" w:fill="auto"/>
            <w:noWrap/>
            <w:vAlign w:val="bottom"/>
            <w:hideMark/>
          </w:tcPr>
          <w:p w14:paraId="3158D586"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499</w:t>
            </w:r>
          </w:p>
          <w:p w14:paraId="38044089"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83.4%</w:t>
            </w:r>
          </w:p>
        </w:tc>
      </w:tr>
      <w:tr w:rsidR="001D4DE4" w:rsidRPr="001D4DE4" w14:paraId="7FF2393A" w14:textId="77777777" w:rsidTr="001D4DE4">
        <w:trPr>
          <w:trHeight w:val="209"/>
        </w:trPr>
        <w:tc>
          <w:tcPr>
            <w:tcW w:w="3525" w:type="dxa"/>
            <w:shd w:val="clear" w:color="auto" w:fill="D9D9D9" w:themeFill="background1" w:themeFillShade="D9"/>
            <w:noWrap/>
            <w:vAlign w:val="bottom"/>
            <w:hideMark/>
          </w:tcPr>
          <w:p w14:paraId="4624732B"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Total</w:t>
            </w:r>
          </w:p>
        </w:tc>
        <w:tc>
          <w:tcPr>
            <w:tcW w:w="900" w:type="dxa"/>
            <w:shd w:val="clear" w:color="auto" w:fill="D9D9D9" w:themeFill="background1" w:themeFillShade="D9"/>
            <w:noWrap/>
            <w:vAlign w:val="bottom"/>
            <w:hideMark/>
          </w:tcPr>
          <w:p w14:paraId="7F6308A4"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N</w:t>
            </w:r>
          </w:p>
          <w:p w14:paraId="154F7B7C"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 xml:space="preserve">% </w:t>
            </w:r>
          </w:p>
        </w:tc>
        <w:tc>
          <w:tcPr>
            <w:tcW w:w="1260" w:type="dxa"/>
            <w:shd w:val="clear" w:color="auto" w:fill="D9D9D9" w:themeFill="background1" w:themeFillShade="D9"/>
            <w:noWrap/>
            <w:vAlign w:val="bottom"/>
            <w:hideMark/>
          </w:tcPr>
          <w:p w14:paraId="2540F9EC"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200</w:t>
            </w:r>
          </w:p>
          <w:p w14:paraId="48C09D36"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c>
          <w:tcPr>
            <w:tcW w:w="1080" w:type="dxa"/>
            <w:shd w:val="clear" w:color="auto" w:fill="D9D9D9" w:themeFill="background1" w:themeFillShade="D9"/>
            <w:noWrap/>
            <w:vAlign w:val="bottom"/>
            <w:hideMark/>
          </w:tcPr>
          <w:p w14:paraId="205C0F97"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203</w:t>
            </w:r>
          </w:p>
          <w:p w14:paraId="06CEC7B6"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c>
          <w:tcPr>
            <w:tcW w:w="1440" w:type="dxa"/>
            <w:shd w:val="clear" w:color="auto" w:fill="D9D9D9" w:themeFill="background1" w:themeFillShade="D9"/>
            <w:noWrap/>
            <w:vAlign w:val="bottom"/>
            <w:hideMark/>
          </w:tcPr>
          <w:p w14:paraId="45D038E7"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195</w:t>
            </w:r>
          </w:p>
          <w:p w14:paraId="6023E110"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c>
          <w:tcPr>
            <w:tcW w:w="1350" w:type="dxa"/>
            <w:shd w:val="clear" w:color="auto" w:fill="D9D9D9" w:themeFill="background1" w:themeFillShade="D9"/>
            <w:noWrap/>
            <w:vAlign w:val="bottom"/>
            <w:hideMark/>
          </w:tcPr>
          <w:p w14:paraId="5B7E1946"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598</w:t>
            </w:r>
          </w:p>
          <w:p w14:paraId="0F9C72F1"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r>
    </w:tbl>
    <w:p w14:paraId="190EC0AF" w14:textId="77777777" w:rsidR="00BD38FC" w:rsidRPr="00B62036" w:rsidRDefault="00BD38FC" w:rsidP="00230515">
      <w:pPr>
        <w:tabs>
          <w:tab w:val="left" w:pos="3968"/>
        </w:tabs>
        <w:jc w:val="both"/>
        <w:rPr>
          <w:rFonts w:ascii="Gill Sans MT" w:hAnsi="Gill Sans MT"/>
          <w:sz w:val="20"/>
          <w:szCs w:val="20"/>
          <w:lang w:val="en-GB"/>
        </w:rPr>
      </w:pPr>
    </w:p>
    <w:p w14:paraId="06E2AE6C" w14:textId="05DAF99C" w:rsidR="00727507" w:rsidRDefault="00727507" w:rsidP="00230515">
      <w:pPr>
        <w:tabs>
          <w:tab w:val="left" w:pos="3968"/>
        </w:tabs>
        <w:spacing w:line="276" w:lineRule="auto"/>
        <w:jc w:val="both"/>
        <w:rPr>
          <w:rFonts w:ascii="Gill Sans MT" w:hAnsi="Gill Sans MT"/>
          <w:sz w:val="20"/>
          <w:szCs w:val="20"/>
          <w:lang w:val="en-GB"/>
        </w:rPr>
      </w:pPr>
      <w:r w:rsidRPr="00B62036">
        <w:rPr>
          <w:rFonts w:ascii="Gill Sans MT" w:hAnsi="Gill Sans MT"/>
          <w:sz w:val="20"/>
          <w:szCs w:val="20"/>
          <w:lang w:val="en-GB"/>
        </w:rPr>
        <w:t>Feedback from UNHCR/partners is mainly through telephone (82.8%). Community meetings and communication through local leaders</w:t>
      </w:r>
      <w:r w:rsidR="00EC3C3D" w:rsidRPr="00B62036">
        <w:rPr>
          <w:rFonts w:ascii="Gill Sans MT" w:hAnsi="Gill Sans MT"/>
          <w:sz w:val="20"/>
          <w:szCs w:val="20"/>
          <w:lang w:val="en-GB"/>
        </w:rPr>
        <w:t xml:space="preserve"> (7.1%)</w:t>
      </w:r>
      <w:r w:rsidRPr="00B62036">
        <w:rPr>
          <w:rFonts w:ascii="Gill Sans MT" w:hAnsi="Gill Sans MT"/>
          <w:sz w:val="20"/>
          <w:szCs w:val="20"/>
          <w:lang w:val="en-GB"/>
        </w:rPr>
        <w:t xml:space="preserve"> is also a means through </w:t>
      </w:r>
      <w:r w:rsidR="00EC3C3D" w:rsidRPr="00B62036">
        <w:rPr>
          <w:rFonts w:ascii="Gill Sans MT" w:hAnsi="Gill Sans MT"/>
          <w:sz w:val="20"/>
          <w:szCs w:val="20"/>
          <w:lang w:val="en-GB"/>
        </w:rPr>
        <w:t>which agencies provide feedback.</w:t>
      </w:r>
    </w:p>
    <w:p w14:paraId="5426E04D" w14:textId="77777777" w:rsidR="001D4DE4" w:rsidRPr="00B62036" w:rsidRDefault="001D4DE4" w:rsidP="00230515">
      <w:pPr>
        <w:tabs>
          <w:tab w:val="left" w:pos="3968"/>
        </w:tabs>
        <w:spacing w:line="276" w:lineRule="auto"/>
        <w:jc w:val="both"/>
        <w:rPr>
          <w:rFonts w:ascii="Gill Sans MT" w:hAnsi="Gill Sans MT"/>
          <w:sz w:val="20"/>
          <w:szCs w:val="20"/>
          <w:lang w:val="en-GB"/>
        </w:rPr>
      </w:pPr>
    </w:p>
    <w:p w14:paraId="477A44BC" w14:textId="43F496B1" w:rsidR="00BD38FC" w:rsidRDefault="00727507" w:rsidP="00230515">
      <w:pPr>
        <w:pStyle w:val="Caption"/>
        <w:jc w:val="both"/>
        <w:rPr>
          <w:rFonts w:ascii="Gill Sans MT" w:hAnsi="Gill Sans MT"/>
          <w:sz w:val="20"/>
          <w:szCs w:val="20"/>
        </w:rPr>
      </w:pPr>
      <w:r w:rsidRPr="00B62036">
        <w:rPr>
          <w:rFonts w:ascii="Gill Sans MT" w:hAnsi="Gill Sans MT"/>
          <w:sz w:val="20"/>
          <w:szCs w:val="20"/>
        </w:rPr>
        <w:t xml:space="preserve">Table </w:t>
      </w:r>
      <w:r w:rsidR="00AF3DCE" w:rsidRPr="00B62036">
        <w:rPr>
          <w:rFonts w:ascii="Gill Sans MT" w:hAnsi="Gill Sans MT"/>
          <w:sz w:val="20"/>
          <w:szCs w:val="20"/>
        </w:rPr>
        <w:fldChar w:fldCharType="begin"/>
      </w:r>
      <w:r w:rsidR="00AF3DCE" w:rsidRPr="00B62036">
        <w:rPr>
          <w:rFonts w:ascii="Gill Sans MT" w:hAnsi="Gill Sans MT"/>
          <w:sz w:val="20"/>
          <w:szCs w:val="20"/>
        </w:rPr>
        <w:instrText xml:space="preserve"> SEQ Table \* ARABIC </w:instrText>
      </w:r>
      <w:r w:rsidR="00AF3DCE" w:rsidRPr="00B62036">
        <w:rPr>
          <w:rFonts w:ascii="Gill Sans MT" w:hAnsi="Gill Sans MT"/>
          <w:sz w:val="20"/>
          <w:szCs w:val="20"/>
        </w:rPr>
        <w:fldChar w:fldCharType="separate"/>
      </w:r>
      <w:r w:rsidR="00A52509">
        <w:rPr>
          <w:rFonts w:ascii="Gill Sans MT" w:hAnsi="Gill Sans MT"/>
          <w:noProof/>
          <w:sz w:val="20"/>
          <w:szCs w:val="20"/>
        </w:rPr>
        <w:t>19</w:t>
      </w:r>
      <w:r w:rsidR="00AF3DCE" w:rsidRPr="00B62036">
        <w:rPr>
          <w:rFonts w:ascii="Gill Sans MT" w:hAnsi="Gill Sans MT"/>
          <w:noProof/>
          <w:sz w:val="20"/>
          <w:szCs w:val="20"/>
        </w:rPr>
        <w:fldChar w:fldCharType="end"/>
      </w:r>
      <w:r w:rsidRPr="00B62036">
        <w:rPr>
          <w:rFonts w:ascii="Gill Sans MT" w:hAnsi="Gill Sans MT"/>
          <w:sz w:val="20"/>
          <w:szCs w:val="20"/>
        </w:rPr>
        <w:t xml:space="preserve"> UNHCR/PUNOs Channels of 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958"/>
        <w:gridCol w:w="988"/>
        <w:gridCol w:w="1067"/>
        <w:gridCol w:w="1266"/>
        <w:gridCol w:w="1540"/>
      </w:tblGrid>
      <w:tr w:rsidR="001D4DE4" w:rsidRPr="001D4DE4" w14:paraId="4126E81F" w14:textId="77777777" w:rsidTr="001D4DE4">
        <w:trPr>
          <w:trHeight w:val="297"/>
        </w:trPr>
        <w:tc>
          <w:tcPr>
            <w:tcW w:w="2462" w:type="pct"/>
            <w:gridSpan w:val="2"/>
            <w:shd w:val="clear" w:color="auto" w:fill="D9D9D9" w:themeFill="background1" w:themeFillShade="D9"/>
            <w:noWrap/>
            <w:vAlign w:val="bottom"/>
            <w:hideMark/>
          </w:tcPr>
          <w:p w14:paraId="1FE3E58D"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rPr>
              <w:t>UNHCR/Partners channel of communicating feedback</w:t>
            </w:r>
          </w:p>
        </w:tc>
        <w:tc>
          <w:tcPr>
            <w:tcW w:w="516" w:type="pct"/>
            <w:shd w:val="clear" w:color="auto" w:fill="D9D9D9" w:themeFill="background1" w:themeFillShade="D9"/>
            <w:noWrap/>
            <w:vAlign w:val="bottom"/>
            <w:hideMark/>
          </w:tcPr>
          <w:p w14:paraId="04EA246C"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Returnee</w:t>
            </w:r>
          </w:p>
        </w:tc>
        <w:tc>
          <w:tcPr>
            <w:tcW w:w="557" w:type="pct"/>
            <w:shd w:val="clear" w:color="auto" w:fill="D9D9D9" w:themeFill="background1" w:themeFillShade="D9"/>
            <w:noWrap/>
            <w:vAlign w:val="bottom"/>
            <w:hideMark/>
          </w:tcPr>
          <w:p w14:paraId="258400AD"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IDP</w:t>
            </w:r>
          </w:p>
        </w:tc>
        <w:tc>
          <w:tcPr>
            <w:tcW w:w="661" w:type="pct"/>
            <w:shd w:val="clear" w:color="auto" w:fill="D9D9D9" w:themeFill="background1" w:themeFillShade="D9"/>
            <w:noWrap/>
            <w:vAlign w:val="bottom"/>
            <w:hideMark/>
          </w:tcPr>
          <w:p w14:paraId="541AC496"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Host Community</w:t>
            </w:r>
          </w:p>
        </w:tc>
        <w:tc>
          <w:tcPr>
            <w:tcW w:w="804" w:type="pct"/>
            <w:shd w:val="clear" w:color="auto" w:fill="D9D9D9" w:themeFill="background1" w:themeFillShade="D9"/>
            <w:noWrap/>
            <w:vAlign w:val="bottom"/>
            <w:hideMark/>
          </w:tcPr>
          <w:p w14:paraId="21F4A33C"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b/>
                <w:color w:val="000000"/>
                <w:sz w:val="18"/>
                <w:szCs w:val="18"/>
                <w:lang w:val="en-GB" w:eastAsia="en-GB"/>
              </w:rPr>
              <w:t>Combined Total</w:t>
            </w:r>
          </w:p>
        </w:tc>
      </w:tr>
      <w:tr w:rsidR="001D4DE4" w:rsidRPr="001D4DE4" w14:paraId="45AC6629" w14:textId="77777777" w:rsidTr="001D4DE4">
        <w:trPr>
          <w:trHeight w:val="47"/>
        </w:trPr>
        <w:tc>
          <w:tcPr>
            <w:tcW w:w="1962" w:type="pct"/>
            <w:shd w:val="clear" w:color="auto" w:fill="auto"/>
            <w:noWrap/>
            <w:vAlign w:val="bottom"/>
            <w:hideMark/>
          </w:tcPr>
          <w:p w14:paraId="0CA3D75D"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Community Meetings</w:t>
            </w:r>
          </w:p>
        </w:tc>
        <w:tc>
          <w:tcPr>
            <w:tcW w:w="500" w:type="pct"/>
            <w:shd w:val="clear" w:color="auto" w:fill="auto"/>
            <w:noWrap/>
            <w:vAlign w:val="bottom"/>
            <w:hideMark/>
          </w:tcPr>
          <w:p w14:paraId="0489C60F"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w:t>
            </w:r>
          </w:p>
          <w:p w14:paraId="347FD490"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 xml:space="preserve">% </w:t>
            </w:r>
          </w:p>
        </w:tc>
        <w:tc>
          <w:tcPr>
            <w:tcW w:w="516" w:type="pct"/>
            <w:shd w:val="clear" w:color="auto" w:fill="auto"/>
            <w:noWrap/>
            <w:vAlign w:val="bottom"/>
            <w:hideMark/>
          </w:tcPr>
          <w:p w14:paraId="270A6B1C"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6</w:t>
            </w:r>
          </w:p>
          <w:p w14:paraId="55BBDFFF"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9.7%</w:t>
            </w:r>
          </w:p>
        </w:tc>
        <w:tc>
          <w:tcPr>
            <w:tcW w:w="557" w:type="pct"/>
            <w:shd w:val="clear" w:color="auto" w:fill="auto"/>
            <w:noWrap/>
            <w:vAlign w:val="bottom"/>
            <w:hideMark/>
          </w:tcPr>
          <w:p w14:paraId="238D16C6"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p w14:paraId="76AF7B4C"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2.8%</w:t>
            </w:r>
          </w:p>
        </w:tc>
        <w:tc>
          <w:tcPr>
            <w:tcW w:w="661" w:type="pct"/>
            <w:shd w:val="clear" w:color="auto" w:fill="auto"/>
            <w:noWrap/>
            <w:vAlign w:val="bottom"/>
            <w:hideMark/>
          </w:tcPr>
          <w:p w14:paraId="451A1CDA"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w:t>
            </w:r>
          </w:p>
          <w:p w14:paraId="15D1B5FC"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w:t>
            </w:r>
          </w:p>
        </w:tc>
        <w:tc>
          <w:tcPr>
            <w:tcW w:w="804" w:type="pct"/>
            <w:shd w:val="clear" w:color="auto" w:fill="auto"/>
            <w:noWrap/>
            <w:vAlign w:val="bottom"/>
            <w:hideMark/>
          </w:tcPr>
          <w:p w14:paraId="293F2F68"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7</w:t>
            </w:r>
          </w:p>
          <w:p w14:paraId="780A7EB9"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7.1%</w:t>
            </w:r>
          </w:p>
        </w:tc>
      </w:tr>
      <w:tr w:rsidR="001D4DE4" w:rsidRPr="001D4DE4" w14:paraId="242EF993" w14:textId="77777777" w:rsidTr="001D4DE4">
        <w:trPr>
          <w:trHeight w:val="47"/>
        </w:trPr>
        <w:tc>
          <w:tcPr>
            <w:tcW w:w="1962" w:type="pct"/>
            <w:shd w:val="clear" w:color="auto" w:fill="auto"/>
            <w:noWrap/>
            <w:vAlign w:val="bottom"/>
            <w:hideMark/>
          </w:tcPr>
          <w:p w14:paraId="01D7FC67"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Through local leadership</w:t>
            </w:r>
          </w:p>
        </w:tc>
        <w:tc>
          <w:tcPr>
            <w:tcW w:w="500" w:type="pct"/>
            <w:shd w:val="clear" w:color="auto" w:fill="auto"/>
            <w:noWrap/>
            <w:vAlign w:val="bottom"/>
            <w:hideMark/>
          </w:tcPr>
          <w:p w14:paraId="55FAB629"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w:t>
            </w:r>
          </w:p>
          <w:p w14:paraId="0E2B2C53"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 xml:space="preserve">% </w:t>
            </w:r>
          </w:p>
        </w:tc>
        <w:tc>
          <w:tcPr>
            <w:tcW w:w="516" w:type="pct"/>
            <w:shd w:val="clear" w:color="auto" w:fill="auto"/>
            <w:noWrap/>
            <w:vAlign w:val="bottom"/>
            <w:hideMark/>
          </w:tcPr>
          <w:p w14:paraId="29502613"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6</w:t>
            </w:r>
          </w:p>
          <w:p w14:paraId="02D16A0B"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9.7%</w:t>
            </w:r>
          </w:p>
        </w:tc>
        <w:tc>
          <w:tcPr>
            <w:tcW w:w="557" w:type="pct"/>
            <w:shd w:val="clear" w:color="auto" w:fill="auto"/>
            <w:noWrap/>
            <w:vAlign w:val="bottom"/>
            <w:hideMark/>
          </w:tcPr>
          <w:p w14:paraId="36DDD1E2"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p w14:paraId="76C9932F"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2.8%</w:t>
            </w:r>
          </w:p>
        </w:tc>
        <w:tc>
          <w:tcPr>
            <w:tcW w:w="661" w:type="pct"/>
            <w:shd w:val="clear" w:color="auto" w:fill="auto"/>
            <w:noWrap/>
            <w:vAlign w:val="bottom"/>
            <w:hideMark/>
          </w:tcPr>
          <w:p w14:paraId="2E2058E1"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w:t>
            </w:r>
          </w:p>
          <w:p w14:paraId="29FE6B4F"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w:t>
            </w:r>
          </w:p>
        </w:tc>
        <w:tc>
          <w:tcPr>
            <w:tcW w:w="804" w:type="pct"/>
            <w:shd w:val="clear" w:color="auto" w:fill="auto"/>
            <w:noWrap/>
            <w:vAlign w:val="bottom"/>
            <w:hideMark/>
          </w:tcPr>
          <w:p w14:paraId="206778B0"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7</w:t>
            </w:r>
          </w:p>
          <w:p w14:paraId="3C8DBA40"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7.1%</w:t>
            </w:r>
          </w:p>
        </w:tc>
      </w:tr>
      <w:tr w:rsidR="001D4DE4" w:rsidRPr="001D4DE4" w14:paraId="78B2F7EF" w14:textId="77777777" w:rsidTr="001D4DE4">
        <w:trPr>
          <w:trHeight w:val="47"/>
        </w:trPr>
        <w:tc>
          <w:tcPr>
            <w:tcW w:w="1962" w:type="pct"/>
            <w:shd w:val="clear" w:color="auto" w:fill="auto"/>
            <w:noWrap/>
            <w:vAlign w:val="bottom"/>
            <w:hideMark/>
          </w:tcPr>
          <w:p w14:paraId="39294B74"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Project Staff</w:t>
            </w:r>
          </w:p>
        </w:tc>
        <w:tc>
          <w:tcPr>
            <w:tcW w:w="500" w:type="pct"/>
            <w:shd w:val="clear" w:color="auto" w:fill="auto"/>
            <w:noWrap/>
            <w:vAlign w:val="bottom"/>
            <w:hideMark/>
          </w:tcPr>
          <w:p w14:paraId="00406CD3"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w:t>
            </w:r>
          </w:p>
          <w:p w14:paraId="429B794C"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 xml:space="preserve">% </w:t>
            </w:r>
          </w:p>
        </w:tc>
        <w:tc>
          <w:tcPr>
            <w:tcW w:w="516" w:type="pct"/>
            <w:shd w:val="clear" w:color="auto" w:fill="auto"/>
            <w:noWrap/>
            <w:vAlign w:val="bottom"/>
            <w:hideMark/>
          </w:tcPr>
          <w:p w14:paraId="61893D9D"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p w14:paraId="690D9290"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1.6%</w:t>
            </w:r>
          </w:p>
        </w:tc>
        <w:tc>
          <w:tcPr>
            <w:tcW w:w="557" w:type="pct"/>
            <w:shd w:val="clear" w:color="auto" w:fill="auto"/>
            <w:noWrap/>
            <w:vAlign w:val="bottom"/>
            <w:hideMark/>
          </w:tcPr>
          <w:p w14:paraId="48BC990B"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p w14:paraId="06482912"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2.8%</w:t>
            </w:r>
          </w:p>
        </w:tc>
        <w:tc>
          <w:tcPr>
            <w:tcW w:w="661" w:type="pct"/>
            <w:shd w:val="clear" w:color="auto" w:fill="auto"/>
            <w:noWrap/>
            <w:vAlign w:val="bottom"/>
            <w:hideMark/>
          </w:tcPr>
          <w:p w14:paraId="195C4480"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p w14:paraId="03BC9561"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1%</w:t>
            </w:r>
          </w:p>
        </w:tc>
        <w:tc>
          <w:tcPr>
            <w:tcW w:w="804" w:type="pct"/>
            <w:shd w:val="clear" w:color="auto" w:fill="auto"/>
            <w:noWrap/>
            <w:vAlign w:val="bottom"/>
            <w:hideMark/>
          </w:tcPr>
          <w:p w14:paraId="74BB6A86"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3</w:t>
            </w:r>
          </w:p>
          <w:p w14:paraId="54F29109"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3%</w:t>
            </w:r>
          </w:p>
        </w:tc>
      </w:tr>
      <w:tr w:rsidR="001D4DE4" w:rsidRPr="001D4DE4" w14:paraId="2A390513" w14:textId="77777777" w:rsidTr="001D4DE4">
        <w:trPr>
          <w:trHeight w:val="47"/>
        </w:trPr>
        <w:tc>
          <w:tcPr>
            <w:tcW w:w="1962" w:type="pct"/>
            <w:shd w:val="clear" w:color="auto" w:fill="auto"/>
            <w:noWrap/>
            <w:vAlign w:val="bottom"/>
            <w:hideMark/>
          </w:tcPr>
          <w:p w14:paraId="04DE7AB9"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Telephone</w:t>
            </w:r>
          </w:p>
        </w:tc>
        <w:tc>
          <w:tcPr>
            <w:tcW w:w="500" w:type="pct"/>
            <w:shd w:val="clear" w:color="auto" w:fill="auto"/>
            <w:noWrap/>
            <w:vAlign w:val="bottom"/>
            <w:hideMark/>
          </w:tcPr>
          <w:p w14:paraId="6616B816"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N</w:t>
            </w:r>
          </w:p>
          <w:p w14:paraId="10A11CA1" w14:textId="77777777" w:rsidR="001D4DE4" w:rsidRPr="001D4DE4" w:rsidRDefault="001D4DE4" w:rsidP="001D4DE4">
            <w:pP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 xml:space="preserve">% </w:t>
            </w:r>
          </w:p>
        </w:tc>
        <w:tc>
          <w:tcPr>
            <w:tcW w:w="516" w:type="pct"/>
            <w:shd w:val="clear" w:color="auto" w:fill="auto"/>
            <w:noWrap/>
            <w:vAlign w:val="bottom"/>
            <w:hideMark/>
          </w:tcPr>
          <w:p w14:paraId="0FD410E7"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49</w:t>
            </w:r>
          </w:p>
          <w:p w14:paraId="55991B2C"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79%</w:t>
            </w:r>
          </w:p>
        </w:tc>
        <w:tc>
          <w:tcPr>
            <w:tcW w:w="557" w:type="pct"/>
            <w:shd w:val="clear" w:color="auto" w:fill="auto"/>
            <w:noWrap/>
            <w:vAlign w:val="bottom"/>
            <w:hideMark/>
          </w:tcPr>
          <w:p w14:paraId="6DB45C18"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33</w:t>
            </w:r>
          </w:p>
          <w:p w14:paraId="3B3E0140"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91.7%</w:t>
            </w:r>
          </w:p>
        </w:tc>
        <w:tc>
          <w:tcPr>
            <w:tcW w:w="661" w:type="pct"/>
            <w:shd w:val="clear" w:color="auto" w:fill="auto"/>
            <w:noWrap/>
            <w:vAlign w:val="bottom"/>
            <w:hideMark/>
          </w:tcPr>
          <w:p w14:paraId="54C2C9BE"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w:t>
            </w:r>
          </w:p>
          <w:p w14:paraId="4FC26187"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0%</w:t>
            </w:r>
          </w:p>
        </w:tc>
        <w:tc>
          <w:tcPr>
            <w:tcW w:w="804" w:type="pct"/>
            <w:shd w:val="clear" w:color="auto" w:fill="auto"/>
            <w:noWrap/>
            <w:vAlign w:val="bottom"/>
            <w:hideMark/>
          </w:tcPr>
          <w:p w14:paraId="6F245A45"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82</w:t>
            </w:r>
          </w:p>
          <w:p w14:paraId="60A80E4A" w14:textId="77777777" w:rsidR="001D4DE4" w:rsidRPr="001D4DE4" w:rsidRDefault="001D4DE4" w:rsidP="001D4DE4">
            <w:pPr>
              <w:jc w:val="center"/>
              <w:rPr>
                <w:rFonts w:ascii="Gill Sans MT" w:hAnsi="Gill Sans MT" w:cs="Calibri"/>
                <w:color w:val="000000"/>
                <w:sz w:val="18"/>
                <w:szCs w:val="18"/>
                <w:lang w:val="en-GB" w:eastAsia="en-GB"/>
              </w:rPr>
            </w:pPr>
            <w:r w:rsidRPr="001D4DE4">
              <w:rPr>
                <w:rFonts w:ascii="Gill Sans MT" w:hAnsi="Gill Sans MT" w:cs="Calibri"/>
                <w:color w:val="000000"/>
                <w:sz w:val="18"/>
                <w:szCs w:val="18"/>
                <w:lang w:val="en-GB" w:eastAsia="en-GB"/>
              </w:rPr>
              <w:t>82.8%</w:t>
            </w:r>
          </w:p>
        </w:tc>
      </w:tr>
      <w:tr w:rsidR="001D4DE4" w:rsidRPr="001D4DE4" w14:paraId="28F9AB12" w14:textId="77777777" w:rsidTr="001D4DE4">
        <w:trPr>
          <w:trHeight w:val="47"/>
        </w:trPr>
        <w:tc>
          <w:tcPr>
            <w:tcW w:w="1962" w:type="pct"/>
            <w:shd w:val="clear" w:color="auto" w:fill="D9D9D9" w:themeFill="background1" w:themeFillShade="D9"/>
            <w:noWrap/>
            <w:vAlign w:val="bottom"/>
            <w:hideMark/>
          </w:tcPr>
          <w:p w14:paraId="68847BB9"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Total</w:t>
            </w:r>
          </w:p>
        </w:tc>
        <w:tc>
          <w:tcPr>
            <w:tcW w:w="500" w:type="pct"/>
            <w:shd w:val="clear" w:color="auto" w:fill="D9D9D9" w:themeFill="background1" w:themeFillShade="D9"/>
            <w:noWrap/>
            <w:vAlign w:val="bottom"/>
            <w:hideMark/>
          </w:tcPr>
          <w:p w14:paraId="3D8B4F89"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N</w:t>
            </w:r>
          </w:p>
          <w:p w14:paraId="247700C1" w14:textId="77777777" w:rsidR="001D4DE4" w:rsidRPr="001D4DE4" w:rsidRDefault="001D4DE4" w:rsidP="001D4DE4">
            <w:pP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 xml:space="preserve">% </w:t>
            </w:r>
          </w:p>
        </w:tc>
        <w:tc>
          <w:tcPr>
            <w:tcW w:w="516" w:type="pct"/>
            <w:shd w:val="clear" w:color="auto" w:fill="D9D9D9" w:themeFill="background1" w:themeFillShade="D9"/>
            <w:noWrap/>
            <w:vAlign w:val="bottom"/>
            <w:hideMark/>
          </w:tcPr>
          <w:p w14:paraId="0464B89E"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62</w:t>
            </w:r>
          </w:p>
          <w:p w14:paraId="270B4A56"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c>
          <w:tcPr>
            <w:tcW w:w="557" w:type="pct"/>
            <w:shd w:val="clear" w:color="auto" w:fill="D9D9D9" w:themeFill="background1" w:themeFillShade="D9"/>
            <w:noWrap/>
            <w:vAlign w:val="bottom"/>
            <w:hideMark/>
          </w:tcPr>
          <w:p w14:paraId="772F7CE9"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36</w:t>
            </w:r>
          </w:p>
          <w:p w14:paraId="73D7F545"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c>
          <w:tcPr>
            <w:tcW w:w="661" w:type="pct"/>
            <w:shd w:val="clear" w:color="auto" w:fill="D9D9D9" w:themeFill="background1" w:themeFillShade="D9"/>
            <w:noWrap/>
            <w:vAlign w:val="bottom"/>
            <w:hideMark/>
          </w:tcPr>
          <w:p w14:paraId="3EE95738"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w:t>
            </w:r>
          </w:p>
          <w:p w14:paraId="18C3E2A0"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c>
          <w:tcPr>
            <w:tcW w:w="804" w:type="pct"/>
            <w:shd w:val="clear" w:color="auto" w:fill="D9D9D9" w:themeFill="background1" w:themeFillShade="D9"/>
            <w:noWrap/>
            <w:vAlign w:val="bottom"/>
            <w:hideMark/>
          </w:tcPr>
          <w:p w14:paraId="2DD9E174"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99</w:t>
            </w:r>
          </w:p>
          <w:p w14:paraId="1AAAE401" w14:textId="77777777" w:rsidR="001D4DE4" w:rsidRPr="001D4DE4" w:rsidRDefault="001D4DE4" w:rsidP="001D4DE4">
            <w:pPr>
              <w:jc w:val="center"/>
              <w:rPr>
                <w:rFonts w:ascii="Gill Sans MT" w:hAnsi="Gill Sans MT" w:cs="Calibri"/>
                <w:b/>
                <w:color w:val="000000"/>
                <w:sz w:val="18"/>
                <w:szCs w:val="18"/>
                <w:lang w:val="en-GB" w:eastAsia="en-GB"/>
              </w:rPr>
            </w:pPr>
            <w:r w:rsidRPr="001D4DE4">
              <w:rPr>
                <w:rFonts w:ascii="Gill Sans MT" w:hAnsi="Gill Sans MT" w:cs="Calibri"/>
                <w:b/>
                <w:color w:val="000000"/>
                <w:sz w:val="18"/>
                <w:szCs w:val="18"/>
                <w:lang w:val="en-GB" w:eastAsia="en-GB"/>
              </w:rPr>
              <w:t>100%</w:t>
            </w:r>
          </w:p>
        </w:tc>
      </w:tr>
    </w:tbl>
    <w:p w14:paraId="70FEDC0E" w14:textId="20892557" w:rsidR="003303C1" w:rsidRPr="00B62036" w:rsidRDefault="004810B8" w:rsidP="003A6010">
      <w:pPr>
        <w:pStyle w:val="Heading2"/>
      </w:pPr>
      <w:bookmarkStart w:id="36" w:name="_Toc419359871"/>
      <w:r w:rsidRPr="00B62036">
        <w:lastRenderedPageBreak/>
        <w:t>E</w:t>
      </w:r>
      <w:r w:rsidR="003303C1" w:rsidRPr="00B62036">
        <w:t>fficiency</w:t>
      </w:r>
      <w:r w:rsidRPr="00B62036">
        <w:t xml:space="preserve"> of Coordination M</w:t>
      </w:r>
      <w:r w:rsidR="003303C1" w:rsidRPr="00B62036">
        <w:t>echanisms</w:t>
      </w:r>
      <w:bookmarkEnd w:id="36"/>
    </w:p>
    <w:p w14:paraId="39AFEEE4" w14:textId="4CFC8CE9" w:rsidR="0078456A" w:rsidRPr="00B62036" w:rsidRDefault="00FC6326" w:rsidP="00230515">
      <w:pPr>
        <w:spacing w:line="276" w:lineRule="auto"/>
        <w:jc w:val="both"/>
        <w:rPr>
          <w:rFonts w:ascii="Gill Sans MT" w:hAnsi="Gill Sans MT"/>
          <w:sz w:val="20"/>
          <w:szCs w:val="20"/>
        </w:rPr>
      </w:pPr>
      <w:r w:rsidRPr="00B62036">
        <w:rPr>
          <w:rFonts w:ascii="Gill Sans MT" w:hAnsi="Gill Sans MT" w:cs="Calibri"/>
          <w:color w:val="000000"/>
          <w:sz w:val="20"/>
          <w:szCs w:val="20"/>
        </w:rPr>
        <w:t>The PBF program in Baidoa had multiple levels of coordination mechanisms including; coord</w:t>
      </w:r>
      <w:r w:rsidR="00EC3C3D" w:rsidRPr="00B62036">
        <w:rPr>
          <w:rFonts w:ascii="Gill Sans MT" w:hAnsi="Gill Sans MT" w:cs="Calibri"/>
          <w:color w:val="000000"/>
          <w:sz w:val="20"/>
          <w:szCs w:val="20"/>
        </w:rPr>
        <w:t>ination between PUNOs and MORDA;</w:t>
      </w:r>
      <w:r w:rsidRPr="00B62036">
        <w:rPr>
          <w:rFonts w:ascii="Gill Sans MT" w:hAnsi="Gill Sans MT" w:cs="Calibri"/>
          <w:color w:val="000000"/>
          <w:sz w:val="20"/>
          <w:szCs w:val="20"/>
        </w:rPr>
        <w:t xml:space="preserve"> PUNOs closely coordinated with local implementing partners, and local partners coordinated with community members</w:t>
      </w:r>
      <w:r w:rsidR="00A9111E">
        <w:rPr>
          <w:rFonts w:ascii="Gill Sans MT" w:hAnsi="Gill Sans MT" w:cs="Calibri"/>
          <w:color w:val="000000"/>
          <w:sz w:val="20"/>
          <w:szCs w:val="20"/>
        </w:rPr>
        <w:t xml:space="preserve"> and PUNOs </w:t>
      </w:r>
      <w:r w:rsidR="00A9111E" w:rsidRPr="00956947">
        <w:rPr>
          <w:rFonts w:ascii="Gill Sans MT" w:hAnsi="Gill Sans MT" w:cs="Calibri"/>
          <w:color w:val="000000"/>
          <w:sz w:val="20"/>
          <w:szCs w:val="20"/>
        </w:rPr>
        <w:t>follow</w:t>
      </w:r>
      <w:r w:rsidR="00A9111E">
        <w:rPr>
          <w:rFonts w:ascii="Gill Sans MT" w:hAnsi="Gill Sans MT" w:cs="Calibri"/>
          <w:color w:val="000000"/>
          <w:sz w:val="20"/>
          <w:szCs w:val="20"/>
        </w:rPr>
        <w:t>ed</w:t>
      </w:r>
      <w:r w:rsidR="00A9111E" w:rsidRPr="00956947">
        <w:rPr>
          <w:rFonts w:ascii="Gill Sans MT" w:hAnsi="Gill Sans MT" w:cs="Calibri"/>
          <w:color w:val="000000"/>
          <w:sz w:val="20"/>
          <w:szCs w:val="20"/>
        </w:rPr>
        <w:t xml:space="preserve"> up returnees to understand their challenges and progress</w:t>
      </w:r>
      <w:r w:rsidRPr="00B62036">
        <w:rPr>
          <w:rFonts w:ascii="Gill Sans MT" w:hAnsi="Gill Sans MT" w:cs="Calibri"/>
          <w:color w:val="000000"/>
          <w:sz w:val="20"/>
          <w:szCs w:val="20"/>
        </w:rPr>
        <w:t xml:space="preserve">. </w:t>
      </w:r>
      <w:r w:rsidR="0078456A" w:rsidRPr="00B62036">
        <w:rPr>
          <w:rFonts w:ascii="Gill Sans MT" w:hAnsi="Gill Sans MT"/>
          <w:sz w:val="20"/>
          <w:szCs w:val="20"/>
        </w:rPr>
        <w:t xml:space="preserve">Being the </w:t>
      </w:r>
      <w:r w:rsidR="000204BF" w:rsidRPr="000204BF">
        <w:rPr>
          <w:rFonts w:ascii="Gill Sans MT" w:hAnsi="Gill Sans MT"/>
          <w:sz w:val="20"/>
          <w:szCs w:val="20"/>
        </w:rPr>
        <w:t>lead agency</w:t>
      </w:r>
      <w:r w:rsidR="0078456A" w:rsidRPr="00B62036">
        <w:rPr>
          <w:rFonts w:ascii="Gill Sans MT" w:hAnsi="Gill Sans MT"/>
          <w:sz w:val="20"/>
          <w:szCs w:val="20"/>
        </w:rPr>
        <w:t xml:space="preserve">, UNHCR assumed the role of coordination of project </w:t>
      </w:r>
      <w:r w:rsidR="00FE16EA" w:rsidRPr="00B62036">
        <w:rPr>
          <w:rFonts w:ascii="Gill Sans MT" w:hAnsi="Gill Sans MT"/>
          <w:sz w:val="20"/>
          <w:szCs w:val="20"/>
        </w:rPr>
        <w:t>activi</w:t>
      </w:r>
      <w:r w:rsidR="00EC3C3D" w:rsidRPr="00B62036">
        <w:rPr>
          <w:rFonts w:ascii="Gill Sans MT" w:hAnsi="Gill Sans MT"/>
          <w:sz w:val="20"/>
          <w:szCs w:val="20"/>
        </w:rPr>
        <w:t xml:space="preserve">ties, which </w:t>
      </w:r>
      <w:r w:rsidR="00FE16EA" w:rsidRPr="00B62036">
        <w:rPr>
          <w:rFonts w:ascii="Gill Sans MT" w:hAnsi="Gill Sans MT"/>
          <w:sz w:val="20"/>
          <w:szCs w:val="20"/>
        </w:rPr>
        <w:t xml:space="preserve">was </w:t>
      </w:r>
      <w:r w:rsidR="00EC3C3D" w:rsidRPr="00B62036">
        <w:rPr>
          <w:rFonts w:ascii="Gill Sans MT" w:hAnsi="Gill Sans MT"/>
          <w:sz w:val="20"/>
          <w:szCs w:val="20"/>
        </w:rPr>
        <w:t xml:space="preserve">also </w:t>
      </w:r>
      <w:r w:rsidR="00FE16EA" w:rsidRPr="00B62036">
        <w:rPr>
          <w:rFonts w:ascii="Gill Sans MT" w:hAnsi="Gill Sans MT"/>
          <w:sz w:val="20"/>
          <w:szCs w:val="20"/>
        </w:rPr>
        <w:t xml:space="preserve">used as a monitoring mechanism on status of </w:t>
      </w:r>
      <w:r w:rsidR="00EC3C3D" w:rsidRPr="00B62036">
        <w:rPr>
          <w:rFonts w:ascii="Gill Sans MT" w:hAnsi="Gill Sans MT"/>
          <w:sz w:val="20"/>
          <w:szCs w:val="20"/>
        </w:rPr>
        <w:t xml:space="preserve">the </w:t>
      </w:r>
      <w:r w:rsidR="00FE16EA" w:rsidRPr="00B62036">
        <w:rPr>
          <w:rFonts w:ascii="Gill Sans MT" w:hAnsi="Gill Sans MT"/>
          <w:sz w:val="20"/>
          <w:szCs w:val="20"/>
        </w:rPr>
        <w:t>project as implementation,</w:t>
      </w:r>
      <w:r w:rsidR="0078456A" w:rsidRPr="00B62036">
        <w:rPr>
          <w:rFonts w:ascii="Gill Sans MT" w:hAnsi="Gill Sans MT"/>
          <w:sz w:val="20"/>
          <w:szCs w:val="20"/>
        </w:rPr>
        <w:t xml:space="preserve"> progressed and whether targets were met. The evaluation established that </w:t>
      </w:r>
      <w:r w:rsidR="00EC3C3D" w:rsidRPr="00B62036">
        <w:rPr>
          <w:rFonts w:ascii="Gill Sans MT" w:hAnsi="Gill Sans MT"/>
          <w:sz w:val="20"/>
          <w:szCs w:val="20"/>
        </w:rPr>
        <w:t>there was a</w:t>
      </w:r>
      <w:r w:rsidR="00FE16EA" w:rsidRPr="00B62036">
        <w:rPr>
          <w:rFonts w:ascii="Gill Sans MT" w:hAnsi="Gill Sans MT"/>
          <w:sz w:val="20"/>
          <w:szCs w:val="20"/>
        </w:rPr>
        <w:t xml:space="preserve"> good level of </w:t>
      </w:r>
      <w:r w:rsidR="0078456A" w:rsidRPr="00B62036">
        <w:rPr>
          <w:rFonts w:ascii="Gill Sans MT" w:hAnsi="Gill Sans MT"/>
          <w:sz w:val="20"/>
          <w:szCs w:val="20"/>
        </w:rPr>
        <w:t>in-coun</w:t>
      </w:r>
      <w:r w:rsidR="00FE16EA" w:rsidRPr="00B62036">
        <w:rPr>
          <w:rFonts w:ascii="Gill Sans MT" w:hAnsi="Gill Sans MT"/>
          <w:sz w:val="20"/>
          <w:szCs w:val="20"/>
        </w:rPr>
        <w:t>try coordination</w:t>
      </w:r>
      <w:r w:rsidR="0078456A" w:rsidRPr="00B62036">
        <w:rPr>
          <w:rFonts w:ascii="Gill Sans MT" w:hAnsi="Gill Sans MT"/>
          <w:sz w:val="20"/>
          <w:szCs w:val="20"/>
        </w:rPr>
        <w:t>, but there was evidently very weak cross border coordination</w:t>
      </w:r>
      <w:r w:rsidR="00A9111E">
        <w:rPr>
          <w:rFonts w:ascii="Gill Sans MT" w:hAnsi="Gill Sans MT"/>
          <w:sz w:val="20"/>
          <w:szCs w:val="20"/>
        </w:rPr>
        <w:t xml:space="preserve"> despite efforts by UNHCR and other PBF implementing partners to conduct regular video conferencing for coordination</w:t>
      </w:r>
      <w:r w:rsidR="0078456A" w:rsidRPr="00B62036">
        <w:rPr>
          <w:rFonts w:ascii="Gill Sans MT" w:hAnsi="Gill Sans MT"/>
          <w:sz w:val="20"/>
          <w:szCs w:val="20"/>
        </w:rPr>
        <w:t xml:space="preserve">. </w:t>
      </w:r>
      <w:r w:rsidR="00A9111E">
        <w:rPr>
          <w:rFonts w:ascii="Gill Sans MT" w:hAnsi="Gill Sans MT"/>
          <w:sz w:val="20"/>
          <w:szCs w:val="20"/>
        </w:rPr>
        <w:t>This was further supported with special ‘go-and-see’ visits to Baidoa. However, potential returnees in Dadaab reported that</w:t>
      </w:r>
      <w:r w:rsidR="00A9111E" w:rsidRPr="001000C2">
        <w:rPr>
          <w:rFonts w:ascii="Gill Sans MT" w:hAnsi="Gill Sans MT"/>
          <w:sz w:val="20"/>
          <w:szCs w:val="20"/>
        </w:rPr>
        <w:t xml:space="preserve"> the</w:t>
      </w:r>
      <w:r w:rsidR="00A9111E">
        <w:rPr>
          <w:rFonts w:ascii="Gill Sans MT" w:hAnsi="Gill Sans MT"/>
          <w:sz w:val="20"/>
          <w:szCs w:val="20"/>
        </w:rPr>
        <w:t>re was little</w:t>
      </w:r>
      <w:r w:rsidR="00A9111E" w:rsidRPr="001000C2">
        <w:rPr>
          <w:rFonts w:ascii="Gill Sans MT" w:hAnsi="Gill Sans MT"/>
          <w:sz w:val="20"/>
          <w:szCs w:val="20"/>
        </w:rPr>
        <w:t xml:space="preserve"> follow up on the VST trainees who voluntarily returned to Baidoa, </w:t>
      </w:r>
      <w:r w:rsidR="00A9111E">
        <w:rPr>
          <w:rFonts w:ascii="Gill Sans MT" w:hAnsi="Gill Sans MT"/>
          <w:sz w:val="20"/>
          <w:szCs w:val="20"/>
        </w:rPr>
        <w:t>as some of them</w:t>
      </w:r>
      <w:r w:rsidR="00A9111E" w:rsidRPr="001000C2">
        <w:rPr>
          <w:rFonts w:ascii="Gill Sans MT" w:hAnsi="Gill Sans MT"/>
          <w:sz w:val="20"/>
          <w:szCs w:val="20"/>
        </w:rPr>
        <w:t xml:space="preserve"> </w:t>
      </w:r>
      <w:r w:rsidR="00A9111E">
        <w:rPr>
          <w:rFonts w:ascii="Gill Sans MT" w:hAnsi="Gill Sans MT"/>
          <w:sz w:val="20"/>
          <w:szCs w:val="20"/>
        </w:rPr>
        <w:t xml:space="preserve">came </w:t>
      </w:r>
      <w:r w:rsidR="00A9111E" w:rsidRPr="001000C2">
        <w:rPr>
          <w:rFonts w:ascii="Gill Sans MT" w:hAnsi="Gill Sans MT"/>
          <w:sz w:val="20"/>
          <w:szCs w:val="20"/>
        </w:rPr>
        <w:t xml:space="preserve">back to Dadaab citing lack of connection with the partner UN organizations that were supposed to receive them for reintegration process. </w:t>
      </w:r>
      <w:r w:rsidR="00A9111E" w:rsidRPr="00B62036">
        <w:rPr>
          <w:rFonts w:ascii="Gill Sans MT" w:hAnsi="Gill Sans MT"/>
          <w:sz w:val="20"/>
          <w:szCs w:val="20"/>
        </w:rPr>
        <w:t xml:space="preserve">Youth FGD participants in Dadaab indicated that about 10 graduates of the vocational skills trainings offered by DRC and NRC who voluntarily returned to Baidoa ended up coming back to Dadaab. Some of these youth lamented that; this was a key reason for the lack of voluntary return for the trained youths. Similarly, RET-implemented component of training peace ambassadors lacked proper coordination and connection of the elders with partners across the border. </w:t>
      </w:r>
      <w:r w:rsidR="00A9111E">
        <w:rPr>
          <w:rFonts w:ascii="Gill Sans MT" w:hAnsi="Gill Sans MT"/>
          <w:sz w:val="20"/>
          <w:szCs w:val="20"/>
        </w:rPr>
        <w:t>Nonetheless, the evaluation also notes the return to Dadaab could be due to the low absorption capacity in the areas of return characterized by the lack of or inadequate social amenities.</w:t>
      </w:r>
      <w:r w:rsidR="00A9111E" w:rsidRPr="00B62036">
        <w:rPr>
          <w:rFonts w:ascii="Gill Sans MT" w:hAnsi="Gill Sans MT"/>
          <w:sz w:val="20"/>
          <w:szCs w:val="20"/>
        </w:rPr>
        <w:t xml:space="preserve"> </w:t>
      </w:r>
    </w:p>
    <w:p w14:paraId="3551FEB6" w14:textId="56AC8982" w:rsidR="00877BF4" w:rsidRPr="00B62036" w:rsidRDefault="00877BF4"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 xml:space="preserve">Understandably, delivery of aid in fragile environment is often riddled with enormous challenges especially where there’s high poverty level, unemployment and insecurity and resources available are inadequate. These challenges also exist in Baidoa and the involvement of ministry officials and security agencies in the implementation of the project activities has contributed to the smooth implementation of the activities and prevented the perennial conflicts that usually characterize aid distribution in fragile situation. </w:t>
      </w:r>
    </w:p>
    <w:p w14:paraId="1C2B1312" w14:textId="77777777" w:rsidR="00FC6326" w:rsidRPr="00B62036" w:rsidRDefault="00FC6326" w:rsidP="00230515">
      <w:pPr>
        <w:spacing w:line="276" w:lineRule="auto"/>
        <w:jc w:val="both"/>
        <w:rPr>
          <w:rFonts w:ascii="Gill Sans MT" w:hAnsi="Gill Sans MT"/>
          <w:sz w:val="20"/>
          <w:szCs w:val="20"/>
        </w:rPr>
      </w:pPr>
    </w:p>
    <w:p w14:paraId="099ABBE0" w14:textId="77777777" w:rsidR="00057D34" w:rsidRDefault="00FC6326" w:rsidP="00230515">
      <w:pPr>
        <w:spacing w:line="276" w:lineRule="auto"/>
        <w:jc w:val="both"/>
        <w:rPr>
          <w:rFonts w:ascii="Gill Sans MT" w:hAnsi="Gill Sans MT"/>
          <w:b/>
          <w:sz w:val="20"/>
          <w:szCs w:val="20"/>
        </w:rPr>
      </w:pPr>
      <w:r w:rsidRPr="00B62036">
        <w:rPr>
          <w:rFonts w:ascii="Gill Sans MT" w:hAnsi="Gill Sans MT"/>
          <w:b/>
          <w:sz w:val="20"/>
          <w:szCs w:val="20"/>
        </w:rPr>
        <w:t>Coordination between PUNOs and MORDA</w:t>
      </w:r>
    </w:p>
    <w:p w14:paraId="53A7A156" w14:textId="24AB835A" w:rsidR="00116787" w:rsidRPr="00B62036" w:rsidRDefault="0049785B" w:rsidP="00230515">
      <w:pPr>
        <w:spacing w:line="276" w:lineRule="auto"/>
        <w:jc w:val="both"/>
        <w:rPr>
          <w:rFonts w:ascii="Gill Sans MT" w:hAnsi="Gill Sans MT" w:cs="Calibri"/>
          <w:sz w:val="20"/>
          <w:szCs w:val="20"/>
        </w:rPr>
      </w:pPr>
      <w:r w:rsidRPr="00B62036">
        <w:rPr>
          <w:rFonts w:ascii="Gill Sans MT" w:hAnsi="Gill Sans MT" w:cs="Calibri"/>
          <w:sz w:val="20"/>
          <w:szCs w:val="20"/>
        </w:rPr>
        <w:t xml:space="preserve">The program had efficient coordination mechanism between UN Partner Organizations </w:t>
      </w:r>
      <w:r w:rsidR="00F14BCB" w:rsidRPr="00B62036">
        <w:rPr>
          <w:rFonts w:ascii="Gill Sans MT" w:hAnsi="Gill Sans MT" w:cs="Calibri"/>
          <w:sz w:val="20"/>
          <w:szCs w:val="20"/>
        </w:rPr>
        <w:t>and with the National Commission for Refugees and IDPs (NCRI) at the national level but more crucially at the project site by the Ministry of Resettlement and Diaspora Affairs (MORDA) in the South West State.</w:t>
      </w:r>
      <w:r w:rsidRPr="00B62036">
        <w:rPr>
          <w:rFonts w:ascii="Gill Sans MT" w:hAnsi="Gill Sans MT" w:cs="Calibri"/>
          <w:sz w:val="20"/>
          <w:szCs w:val="20"/>
        </w:rPr>
        <w:t xml:space="preserve"> </w:t>
      </w:r>
      <w:r w:rsidR="00675A7F" w:rsidRPr="00B62036">
        <w:rPr>
          <w:rFonts w:ascii="Gill Sans MT" w:hAnsi="Gill Sans MT" w:cs="Calibri"/>
          <w:sz w:val="20"/>
          <w:szCs w:val="20"/>
        </w:rPr>
        <w:t xml:space="preserve">For instance, there were series of </w:t>
      </w:r>
      <w:r w:rsidRPr="00B62036">
        <w:rPr>
          <w:rFonts w:ascii="Gill Sans MT" w:hAnsi="Gill Sans MT" w:cs="Calibri"/>
          <w:sz w:val="20"/>
          <w:szCs w:val="20"/>
        </w:rPr>
        <w:t>joint coordi</w:t>
      </w:r>
      <w:r w:rsidR="00675A7F" w:rsidRPr="00B62036">
        <w:rPr>
          <w:rFonts w:ascii="Gill Sans MT" w:hAnsi="Gill Sans MT" w:cs="Calibri"/>
          <w:sz w:val="20"/>
          <w:szCs w:val="20"/>
        </w:rPr>
        <w:t>nation</w:t>
      </w:r>
      <w:r w:rsidR="00116787" w:rsidRPr="00B62036">
        <w:rPr>
          <w:rFonts w:ascii="Gill Sans MT" w:hAnsi="Gill Sans MT" w:cs="Calibri"/>
          <w:sz w:val="20"/>
          <w:szCs w:val="20"/>
        </w:rPr>
        <w:t xml:space="preserve"> </w:t>
      </w:r>
      <w:r w:rsidR="00EC3C3D" w:rsidRPr="00B62036">
        <w:rPr>
          <w:rFonts w:ascii="Gill Sans MT" w:hAnsi="Gill Sans MT" w:cs="Calibri"/>
          <w:sz w:val="20"/>
          <w:szCs w:val="20"/>
        </w:rPr>
        <w:t xml:space="preserve">meetings </w:t>
      </w:r>
      <w:r w:rsidR="00116787" w:rsidRPr="00B62036">
        <w:rPr>
          <w:rFonts w:ascii="Gill Sans MT" w:hAnsi="Gill Sans MT" w:cs="Calibri"/>
          <w:sz w:val="20"/>
          <w:szCs w:val="20"/>
        </w:rPr>
        <w:t xml:space="preserve">held </w:t>
      </w:r>
      <w:r w:rsidR="00B21B04">
        <w:rPr>
          <w:rFonts w:ascii="Gill Sans MT" w:hAnsi="Gill Sans MT" w:cs="Calibri"/>
          <w:sz w:val="20"/>
          <w:szCs w:val="20"/>
        </w:rPr>
        <w:t xml:space="preserve">on </w:t>
      </w:r>
      <w:r w:rsidR="00116787" w:rsidRPr="00B62036">
        <w:rPr>
          <w:rFonts w:ascii="Gill Sans MT" w:hAnsi="Gill Sans MT" w:cs="Calibri"/>
          <w:sz w:val="20"/>
          <w:szCs w:val="20"/>
        </w:rPr>
        <w:t xml:space="preserve">monthly </w:t>
      </w:r>
      <w:r w:rsidR="00675A7F" w:rsidRPr="00B62036">
        <w:rPr>
          <w:rFonts w:ascii="Gill Sans MT" w:hAnsi="Gill Sans MT" w:cs="Calibri"/>
          <w:sz w:val="20"/>
          <w:szCs w:val="20"/>
        </w:rPr>
        <w:t xml:space="preserve">basis at the ministry and </w:t>
      </w:r>
      <w:r w:rsidR="00116787" w:rsidRPr="00B62036">
        <w:rPr>
          <w:rFonts w:ascii="Gill Sans MT" w:hAnsi="Gill Sans MT" w:cs="Calibri"/>
          <w:sz w:val="20"/>
          <w:szCs w:val="20"/>
        </w:rPr>
        <w:t>chaired by government focal points at MORDA</w:t>
      </w:r>
      <w:r w:rsidR="00EC3C3D" w:rsidRPr="00B62036">
        <w:rPr>
          <w:rFonts w:ascii="Gill Sans MT" w:hAnsi="Gill Sans MT" w:cs="Calibri"/>
          <w:sz w:val="20"/>
          <w:szCs w:val="20"/>
        </w:rPr>
        <w:t>,</w:t>
      </w:r>
      <w:r w:rsidR="00116787" w:rsidRPr="00B62036">
        <w:rPr>
          <w:rFonts w:ascii="Gill Sans MT" w:hAnsi="Gill Sans MT" w:cs="Calibri"/>
          <w:sz w:val="20"/>
          <w:szCs w:val="20"/>
        </w:rPr>
        <w:t xml:space="preserve"> attended by partner agencies to share updates and </w:t>
      </w:r>
      <w:r w:rsidRPr="00B62036">
        <w:rPr>
          <w:rFonts w:ascii="Gill Sans MT" w:hAnsi="Gill Sans MT" w:cs="Calibri"/>
          <w:sz w:val="20"/>
          <w:szCs w:val="20"/>
        </w:rPr>
        <w:t>progress attained or jointly strategizes</w:t>
      </w:r>
      <w:r w:rsidR="00116787" w:rsidRPr="00B62036">
        <w:rPr>
          <w:rFonts w:ascii="Gill Sans MT" w:hAnsi="Gill Sans MT" w:cs="Calibri"/>
          <w:sz w:val="20"/>
          <w:szCs w:val="20"/>
        </w:rPr>
        <w:t xml:space="preserve"> to overcome challenges encountered. UNHCR as the </w:t>
      </w:r>
      <w:r w:rsidR="00675A7F" w:rsidRPr="00B62036">
        <w:rPr>
          <w:rFonts w:ascii="Gill Sans MT" w:hAnsi="Gill Sans MT" w:cs="Calibri"/>
          <w:sz w:val="20"/>
          <w:szCs w:val="20"/>
        </w:rPr>
        <w:t>lead</w:t>
      </w:r>
      <w:r w:rsidR="00116787" w:rsidRPr="00B62036">
        <w:rPr>
          <w:rFonts w:ascii="Gill Sans MT" w:hAnsi="Gill Sans MT" w:cs="Calibri"/>
          <w:sz w:val="20"/>
          <w:szCs w:val="20"/>
        </w:rPr>
        <w:t xml:space="preserve"> </w:t>
      </w:r>
      <w:r w:rsidR="00675A7F" w:rsidRPr="00B62036">
        <w:rPr>
          <w:rFonts w:ascii="Gill Sans MT" w:hAnsi="Gill Sans MT" w:cs="Calibri"/>
          <w:sz w:val="20"/>
          <w:szCs w:val="20"/>
        </w:rPr>
        <w:t xml:space="preserve">partner also worked closely with </w:t>
      </w:r>
      <w:r w:rsidR="00116787" w:rsidRPr="00B62036">
        <w:rPr>
          <w:rFonts w:ascii="Gill Sans MT" w:hAnsi="Gill Sans MT" w:cs="Calibri"/>
          <w:sz w:val="20"/>
          <w:szCs w:val="20"/>
        </w:rPr>
        <w:t>MORDA to monitor ongoing projects implemented by partners in Baidoa.</w:t>
      </w:r>
    </w:p>
    <w:p w14:paraId="60E53D9A" w14:textId="77777777" w:rsidR="00DD30C4" w:rsidRPr="00B62036" w:rsidRDefault="00DD30C4" w:rsidP="00230515">
      <w:pPr>
        <w:pStyle w:val="Default"/>
        <w:tabs>
          <w:tab w:val="left" w:pos="1440"/>
        </w:tabs>
        <w:spacing w:line="276" w:lineRule="auto"/>
        <w:jc w:val="both"/>
        <w:rPr>
          <w:rFonts w:ascii="Gill Sans MT" w:hAnsi="Gill Sans MT" w:cs="Calibri"/>
          <w:sz w:val="20"/>
          <w:szCs w:val="20"/>
        </w:rPr>
      </w:pPr>
    </w:p>
    <w:p w14:paraId="55792339" w14:textId="6813E23B" w:rsidR="00D53B78" w:rsidRPr="00B62036" w:rsidRDefault="00DD30C4"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MORDA was instrumental in the implementation of the program in Baidoa. Interviews with UN and partners in Baidoa revealed that they coordinated with the ministry officials in the selection of beneficiaries, site identification, and identification of returnee settlements and also played an oversight role and monitoring of various project activities that were running simultaneously in different locations.</w:t>
      </w:r>
      <w:r w:rsidR="00D53B78" w:rsidRPr="00B62036">
        <w:rPr>
          <w:rFonts w:ascii="Gill Sans MT" w:hAnsi="Gill Sans MT" w:cs="Calibri"/>
          <w:sz w:val="20"/>
          <w:szCs w:val="20"/>
        </w:rPr>
        <w:t xml:space="preserve"> B</w:t>
      </w:r>
      <w:r w:rsidR="008E6A01" w:rsidRPr="00B62036">
        <w:rPr>
          <w:rFonts w:ascii="Gill Sans MT" w:hAnsi="Gill Sans MT" w:cs="Calibri"/>
          <w:sz w:val="20"/>
          <w:szCs w:val="20"/>
        </w:rPr>
        <w:t>esides, some of the implementing partners coordinated with the local municipality in the selection of the beneficiaries</w:t>
      </w:r>
      <w:r w:rsidR="009A38FD" w:rsidRPr="00B62036">
        <w:rPr>
          <w:rFonts w:ascii="Gill Sans MT" w:hAnsi="Gill Sans MT" w:cs="Calibri"/>
          <w:sz w:val="20"/>
          <w:szCs w:val="20"/>
        </w:rPr>
        <w:t xml:space="preserve">. Interview with FERO official, a local partner for FAO that conducted the distribution of 1,600 goats to 160 </w:t>
      </w:r>
      <w:r w:rsidR="00E246E3" w:rsidRPr="00B62036">
        <w:rPr>
          <w:rFonts w:ascii="Gill Sans MT" w:hAnsi="Gill Sans MT" w:cs="Calibri"/>
          <w:sz w:val="20"/>
          <w:szCs w:val="20"/>
        </w:rPr>
        <w:t>returnees’</w:t>
      </w:r>
      <w:r w:rsidR="009A38FD" w:rsidRPr="00B62036">
        <w:rPr>
          <w:rFonts w:ascii="Gill Sans MT" w:hAnsi="Gill Sans MT" w:cs="Calibri"/>
          <w:sz w:val="20"/>
          <w:szCs w:val="20"/>
        </w:rPr>
        <w:t xml:space="preserve"> households </w:t>
      </w:r>
      <w:r w:rsidR="00E246E3" w:rsidRPr="00B62036">
        <w:rPr>
          <w:rFonts w:ascii="Gill Sans MT" w:hAnsi="Gill Sans MT" w:cs="Calibri"/>
          <w:sz w:val="20"/>
          <w:szCs w:val="20"/>
        </w:rPr>
        <w:t xml:space="preserve">indicated </w:t>
      </w:r>
      <w:r w:rsidR="00877BF4" w:rsidRPr="00B62036">
        <w:rPr>
          <w:rFonts w:ascii="Gill Sans MT" w:hAnsi="Gill Sans MT" w:cs="Calibri"/>
          <w:sz w:val="20"/>
          <w:szCs w:val="20"/>
        </w:rPr>
        <w:t xml:space="preserve">that </w:t>
      </w:r>
      <w:r w:rsidR="00E246E3" w:rsidRPr="00B62036">
        <w:rPr>
          <w:rFonts w:ascii="Gill Sans MT" w:hAnsi="Gill Sans MT" w:cs="Calibri"/>
          <w:sz w:val="20"/>
          <w:szCs w:val="20"/>
        </w:rPr>
        <w:t>the distribution process was overwhelming and engaged security agencies and community leaders to manage the crowd</w:t>
      </w:r>
      <w:r w:rsidR="000C05BA" w:rsidRPr="00B62036">
        <w:rPr>
          <w:rFonts w:ascii="Gill Sans MT" w:hAnsi="Gill Sans MT" w:cs="Calibri"/>
          <w:sz w:val="20"/>
          <w:szCs w:val="20"/>
        </w:rPr>
        <w:t xml:space="preserve"> and called out the names of the beneficiaries as they filled their details. </w:t>
      </w:r>
      <w:r w:rsidR="00E246E3" w:rsidRPr="00B62036">
        <w:rPr>
          <w:rFonts w:ascii="Gill Sans MT" w:hAnsi="Gill Sans MT" w:cs="Calibri"/>
          <w:sz w:val="20"/>
          <w:szCs w:val="20"/>
        </w:rPr>
        <w:t xml:space="preserve"> </w:t>
      </w:r>
      <w:r w:rsidR="000C05BA" w:rsidRPr="00B62036">
        <w:rPr>
          <w:rFonts w:ascii="Gill Sans MT" w:hAnsi="Gill Sans MT" w:cs="Calibri"/>
          <w:sz w:val="20"/>
          <w:szCs w:val="20"/>
        </w:rPr>
        <w:t>Interview with other partners such UNHCR’s local partner AVORD cited the distribution of donkey carts to beneficiaries was done in collaboration wit</w:t>
      </w:r>
      <w:r w:rsidR="00877BF4" w:rsidRPr="00B62036">
        <w:rPr>
          <w:rFonts w:ascii="Gill Sans MT" w:hAnsi="Gill Sans MT" w:cs="Calibri"/>
          <w:sz w:val="20"/>
          <w:szCs w:val="20"/>
        </w:rPr>
        <w:t>h government agencies and local</w:t>
      </w:r>
      <w:r w:rsidR="000C05BA" w:rsidRPr="00B62036">
        <w:rPr>
          <w:rFonts w:ascii="Gill Sans MT" w:hAnsi="Gill Sans MT" w:cs="Calibri"/>
          <w:sz w:val="20"/>
          <w:szCs w:val="20"/>
        </w:rPr>
        <w:t xml:space="preserve"> leaders. </w:t>
      </w:r>
    </w:p>
    <w:p w14:paraId="727EB72F" w14:textId="77777777" w:rsidR="00097393" w:rsidRPr="00B62036" w:rsidRDefault="00097393" w:rsidP="00230515">
      <w:pPr>
        <w:pStyle w:val="Default"/>
        <w:tabs>
          <w:tab w:val="left" w:pos="1440"/>
        </w:tabs>
        <w:spacing w:line="276" w:lineRule="auto"/>
        <w:jc w:val="both"/>
        <w:rPr>
          <w:rFonts w:ascii="Gill Sans MT" w:hAnsi="Gill Sans MT" w:cs="Calibri"/>
          <w:sz w:val="20"/>
          <w:szCs w:val="20"/>
        </w:rPr>
      </w:pPr>
    </w:p>
    <w:p w14:paraId="014DCFAC" w14:textId="77777777" w:rsidR="00057D34" w:rsidRDefault="003425AB" w:rsidP="00230515">
      <w:pPr>
        <w:pStyle w:val="Default"/>
        <w:tabs>
          <w:tab w:val="left" w:pos="1440"/>
        </w:tabs>
        <w:spacing w:line="276" w:lineRule="auto"/>
        <w:jc w:val="both"/>
        <w:rPr>
          <w:rFonts w:ascii="Gill Sans MT" w:hAnsi="Gill Sans MT" w:cs="Calibri"/>
          <w:b/>
          <w:sz w:val="20"/>
          <w:szCs w:val="20"/>
        </w:rPr>
      </w:pPr>
      <w:r w:rsidRPr="00B62036">
        <w:rPr>
          <w:rFonts w:ascii="Gill Sans MT" w:hAnsi="Gill Sans MT" w:cs="Calibri"/>
          <w:b/>
          <w:sz w:val="20"/>
          <w:szCs w:val="20"/>
        </w:rPr>
        <w:lastRenderedPageBreak/>
        <w:t>Coordination among</w:t>
      </w:r>
      <w:r w:rsidR="00E50091" w:rsidRPr="00B62036">
        <w:rPr>
          <w:rFonts w:ascii="Gill Sans MT" w:hAnsi="Gill Sans MT" w:cs="Calibri"/>
          <w:b/>
          <w:sz w:val="20"/>
          <w:szCs w:val="20"/>
        </w:rPr>
        <w:t xml:space="preserve"> PUNOs, </w:t>
      </w:r>
      <w:r w:rsidR="00097393" w:rsidRPr="00B62036">
        <w:rPr>
          <w:rFonts w:ascii="Gill Sans MT" w:hAnsi="Gill Sans MT" w:cs="Calibri"/>
          <w:b/>
          <w:sz w:val="20"/>
          <w:szCs w:val="20"/>
        </w:rPr>
        <w:t>Local Partners</w:t>
      </w:r>
      <w:r w:rsidR="00877BF4" w:rsidRPr="00B62036">
        <w:rPr>
          <w:rFonts w:ascii="Gill Sans MT" w:hAnsi="Gill Sans MT" w:cs="Calibri"/>
          <w:b/>
          <w:sz w:val="20"/>
          <w:szCs w:val="20"/>
        </w:rPr>
        <w:t xml:space="preserve"> and Local C</w:t>
      </w:r>
      <w:r w:rsidR="00E50091" w:rsidRPr="00B62036">
        <w:rPr>
          <w:rFonts w:ascii="Gill Sans MT" w:hAnsi="Gill Sans MT" w:cs="Calibri"/>
          <w:b/>
          <w:sz w:val="20"/>
          <w:szCs w:val="20"/>
        </w:rPr>
        <w:t>ommunities</w:t>
      </w:r>
    </w:p>
    <w:p w14:paraId="631F0BA1" w14:textId="6A7ED4FF" w:rsidR="00E50091" w:rsidRPr="00B62036" w:rsidRDefault="00057D34" w:rsidP="00230515">
      <w:pPr>
        <w:pStyle w:val="Default"/>
        <w:tabs>
          <w:tab w:val="left" w:pos="1440"/>
        </w:tabs>
        <w:spacing w:line="276" w:lineRule="auto"/>
        <w:jc w:val="both"/>
        <w:rPr>
          <w:rFonts w:ascii="Gill Sans MT" w:hAnsi="Gill Sans MT" w:cs="Calibri"/>
          <w:sz w:val="20"/>
          <w:szCs w:val="20"/>
        </w:rPr>
      </w:pPr>
      <w:r>
        <w:rPr>
          <w:rFonts w:ascii="Gill Sans MT" w:hAnsi="Gill Sans MT" w:cs="Calibri"/>
          <w:b/>
          <w:sz w:val="20"/>
          <w:szCs w:val="20"/>
        </w:rPr>
        <w:t>The PUNOs</w:t>
      </w:r>
      <w:r w:rsidR="00877BF4" w:rsidRPr="00B62036">
        <w:rPr>
          <w:rFonts w:ascii="Gill Sans MT" w:hAnsi="Gill Sans MT" w:cs="Calibri"/>
          <w:sz w:val="20"/>
          <w:szCs w:val="20"/>
        </w:rPr>
        <w:t xml:space="preserve"> and local partners jointly implemented the various </w:t>
      </w:r>
      <w:r w:rsidR="00617253">
        <w:rPr>
          <w:rFonts w:ascii="Gill Sans MT" w:hAnsi="Gill Sans MT" w:cs="Calibri"/>
          <w:sz w:val="20"/>
          <w:szCs w:val="20"/>
        </w:rPr>
        <w:t xml:space="preserve">PBF program </w:t>
      </w:r>
      <w:r w:rsidR="00877BF4" w:rsidRPr="00B62036">
        <w:rPr>
          <w:rFonts w:ascii="Gill Sans MT" w:hAnsi="Gill Sans MT" w:cs="Calibri"/>
          <w:sz w:val="20"/>
          <w:szCs w:val="20"/>
        </w:rPr>
        <w:t>activities in Baidoa</w:t>
      </w:r>
      <w:r>
        <w:rPr>
          <w:rFonts w:ascii="Gill Sans MT" w:hAnsi="Gill Sans MT" w:cs="Calibri"/>
          <w:sz w:val="20"/>
          <w:szCs w:val="20"/>
        </w:rPr>
        <w:t>. This created</w:t>
      </w:r>
      <w:r w:rsidR="00663083" w:rsidRPr="00B62036">
        <w:rPr>
          <w:rFonts w:ascii="Gill Sans MT" w:hAnsi="Gill Sans MT" w:cs="Calibri"/>
          <w:sz w:val="20"/>
          <w:szCs w:val="20"/>
        </w:rPr>
        <w:t xml:space="preserve"> coordination </w:t>
      </w:r>
      <w:r>
        <w:rPr>
          <w:rFonts w:ascii="Gill Sans MT" w:hAnsi="Gill Sans MT" w:cs="Calibri"/>
          <w:sz w:val="20"/>
          <w:szCs w:val="20"/>
        </w:rPr>
        <w:t xml:space="preserve">that </w:t>
      </w:r>
      <w:r w:rsidR="00663083" w:rsidRPr="00B62036">
        <w:rPr>
          <w:rFonts w:ascii="Gill Sans MT" w:hAnsi="Gill Sans MT" w:cs="Calibri"/>
          <w:sz w:val="20"/>
          <w:szCs w:val="20"/>
        </w:rPr>
        <w:t xml:space="preserve">ensured complementarity in the implementation of the project activities. </w:t>
      </w:r>
      <w:r w:rsidR="00877BF4" w:rsidRPr="00B62036">
        <w:rPr>
          <w:rFonts w:ascii="Gill Sans MT" w:hAnsi="Gill Sans MT" w:cs="Calibri"/>
          <w:sz w:val="20"/>
          <w:szCs w:val="20"/>
        </w:rPr>
        <w:t>This was so because local organizations have presence and understanding of social dynamics and cultural systems while the UN agencies have technical skills and systems and was</w:t>
      </w:r>
      <w:r w:rsidR="003721D1" w:rsidRPr="00B62036">
        <w:rPr>
          <w:rFonts w:ascii="Gill Sans MT" w:hAnsi="Gill Sans MT" w:cs="Calibri"/>
          <w:sz w:val="20"/>
          <w:szCs w:val="20"/>
        </w:rPr>
        <w:t xml:space="preserve"> responsible for</w:t>
      </w:r>
      <w:r w:rsidR="00902DD7" w:rsidRPr="00B62036">
        <w:rPr>
          <w:rFonts w:ascii="Gill Sans MT" w:hAnsi="Gill Sans MT" w:cs="Calibri"/>
          <w:sz w:val="20"/>
          <w:szCs w:val="20"/>
        </w:rPr>
        <w:t xml:space="preserve"> implementation, financial management and </w:t>
      </w:r>
      <w:r w:rsidR="00877BF4" w:rsidRPr="00B62036">
        <w:rPr>
          <w:rFonts w:ascii="Gill Sans MT" w:hAnsi="Gill Sans MT" w:cs="Calibri"/>
          <w:sz w:val="20"/>
          <w:szCs w:val="20"/>
        </w:rPr>
        <w:t>reporting</w:t>
      </w:r>
      <w:r w:rsidR="003721D1" w:rsidRPr="00B62036">
        <w:rPr>
          <w:rFonts w:ascii="Gill Sans MT" w:hAnsi="Gill Sans MT" w:cs="Calibri"/>
          <w:sz w:val="20"/>
          <w:szCs w:val="20"/>
        </w:rPr>
        <w:t xml:space="preserve"> and updating government officials regularly. </w:t>
      </w:r>
      <w:r w:rsidR="00902DD7" w:rsidRPr="00B62036">
        <w:rPr>
          <w:rFonts w:ascii="Gill Sans MT" w:hAnsi="Gill Sans MT" w:cs="Calibri"/>
          <w:sz w:val="20"/>
          <w:szCs w:val="20"/>
        </w:rPr>
        <w:t>This</w:t>
      </w:r>
      <w:r w:rsidR="003721D1" w:rsidRPr="00B62036">
        <w:rPr>
          <w:rFonts w:ascii="Gill Sans MT" w:hAnsi="Gill Sans MT" w:cs="Calibri"/>
          <w:sz w:val="20"/>
          <w:szCs w:val="20"/>
        </w:rPr>
        <w:t xml:space="preserve"> close coordination was significant in mobilization of various community segments</w:t>
      </w:r>
      <w:r w:rsidR="00902DD7" w:rsidRPr="00B62036">
        <w:rPr>
          <w:rFonts w:ascii="Gill Sans MT" w:hAnsi="Gill Sans MT" w:cs="Calibri"/>
          <w:sz w:val="20"/>
          <w:szCs w:val="20"/>
        </w:rPr>
        <w:t xml:space="preserve"> including returnees, IDPs and host community in the targeting and selection of beneficiaries in line with selection criteria.</w:t>
      </w:r>
      <w:r w:rsidR="000C05BA" w:rsidRPr="00B62036">
        <w:rPr>
          <w:rFonts w:ascii="Gill Sans MT" w:hAnsi="Gill Sans MT" w:cs="Calibri"/>
          <w:sz w:val="20"/>
          <w:szCs w:val="20"/>
        </w:rPr>
        <w:t xml:space="preserve"> For instance, interview with ILO officials indicated that </w:t>
      </w:r>
      <w:r w:rsidR="00E6532B" w:rsidRPr="00B62036">
        <w:rPr>
          <w:rFonts w:ascii="Gill Sans MT" w:hAnsi="Gill Sans MT" w:cs="Calibri"/>
          <w:sz w:val="20"/>
          <w:szCs w:val="20"/>
        </w:rPr>
        <w:t xml:space="preserve">they have coordinated with a local construction company to rehabilitate </w:t>
      </w:r>
      <w:r w:rsidR="00093D2A">
        <w:rPr>
          <w:rFonts w:ascii="Gill Sans MT" w:hAnsi="Gill Sans MT" w:cs="Calibri"/>
          <w:sz w:val="20"/>
          <w:szCs w:val="20"/>
        </w:rPr>
        <w:t>300</w:t>
      </w:r>
      <w:r w:rsidR="00093D2A" w:rsidRPr="00B62036">
        <w:rPr>
          <w:rFonts w:ascii="Gill Sans MT" w:hAnsi="Gill Sans MT" w:cs="Calibri"/>
          <w:sz w:val="20"/>
          <w:szCs w:val="20"/>
        </w:rPr>
        <w:t xml:space="preserve"> </w:t>
      </w:r>
      <w:r w:rsidR="00E6532B" w:rsidRPr="00B62036">
        <w:rPr>
          <w:rFonts w:ascii="Gill Sans MT" w:hAnsi="Gill Sans MT" w:cs="Calibri"/>
          <w:sz w:val="20"/>
          <w:szCs w:val="20"/>
        </w:rPr>
        <w:t>meters feeder roads and jointly selected casual labors that took part in the rehabilitation of the road as company deployed graders and other heavy machines. The local</w:t>
      </w:r>
      <w:r w:rsidR="00877BF4" w:rsidRPr="00B62036">
        <w:rPr>
          <w:rFonts w:ascii="Gill Sans MT" w:hAnsi="Gill Sans MT" w:cs="Calibri"/>
          <w:sz w:val="20"/>
          <w:szCs w:val="20"/>
        </w:rPr>
        <w:t>s</w:t>
      </w:r>
      <w:r w:rsidR="00E6532B" w:rsidRPr="00B62036">
        <w:rPr>
          <w:rFonts w:ascii="Gill Sans MT" w:hAnsi="Gill Sans MT" w:cs="Calibri"/>
          <w:sz w:val="20"/>
          <w:szCs w:val="20"/>
        </w:rPr>
        <w:t xml:space="preserve"> welcomed such joint collaboration as laudable because the approach was seen as unique and produced a permanent infrastructure that would be </w:t>
      </w:r>
      <w:r w:rsidR="00951FE4" w:rsidRPr="00B62036">
        <w:rPr>
          <w:rFonts w:ascii="Gill Sans MT" w:hAnsi="Gill Sans MT" w:cs="Calibri"/>
          <w:sz w:val="20"/>
          <w:szCs w:val="20"/>
        </w:rPr>
        <w:t>serving</w:t>
      </w:r>
      <w:r w:rsidR="00E6532B" w:rsidRPr="00B62036">
        <w:rPr>
          <w:rFonts w:ascii="Gill Sans MT" w:hAnsi="Gill Sans MT" w:cs="Calibri"/>
          <w:sz w:val="20"/>
          <w:szCs w:val="20"/>
        </w:rPr>
        <w:t xml:space="preserve"> the communities for decades. </w:t>
      </w:r>
    </w:p>
    <w:p w14:paraId="390E0B63" w14:textId="77777777" w:rsidR="00E50091" w:rsidRPr="00B62036" w:rsidRDefault="00E50091" w:rsidP="00230515">
      <w:pPr>
        <w:pStyle w:val="Default"/>
        <w:tabs>
          <w:tab w:val="left" w:pos="1440"/>
        </w:tabs>
        <w:spacing w:line="276" w:lineRule="auto"/>
        <w:jc w:val="both"/>
        <w:rPr>
          <w:rFonts w:ascii="Gill Sans MT" w:hAnsi="Gill Sans MT" w:cs="Calibri"/>
          <w:sz w:val="20"/>
          <w:szCs w:val="20"/>
        </w:rPr>
      </w:pPr>
    </w:p>
    <w:p w14:paraId="6AD7B505" w14:textId="745509FD" w:rsidR="00546FE5" w:rsidRPr="00B62036" w:rsidRDefault="00951FE4"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Besides, interview with UNICEF’ local partner, BREK explained that through working with local community leaders they were able to construct a total of 12 temporary learning spaces across six settlement</w:t>
      </w:r>
      <w:r w:rsidR="00CB7332" w:rsidRPr="00B62036">
        <w:rPr>
          <w:rFonts w:ascii="Gill Sans MT" w:hAnsi="Gill Sans MT" w:cs="Calibri"/>
          <w:sz w:val="20"/>
          <w:szCs w:val="20"/>
        </w:rPr>
        <w:t>s two units in each location</w:t>
      </w:r>
      <w:r w:rsidRPr="00B62036">
        <w:rPr>
          <w:rFonts w:ascii="Gill Sans MT" w:hAnsi="Gill Sans MT" w:cs="Calibri"/>
          <w:sz w:val="20"/>
          <w:szCs w:val="20"/>
        </w:rPr>
        <w:t>.</w:t>
      </w:r>
      <w:r w:rsidR="00CB7332" w:rsidRPr="00B62036">
        <w:rPr>
          <w:rFonts w:ascii="Gill Sans MT" w:hAnsi="Gill Sans MT" w:cs="Calibri"/>
          <w:sz w:val="20"/>
          <w:szCs w:val="20"/>
        </w:rPr>
        <w:t xml:space="preserve"> The </w:t>
      </w:r>
      <w:r w:rsidR="00E50091" w:rsidRPr="00B62036">
        <w:rPr>
          <w:rFonts w:ascii="Gill Sans MT" w:hAnsi="Gill Sans MT" w:cs="Calibri"/>
          <w:sz w:val="20"/>
          <w:szCs w:val="20"/>
        </w:rPr>
        <w:t>projects</w:t>
      </w:r>
      <w:r w:rsidR="00CB7332" w:rsidRPr="00B62036">
        <w:rPr>
          <w:rFonts w:ascii="Gill Sans MT" w:hAnsi="Gill Sans MT" w:cs="Calibri"/>
          <w:sz w:val="20"/>
          <w:szCs w:val="20"/>
        </w:rPr>
        <w:t xml:space="preserve"> teams established and trained 105 Community Education Committee (CEC) as well as 57 volunteer teachers from local community. The CECs were trained on school management, resources mobilization and management, social mobilization and conflict manage</w:t>
      </w:r>
      <w:r w:rsidR="003D63F3" w:rsidRPr="00B62036">
        <w:rPr>
          <w:rFonts w:ascii="Gill Sans MT" w:hAnsi="Gill Sans MT" w:cs="Calibri"/>
          <w:sz w:val="20"/>
          <w:szCs w:val="20"/>
        </w:rPr>
        <w:t>ment that were geared to promoting</w:t>
      </w:r>
      <w:r w:rsidR="00CB7332" w:rsidRPr="00B62036">
        <w:rPr>
          <w:rFonts w:ascii="Gill Sans MT" w:hAnsi="Gill Sans MT" w:cs="Calibri"/>
          <w:sz w:val="20"/>
          <w:szCs w:val="20"/>
        </w:rPr>
        <w:t xml:space="preserve"> ownership and self-reliance after the end of the project period. Despite structural challenges five out of the six temporary learning spaces are operational and CECs are running the centres and mobilizing resources from the </w:t>
      </w:r>
      <w:r w:rsidR="00E50091" w:rsidRPr="00B62036">
        <w:rPr>
          <w:rFonts w:ascii="Gill Sans MT" w:hAnsi="Gill Sans MT" w:cs="Calibri"/>
          <w:sz w:val="20"/>
          <w:szCs w:val="20"/>
        </w:rPr>
        <w:t xml:space="preserve">members. </w:t>
      </w:r>
      <w:r w:rsidR="00CB7332" w:rsidRPr="00B62036">
        <w:rPr>
          <w:rFonts w:ascii="Gill Sans MT" w:hAnsi="Gill Sans MT" w:cs="Calibri"/>
          <w:sz w:val="20"/>
          <w:szCs w:val="20"/>
        </w:rPr>
        <w:t xml:space="preserve">  </w:t>
      </w:r>
      <w:r w:rsidRPr="00B62036">
        <w:rPr>
          <w:rFonts w:ascii="Gill Sans MT" w:hAnsi="Gill Sans MT" w:cs="Calibri"/>
          <w:sz w:val="20"/>
          <w:szCs w:val="20"/>
        </w:rPr>
        <w:t xml:space="preserve"> </w:t>
      </w:r>
    </w:p>
    <w:p w14:paraId="70487BC5" w14:textId="77777777" w:rsidR="00546FE5" w:rsidRPr="00B62036" w:rsidRDefault="00546FE5" w:rsidP="00230515">
      <w:pPr>
        <w:pStyle w:val="Default"/>
        <w:tabs>
          <w:tab w:val="left" w:pos="1440"/>
        </w:tabs>
        <w:spacing w:line="276" w:lineRule="auto"/>
        <w:jc w:val="both"/>
        <w:rPr>
          <w:rFonts w:ascii="Gill Sans MT" w:hAnsi="Gill Sans MT" w:cs="Calibri"/>
          <w:sz w:val="20"/>
          <w:szCs w:val="20"/>
        </w:rPr>
      </w:pPr>
    </w:p>
    <w:p w14:paraId="27C1379E" w14:textId="5C1833CB" w:rsidR="008E6A01" w:rsidRPr="00B62036" w:rsidRDefault="00D53B78"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 xml:space="preserve">Local organizations collaborated with the camp leaders, local community leaders, village heads in the selection of target beneficiaries based on set criteria that </w:t>
      </w:r>
      <w:r w:rsidR="003D63F3" w:rsidRPr="00B62036">
        <w:rPr>
          <w:rFonts w:ascii="Gill Sans MT" w:hAnsi="Gill Sans MT" w:cs="Calibri"/>
          <w:sz w:val="20"/>
          <w:szCs w:val="20"/>
        </w:rPr>
        <w:t xml:space="preserve">priority should be given to </w:t>
      </w:r>
      <w:r w:rsidRPr="00B62036">
        <w:rPr>
          <w:rFonts w:ascii="Gill Sans MT" w:hAnsi="Gill Sans MT" w:cs="Calibri"/>
          <w:sz w:val="20"/>
          <w:szCs w:val="20"/>
        </w:rPr>
        <w:t xml:space="preserve">vulnerable women and </w:t>
      </w:r>
      <w:r w:rsidR="003D63F3" w:rsidRPr="00B62036">
        <w:rPr>
          <w:rFonts w:ascii="Gill Sans MT" w:hAnsi="Gill Sans MT" w:cs="Calibri"/>
          <w:sz w:val="20"/>
          <w:szCs w:val="20"/>
        </w:rPr>
        <w:t>fe</w:t>
      </w:r>
      <w:r w:rsidRPr="00B62036">
        <w:rPr>
          <w:rFonts w:ascii="Gill Sans MT" w:hAnsi="Gill Sans MT" w:cs="Calibri"/>
          <w:sz w:val="20"/>
          <w:szCs w:val="20"/>
        </w:rPr>
        <w:t>male headed households, minority groups, and elderly and widowed per</w:t>
      </w:r>
      <w:r w:rsidR="00E50091" w:rsidRPr="00B62036">
        <w:rPr>
          <w:rFonts w:ascii="Gill Sans MT" w:hAnsi="Gill Sans MT" w:cs="Calibri"/>
          <w:sz w:val="20"/>
          <w:szCs w:val="20"/>
        </w:rPr>
        <w:t xml:space="preserve">sons. </w:t>
      </w:r>
      <w:r w:rsidR="008E6A01" w:rsidRPr="00B62036">
        <w:rPr>
          <w:rFonts w:ascii="Gill Sans MT" w:hAnsi="Gill Sans MT" w:cs="Calibri"/>
          <w:sz w:val="20"/>
          <w:szCs w:val="20"/>
        </w:rPr>
        <w:t>Community leaders helped in building consensus and assisted agencies identify deserving members in their respective location</w:t>
      </w:r>
      <w:r w:rsidR="003D63F3" w:rsidRPr="00B62036">
        <w:rPr>
          <w:rFonts w:ascii="Gill Sans MT" w:hAnsi="Gill Sans MT" w:cs="Calibri"/>
          <w:sz w:val="20"/>
          <w:szCs w:val="20"/>
        </w:rPr>
        <w:t xml:space="preserve">s. Given that </w:t>
      </w:r>
      <w:r w:rsidR="008E6A01" w:rsidRPr="00B62036">
        <w:rPr>
          <w:rFonts w:ascii="Gill Sans MT" w:hAnsi="Gill Sans MT" w:cs="Calibri"/>
          <w:sz w:val="20"/>
          <w:szCs w:val="20"/>
        </w:rPr>
        <w:t>some of the project activities involved distribution of livestock and agricultural inputs and tool</w:t>
      </w:r>
      <w:r w:rsidR="003D63F3" w:rsidRPr="00B62036">
        <w:rPr>
          <w:rFonts w:ascii="Gill Sans MT" w:hAnsi="Gill Sans MT" w:cs="Calibri"/>
          <w:sz w:val="20"/>
          <w:szCs w:val="20"/>
        </w:rPr>
        <w:t>s</w:t>
      </w:r>
      <w:r w:rsidR="008E6A01" w:rsidRPr="00B62036">
        <w:rPr>
          <w:rFonts w:ascii="Gill Sans MT" w:hAnsi="Gill Sans MT" w:cs="Calibri"/>
          <w:sz w:val="20"/>
          <w:szCs w:val="20"/>
        </w:rPr>
        <w:t xml:space="preserve"> and donkey carts as well employment generation which were not adequate to address the needs all the constituents</w:t>
      </w:r>
      <w:r w:rsidR="003D63F3" w:rsidRPr="00B62036">
        <w:rPr>
          <w:rFonts w:ascii="Gill Sans MT" w:hAnsi="Gill Sans MT" w:cs="Calibri"/>
          <w:sz w:val="20"/>
          <w:szCs w:val="20"/>
        </w:rPr>
        <w:t>,</w:t>
      </w:r>
      <w:r w:rsidR="008E6A01" w:rsidRPr="00B62036">
        <w:rPr>
          <w:rFonts w:ascii="Gill Sans MT" w:hAnsi="Gill Sans MT" w:cs="Calibri"/>
          <w:sz w:val="20"/>
          <w:szCs w:val="20"/>
        </w:rPr>
        <w:t xml:space="preserve"> the involvement of community leaders and </w:t>
      </w:r>
      <w:r w:rsidR="003D63F3" w:rsidRPr="00B62036">
        <w:rPr>
          <w:rFonts w:ascii="Gill Sans MT" w:hAnsi="Gill Sans MT" w:cs="Calibri"/>
          <w:sz w:val="20"/>
          <w:szCs w:val="20"/>
        </w:rPr>
        <w:t>use of such</w:t>
      </w:r>
      <w:r w:rsidR="008E6A01" w:rsidRPr="00B62036">
        <w:rPr>
          <w:rFonts w:ascii="Gill Sans MT" w:hAnsi="Gill Sans MT" w:cs="Calibri"/>
          <w:sz w:val="20"/>
          <w:szCs w:val="20"/>
        </w:rPr>
        <w:t xml:space="preserve"> criteria helped avert potential resources conflict since the process targeted returnees, IDPs and host community.</w:t>
      </w:r>
    </w:p>
    <w:p w14:paraId="34267D0B" w14:textId="77777777" w:rsidR="00D3515B" w:rsidRPr="00B62036" w:rsidRDefault="00D3515B" w:rsidP="00230515">
      <w:pPr>
        <w:pStyle w:val="Default"/>
        <w:tabs>
          <w:tab w:val="left" w:pos="1440"/>
        </w:tabs>
        <w:spacing w:line="276" w:lineRule="auto"/>
        <w:ind w:left="360"/>
        <w:jc w:val="both"/>
        <w:rPr>
          <w:rFonts w:ascii="Gill Sans MT" w:hAnsi="Gill Sans MT" w:cs="Calibri"/>
          <w:sz w:val="20"/>
          <w:szCs w:val="20"/>
          <w:highlight w:val="yellow"/>
        </w:rPr>
      </w:pPr>
    </w:p>
    <w:p w14:paraId="4AFAB7CC" w14:textId="39BEF06E" w:rsidR="0088786F" w:rsidRDefault="004D177B"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Interviews with various stakeholders including PUNOs, MORDA, local partners and community members noted there was coordination mechanism, however, they equally highlighted several challenges in terms of information sharing vertically or horizontally within the partners. Firstly, some of PUNOs field team</w:t>
      </w:r>
      <w:r w:rsidR="002B6FD1" w:rsidRPr="00B62036">
        <w:rPr>
          <w:rFonts w:ascii="Gill Sans MT" w:hAnsi="Gill Sans MT" w:cs="Calibri"/>
          <w:sz w:val="20"/>
          <w:szCs w:val="20"/>
        </w:rPr>
        <w:t xml:space="preserve"> noted</w:t>
      </w:r>
      <w:r w:rsidRPr="00B62036">
        <w:rPr>
          <w:rFonts w:ascii="Gill Sans MT" w:hAnsi="Gill Sans MT" w:cs="Calibri"/>
          <w:sz w:val="20"/>
          <w:szCs w:val="20"/>
        </w:rPr>
        <w:t xml:space="preserve"> that there was lack of clarity between their head offices and field team du</w:t>
      </w:r>
      <w:r w:rsidR="002B6FD1" w:rsidRPr="00B62036">
        <w:rPr>
          <w:rFonts w:ascii="Gill Sans MT" w:hAnsi="Gill Sans MT" w:cs="Calibri"/>
          <w:sz w:val="20"/>
          <w:szCs w:val="20"/>
        </w:rPr>
        <w:t xml:space="preserve">e to lack of proper briefing on the </w:t>
      </w:r>
      <w:r w:rsidRPr="00B62036">
        <w:rPr>
          <w:rFonts w:ascii="Gill Sans MT" w:hAnsi="Gill Sans MT" w:cs="Calibri"/>
          <w:sz w:val="20"/>
          <w:szCs w:val="20"/>
        </w:rPr>
        <w:t>outcome from the coordination</w:t>
      </w:r>
      <w:r w:rsidR="008248A1" w:rsidRPr="00B62036">
        <w:rPr>
          <w:rFonts w:ascii="Gill Sans MT" w:hAnsi="Gill Sans MT" w:cs="Calibri"/>
          <w:sz w:val="20"/>
          <w:szCs w:val="20"/>
        </w:rPr>
        <w:t xml:space="preserve"> meetings within PUNOs to the extent they did not know the PBF program; secondly some of the local partners of PUNOs indicated they were only contracted to implement the project an</w:t>
      </w:r>
      <w:r w:rsidR="003D63F3" w:rsidRPr="00B62036">
        <w:rPr>
          <w:rFonts w:ascii="Gill Sans MT" w:hAnsi="Gill Sans MT" w:cs="Calibri"/>
          <w:sz w:val="20"/>
          <w:szCs w:val="20"/>
        </w:rPr>
        <w:t xml:space="preserve">d submitted field reports and </w:t>
      </w:r>
      <w:r w:rsidR="008248A1" w:rsidRPr="00B62036">
        <w:rPr>
          <w:rFonts w:ascii="Gill Sans MT" w:hAnsi="Gill Sans MT" w:cs="Calibri"/>
          <w:sz w:val="20"/>
          <w:szCs w:val="20"/>
        </w:rPr>
        <w:t xml:space="preserve">did not </w:t>
      </w:r>
      <w:r w:rsidR="003D63F3" w:rsidRPr="00B62036">
        <w:rPr>
          <w:rFonts w:ascii="Gill Sans MT" w:hAnsi="Gill Sans MT" w:cs="Calibri"/>
          <w:sz w:val="20"/>
          <w:szCs w:val="20"/>
        </w:rPr>
        <w:t xml:space="preserve">know </w:t>
      </w:r>
      <w:r w:rsidR="008248A1" w:rsidRPr="00B62036">
        <w:rPr>
          <w:rFonts w:ascii="Gill Sans MT" w:hAnsi="Gill Sans MT" w:cs="Calibri"/>
          <w:sz w:val="20"/>
          <w:szCs w:val="20"/>
        </w:rPr>
        <w:t xml:space="preserve">about the objectives of the projects and PBF program; thirdly, there </w:t>
      </w:r>
      <w:r w:rsidR="003D63F3" w:rsidRPr="00B62036">
        <w:rPr>
          <w:rFonts w:ascii="Gill Sans MT" w:hAnsi="Gill Sans MT" w:cs="Calibri"/>
          <w:sz w:val="20"/>
          <w:szCs w:val="20"/>
        </w:rPr>
        <w:t xml:space="preserve">was </w:t>
      </w:r>
      <w:r w:rsidR="008248A1" w:rsidRPr="00B62036">
        <w:rPr>
          <w:rFonts w:ascii="Gill Sans MT" w:hAnsi="Gill Sans MT" w:cs="Calibri"/>
          <w:sz w:val="20"/>
          <w:szCs w:val="20"/>
        </w:rPr>
        <w:t>little information sharing during the beneficiary selection process among the implementing agencies de</w:t>
      </w:r>
      <w:r w:rsidR="003D63F3" w:rsidRPr="00B62036">
        <w:rPr>
          <w:rFonts w:ascii="Gill Sans MT" w:hAnsi="Gill Sans MT" w:cs="Calibri"/>
          <w:sz w:val="20"/>
          <w:szCs w:val="20"/>
        </w:rPr>
        <w:t>spite the existence of the data</w:t>
      </w:r>
      <w:r w:rsidR="008248A1" w:rsidRPr="00B62036">
        <w:rPr>
          <w:rFonts w:ascii="Gill Sans MT" w:hAnsi="Gill Sans MT" w:cs="Calibri"/>
          <w:sz w:val="20"/>
          <w:szCs w:val="20"/>
        </w:rPr>
        <w:t>base of beneficiaries by W</w:t>
      </w:r>
      <w:r w:rsidR="003D63F3" w:rsidRPr="00B62036">
        <w:rPr>
          <w:rFonts w:ascii="Gill Sans MT" w:hAnsi="Gill Sans MT" w:cs="Calibri"/>
          <w:sz w:val="20"/>
          <w:szCs w:val="20"/>
        </w:rPr>
        <w:t xml:space="preserve">FP and UNHCR. </w:t>
      </w:r>
      <w:r w:rsidR="00F27C33" w:rsidRPr="00B62036">
        <w:rPr>
          <w:rFonts w:ascii="Gill Sans MT" w:hAnsi="Gill Sans MT" w:cs="Calibri"/>
          <w:sz w:val="20"/>
          <w:szCs w:val="20"/>
        </w:rPr>
        <w:t>F</w:t>
      </w:r>
      <w:r w:rsidR="003E4DCA">
        <w:rPr>
          <w:rFonts w:ascii="Gill Sans MT" w:hAnsi="Gill Sans MT" w:cs="Calibri"/>
          <w:sz w:val="20"/>
          <w:szCs w:val="20"/>
        </w:rPr>
        <w:t>inally</w:t>
      </w:r>
      <w:r w:rsidR="00B35611" w:rsidRPr="00B62036">
        <w:rPr>
          <w:rFonts w:ascii="Gill Sans MT" w:hAnsi="Gill Sans MT" w:cs="Calibri"/>
          <w:sz w:val="20"/>
          <w:szCs w:val="20"/>
        </w:rPr>
        <w:t>, government officials have also complained about MORDA</w:t>
      </w:r>
      <w:r w:rsidR="00E61418" w:rsidRPr="00B62036">
        <w:rPr>
          <w:rFonts w:ascii="Gill Sans MT" w:hAnsi="Gill Sans MT" w:cs="Calibri"/>
          <w:sz w:val="20"/>
          <w:szCs w:val="20"/>
        </w:rPr>
        <w:t xml:space="preserve"> </w:t>
      </w:r>
      <w:r w:rsidR="003D63F3" w:rsidRPr="00B62036">
        <w:rPr>
          <w:rFonts w:ascii="Gill Sans MT" w:hAnsi="Gill Sans MT" w:cs="Calibri"/>
          <w:sz w:val="20"/>
          <w:szCs w:val="20"/>
        </w:rPr>
        <w:t xml:space="preserve">(which </w:t>
      </w:r>
      <w:r w:rsidR="00B35611" w:rsidRPr="00B62036">
        <w:rPr>
          <w:rFonts w:ascii="Gill Sans MT" w:hAnsi="Gill Sans MT" w:cs="Calibri"/>
          <w:sz w:val="20"/>
          <w:szCs w:val="20"/>
        </w:rPr>
        <w:t>has since been disbanded by the newly elected president of South We</w:t>
      </w:r>
      <w:r w:rsidR="003E4DCA">
        <w:rPr>
          <w:rFonts w:ascii="Gill Sans MT" w:hAnsi="Gill Sans MT" w:cs="Calibri"/>
          <w:sz w:val="20"/>
          <w:szCs w:val="20"/>
        </w:rPr>
        <w:t>st State) for allegedly usurping the mandate and role of other government agencies</w:t>
      </w:r>
      <w:r w:rsidR="00B35611" w:rsidRPr="00B62036">
        <w:rPr>
          <w:rFonts w:ascii="Gill Sans MT" w:hAnsi="Gill Sans MT" w:cs="Calibri"/>
          <w:sz w:val="20"/>
          <w:szCs w:val="20"/>
        </w:rPr>
        <w:t>.</w:t>
      </w:r>
      <w:r w:rsidR="00F27C33" w:rsidRPr="00B62036">
        <w:rPr>
          <w:rFonts w:ascii="Gill Sans MT" w:hAnsi="Gill Sans MT" w:cs="Calibri"/>
          <w:sz w:val="20"/>
          <w:szCs w:val="20"/>
        </w:rPr>
        <w:t xml:space="preserve"> </w:t>
      </w:r>
      <w:r w:rsidR="00DA21EF" w:rsidRPr="00B62036">
        <w:rPr>
          <w:rFonts w:ascii="Gill Sans MT" w:hAnsi="Gill Sans MT" w:cs="Calibri"/>
          <w:sz w:val="20"/>
          <w:szCs w:val="20"/>
        </w:rPr>
        <w:t>For instance,</w:t>
      </w:r>
      <w:r w:rsidR="00DA21EF">
        <w:rPr>
          <w:rFonts w:ascii="Gill Sans MT" w:hAnsi="Gill Sans MT" w:cs="Calibri"/>
          <w:sz w:val="20"/>
          <w:szCs w:val="20"/>
        </w:rPr>
        <w:t xml:space="preserve"> ministries of agriculture and </w:t>
      </w:r>
      <w:r w:rsidR="00DA21EF" w:rsidRPr="00B62036">
        <w:rPr>
          <w:rFonts w:ascii="Gill Sans MT" w:hAnsi="Gill Sans MT" w:cs="Calibri"/>
          <w:sz w:val="20"/>
          <w:szCs w:val="20"/>
        </w:rPr>
        <w:t xml:space="preserve">education that ought to work closely with FAO and UNICEF on the respective projects </w:t>
      </w:r>
      <w:r w:rsidR="00DA21EF">
        <w:rPr>
          <w:rFonts w:ascii="Gill Sans MT" w:hAnsi="Gill Sans MT" w:cs="Calibri"/>
          <w:sz w:val="20"/>
          <w:szCs w:val="20"/>
        </w:rPr>
        <w:t>were</w:t>
      </w:r>
      <w:r w:rsidR="00DA21EF" w:rsidRPr="00B62036">
        <w:rPr>
          <w:rFonts w:ascii="Gill Sans MT" w:hAnsi="Gill Sans MT" w:cs="Calibri"/>
          <w:sz w:val="20"/>
          <w:szCs w:val="20"/>
        </w:rPr>
        <w:t xml:space="preserve"> eclipsed by MORDA, which allegedly did not share information with its counterparts. </w:t>
      </w:r>
    </w:p>
    <w:p w14:paraId="444CCAE3" w14:textId="77777777" w:rsidR="001D4DE4" w:rsidRPr="00B62036" w:rsidRDefault="001D4DE4" w:rsidP="00230515">
      <w:pPr>
        <w:pStyle w:val="Default"/>
        <w:tabs>
          <w:tab w:val="left" w:pos="1440"/>
        </w:tabs>
        <w:spacing w:line="276" w:lineRule="auto"/>
        <w:jc w:val="both"/>
        <w:rPr>
          <w:rFonts w:ascii="Gill Sans MT" w:hAnsi="Gill Sans MT" w:cs="Calibri"/>
          <w:sz w:val="20"/>
          <w:szCs w:val="20"/>
        </w:rPr>
      </w:pPr>
    </w:p>
    <w:p w14:paraId="0F69F5A3" w14:textId="0D1313FB" w:rsidR="004D177B" w:rsidRPr="00B62036" w:rsidRDefault="0088786F"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lastRenderedPageBreak/>
        <w:t xml:space="preserve">In addition, a </w:t>
      </w:r>
      <w:r w:rsidR="00F27C33" w:rsidRPr="00B62036">
        <w:rPr>
          <w:rFonts w:ascii="Gill Sans MT" w:hAnsi="Gill Sans MT" w:cs="Calibri"/>
          <w:sz w:val="20"/>
          <w:szCs w:val="20"/>
        </w:rPr>
        <w:t>visit t</w:t>
      </w:r>
      <w:r w:rsidR="003D63F3" w:rsidRPr="00B62036">
        <w:rPr>
          <w:rFonts w:ascii="Gill Sans MT" w:hAnsi="Gill Sans MT" w:cs="Calibri"/>
          <w:sz w:val="20"/>
          <w:szCs w:val="20"/>
        </w:rPr>
        <w:t>o project sites and interview with</w:t>
      </w:r>
      <w:r w:rsidR="00F27C33" w:rsidRPr="00B62036">
        <w:rPr>
          <w:rFonts w:ascii="Gill Sans MT" w:hAnsi="Gill Sans MT" w:cs="Calibri"/>
          <w:sz w:val="20"/>
          <w:szCs w:val="20"/>
        </w:rPr>
        <w:t xml:space="preserve"> local beneficiaries, the team noted that IOM did not commence construction of Kerrowfogi </w:t>
      </w:r>
      <w:r w:rsidR="003E4835" w:rsidRPr="00B62036">
        <w:rPr>
          <w:rFonts w:ascii="Gill Sans MT" w:hAnsi="Gill Sans MT" w:cs="Calibri"/>
          <w:sz w:val="20"/>
          <w:szCs w:val="20"/>
        </w:rPr>
        <w:t>Bridge</w:t>
      </w:r>
      <w:r w:rsidR="00F27C33" w:rsidRPr="00B62036">
        <w:rPr>
          <w:rFonts w:ascii="Gill Sans MT" w:hAnsi="Gill Sans MT" w:cs="Calibri"/>
          <w:sz w:val="20"/>
          <w:szCs w:val="20"/>
        </w:rPr>
        <w:t xml:space="preserve"> and rehabilitation of Dr. Ayub Stadium although it has successfully constructed Isha police station. It was </w:t>
      </w:r>
      <w:r w:rsidR="003D63F3" w:rsidRPr="00B62036">
        <w:rPr>
          <w:rFonts w:ascii="Gill Sans MT" w:hAnsi="Gill Sans MT" w:cs="Calibri"/>
          <w:sz w:val="20"/>
          <w:szCs w:val="20"/>
        </w:rPr>
        <w:t>realized</w:t>
      </w:r>
      <w:r w:rsidR="00F27C33" w:rsidRPr="00B62036">
        <w:rPr>
          <w:rFonts w:ascii="Gill Sans MT" w:hAnsi="Gill Sans MT" w:cs="Calibri"/>
          <w:sz w:val="20"/>
          <w:szCs w:val="20"/>
        </w:rPr>
        <w:t xml:space="preserve"> the two project activities did not kick-off for varying rea</w:t>
      </w:r>
      <w:r w:rsidR="003E4DCA">
        <w:rPr>
          <w:rFonts w:ascii="Gill Sans MT" w:hAnsi="Gill Sans MT" w:cs="Calibri"/>
          <w:sz w:val="20"/>
          <w:szCs w:val="20"/>
        </w:rPr>
        <w:t xml:space="preserve">sons; local municipality barred the local </w:t>
      </w:r>
      <w:r w:rsidR="00F27C33" w:rsidRPr="00B62036">
        <w:rPr>
          <w:rFonts w:ascii="Gill Sans MT" w:hAnsi="Gill Sans MT" w:cs="Calibri"/>
          <w:sz w:val="20"/>
          <w:szCs w:val="20"/>
        </w:rPr>
        <w:t>contractor that had won the tender for the cons</w:t>
      </w:r>
      <w:r w:rsidR="003E4835" w:rsidRPr="00B62036">
        <w:rPr>
          <w:rFonts w:ascii="Gill Sans MT" w:hAnsi="Gill Sans MT" w:cs="Calibri"/>
          <w:sz w:val="20"/>
          <w:szCs w:val="20"/>
        </w:rPr>
        <w:t xml:space="preserve">truction of the bridge while the rehabilitation of </w:t>
      </w:r>
      <w:r w:rsidR="00F27C33" w:rsidRPr="00B62036">
        <w:rPr>
          <w:rFonts w:ascii="Gill Sans MT" w:hAnsi="Gill Sans MT" w:cs="Calibri"/>
          <w:sz w:val="20"/>
          <w:szCs w:val="20"/>
        </w:rPr>
        <w:t xml:space="preserve">stadium </w:t>
      </w:r>
      <w:r w:rsidR="003E4835" w:rsidRPr="00B62036">
        <w:rPr>
          <w:rFonts w:ascii="Gill Sans MT" w:hAnsi="Gill Sans MT" w:cs="Calibri"/>
          <w:sz w:val="20"/>
          <w:szCs w:val="20"/>
        </w:rPr>
        <w:t>stalled because there was somewhat duplication of activities when an another international organization</w:t>
      </w:r>
      <w:r w:rsidR="003E4DCA">
        <w:rPr>
          <w:rFonts w:ascii="Gill Sans MT" w:hAnsi="Gill Sans MT" w:cs="Calibri"/>
          <w:sz w:val="20"/>
          <w:szCs w:val="20"/>
        </w:rPr>
        <w:t>(i.e. ADESO)</w:t>
      </w:r>
      <w:r w:rsidR="003E4835" w:rsidRPr="00B62036">
        <w:rPr>
          <w:rFonts w:ascii="Gill Sans MT" w:hAnsi="Gill Sans MT" w:cs="Calibri"/>
          <w:sz w:val="20"/>
          <w:szCs w:val="20"/>
        </w:rPr>
        <w:t xml:space="preserve"> received funding to rehabilitate the same stadium. </w:t>
      </w:r>
      <w:r w:rsidR="00D32F8B" w:rsidRPr="00B62036">
        <w:rPr>
          <w:rFonts w:ascii="Gill Sans MT" w:hAnsi="Gill Sans MT" w:cs="Calibri"/>
          <w:sz w:val="20"/>
          <w:szCs w:val="20"/>
        </w:rPr>
        <w:t>Understandably, the challenges could have avoided or addressed if there was proper information sharing not only among PUNOs but also with other international organizations and MORDA. Finally, MORDA explained that despite the PBF program rehabilitating key infrastructure projects there was no hand-over ceremony that was conducted to showcase these achievements.</w:t>
      </w:r>
      <w:r w:rsidR="00B35611" w:rsidRPr="00B62036">
        <w:rPr>
          <w:rFonts w:ascii="Gill Sans MT" w:hAnsi="Gill Sans MT" w:cs="Calibri"/>
          <w:sz w:val="20"/>
          <w:szCs w:val="20"/>
        </w:rPr>
        <w:t xml:space="preserve"> </w:t>
      </w:r>
    </w:p>
    <w:p w14:paraId="6F013099" w14:textId="77777777" w:rsidR="00C44FE5" w:rsidRPr="00B62036" w:rsidRDefault="00C44FE5" w:rsidP="00230515">
      <w:pPr>
        <w:pStyle w:val="Default"/>
        <w:tabs>
          <w:tab w:val="left" w:pos="1440"/>
        </w:tabs>
        <w:spacing w:line="276" w:lineRule="auto"/>
        <w:jc w:val="both"/>
        <w:rPr>
          <w:rFonts w:ascii="Gill Sans MT" w:hAnsi="Gill Sans MT" w:cs="Calibri"/>
          <w:sz w:val="20"/>
          <w:szCs w:val="20"/>
        </w:rPr>
      </w:pPr>
    </w:p>
    <w:p w14:paraId="1BB25B3D" w14:textId="79DE051B" w:rsidR="00C44FE5" w:rsidRPr="00B62036" w:rsidRDefault="00C44FE5" w:rsidP="00230515">
      <w:pPr>
        <w:spacing w:after="160" w:line="276" w:lineRule="auto"/>
        <w:jc w:val="both"/>
        <w:rPr>
          <w:rFonts w:ascii="Gill Sans MT" w:hAnsi="Gill Sans MT" w:cs="Calibri"/>
          <w:color w:val="000000"/>
          <w:sz w:val="20"/>
          <w:szCs w:val="20"/>
        </w:rPr>
      </w:pPr>
      <w:r w:rsidRPr="00B62036">
        <w:rPr>
          <w:rFonts w:ascii="Gill Sans MT" w:hAnsi="Gill Sans MT" w:cs="Calibri"/>
          <w:color w:val="000000"/>
          <w:sz w:val="20"/>
          <w:szCs w:val="20"/>
        </w:rPr>
        <w:t xml:space="preserve">Further, the evaluation noted one of the six UNICEF PBF-supported Temporary Learning Spaces in ADC 3 IDP camp </w:t>
      </w:r>
      <w:r w:rsidR="003E4DCA">
        <w:rPr>
          <w:rFonts w:ascii="Gill Sans MT" w:hAnsi="Gill Sans MT" w:cs="Calibri"/>
          <w:color w:val="000000"/>
          <w:sz w:val="20"/>
          <w:szCs w:val="20"/>
        </w:rPr>
        <w:t>was</w:t>
      </w:r>
      <w:r w:rsidRPr="00B62036">
        <w:rPr>
          <w:rFonts w:ascii="Gill Sans MT" w:hAnsi="Gill Sans MT" w:cs="Calibri"/>
          <w:color w:val="000000"/>
          <w:sz w:val="20"/>
          <w:szCs w:val="20"/>
        </w:rPr>
        <w:t xml:space="preserve"> shut down after Save the Children International opened a school in close proximity and recruited teachers from the UNICEF-PBF supported school by doubling the teacher incentives being paid. As a result, all teachers and children moved to the Save the Children supported school. UNICEF-PBF supported s</w:t>
      </w:r>
      <w:r w:rsidR="00A727E0" w:rsidRPr="00B62036">
        <w:rPr>
          <w:rFonts w:ascii="Gill Sans MT" w:hAnsi="Gill Sans MT" w:cs="Calibri"/>
          <w:color w:val="000000"/>
          <w:sz w:val="20"/>
          <w:szCs w:val="20"/>
        </w:rPr>
        <w:t>chools have therefore reduced from 6 to 5</w:t>
      </w:r>
      <w:r w:rsidRPr="00B62036">
        <w:rPr>
          <w:rFonts w:ascii="Gill Sans MT" w:hAnsi="Gill Sans MT" w:cs="Calibri"/>
          <w:color w:val="000000"/>
          <w:sz w:val="20"/>
          <w:szCs w:val="20"/>
        </w:rPr>
        <w:t xml:space="preserve">. Community members cited the TLS are </w:t>
      </w:r>
      <w:r w:rsidR="00D3515B" w:rsidRPr="00B62036">
        <w:rPr>
          <w:rFonts w:ascii="Gill Sans MT" w:hAnsi="Gill Sans MT" w:cs="Calibri"/>
          <w:color w:val="000000"/>
          <w:sz w:val="20"/>
          <w:szCs w:val="20"/>
        </w:rPr>
        <w:t>overcrowded;</w:t>
      </w:r>
      <w:r w:rsidRPr="00B62036">
        <w:rPr>
          <w:rFonts w:ascii="Gill Sans MT" w:hAnsi="Gill Sans MT" w:cs="Calibri"/>
          <w:color w:val="000000"/>
          <w:sz w:val="20"/>
          <w:szCs w:val="20"/>
        </w:rPr>
        <w:t xml:space="preserve"> lack grading system, lack curriculum, and teacher lack offices and the facilities do not have adequate spaces and playgrounds</w:t>
      </w:r>
      <w:r w:rsidR="00D3515B" w:rsidRPr="00B62036">
        <w:rPr>
          <w:rFonts w:ascii="Gill Sans MT" w:hAnsi="Gill Sans MT" w:cs="Calibri"/>
          <w:color w:val="000000"/>
          <w:sz w:val="20"/>
          <w:szCs w:val="20"/>
        </w:rPr>
        <w:t xml:space="preserve">. </w:t>
      </w:r>
      <w:r w:rsidRPr="00B62036">
        <w:rPr>
          <w:rFonts w:ascii="Gill Sans MT" w:hAnsi="Gill Sans MT" w:cs="Calibri"/>
          <w:color w:val="000000"/>
          <w:sz w:val="20"/>
          <w:szCs w:val="20"/>
        </w:rPr>
        <w:t xml:space="preserve">Coordination and timely and accurate information sharing among sub-cluster partners remains a main challenge in terms of avoiding overlap of resources/interventions. </w:t>
      </w:r>
    </w:p>
    <w:p w14:paraId="1F8F8272" w14:textId="7526C474" w:rsidR="00D32F8B" w:rsidRPr="00B62036" w:rsidRDefault="003425AB" w:rsidP="003A6010">
      <w:pPr>
        <w:pStyle w:val="Heading2"/>
      </w:pPr>
      <w:bookmarkStart w:id="37" w:name="_Toc419359872"/>
      <w:r w:rsidRPr="00B62036">
        <w:t>Project Monitoring Framework</w:t>
      </w:r>
      <w:bookmarkEnd w:id="37"/>
      <w:r w:rsidRPr="00B62036">
        <w:t xml:space="preserve"> </w:t>
      </w:r>
    </w:p>
    <w:p w14:paraId="55A3B69B" w14:textId="6B4B94FE" w:rsidR="00FF4B8D" w:rsidRPr="00B62036" w:rsidRDefault="000E5FA5" w:rsidP="00230515">
      <w:pPr>
        <w:pStyle w:val="Default"/>
        <w:tabs>
          <w:tab w:val="left" w:pos="1440"/>
        </w:tabs>
        <w:spacing w:line="276" w:lineRule="auto"/>
        <w:jc w:val="both"/>
        <w:rPr>
          <w:rFonts w:ascii="Gill Sans MT" w:hAnsi="Gill Sans MT" w:cs="Calibri"/>
          <w:sz w:val="20"/>
          <w:szCs w:val="20"/>
        </w:rPr>
      </w:pPr>
      <w:r w:rsidRPr="00B62036">
        <w:rPr>
          <w:rFonts w:ascii="Gill Sans MT" w:hAnsi="Gill Sans MT" w:cs="Calibri"/>
          <w:sz w:val="20"/>
          <w:szCs w:val="20"/>
        </w:rPr>
        <w:t>Although</w:t>
      </w:r>
      <w:r w:rsidR="003F48FA" w:rsidRPr="00B62036">
        <w:rPr>
          <w:rFonts w:ascii="Gill Sans MT" w:hAnsi="Gill Sans MT" w:cs="Calibri"/>
          <w:sz w:val="20"/>
          <w:szCs w:val="20"/>
        </w:rPr>
        <w:t xml:space="preserve"> there was a coordination mechanism among th</w:t>
      </w:r>
      <w:r w:rsidRPr="00B62036">
        <w:rPr>
          <w:rFonts w:ascii="Gill Sans MT" w:hAnsi="Gill Sans MT" w:cs="Calibri"/>
          <w:sz w:val="20"/>
          <w:szCs w:val="20"/>
        </w:rPr>
        <w:t xml:space="preserve">e partners on monthly basis, </w:t>
      </w:r>
      <w:r w:rsidR="003F48FA" w:rsidRPr="00B62036">
        <w:rPr>
          <w:rFonts w:ascii="Gill Sans MT" w:hAnsi="Gill Sans MT" w:cs="Calibri"/>
          <w:sz w:val="20"/>
          <w:szCs w:val="20"/>
        </w:rPr>
        <w:t>there was no joint or harmonized monitoring system</w:t>
      </w:r>
      <w:r w:rsidR="00A8091C" w:rsidRPr="00B62036">
        <w:rPr>
          <w:rFonts w:ascii="Gill Sans MT" w:hAnsi="Gill Sans MT" w:cs="Calibri"/>
          <w:sz w:val="20"/>
          <w:szCs w:val="20"/>
        </w:rPr>
        <w:t xml:space="preserve"> for PBF program</w:t>
      </w:r>
      <w:r w:rsidR="003F48FA" w:rsidRPr="00B62036">
        <w:rPr>
          <w:rFonts w:ascii="Gill Sans MT" w:hAnsi="Gill Sans MT" w:cs="Calibri"/>
          <w:sz w:val="20"/>
          <w:szCs w:val="20"/>
        </w:rPr>
        <w:t xml:space="preserve">. Overall, MORDA had an oversight role in the implementation of some project activities. Since PUNOs engaged local partners in the implementation of project activities, they contracted independent firms separately or own staff to conduct third party monitoring or evaluation of the project activities. For instance FAO engaged a local company that </w:t>
      </w:r>
      <w:r w:rsidR="00C44FE5" w:rsidRPr="00B62036">
        <w:rPr>
          <w:rFonts w:ascii="Gill Sans MT" w:hAnsi="Gill Sans MT" w:cs="Calibri"/>
          <w:sz w:val="20"/>
          <w:szCs w:val="20"/>
        </w:rPr>
        <w:t xml:space="preserve">conducted a technical review of its project. </w:t>
      </w:r>
      <w:r w:rsidR="003F48FA" w:rsidRPr="00B62036">
        <w:rPr>
          <w:rFonts w:ascii="Gill Sans MT" w:hAnsi="Gill Sans MT" w:cs="Calibri"/>
          <w:sz w:val="20"/>
          <w:szCs w:val="20"/>
        </w:rPr>
        <w:t xml:space="preserve"> </w:t>
      </w:r>
      <w:r w:rsidR="003425AB" w:rsidRPr="00B62036">
        <w:rPr>
          <w:rFonts w:ascii="Gill Sans MT" w:hAnsi="Gill Sans MT" w:cs="Calibri"/>
          <w:sz w:val="20"/>
          <w:szCs w:val="20"/>
        </w:rPr>
        <w:t xml:space="preserve"> To this end, the evaluation </w:t>
      </w:r>
      <w:r w:rsidRPr="00B62036">
        <w:rPr>
          <w:rFonts w:ascii="Gill Sans MT" w:hAnsi="Gill Sans MT" w:cs="Calibri"/>
          <w:sz w:val="20"/>
          <w:szCs w:val="20"/>
        </w:rPr>
        <w:t>identifies</w:t>
      </w:r>
      <w:r w:rsidR="003425AB" w:rsidRPr="00B62036">
        <w:rPr>
          <w:rFonts w:ascii="Gill Sans MT" w:hAnsi="Gill Sans MT" w:cs="Calibri"/>
          <w:sz w:val="20"/>
          <w:szCs w:val="20"/>
        </w:rPr>
        <w:t xml:space="preserve"> the following</w:t>
      </w:r>
      <w:r w:rsidR="003303C1" w:rsidRPr="00B62036">
        <w:rPr>
          <w:rFonts w:ascii="Gill Sans MT" w:hAnsi="Gill Sans MT" w:cs="Calibri"/>
          <w:sz w:val="20"/>
          <w:szCs w:val="20"/>
        </w:rPr>
        <w:t xml:space="preserve"> aspects of the monitoring system that </w:t>
      </w:r>
      <w:r w:rsidR="003425AB" w:rsidRPr="00B62036">
        <w:rPr>
          <w:rFonts w:ascii="Gill Sans MT" w:hAnsi="Gill Sans MT" w:cs="Calibri"/>
          <w:sz w:val="20"/>
          <w:szCs w:val="20"/>
        </w:rPr>
        <w:t xml:space="preserve">could be improved </w:t>
      </w:r>
      <w:r w:rsidR="006F12C3" w:rsidRPr="00B62036">
        <w:rPr>
          <w:rFonts w:ascii="Gill Sans MT" w:hAnsi="Gill Sans MT" w:cs="Calibri"/>
          <w:sz w:val="20"/>
          <w:szCs w:val="20"/>
        </w:rPr>
        <w:t>in</w:t>
      </w:r>
      <w:r w:rsidR="003303C1" w:rsidRPr="00B62036">
        <w:rPr>
          <w:rFonts w:ascii="Gill Sans MT" w:hAnsi="Gill Sans MT" w:cs="Calibri"/>
          <w:sz w:val="20"/>
          <w:szCs w:val="20"/>
        </w:rPr>
        <w:t xml:space="preserve"> the future</w:t>
      </w:r>
      <w:r w:rsidR="003425AB" w:rsidRPr="00B62036">
        <w:rPr>
          <w:rFonts w:ascii="Gill Sans MT" w:hAnsi="Gill Sans MT" w:cs="Calibri"/>
          <w:sz w:val="20"/>
          <w:szCs w:val="20"/>
        </w:rPr>
        <w:t>.</w:t>
      </w:r>
    </w:p>
    <w:p w14:paraId="31A7E0C6" w14:textId="5576E3D4" w:rsidR="005D28D7" w:rsidRPr="00B62036" w:rsidRDefault="005D28D7" w:rsidP="005D458E">
      <w:pPr>
        <w:pStyle w:val="Default"/>
        <w:numPr>
          <w:ilvl w:val="0"/>
          <w:numId w:val="11"/>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The study noted agencies have selection criteria and but used varied approaches in the selection of beneficiaries. Interviews with some revealed that they had engaged either MORDA or local municipality and maintained minimal oversight role. This approach could potentially create risk of bias and favoritism that would leave out </w:t>
      </w:r>
      <w:r w:rsidR="003E4DCA">
        <w:rPr>
          <w:rFonts w:ascii="Gill Sans MT" w:hAnsi="Gill Sans MT" w:cs="Calibri"/>
          <w:sz w:val="20"/>
          <w:szCs w:val="20"/>
        </w:rPr>
        <w:t xml:space="preserve">traditionally </w:t>
      </w:r>
      <w:r w:rsidRPr="00B62036">
        <w:rPr>
          <w:rFonts w:ascii="Gill Sans MT" w:hAnsi="Gill Sans MT" w:cs="Calibri"/>
          <w:sz w:val="20"/>
          <w:szCs w:val="20"/>
        </w:rPr>
        <w:t>marginalized groups. It is recommended that agencies to have an oversight role in the selection process to ensure fairness and transparency.</w:t>
      </w:r>
    </w:p>
    <w:p w14:paraId="011C319C" w14:textId="77777777" w:rsidR="005D28D7" w:rsidRPr="00B62036" w:rsidRDefault="005D28D7" w:rsidP="00230515">
      <w:pPr>
        <w:pStyle w:val="Default"/>
        <w:tabs>
          <w:tab w:val="left" w:pos="1440"/>
        </w:tabs>
        <w:ind w:left="720"/>
        <w:jc w:val="both"/>
        <w:rPr>
          <w:rFonts w:ascii="Gill Sans MT" w:hAnsi="Gill Sans MT" w:cs="Calibri"/>
          <w:sz w:val="20"/>
          <w:szCs w:val="20"/>
        </w:rPr>
      </w:pPr>
    </w:p>
    <w:p w14:paraId="4F6CCB00" w14:textId="3C7CA2DC" w:rsidR="005D28D7" w:rsidRPr="00B62036" w:rsidRDefault="005D28D7" w:rsidP="005D458E">
      <w:pPr>
        <w:pStyle w:val="Default"/>
        <w:numPr>
          <w:ilvl w:val="0"/>
          <w:numId w:val="11"/>
        </w:numPr>
        <w:tabs>
          <w:tab w:val="left" w:pos="1440"/>
        </w:tabs>
        <w:jc w:val="both"/>
        <w:rPr>
          <w:rFonts w:ascii="Gill Sans MT" w:hAnsi="Gill Sans MT" w:cs="Calibri"/>
          <w:sz w:val="20"/>
          <w:szCs w:val="20"/>
        </w:rPr>
      </w:pPr>
      <w:r w:rsidRPr="00B62036">
        <w:rPr>
          <w:rFonts w:ascii="Gill Sans MT" w:hAnsi="Gill Sans MT" w:cs="Calibri"/>
          <w:sz w:val="20"/>
          <w:szCs w:val="20"/>
        </w:rPr>
        <w:t>Embedding an effective feedback mechanism is an integral part of project implementation that would be useful for agencies to support accountability, transparency, empowerment, monitoring and evaluation, and programme improvement, and to provide early warning of impending problems. However, this will require agencies to create awareness and create confidence of beneficiaries to give their feedback. This mechanism can also be used to monitor project progress and make timely adjustments. The study found ILO, IOM and UNHCR did not have a hotline system for provision of feedback but WFP and FAO had hotline numbers that was made available to the beneficiaries. However, interviews with the some of the beneficiaries revealed that they were not aware of it or simply could not launch their complaints for fear of reprisals that could include being excluded in future programs by community leaders.</w:t>
      </w:r>
    </w:p>
    <w:p w14:paraId="79F0C66E" w14:textId="77777777" w:rsidR="005D28D7" w:rsidRPr="00B62036" w:rsidRDefault="005D28D7" w:rsidP="00230515">
      <w:pPr>
        <w:pStyle w:val="ListParagraph"/>
        <w:jc w:val="both"/>
        <w:rPr>
          <w:rFonts w:ascii="Gill Sans MT" w:hAnsi="Gill Sans MT" w:cs="Calibri"/>
          <w:sz w:val="20"/>
          <w:szCs w:val="20"/>
        </w:rPr>
      </w:pPr>
    </w:p>
    <w:p w14:paraId="202100F4" w14:textId="77777777" w:rsidR="005D28D7" w:rsidRPr="00B62036" w:rsidRDefault="005D28D7" w:rsidP="005D458E">
      <w:pPr>
        <w:pStyle w:val="Default"/>
        <w:numPr>
          <w:ilvl w:val="0"/>
          <w:numId w:val="11"/>
        </w:numPr>
        <w:tabs>
          <w:tab w:val="left" w:pos="1440"/>
        </w:tabs>
        <w:jc w:val="both"/>
        <w:rPr>
          <w:rFonts w:ascii="Gill Sans MT" w:hAnsi="Gill Sans MT" w:cs="Calibri"/>
          <w:sz w:val="20"/>
          <w:szCs w:val="20"/>
        </w:rPr>
      </w:pPr>
      <w:r w:rsidRPr="00B62036">
        <w:rPr>
          <w:rFonts w:ascii="Gill Sans MT" w:hAnsi="Gill Sans MT" w:cs="Calibri"/>
          <w:sz w:val="20"/>
          <w:szCs w:val="20"/>
        </w:rPr>
        <w:t xml:space="preserve">Coordination and timely information sharing among sub-cluster partners was seen as a challenge during the implementation of the PBF program in Baidoa. There was little or no coordination with PUNOs and local partners despite the monthly meetings. The weak coordination has resulted overlap of projects as in the case </w:t>
      </w:r>
      <w:r w:rsidRPr="00B62036">
        <w:rPr>
          <w:rFonts w:ascii="Gill Sans MT" w:hAnsi="Gill Sans MT" w:cs="Calibri"/>
          <w:sz w:val="20"/>
          <w:szCs w:val="20"/>
        </w:rPr>
        <w:lastRenderedPageBreak/>
        <w:t>of the rehabilitation of Dr. Ayub stadium by IOM. Further the building of a full-fledged school by Save the Children in close proximity to TLS has seen the closure of one of the centres in ADC 3. Such challenges could be prevented if there is an improved information sharing mechanism with field teams to ensure smooth delivery of the project.</w:t>
      </w:r>
    </w:p>
    <w:p w14:paraId="1D3785B7" w14:textId="77777777" w:rsidR="005D28D7" w:rsidRPr="00B62036" w:rsidRDefault="005D28D7" w:rsidP="00230515">
      <w:pPr>
        <w:pStyle w:val="ListParagraph"/>
        <w:jc w:val="both"/>
        <w:rPr>
          <w:rFonts w:ascii="Gill Sans MT" w:hAnsi="Gill Sans MT" w:cs="Calibri"/>
          <w:sz w:val="20"/>
          <w:szCs w:val="20"/>
        </w:rPr>
      </w:pPr>
    </w:p>
    <w:p w14:paraId="7384FD9D" w14:textId="5EE937A6" w:rsidR="005D28D7" w:rsidRPr="00B62036" w:rsidRDefault="005D28D7" w:rsidP="005D458E">
      <w:pPr>
        <w:pStyle w:val="Default"/>
        <w:numPr>
          <w:ilvl w:val="0"/>
          <w:numId w:val="11"/>
        </w:numPr>
        <w:tabs>
          <w:tab w:val="left" w:pos="1440"/>
        </w:tabs>
        <w:jc w:val="both"/>
        <w:rPr>
          <w:rFonts w:ascii="Gill Sans MT" w:hAnsi="Gill Sans MT" w:cs="Calibri"/>
          <w:sz w:val="20"/>
          <w:szCs w:val="20"/>
        </w:rPr>
      </w:pPr>
      <w:r w:rsidRPr="00B62036">
        <w:rPr>
          <w:rFonts w:ascii="Gill Sans MT" w:hAnsi="Gill Sans MT" w:cs="Calibri"/>
          <w:sz w:val="20"/>
          <w:szCs w:val="20"/>
        </w:rPr>
        <w:t>Future programs that involve multiple partners should design a joint monitoring system or design own monitoring system to track project implementation progress and address potential challenges to avoid delays. Notably, FAO and WFP have conducted final reviews of their projects by engaging independent firms.</w:t>
      </w:r>
    </w:p>
    <w:p w14:paraId="193C2066" w14:textId="77777777" w:rsidR="00A57B0E" w:rsidRPr="00B62036" w:rsidRDefault="004810B8" w:rsidP="003A6010">
      <w:pPr>
        <w:pStyle w:val="Heading2"/>
      </w:pPr>
      <w:bookmarkStart w:id="38" w:name="_Toc419359873"/>
      <w:r w:rsidRPr="00B62036">
        <w:t>Project S</w:t>
      </w:r>
      <w:r w:rsidR="003303C1" w:rsidRPr="00B62036">
        <w:t>ustainability</w:t>
      </w:r>
      <w:bookmarkEnd w:id="38"/>
    </w:p>
    <w:p w14:paraId="0AE70BB3" w14:textId="77777777" w:rsidR="00E21A00" w:rsidRPr="00B62036" w:rsidRDefault="00E21A00"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Sustainability is fundamental to the success of the PBF project. Anecdotal evidence suggests that there have been many reported instances of previous returns of returnees from Dadaab, which have not proved sustainable. Return itself is relatively simple in comparison to the comprehensive approach required to promote integration and ensure that returns are sustainable. The UNHCR and PUNOs used their experience in this area, gained through implementing returns projects especially in Kismayo, to develop a project which aimed to address all the needs of returnees; from providing training and socio-economic assistance to returnees, to implementing community development projects and balancing components to promote reintegration of returnees in their communities. Providing economic assistance to beneficiaries with the aim of facilitating their efforts to generate their own livelihoods is crucial to ensuring the sustainability of returns. </w:t>
      </w:r>
    </w:p>
    <w:p w14:paraId="2F7EA52C" w14:textId="77777777" w:rsidR="00E21A00" w:rsidRPr="00B62036" w:rsidRDefault="00E21A00" w:rsidP="00230515">
      <w:pPr>
        <w:widowControl w:val="0"/>
        <w:autoSpaceDE w:val="0"/>
        <w:autoSpaceDN w:val="0"/>
        <w:adjustRightInd w:val="0"/>
        <w:spacing w:line="276" w:lineRule="auto"/>
        <w:jc w:val="both"/>
        <w:rPr>
          <w:rFonts w:ascii="Gill Sans MT" w:hAnsi="Gill Sans MT"/>
          <w:sz w:val="20"/>
          <w:szCs w:val="20"/>
        </w:rPr>
      </w:pPr>
    </w:p>
    <w:p w14:paraId="67E0CAC6" w14:textId="72A234B0" w:rsidR="003B3FC9" w:rsidRPr="00B62036" w:rsidRDefault="00AF27AD"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Rehabilitation of community infrastructures through UNHCR’S </w:t>
      </w:r>
      <w:r w:rsidR="00617253">
        <w:rPr>
          <w:rFonts w:ascii="Gill Sans MT" w:hAnsi="Gill Sans MT"/>
          <w:sz w:val="20"/>
          <w:szCs w:val="20"/>
        </w:rPr>
        <w:t xml:space="preserve">PBF program </w:t>
      </w:r>
      <w:r w:rsidRPr="00B62036">
        <w:rPr>
          <w:rFonts w:ascii="Gill Sans MT" w:hAnsi="Gill Sans MT"/>
          <w:sz w:val="20"/>
          <w:szCs w:val="20"/>
        </w:rPr>
        <w:t xml:space="preserve">such as Hawlwadag primary and secondary school and blacksmith market is deemed fully sustainable. Since the project completion the facilities were operational and beneficial to beneficiaries. A visit to Hawlwadag </w:t>
      </w:r>
      <w:r w:rsidR="00412D54" w:rsidRPr="00B62036">
        <w:rPr>
          <w:rFonts w:ascii="Gill Sans MT" w:hAnsi="Gill Sans MT"/>
          <w:sz w:val="20"/>
          <w:szCs w:val="20"/>
        </w:rPr>
        <w:t>School</w:t>
      </w:r>
      <w:r w:rsidRPr="00B62036">
        <w:rPr>
          <w:rFonts w:ascii="Gill Sans MT" w:hAnsi="Gill Sans MT"/>
          <w:sz w:val="20"/>
          <w:szCs w:val="20"/>
        </w:rPr>
        <w:t xml:space="preserve"> found the project built five additional classrooms and renovated the school compound by constructing a concrete fence. Interview with teachers and community</w:t>
      </w:r>
      <w:r w:rsidR="00412D54" w:rsidRPr="00B62036">
        <w:rPr>
          <w:rFonts w:ascii="Gill Sans MT" w:hAnsi="Gill Sans MT"/>
          <w:sz w:val="20"/>
          <w:szCs w:val="20"/>
        </w:rPr>
        <w:t xml:space="preserve"> leaders revealed the classes helped decongest previously overcrowded classes and has seen an increase in the school enrolment and improved the general learning environment. </w:t>
      </w:r>
      <w:r w:rsidR="00E21A00" w:rsidRPr="00B62036">
        <w:rPr>
          <w:rFonts w:ascii="Gill Sans MT" w:hAnsi="Gill Sans MT"/>
          <w:sz w:val="20"/>
          <w:szCs w:val="20"/>
        </w:rPr>
        <w:t xml:space="preserve"> </w:t>
      </w:r>
      <w:r w:rsidR="00412D54" w:rsidRPr="00B62036">
        <w:rPr>
          <w:rFonts w:ascii="Gill Sans MT" w:hAnsi="Gill Sans MT"/>
          <w:sz w:val="20"/>
          <w:szCs w:val="20"/>
        </w:rPr>
        <w:t xml:space="preserve">Besides, the </w:t>
      </w:r>
      <w:r w:rsidR="001E1958" w:rsidRPr="00B62036">
        <w:rPr>
          <w:rFonts w:ascii="Gill Sans MT" w:hAnsi="Gill Sans MT"/>
          <w:sz w:val="20"/>
          <w:szCs w:val="20"/>
        </w:rPr>
        <w:t>project rehabilitated</w:t>
      </w:r>
      <w:r w:rsidR="00412D54" w:rsidRPr="00B62036">
        <w:rPr>
          <w:rFonts w:ascii="Gill Sans MT" w:hAnsi="Gill Sans MT"/>
          <w:sz w:val="20"/>
          <w:szCs w:val="20"/>
        </w:rPr>
        <w:t xml:space="preserve"> a previously dilapidated blacksmith market </w:t>
      </w:r>
      <w:r w:rsidR="001E1958" w:rsidRPr="00B62036">
        <w:rPr>
          <w:rFonts w:ascii="Gill Sans MT" w:hAnsi="Gill Sans MT"/>
          <w:sz w:val="20"/>
          <w:szCs w:val="20"/>
        </w:rPr>
        <w:t xml:space="preserve">(that is purely run by members from excluded communities who would otherwise left from resource distribution) </w:t>
      </w:r>
      <w:r w:rsidR="00412D54" w:rsidRPr="00B62036">
        <w:rPr>
          <w:rFonts w:ascii="Gill Sans MT" w:hAnsi="Gill Sans MT"/>
          <w:sz w:val="20"/>
          <w:szCs w:val="20"/>
        </w:rPr>
        <w:t xml:space="preserve">to a more conducive market (although </w:t>
      </w:r>
      <w:r w:rsidR="001E1958" w:rsidRPr="00B62036">
        <w:rPr>
          <w:rFonts w:ascii="Gill Sans MT" w:hAnsi="Gill Sans MT"/>
          <w:sz w:val="20"/>
          <w:szCs w:val="20"/>
        </w:rPr>
        <w:t>it’s</w:t>
      </w:r>
      <w:r w:rsidR="00412D54" w:rsidRPr="00B62036">
        <w:rPr>
          <w:rFonts w:ascii="Gill Sans MT" w:hAnsi="Gill Sans MT"/>
          <w:sz w:val="20"/>
          <w:szCs w:val="20"/>
        </w:rPr>
        <w:t xml:space="preserve"> still not in perfect shape)</w:t>
      </w:r>
      <w:r w:rsidR="001E1958" w:rsidRPr="00B62036">
        <w:rPr>
          <w:rFonts w:ascii="Gill Sans MT" w:hAnsi="Gill Sans MT"/>
          <w:sz w:val="20"/>
          <w:szCs w:val="20"/>
        </w:rPr>
        <w:t xml:space="preserve"> has enhanced their capacity and confidence to continue with their businesses of producing household items such as Knives, Panga and Axe</w:t>
      </w:r>
      <w:r w:rsidR="00412D54" w:rsidRPr="00B62036">
        <w:rPr>
          <w:rFonts w:ascii="Gill Sans MT" w:hAnsi="Gill Sans MT"/>
          <w:sz w:val="20"/>
          <w:szCs w:val="20"/>
        </w:rPr>
        <w:t xml:space="preserve">. The construction and </w:t>
      </w:r>
      <w:r w:rsidR="001E1958" w:rsidRPr="00B62036">
        <w:rPr>
          <w:rFonts w:ascii="Gill Sans MT" w:hAnsi="Gill Sans MT"/>
          <w:sz w:val="20"/>
          <w:szCs w:val="20"/>
        </w:rPr>
        <w:t>rehabilitation</w:t>
      </w:r>
      <w:r w:rsidR="00412D54" w:rsidRPr="00B62036">
        <w:rPr>
          <w:rFonts w:ascii="Gill Sans MT" w:hAnsi="Gill Sans MT"/>
          <w:sz w:val="20"/>
          <w:szCs w:val="20"/>
        </w:rPr>
        <w:t xml:space="preserve"> of these facilities has shown high l</w:t>
      </w:r>
      <w:r w:rsidR="001E1958" w:rsidRPr="00B62036">
        <w:rPr>
          <w:rFonts w:ascii="Gill Sans MT" w:hAnsi="Gill Sans MT"/>
          <w:sz w:val="20"/>
          <w:szCs w:val="20"/>
        </w:rPr>
        <w:t xml:space="preserve">evel of community ownership and </w:t>
      </w:r>
      <w:r w:rsidR="00412D54" w:rsidRPr="00B62036">
        <w:rPr>
          <w:rFonts w:ascii="Gill Sans MT" w:hAnsi="Gill Sans MT"/>
          <w:sz w:val="20"/>
          <w:szCs w:val="20"/>
        </w:rPr>
        <w:t xml:space="preserve">long-term </w:t>
      </w:r>
      <w:r w:rsidR="001E1958" w:rsidRPr="00B62036">
        <w:rPr>
          <w:rFonts w:ascii="Gill Sans MT" w:hAnsi="Gill Sans MT"/>
          <w:sz w:val="20"/>
          <w:szCs w:val="20"/>
        </w:rPr>
        <w:t>use of the facilities.</w:t>
      </w:r>
    </w:p>
    <w:p w14:paraId="06D56165" w14:textId="77777777" w:rsidR="003B3FC9" w:rsidRPr="00B62036" w:rsidRDefault="003B3FC9" w:rsidP="00230515">
      <w:pPr>
        <w:widowControl w:val="0"/>
        <w:autoSpaceDE w:val="0"/>
        <w:autoSpaceDN w:val="0"/>
        <w:adjustRightInd w:val="0"/>
        <w:spacing w:line="276" w:lineRule="auto"/>
        <w:jc w:val="both"/>
        <w:rPr>
          <w:rFonts w:ascii="Gill Sans MT" w:hAnsi="Gill Sans MT"/>
          <w:sz w:val="20"/>
          <w:szCs w:val="20"/>
        </w:rPr>
      </w:pPr>
    </w:p>
    <w:p w14:paraId="7C584F03" w14:textId="5CB85DC2" w:rsidR="00E21A00" w:rsidRPr="00B62036" w:rsidRDefault="001E1958"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The rehabilitation of Isha police station </w:t>
      </w:r>
      <w:r w:rsidR="00EC1B09" w:rsidRPr="00B62036">
        <w:rPr>
          <w:rFonts w:ascii="Gill Sans MT" w:hAnsi="Gill Sans MT"/>
          <w:sz w:val="20"/>
          <w:szCs w:val="20"/>
        </w:rPr>
        <w:t xml:space="preserve">through IOM’s </w:t>
      </w:r>
      <w:r w:rsidR="00617253">
        <w:rPr>
          <w:rFonts w:ascii="Gill Sans MT" w:hAnsi="Gill Sans MT"/>
          <w:sz w:val="20"/>
          <w:szCs w:val="20"/>
        </w:rPr>
        <w:t xml:space="preserve">PBF program </w:t>
      </w:r>
      <w:r w:rsidR="00EC1B09" w:rsidRPr="00B62036">
        <w:rPr>
          <w:rFonts w:ascii="Gill Sans MT" w:hAnsi="Gill Sans MT"/>
          <w:sz w:val="20"/>
          <w:szCs w:val="20"/>
        </w:rPr>
        <w:t xml:space="preserve">to a modern facility with adequate offices </w:t>
      </w:r>
      <w:r w:rsidRPr="00B62036">
        <w:rPr>
          <w:rFonts w:ascii="Gill Sans MT" w:hAnsi="Gill Sans MT"/>
          <w:sz w:val="20"/>
          <w:szCs w:val="20"/>
        </w:rPr>
        <w:t>contributes to government’s institution vi</w:t>
      </w:r>
      <w:r w:rsidR="00EC1B09" w:rsidRPr="00B62036">
        <w:rPr>
          <w:rFonts w:ascii="Gill Sans MT" w:hAnsi="Gill Sans MT"/>
          <w:sz w:val="20"/>
          <w:szCs w:val="20"/>
        </w:rPr>
        <w:t xml:space="preserve">sibility, </w:t>
      </w:r>
      <w:r w:rsidRPr="00B62036">
        <w:rPr>
          <w:rFonts w:ascii="Gill Sans MT" w:hAnsi="Gill Sans MT"/>
          <w:sz w:val="20"/>
          <w:szCs w:val="20"/>
        </w:rPr>
        <w:t xml:space="preserve">capacity to </w:t>
      </w:r>
      <w:r w:rsidR="00EC1B09" w:rsidRPr="00B62036">
        <w:rPr>
          <w:rFonts w:ascii="Gill Sans MT" w:hAnsi="Gill Sans MT"/>
          <w:sz w:val="20"/>
          <w:szCs w:val="20"/>
        </w:rPr>
        <w:t>enhance law and order as well as confidence of the security personnel to provide service. A visit to the station found the station operational and teaming with people. Previously, the station was in bad shape that was unable to provide services and security personnel were absent most of the time for lack of adequate space. Given that the country is emerging from decades of conflict that saw the destruction of government facilities such projects restores the image of the government and raises optimism of the people for peace and stability.</w:t>
      </w:r>
    </w:p>
    <w:p w14:paraId="308B15E1" w14:textId="77777777" w:rsidR="00E21A00" w:rsidRPr="00B62036" w:rsidRDefault="00E21A00" w:rsidP="00230515">
      <w:pPr>
        <w:widowControl w:val="0"/>
        <w:autoSpaceDE w:val="0"/>
        <w:autoSpaceDN w:val="0"/>
        <w:adjustRightInd w:val="0"/>
        <w:spacing w:line="276" w:lineRule="auto"/>
        <w:jc w:val="both"/>
        <w:rPr>
          <w:rFonts w:ascii="Gill Sans MT" w:hAnsi="Gill Sans MT"/>
          <w:sz w:val="20"/>
          <w:szCs w:val="20"/>
        </w:rPr>
      </w:pPr>
    </w:p>
    <w:p w14:paraId="799D9D20" w14:textId="0340A280" w:rsidR="00E21A00" w:rsidRPr="00B62036" w:rsidRDefault="00EC1B09"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Further</w:t>
      </w:r>
      <w:r w:rsidR="00726271" w:rsidRPr="00B62036">
        <w:rPr>
          <w:rFonts w:ascii="Gill Sans MT" w:hAnsi="Gill Sans MT"/>
          <w:sz w:val="20"/>
          <w:szCs w:val="20"/>
        </w:rPr>
        <w:t xml:space="preserve">,  The </w:t>
      </w:r>
      <w:r w:rsidR="00617253">
        <w:rPr>
          <w:rFonts w:ascii="Gill Sans MT" w:hAnsi="Gill Sans MT"/>
          <w:sz w:val="20"/>
          <w:szCs w:val="20"/>
        </w:rPr>
        <w:t xml:space="preserve">PBF program </w:t>
      </w:r>
      <w:r w:rsidR="00726271" w:rsidRPr="00B62036">
        <w:rPr>
          <w:rFonts w:ascii="Gill Sans MT" w:hAnsi="Gill Sans MT"/>
          <w:sz w:val="20"/>
          <w:szCs w:val="20"/>
        </w:rPr>
        <w:t>delivered by PUNOs including WFP, IOM, ILO</w:t>
      </w:r>
      <w:r w:rsidR="000204BF">
        <w:rPr>
          <w:rFonts w:ascii="Gill Sans MT" w:hAnsi="Gill Sans MT"/>
          <w:sz w:val="20"/>
          <w:szCs w:val="20"/>
        </w:rPr>
        <w:t>, FAO, UNICEF</w:t>
      </w:r>
      <w:r w:rsidR="00726271" w:rsidRPr="00B62036">
        <w:rPr>
          <w:rFonts w:ascii="Gill Sans MT" w:hAnsi="Gill Sans MT"/>
          <w:sz w:val="20"/>
          <w:szCs w:val="20"/>
        </w:rPr>
        <w:t xml:space="preserve"> and UNHCR and their partners have cumulatively rehabilitated over 30KM roads in different settlements in Baidoa  connecting IDPS, returnees settlements to urban centres through cash for work or food voucher. The rehabilitation of these roads has</w:t>
      </w:r>
      <w:r w:rsidR="0076606D" w:rsidRPr="00B62036">
        <w:rPr>
          <w:rFonts w:ascii="Gill Sans MT" w:hAnsi="Gill Sans MT"/>
          <w:sz w:val="20"/>
          <w:szCs w:val="20"/>
        </w:rPr>
        <w:t xml:space="preserve"> improved accessibility and movement within settlements thus increasing movement of vehicles and people. Although the project provided</w:t>
      </w:r>
      <w:r w:rsidR="00726271" w:rsidRPr="00B62036">
        <w:rPr>
          <w:rFonts w:ascii="Gill Sans MT" w:hAnsi="Gill Sans MT"/>
          <w:sz w:val="20"/>
          <w:szCs w:val="20"/>
        </w:rPr>
        <w:t xml:space="preserve"> t</w:t>
      </w:r>
      <w:r w:rsidR="0076606D" w:rsidRPr="00B62036">
        <w:rPr>
          <w:rFonts w:ascii="Gill Sans MT" w:hAnsi="Gill Sans MT"/>
          <w:sz w:val="20"/>
          <w:szCs w:val="20"/>
        </w:rPr>
        <w:t xml:space="preserve">emporary cash it is also contributed to improved community engagement among </w:t>
      </w:r>
      <w:r w:rsidR="0076606D" w:rsidRPr="00B62036">
        <w:rPr>
          <w:rFonts w:ascii="Gill Sans MT" w:hAnsi="Gill Sans MT"/>
          <w:sz w:val="20"/>
          <w:szCs w:val="20"/>
        </w:rPr>
        <w:lastRenderedPageBreak/>
        <w:t>the</w:t>
      </w:r>
      <w:r w:rsidR="00726271" w:rsidRPr="00B62036">
        <w:rPr>
          <w:rFonts w:ascii="Gill Sans MT" w:hAnsi="Gill Sans MT"/>
          <w:sz w:val="20"/>
          <w:szCs w:val="20"/>
        </w:rPr>
        <w:t xml:space="preserve"> IDPs, returnees and host community.</w:t>
      </w:r>
      <w:r w:rsidR="0076606D" w:rsidRPr="00B62036">
        <w:rPr>
          <w:rFonts w:ascii="Gill Sans MT" w:hAnsi="Gill Sans MT"/>
          <w:sz w:val="20"/>
          <w:szCs w:val="20"/>
        </w:rPr>
        <w:t xml:space="preserve">  During the rehabilitation of the roads PUNOs coordinated with MORDA thus improving government’s leadership and visibility. </w:t>
      </w:r>
    </w:p>
    <w:p w14:paraId="0E975B69" w14:textId="77777777" w:rsidR="00E21A00" w:rsidRPr="00B62036" w:rsidRDefault="00E21A00" w:rsidP="00230515">
      <w:pPr>
        <w:widowControl w:val="0"/>
        <w:autoSpaceDE w:val="0"/>
        <w:autoSpaceDN w:val="0"/>
        <w:adjustRightInd w:val="0"/>
        <w:spacing w:line="276" w:lineRule="auto"/>
        <w:jc w:val="both"/>
        <w:rPr>
          <w:rFonts w:ascii="Gill Sans MT" w:hAnsi="Gill Sans MT"/>
          <w:sz w:val="20"/>
          <w:szCs w:val="20"/>
        </w:rPr>
      </w:pPr>
    </w:p>
    <w:p w14:paraId="5928FBDC" w14:textId="135E95CB" w:rsidR="00E21A00" w:rsidRPr="00B62036" w:rsidRDefault="00D30329" w:rsidP="00230515">
      <w:pPr>
        <w:widowControl w:val="0"/>
        <w:autoSpaceDE w:val="0"/>
        <w:autoSpaceDN w:val="0"/>
        <w:adjustRightInd w:val="0"/>
        <w:spacing w:line="276" w:lineRule="auto"/>
        <w:jc w:val="both"/>
        <w:rPr>
          <w:rFonts w:ascii="Gill Sans MT" w:hAnsi="Gill Sans MT"/>
          <w:sz w:val="20"/>
          <w:szCs w:val="20"/>
          <w:highlight w:val="green"/>
        </w:rPr>
      </w:pPr>
      <w:r w:rsidRPr="00B62036">
        <w:rPr>
          <w:rFonts w:ascii="Gill Sans MT" w:hAnsi="Gill Sans MT"/>
          <w:sz w:val="20"/>
          <w:szCs w:val="20"/>
        </w:rPr>
        <w:t xml:space="preserve">UNICEF’s education project involved building of temporary learning spaces across six settlements, training of CECs and teachers. The delivery of the project was somewhat sustainable by empowering communities to manage the </w:t>
      </w:r>
      <w:r w:rsidR="00B0586C" w:rsidRPr="00B62036">
        <w:rPr>
          <w:rFonts w:ascii="Gill Sans MT" w:hAnsi="Gill Sans MT"/>
          <w:sz w:val="20"/>
          <w:szCs w:val="20"/>
        </w:rPr>
        <w:t xml:space="preserve">learning facilities after the end of the project. Despite structural and operational challenges with running these temporary spaces, </w:t>
      </w:r>
      <w:r w:rsidR="00E21A00" w:rsidRPr="00B62036">
        <w:rPr>
          <w:rFonts w:ascii="Gill Sans MT" w:hAnsi="Gill Sans MT"/>
          <w:sz w:val="20"/>
          <w:szCs w:val="20"/>
        </w:rPr>
        <w:t>the project placed substantial focus on the reintegration of returnee children, particularly into mainstream schooling to achieve sustainability. UNICEF and its implementing partner BREK ensured that schools were constructed and managed to ensure sustainable return and reintegration.  A</w:t>
      </w:r>
      <w:r w:rsidR="00B0586C" w:rsidRPr="00B62036">
        <w:rPr>
          <w:rFonts w:ascii="Gill Sans MT" w:hAnsi="Gill Sans MT"/>
          <w:sz w:val="20"/>
          <w:szCs w:val="20"/>
        </w:rPr>
        <w:t xml:space="preserve"> visit to these learning spaces has found them operational.  </w:t>
      </w:r>
      <w:r w:rsidR="00E21A00" w:rsidRPr="00B62036">
        <w:rPr>
          <w:rFonts w:ascii="Gill Sans MT" w:hAnsi="Gill Sans MT"/>
          <w:sz w:val="20"/>
          <w:szCs w:val="20"/>
        </w:rPr>
        <w:t>The establishment of management structures in the form of community education committees (CECs) has helped strengthen local ownership that will ensure functionality even after the project life span.</w:t>
      </w:r>
      <w:r w:rsidR="00E21A00" w:rsidRPr="00B62036">
        <w:rPr>
          <w:rFonts w:ascii="Gill Sans MT" w:hAnsi="Gill Sans MT"/>
          <w:sz w:val="20"/>
          <w:szCs w:val="20"/>
          <w:highlight w:val="green"/>
        </w:rPr>
        <w:t xml:space="preserve"> </w:t>
      </w:r>
    </w:p>
    <w:p w14:paraId="6B563EF7" w14:textId="04437117" w:rsidR="0076606D" w:rsidRPr="00B62036" w:rsidRDefault="0076606D" w:rsidP="00230515">
      <w:pPr>
        <w:widowControl w:val="0"/>
        <w:autoSpaceDE w:val="0"/>
        <w:autoSpaceDN w:val="0"/>
        <w:adjustRightInd w:val="0"/>
        <w:spacing w:line="276" w:lineRule="auto"/>
        <w:jc w:val="both"/>
        <w:rPr>
          <w:rFonts w:ascii="Gill Sans MT" w:hAnsi="Gill Sans MT"/>
          <w:sz w:val="20"/>
          <w:szCs w:val="20"/>
        </w:rPr>
      </w:pPr>
    </w:p>
    <w:p w14:paraId="57702E12" w14:textId="55410F16" w:rsidR="005B7328" w:rsidRDefault="00B0586C" w:rsidP="00230515">
      <w:pPr>
        <w:widowControl w:val="0"/>
        <w:autoSpaceDE w:val="0"/>
        <w:autoSpaceDN w:val="0"/>
        <w:adjustRightInd w:val="0"/>
        <w:spacing w:line="276" w:lineRule="auto"/>
        <w:jc w:val="both"/>
        <w:rPr>
          <w:rFonts w:ascii="Gill Sans MT" w:hAnsi="Gill Sans MT"/>
          <w:sz w:val="20"/>
          <w:szCs w:val="20"/>
        </w:rPr>
      </w:pPr>
      <w:r w:rsidRPr="00B62036">
        <w:rPr>
          <w:rFonts w:ascii="Gill Sans MT" w:hAnsi="Gill Sans MT"/>
          <w:sz w:val="20"/>
          <w:szCs w:val="20"/>
        </w:rPr>
        <w:t xml:space="preserve">The </w:t>
      </w:r>
      <w:r w:rsidR="00617253">
        <w:rPr>
          <w:rFonts w:ascii="Gill Sans MT" w:hAnsi="Gill Sans MT"/>
          <w:sz w:val="20"/>
          <w:szCs w:val="20"/>
        </w:rPr>
        <w:t xml:space="preserve">PBF program </w:t>
      </w:r>
      <w:r w:rsidRPr="00B62036">
        <w:rPr>
          <w:rFonts w:ascii="Gill Sans MT" w:hAnsi="Gill Sans MT"/>
          <w:sz w:val="20"/>
          <w:szCs w:val="20"/>
        </w:rPr>
        <w:t>provid</w:t>
      </w:r>
      <w:r w:rsidR="006839DC" w:rsidRPr="00B62036">
        <w:rPr>
          <w:rFonts w:ascii="Gill Sans MT" w:hAnsi="Gill Sans MT"/>
          <w:sz w:val="20"/>
          <w:szCs w:val="20"/>
        </w:rPr>
        <w:t xml:space="preserve">ed numerous skills training for various youth including youth female and men on carpentry, metal fabrication, computer skills, mobile repair, entrepreneurship and hospitality. Some of the graduates interviewed during the study acknowledged to have received toolkits. Majority of the trainees have indicated they have got employed or started own business in Baidoa while some of them hinted of moving to Mogadishu in search of jobs with high prospect of getting a job. </w:t>
      </w:r>
      <w:r w:rsidR="00A57B0E" w:rsidRPr="00B62036">
        <w:rPr>
          <w:rFonts w:ascii="Gill Sans MT" w:hAnsi="Gill Sans MT"/>
          <w:sz w:val="20"/>
          <w:szCs w:val="20"/>
        </w:rPr>
        <w:t xml:space="preserve"> The activities imparted relevant knowledge and skills that could enable vulnerable youth to start own job and create hope to get employment as this will reduce prevent youth in crime and joining of Al-Shabab ranks.   </w:t>
      </w:r>
    </w:p>
    <w:p w14:paraId="26749A35" w14:textId="77777777" w:rsidR="00A64E72" w:rsidRDefault="00A64E72" w:rsidP="00A64E72">
      <w:pPr>
        <w:widowControl w:val="0"/>
        <w:autoSpaceDE w:val="0"/>
        <w:autoSpaceDN w:val="0"/>
        <w:adjustRightInd w:val="0"/>
        <w:spacing w:line="276" w:lineRule="auto"/>
        <w:jc w:val="both"/>
        <w:rPr>
          <w:rFonts w:ascii="Gill Sans MT" w:hAnsi="Gill Sans MT"/>
          <w:sz w:val="20"/>
          <w:szCs w:val="20"/>
        </w:rPr>
      </w:pPr>
    </w:p>
    <w:p w14:paraId="49CC35EB" w14:textId="4B2ABE9F" w:rsidR="00A64E72" w:rsidRPr="00A64E72" w:rsidRDefault="00A64E72" w:rsidP="00A64E72">
      <w:pPr>
        <w:widowControl w:val="0"/>
        <w:autoSpaceDE w:val="0"/>
        <w:autoSpaceDN w:val="0"/>
        <w:adjustRightInd w:val="0"/>
        <w:spacing w:line="276" w:lineRule="auto"/>
        <w:jc w:val="both"/>
        <w:rPr>
          <w:rFonts w:ascii="Gill Sans MT" w:hAnsi="Gill Sans MT"/>
          <w:sz w:val="20"/>
          <w:szCs w:val="20"/>
        </w:rPr>
      </w:pPr>
      <w:r>
        <w:rPr>
          <w:rFonts w:ascii="Gill Sans MT" w:hAnsi="Gill Sans MT"/>
          <w:sz w:val="20"/>
          <w:szCs w:val="20"/>
        </w:rPr>
        <w:t xml:space="preserve">Besides, the PBF program had catalytic effects. For instance the </w:t>
      </w:r>
      <w:r w:rsidRPr="00A64E72">
        <w:rPr>
          <w:rFonts w:ascii="Gill Sans MT" w:hAnsi="Gill Sans MT"/>
          <w:sz w:val="20"/>
          <w:szCs w:val="20"/>
        </w:rPr>
        <w:t xml:space="preserve">UNHCR’s catalytic role in the </w:t>
      </w:r>
      <w:r w:rsidR="00617253">
        <w:rPr>
          <w:rFonts w:ascii="Gill Sans MT" w:hAnsi="Gill Sans MT"/>
          <w:sz w:val="20"/>
          <w:szCs w:val="20"/>
        </w:rPr>
        <w:t xml:space="preserve">PBF program </w:t>
      </w:r>
      <w:r w:rsidRPr="00A64E72">
        <w:rPr>
          <w:rFonts w:ascii="Gill Sans MT" w:hAnsi="Gill Sans MT"/>
          <w:sz w:val="20"/>
          <w:szCs w:val="20"/>
        </w:rPr>
        <w:t xml:space="preserve">manifested itself in a number of ways. </w:t>
      </w:r>
      <w:r>
        <w:rPr>
          <w:rFonts w:ascii="Gill Sans MT" w:hAnsi="Gill Sans MT"/>
          <w:sz w:val="20"/>
          <w:szCs w:val="20"/>
        </w:rPr>
        <w:t>T</w:t>
      </w:r>
      <w:r w:rsidRPr="00A64E72">
        <w:rPr>
          <w:rFonts w:ascii="Gill Sans MT" w:hAnsi="Gill Sans MT"/>
          <w:sz w:val="20"/>
          <w:szCs w:val="20"/>
        </w:rPr>
        <w:t xml:space="preserve">he project acted as a catalyst for future community development, especially when this activity was supported by the federal government of Somalia and the south west state through MORDA. </w:t>
      </w:r>
      <w:r>
        <w:rPr>
          <w:rFonts w:ascii="Gill Sans MT" w:hAnsi="Gill Sans MT"/>
          <w:sz w:val="20"/>
          <w:szCs w:val="20"/>
        </w:rPr>
        <w:t>PUNOs</w:t>
      </w:r>
      <w:r w:rsidRPr="00A64E72">
        <w:rPr>
          <w:rFonts w:ascii="Gill Sans MT" w:hAnsi="Gill Sans MT"/>
          <w:sz w:val="20"/>
          <w:szCs w:val="20"/>
        </w:rPr>
        <w:t xml:space="preserve"> catalytic role can be seen in its sponsorship of entrepreneurial activities, trainings, infrastructural support the provision of basic social services such as schools. UNHCR</w:t>
      </w:r>
      <w:r w:rsidRPr="00A64E72">
        <w:rPr>
          <w:rFonts w:ascii="Gill Sans MT" w:hAnsi="Gill Sans MT" w:cs="Gill Sans MT"/>
          <w:sz w:val="20"/>
          <w:szCs w:val="20"/>
        </w:rPr>
        <w:t>’</w:t>
      </w:r>
      <w:r w:rsidRPr="00A64E72">
        <w:rPr>
          <w:rFonts w:ascii="Gill Sans MT" w:hAnsi="Gill Sans MT"/>
          <w:sz w:val="20"/>
          <w:szCs w:val="20"/>
        </w:rPr>
        <w:t xml:space="preserve">s efforts in the PBF provided not simply a bridge for other development actors but acted as a catalyst, providing an alternative path to success and accelerating change. This catalytic role can clearly be seen in </w:t>
      </w:r>
      <w:r>
        <w:rPr>
          <w:rFonts w:ascii="Gill Sans MT" w:hAnsi="Gill Sans MT"/>
          <w:sz w:val="20"/>
          <w:szCs w:val="20"/>
        </w:rPr>
        <w:t>PUNO’s</w:t>
      </w:r>
      <w:r w:rsidRPr="00A64E72">
        <w:rPr>
          <w:rFonts w:ascii="Gill Sans MT" w:hAnsi="Gill Sans MT"/>
          <w:sz w:val="20"/>
          <w:szCs w:val="20"/>
        </w:rPr>
        <w:t xml:space="preserve"> assistance, which went well beyond the provision of return packages but provided access to crucial services such as schooling</w:t>
      </w:r>
      <w:r>
        <w:rPr>
          <w:rFonts w:ascii="Gill Sans MT" w:hAnsi="Gill Sans MT"/>
          <w:sz w:val="20"/>
          <w:szCs w:val="20"/>
        </w:rPr>
        <w:t>, productive assets and cash support and food voucher</w:t>
      </w:r>
      <w:r w:rsidRPr="00A64E72">
        <w:rPr>
          <w:rFonts w:ascii="Gill Sans MT" w:hAnsi="Gill Sans MT"/>
          <w:sz w:val="20"/>
          <w:szCs w:val="20"/>
        </w:rPr>
        <w:t xml:space="preserve">. What magnified their impact was the ability of </w:t>
      </w:r>
      <w:r>
        <w:rPr>
          <w:rFonts w:ascii="Gill Sans MT" w:hAnsi="Gill Sans MT"/>
          <w:sz w:val="20"/>
          <w:szCs w:val="20"/>
        </w:rPr>
        <w:t>PUNOs through</w:t>
      </w:r>
      <w:r w:rsidRPr="00A64E72">
        <w:rPr>
          <w:rFonts w:ascii="Gill Sans MT" w:hAnsi="Gill Sans MT"/>
          <w:sz w:val="20"/>
          <w:szCs w:val="20"/>
        </w:rPr>
        <w:t xml:space="preserve"> reintegration and coordination of the </w:t>
      </w:r>
      <w:r w:rsidR="00617253">
        <w:rPr>
          <w:rFonts w:ascii="Gill Sans MT" w:hAnsi="Gill Sans MT"/>
          <w:sz w:val="20"/>
          <w:szCs w:val="20"/>
        </w:rPr>
        <w:t xml:space="preserve">PBF program </w:t>
      </w:r>
      <w:r w:rsidRPr="00A64E72">
        <w:rPr>
          <w:rFonts w:ascii="Gill Sans MT" w:hAnsi="Gill Sans MT"/>
          <w:sz w:val="20"/>
          <w:szCs w:val="20"/>
        </w:rPr>
        <w:t>activities, to add an additional social ingredient through peace building that sparked faster progress in cohesion among returnees and the host communities in Baidoa. Further, support of women through the provisi</w:t>
      </w:r>
      <w:r>
        <w:rPr>
          <w:rFonts w:ascii="Gill Sans MT" w:hAnsi="Gill Sans MT"/>
          <w:sz w:val="20"/>
          <w:szCs w:val="20"/>
        </w:rPr>
        <w:t xml:space="preserve">on of toolkits and donkey carts and agricultural inputs </w:t>
      </w:r>
      <w:r w:rsidRPr="00A64E72">
        <w:rPr>
          <w:rFonts w:ascii="Gill Sans MT" w:hAnsi="Gill Sans MT"/>
          <w:sz w:val="20"/>
          <w:szCs w:val="20"/>
        </w:rPr>
        <w:t xml:space="preserve">greatly enhanced productivity upon return. Another example of </w:t>
      </w:r>
      <w:r>
        <w:rPr>
          <w:rFonts w:ascii="Gill Sans MT" w:hAnsi="Gill Sans MT"/>
          <w:sz w:val="20"/>
          <w:szCs w:val="20"/>
        </w:rPr>
        <w:t>PBF’s</w:t>
      </w:r>
      <w:r w:rsidRPr="00A64E72">
        <w:rPr>
          <w:rFonts w:ascii="Gill Sans MT" w:hAnsi="Gill Sans MT"/>
          <w:sz w:val="20"/>
          <w:szCs w:val="20"/>
        </w:rPr>
        <w:t xml:space="preserve"> catalytic role relates to the place of women and gender issues in community empowerment. </w:t>
      </w:r>
      <w:r>
        <w:rPr>
          <w:rFonts w:ascii="Gill Sans MT" w:hAnsi="Gill Sans MT"/>
          <w:sz w:val="20"/>
          <w:szCs w:val="20"/>
        </w:rPr>
        <w:t>PUNOs</w:t>
      </w:r>
      <w:r w:rsidRPr="00A64E72">
        <w:rPr>
          <w:rFonts w:ascii="Gill Sans MT" w:hAnsi="Gill Sans MT"/>
          <w:sz w:val="20"/>
          <w:szCs w:val="20"/>
        </w:rPr>
        <w:t xml:space="preserve"> willingness to cult</w:t>
      </w:r>
      <w:r>
        <w:rPr>
          <w:rFonts w:ascii="Gill Sans MT" w:hAnsi="Gill Sans MT"/>
          <w:sz w:val="20"/>
          <w:szCs w:val="20"/>
        </w:rPr>
        <w:t xml:space="preserve">ivate community member’s desire of social change </w:t>
      </w:r>
      <w:r w:rsidR="005D458E">
        <w:rPr>
          <w:rFonts w:ascii="Gill Sans MT" w:hAnsi="Gill Sans MT"/>
          <w:sz w:val="20"/>
          <w:szCs w:val="20"/>
        </w:rPr>
        <w:t>opened</w:t>
      </w:r>
      <w:r w:rsidRPr="00A64E72">
        <w:rPr>
          <w:rFonts w:ascii="Gill Sans MT" w:hAnsi="Gill Sans MT"/>
          <w:sz w:val="20"/>
          <w:szCs w:val="20"/>
        </w:rPr>
        <w:t xml:space="preserve"> up an alternative path to greater gender equality, and consequently </w:t>
      </w:r>
      <w:r>
        <w:rPr>
          <w:rFonts w:ascii="Gill Sans MT" w:hAnsi="Gill Sans MT"/>
          <w:sz w:val="20"/>
          <w:szCs w:val="20"/>
        </w:rPr>
        <w:t>accelerated</w:t>
      </w:r>
      <w:r w:rsidRPr="00A64E72">
        <w:rPr>
          <w:rFonts w:ascii="Gill Sans MT" w:hAnsi="Gill Sans MT"/>
          <w:sz w:val="20"/>
          <w:szCs w:val="20"/>
        </w:rPr>
        <w:t xml:space="preserve"> the process by incorporating more women into peace building.</w:t>
      </w:r>
    </w:p>
    <w:p w14:paraId="3A3D4AB8" w14:textId="77777777" w:rsidR="00A64E72" w:rsidRPr="00A64E72" w:rsidRDefault="00A64E72" w:rsidP="00A64E72">
      <w:pPr>
        <w:widowControl w:val="0"/>
        <w:autoSpaceDE w:val="0"/>
        <w:autoSpaceDN w:val="0"/>
        <w:adjustRightInd w:val="0"/>
        <w:spacing w:line="276" w:lineRule="auto"/>
        <w:jc w:val="both"/>
        <w:rPr>
          <w:rFonts w:ascii="Gill Sans MT" w:hAnsi="Gill Sans MT"/>
          <w:sz w:val="20"/>
          <w:szCs w:val="20"/>
        </w:rPr>
      </w:pPr>
      <w:r w:rsidRPr="00A64E72">
        <w:rPr>
          <w:rFonts w:ascii="Gill Sans MT" w:hAnsi="Gill Sans MT"/>
          <w:sz w:val="20"/>
          <w:szCs w:val="20"/>
        </w:rPr>
        <w:t xml:space="preserve"> </w:t>
      </w:r>
    </w:p>
    <w:p w14:paraId="37326530" w14:textId="3CAF5B7D" w:rsidR="001D4DE4" w:rsidRDefault="00A64E72" w:rsidP="00A64E72">
      <w:pPr>
        <w:widowControl w:val="0"/>
        <w:autoSpaceDE w:val="0"/>
        <w:autoSpaceDN w:val="0"/>
        <w:adjustRightInd w:val="0"/>
        <w:spacing w:line="276" w:lineRule="auto"/>
        <w:jc w:val="both"/>
        <w:rPr>
          <w:rFonts w:ascii="Gill Sans MT" w:hAnsi="Gill Sans MT"/>
          <w:sz w:val="20"/>
          <w:szCs w:val="20"/>
        </w:rPr>
      </w:pPr>
      <w:r w:rsidRPr="00A64E72">
        <w:rPr>
          <w:rFonts w:ascii="Gill Sans MT" w:hAnsi="Gill Sans MT"/>
          <w:sz w:val="20"/>
          <w:szCs w:val="20"/>
        </w:rPr>
        <w:t xml:space="preserve">According to ILO Somalia, the agency has secured funding of10 million Euros from KfW Development Bank from Germany that will be invested in the development of critical infrastructure that will involve construction of 15KM road tarmac connecting IDP settlements and with Baidoa town and establishment of productive centres. Discussions around the design and implementation are ongoing and the initial phase of the program is expected to commence in the coming months. This funding comes immediately ILO completed the </w:t>
      </w:r>
      <w:r w:rsidR="00617253">
        <w:rPr>
          <w:rFonts w:ascii="Gill Sans MT" w:hAnsi="Gill Sans MT"/>
          <w:sz w:val="20"/>
          <w:szCs w:val="20"/>
        </w:rPr>
        <w:t xml:space="preserve">PBF program </w:t>
      </w:r>
      <w:r w:rsidRPr="00A64E72">
        <w:rPr>
          <w:rFonts w:ascii="Gill Sans MT" w:hAnsi="Gill Sans MT"/>
          <w:sz w:val="20"/>
          <w:szCs w:val="20"/>
        </w:rPr>
        <w:t xml:space="preserve">activities. This additional funding complements the PBF program and once complemented will boost the local economy and livelihoods of the community as well as contributes to stabilization process in south west state and national </w:t>
      </w:r>
      <w:r w:rsidRPr="00A64E72">
        <w:rPr>
          <w:rFonts w:ascii="Gill Sans MT" w:hAnsi="Gill Sans MT"/>
          <w:sz w:val="20"/>
          <w:szCs w:val="20"/>
        </w:rPr>
        <w:lastRenderedPageBreak/>
        <w:t xml:space="preserve">development framework. Given the program is expected to hire local companies and employ local communities, the immediate impact will be employment creation and improved access to cash that will </w:t>
      </w:r>
      <w:r w:rsidR="005D458E" w:rsidRPr="00A64E72">
        <w:rPr>
          <w:rFonts w:ascii="Gill Sans MT" w:hAnsi="Gill Sans MT"/>
          <w:sz w:val="20"/>
          <w:szCs w:val="20"/>
        </w:rPr>
        <w:t>subsequently</w:t>
      </w:r>
      <w:r w:rsidRPr="00A64E72">
        <w:rPr>
          <w:rFonts w:ascii="Gill Sans MT" w:hAnsi="Gill Sans MT"/>
          <w:sz w:val="20"/>
          <w:szCs w:val="20"/>
        </w:rPr>
        <w:t xml:space="preserve"> improve household income.</w:t>
      </w:r>
    </w:p>
    <w:p w14:paraId="5B9C3A54" w14:textId="77777777" w:rsidR="00A64E72" w:rsidRDefault="00A64E72" w:rsidP="00230515">
      <w:pPr>
        <w:widowControl w:val="0"/>
        <w:autoSpaceDE w:val="0"/>
        <w:autoSpaceDN w:val="0"/>
        <w:adjustRightInd w:val="0"/>
        <w:spacing w:line="276" w:lineRule="auto"/>
        <w:jc w:val="both"/>
        <w:rPr>
          <w:rFonts w:ascii="Gill Sans MT" w:hAnsi="Gill Sans MT"/>
          <w:sz w:val="20"/>
          <w:szCs w:val="20"/>
        </w:rPr>
      </w:pPr>
    </w:p>
    <w:p w14:paraId="13769ABF" w14:textId="77777777" w:rsidR="00A64E72" w:rsidRDefault="00A64E72" w:rsidP="00230515">
      <w:pPr>
        <w:widowControl w:val="0"/>
        <w:autoSpaceDE w:val="0"/>
        <w:autoSpaceDN w:val="0"/>
        <w:adjustRightInd w:val="0"/>
        <w:spacing w:line="276" w:lineRule="auto"/>
        <w:jc w:val="both"/>
        <w:rPr>
          <w:rFonts w:ascii="Gill Sans MT" w:hAnsi="Gill Sans MT"/>
          <w:sz w:val="20"/>
          <w:szCs w:val="20"/>
        </w:rPr>
        <w:sectPr w:rsidR="00A64E72" w:rsidSect="00117C8B">
          <w:pgSz w:w="12240" w:h="15840"/>
          <w:pgMar w:top="1440" w:right="1440" w:bottom="1440" w:left="1440" w:header="720" w:footer="720" w:gutter="0"/>
          <w:pgNumType w:fmt="numberInDash"/>
          <w:cols w:space="720"/>
          <w:docGrid w:linePitch="360"/>
        </w:sectPr>
      </w:pPr>
    </w:p>
    <w:p w14:paraId="1E545EFA" w14:textId="4D9FC20B" w:rsidR="00F40B5B" w:rsidRPr="001D4DE4" w:rsidRDefault="00F40B5B" w:rsidP="00EA7389">
      <w:pPr>
        <w:pStyle w:val="Heading1"/>
        <w:pBdr>
          <w:bottom w:val="single" w:sz="18" w:space="1" w:color="00B0F0"/>
        </w:pBdr>
      </w:pPr>
      <w:bookmarkStart w:id="39" w:name="_Toc419359874"/>
      <w:r w:rsidRPr="001D4DE4">
        <w:lastRenderedPageBreak/>
        <w:t>Challenges and Lessons Learnt</w:t>
      </w:r>
      <w:bookmarkEnd w:id="39"/>
    </w:p>
    <w:p w14:paraId="415D45A8" w14:textId="0FBFCFC9" w:rsidR="00B21B04" w:rsidRPr="001706A2" w:rsidRDefault="00B21B04" w:rsidP="003A6010">
      <w:pPr>
        <w:pStyle w:val="Heading2"/>
      </w:pPr>
      <w:bookmarkStart w:id="40" w:name="_Toc419359875"/>
      <w:r w:rsidRPr="001706A2">
        <w:t>Challenges</w:t>
      </w:r>
      <w:bookmarkEnd w:id="40"/>
    </w:p>
    <w:p w14:paraId="76E1DE08" w14:textId="2FF42851" w:rsidR="003E4DCA" w:rsidRPr="003E4DCA" w:rsidRDefault="003E4DCA" w:rsidP="003E4DCA">
      <w:pPr>
        <w:pStyle w:val="ListParagraph"/>
        <w:numPr>
          <w:ilvl w:val="0"/>
          <w:numId w:val="20"/>
        </w:numPr>
        <w:jc w:val="both"/>
        <w:rPr>
          <w:rFonts w:ascii="Gill Sans MT" w:hAnsi="Gill Sans MT" w:cs="Calibri"/>
          <w:sz w:val="20"/>
          <w:szCs w:val="20"/>
        </w:rPr>
      </w:pPr>
      <w:r w:rsidRPr="003E4DCA">
        <w:rPr>
          <w:rFonts w:ascii="Gill Sans MT" w:hAnsi="Gill Sans MT" w:cs="Calibri"/>
          <w:b/>
          <w:i/>
          <w:sz w:val="20"/>
          <w:szCs w:val="20"/>
        </w:rPr>
        <w:t>Community prioritization in the design of the project</w:t>
      </w:r>
      <w:r w:rsidRPr="003E4DCA">
        <w:rPr>
          <w:rFonts w:ascii="Gill Sans MT" w:hAnsi="Gill Sans MT" w:cs="Calibri"/>
          <w:sz w:val="20"/>
          <w:szCs w:val="20"/>
        </w:rPr>
        <w:t xml:space="preserve">: Although PUNOs held community meetings and conducted assessments before the projects inceptions, however, interviews with some of the beneficiary respondents acknowledging the PBF projects provided temporary access to cash, food support, assets and skills trainings there was no broad-based stakeholders’ consultation to discuss priority needs. For instance they described FAO’s provision of agricultural inputs included some ‘foreign’ seeds (i.e. Amaranthus seeds, Ethiopian Mustard) that failed to grow as opposed to providing indigenous seeds such as Maize. Besides, majority of the returnees did not have farmlands and had to negotiate with farm owners to use their land for a fee or pay in-kind and experienced difficulties. They explained since they have not been engaged in farming while in Dadaab they found going back to farming difficult but had to consider for lack better alternative. In addition, UNICEF’s PBF constructed 12 TLs across 6 IDP camps, however, five of the 6 facilities were found operational but they had no teachers and are not seen as child friendly because they are overcrowded, do not have playground, lack teachers’ office and lack proper management. Besides, the UNHCR and WFP PBF program activities involved construction of five and three shallow wells respectively in IDP settlements in Baidoa that were experiencing acute water shortages, however, the shallows dried up immediately after construction. Respondents explained the water table is low therefore construction of productive and permanent shallow wells can be achieved through drilling as opposed to using casual labor which the projects used due to limited project budget. </w:t>
      </w:r>
    </w:p>
    <w:p w14:paraId="520FD49D" w14:textId="77777777" w:rsidR="003E4DCA" w:rsidRPr="001000C2" w:rsidRDefault="003E4DCA" w:rsidP="003E4DCA">
      <w:pPr>
        <w:jc w:val="both"/>
        <w:rPr>
          <w:rFonts w:ascii="Gill Sans MT" w:hAnsi="Gill Sans MT" w:cs="Calibri"/>
          <w:sz w:val="20"/>
          <w:szCs w:val="20"/>
        </w:rPr>
      </w:pPr>
    </w:p>
    <w:p w14:paraId="445C60AE" w14:textId="64998A90" w:rsidR="003E4DCA" w:rsidRPr="003E4DCA" w:rsidRDefault="003E4DCA" w:rsidP="003E4DCA">
      <w:pPr>
        <w:pStyle w:val="ListParagraph"/>
        <w:numPr>
          <w:ilvl w:val="0"/>
          <w:numId w:val="20"/>
        </w:numPr>
        <w:jc w:val="both"/>
        <w:rPr>
          <w:rFonts w:ascii="Gill Sans MT" w:hAnsi="Gill Sans MT" w:cs="Calibri"/>
          <w:color w:val="000000"/>
          <w:sz w:val="20"/>
          <w:szCs w:val="20"/>
        </w:rPr>
      </w:pPr>
      <w:r w:rsidRPr="003E4DCA">
        <w:rPr>
          <w:rFonts w:ascii="Gill Sans MT" w:hAnsi="Gill Sans MT" w:cs="Calibri"/>
          <w:b/>
          <w:i/>
          <w:color w:val="000000"/>
          <w:sz w:val="20"/>
          <w:szCs w:val="20"/>
        </w:rPr>
        <w:t>Duplication and overlapping</w:t>
      </w:r>
      <w:r w:rsidRPr="003E4DCA">
        <w:rPr>
          <w:rFonts w:ascii="Gill Sans MT" w:hAnsi="Gill Sans MT" w:cs="Calibri"/>
          <w:b/>
          <w:color w:val="000000"/>
          <w:sz w:val="20"/>
          <w:szCs w:val="20"/>
        </w:rPr>
        <w:t>:</w:t>
      </w:r>
      <w:r w:rsidRPr="003E4DCA">
        <w:rPr>
          <w:rFonts w:ascii="Gill Sans MT" w:hAnsi="Gill Sans MT" w:cs="Calibri"/>
          <w:color w:val="000000"/>
          <w:sz w:val="20"/>
          <w:szCs w:val="20"/>
        </w:rPr>
        <w:t xml:space="preserve"> During the field study it was noted that UNICEF-PBF funded the construction of temporary learning spaces (TLS) and trained volunteer teachers in six settlements. Since the completion of the project one school has since been shut down after all the teachers left and sought employment in a new school built in close proximity by Save the Children and paid modest stipend and parents enrolled their children in the school citing the school provided feeding program. In addition, there was confusion between IOM and ADESO after both agencies received funding to rehabilitate Dr. Ayuub Football stadium. This delayed the commencement of the construction works and it took government intervention to resolve the matter long after the project completion. </w:t>
      </w:r>
    </w:p>
    <w:p w14:paraId="26F5BE4A" w14:textId="50FC779C" w:rsidR="003E4DCA" w:rsidRPr="003E4DCA" w:rsidRDefault="003E4DCA" w:rsidP="003E4DCA">
      <w:pPr>
        <w:pStyle w:val="ListParagraph"/>
        <w:numPr>
          <w:ilvl w:val="0"/>
          <w:numId w:val="20"/>
        </w:numPr>
        <w:jc w:val="both"/>
        <w:rPr>
          <w:rFonts w:ascii="Gill Sans MT" w:hAnsi="Gill Sans MT" w:cs="Calibri"/>
          <w:b/>
          <w:color w:val="000000"/>
          <w:sz w:val="20"/>
          <w:szCs w:val="20"/>
        </w:rPr>
      </w:pPr>
      <w:r w:rsidRPr="003E4DCA">
        <w:rPr>
          <w:rFonts w:ascii="Gill Sans MT" w:hAnsi="Gill Sans MT" w:cs="Calibri"/>
          <w:b/>
          <w:i/>
          <w:sz w:val="20"/>
          <w:szCs w:val="20"/>
        </w:rPr>
        <w:t>Feedback mechanism:</w:t>
      </w:r>
      <w:r w:rsidRPr="003E4DCA">
        <w:rPr>
          <w:rFonts w:ascii="Gill Sans MT" w:hAnsi="Gill Sans MT"/>
          <w:sz w:val="20"/>
          <w:szCs w:val="20"/>
        </w:rPr>
        <w:t xml:space="preserve"> </w:t>
      </w:r>
      <w:r w:rsidRPr="003E4DCA">
        <w:rPr>
          <w:rFonts w:ascii="Gill Sans MT" w:hAnsi="Gill Sans MT" w:cs="Calibri"/>
          <w:color w:val="000000"/>
          <w:sz w:val="20"/>
          <w:szCs w:val="20"/>
        </w:rPr>
        <w:t xml:space="preserve">Embedding an effective feedback mechanism is an integral part of project implementation that would be useful for agencies to support accountability, transparency, empowerment, monitoring and evaluation, and programme improvement, and to provide early warning of impending problems. However, this will require agencies to create awareness and create confidence among beneficiaries to be able to give their feedback. The study found ILO, IOM and UNHCR did not have a hotline system for provision of feedback but WFP and FAO had hotline numbers that was made available to the beneficiaries. </w:t>
      </w:r>
    </w:p>
    <w:p w14:paraId="3C91F6DF" w14:textId="558A9FEF" w:rsidR="003E4DCA" w:rsidRPr="003E4DCA" w:rsidRDefault="003E4DCA" w:rsidP="003E4DCA">
      <w:pPr>
        <w:pStyle w:val="ListParagraph"/>
        <w:numPr>
          <w:ilvl w:val="0"/>
          <w:numId w:val="20"/>
        </w:numPr>
        <w:jc w:val="both"/>
        <w:rPr>
          <w:rFonts w:ascii="Gill Sans MT" w:hAnsi="Gill Sans MT" w:cs="Calibri"/>
          <w:b/>
          <w:color w:val="000000"/>
          <w:sz w:val="20"/>
          <w:szCs w:val="20"/>
        </w:rPr>
      </w:pPr>
      <w:r w:rsidRPr="003E4DCA">
        <w:rPr>
          <w:rFonts w:ascii="Gill Sans MT" w:hAnsi="Gill Sans MT" w:cs="Calibri"/>
          <w:b/>
          <w:i/>
          <w:sz w:val="20"/>
          <w:szCs w:val="20"/>
        </w:rPr>
        <w:t>Beneficiary Selection</w:t>
      </w:r>
      <w:r w:rsidRPr="003E4DCA">
        <w:rPr>
          <w:rFonts w:ascii="Gill Sans MT" w:hAnsi="Gill Sans MT" w:cs="Calibri"/>
          <w:b/>
          <w:sz w:val="20"/>
          <w:szCs w:val="20"/>
        </w:rPr>
        <w:t>:</w:t>
      </w:r>
      <w:r w:rsidRPr="003E4DCA">
        <w:rPr>
          <w:rFonts w:ascii="Gill Sans MT" w:hAnsi="Gill Sans MT" w:cs="Calibri"/>
          <w:sz w:val="20"/>
          <w:szCs w:val="20"/>
        </w:rPr>
        <w:t xml:space="preserve"> The study found agencies have selection criterions but used varied approaches in the selection of beneficiaries. Interviews with local partners revealed that they had engaged either with MORDA or local municipality while maintaining minimal oversight role. It was noted that some partners delegated the responsibility of beneficiary selection to either MORDA or local municipality. This can arguably create risk of bias, favoritism and exclusion of marginalized groups. </w:t>
      </w:r>
    </w:p>
    <w:p w14:paraId="46B8A89F" w14:textId="42B2F23C" w:rsidR="003E4DCA" w:rsidRPr="003E4DCA" w:rsidRDefault="003E4DCA" w:rsidP="003E4DCA">
      <w:pPr>
        <w:pStyle w:val="ListParagraph"/>
        <w:numPr>
          <w:ilvl w:val="0"/>
          <w:numId w:val="20"/>
        </w:numPr>
        <w:jc w:val="both"/>
        <w:rPr>
          <w:rFonts w:ascii="Gill Sans MT" w:hAnsi="Gill Sans MT" w:cs="Calibri"/>
          <w:color w:val="000000"/>
          <w:sz w:val="20"/>
          <w:szCs w:val="20"/>
        </w:rPr>
      </w:pPr>
      <w:r w:rsidRPr="003E4DCA">
        <w:rPr>
          <w:rFonts w:ascii="Gill Sans MT" w:hAnsi="Gill Sans MT" w:cs="Calibri"/>
          <w:b/>
          <w:i/>
          <w:color w:val="000000"/>
          <w:sz w:val="20"/>
          <w:szCs w:val="20"/>
        </w:rPr>
        <w:t>Interference from Local Administration:</w:t>
      </w:r>
      <w:r w:rsidRPr="003E4DCA">
        <w:rPr>
          <w:rFonts w:ascii="Gill Sans MT" w:hAnsi="Gill Sans MT" w:cs="Calibri"/>
          <w:color w:val="000000"/>
          <w:sz w:val="20"/>
          <w:szCs w:val="20"/>
        </w:rPr>
        <w:t xml:space="preserve"> Baidoa local municipality barred a local company that won a bid to rehabilitate the Kerowfogi Bridge and delayed the project thus prompted IOM to re-advertise the bid and contract another company long after the program ended. </w:t>
      </w:r>
    </w:p>
    <w:p w14:paraId="3529ACE9" w14:textId="77A236F0" w:rsidR="003E4DCA" w:rsidRPr="003E4DCA" w:rsidRDefault="003E4DCA" w:rsidP="003E4DCA">
      <w:pPr>
        <w:pStyle w:val="ListParagraph"/>
        <w:numPr>
          <w:ilvl w:val="0"/>
          <w:numId w:val="20"/>
        </w:numPr>
        <w:jc w:val="both"/>
        <w:rPr>
          <w:rFonts w:ascii="Gill Sans MT" w:hAnsi="Gill Sans MT" w:cs="Calibri"/>
          <w:color w:val="000000"/>
          <w:sz w:val="20"/>
          <w:szCs w:val="20"/>
        </w:rPr>
      </w:pPr>
      <w:r w:rsidRPr="003E4DCA">
        <w:rPr>
          <w:rFonts w:ascii="Gill Sans MT" w:hAnsi="Gill Sans MT" w:cs="Calibri"/>
          <w:b/>
          <w:i/>
          <w:color w:val="000000"/>
          <w:sz w:val="20"/>
          <w:szCs w:val="20"/>
        </w:rPr>
        <w:t>Returnee Orientation:</w:t>
      </w:r>
      <w:r w:rsidRPr="003E4DCA">
        <w:rPr>
          <w:rFonts w:ascii="Gill Sans MT" w:hAnsi="Gill Sans MT" w:cs="Calibri"/>
          <w:color w:val="000000"/>
          <w:sz w:val="20"/>
          <w:szCs w:val="20"/>
        </w:rPr>
        <w:t xml:space="preserve"> Given that majority of voluntary returnees are returning after being away for more than two decades there was little or no information about the socio-economic situation of the areas of return. Some of the returnees reported being coned or misappropriated of funds by some locals who took advantage of their ignorance. </w:t>
      </w:r>
    </w:p>
    <w:p w14:paraId="1ADB359F" w14:textId="0EEEAD5A" w:rsidR="003E4DCA" w:rsidRPr="003E4DCA" w:rsidRDefault="003E4DCA" w:rsidP="003E4DCA">
      <w:pPr>
        <w:pStyle w:val="ListParagraph"/>
        <w:numPr>
          <w:ilvl w:val="0"/>
          <w:numId w:val="20"/>
        </w:numPr>
        <w:jc w:val="both"/>
        <w:rPr>
          <w:rFonts w:ascii="Gill Sans MT" w:hAnsi="Gill Sans MT"/>
          <w:sz w:val="20"/>
          <w:szCs w:val="20"/>
        </w:rPr>
      </w:pPr>
      <w:r w:rsidRPr="003E4DCA">
        <w:rPr>
          <w:rFonts w:ascii="Gill Sans MT" w:hAnsi="Gill Sans MT"/>
          <w:b/>
          <w:i/>
          <w:sz w:val="20"/>
          <w:szCs w:val="20"/>
        </w:rPr>
        <w:t>Start-up Kits:</w:t>
      </w:r>
      <w:r w:rsidRPr="003E4DCA">
        <w:rPr>
          <w:rFonts w:ascii="Gill Sans MT" w:hAnsi="Gill Sans MT"/>
          <w:sz w:val="20"/>
          <w:szCs w:val="20"/>
        </w:rPr>
        <w:t xml:space="preserve"> The lack of individual start up kits was challenging as this has ‘tied’ a group of four together hence rendering them to make a group decision which was not easy for them to cope with. A key reason </w:t>
      </w:r>
      <w:r w:rsidRPr="003E4DCA">
        <w:rPr>
          <w:rFonts w:ascii="Gill Sans MT" w:hAnsi="Gill Sans MT"/>
          <w:sz w:val="20"/>
          <w:szCs w:val="20"/>
        </w:rPr>
        <w:lastRenderedPageBreak/>
        <w:t>reported for the low return for the trainee graduates was the issue of combining them together, for instance if a member of the group changes intention to return, then the other three would be forced to stay in Dadaab.</w:t>
      </w:r>
    </w:p>
    <w:p w14:paraId="66A4D978" w14:textId="1A13A938" w:rsidR="003E4DCA" w:rsidRPr="003E4DCA" w:rsidRDefault="003E4DCA" w:rsidP="003E4DCA">
      <w:pPr>
        <w:pStyle w:val="ListParagraph"/>
        <w:numPr>
          <w:ilvl w:val="0"/>
          <w:numId w:val="20"/>
        </w:numPr>
        <w:jc w:val="both"/>
        <w:rPr>
          <w:rFonts w:ascii="Gill Sans MT" w:hAnsi="Gill Sans MT"/>
          <w:sz w:val="20"/>
          <w:szCs w:val="20"/>
        </w:rPr>
      </w:pPr>
      <w:r w:rsidRPr="003E4DCA">
        <w:rPr>
          <w:rFonts w:ascii="Gill Sans MT" w:hAnsi="Gill Sans MT"/>
          <w:b/>
          <w:i/>
          <w:sz w:val="20"/>
          <w:szCs w:val="20"/>
        </w:rPr>
        <w:t>Dropout of Trainees</w:t>
      </w:r>
      <w:r w:rsidRPr="003E4DCA">
        <w:rPr>
          <w:rFonts w:ascii="Gill Sans MT" w:hAnsi="Gill Sans MT"/>
          <w:b/>
          <w:sz w:val="20"/>
          <w:szCs w:val="20"/>
        </w:rPr>
        <w:t>:</w:t>
      </w:r>
      <w:r w:rsidRPr="003E4DCA">
        <w:rPr>
          <w:rFonts w:ascii="Gill Sans MT" w:hAnsi="Gill Sans MT"/>
          <w:sz w:val="20"/>
          <w:szCs w:val="20"/>
        </w:rPr>
        <w:t xml:space="preserve"> Cases of drop out of trainees especially those that were dispatched to NITA accredited colleges in Nairobi. DRC enrolled about 70 trainees at various colleges in Nairobi but only 50 graduated as 20 of them dropped out.</w:t>
      </w:r>
    </w:p>
    <w:p w14:paraId="5D37C016" w14:textId="58C59149" w:rsidR="003E4DCA" w:rsidRPr="003E4DCA" w:rsidRDefault="003E4DCA" w:rsidP="003E4DCA">
      <w:pPr>
        <w:pStyle w:val="ListParagraph"/>
        <w:numPr>
          <w:ilvl w:val="0"/>
          <w:numId w:val="20"/>
        </w:numPr>
        <w:jc w:val="both"/>
        <w:rPr>
          <w:rFonts w:ascii="Gill Sans MT" w:hAnsi="Gill Sans MT"/>
          <w:sz w:val="20"/>
          <w:szCs w:val="20"/>
        </w:rPr>
      </w:pPr>
      <w:r w:rsidRPr="003E4DCA">
        <w:rPr>
          <w:rFonts w:ascii="Gill Sans MT" w:hAnsi="Gill Sans MT"/>
          <w:b/>
          <w:i/>
          <w:sz w:val="20"/>
          <w:szCs w:val="20"/>
        </w:rPr>
        <w:t>Low Absorption Capacity in Baidoa:</w:t>
      </w:r>
      <w:r w:rsidRPr="003E4DCA">
        <w:rPr>
          <w:rFonts w:ascii="Gill Sans MT" w:hAnsi="Gill Sans MT"/>
          <w:sz w:val="20"/>
          <w:szCs w:val="20"/>
        </w:rPr>
        <w:t xml:space="preserve"> Social services such as schools and health facilities for Baidoa area, especially remote locations in the outskirts of Baidoa had a very low absorption capacity as many were reported to have come back to Dadaab after return to their places of origin.</w:t>
      </w:r>
    </w:p>
    <w:p w14:paraId="3ED0F09F" w14:textId="170BA631" w:rsidR="003E4DCA" w:rsidRPr="003E4DCA" w:rsidRDefault="003E4DCA" w:rsidP="003E4DCA">
      <w:pPr>
        <w:pStyle w:val="ListParagraph"/>
        <w:numPr>
          <w:ilvl w:val="0"/>
          <w:numId w:val="20"/>
        </w:numPr>
        <w:jc w:val="both"/>
        <w:rPr>
          <w:rFonts w:ascii="Gill Sans MT" w:hAnsi="Gill Sans MT"/>
          <w:sz w:val="20"/>
          <w:szCs w:val="20"/>
        </w:rPr>
      </w:pPr>
      <w:r w:rsidRPr="003E4DCA">
        <w:rPr>
          <w:rFonts w:ascii="Gill Sans MT" w:hAnsi="Gill Sans MT"/>
          <w:b/>
          <w:i/>
          <w:sz w:val="20"/>
          <w:szCs w:val="20"/>
        </w:rPr>
        <w:t>Low Intention to Return:</w:t>
      </w:r>
      <w:r w:rsidRPr="003E4DCA">
        <w:rPr>
          <w:rFonts w:ascii="Gill Sans MT" w:hAnsi="Gill Sans MT"/>
          <w:sz w:val="20"/>
          <w:szCs w:val="20"/>
        </w:rPr>
        <w:t xml:space="preserve"> Return intention for Baidoa was quite low hence mobilization of potential trainees in Dadaab was a challenging endeavor.</w:t>
      </w:r>
    </w:p>
    <w:p w14:paraId="7B493213" w14:textId="77777777" w:rsidR="00827483" w:rsidRPr="002B78F4" w:rsidRDefault="00827483" w:rsidP="00827483">
      <w:pPr>
        <w:jc w:val="both"/>
        <w:rPr>
          <w:rFonts w:ascii="Gill Sans MT" w:hAnsi="Gill Sans MT"/>
          <w:sz w:val="20"/>
          <w:szCs w:val="20"/>
        </w:rPr>
      </w:pPr>
    </w:p>
    <w:p w14:paraId="7C4D51E5" w14:textId="77777777" w:rsidR="00B21B04" w:rsidRPr="001D4DE4" w:rsidRDefault="00B21B04" w:rsidP="003A6010">
      <w:pPr>
        <w:pStyle w:val="Heading2"/>
      </w:pPr>
      <w:bookmarkStart w:id="41" w:name="_Toc419359876"/>
      <w:r w:rsidRPr="001D4DE4">
        <w:t>Lessons Learnt</w:t>
      </w:r>
      <w:bookmarkEnd w:id="41"/>
    </w:p>
    <w:p w14:paraId="22C8C4AB" w14:textId="6C835634" w:rsidR="003E4DCA" w:rsidRPr="003E4DCA" w:rsidRDefault="003E4DCA" w:rsidP="003E4DCA">
      <w:pPr>
        <w:pStyle w:val="ListParagraph"/>
        <w:numPr>
          <w:ilvl w:val="0"/>
          <w:numId w:val="22"/>
        </w:numPr>
        <w:jc w:val="both"/>
        <w:rPr>
          <w:rFonts w:ascii="Gill Sans MT" w:hAnsi="Gill Sans MT"/>
          <w:sz w:val="20"/>
          <w:szCs w:val="20"/>
        </w:rPr>
      </w:pPr>
      <w:r w:rsidRPr="003E4DCA">
        <w:rPr>
          <w:rFonts w:ascii="Gill Sans MT" w:hAnsi="Gill Sans MT"/>
          <w:b/>
          <w:i/>
          <w:sz w:val="20"/>
          <w:szCs w:val="20"/>
        </w:rPr>
        <w:t>Coordination with government institutions</w:t>
      </w:r>
      <w:r w:rsidRPr="003E4DCA">
        <w:rPr>
          <w:rFonts w:ascii="Gill Sans MT" w:hAnsi="Gill Sans MT"/>
          <w:b/>
          <w:sz w:val="20"/>
          <w:szCs w:val="20"/>
        </w:rPr>
        <w:t>:</w:t>
      </w:r>
      <w:r w:rsidRPr="003E4DCA">
        <w:rPr>
          <w:rFonts w:ascii="Gill Sans MT" w:hAnsi="Gill Sans MT"/>
          <w:sz w:val="20"/>
          <w:szCs w:val="20"/>
        </w:rPr>
        <w:t xml:space="preserve"> Engaging with relevant government institutions in the delivery of aid is critical to ensure transparency and accountability. Government involvement in project will help improve their visibility, confidence and leadership. However, this engagement can sometimes cause friction among government institutions if it’s not carefully handled. Notably, there was standoff between MORDA and Baidoa municipality over the selection of beneficiaries. The ministry has since been disbanded by new south west state president allegedly due to its rise in prominence and overstepping its mandate following complaints from other government agencies. Therefore, future programs should consider working with relevant government agencies as opposed to engaging a single institution. </w:t>
      </w:r>
    </w:p>
    <w:p w14:paraId="70A5DCFD" w14:textId="35A7A95D"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Rehabilitation of community infrastructure</w:t>
      </w:r>
      <w:r w:rsidRPr="007F4CAF">
        <w:rPr>
          <w:rFonts w:ascii="Gill Sans MT" w:hAnsi="Gill Sans MT"/>
          <w:sz w:val="20"/>
          <w:szCs w:val="20"/>
        </w:rPr>
        <w:t>: Most of the PBF program activities involved rehabilitation of roads through cash for work or food voucher. Considering the road condition sometimes using beneficiaries only might not be ideal due to the limited technical capacity. The study found ILO engaged a local contractor that provided machinery and expertise to complement beneficiaries’ efforts. This collaborative effort produced quality work that is deemed sustainable. This approach provides useful lesson that using beneficiaries only to undertake road rehabilitation without using appropriate machines and knowledge might not produce desired results.</w:t>
      </w:r>
    </w:p>
    <w:p w14:paraId="117110A2" w14:textId="508AE2E6"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Feedback mechanism</w:t>
      </w:r>
      <w:r w:rsidRPr="007F4CAF">
        <w:rPr>
          <w:rFonts w:ascii="Gill Sans MT" w:hAnsi="Gill Sans MT"/>
          <w:sz w:val="20"/>
          <w:szCs w:val="20"/>
        </w:rPr>
        <w:t>: Embedding effective feedback mechanism in the design of project is a critical component that will improve accountability, transparency, monitoring and evaluation and making appropriate changes in real-time. The study found only a few of the PUNOs provided hotlines to its beneficiaries, however, interview with some of the beneficiaries revealed that they were either not aware of it or did not know how to use it. Therefore, providing hotlines to beneficiaries was not enough without creating awareness on its usage to promote ownership, transparency and accountability without fearing of reprisals.</w:t>
      </w:r>
    </w:p>
    <w:p w14:paraId="132ABCCC" w14:textId="5359C645"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Community consultation:</w:t>
      </w:r>
      <w:r w:rsidRPr="007F4CAF">
        <w:rPr>
          <w:rFonts w:ascii="Gill Sans MT" w:hAnsi="Gill Sans MT"/>
          <w:sz w:val="20"/>
          <w:szCs w:val="20"/>
        </w:rPr>
        <w:t xml:space="preserve"> Local consultations with actors and groups in the targeted population prior to project design often provides useful information on priority needs of the communities that can inform programing.  The study found the priority needs especially of returnees supported through the project were somewhat different from own priorities which included; start-up capital, schools, health facilities, markets, water and shelter. Thus, there is need to undertake needs assessment prior to project design to inform programing.</w:t>
      </w:r>
    </w:p>
    <w:p w14:paraId="4513C669" w14:textId="5AC98243"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External factors should be considered in the design of the project</w:t>
      </w:r>
      <w:r w:rsidRPr="007F4CAF">
        <w:rPr>
          <w:rFonts w:ascii="Gill Sans MT" w:hAnsi="Gill Sans MT"/>
          <w:sz w:val="20"/>
          <w:szCs w:val="20"/>
        </w:rPr>
        <w:t xml:space="preserve">: Designing project should consider prevailing conditions such as security, drought and clan relations because some of these factors have a bearing on delivery as well as sustainability of the project. For instance, the study noted although some of the beneficiaries farmers and livestock encountered challenges such as insecurity due to Al-Shabab presence, reported GBV and kidnaping as well reported severe drought that depleted resources such as water and grass. </w:t>
      </w:r>
    </w:p>
    <w:p w14:paraId="44C5B0EE" w14:textId="746A88CF"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Strengthening existing infrastructure is ideal:</w:t>
      </w:r>
      <w:r w:rsidRPr="007F4CAF">
        <w:rPr>
          <w:rFonts w:ascii="Gill Sans MT" w:hAnsi="Gill Sans MT"/>
          <w:sz w:val="20"/>
          <w:szCs w:val="20"/>
        </w:rPr>
        <w:t xml:space="preserve"> The study found UNHCR’s PBF program built five classrooms and concrete fence a public school in Baidoa. Due to improved conditions there has been an increase in school enrolment of children mainly from IDPs and returnees. Besides, IOMs rehabilitated Isha police in Baidoa was described to have enhanced the capacity of the facility security personnel to provide service. </w:t>
      </w:r>
      <w:r w:rsidRPr="007F4CAF">
        <w:rPr>
          <w:rFonts w:ascii="Gill Sans MT" w:hAnsi="Gill Sans MT"/>
          <w:sz w:val="20"/>
          <w:szCs w:val="20"/>
        </w:rPr>
        <w:lastRenderedPageBreak/>
        <w:t>Further, the rehabilitation of over 35 KM roads by different organizations across Baidoa city was also applauded to have enhanced accessibility within camps and improved transport system. Therefore this is a good initiative that improves the conditions of the existing infrastructure as opposed to building new facilities.</w:t>
      </w:r>
    </w:p>
    <w:p w14:paraId="7351CA4E" w14:textId="396A5AF4"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Coordination with partners and INGOs is critical</w:t>
      </w:r>
      <w:r w:rsidRPr="007F4CAF">
        <w:rPr>
          <w:rFonts w:ascii="Gill Sans MT" w:hAnsi="Gill Sans MT"/>
          <w:sz w:val="20"/>
          <w:szCs w:val="20"/>
        </w:rPr>
        <w:t>: The study noted although there was a good coordination among the PUNOs however, there was weak coordination with other international organizations involved in stabilization programs. Information sharing in cluster meetings and sharing information with seen as a challenge during the project implementation. This can be remedied by engaging and sharing relevant information with ministries to prevent potential overlap and duplication.</w:t>
      </w:r>
    </w:p>
    <w:p w14:paraId="23CAF65E" w14:textId="4A38D5EA" w:rsidR="003E4DCA" w:rsidRPr="007F4CAF" w:rsidRDefault="003E4DCA" w:rsidP="007F4CAF">
      <w:pPr>
        <w:pStyle w:val="ListParagraph"/>
        <w:numPr>
          <w:ilvl w:val="0"/>
          <w:numId w:val="22"/>
        </w:numPr>
        <w:jc w:val="both"/>
        <w:rPr>
          <w:rFonts w:ascii="Gill Sans MT" w:hAnsi="Gill Sans MT"/>
          <w:sz w:val="20"/>
          <w:szCs w:val="20"/>
        </w:rPr>
      </w:pPr>
      <w:r w:rsidRPr="007F4CAF">
        <w:rPr>
          <w:rFonts w:ascii="Gill Sans MT" w:hAnsi="Gill Sans MT"/>
          <w:b/>
          <w:i/>
          <w:sz w:val="20"/>
          <w:szCs w:val="20"/>
        </w:rPr>
        <w:t>Handover ceremonies should be held upon completion of projects:</w:t>
      </w:r>
      <w:r w:rsidRPr="007F4CAF">
        <w:rPr>
          <w:rFonts w:ascii="Gill Sans MT" w:hAnsi="Gill Sans MT"/>
          <w:sz w:val="20"/>
          <w:szCs w:val="20"/>
        </w:rPr>
        <w:t xml:space="preserve"> Integrating exit strategy in project design is critical. This will enable agencies to organize hand over ceremonies of the project activities after completion as a way to enhance ownership, increases government visibility, sustainability and transfer of responsibilities.</w:t>
      </w:r>
      <w:r w:rsidRPr="003B1CED">
        <w:t xml:space="preserve"> </w:t>
      </w:r>
      <w:r w:rsidRPr="007F4CAF">
        <w:rPr>
          <w:rFonts w:ascii="Gill Sans MT" w:hAnsi="Gill Sans MT"/>
          <w:sz w:val="20"/>
          <w:szCs w:val="20"/>
        </w:rPr>
        <w:t xml:space="preserve">Although a few PUNOs such as WFP organized handover ceremonies for its project activities, according to MORDA not all the projects were handed over to the ministry upon completion.  Therefore, future projects should consider including handing over ceremonies to help the government showcase development initiatives. </w:t>
      </w:r>
    </w:p>
    <w:p w14:paraId="642C9CFE" w14:textId="77777777" w:rsidR="001D4DE4" w:rsidRDefault="001D4DE4" w:rsidP="001D4DE4">
      <w:pPr>
        <w:ind w:left="360"/>
        <w:jc w:val="both"/>
        <w:rPr>
          <w:rFonts w:ascii="Gill Sans MT" w:hAnsi="Gill Sans MT"/>
          <w:sz w:val="20"/>
          <w:szCs w:val="20"/>
        </w:rPr>
        <w:sectPr w:rsidR="001D4DE4" w:rsidSect="00117C8B">
          <w:pgSz w:w="12240" w:h="15840"/>
          <w:pgMar w:top="1440" w:right="1440" w:bottom="1440" w:left="1440" w:header="720" w:footer="720" w:gutter="0"/>
          <w:pgNumType w:fmt="numberInDash"/>
          <w:cols w:space="720"/>
          <w:docGrid w:linePitch="360"/>
        </w:sectPr>
      </w:pPr>
    </w:p>
    <w:p w14:paraId="5308BC45" w14:textId="529B7C40" w:rsidR="001706A2" w:rsidRPr="001D4DE4" w:rsidRDefault="001706A2" w:rsidP="00EA7389">
      <w:pPr>
        <w:pStyle w:val="Heading1"/>
        <w:pBdr>
          <w:bottom w:val="single" w:sz="18" w:space="1" w:color="00B0F0"/>
        </w:pBdr>
      </w:pPr>
      <w:bookmarkStart w:id="42" w:name="_Toc419359877"/>
      <w:r w:rsidRPr="001D4DE4">
        <w:lastRenderedPageBreak/>
        <w:t>Conclusion and Recommendation</w:t>
      </w:r>
      <w:bookmarkEnd w:id="42"/>
    </w:p>
    <w:p w14:paraId="689DC79C" w14:textId="297B3331" w:rsidR="001D4DE4" w:rsidRDefault="001D4DE4" w:rsidP="003A6010">
      <w:pPr>
        <w:pStyle w:val="Heading2"/>
      </w:pPr>
      <w:bookmarkStart w:id="43" w:name="_Toc419359878"/>
      <w:r w:rsidRPr="003A6010">
        <w:t>Conclusion</w:t>
      </w:r>
      <w:bookmarkEnd w:id="43"/>
      <w:r>
        <w:t xml:space="preserve"> </w:t>
      </w:r>
    </w:p>
    <w:p w14:paraId="112B7D22" w14:textId="1A87DA35" w:rsidR="001706A2" w:rsidRDefault="00A37274" w:rsidP="00230515">
      <w:pPr>
        <w:spacing w:line="276" w:lineRule="auto"/>
        <w:jc w:val="both"/>
        <w:rPr>
          <w:rFonts w:ascii="Gill Sans MT" w:eastAsia="Yu Gothic Light" w:hAnsi="Gill Sans MT"/>
          <w:b/>
          <w:bCs/>
          <w:color w:val="5B9BD5"/>
          <w:sz w:val="20"/>
          <w:szCs w:val="20"/>
        </w:rPr>
      </w:pPr>
      <w:r>
        <w:rPr>
          <w:rFonts w:ascii="Gill Sans MT" w:hAnsi="Gill Sans MT" w:cs="Arial"/>
          <w:sz w:val="20"/>
          <w:szCs w:val="20"/>
        </w:rPr>
        <w:t xml:space="preserve">The evaluation study conducted on the Peace Building Fund implemented by multi-donor agencies in </w:t>
      </w:r>
      <w:r w:rsidR="003A3D76">
        <w:rPr>
          <w:rFonts w:ascii="Gill Sans MT" w:hAnsi="Gill Sans MT" w:cs="Arial"/>
          <w:sz w:val="20"/>
          <w:szCs w:val="20"/>
        </w:rPr>
        <w:t>Dadaab</w:t>
      </w:r>
      <w:r>
        <w:rPr>
          <w:rFonts w:ascii="Gill Sans MT" w:hAnsi="Gill Sans MT" w:cs="Arial"/>
          <w:sz w:val="20"/>
          <w:szCs w:val="20"/>
        </w:rPr>
        <w:t xml:space="preserve"> refugee camp in Kenya and Baidoa district in South west state of Somalia. The program funded numerous </w:t>
      </w:r>
      <w:r w:rsidR="00297FFE">
        <w:rPr>
          <w:rFonts w:ascii="Gill Sans MT" w:hAnsi="Gill Sans MT" w:cs="Arial"/>
          <w:sz w:val="20"/>
          <w:szCs w:val="20"/>
        </w:rPr>
        <w:t>projects</w:t>
      </w:r>
      <w:r>
        <w:rPr>
          <w:rFonts w:ascii="Gill Sans MT" w:hAnsi="Gill Sans MT" w:cs="Arial"/>
          <w:sz w:val="20"/>
          <w:szCs w:val="20"/>
        </w:rPr>
        <w:t xml:space="preserve"> that were implemented by FAO, UNICEF, WFP, UNHCR, ILO and IOM in partnership with local partners. T</w:t>
      </w:r>
      <w:r w:rsidR="00297FFE">
        <w:rPr>
          <w:rFonts w:ascii="Gill Sans MT" w:hAnsi="Gill Sans MT" w:cs="Arial"/>
          <w:sz w:val="20"/>
          <w:szCs w:val="20"/>
        </w:rPr>
        <w:t>he projects implemented targeted voluntary returnees, IDPs and host communities. The activities delivered through the program including</w:t>
      </w:r>
      <w:r>
        <w:rPr>
          <w:rFonts w:ascii="Gill Sans MT" w:hAnsi="Gill Sans MT" w:cs="Arial"/>
          <w:sz w:val="20"/>
          <w:szCs w:val="20"/>
        </w:rPr>
        <w:t xml:space="preserve"> trainings on peace building activities, vocational </w:t>
      </w:r>
      <w:r w:rsidR="00297FFE">
        <w:rPr>
          <w:rFonts w:ascii="Gill Sans MT" w:hAnsi="Gill Sans MT" w:cs="Arial"/>
          <w:sz w:val="20"/>
          <w:szCs w:val="20"/>
        </w:rPr>
        <w:t xml:space="preserve">skills trainings, rehabilitation of community assets such as roads, schools and markets as wells as provided assets such as donkey carts, tool kits and farm inputs. Despite structural and environmental challenges the study found the PBF program largely achieved set objectives. The program contributed to community integration and community cohesion. The projects activities   </w:t>
      </w:r>
      <w:r>
        <w:rPr>
          <w:rFonts w:ascii="Gill Sans MT" w:hAnsi="Gill Sans MT" w:cs="Arial"/>
          <w:sz w:val="20"/>
          <w:szCs w:val="20"/>
        </w:rPr>
        <w:t xml:space="preserve">   </w:t>
      </w:r>
      <w:r w:rsidR="00297FFE">
        <w:rPr>
          <w:rFonts w:ascii="Gill Sans MT" w:hAnsi="Gill Sans MT" w:cs="Arial"/>
          <w:sz w:val="20"/>
          <w:szCs w:val="20"/>
        </w:rPr>
        <w:t xml:space="preserve">were found efficient, effective with a strong accountability in place. The </w:t>
      </w:r>
      <w:r w:rsidRPr="00B62036">
        <w:rPr>
          <w:rFonts w:ascii="Gill Sans MT" w:hAnsi="Gill Sans MT" w:cs="Arial"/>
          <w:sz w:val="20"/>
          <w:szCs w:val="20"/>
        </w:rPr>
        <w:t>impact of the different projects</w:t>
      </w:r>
      <w:r w:rsidR="00297FFE">
        <w:rPr>
          <w:rFonts w:ascii="Gill Sans MT" w:hAnsi="Gill Sans MT" w:cs="Arial"/>
          <w:sz w:val="20"/>
          <w:szCs w:val="20"/>
        </w:rPr>
        <w:t xml:space="preserve"> varied across the locations. Target beneficiaries reported improved household income as well increased access to </w:t>
      </w:r>
      <w:r w:rsidR="005A1F16">
        <w:rPr>
          <w:rFonts w:ascii="Gill Sans MT" w:hAnsi="Gill Sans MT" w:cs="Arial"/>
          <w:sz w:val="20"/>
          <w:szCs w:val="20"/>
        </w:rPr>
        <w:t xml:space="preserve">temporary cash. The study documents lessons learnt learned, challenges and </w:t>
      </w:r>
      <w:r w:rsidR="003A3D76">
        <w:rPr>
          <w:rFonts w:ascii="Gill Sans MT" w:hAnsi="Gill Sans MT" w:cs="Arial"/>
          <w:sz w:val="20"/>
          <w:szCs w:val="20"/>
        </w:rPr>
        <w:t>recommendations</w:t>
      </w:r>
      <w:r w:rsidR="005A1F16">
        <w:rPr>
          <w:rFonts w:ascii="Gill Sans MT" w:hAnsi="Gill Sans MT" w:cs="Arial"/>
          <w:sz w:val="20"/>
          <w:szCs w:val="20"/>
        </w:rPr>
        <w:t xml:space="preserve"> that would be useful for donors and provide insight for future programs. </w:t>
      </w:r>
      <w:r w:rsidRPr="00B62036">
        <w:rPr>
          <w:rFonts w:ascii="Gill Sans MT" w:hAnsi="Gill Sans MT" w:cs="Arial"/>
          <w:sz w:val="20"/>
          <w:szCs w:val="20"/>
        </w:rPr>
        <w:t xml:space="preserve"> </w:t>
      </w:r>
    </w:p>
    <w:p w14:paraId="6C8AC612" w14:textId="77777777" w:rsidR="00B21B04" w:rsidRPr="001D4DE4" w:rsidRDefault="00B21B04" w:rsidP="003A6010">
      <w:pPr>
        <w:pStyle w:val="Heading2"/>
      </w:pPr>
      <w:bookmarkStart w:id="44" w:name="_Toc419359879"/>
      <w:r w:rsidRPr="001D4DE4">
        <w:t>Recommendations</w:t>
      </w:r>
      <w:bookmarkEnd w:id="44"/>
    </w:p>
    <w:p w14:paraId="3D7BF4D0" w14:textId="03B5B166" w:rsidR="003E4DCA" w:rsidRPr="003E4DCA" w:rsidRDefault="003E4DCA" w:rsidP="003E4DCA">
      <w:pPr>
        <w:pStyle w:val="ListParagraph"/>
        <w:numPr>
          <w:ilvl w:val="0"/>
          <w:numId w:val="21"/>
        </w:numPr>
        <w:jc w:val="both"/>
        <w:rPr>
          <w:rFonts w:ascii="Gill Sans MT" w:hAnsi="Gill Sans MT" w:cs="Calibri"/>
          <w:color w:val="000000"/>
          <w:sz w:val="20"/>
          <w:szCs w:val="20"/>
        </w:rPr>
      </w:pPr>
      <w:r w:rsidRPr="003E4DCA">
        <w:rPr>
          <w:rFonts w:ascii="Gill Sans MT" w:hAnsi="Gill Sans MT" w:cs="Calibri"/>
          <w:b/>
          <w:i/>
          <w:color w:val="000000"/>
          <w:sz w:val="20"/>
          <w:szCs w:val="20"/>
        </w:rPr>
        <w:t>Beneficiary selection process:</w:t>
      </w:r>
      <w:r w:rsidRPr="003E4DCA">
        <w:rPr>
          <w:rFonts w:ascii="Gill Sans MT" w:hAnsi="Gill Sans MT" w:cs="Calibri"/>
          <w:color w:val="000000"/>
          <w:sz w:val="20"/>
          <w:szCs w:val="20"/>
        </w:rPr>
        <w:t xml:space="preserve"> The study noted agencies have selection criteria but used varied approaches in the selection of beneficiaries. The study recommends agencies to collaborate and use multiple approaches in targeting various community segments that includes using PRMN</w:t>
      </w:r>
      <w:r w:rsidRPr="001000C2">
        <w:rPr>
          <w:vertAlign w:val="superscript"/>
        </w:rPr>
        <w:footnoteReference w:id="15"/>
      </w:r>
      <w:r w:rsidRPr="003E4DCA">
        <w:rPr>
          <w:rFonts w:ascii="Gill Sans MT" w:hAnsi="Gill Sans MT" w:cs="Calibri"/>
          <w:color w:val="000000"/>
          <w:sz w:val="20"/>
          <w:szCs w:val="20"/>
        </w:rPr>
        <w:t xml:space="preserve"> in collaboration with local leadership and local administration while maintaining a clear oversight in the process to; i) prevent potential risks of bias and favoritism that would leave out marginalized groups; ii) prevent double registration of some beneficiaries that could end up benefiting from more than one project. </w:t>
      </w:r>
    </w:p>
    <w:p w14:paraId="576BAAD3" w14:textId="59FA515F" w:rsidR="003E4DCA" w:rsidRPr="003E4DCA" w:rsidRDefault="003E4DCA" w:rsidP="003E4DCA">
      <w:pPr>
        <w:pStyle w:val="ListParagraph"/>
        <w:numPr>
          <w:ilvl w:val="0"/>
          <w:numId w:val="21"/>
        </w:numPr>
        <w:jc w:val="both"/>
        <w:rPr>
          <w:rFonts w:ascii="Gill Sans MT" w:hAnsi="Gill Sans MT" w:cs="Calibri"/>
          <w:color w:val="000000"/>
          <w:sz w:val="20"/>
          <w:szCs w:val="20"/>
        </w:rPr>
      </w:pPr>
      <w:r w:rsidRPr="003E4DCA">
        <w:rPr>
          <w:rFonts w:ascii="Gill Sans MT" w:hAnsi="Gill Sans MT" w:cs="Calibri"/>
          <w:b/>
          <w:i/>
          <w:color w:val="000000"/>
          <w:sz w:val="20"/>
          <w:szCs w:val="20"/>
        </w:rPr>
        <w:t>Feedback Mechanism</w:t>
      </w:r>
      <w:r w:rsidRPr="003E4DCA">
        <w:rPr>
          <w:rFonts w:ascii="Gill Sans MT" w:hAnsi="Gill Sans MT" w:cs="Calibri"/>
          <w:i/>
          <w:color w:val="000000"/>
          <w:sz w:val="20"/>
          <w:szCs w:val="20"/>
        </w:rPr>
        <w:t>;</w:t>
      </w:r>
      <w:r w:rsidRPr="003E4DCA">
        <w:rPr>
          <w:rFonts w:ascii="Gill Sans MT" w:hAnsi="Gill Sans MT" w:cs="Calibri"/>
          <w:color w:val="000000"/>
          <w:sz w:val="20"/>
          <w:szCs w:val="20"/>
        </w:rPr>
        <w:t xml:space="preserve"> The study noted agencies have used different feedback mechanisms. For instance, agencies like WFP and FAO provided hotlines to the beneficiaries while ILO, IOM, UNICEF and UNHCR did not provide hotlines. The study notes the need to integrate feedback mechanism in future projects and create awareness among the beneficiaries to support accountability, transparency, empowerment, monitoring and evaluation, and programme improvement, and to provide early warning of impending problems. </w:t>
      </w:r>
    </w:p>
    <w:p w14:paraId="588543A2" w14:textId="7BEC9607" w:rsidR="003E4DCA" w:rsidRPr="003E4DCA" w:rsidRDefault="003E4DCA" w:rsidP="003E4DCA">
      <w:pPr>
        <w:pStyle w:val="ListParagraph"/>
        <w:numPr>
          <w:ilvl w:val="0"/>
          <w:numId w:val="21"/>
        </w:numPr>
        <w:jc w:val="both"/>
        <w:rPr>
          <w:rFonts w:ascii="Gill Sans MT" w:hAnsi="Gill Sans MT" w:cs="Calibri"/>
          <w:color w:val="000000"/>
          <w:sz w:val="20"/>
          <w:szCs w:val="20"/>
        </w:rPr>
      </w:pPr>
      <w:r w:rsidRPr="003E4DCA">
        <w:rPr>
          <w:rFonts w:ascii="Gill Sans MT" w:hAnsi="Gill Sans MT" w:cs="Calibri"/>
          <w:b/>
          <w:i/>
          <w:color w:val="000000"/>
          <w:sz w:val="20"/>
          <w:szCs w:val="20"/>
        </w:rPr>
        <w:t>Coordination among partners:</w:t>
      </w:r>
      <w:r w:rsidRPr="003E4DCA">
        <w:rPr>
          <w:rFonts w:ascii="Gill Sans MT" w:hAnsi="Gill Sans MT" w:cs="Calibri"/>
          <w:color w:val="000000"/>
          <w:sz w:val="20"/>
          <w:szCs w:val="20"/>
        </w:rPr>
        <w:t xml:space="preserve"> The study noted although there was effective coordination mechanism among the PUNOs and government agencies, however, timely information sharing among sub-cluster partners was seen as a challenge. The weak coordination between PUNOs and partners and other development agencies has resulted overlap of projects as in the case of the rehabilitation of Dr. Ayub stadium between IOM and ADESO that also received different funding to rehabilitate the same facility. Further the building of a full-fledged school by Save the Children in close proximity to TLS built by UNICEF has seen the closure of one of the centres in ADC 3. To prevent the recurrence of similar overlaps future programs should clear coordination mechanism within the donors and partners as well as with other international agencies. </w:t>
      </w:r>
    </w:p>
    <w:p w14:paraId="0B8075AC" w14:textId="21604C02" w:rsidR="003E4DCA" w:rsidRPr="003E4DCA" w:rsidRDefault="003E4DCA" w:rsidP="003E4DCA">
      <w:pPr>
        <w:pStyle w:val="ListParagraph"/>
        <w:numPr>
          <w:ilvl w:val="0"/>
          <w:numId w:val="21"/>
        </w:numPr>
        <w:jc w:val="both"/>
        <w:rPr>
          <w:rFonts w:ascii="Gill Sans MT" w:hAnsi="Gill Sans MT" w:cs="Calibri"/>
          <w:sz w:val="20"/>
          <w:szCs w:val="20"/>
        </w:rPr>
      </w:pPr>
      <w:r w:rsidRPr="003E4DCA">
        <w:rPr>
          <w:rFonts w:ascii="Gill Sans MT" w:hAnsi="Gill Sans MT" w:cs="Calibri"/>
          <w:b/>
          <w:i/>
          <w:sz w:val="20"/>
          <w:szCs w:val="20"/>
        </w:rPr>
        <w:t>Community prioritization in the design of the project</w:t>
      </w:r>
      <w:r w:rsidRPr="003E4DCA">
        <w:rPr>
          <w:rFonts w:ascii="Gill Sans MT" w:hAnsi="Gill Sans MT" w:cs="Calibri"/>
          <w:sz w:val="20"/>
          <w:szCs w:val="20"/>
        </w:rPr>
        <w:t>: I</w:t>
      </w:r>
      <w:r w:rsidRPr="003E4DCA">
        <w:rPr>
          <w:rFonts w:ascii="Gill Sans MT" w:hAnsi="Gill Sans MT" w:cs="Calibri"/>
          <w:color w:val="000000"/>
          <w:sz w:val="20"/>
          <w:szCs w:val="20"/>
        </w:rPr>
        <w:t xml:space="preserve">nterviews with respondents indicated that although PBF projects provided temporary access to cash, food, assets and vocational skills trainings however, they cited they were not asked about their priority needs. For instance, FAO’s provision of agricultural inputs provided ‘foreign’ seeds (i.e. Amaranthus seeds, Ethiopian Mustard) failed to grow as opposed to providing indigenous seeds such as Maize. Besides, five of the 6 facilities constructed through UNICEF’s PBF supported education were found operational but they had few teachers, the classes were overcrowded and students did not have learning materials. Besides, the construction of shallow wells by UNHCR and WFP in IDP settlement in Baidoa was described as not effective approach to address water scarcity as prospect of getting water faded </w:t>
      </w:r>
      <w:r w:rsidRPr="003E4DCA">
        <w:rPr>
          <w:rFonts w:ascii="Gill Sans MT" w:hAnsi="Gill Sans MT" w:cs="Calibri"/>
          <w:color w:val="000000"/>
          <w:sz w:val="20"/>
          <w:szCs w:val="20"/>
        </w:rPr>
        <w:lastRenderedPageBreak/>
        <w:t xml:space="preserve">citing such activity required the use of heavy machines for drilling. Based on these feedbacks, future programs should enhance consultations </w:t>
      </w:r>
      <w:r w:rsidRPr="003E4DCA">
        <w:rPr>
          <w:rFonts w:ascii="Gill Sans MT" w:hAnsi="Gill Sans MT" w:cs="Calibri"/>
          <w:sz w:val="20"/>
          <w:szCs w:val="20"/>
        </w:rPr>
        <w:t>with targeted populations through conducting baselines or needs assessments to inform the design of the projects.</w:t>
      </w:r>
    </w:p>
    <w:p w14:paraId="5A2EF677" w14:textId="667B1174" w:rsidR="003E4DCA" w:rsidRPr="003E4DCA" w:rsidRDefault="003E4DCA" w:rsidP="003E4DCA">
      <w:pPr>
        <w:pStyle w:val="ListParagraph"/>
        <w:numPr>
          <w:ilvl w:val="0"/>
          <w:numId w:val="21"/>
        </w:numPr>
        <w:jc w:val="both"/>
        <w:rPr>
          <w:rFonts w:ascii="Gill Sans MT" w:hAnsi="Gill Sans MT" w:cs="Calibri"/>
          <w:sz w:val="20"/>
          <w:szCs w:val="20"/>
        </w:rPr>
      </w:pPr>
      <w:r w:rsidRPr="003E4DCA">
        <w:rPr>
          <w:rFonts w:ascii="Gill Sans MT" w:hAnsi="Gill Sans MT" w:cs="Calibri"/>
          <w:b/>
          <w:i/>
          <w:sz w:val="20"/>
          <w:szCs w:val="20"/>
        </w:rPr>
        <w:t>Completion of the remaining project activities:</w:t>
      </w:r>
      <w:r w:rsidRPr="003E4DCA">
        <w:rPr>
          <w:rFonts w:ascii="Gill Sans MT" w:hAnsi="Gill Sans MT" w:cs="Calibri"/>
          <w:sz w:val="20"/>
          <w:szCs w:val="20"/>
        </w:rPr>
        <w:t xml:space="preserve"> The study noted some activities of the IOM’s PBF projects were not implemented due local government interference, therefore there is need to speed up the rehabilitation of the</w:t>
      </w:r>
      <w:r w:rsidRPr="003E4DCA">
        <w:rPr>
          <w:rFonts w:ascii="Gill Sans MT" w:hAnsi="Gill Sans MT" w:cs="Calibri"/>
          <w:b/>
          <w:sz w:val="20"/>
          <w:szCs w:val="20"/>
        </w:rPr>
        <w:t xml:space="preserve"> </w:t>
      </w:r>
      <w:r w:rsidRPr="003E4DCA">
        <w:rPr>
          <w:rFonts w:ascii="Gill Sans MT" w:hAnsi="Gill Sans MT" w:cs="Calibri"/>
          <w:sz w:val="20"/>
          <w:szCs w:val="20"/>
        </w:rPr>
        <w:t xml:space="preserve">Kerowfogi Bridge and Dr. Ayuub stadium. </w:t>
      </w:r>
    </w:p>
    <w:p w14:paraId="56B208CC" w14:textId="513A1BA0" w:rsidR="003E4DCA" w:rsidRPr="003E4DCA" w:rsidRDefault="003E4DCA" w:rsidP="003E4DCA">
      <w:pPr>
        <w:pStyle w:val="ListParagraph"/>
        <w:numPr>
          <w:ilvl w:val="0"/>
          <w:numId w:val="21"/>
        </w:numPr>
        <w:jc w:val="both"/>
        <w:rPr>
          <w:rFonts w:ascii="Gill Sans MT" w:hAnsi="Gill Sans MT" w:cs="Calibri"/>
          <w:sz w:val="20"/>
          <w:szCs w:val="20"/>
        </w:rPr>
      </w:pPr>
      <w:r w:rsidRPr="003E4DCA">
        <w:rPr>
          <w:rFonts w:ascii="Gill Sans MT" w:hAnsi="Gill Sans MT" w:cs="Calibri"/>
          <w:b/>
          <w:i/>
          <w:sz w:val="20"/>
          <w:szCs w:val="20"/>
        </w:rPr>
        <w:t>Returnee Orientation and provision of start-up kits:</w:t>
      </w:r>
      <w:r w:rsidRPr="003E4DCA">
        <w:rPr>
          <w:rFonts w:ascii="Gill Sans MT" w:hAnsi="Gill Sans MT" w:cs="Calibri"/>
          <w:sz w:val="20"/>
          <w:szCs w:val="20"/>
        </w:rPr>
        <w:t xml:space="preserve"> Given that majority of voluntary returnees are returning after being away for more than two decades there was little or no information about the socio-economic situation of the areas of return. Therefore, it’s recommended that UNHCR and partners should create awareness about available business opportunities, social amenities (schools, hospitals and water points), exchange rates (dollars to Somali Shilling), and commodity prices before leaving Dadaab. </w:t>
      </w:r>
    </w:p>
    <w:p w14:paraId="0D59F842" w14:textId="2C7618C1" w:rsidR="00B52856" w:rsidRDefault="00B52856" w:rsidP="00B52856">
      <w:pPr>
        <w:jc w:val="both"/>
        <w:rPr>
          <w:rFonts w:ascii="Gill Sans MT" w:eastAsia="Yu Gothic Light" w:hAnsi="Gill Sans MT"/>
          <w:b/>
          <w:bCs/>
          <w:color w:val="5B9BD5"/>
          <w:sz w:val="20"/>
          <w:szCs w:val="20"/>
        </w:rPr>
      </w:pPr>
    </w:p>
    <w:p w14:paraId="3B55DBDC" w14:textId="77777777" w:rsidR="003E4DCA" w:rsidRDefault="003E4DCA" w:rsidP="00B52856">
      <w:pPr>
        <w:jc w:val="both"/>
        <w:rPr>
          <w:rFonts w:ascii="Gill Sans MT" w:eastAsia="Yu Gothic Light" w:hAnsi="Gill Sans MT"/>
          <w:b/>
          <w:bCs/>
          <w:color w:val="5B9BD5"/>
          <w:sz w:val="20"/>
          <w:szCs w:val="20"/>
        </w:rPr>
      </w:pPr>
    </w:p>
    <w:p w14:paraId="67E06089" w14:textId="77777777" w:rsidR="003E4DCA" w:rsidRDefault="003E4DCA" w:rsidP="00B52856">
      <w:pPr>
        <w:jc w:val="both"/>
        <w:rPr>
          <w:rFonts w:ascii="Gill Sans MT" w:eastAsia="Yu Gothic Light" w:hAnsi="Gill Sans MT"/>
          <w:b/>
          <w:bCs/>
          <w:color w:val="5B9BD5"/>
          <w:sz w:val="20"/>
          <w:szCs w:val="20"/>
        </w:rPr>
      </w:pPr>
    </w:p>
    <w:p w14:paraId="25E44AE7" w14:textId="77777777" w:rsidR="003E4DCA" w:rsidRDefault="003E4DCA" w:rsidP="00B52856">
      <w:pPr>
        <w:jc w:val="both"/>
        <w:rPr>
          <w:rFonts w:ascii="Gill Sans MT" w:eastAsia="Yu Gothic Light" w:hAnsi="Gill Sans MT"/>
          <w:b/>
          <w:bCs/>
          <w:color w:val="5B9BD5"/>
          <w:sz w:val="20"/>
          <w:szCs w:val="20"/>
        </w:rPr>
      </w:pPr>
    </w:p>
    <w:p w14:paraId="421A3F4F" w14:textId="77777777" w:rsidR="003E4DCA" w:rsidRDefault="003E4DCA" w:rsidP="00B52856">
      <w:pPr>
        <w:jc w:val="both"/>
        <w:rPr>
          <w:rFonts w:ascii="Gill Sans MT" w:eastAsia="Yu Gothic Light" w:hAnsi="Gill Sans MT"/>
          <w:b/>
          <w:bCs/>
          <w:color w:val="5B9BD5"/>
          <w:sz w:val="20"/>
          <w:szCs w:val="20"/>
        </w:rPr>
      </w:pPr>
    </w:p>
    <w:p w14:paraId="03FB86CE" w14:textId="77777777" w:rsidR="003E4DCA" w:rsidRPr="002B78F4" w:rsidRDefault="003E4DCA" w:rsidP="00B52856">
      <w:pPr>
        <w:jc w:val="both"/>
        <w:rPr>
          <w:rFonts w:ascii="Gill Sans MT" w:eastAsia="Yu Gothic Light" w:hAnsi="Gill Sans MT"/>
          <w:b/>
          <w:bCs/>
          <w:color w:val="5B9BD5"/>
          <w:sz w:val="20"/>
          <w:szCs w:val="20"/>
        </w:rPr>
      </w:pPr>
    </w:p>
    <w:p w14:paraId="517ECD24" w14:textId="77777777" w:rsidR="003A6010" w:rsidRDefault="003A6010" w:rsidP="00230515">
      <w:pPr>
        <w:pStyle w:val="Heading3"/>
        <w:jc w:val="both"/>
        <w:rPr>
          <w:rFonts w:ascii="Gill Sans MT" w:hAnsi="Gill Sans MT"/>
          <w:sz w:val="20"/>
          <w:szCs w:val="20"/>
        </w:rPr>
        <w:sectPr w:rsidR="003A6010" w:rsidSect="00117C8B">
          <w:pgSz w:w="12240" w:h="15840"/>
          <w:pgMar w:top="1440" w:right="1440" w:bottom="1440" w:left="1440" w:header="720" w:footer="720" w:gutter="0"/>
          <w:pgNumType w:fmt="numberInDash"/>
          <w:cols w:space="720"/>
          <w:docGrid w:linePitch="360"/>
        </w:sectPr>
      </w:pPr>
    </w:p>
    <w:p w14:paraId="475A724D" w14:textId="77777777" w:rsidR="00C55B7A" w:rsidRPr="00B21B04" w:rsidRDefault="00BC4369" w:rsidP="00EA7389">
      <w:pPr>
        <w:pStyle w:val="Heading1"/>
        <w:pBdr>
          <w:bottom w:val="single" w:sz="18" w:space="1" w:color="00B0F0"/>
        </w:pBdr>
      </w:pPr>
      <w:bookmarkStart w:id="45" w:name="_Toc419359880"/>
      <w:r w:rsidRPr="00B62036">
        <w:lastRenderedPageBreak/>
        <w:t>Annex</w:t>
      </w:r>
      <w:bookmarkEnd w:id="45"/>
    </w:p>
    <w:p w14:paraId="6BD63702" w14:textId="3AE98512" w:rsidR="009C6AA7" w:rsidRPr="00EA7389" w:rsidRDefault="00E512B5" w:rsidP="00EA7389">
      <w:pPr>
        <w:pStyle w:val="Heading2"/>
      </w:pPr>
      <w:bookmarkStart w:id="46" w:name="_Toc419359881"/>
      <w:r w:rsidRPr="00B21B04">
        <w:t>Data collection Tools</w:t>
      </w:r>
      <w:bookmarkEnd w:id="46"/>
      <w:r w:rsidRPr="00B21B04">
        <w:t xml:space="preserve"> </w:t>
      </w:r>
    </w:p>
    <w:tbl>
      <w:tblPr>
        <w:tblStyle w:val="TableGrid"/>
        <w:tblW w:w="0" w:type="auto"/>
        <w:tblLook w:val="04A0" w:firstRow="1" w:lastRow="0" w:firstColumn="1" w:lastColumn="0" w:noHBand="0" w:noVBand="1"/>
      </w:tblPr>
      <w:tblGrid>
        <w:gridCol w:w="738"/>
        <w:gridCol w:w="5646"/>
        <w:gridCol w:w="3192"/>
      </w:tblGrid>
      <w:tr w:rsidR="00791BFD" w:rsidRPr="00B62036" w14:paraId="6DF31704" w14:textId="77777777" w:rsidTr="00791BFD">
        <w:tc>
          <w:tcPr>
            <w:tcW w:w="738" w:type="dxa"/>
            <w:shd w:val="clear" w:color="auto" w:fill="D9D9D9" w:themeFill="background1" w:themeFillShade="D9"/>
          </w:tcPr>
          <w:p w14:paraId="140939D8" w14:textId="77777777" w:rsidR="00791BFD" w:rsidRPr="00B62036" w:rsidRDefault="00791BFD" w:rsidP="00230515">
            <w:pPr>
              <w:jc w:val="both"/>
              <w:rPr>
                <w:rFonts w:ascii="Gill Sans MT" w:hAnsi="Gill Sans MT"/>
                <w:b/>
                <w:sz w:val="20"/>
                <w:szCs w:val="20"/>
              </w:rPr>
            </w:pPr>
            <w:r w:rsidRPr="00B62036">
              <w:rPr>
                <w:rFonts w:ascii="Gill Sans MT" w:hAnsi="Gill Sans MT"/>
                <w:b/>
                <w:sz w:val="20"/>
                <w:szCs w:val="20"/>
              </w:rPr>
              <w:t>No</w:t>
            </w:r>
          </w:p>
        </w:tc>
        <w:tc>
          <w:tcPr>
            <w:tcW w:w="5646" w:type="dxa"/>
            <w:shd w:val="clear" w:color="auto" w:fill="D9D9D9" w:themeFill="background1" w:themeFillShade="D9"/>
          </w:tcPr>
          <w:p w14:paraId="40FCDF85" w14:textId="77777777" w:rsidR="00791BFD" w:rsidRPr="00B62036" w:rsidRDefault="00791BFD" w:rsidP="00230515">
            <w:pPr>
              <w:jc w:val="both"/>
              <w:rPr>
                <w:rFonts w:ascii="Gill Sans MT" w:hAnsi="Gill Sans MT"/>
                <w:b/>
                <w:sz w:val="20"/>
                <w:szCs w:val="20"/>
              </w:rPr>
            </w:pPr>
            <w:r w:rsidRPr="00B62036">
              <w:rPr>
                <w:rFonts w:ascii="Gill Sans MT" w:hAnsi="Gill Sans MT"/>
                <w:b/>
                <w:sz w:val="20"/>
                <w:szCs w:val="20"/>
              </w:rPr>
              <w:t>List of Tools</w:t>
            </w:r>
          </w:p>
        </w:tc>
        <w:tc>
          <w:tcPr>
            <w:tcW w:w="3192" w:type="dxa"/>
            <w:shd w:val="clear" w:color="auto" w:fill="D9D9D9" w:themeFill="background1" w:themeFillShade="D9"/>
          </w:tcPr>
          <w:p w14:paraId="4017D92B" w14:textId="77777777" w:rsidR="00791BFD" w:rsidRPr="00B62036" w:rsidRDefault="00791BFD" w:rsidP="00230515">
            <w:pPr>
              <w:jc w:val="both"/>
              <w:rPr>
                <w:rFonts w:ascii="Gill Sans MT" w:hAnsi="Gill Sans MT"/>
                <w:b/>
                <w:sz w:val="20"/>
                <w:szCs w:val="20"/>
              </w:rPr>
            </w:pPr>
            <w:r w:rsidRPr="00B62036">
              <w:rPr>
                <w:rFonts w:ascii="Gill Sans MT" w:hAnsi="Gill Sans MT"/>
                <w:b/>
                <w:sz w:val="20"/>
                <w:szCs w:val="20"/>
              </w:rPr>
              <w:t xml:space="preserve">Attachment </w:t>
            </w:r>
          </w:p>
        </w:tc>
      </w:tr>
      <w:tr w:rsidR="00791BFD" w:rsidRPr="00B62036" w14:paraId="4C77488A" w14:textId="77777777" w:rsidTr="00791BFD">
        <w:tc>
          <w:tcPr>
            <w:tcW w:w="738" w:type="dxa"/>
          </w:tcPr>
          <w:p w14:paraId="21C6F0D6" w14:textId="77777777" w:rsidR="00791BFD" w:rsidRPr="00B62036" w:rsidRDefault="00791BFD" w:rsidP="00230515">
            <w:pPr>
              <w:pStyle w:val="ListParagraph"/>
              <w:numPr>
                <w:ilvl w:val="0"/>
                <w:numId w:val="3"/>
              </w:numPr>
              <w:jc w:val="both"/>
              <w:rPr>
                <w:rFonts w:ascii="Gill Sans MT" w:hAnsi="Gill Sans MT"/>
                <w:sz w:val="20"/>
                <w:szCs w:val="20"/>
              </w:rPr>
            </w:pPr>
          </w:p>
        </w:tc>
        <w:tc>
          <w:tcPr>
            <w:tcW w:w="5646" w:type="dxa"/>
          </w:tcPr>
          <w:p w14:paraId="6812094C" w14:textId="77777777" w:rsidR="00791BFD" w:rsidRPr="00B62036" w:rsidRDefault="00791BFD" w:rsidP="00230515">
            <w:pPr>
              <w:jc w:val="both"/>
              <w:rPr>
                <w:rFonts w:ascii="Gill Sans MT" w:hAnsi="Gill Sans MT"/>
                <w:sz w:val="20"/>
                <w:szCs w:val="20"/>
              </w:rPr>
            </w:pPr>
            <w:r w:rsidRPr="00B62036">
              <w:rPr>
                <w:rFonts w:ascii="Gill Sans MT" w:hAnsi="Gill Sans MT"/>
                <w:sz w:val="20"/>
                <w:szCs w:val="20"/>
              </w:rPr>
              <w:t>Survey questionnaire for Host communities and Returnees</w:t>
            </w:r>
          </w:p>
        </w:tc>
        <w:tc>
          <w:tcPr>
            <w:tcW w:w="3192" w:type="dxa"/>
          </w:tcPr>
          <w:p w14:paraId="16FB945C" w14:textId="4A62C421" w:rsidR="00791BFD" w:rsidRPr="00B62036" w:rsidRDefault="00CF397D" w:rsidP="00230515">
            <w:pPr>
              <w:jc w:val="both"/>
              <w:rPr>
                <w:rFonts w:ascii="Gill Sans MT" w:hAnsi="Gill Sans MT"/>
                <w:sz w:val="20"/>
                <w:szCs w:val="20"/>
              </w:rPr>
            </w:pPr>
            <w:bookmarkStart w:id="47" w:name="_MON_1612076277"/>
            <w:bookmarkEnd w:id="47"/>
            <w:r>
              <w:rPr>
                <w:rFonts w:ascii="Gill Sans MT" w:hAnsi="Gill Sans MT"/>
                <w:noProof/>
                <w:sz w:val="20"/>
                <w:szCs w:val="20"/>
              </w:rPr>
              <w:drawing>
                <wp:inline distT="0" distB="0" distL="0" distR="0" wp14:anchorId="3E3A278A" wp14:editId="13C6BD8F">
                  <wp:extent cx="949325" cy="58166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r w:rsidR="00791BFD" w:rsidRPr="00B62036" w14:paraId="4CA2A41C" w14:textId="77777777" w:rsidTr="00791BFD">
        <w:tc>
          <w:tcPr>
            <w:tcW w:w="738" w:type="dxa"/>
          </w:tcPr>
          <w:p w14:paraId="1726BC0A" w14:textId="77777777" w:rsidR="00791BFD" w:rsidRPr="00B62036" w:rsidRDefault="00791BFD" w:rsidP="00230515">
            <w:pPr>
              <w:pStyle w:val="ListParagraph"/>
              <w:numPr>
                <w:ilvl w:val="0"/>
                <w:numId w:val="3"/>
              </w:numPr>
              <w:jc w:val="both"/>
              <w:rPr>
                <w:rFonts w:ascii="Gill Sans MT" w:hAnsi="Gill Sans MT"/>
                <w:sz w:val="20"/>
                <w:szCs w:val="20"/>
              </w:rPr>
            </w:pPr>
          </w:p>
        </w:tc>
        <w:tc>
          <w:tcPr>
            <w:tcW w:w="5646" w:type="dxa"/>
          </w:tcPr>
          <w:p w14:paraId="4408804F" w14:textId="77777777" w:rsidR="00791BFD" w:rsidRPr="00B62036" w:rsidRDefault="00791BFD" w:rsidP="00230515">
            <w:pPr>
              <w:jc w:val="both"/>
              <w:rPr>
                <w:rFonts w:ascii="Gill Sans MT" w:hAnsi="Gill Sans MT"/>
                <w:sz w:val="20"/>
                <w:szCs w:val="20"/>
              </w:rPr>
            </w:pPr>
            <w:r w:rsidRPr="00B62036">
              <w:rPr>
                <w:rFonts w:ascii="Gill Sans MT" w:hAnsi="Gill Sans MT"/>
                <w:sz w:val="20"/>
                <w:szCs w:val="20"/>
              </w:rPr>
              <w:t>FGD Guide for project Beneficiary Returnees in Baidoa</w:t>
            </w:r>
          </w:p>
        </w:tc>
        <w:tc>
          <w:tcPr>
            <w:tcW w:w="3192" w:type="dxa"/>
          </w:tcPr>
          <w:p w14:paraId="152F24C7" w14:textId="443EAA6F" w:rsidR="00791BFD" w:rsidRPr="00B62036" w:rsidRDefault="00CF397D" w:rsidP="00230515">
            <w:pPr>
              <w:jc w:val="both"/>
              <w:rPr>
                <w:rFonts w:ascii="Gill Sans MT" w:hAnsi="Gill Sans MT"/>
                <w:sz w:val="20"/>
                <w:szCs w:val="20"/>
              </w:rPr>
            </w:pPr>
            <w:bookmarkStart w:id="48" w:name="_MON_1612076562"/>
            <w:bookmarkEnd w:id="48"/>
            <w:r>
              <w:rPr>
                <w:rFonts w:ascii="Gill Sans MT" w:hAnsi="Gill Sans MT"/>
                <w:noProof/>
                <w:sz w:val="20"/>
                <w:szCs w:val="20"/>
              </w:rPr>
              <w:drawing>
                <wp:inline distT="0" distB="0" distL="0" distR="0" wp14:anchorId="580BB0A6" wp14:editId="3844D8D1">
                  <wp:extent cx="949325" cy="581660"/>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r w:rsidR="00BE7542" w:rsidRPr="00B62036" w14:paraId="42C63474" w14:textId="77777777" w:rsidTr="00791BFD">
        <w:tc>
          <w:tcPr>
            <w:tcW w:w="738" w:type="dxa"/>
          </w:tcPr>
          <w:p w14:paraId="167E9A65" w14:textId="77777777" w:rsidR="00BE7542" w:rsidRPr="00B62036" w:rsidRDefault="00BE7542" w:rsidP="00230515">
            <w:pPr>
              <w:pStyle w:val="ListParagraph"/>
              <w:numPr>
                <w:ilvl w:val="0"/>
                <w:numId w:val="3"/>
              </w:numPr>
              <w:jc w:val="both"/>
              <w:rPr>
                <w:rFonts w:ascii="Gill Sans MT" w:hAnsi="Gill Sans MT"/>
                <w:sz w:val="20"/>
                <w:szCs w:val="20"/>
              </w:rPr>
            </w:pPr>
          </w:p>
        </w:tc>
        <w:tc>
          <w:tcPr>
            <w:tcW w:w="5646" w:type="dxa"/>
          </w:tcPr>
          <w:p w14:paraId="11F5CE77" w14:textId="77777777" w:rsidR="00BE7542" w:rsidRPr="00B62036" w:rsidRDefault="00BE7542" w:rsidP="00230515">
            <w:pPr>
              <w:jc w:val="both"/>
              <w:rPr>
                <w:rFonts w:ascii="Gill Sans MT" w:hAnsi="Gill Sans MT"/>
                <w:sz w:val="20"/>
                <w:szCs w:val="20"/>
              </w:rPr>
            </w:pPr>
            <w:r w:rsidRPr="00B62036">
              <w:rPr>
                <w:rFonts w:ascii="Gill Sans MT" w:hAnsi="Gill Sans MT"/>
                <w:sz w:val="20"/>
                <w:szCs w:val="20"/>
              </w:rPr>
              <w:t>FGD Guide for project Beneficiary IDPs in Baidoa</w:t>
            </w:r>
          </w:p>
        </w:tc>
        <w:tc>
          <w:tcPr>
            <w:tcW w:w="3192" w:type="dxa"/>
          </w:tcPr>
          <w:p w14:paraId="1DFE606F" w14:textId="6B78C341" w:rsidR="00BE7542" w:rsidRPr="00B62036" w:rsidRDefault="00CF397D" w:rsidP="00230515">
            <w:pPr>
              <w:jc w:val="both"/>
              <w:rPr>
                <w:rFonts w:ascii="Gill Sans MT" w:hAnsi="Gill Sans MT"/>
                <w:sz w:val="20"/>
                <w:szCs w:val="20"/>
              </w:rPr>
            </w:pPr>
            <w:bookmarkStart w:id="49" w:name="_MON_1612076522"/>
            <w:bookmarkEnd w:id="49"/>
            <w:r>
              <w:rPr>
                <w:rFonts w:ascii="Gill Sans MT" w:hAnsi="Gill Sans MT"/>
                <w:noProof/>
                <w:sz w:val="20"/>
                <w:szCs w:val="20"/>
              </w:rPr>
              <w:drawing>
                <wp:inline distT="0" distB="0" distL="0" distR="0" wp14:anchorId="5384B023" wp14:editId="234D6718">
                  <wp:extent cx="949325" cy="581660"/>
                  <wp:effectExtent l="0" t="0" r="317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r w:rsidR="00791BFD" w:rsidRPr="00B62036" w14:paraId="449C9192" w14:textId="77777777" w:rsidTr="00791BFD">
        <w:tc>
          <w:tcPr>
            <w:tcW w:w="738" w:type="dxa"/>
          </w:tcPr>
          <w:p w14:paraId="48D70D79" w14:textId="77777777" w:rsidR="00791BFD" w:rsidRPr="00B62036" w:rsidRDefault="00791BFD" w:rsidP="00230515">
            <w:pPr>
              <w:pStyle w:val="ListParagraph"/>
              <w:numPr>
                <w:ilvl w:val="0"/>
                <w:numId w:val="3"/>
              </w:numPr>
              <w:jc w:val="both"/>
              <w:rPr>
                <w:rFonts w:ascii="Gill Sans MT" w:hAnsi="Gill Sans MT"/>
                <w:sz w:val="20"/>
                <w:szCs w:val="20"/>
              </w:rPr>
            </w:pPr>
          </w:p>
        </w:tc>
        <w:tc>
          <w:tcPr>
            <w:tcW w:w="5646" w:type="dxa"/>
          </w:tcPr>
          <w:p w14:paraId="7D2CB1CC" w14:textId="77777777" w:rsidR="00791BFD" w:rsidRPr="00B62036" w:rsidRDefault="00791BFD" w:rsidP="00230515">
            <w:pPr>
              <w:jc w:val="both"/>
              <w:rPr>
                <w:rFonts w:ascii="Gill Sans MT" w:hAnsi="Gill Sans MT"/>
                <w:sz w:val="20"/>
                <w:szCs w:val="20"/>
              </w:rPr>
            </w:pPr>
            <w:r w:rsidRPr="00B62036">
              <w:rPr>
                <w:rFonts w:ascii="Gill Sans MT" w:hAnsi="Gill Sans MT"/>
                <w:sz w:val="20"/>
                <w:szCs w:val="20"/>
              </w:rPr>
              <w:t>FGD Guide for project Beneficiary Returnees in Dadaab</w:t>
            </w:r>
          </w:p>
        </w:tc>
        <w:tc>
          <w:tcPr>
            <w:tcW w:w="3192" w:type="dxa"/>
          </w:tcPr>
          <w:p w14:paraId="36ADCCF5" w14:textId="35408D02" w:rsidR="00791BFD" w:rsidRPr="00B62036" w:rsidRDefault="00CF397D" w:rsidP="00230515">
            <w:pPr>
              <w:jc w:val="both"/>
              <w:rPr>
                <w:rFonts w:ascii="Gill Sans MT" w:hAnsi="Gill Sans MT"/>
                <w:sz w:val="20"/>
                <w:szCs w:val="20"/>
              </w:rPr>
            </w:pPr>
            <w:bookmarkStart w:id="50" w:name="_MON_1612076382"/>
            <w:bookmarkEnd w:id="50"/>
            <w:r>
              <w:rPr>
                <w:rFonts w:ascii="Gill Sans MT" w:hAnsi="Gill Sans MT"/>
                <w:noProof/>
                <w:sz w:val="20"/>
                <w:szCs w:val="20"/>
              </w:rPr>
              <w:drawing>
                <wp:inline distT="0" distB="0" distL="0" distR="0" wp14:anchorId="246614C5" wp14:editId="16722D4C">
                  <wp:extent cx="949325" cy="581660"/>
                  <wp:effectExtent l="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r w:rsidR="00791BFD" w:rsidRPr="00B62036" w14:paraId="081618BB" w14:textId="77777777" w:rsidTr="00791BFD">
        <w:tc>
          <w:tcPr>
            <w:tcW w:w="738" w:type="dxa"/>
          </w:tcPr>
          <w:p w14:paraId="45895B37" w14:textId="77777777" w:rsidR="00791BFD" w:rsidRPr="00B62036" w:rsidRDefault="00791BFD" w:rsidP="00230515">
            <w:pPr>
              <w:pStyle w:val="ListParagraph"/>
              <w:numPr>
                <w:ilvl w:val="0"/>
                <w:numId w:val="3"/>
              </w:numPr>
              <w:jc w:val="both"/>
              <w:rPr>
                <w:rFonts w:ascii="Gill Sans MT" w:hAnsi="Gill Sans MT"/>
                <w:sz w:val="20"/>
                <w:szCs w:val="20"/>
              </w:rPr>
            </w:pPr>
          </w:p>
        </w:tc>
        <w:tc>
          <w:tcPr>
            <w:tcW w:w="5646" w:type="dxa"/>
          </w:tcPr>
          <w:p w14:paraId="417D2A44" w14:textId="77777777" w:rsidR="00791BFD" w:rsidRPr="00B62036" w:rsidRDefault="00791BFD" w:rsidP="00230515">
            <w:pPr>
              <w:jc w:val="both"/>
              <w:rPr>
                <w:rFonts w:ascii="Gill Sans MT" w:hAnsi="Gill Sans MT"/>
                <w:sz w:val="20"/>
                <w:szCs w:val="20"/>
              </w:rPr>
            </w:pPr>
            <w:r w:rsidRPr="00B62036">
              <w:rPr>
                <w:rFonts w:ascii="Gill Sans MT" w:hAnsi="Gill Sans MT"/>
                <w:sz w:val="20"/>
                <w:szCs w:val="20"/>
              </w:rPr>
              <w:t>FGD Guide for project Beneficiary Host community in Baidoa</w:t>
            </w:r>
          </w:p>
        </w:tc>
        <w:tc>
          <w:tcPr>
            <w:tcW w:w="3192" w:type="dxa"/>
          </w:tcPr>
          <w:p w14:paraId="79CB5202" w14:textId="2D2B58AE" w:rsidR="00791BFD" w:rsidRPr="00B62036" w:rsidRDefault="00CF397D" w:rsidP="00230515">
            <w:pPr>
              <w:jc w:val="both"/>
              <w:rPr>
                <w:rFonts w:ascii="Gill Sans MT" w:hAnsi="Gill Sans MT"/>
                <w:sz w:val="20"/>
                <w:szCs w:val="20"/>
              </w:rPr>
            </w:pPr>
            <w:bookmarkStart w:id="51" w:name="_MON_1612076429"/>
            <w:bookmarkEnd w:id="51"/>
            <w:r>
              <w:rPr>
                <w:rFonts w:ascii="Gill Sans MT" w:hAnsi="Gill Sans MT"/>
                <w:noProof/>
                <w:sz w:val="20"/>
                <w:szCs w:val="20"/>
              </w:rPr>
              <w:drawing>
                <wp:inline distT="0" distB="0" distL="0" distR="0" wp14:anchorId="7B378C2D" wp14:editId="091CB3D3">
                  <wp:extent cx="949325" cy="5816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r w:rsidR="00791BFD" w:rsidRPr="00B62036" w14:paraId="64B74A0F" w14:textId="77777777" w:rsidTr="00791BFD">
        <w:tc>
          <w:tcPr>
            <w:tcW w:w="738" w:type="dxa"/>
          </w:tcPr>
          <w:p w14:paraId="52BF771A" w14:textId="77777777" w:rsidR="00791BFD" w:rsidRPr="00B62036" w:rsidRDefault="00791BFD" w:rsidP="00230515">
            <w:pPr>
              <w:pStyle w:val="ListParagraph"/>
              <w:numPr>
                <w:ilvl w:val="0"/>
                <w:numId w:val="3"/>
              </w:numPr>
              <w:jc w:val="both"/>
              <w:rPr>
                <w:rFonts w:ascii="Gill Sans MT" w:hAnsi="Gill Sans MT"/>
                <w:sz w:val="20"/>
                <w:szCs w:val="20"/>
              </w:rPr>
            </w:pPr>
          </w:p>
        </w:tc>
        <w:tc>
          <w:tcPr>
            <w:tcW w:w="5646" w:type="dxa"/>
          </w:tcPr>
          <w:p w14:paraId="164910FE" w14:textId="77777777" w:rsidR="00791BFD" w:rsidRPr="00B62036" w:rsidRDefault="00791BFD" w:rsidP="00230515">
            <w:pPr>
              <w:jc w:val="both"/>
              <w:rPr>
                <w:rFonts w:ascii="Gill Sans MT" w:hAnsi="Gill Sans MT"/>
                <w:sz w:val="20"/>
                <w:szCs w:val="20"/>
              </w:rPr>
            </w:pPr>
            <w:r w:rsidRPr="00B62036">
              <w:rPr>
                <w:rFonts w:ascii="Gill Sans MT" w:hAnsi="Gill Sans MT"/>
                <w:sz w:val="20"/>
                <w:szCs w:val="20"/>
              </w:rPr>
              <w:t>Key informant Interview Guide for UNHCR and Partner Stakeholders</w:t>
            </w:r>
          </w:p>
        </w:tc>
        <w:tc>
          <w:tcPr>
            <w:tcW w:w="3192" w:type="dxa"/>
          </w:tcPr>
          <w:p w14:paraId="0C1D8D02" w14:textId="2291D2D2" w:rsidR="00791BFD" w:rsidRPr="00B62036" w:rsidRDefault="00CF397D" w:rsidP="00230515">
            <w:pPr>
              <w:jc w:val="both"/>
              <w:rPr>
                <w:rFonts w:ascii="Gill Sans MT" w:hAnsi="Gill Sans MT"/>
                <w:sz w:val="20"/>
                <w:szCs w:val="20"/>
              </w:rPr>
            </w:pPr>
            <w:bookmarkStart w:id="52" w:name="_MON_1612076466"/>
            <w:bookmarkEnd w:id="52"/>
            <w:r>
              <w:rPr>
                <w:rFonts w:ascii="Gill Sans MT" w:hAnsi="Gill Sans MT"/>
                <w:noProof/>
                <w:sz w:val="20"/>
                <w:szCs w:val="20"/>
              </w:rPr>
              <w:drawing>
                <wp:inline distT="0" distB="0" distL="0" distR="0" wp14:anchorId="1D09868C" wp14:editId="3CD716C8">
                  <wp:extent cx="949325" cy="5816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r w:rsidR="00791BFD" w:rsidRPr="00B62036" w14:paraId="05CB382E" w14:textId="77777777" w:rsidTr="00791BFD">
        <w:tc>
          <w:tcPr>
            <w:tcW w:w="738" w:type="dxa"/>
          </w:tcPr>
          <w:p w14:paraId="66A11476" w14:textId="77777777" w:rsidR="00791BFD" w:rsidRPr="00B62036" w:rsidRDefault="00791BFD" w:rsidP="00230515">
            <w:pPr>
              <w:pStyle w:val="ListParagraph"/>
              <w:numPr>
                <w:ilvl w:val="0"/>
                <w:numId w:val="3"/>
              </w:numPr>
              <w:jc w:val="both"/>
              <w:rPr>
                <w:rFonts w:ascii="Gill Sans MT" w:hAnsi="Gill Sans MT"/>
                <w:sz w:val="20"/>
                <w:szCs w:val="20"/>
              </w:rPr>
            </w:pPr>
          </w:p>
        </w:tc>
        <w:tc>
          <w:tcPr>
            <w:tcW w:w="5646" w:type="dxa"/>
          </w:tcPr>
          <w:p w14:paraId="4C9AEC1A" w14:textId="77777777" w:rsidR="00791BFD" w:rsidRPr="00B62036" w:rsidRDefault="00791BFD" w:rsidP="00230515">
            <w:pPr>
              <w:jc w:val="both"/>
              <w:rPr>
                <w:rFonts w:ascii="Gill Sans MT" w:hAnsi="Gill Sans MT"/>
                <w:sz w:val="20"/>
                <w:szCs w:val="20"/>
              </w:rPr>
            </w:pPr>
            <w:r w:rsidRPr="00B62036">
              <w:rPr>
                <w:rFonts w:ascii="Gill Sans MT" w:hAnsi="Gill Sans MT"/>
                <w:sz w:val="20"/>
                <w:szCs w:val="20"/>
              </w:rPr>
              <w:t>Key informant Interview Guide for Government representatives in Baidoa</w:t>
            </w:r>
          </w:p>
        </w:tc>
        <w:tc>
          <w:tcPr>
            <w:tcW w:w="3192" w:type="dxa"/>
          </w:tcPr>
          <w:p w14:paraId="6E60773C" w14:textId="39B1A8ED" w:rsidR="00791BFD" w:rsidRPr="00B62036" w:rsidRDefault="00CF397D" w:rsidP="00230515">
            <w:pPr>
              <w:jc w:val="both"/>
              <w:rPr>
                <w:rFonts w:ascii="Gill Sans MT" w:hAnsi="Gill Sans MT"/>
                <w:sz w:val="20"/>
                <w:szCs w:val="20"/>
              </w:rPr>
            </w:pPr>
            <w:bookmarkStart w:id="53" w:name="_MON_1612076631"/>
            <w:bookmarkEnd w:id="53"/>
            <w:r>
              <w:rPr>
                <w:rFonts w:ascii="Gill Sans MT" w:hAnsi="Gill Sans MT"/>
                <w:noProof/>
                <w:sz w:val="20"/>
                <w:szCs w:val="20"/>
              </w:rPr>
              <w:drawing>
                <wp:inline distT="0" distB="0" distL="0" distR="0" wp14:anchorId="117B676D" wp14:editId="37C91EDC">
                  <wp:extent cx="949325" cy="5816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581660"/>
                          </a:xfrm>
                          <a:prstGeom prst="rect">
                            <a:avLst/>
                          </a:prstGeom>
                          <a:noFill/>
                          <a:ln>
                            <a:noFill/>
                          </a:ln>
                        </pic:spPr>
                      </pic:pic>
                    </a:graphicData>
                  </a:graphic>
                </wp:inline>
              </w:drawing>
            </w:r>
          </w:p>
        </w:tc>
      </w:tr>
    </w:tbl>
    <w:p w14:paraId="6036E818" w14:textId="77777777" w:rsidR="006114FE" w:rsidRPr="00B62036" w:rsidRDefault="006114FE" w:rsidP="00230515">
      <w:pPr>
        <w:jc w:val="both"/>
        <w:rPr>
          <w:rFonts w:ascii="Gill Sans MT" w:hAnsi="Gill Sans MT"/>
          <w:sz w:val="20"/>
          <w:szCs w:val="20"/>
        </w:rPr>
      </w:pPr>
    </w:p>
    <w:p w14:paraId="3572C114" w14:textId="77777777" w:rsidR="006114FE" w:rsidRPr="00B62036" w:rsidRDefault="006114FE" w:rsidP="00230515">
      <w:pPr>
        <w:jc w:val="both"/>
        <w:rPr>
          <w:rFonts w:ascii="Gill Sans MT" w:hAnsi="Gill Sans MT"/>
          <w:sz w:val="20"/>
          <w:szCs w:val="20"/>
        </w:rPr>
      </w:pPr>
    </w:p>
    <w:p w14:paraId="0E65E660" w14:textId="77777777" w:rsidR="00E512B5" w:rsidRPr="00B62036" w:rsidRDefault="00E512B5" w:rsidP="00230515">
      <w:pPr>
        <w:jc w:val="both"/>
        <w:rPr>
          <w:rFonts w:ascii="Gill Sans MT" w:hAnsi="Gill Sans MT"/>
          <w:sz w:val="20"/>
          <w:szCs w:val="20"/>
        </w:rPr>
      </w:pPr>
    </w:p>
    <w:sectPr w:rsidR="00E512B5" w:rsidRPr="00B62036" w:rsidSect="00117C8B">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2059" w14:textId="77777777" w:rsidR="001B49B9" w:rsidRDefault="001B49B9" w:rsidP="00853726">
      <w:r>
        <w:separator/>
      </w:r>
    </w:p>
  </w:endnote>
  <w:endnote w:type="continuationSeparator" w:id="0">
    <w:p w14:paraId="550B33BC" w14:textId="77777777" w:rsidR="001B49B9" w:rsidRDefault="001B49B9" w:rsidP="0085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MT">
    <w:altName w:val="Arial"/>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150566"/>
      <w:docPartObj>
        <w:docPartGallery w:val="Page Numbers (Bottom of Page)"/>
        <w:docPartUnique/>
      </w:docPartObj>
    </w:sdtPr>
    <w:sdtEndPr>
      <w:rPr>
        <w:noProof/>
      </w:rPr>
    </w:sdtEndPr>
    <w:sdtContent>
      <w:p w14:paraId="0C8286EC" w14:textId="77777777" w:rsidR="00C14A1E" w:rsidRDefault="00C14A1E">
        <w:pPr>
          <w:pStyle w:val="Footer"/>
          <w:jc w:val="center"/>
        </w:pPr>
        <w:r>
          <w:fldChar w:fldCharType="begin"/>
        </w:r>
        <w:r>
          <w:instrText xml:space="preserve"> PAGE   \* MERGEFORMAT </w:instrText>
        </w:r>
        <w:r>
          <w:fldChar w:fldCharType="separate"/>
        </w:r>
        <w:r w:rsidR="00DA21EF">
          <w:rPr>
            <w:noProof/>
          </w:rPr>
          <w:t>- 6 -</w:t>
        </w:r>
        <w:r>
          <w:rPr>
            <w:noProof/>
          </w:rPr>
          <w:fldChar w:fldCharType="end"/>
        </w:r>
      </w:p>
    </w:sdtContent>
  </w:sdt>
  <w:p w14:paraId="067ED16C" w14:textId="77777777" w:rsidR="00C14A1E" w:rsidRPr="00AA0243" w:rsidRDefault="00C14A1E" w:rsidP="00742607">
    <w:pPr>
      <w:pStyle w:val="Header"/>
      <w:pBdr>
        <w:top w:val="single" w:sz="24" w:space="1" w:color="00B0F0"/>
      </w:pBdr>
      <w:rPr>
        <w:rFonts w:ascii="Gill Sans MT" w:hAnsi="Gill Sans MT"/>
        <w:sz w:val="20"/>
        <w:szCs w:val="20"/>
      </w:rPr>
    </w:pPr>
    <w:r w:rsidRPr="00AA0243">
      <w:rPr>
        <w:rFonts w:ascii="Gill Sans MT" w:hAnsi="Gill Sans MT"/>
        <w:sz w:val="20"/>
        <w:szCs w:val="20"/>
      </w:rPr>
      <w:t>The Kenya- Somalia refugees and peacebuilding cross border pilot project for voluntary return, co-existence and sustainable Reintegration in the areas of return</w:t>
    </w:r>
  </w:p>
  <w:p w14:paraId="4A34CCDD" w14:textId="77777777" w:rsidR="00C14A1E" w:rsidRDefault="00C14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1E32" w14:textId="77777777" w:rsidR="001B49B9" w:rsidRDefault="001B49B9" w:rsidP="00853726">
      <w:r>
        <w:separator/>
      </w:r>
    </w:p>
  </w:footnote>
  <w:footnote w:type="continuationSeparator" w:id="0">
    <w:p w14:paraId="060B7598" w14:textId="77777777" w:rsidR="001B49B9" w:rsidRDefault="001B49B9" w:rsidP="00853726">
      <w:r>
        <w:continuationSeparator/>
      </w:r>
    </w:p>
  </w:footnote>
  <w:footnote w:id="1">
    <w:p w14:paraId="61EF1632" w14:textId="77777777" w:rsidR="00C14A1E" w:rsidRDefault="00C14A1E" w:rsidP="00296FBD">
      <w:pPr>
        <w:pStyle w:val="FootnoteText"/>
      </w:pPr>
      <w:r>
        <w:rPr>
          <w:rStyle w:val="FootnoteReference"/>
        </w:rPr>
        <w:footnoteRef/>
      </w:r>
      <w:r>
        <w:t xml:space="preserve"> UN-MPTF Annual Report, 2017</w:t>
      </w:r>
    </w:p>
  </w:footnote>
  <w:footnote w:id="2">
    <w:p w14:paraId="2C336930" w14:textId="77777777" w:rsidR="00C14A1E" w:rsidRPr="00230515" w:rsidRDefault="00C14A1E" w:rsidP="00296FBD">
      <w:pPr>
        <w:pStyle w:val="FootnoteText"/>
        <w:rPr>
          <w:rFonts w:ascii="Gill Sans MT" w:hAnsi="Gill Sans MT"/>
          <w:sz w:val="18"/>
          <w:szCs w:val="18"/>
        </w:rPr>
      </w:pPr>
      <w:r w:rsidRPr="00230515">
        <w:rPr>
          <w:rStyle w:val="FootnoteReference"/>
          <w:rFonts w:ascii="Gill Sans MT" w:hAnsi="Gill Sans MT"/>
          <w:sz w:val="18"/>
          <w:szCs w:val="18"/>
        </w:rPr>
        <w:footnoteRef/>
      </w:r>
      <w:r w:rsidRPr="00230515">
        <w:rPr>
          <w:rFonts w:ascii="Gill Sans MT" w:hAnsi="Gill Sans MT"/>
          <w:sz w:val="18"/>
          <w:szCs w:val="18"/>
        </w:rPr>
        <w:t xml:space="preserve"> The Population Return Monitoring Network (PRMN) component of the project tracks movements regardless of any ethnicity, political affiliation or otherwise. PRMN is used as a tool for protection interventions and support of victims of human rights violations. Source: Somalia Un Multi-Partner Trust Fund January - June 2018</w:t>
      </w:r>
    </w:p>
  </w:footnote>
  <w:footnote w:id="3">
    <w:p w14:paraId="02C8F09D" w14:textId="560E13CB" w:rsidR="00C14A1E" w:rsidRDefault="00C14A1E">
      <w:pPr>
        <w:pStyle w:val="FootnoteText"/>
      </w:pPr>
      <w:r>
        <w:rPr>
          <w:rStyle w:val="FootnoteReference"/>
        </w:rPr>
        <w:footnoteRef/>
      </w:r>
      <w:r>
        <w:t xml:space="preserve"> PBF Proposal for Somalia-Kenya IRF Cross Border Project</w:t>
      </w:r>
    </w:p>
  </w:footnote>
  <w:footnote w:id="4">
    <w:p w14:paraId="21BD3620" w14:textId="77777777" w:rsidR="00C14A1E" w:rsidRPr="00AA0243" w:rsidRDefault="00C14A1E" w:rsidP="00703DD1">
      <w:pPr>
        <w:pStyle w:val="FootnoteText"/>
        <w:rPr>
          <w:sz w:val="18"/>
          <w:szCs w:val="18"/>
        </w:rPr>
      </w:pPr>
      <w:r w:rsidRPr="00AA0243">
        <w:rPr>
          <w:rStyle w:val="FootnoteReference"/>
          <w:sz w:val="18"/>
          <w:szCs w:val="18"/>
        </w:rPr>
        <w:footnoteRef/>
      </w:r>
      <w:r w:rsidRPr="00AA0243">
        <w:rPr>
          <w:sz w:val="18"/>
          <w:szCs w:val="18"/>
        </w:rPr>
        <w:t xml:space="preserve"> https://www.surveysystem.com/sscalc.htm</w:t>
      </w:r>
    </w:p>
  </w:footnote>
  <w:footnote w:id="5">
    <w:p w14:paraId="72D23680" w14:textId="77777777" w:rsidR="00C14A1E" w:rsidRPr="009C6AA7" w:rsidRDefault="00C14A1E" w:rsidP="00703DD1">
      <w:pPr>
        <w:pStyle w:val="FootnoteText"/>
        <w:rPr>
          <w:rFonts w:ascii="Gill Sans MT" w:hAnsi="Gill Sans MT"/>
          <w:sz w:val="16"/>
          <w:szCs w:val="16"/>
        </w:rPr>
      </w:pPr>
      <w:r w:rsidRPr="00AA0243">
        <w:rPr>
          <w:rStyle w:val="FootnoteReference"/>
          <w:rFonts w:ascii="Gill Sans MT" w:hAnsi="Gill Sans MT"/>
          <w:sz w:val="18"/>
          <w:szCs w:val="18"/>
        </w:rPr>
        <w:footnoteRef/>
      </w:r>
      <w:r w:rsidRPr="00AA0243">
        <w:rPr>
          <w:rFonts w:ascii="Gill Sans MT" w:hAnsi="Gill Sans MT"/>
          <w:sz w:val="18"/>
          <w:szCs w:val="18"/>
        </w:rPr>
        <w:t xml:space="preserve"> Cochran, W. G. (1977). Sampling techniques (3rd Ed.).New York: John Wiley &amp; Sons</w:t>
      </w:r>
    </w:p>
  </w:footnote>
  <w:footnote w:id="6">
    <w:p w14:paraId="00D482B5" w14:textId="616F8C4E" w:rsidR="00C14A1E" w:rsidRDefault="00C14A1E">
      <w:pPr>
        <w:pStyle w:val="FootnoteText"/>
      </w:pPr>
      <w:r>
        <w:rPr>
          <w:rStyle w:val="FootnoteReference"/>
        </w:rPr>
        <w:footnoteRef/>
      </w:r>
      <w:r>
        <w:t xml:space="preserve"> UN-MPTF Annual Report, 2017</w:t>
      </w:r>
    </w:p>
  </w:footnote>
  <w:footnote w:id="7">
    <w:p w14:paraId="26B4EB7F" w14:textId="34358530" w:rsidR="00C14A1E" w:rsidRDefault="00C14A1E">
      <w:pPr>
        <w:pStyle w:val="FootnoteText"/>
      </w:pPr>
      <w:r>
        <w:rPr>
          <w:rStyle w:val="FootnoteReference"/>
        </w:rPr>
        <w:footnoteRef/>
      </w:r>
      <w:r>
        <w:t xml:space="preserve"> UN-MPTF Annual Report, 2017</w:t>
      </w:r>
    </w:p>
  </w:footnote>
  <w:footnote w:id="8">
    <w:p w14:paraId="7F13C657" w14:textId="1FA5D5E7" w:rsidR="00C14A1E" w:rsidRDefault="00C14A1E">
      <w:pPr>
        <w:pStyle w:val="FootnoteText"/>
      </w:pPr>
      <w:r>
        <w:rPr>
          <w:rStyle w:val="FootnoteReference"/>
        </w:rPr>
        <w:footnoteRef/>
      </w:r>
      <w:r>
        <w:t xml:space="preserve"> PUNOs Project Documents</w:t>
      </w:r>
    </w:p>
  </w:footnote>
  <w:footnote w:id="9">
    <w:p w14:paraId="7BE72BDE" w14:textId="16441321" w:rsidR="00C14A1E" w:rsidRDefault="00C14A1E">
      <w:pPr>
        <w:pStyle w:val="FootnoteText"/>
      </w:pPr>
      <w:r>
        <w:rPr>
          <w:rStyle w:val="FootnoteReference"/>
        </w:rPr>
        <w:footnoteRef/>
      </w:r>
      <w:r>
        <w:t xml:space="preserve"> UN-MPTF Annual Report, 2017</w:t>
      </w:r>
    </w:p>
  </w:footnote>
  <w:footnote w:id="10">
    <w:p w14:paraId="2F083508" w14:textId="1C371D77" w:rsidR="00C14A1E" w:rsidRDefault="00C14A1E">
      <w:pPr>
        <w:pStyle w:val="FootnoteText"/>
      </w:pPr>
      <w:r>
        <w:rPr>
          <w:rStyle w:val="FootnoteReference"/>
        </w:rPr>
        <w:footnoteRef/>
      </w:r>
      <w:r>
        <w:t xml:space="preserve"> </w:t>
      </w:r>
      <w:r w:rsidRPr="00413BBF">
        <w:rPr>
          <w:rFonts w:ascii="Gill Sans MT" w:hAnsi="Gill Sans MT"/>
          <w:sz w:val="16"/>
          <w:szCs w:val="16"/>
        </w:rPr>
        <w:t>The total is more than 100% because the Reponses was multiple choices</w:t>
      </w:r>
    </w:p>
  </w:footnote>
  <w:footnote w:id="11">
    <w:p w14:paraId="09053D62" w14:textId="0AC93B21" w:rsidR="00C14A1E" w:rsidRPr="00A52509" w:rsidRDefault="00C14A1E">
      <w:pPr>
        <w:pStyle w:val="FootnoteText"/>
        <w:rPr>
          <w:rFonts w:ascii="Gill Sans MT" w:hAnsi="Gill Sans MT"/>
          <w:sz w:val="18"/>
          <w:szCs w:val="18"/>
        </w:rPr>
      </w:pPr>
      <w:r w:rsidRPr="00A52509">
        <w:rPr>
          <w:rStyle w:val="FootnoteReference"/>
          <w:rFonts w:ascii="Gill Sans MT" w:hAnsi="Gill Sans MT"/>
          <w:sz w:val="18"/>
          <w:szCs w:val="18"/>
        </w:rPr>
        <w:footnoteRef/>
      </w:r>
      <w:r w:rsidRPr="00A52509">
        <w:rPr>
          <w:rFonts w:ascii="Gill Sans MT" w:hAnsi="Gill Sans MT"/>
          <w:sz w:val="18"/>
          <w:szCs w:val="18"/>
        </w:rPr>
        <w:t xml:space="preserve"> UN-MPTF Annual Report, 2017</w:t>
      </w:r>
    </w:p>
  </w:footnote>
  <w:footnote w:id="12">
    <w:p w14:paraId="68C15319" w14:textId="31BC6EB0" w:rsidR="00C14A1E" w:rsidRDefault="00C14A1E">
      <w:pPr>
        <w:pStyle w:val="FootnoteText"/>
      </w:pPr>
      <w:r w:rsidRPr="00A52509">
        <w:rPr>
          <w:rStyle w:val="FootnoteReference"/>
          <w:rFonts w:ascii="Gill Sans MT" w:hAnsi="Gill Sans MT"/>
          <w:sz w:val="18"/>
          <w:szCs w:val="18"/>
        </w:rPr>
        <w:footnoteRef/>
      </w:r>
      <w:r w:rsidRPr="00A52509">
        <w:rPr>
          <w:rFonts w:ascii="Gill Sans MT" w:hAnsi="Gill Sans MT"/>
          <w:sz w:val="18"/>
          <w:szCs w:val="18"/>
        </w:rPr>
        <w:t xml:space="preserve"> UN-MPTF Annual Report, 2017</w:t>
      </w:r>
    </w:p>
  </w:footnote>
  <w:footnote w:id="13">
    <w:p w14:paraId="4DCBD5E7" w14:textId="314D842F" w:rsidR="00C14A1E" w:rsidRDefault="00C14A1E">
      <w:pPr>
        <w:pStyle w:val="FootnoteText"/>
      </w:pPr>
      <w:r>
        <w:rPr>
          <w:rStyle w:val="FootnoteReference"/>
        </w:rPr>
        <w:footnoteRef/>
      </w:r>
      <w:r>
        <w:t xml:space="preserve"> UN-MPTF Annual Report, 2017</w:t>
      </w:r>
    </w:p>
  </w:footnote>
  <w:footnote w:id="14">
    <w:p w14:paraId="4C2B989A" w14:textId="3A3BF6D6" w:rsidR="00C14A1E" w:rsidRDefault="00C14A1E">
      <w:pPr>
        <w:pStyle w:val="FootnoteText"/>
      </w:pPr>
      <w:r>
        <w:rPr>
          <w:rStyle w:val="FootnoteReference"/>
        </w:rPr>
        <w:footnoteRef/>
      </w:r>
      <w:r>
        <w:t xml:space="preserve"> </w:t>
      </w:r>
      <w:r w:rsidRPr="001D4DE4">
        <w:t>The total is more than 100% because the Reponses was multiple choices</w:t>
      </w:r>
    </w:p>
  </w:footnote>
  <w:footnote w:id="15">
    <w:p w14:paraId="07086496" w14:textId="77777777" w:rsidR="003E4DCA" w:rsidRPr="00230515" w:rsidRDefault="003E4DCA" w:rsidP="003E4DCA">
      <w:pPr>
        <w:pStyle w:val="FootnoteText"/>
        <w:rPr>
          <w:rFonts w:ascii="Gill Sans MT" w:hAnsi="Gill Sans MT"/>
          <w:sz w:val="18"/>
          <w:szCs w:val="18"/>
        </w:rPr>
      </w:pPr>
      <w:r w:rsidRPr="00230515">
        <w:rPr>
          <w:rStyle w:val="FootnoteReference"/>
          <w:rFonts w:ascii="Gill Sans MT" w:hAnsi="Gill Sans MT"/>
          <w:sz w:val="18"/>
          <w:szCs w:val="18"/>
        </w:rPr>
        <w:footnoteRef/>
      </w:r>
      <w:r w:rsidRPr="00230515">
        <w:rPr>
          <w:rFonts w:ascii="Gill Sans MT" w:hAnsi="Gill Sans MT"/>
          <w:sz w:val="18"/>
          <w:szCs w:val="18"/>
        </w:rPr>
        <w:t xml:space="preserve"> The Population Return Monitoring Network (PRMN) component of the project tracks movements regardless of any ethnicity, political affiliation or otherwise. PRMN is used as a tool for protection interventions and support of victims of human rights violations. Source: Somalia Un Multi-Partner Trust Fund January -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108" w14:textId="77777777" w:rsidR="00C14A1E" w:rsidRPr="00253CF8" w:rsidRDefault="00C14A1E" w:rsidP="00742607">
    <w:pPr>
      <w:pStyle w:val="Header"/>
      <w:pBdr>
        <w:bottom w:val="single" w:sz="18" w:space="1" w:color="00B0F0"/>
      </w:pBdr>
      <w:rPr>
        <w:sz w:val="18"/>
        <w:szCs w:val="18"/>
        <w:lang w:val="en-GB" w:eastAsia="en-GB"/>
      </w:rPr>
    </w:pPr>
    <w:r>
      <w:rPr>
        <w:noProof/>
        <w:sz w:val="18"/>
        <w:szCs w:val="18"/>
      </w:rPr>
      <w:drawing>
        <wp:anchor distT="0" distB="0" distL="114300" distR="114300" simplePos="0" relativeHeight="251658240" behindDoc="1" locked="0" layoutInCell="1" allowOverlap="1" wp14:anchorId="49299273" wp14:editId="5AE42443">
          <wp:simplePos x="0" y="0"/>
          <wp:positionH relativeFrom="column">
            <wp:posOffset>4215130</wp:posOffset>
          </wp:positionH>
          <wp:positionV relativeFrom="paragraph">
            <wp:posOffset>182880</wp:posOffset>
          </wp:positionV>
          <wp:extent cx="1920240" cy="469265"/>
          <wp:effectExtent l="0" t="0" r="3810" b="6985"/>
          <wp:wrapThrough wrapText="bothSides">
            <wp:wrapPolygon edited="0">
              <wp:start x="0" y="0"/>
              <wp:lineTo x="0" y="21045"/>
              <wp:lineTo x="21429" y="21045"/>
              <wp:lineTo x="214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6926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CCFF"/>
      </w:rPr>
      <w:drawing>
        <wp:inline distT="0" distB="0" distL="0" distR="0" wp14:anchorId="7D4FFA0C" wp14:editId="27C819E2">
          <wp:extent cx="2743200" cy="771859"/>
          <wp:effectExtent l="0" t="0" r="0" b="9525"/>
          <wp:docPr id="4" name="Picture 4"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ff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771859"/>
                  </a:xfrm>
                  <a:prstGeom prst="rect">
                    <a:avLst/>
                  </a:prstGeom>
                  <a:noFill/>
                  <a:ln>
                    <a:noFill/>
                  </a:ln>
                </pic:spPr>
              </pic:pic>
            </a:graphicData>
          </a:graphic>
        </wp:inline>
      </w:drawing>
    </w:r>
  </w:p>
  <w:p w14:paraId="17A14106" w14:textId="77777777" w:rsidR="00C14A1E" w:rsidRPr="00253CF8" w:rsidRDefault="00C14A1E" w:rsidP="00853726">
    <w:pPr>
      <w:pStyle w:val="Header"/>
      <w:jc w:val="center"/>
      <w:rPr>
        <w:sz w:val="18"/>
        <w:szCs w:val="18"/>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49D"/>
    <w:multiLevelType w:val="hybridMultilevel"/>
    <w:tmpl w:val="3BF6BDCA"/>
    <w:lvl w:ilvl="0" w:tplc="1992356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E5AE3"/>
    <w:multiLevelType w:val="hybridMultilevel"/>
    <w:tmpl w:val="99D40890"/>
    <w:lvl w:ilvl="0" w:tplc="2558F340">
      <w:start w:val="1"/>
      <w:numFmt w:val="decimal"/>
      <w:lvlText w:val="%1."/>
      <w:lvlJc w:val="left"/>
      <w:pPr>
        <w:ind w:left="360" w:hanging="360"/>
      </w:pPr>
      <w:rPr>
        <w:rFonts w:eastAsia="Yu Gothic Light" w:hint="default"/>
        <w:b/>
        <w:color w:val="5B9B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1064"/>
    <w:multiLevelType w:val="hybridMultilevel"/>
    <w:tmpl w:val="DDB27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59C0"/>
    <w:multiLevelType w:val="hybridMultilevel"/>
    <w:tmpl w:val="CD46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E1CAB"/>
    <w:multiLevelType w:val="hybridMultilevel"/>
    <w:tmpl w:val="ED60249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20B755F3"/>
    <w:multiLevelType w:val="hybridMultilevel"/>
    <w:tmpl w:val="FC28366E"/>
    <w:lvl w:ilvl="0" w:tplc="89F4DF66">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427FC"/>
    <w:multiLevelType w:val="hybridMultilevel"/>
    <w:tmpl w:val="381A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66616"/>
    <w:multiLevelType w:val="hybridMultilevel"/>
    <w:tmpl w:val="CC848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436CE"/>
    <w:multiLevelType w:val="hybridMultilevel"/>
    <w:tmpl w:val="8AAEA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AB6FD4"/>
    <w:multiLevelType w:val="hybridMultilevel"/>
    <w:tmpl w:val="F01C2A0C"/>
    <w:lvl w:ilvl="0" w:tplc="8466C3EC">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BA6897"/>
    <w:multiLevelType w:val="hybridMultilevel"/>
    <w:tmpl w:val="904AFEF6"/>
    <w:lvl w:ilvl="0" w:tplc="0CDE00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E13BE"/>
    <w:multiLevelType w:val="multilevel"/>
    <w:tmpl w:val="474EEF2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D5F773E"/>
    <w:multiLevelType w:val="multilevel"/>
    <w:tmpl w:val="CD84E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D6449C"/>
    <w:multiLevelType w:val="hybridMultilevel"/>
    <w:tmpl w:val="8C5E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1C0673"/>
    <w:multiLevelType w:val="hybridMultilevel"/>
    <w:tmpl w:val="77742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293292"/>
    <w:multiLevelType w:val="hybridMultilevel"/>
    <w:tmpl w:val="620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67DEB"/>
    <w:multiLevelType w:val="hybridMultilevel"/>
    <w:tmpl w:val="C8F4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23741"/>
    <w:multiLevelType w:val="hybridMultilevel"/>
    <w:tmpl w:val="B5E8F5E2"/>
    <w:lvl w:ilvl="0" w:tplc="D3C842E4">
      <w:start w:val="1"/>
      <w:numFmt w:val="decimal"/>
      <w:lvlText w:val="%1."/>
      <w:lvlJc w:val="left"/>
      <w:pPr>
        <w:ind w:left="360" w:hanging="360"/>
      </w:pPr>
      <w:rPr>
        <w:rFonts w:eastAsia="Yu Gothic Light" w:cs="Times New Roman" w:hint="default"/>
        <w:b/>
        <w:color w:val="5B9BD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857C7E"/>
    <w:multiLevelType w:val="hybridMultilevel"/>
    <w:tmpl w:val="B70A7C24"/>
    <w:lvl w:ilvl="0" w:tplc="117871CA">
      <w:start w:val="2"/>
      <w:numFmt w:val="bullet"/>
      <w:lvlText w:val="-"/>
      <w:lvlJc w:val="left"/>
      <w:pPr>
        <w:ind w:left="36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8"/>
  </w:num>
  <w:num w:numId="5">
    <w:abstractNumId w:val="13"/>
  </w:num>
  <w:num w:numId="6">
    <w:abstractNumId w:val="8"/>
  </w:num>
  <w:num w:numId="7">
    <w:abstractNumId w:val="3"/>
  </w:num>
  <w:num w:numId="8">
    <w:abstractNumId w:val="16"/>
  </w:num>
  <w:num w:numId="9">
    <w:abstractNumId w:val="2"/>
  </w:num>
  <w:num w:numId="10">
    <w:abstractNumId w:val="6"/>
  </w:num>
  <w:num w:numId="11">
    <w:abstractNumId w:val="7"/>
  </w:num>
  <w:num w:numId="12">
    <w:abstractNumId w:val="0"/>
  </w:num>
  <w:num w:numId="13">
    <w:abstractNumId w:val="5"/>
  </w:num>
  <w:num w:numId="14">
    <w:abstractNumId w:val="9"/>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17"/>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23A"/>
    <w:rsid w:val="00005624"/>
    <w:rsid w:val="000057C2"/>
    <w:rsid w:val="00005E22"/>
    <w:rsid w:val="00014AAC"/>
    <w:rsid w:val="00014D04"/>
    <w:rsid w:val="000150CF"/>
    <w:rsid w:val="00015EE6"/>
    <w:rsid w:val="00017993"/>
    <w:rsid w:val="00017F36"/>
    <w:rsid w:val="000204BF"/>
    <w:rsid w:val="000208E0"/>
    <w:rsid w:val="00021246"/>
    <w:rsid w:val="00022400"/>
    <w:rsid w:val="00030058"/>
    <w:rsid w:val="000314F8"/>
    <w:rsid w:val="00032F0A"/>
    <w:rsid w:val="00032F2B"/>
    <w:rsid w:val="00034B5C"/>
    <w:rsid w:val="00044813"/>
    <w:rsid w:val="000454F3"/>
    <w:rsid w:val="0005162F"/>
    <w:rsid w:val="0005410C"/>
    <w:rsid w:val="00056E9F"/>
    <w:rsid w:val="000570E2"/>
    <w:rsid w:val="00057D34"/>
    <w:rsid w:val="000626E4"/>
    <w:rsid w:val="00063D8B"/>
    <w:rsid w:val="000647E3"/>
    <w:rsid w:val="0006712B"/>
    <w:rsid w:val="00075C25"/>
    <w:rsid w:val="00080665"/>
    <w:rsid w:val="0008789D"/>
    <w:rsid w:val="00092B2D"/>
    <w:rsid w:val="000933A7"/>
    <w:rsid w:val="00093D2A"/>
    <w:rsid w:val="000942C1"/>
    <w:rsid w:val="00094376"/>
    <w:rsid w:val="00097393"/>
    <w:rsid w:val="000A73F6"/>
    <w:rsid w:val="000C0020"/>
    <w:rsid w:val="000C05BA"/>
    <w:rsid w:val="000C12DA"/>
    <w:rsid w:val="000C262F"/>
    <w:rsid w:val="000D15D9"/>
    <w:rsid w:val="000D4AB9"/>
    <w:rsid w:val="000D77F6"/>
    <w:rsid w:val="000E5FA5"/>
    <w:rsid w:val="000E7E31"/>
    <w:rsid w:val="000F27DB"/>
    <w:rsid w:val="000F39F3"/>
    <w:rsid w:val="001000C2"/>
    <w:rsid w:val="001065AA"/>
    <w:rsid w:val="00111C2E"/>
    <w:rsid w:val="00112FDB"/>
    <w:rsid w:val="0011550C"/>
    <w:rsid w:val="00116787"/>
    <w:rsid w:val="00117C8B"/>
    <w:rsid w:val="00127E20"/>
    <w:rsid w:val="00130B54"/>
    <w:rsid w:val="0013717B"/>
    <w:rsid w:val="00140AA6"/>
    <w:rsid w:val="001431A6"/>
    <w:rsid w:val="0016358B"/>
    <w:rsid w:val="00164AF9"/>
    <w:rsid w:val="001706A2"/>
    <w:rsid w:val="0017590F"/>
    <w:rsid w:val="00176DBE"/>
    <w:rsid w:val="00181CFE"/>
    <w:rsid w:val="001879CE"/>
    <w:rsid w:val="00193242"/>
    <w:rsid w:val="00193400"/>
    <w:rsid w:val="00194A9E"/>
    <w:rsid w:val="00195905"/>
    <w:rsid w:val="00197F25"/>
    <w:rsid w:val="001B49B9"/>
    <w:rsid w:val="001C4E60"/>
    <w:rsid w:val="001C7CB4"/>
    <w:rsid w:val="001D06C7"/>
    <w:rsid w:val="001D4DE4"/>
    <w:rsid w:val="001E0353"/>
    <w:rsid w:val="001E1958"/>
    <w:rsid w:val="001E2569"/>
    <w:rsid w:val="001E704D"/>
    <w:rsid w:val="00201DB9"/>
    <w:rsid w:val="00202B30"/>
    <w:rsid w:val="00202BA8"/>
    <w:rsid w:val="002115AE"/>
    <w:rsid w:val="00212972"/>
    <w:rsid w:val="00213DED"/>
    <w:rsid w:val="002146D8"/>
    <w:rsid w:val="00220812"/>
    <w:rsid w:val="00230351"/>
    <w:rsid w:val="00230515"/>
    <w:rsid w:val="002314E4"/>
    <w:rsid w:val="00234AF0"/>
    <w:rsid w:val="002353C4"/>
    <w:rsid w:val="00235BA5"/>
    <w:rsid w:val="002366CA"/>
    <w:rsid w:val="0023683C"/>
    <w:rsid w:val="002373C8"/>
    <w:rsid w:val="00241BC9"/>
    <w:rsid w:val="002435FA"/>
    <w:rsid w:val="002452B9"/>
    <w:rsid w:val="00257280"/>
    <w:rsid w:val="0025774E"/>
    <w:rsid w:val="00257C0F"/>
    <w:rsid w:val="00260CFA"/>
    <w:rsid w:val="002636B4"/>
    <w:rsid w:val="00271968"/>
    <w:rsid w:val="00274FF5"/>
    <w:rsid w:val="002813A8"/>
    <w:rsid w:val="00290CD2"/>
    <w:rsid w:val="002940E8"/>
    <w:rsid w:val="00296FBD"/>
    <w:rsid w:val="00297FFE"/>
    <w:rsid w:val="002A19D9"/>
    <w:rsid w:val="002A424D"/>
    <w:rsid w:val="002B01BA"/>
    <w:rsid w:val="002B1663"/>
    <w:rsid w:val="002B6FD1"/>
    <w:rsid w:val="002C31A9"/>
    <w:rsid w:val="002C3571"/>
    <w:rsid w:val="002C5B80"/>
    <w:rsid w:val="002C7936"/>
    <w:rsid w:val="002C799D"/>
    <w:rsid w:val="002D5265"/>
    <w:rsid w:val="002E70D6"/>
    <w:rsid w:val="002E71E3"/>
    <w:rsid w:val="002E76D4"/>
    <w:rsid w:val="002E7E0D"/>
    <w:rsid w:val="002F0D01"/>
    <w:rsid w:val="00300780"/>
    <w:rsid w:val="003022A6"/>
    <w:rsid w:val="00305075"/>
    <w:rsid w:val="00324CAF"/>
    <w:rsid w:val="00327753"/>
    <w:rsid w:val="00327B75"/>
    <w:rsid w:val="003303C1"/>
    <w:rsid w:val="00335BA0"/>
    <w:rsid w:val="00335FAD"/>
    <w:rsid w:val="003425AB"/>
    <w:rsid w:val="00342A9B"/>
    <w:rsid w:val="00356D3B"/>
    <w:rsid w:val="003721D1"/>
    <w:rsid w:val="00372949"/>
    <w:rsid w:val="00373A63"/>
    <w:rsid w:val="00376DB3"/>
    <w:rsid w:val="003773D4"/>
    <w:rsid w:val="003823B1"/>
    <w:rsid w:val="00383471"/>
    <w:rsid w:val="0038680F"/>
    <w:rsid w:val="0039629D"/>
    <w:rsid w:val="003A0713"/>
    <w:rsid w:val="003A2581"/>
    <w:rsid w:val="003A3D76"/>
    <w:rsid w:val="003A6010"/>
    <w:rsid w:val="003B1B96"/>
    <w:rsid w:val="003B1CED"/>
    <w:rsid w:val="003B3FC9"/>
    <w:rsid w:val="003B5BA9"/>
    <w:rsid w:val="003C0D83"/>
    <w:rsid w:val="003C103D"/>
    <w:rsid w:val="003C4211"/>
    <w:rsid w:val="003C5598"/>
    <w:rsid w:val="003C686D"/>
    <w:rsid w:val="003C75CA"/>
    <w:rsid w:val="003D019B"/>
    <w:rsid w:val="003D3122"/>
    <w:rsid w:val="003D63F3"/>
    <w:rsid w:val="003D7F8E"/>
    <w:rsid w:val="003E1FEC"/>
    <w:rsid w:val="003E3A9A"/>
    <w:rsid w:val="003E4835"/>
    <w:rsid w:val="003E4DCA"/>
    <w:rsid w:val="003E5B79"/>
    <w:rsid w:val="003E7C17"/>
    <w:rsid w:val="003F450B"/>
    <w:rsid w:val="003F48FA"/>
    <w:rsid w:val="00402A3B"/>
    <w:rsid w:val="00404E69"/>
    <w:rsid w:val="00405C1C"/>
    <w:rsid w:val="00405E41"/>
    <w:rsid w:val="00407564"/>
    <w:rsid w:val="00407AC4"/>
    <w:rsid w:val="00412D54"/>
    <w:rsid w:val="00413BBF"/>
    <w:rsid w:val="0041438C"/>
    <w:rsid w:val="00417080"/>
    <w:rsid w:val="00424586"/>
    <w:rsid w:val="004274A7"/>
    <w:rsid w:val="00432FEF"/>
    <w:rsid w:val="00442EC9"/>
    <w:rsid w:val="004439D1"/>
    <w:rsid w:val="00445094"/>
    <w:rsid w:val="004450B7"/>
    <w:rsid w:val="004453F8"/>
    <w:rsid w:val="00447B1F"/>
    <w:rsid w:val="004541B6"/>
    <w:rsid w:val="00454334"/>
    <w:rsid w:val="004552C3"/>
    <w:rsid w:val="0045530C"/>
    <w:rsid w:val="00457A40"/>
    <w:rsid w:val="00460712"/>
    <w:rsid w:val="004611FE"/>
    <w:rsid w:val="00463346"/>
    <w:rsid w:val="00464A6B"/>
    <w:rsid w:val="0046517A"/>
    <w:rsid w:val="004810B8"/>
    <w:rsid w:val="0048319F"/>
    <w:rsid w:val="00487847"/>
    <w:rsid w:val="00490731"/>
    <w:rsid w:val="0049785B"/>
    <w:rsid w:val="004A27E3"/>
    <w:rsid w:val="004A2E36"/>
    <w:rsid w:val="004A6112"/>
    <w:rsid w:val="004B0071"/>
    <w:rsid w:val="004B03E6"/>
    <w:rsid w:val="004B5870"/>
    <w:rsid w:val="004B642B"/>
    <w:rsid w:val="004C009A"/>
    <w:rsid w:val="004C639E"/>
    <w:rsid w:val="004D177B"/>
    <w:rsid w:val="004D343D"/>
    <w:rsid w:val="004D4062"/>
    <w:rsid w:val="004F03A7"/>
    <w:rsid w:val="004F561F"/>
    <w:rsid w:val="004F6E0C"/>
    <w:rsid w:val="004F7046"/>
    <w:rsid w:val="00507E07"/>
    <w:rsid w:val="00510EF0"/>
    <w:rsid w:val="00513A3D"/>
    <w:rsid w:val="0051739E"/>
    <w:rsid w:val="00517871"/>
    <w:rsid w:val="005207AA"/>
    <w:rsid w:val="0052498C"/>
    <w:rsid w:val="00531A4D"/>
    <w:rsid w:val="005325D5"/>
    <w:rsid w:val="00532A03"/>
    <w:rsid w:val="00533FB8"/>
    <w:rsid w:val="00537797"/>
    <w:rsid w:val="00540730"/>
    <w:rsid w:val="005446EB"/>
    <w:rsid w:val="00546FE5"/>
    <w:rsid w:val="0054767F"/>
    <w:rsid w:val="00547702"/>
    <w:rsid w:val="00550B11"/>
    <w:rsid w:val="00554985"/>
    <w:rsid w:val="00554AF1"/>
    <w:rsid w:val="00555A3A"/>
    <w:rsid w:val="00556463"/>
    <w:rsid w:val="005573DA"/>
    <w:rsid w:val="00562F59"/>
    <w:rsid w:val="005706BD"/>
    <w:rsid w:val="00573044"/>
    <w:rsid w:val="00576CA6"/>
    <w:rsid w:val="005819EF"/>
    <w:rsid w:val="00585947"/>
    <w:rsid w:val="0058617E"/>
    <w:rsid w:val="005867B9"/>
    <w:rsid w:val="00596583"/>
    <w:rsid w:val="005A0160"/>
    <w:rsid w:val="005A049B"/>
    <w:rsid w:val="005A1F16"/>
    <w:rsid w:val="005A6917"/>
    <w:rsid w:val="005A7E3C"/>
    <w:rsid w:val="005B42C0"/>
    <w:rsid w:val="005B5FDF"/>
    <w:rsid w:val="005B7328"/>
    <w:rsid w:val="005C1155"/>
    <w:rsid w:val="005C65FC"/>
    <w:rsid w:val="005D28D7"/>
    <w:rsid w:val="005D3DA7"/>
    <w:rsid w:val="005D458E"/>
    <w:rsid w:val="005D47B6"/>
    <w:rsid w:val="005F276C"/>
    <w:rsid w:val="005F591F"/>
    <w:rsid w:val="005F66E2"/>
    <w:rsid w:val="00606F1A"/>
    <w:rsid w:val="00610BB6"/>
    <w:rsid w:val="006114FE"/>
    <w:rsid w:val="0061186A"/>
    <w:rsid w:val="006147F5"/>
    <w:rsid w:val="00617253"/>
    <w:rsid w:val="006224F3"/>
    <w:rsid w:val="00624ABB"/>
    <w:rsid w:val="006262E1"/>
    <w:rsid w:val="0063278F"/>
    <w:rsid w:val="00636D1B"/>
    <w:rsid w:val="00641207"/>
    <w:rsid w:val="00642907"/>
    <w:rsid w:val="00644EDE"/>
    <w:rsid w:val="0064771A"/>
    <w:rsid w:val="00647744"/>
    <w:rsid w:val="00651638"/>
    <w:rsid w:val="006516A1"/>
    <w:rsid w:val="00655C83"/>
    <w:rsid w:val="006576E0"/>
    <w:rsid w:val="0066043B"/>
    <w:rsid w:val="00663083"/>
    <w:rsid w:val="00665BDA"/>
    <w:rsid w:val="00670A8A"/>
    <w:rsid w:val="00671599"/>
    <w:rsid w:val="00675A7F"/>
    <w:rsid w:val="006839DC"/>
    <w:rsid w:val="006861C5"/>
    <w:rsid w:val="00687D10"/>
    <w:rsid w:val="00687F9B"/>
    <w:rsid w:val="00690842"/>
    <w:rsid w:val="00692DD8"/>
    <w:rsid w:val="00694C0F"/>
    <w:rsid w:val="006957EA"/>
    <w:rsid w:val="0069678C"/>
    <w:rsid w:val="00696CDA"/>
    <w:rsid w:val="006A32A7"/>
    <w:rsid w:val="006A5D89"/>
    <w:rsid w:val="006B5C6B"/>
    <w:rsid w:val="006B70F5"/>
    <w:rsid w:val="006C2585"/>
    <w:rsid w:val="006C4696"/>
    <w:rsid w:val="006C54EA"/>
    <w:rsid w:val="006C7132"/>
    <w:rsid w:val="006D1032"/>
    <w:rsid w:val="006D21A0"/>
    <w:rsid w:val="006D3273"/>
    <w:rsid w:val="006E0B46"/>
    <w:rsid w:val="006E7316"/>
    <w:rsid w:val="006E7636"/>
    <w:rsid w:val="006F12C3"/>
    <w:rsid w:val="006F6524"/>
    <w:rsid w:val="00703DD1"/>
    <w:rsid w:val="007076E9"/>
    <w:rsid w:val="00713898"/>
    <w:rsid w:val="00720B01"/>
    <w:rsid w:val="007245F4"/>
    <w:rsid w:val="00726271"/>
    <w:rsid w:val="00727507"/>
    <w:rsid w:val="007371F0"/>
    <w:rsid w:val="00741F70"/>
    <w:rsid w:val="00742607"/>
    <w:rsid w:val="00742A86"/>
    <w:rsid w:val="007430FF"/>
    <w:rsid w:val="00744ECA"/>
    <w:rsid w:val="00753156"/>
    <w:rsid w:val="00753B8E"/>
    <w:rsid w:val="007601F0"/>
    <w:rsid w:val="0076606D"/>
    <w:rsid w:val="007731FC"/>
    <w:rsid w:val="00774DB4"/>
    <w:rsid w:val="00781630"/>
    <w:rsid w:val="007820B3"/>
    <w:rsid w:val="0078456A"/>
    <w:rsid w:val="007876EF"/>
    <w:rsid w:val="00791BFD"/>
    <w:rsid w:val="00792100"/>
    <w:rsid w:val="0079347B"/>
    <w:rsid w:val="007A2FD0"/>
    <w:rsid w:val="007A47C9"/>
    <w:rsid w:val="007B296B"/>
    <w:rsid w:val="007B38B6"/>
    <w:rsid w:val="007B4416"/>
    <w:rsid w:val="007C0833"/>
    <w:rsid w:val="007C2F70"/>
    <w:rsid w:val="007C5931"/>
    <w:rsid w:val="007D1889"/>
    <w:rsid w:val="007D5335"/>
    <w:rsid w:val="007E392C"/>
    <w:rsid w:val="007E6465"/>
    <w:rsid w:val="007E6796"/>
    <w:rsid w:val="007E7267"/>
    <w:rsid w:val="007E741E"/>
    <w:rsid w:val="007F2CCC"/>
    <w:rsid w:val="007F4CAF"/>
    <w:rsid w:val="007F7095"/>
    <w:rsid w:val="007F7E35"/>
    <w:rsid w:val="00801D2C"/>
    <w:rsid w:val="00802A2D"/>
    <w:rsid w:val="00802C7C"/>
    <w:rsid w:val="0080579C"/>
    <w:rsid w:val="00810A48"/>
    <w:rsid w:val="008178F3"/>
    <w:rsid w:val="0082282B"/>
    <w:rsid w:val="008248A1"/>
    <w:rsid w:val="00824B42"/>
    <w:rsid w:val="00827483"/>
    <w:rsid w:val="00827921"/>
    <w:rsid w:val="00830235"/>
    <w:rsid w:val="00836EB3"/>
    <w:rsid w:val="008410E0"/>
    <w:rsid w:val="00843328"/>
    <w:rsid w:val="00844C81"/>
    <w:rsid w:val="00851F8D"/>
    <w:rsid w:val="00853726"/>
    <w:rsid w:val="00856215"/>
    <w:rsid w:val="00861601"/>
    <w:rsid w:val="00861FD3"/>
    <w:rsid w:val="0086307D"/>
    <w:rsid w:val="00863209"/>
    <w:rsid w:val="008664D8"/>
    <w:rsid w:val="008773B8"/>
    <w:rsid w:val="00877BF4"/>
    <w:rsid w:val="00882E5B"/>
    <w:rsid w:val="00887138"/>
    <w:rsid w:val="0088786F"/>
    <w:rsid w:val="00890F02"/>
    <w:rsid w:val="00891D9C"/>
    <w:rsid w:val="008A3AA4"/>
    <w:rsid w:val="008A688B"/>
    <w:rsid w:val="008A71C1"/>
    <w:rsid w:val="008B451E"/>
    <w:rsid w:val="008B5E5B"/>
    <w:rsid w:val="008B6212"/>
    <w:rsid w:val="008B7FB9"/>
    <w:rsid w:val="008C7454"/>
    <w:rsid w:val="008D0FB5"/>
    <w:rsid w:val="008D13E3"/>
    <w:rsid w:val="008D3973"/>
    <w:rsid w:val="008D47D2"/>
    <w:rsid w:val="008D5363"/>
    <w:rsid w:val="008E02AB"/>
    <w:rsid w:val="008E1532"/>
    <w:rsid w:val="008E22B9"/>
    <w:rsid w:val="008E23F8"/>
    <w:rsid w:val="008E687A"/>
    <w:rsid w:val="008E6A01"/>
    <w:rsid w:val="008F0C30"/>
    <w:rsid w:val="008F4B95"/>
    <w:rsid w:val="00902DD7"/>
    <w:rsid w:val="00903656"/>
    <w:rsid w:val="0090392A"/>
    <w:rsid w:val="0090520C"/>
    <w:rsid w:val="00906145"/>
    <w:rsid w:val="00927C48"/>
    <w:rsid w:val="00930462"/>
    <w:rsid w:val="00935322"/>
    <w:rsid w:val="00941927"/>
    <w:rsid w:val="009441C1"/>
    <w:rsid w:val="009511E6"/>
    <w:rsid w:val="00951FE4"/>
    <w:rsid w:val="009556AC"/>
    <w:rsid w:val="00956947"/>
    <w:rsid w:val="00957827"/>
    <w:rsid w:val="00973077"/>
    <w:rsid w:val="0097354C"/>
    <w:rsid w:val="009753BD"/>
    <w:rsid w:val="009829C6"/>
    <w:rsid w:val="00982EED"/>
    <w:rsid w:val="00983823"/>
    <w:rsid w:val="0098421C"/>
    <w:rsid w:val="009864EE"/>
    <w:rsid w:val="009A2B8B"/>
    <w:rsid w:val="009A36B6"/>
    <w:rsid w:val="009A38FD"/>
    <w:rsid w:val="009A4399"/>
    <w:rsid w:val="009B0913"/>
    <w:rsid w:val="009B1E08"/>
    <w:rsid w:val="009B7C9B"/>
    <w:rsid w:val="009C6AA7"/>
    <w:rsid w:val="009C76EA"/>
    <w:rsid w:val="009D228A"/>
    <w:rsid w:val="009D5DBD"/>
    <w:rsid w:val="009D767E"/>
    <w:rsid w:val="009E0F10"/>
    <w:rsid w:val="009E2B2A"/>
    <w:rsid w:val="009E3020"/>
    <w:rsid w:val="009F2093"/>
    <w:rsid w:val="009F2E46"/>
    <w:rsid w:val="009F410D"/>
    <w:rsid w:val="009F7602"/>
    <w:rsid w:val="00A02492"/>
    <w:rsid w:val="00A03035"/>
    <w:rsid w:val="00A045E3"/>
    <w:rsid w:val="00A065BB"/>
    <w:rsid w:val="00A11315"/>
    <w:rsid w:val="00A135AD"/>
    <w:rsid w:val="00A167B3"/>
    <w:rsid w:val="00A16827"/>
    <w:rsid w:val="00A16BDB"/>
    <w:rsid w:val="00A21618"/>
    <w:rsid w:val="00A27590"/>
    <w:rsid w:val="00A32993"/>
    <w:rsid w:val="00A37274"/>
    <w:rsid w:val="00A40567"/>
    <w:rsid w:val="00A40893"/>
    <w:rsid w:val="00A45460"/>
    <w:rsid w:val="00A470A9"/>
    <w:rsid w:val="00A52509"/>
    <w:rsid w:val="00A52F71"/>
    <w:rsid w:val="00A535D8"/>
    <w:rsid w:val="00A56668"/>
    <w:rsid w:val="00A57843"/>
    <w:rsid w:val="00A57B0E"/>
    <w:rsid w:val="00A57EDF"/>
    <w:rsid w:val="00A625D5"/>
    <w:rsid w:val="00A64676"/>
    <w:rsid w:val="00A64E72"/>
    <w:rsid w:val="00A67DAC"/>
    <w:rsid w:val="00A727E0"/>
    <w:rsid w:val="00A8091C"/>
    <w:rsid w:val="00A86BA6"/>
    <w:rsid w:val="00A9111E"/>
    <w:rsid w:val="00A91F45"/>
    <w:rsid w:val="00A95233"/>
    <w:rsid w:val="00A95C38"/>
    <w:rsid w:val="00A96CFF"/>
    <w:rsid w:val="00AA0243"/>
    <w:rsid w:val="00AA1224"/>
    <w:rsid w:val="00AA2A2F"/>
    <w:rsid w:val="00AA53EF"/>
    <w:rsid w:val="00AB249D"/>
    <w:rsid w:val="00AB3AFA"/>
    <w:rsid w:val="00AC2E88"/>
    <w:rsid w:val="00AC698C"/>
    <w:rsid w:val="00AD3154"/>
    <w:rsid w:val="00AD59BD"/>
    <w:rsid w:val="00AF0405"/>
    <w:rsid w:val="00AF1B75"/>
    <w:rsid w:val="00AF27AD"/>
    <w:rsid w:val="00AF3DCE"/>
    <w:rsid w:val="00AF4D21"/>
    <w:rsid w:val="00AF4E56"/>
    <w:rsid w:val="00AF718D"/>
    <w:rsid w:val="00B01549"/>
    <w:rsid w:val="00B027D8"/>
    <w:rsid w:val="00B0586C"/>
    <w:rsid w:val="00B06AFE"/>
    <w:rsid w:val="00B118B9"/>
    <w:rsid w:val="00B13912"/>
    <w:rsid w:val="00B17584"/>
    <w:rsid w:val="00B17A57"/>
    <w:rsid w:val="00B17FEE"/>
    <w:rsid w:val="00B21B04"/>
    <w:rsid w:val="00B235FE"/>
    <w:rsid w:val="00B247D0"/>
    <w:rsid w:val="00B30A00"/>
    <w:rsid w:val="00B323B7"/>
    <w:rsid w:val="00B34283"/>
    <w:rsid w:val="00B35611"/>
    <w:rsid w:val="00B376D3"/>
    <w:rsid w:val="00B37F28"/>
    <w:rsid w:val="00B41523"/>
    <w:rsid w:val="00B43D33"/>
    <w:rsid w:val="00B43E49"/>
    <w:rsid w:val="00B52856"/>
    <w:rsid w:val="00B53A0F"/>
    <w:rsid w:val="00B600BD"/>
    <w:rsid w:val="00B62036"/>
    <w:rsid w:val="00B66B6A"/>
    <w:rsid w:val="00B71694"/>
    <w:rsid w:val="00B82166"/>
    <w:rsid w:val="00B831A9"/>
    <w:rsid w:val="00B92A7A"/>
    <w:rsid w:val="00B943C8"/>
    <w:rsid w:val="00BA2FF3"/>
    <w:rsid w:val="00BA5544"/>
    <w:rsid w:val="00BA6F50"/>
    <w:rsid w:val="00BB0A6E"/>
    <w:rsid w:val="00BB2743"/>
    <w:rsid w:val="00BB62DC"/>
    <w:rsid w:val="00BB6924"/>
    <w:rsid w:val="00BB7BB8"/>
    <w:rsid w:val="00BC2A79"/>
    <w:rsid w:val="00BC4369"/>
    <w:rsid w:val="00BC6752"/>
    <w:rsid w:val="00BC7ED6"/>
    <w:rsid w:val="00BD38FC"/>
    <w:rsid w:val="00BE6E43"/>
    <w:rsid w:val="00BE7542"/>
    <w:rsid w:val="00BF4C8A"/>
    <w:rsid w:val="00BF5245"/>
    <w:rsid w:val="00BF53C1"/>
    <w:rsid w:val="00C035F7"/>
    <w:rsid w:val="00C14A1E"/>
    <w:rsid w:val="00C240BC"/>
    <w:rsid w:val="00C26C9D"/>
    <w:rsid w:val="00C26D38"/>
    <w:rsid w:val="00C302B7"/>
    <w:rsid w:val="00C3240A"/>
    <w:rsid w:val="00C33CAC"/>
    <w:rsid w:val="00C35D5D"/>
    <w:rsid w:val="00C41DC6"/>
    <w:rsid w:val="00C425D0"/>
    <w:rsid w:val="00C42B7E"/>
    <w:rsid w:val="00C42BD7"/>
    <w:rsid w:val="00C42CFF"/>
    <w:rsid w:val="00C44FE5"/>
    <w:rsid w:val="00C459BE"/>
    <w:rsid w:val="00C45AA6"/>
    <w:rsid w:val="00C46FE6"/>
    <w:rsid w:val="00C55B7A"/>
    <w:rsid w:val="00C72DDF"/>
    <w:rsid w:val="00C87623"/>
    <w:rsid w:val="00C94083"/>
    <w:rsid w:val="00C9600E"/>
    <w:rsid w:val="00CA52D1"/>
    <w:rsid w:val="00CA5BAA"/>
    <w:rsid w:val="00CA5BFF"/>
    <w:rsid w:val="00CA5D74"/>
    <w:rsid w:val="00CA6375"/>
    <w:rsid w:val="00CA7A66"/>
    <w:rsid w:val="00CB19E1"/>
    <w:rsid w:val="00CB7332"/>
    <w:rsid w:val="00CC423A"/>
    <w:rsid w:val="00CD1ADF"/>
    <w:rsid w:val="00CD4338"/>
    <w:rsid w:val="00CE16D5"/>
    <w:rsid w:val="00CE2871"/>
    <w:rsid w:val="00CF134B"/>
    <w:rsid w:val="00CF397D"/>
    <w:rsid w:val="00D008E4"/>
    <w:rsid w:val="00D02B61"/>
    <w:rsid w:val="00D03022"/>
    <w:rsid w:val="00D032E7"/>
    <w:rsid w:val="00D15B67"/>
    <w:rsid w:val="00D1633F"/>
    <w:rsid w:val="00D16F36"/>
    <w:rsid w:val="00D17977"/>
    <w:rsid w:val="00D30329"/>
    <w:rsid w:val="00D30635"/>
    <w:rsid w:val="00D32E23"/>
    <w:rsid w:val="00D32F8B"/>
    <w:rsid w:val="00D3515B"/>
    <w:rsid w:val="00D36B16"/>
    <w:rsid w:val="00D43173"/>
    <w:rsid w:val="00D51178"/>
    <w:rsid w:val="00D5175C"/>
    <w:rsid w:val="00D53A53"/>
    <w:rsid w:val="00D53B78"/>
    <w:rsid w:val="00D71EDD"/>
    <w:rsid w:val="00D80E5E"/>
    <w:rsid w:val="00D87279"/>
    <w:rsid w:val="00DA21EF"/>
    <w:rsid w:val="00DA5294"/>
    <w:rsid w:val="00DB7610"/>
    <w:rsid w:val="00DB7C64"/>
    <w:rsid w:val="00DC0659"/>
    <w:rsid w:val="00DC5420"/>
    <w:rsid w:val="00DC6DD2"/>
    <w:rsid w:val="00DD30C4"/>
    <w:rsid w:val="00DD3F63"/>
    <w:rsid w:val="00DD7E3A"/>
    <w:rsid w:val="00DE4148"/>
    <w:rsid w:val="00DE741A"/>
    <w:rsid w:val="00DF3E10"/>
    <w:rsid w:val="00E02D1B"/>
    <w:rsid w:val="00E03B5E"/>
    <w:rsid w:val="00E04653"/>
    <w:rsid w:val="00E072C9"/>
    <w:rsid w:val="00E10229"/>
    <w:rsid w:val="00E17A13"/>
    <w:rsid w:val="00E21A00"/>
    <w:rsid w:val="00E246E3"/>
    <w:rsid w:val="00E24BBF"/>
    <w:rsid w:val="00E2512A"/>
    <w:rsid w:val="00E3044B"/>
    <w:rsid w:val="00E32D6A"/>
    <w:rsid w:val="00E4109F"/>
    <w:rsid w:val="00E42C01"/>
    <w:rsid w:val="00E46608"/>
    <w:rsid w:val="00E50091"/>
    <w:rsid w:val="00E512B5"/>
    <w:rsid w:val="00E61418"/>
    <w:rsid w:val="00E644E0"/>
    <w:rsid w:val="00E6532B"/>
    <w:rsid w:val="00E66DFA"/>
    <w:rsid w:val="00E6794E"/>
    <w:rsid w:val="00E67F1E"/>
    <w:rsid w:val="00E7425A"/>
    <w:rsid w:val="00E746C2"/>
    <w:rsid w:val="00E8051B"/>
    <w:rsid w:val="00E813CE"/>
    <w:rsid w:val="00E9060D"/>
    <w:rsid w:val="00E90AFD"/>
    <w:rsid w:val="00E91F1D"/>
    <w:rsid w:val="00E94A16"/>
    <w:rsid w:val="00E951CC"/>
    <w:rsid w:val="00EA118B"/>
    <w:rsid w:val="00EA30E0"/>
    <w:rsid w:val="00EA6985"/>
    <w:rsid w:val="00EA7389"/>
    <w:rsid w:val="00EB542F"/>
    <w:rsid w:val="00EB66E3"/>
    <w:rsid w:val="00EB7435"/>
    <w:rsid w:val="00EC05AD"/>
    <w:rsid w:val="00EC1B09"/>
    <w:rsid w:val="00EC2E38"/>
    <w:rsid w:val="00EC3C3D"/>
    <w:rsid w:val="00EC52AD"/>
    <w:rsid w:val="00ED60EC"/>
    <w:rsid w:val="00EE0886"/>
    <w:rsid w:val="00EE3750"/>
    <w:rsid w:val="00EE40D9"/>
    <w:rsid w:val="00EF3A5B"/>
    <w:rsid w:val="00EF77A0"/>
    <w:rsid w:val="00F01D6C"/>
    <w:rsid w:val="00F04506"/>
    <w:rsid w:val="00F06E5D"/>
    <w:rsid w:val="00F10B89"/>
    <w:rsid w:val="00F10B90"/>
    <w:rsid w:val="00F14BCB"/>
    <w:rsid w:val="00F25B4D"/>
    <w:rsid w:val="00F26CB6"/>
    <w:rsid w:val="00F27109"/>
    <w:rsid w:val="00F27C33"/>
    <w:rsid w:val="00F408F1"/>
    <w:rsid w:val="00F40B5B"/>
    <w:rsid w:val="00F42F2C"/>
    <w:rsid w:val="00F4531E"/>
    <w:rsid w:val="00F509DC"/>
    <w:rsid w:val="00F55459"/>
    <w:rsid w:val="00F5789D"/>
    <w:rsid w:val="00F661D9"/>
    <w:rsid w:val="00F72102"/>
    <w:rsid w:val="00F7438A"/>
    <w:rsid w:val="00F75DC3"/>
    <w:rsid w:val="00F762D3"/>
    <w:rsid w:val="00F91361"/>
    <w:rsid w:val="00F913F0"/>
    <w:rsid w:val="00F92D04"/>
    <w:rsid w:val="00F93506"/>
    <w:rsid w:val="00FA2F02"/>
    <w:rsid w:val="00FA34EC"/>
    <w:rsid w:val="00FA5DEC"/>
    <w:rsid w:val="00FA6D0F"/>
    <w:rsid w:val="00FB1C5E"/>
    <w:rsid w:val="00FB2990"/>
    <w:rsid w:val="00FB4504"/>
    <w:rsid w:val="00FB6C47"/>
    <w:rsid w:val="00FC2375"/>
    <w:rsid w:val="00FC3998"/>
    <w:rsid w:val="00FC3B38"/>
    <w:rsid w:val="00FC3DDC"/>
    <w:rsid w:val="00FC6326"/>
    <w:rsid w:val="00FD216D"/>
    <w:rsid w:val="00FD7A1C"/>
    <w:rsid w:val="00FD7AF5"/>
    <w:rsid w:val="00FE16EA"/>
    <w:rsid w:val="00FE3F7D"/>
    <w:rsid w:val="00FE7057"/>
    <w:rsid w:val="00FF0219"/>
    <w:rsid w:val="00FF1133"/>
    <w:rsid w:val="00FF4B8D"/>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302F74"/>
  <w15:docId w15:val="{618503B1-21B4-49AB-993B-34807C4D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0515"/>
    <w:pPr>
      <w:keepNext/>
      <w:keepLines/>
      <w:numPr>
        <w:numId w:val="1"/>
      </w:numPr>
      <w:jc w:val="both"/>
      <w:outlineLvl w:val="0"/>
    </w:pPr>
    <w:rPr>
      <w:rFonts w:ascii="Gill Sans MT" w:eastAsia="MS Gothic" w:hAnsi="Gill Sans MT"/>
      <w:b/>
      <w:bCs/>
      <w:caps/>
      <w:sz w:val="28"/>
      <w:szCs w:val="28"/>
    </w:rPr>
  </w:style>
  <w:style w:type="paragraph" w:styleId="Heading2">
    <w:name w:val="heading 2"/>
    <w:basedOn w:val="Normal"/>
    <w:next w:val="Normal"/>
    <w:link w:val="Heading2Char"/>
    <w:uiPriority w:val="9"/>
    <w:unhideWhenUsed/>
    <w:qFormat/>
    <w:rsid w:val="003A6010"/>
    <w:pPr>
      <w:keepNext/>
      <w:keepLines/>
      <w:numPr>
        <w:ilvl w:val="1"/>
        <w:numId w:val="1"/>
      </w:numPr>
      <w:spacing w:before="200"/>
      <w:ind w:left="360"/>
      <w:outlineLvl w:val="1"/>
    </w:pPr>
    <w:rPr>
      <w:rFonts w:ascii="Gill Sans MT" w:eastAsiaTheme="majorEastAsia" w:hAnsi="Gill Sans MT" w:cstheme="majorBidi"/>
      <w:b/>
      <w:bCs/>
      <w:color w:val="5B9BD5" w:themeColor="accent1"/>
      <w:sz w:val="22"/>
      <w:szCs w:val="26"/>
    </w:rPr>
  </w:style>
  <w:style w:type="paragraph" w:styleId="Heading3">
    <w:name w:val="heading 3"/>
    <w:basedOn w:val="Normal"/>
    <w:next w:val="Normal"/>
    <w:link w:val="Heading3Char"/>
    <w:uiPriority w:val="9"/>
    <w:unhideWhenUsed/>
    <w:qFormat/>
    <w:rsid w:val="0074260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515"/>
    <w:rPr>
      <w:rFonts w:ascii="Gill Sans MT" w:eastAsia="MS Gothic" w:hAnsi="Gill Sans MT" w:cs="Times New Roman"/>
      <w:b/>
      <w:bCs/>
      <w:caps/>
      <w:sz w:val="28"/>
      <w:szCs w:val="28"/>
    </w:rPr>
  </w:style>
  <w:style w:type="paragraph" w:styleId="Header">
    <w:name w:val="header"/>
    <w:basedOn w:val="Normal"/>
    <w:link w:val="HeaderChar"/>
    <w:uiPriority w:val="99"/>
    <w:unhideWhenUsed/>
    <w:rsid w:val="00853726"/>
    <w:pPr>
      <w:tabs>
        <w:tab w:val="center" w:pos="4513"/>
        <w:tab w:val="right" w:pos="9026"/>
      </w:tabs>
    </w:pPr>
  </w:style>
  <w:style w:type="character" w:customStyle="1" w:styleId="HeaderChar">
    <w:name w:val="Header Char"/>
    <w:basedOn w:val="DefaultParagraphFont"/>
    <w:link w:val="Header"/>
    <w:uiPriority w:val="99"/>
    <w:rsid w:val="00853726"/>
  </w:style>
  <w:style w:type="paragraph" w:styleId="Footer">
    <w:name w:val="footer"/>
    <w:basedOn w:val="Normal"/>
    <w:link w:val="FooterChar"/>
    <w:uiPriority w:val="99"/>
    <w:unhideWhenUsed/>
    <w:rsid w:val="00853726"/>
    <w:pPr>
      <w:tabs>
        <w:tab w:val="center" w:pos="4513"/>
        <w:tab w:val="right" w:pos="9026"/>
      </w:tabs>
    </w:pPr>
  </w:style>
  <w:style w:type="character" w:customStyle="1" w:styleId="FooterChar">
    <w:name w:val="Footer Char"/>
    <w:basedOn w:val="DefaultParagraphFont"/>
    <w:link w:val="Footer"/>
    <w:uiPriority w:val="99"/>
    <w:rsid w:val="00853726"/>
  </w:style>
  <w:style w:type="character" w:styleId="Hyperlink">
    <w:name w:val="Hyperlink"/>
    <w:basedOn w:val="DefaultParagraphFont"/>
    <w:uiPriority w:val="99"/>
    <w:unhideWhenUsed/>
    <w:rsid w:val="00853726"/>
    <w:rPr>
      <w:color w:val="0563C1" w:themeColor="hyperlink"/>
      <w:u w:val="single"/>
    </w:rPr>
  </w:style>
  <w:style w:type="paragraph" w:styleId="ListParagraph">
    <w:name w:val="List Paragraph"/>
    <w:aliases w:val="Proposal Heading 1.1,List Paragraph (numbered (a)),References,WB List Paragraph,Dot pt,F5 List Paragraph,List Paragraph1,No Spacing1,List Paragraph Char Char Char,Indicator Text,Numbered Para 1,Colorful List - Accent 11,Indent Paragraph"/>
    <w:basedOn w:val="Normal"/>
    <w:link w:val="ListParagraphChar"/>
    <w:uiPriority w:val="34"/>
    <w:qFormat/>
    <w:rsid w:val="00BC4369"/>
    <w:pPr>
      <w:ind w:left="720"/>
    </w:pPr>
  </w:style>
  <w:style w:type="character" w:customStyle="1" w:styleId="Heading2Char">
    <w:name w:val="Heading 2 Char"/>
    <w:basedOn w:val="DefaultParagraphFont"/>
    <w:link w:val="Heading2"/>
    <w:uiPriority w:val="9"/>
    <w:rsid w:val="003A6010"/>
    <w:rPr>
      <w:rFonts w:ascii="Gill Sans MT" w:eastAsiaTheme="majorEastAsia" w:hAnsi="Gill Sans MT" w:cstheme="majorBidi"/>
      <w:b/>
      <w:bCs/>
      <w:color w:val="5B9BD5" w:themeColor="accent1"/>
      <w:szCs w:val="26"/>
    </w:rPr>
  </w:style>
  <w:style w:type="paragraph" w:styleId="FootnoteText">
    <w:name w:val="footnote text"/>
    <w:basedOn w:val="Normal"/>
    <w:link w:val="FootnoteTextChar"/>
    <w:uiPriority w:val="99"/>
    <w:unhideWhenUsed/>
    <w:rsid w:val="00DD3F63"/>
    <w:rPr>
      <w:sz w:val="20"/>
      <w:szCs w:val="20"/>
    </w:rPr>
  </w:style>
  <w:style w:type="character" w:customStyle="1" w:styleId="FootnoteTextChar">
    <w:name w:val="Footnote Text Char"/>
    <w:basedOn w:val="DefaultParagraphFont"/>
    <w:link w:val="FootnoteText"/>
    <w:uiPriority w:val="99"/>
    <w:rsid w:val="00DD3F6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D3F63"/>
    <w:rPr>
      <w:vertAlign w:val="superscript"/>
    </w:rPr>
  </w:style>
  <w:style w:type="paragraph" w:styleId="Caption">
    <w:name w:val="caption"/>
    <w:basedOn w:val="Normal"/>
    <w:next w:val="Normal"/>
    <w:uiPriority w:val="35"/>
    <w:unhideWhenUsed/>
    <w:qFormat/>
    <w:rsid w:val="00903656"/>
    <w:pPr>
      <w:spacing w:after="200"/>
    </w:pPr>
    <w:rPr>
      <w:b/>
      <w:bCs/>
      <w:color w:val="5B9BD5" w:themeColor="accent1"/>
      <w:sz w:val="18"/>
      <w:szCs w:val="18"/>
    </w:rPr>
  </w:style>
  <w:style w:type="paragraph" w:styleId="BalloonText">
    <w:name w:val="Balloon Text"/>
    <w:basedOn w:val="Normal"/>
    <w:link w:val="BalloonTextChar"/>
    <w:uiPriority w:val="99"/>
    <w:semiHidden/>
    <w:unhideWhenUsed/>
    <w:rsid w:val="00A11315"/>
    <w:rPr>
      <w:rFonts w:ascii="Tahoma" w:hAnsi="Tahoma" w:cs="Tahoma"/>
      <w:sz w:val="16"/>
      <w:szCs w:val="16"/>
    </w:rPr>
  </w:style>
  <w:style w:type="character" w:customStyle="1" w:styleId="BalloonTextChar">
    <w:name w:val="Balloon Text Char"/>
    <w:basedOn w:val="DefaultParagraphFont"/>
    <w:link w:val="BalloonText"/>
    <w:uiPriority w:val="99"/>
    <w:semiHidden/>
    <w:rsid w:val="00A11315"/>
    <w:rPr>
      <w:rFonts w:ascii="Tahoma" w:eastAsia="Times New Roman" w:hAnsi="Tahoma" w:cs="Tahoma"/>
      <w:sz w:val="16"/>
      <w:szCs w:val="16"/>
    </w:rPr>
  </w:style>
  <w:style w:type="paragraph" w:styleId="TOC2">
    <w:name w:val="toc 2"/>
    <w:basedOn w:val="Normal"/>
    <w:next w:val="Normal"/>
    <w:autoRedefine/>
    <w:uiPriority w:val="39"/>
    <w:unhideWhenUsed/>
    <w:rsid w:val="003A3D76"/>
    <w:rPr>
      <w:rFonts w:ascii="Gill Sans MT" w:hAnsi="Gill Sans MT"/>
      <w:sz w:val="22"/>
    </w:rPr>
  </w:style>
  <w:style w:type="paragraph" w:styleId="TOC1">
    <w:name w:val="toc 1"/>
    <w:basedOn w:val="Normal"/>
    <w:next w:val="Normal"/>
    <w:autoRedefine/>
    <w:uiPriority w:val="39"/>
    <w:unhideWhenUsed/>
    <w:rsid w:val="003A3D76"/>
    <w:rPr>
      <w:rFonts w:ascii="Gill Sans MT" w:hAnsi="Gill Sans MT"/>
      <w:b/>
      <w:caps/>
    </w:rPr>
  </w:style>
  <w:style w:type="character" w:styleId="CommentReference">
    <w:name w:val="annotation reference"/>
    <w:basedOn w:val="DefaultParagraphFont"/>
    <w:uiPriority w:val="99"/>
    <w:semiHidden/>
    <w:unhideWhenUsed/>
    <w:rsid w:val="00F509DC"/>
    <w:rPr>
      <w:sz w:val="16"/>
      <w:szCs w:val="16"/>
    </w:rPr>
  </w:style>
  <w:style w:type="paragraph" w:styleId="CommentText">
    <w:name w:val="annotation text"/>
    <w:basedOn w:val="Normal"/>
    <w:link w:val="CommentTextChar"/>
    <w:uiPriority w:val="99"/>
    <w:semiHidden/>
    <w:unhideWhenUsed/>
    <w:rsid w:val="00F509DC"/>
    <w:rPr>
      <w:sz w:val="20"/>
      <w:szCs w:val="20"/>
    </w:rPr>
  </w:style>
  <w:style w:type="character" w:customStyle="1" w:styleId="CommentTextChar">
    <w:name w:val="Comment Text Char"/>
    <w:basedOn w:val="DefaultParagraphFont"/>
    <w:link w:val="CommentText"/>
    <w:uiPriority w:val="99"/>
    <w:semiHidden/>
    <w:rsid w:val="00F509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9DC"/>
    <w:rPr>
      <w:b/>
      <w:bCs/>
    </w:rPr>
  </w:style>
  <w:style w:type="character" w:customStyle="1" w:styleId="CommentSubjectChar">
    <w:name w:val="Comment Subject Char"/>
    <w:basedOn w:val="CommentTextChar"/>
    <w:link w:val="CommentSubject"/>
    <w:uiPriority w:val="99"/>
    <w:semiHidden/>
    <w:rsid w:val="00F509DC"/>
    <w:rPr>
      <w:rFonts w:ascii="Times New Roman" w:eastAsia="Times New Roman" w:hAnsi="Times New Roman" w:cs="Times New Roman"/>
      <w:b/>
      <w:bCs/>
      <w:sz w:val="20"/>
      <w:szCs w:val="20"/>
    </w:rPr>
  </w:style>
  <w:style w:type="table" w:styleId="TableGrid">
    <w:name w:val="Table Grid"/>
    <w:basedOn w:val="TableNormal"/>
    <w:uiPriority w:val="59"/>
    <w:rsid w:val="00BC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607"/>
    <w:rPr>
      <w:rFonts w:asciiTheme="majorHAnsi" w:eastAsiaTheme="majorEastAsia" w:hAnsiTheme="majorHAnsi" w:cstheme="majorBidi"/>
      <w:b/>
      <w:bCs/>
      <w:sz w:val="24"/>
      <w:szCs w:val="24"/>
    </w:rPr>
  </w:style>
  <w:style w:type="paragraph" w:customStyle="1" w:styleId="Standard">
    <w:name w:val="Standard"/>
    <w:rsid w:val="005446E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da-DK"/>
    </w:rPr>
  </w:style>
  <w:style w:type="character" w:customStyle="1" w:styleId="ListParagraphChar">
    <w:name w:val="List Paragraph Char"/>
    <w:aliases w:val="Proposal Heading 1.1 Char,List Paragraph (numbered (a)) Char,References Char,WB List Paragraph Char,Dot pt Char,F5 List Paragraph Char,List Paragraph1 Char,No Spacing1 Char,List Paragraph Char Char Char Char,Indicator Text Char"/>
    <w:link w:val="ListParagraph"/>
    <w:uiPriority w:val="34"/>
    <w:qFormat/>
    <w:rsid w:val="009E3020"/>
    <w:rPr>
      <w:rFonts w:ascii="Times New Roman" w:eastAsia="Times New Roman" w:hAnsi="Times New Roman" w:cs="Times New Roman"/>
      <w:sz w:val="24"/>
      <w:szCs w:val="24"/>
    </w:rPr>
  </w:style>
  <w:style w:type="paragraph" w:customStyle="1" w:styleId="Default">
    <w:name w:val="Default"/>
    <w:rsid w:val="00531A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ightList-Accent2">
    <w:name w:val="Light List Accent 2"/>
    <w:basedOn w:val="TableNormal"/>
    <w:uiPriority w:val="61"/>
    <w:rsid w:val="00D1633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791BFD"/>
    <w:rPr>
      <w:color w:val="808080"/>
    </w:rPr>
  </w:style>
  <w:style w:type="table" w:styleId="MediumGrid3-Accent3">
    <w:name w:val="Medium Grid 3 Accent 3"/>
    <w:basedOn w:val="TableNormal"/>
    <w:uiPriority w:val="69"/>
    <w:rsid w:val="0004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TOC3">
    <w:name w:val="toc 3"/>
    <w:basedOn w:val="Normal"/>
    <w:next w:val="Normal"/>
    <w:autoRedefine/>
    <w:uiPriority w:val="39"/>
    <w:unhideWhenUsed/>
    <w:rsid w:val="003A3D76"/>
    <w:rPr>
      <w:rFonts w:ascii="Gill Sans MT" w:hAnsi="Gill Sans MT"/>
      <w:i/>
      <w:sz w:val="18"/>
    </w:rPr>
  </w:style>
  <w:style w:type="table" w:styleId="LightShading">
    <w:name w:val="Light Shading"/>
    <w:basedOn w:val="TableNormal"/>
    <w:uiPriority w:val="60"/>
    <w:rsid w:val="00E813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E813C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rsid w:val="00E813C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E813C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E813C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
    <w:name w:val="Light Grid"/>
    <w:basedOn w:val="TableNormal"/>
    <w:uiPriority w:val="62"/>
    <w:rsid w:val="00E813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7B296B"/>
  </w:style>
  <w:style w:type="character" w:styleId="Emphasis">
    <w:name w:val="Emphasis"/>
    <w:basedOn w:val="DefaultParagraphFont"/>
    <w:uiPriority w:val="20"/>
    <w:qFormat/>
    <w:rsid w:val="001E2569"/>
    <w:rPr>
      <w:i/>
      <w:iCs/>
    </w:rPr>
  </w:style>
  <w:style w:type="table" w:styleId="LightList-Accent4">
    <w:name w:val="Light List Accent 4"/>
    <w:basedOn w:val="TableNormal"/>
    <w:uiPriority w:val="61"/>
    <w:rsid w:val="0074260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6">
    <w:name w:val="Light List Accent 6"/>
    <w:basedOn w:val="TableNormal"/>
    <w:uiPriority w:val="61"/>
    <w:rsid w:val="0074260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1">
    <w:name w:val="Medium Shading 1 Accent 1"/>
    <w:basedOn w:val="TableNormal"/>
    <w:uiPriority w:val="63"/>
    <w:rsid w:val="007426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260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4354">
      <w:bodyDiv w:val="1"/>
      <w:marLeft w:val="0"/>
      <w:marRight w:val="0"/>
      <w:marTop w:val="0"/>
      <w:marBottom w:val="0"/>
      <w:divBdr>
        <w:top w:val="none" w:sz="0" w:space="0" w:color="auto"/>
        <w:left w:val="none" w:sz="0" w:space="0" w:color="auto"/>
        <w:bottom w:val="none" w:sz="0" w:space="0" w:color="auto"/>
        <w:right w:val="none" w:sz="0" w:space="0" w:color="auto"/>
      </w:divBdr>
    </w:div>
    <w:div w:id="355815883">
      <w:bodyDiv w:val="1"/>
      <w:marLeft w:val="0"/>
      <w:marRight w:val="0"/>
      <w:marTop w:val="0"/>
      <w:marBottom w:val="0"/>
      <w:divBdr>
        <w:top w:val="none" w:sz="0" w:space="0" w:color="auto"/>
        <w:left w:val="none" w:sz="0" w:space="0" w:color="auto"/>
        <w:bottom w:val="none" w:sz="0" w:space="0" w:color="auto"/>
        <w:right w:val="none" w:sz="0" w:space="0" w:color="auto"/>
      </w:divBdr>
    </w:div>
    <w:div w:id="369762503">
      <w:bodyDiv w:val="1"/>
      <w:marLeft w:val="0"/>
      <w:marRight w:val="0"/>
      <w:marTop w:val="0"/>
      <w:marBottom w:val="0"/>
      <w:divBdr>
        <w:top w:val="none" w:sz="0" w:space="0" w:color="auto"/>
        <w:left w:val="none" w:sz="0" w:space="0" w:color="auto"/>
        <w:bottom w:val="none" w:sz="0" w:space="0" w:color="auto"/>
        <w:right w:val="none" w:sz="0" w:space="0" w:color="auto"/>
      </w:divBdr>
    </w:div>
    <w:div w:id="916982820">
      <w:bodyDiv w:val="1"/>
      <w:marLeft w:val="0"/>
      <w:marRight w:val="0"/>
      <w:marTop w:val="0"/>
      <w:marBottom w:val="0"/>
      <w:divBdr>
        <w:top w:val="none" w:sz="0" w:space="0" w:color="auto"/>
        <w:left w:val="none" w:sz="0" w:space="0" w:color="auto"/>
        <w:bottom w:val="none" w:sz="0" w:space="0" w:color="auto"/>
        <w:right w:val="none" w:sz="0" w:space="0" w:color="auto"/>
      </w:divBdr>
    </w:div>
    <w:div w:id="1011689414">
      <w:bodyDiv w:val="1"/>
      <w:marLeft w:val="0"/>
      <w:marRight w:val="0"/>
      <w:marTop w:val="0"/>
      <w:marBottom w:val="0"/>
      <w:divBdr>
        <w:top w:val="none" w:sz="0" w:space="0" w:color="auto"/>
        <w:left w:val="none" w:sz="0" w:space="0" w:color="auto"/>
        <w:bottom w:val="none" w:sz="0" w:space="0" w:color="auto"/>
        <w:right w:val="none" w:sz="0" w:space="0" w:color="auto"/>
      </w:divBdr>
    </w:div>
    <w:div w:id="1036196075">
      <w:bodyDiv w:val="1"/>
      <w:marLeft w:val="0"/>
      <w:marRight w:val="0"/>
      <w:marTop w:val="0"/>
      <w:marBottom w:val="0"/>
      <w:divBdr>
        <w:top w:val="none" w:sz="0" w:space="0" w:color="auto"/>
        <w:left w:val="none" w:sz="0" w:space="0" w:color="auto"/>
        <w:bottom w:val="none" w:sz="0" w:space="0" w:color="auto"/>
        <w:right w:val="none" w:sz="0" w:space="0" w:color="auto"/>
      </w:divBdr>
    </w:div>
    <w:div w:id="1137332229">
      <w:bodyDiv w:val="1"/>
      <w:marLeft w:val="0"/>
      <w:marRight w:val="0"/>
      <w:marTop w:val="0"/>
      <w:marBottom w:val="0"/>
      <w:divBdr>
        <w:top w:val="none" w:sz="0" w:space="0" w:color="auto"/>
        <w:left w:val="none" w:sz="0" w:space="0" w:color="auto"/>
        <w:bottom w:val="none" w:sz="0" w:space="0" w:color="auto"/>
        <w:right w:val="none" w:sz="0" w:space="0" w:color="auto"/>
      </w:divBdr>
    </w:div>
    <w:div w:id="1287195906">
      <w:bodyDiv w:val="1"/>
      <w:marLeft w:val="0"/>
      <w:marRight w:val="0"/>
      <w:marTop w:val="0"/>
      <w:marBottom w:val="0"/>
      <w:divBdr>
        <w:top w:val="none" w:sz="0" w:space="0" w:color="auto"/>
        <w:left w:val="none" w:sz="0" w:space="0" w:color="auto"/>
        <w:bottom w:val="none" w:sz="0" w:space="0" w:color="auto"/>
        <w:right w:val="none" w:sz="0" w:space="0" w:color="auto"/>
      </w:divBdr>
    </w:div>
    <w:div w:id="1852376788">
      <w:bodyDiv w:val="1"/>
      <w:marLeft w:val="0"/>
      <w:marRight w:val="0"/>
      <w:marTop w:val="0"/>
      <w:marBottom w:val="0"/>
      <w:divBdr>
        <w:top w:val="none" w:sz="0" w:space="0" w:color="auto"/>
        <w:left w:val="none" w:sz="0" w:space="0" w:color="auto"/>
        <w:bottom w:val="none" w:sz="0" w:space="0" w:color="auto"/>
        <w:right w:val="none" w:sz="0" w:space="0" w:color="auto"/>
      </w:divBdr>
    </w:div>
    <w:div w:id="20176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819C-0BAF-4A6D-AE53-1BE9C77E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23112</Words>
  <Characters>131744</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 Shuria</dc:creator>
  <cp:lastModifiedBy>Peter Nordstrom</cp:lastModifiedBy>
  <cp:revision>5</cp:revision>
  <dcterms:created xsi:type="dcterms:W3CDTF">2019-05-13T15:34:00Z</dcterms:created>
  <dcterms:modified xsi:type="dcterms:W3CDTF">2019-05-19T05:38:00Z</dcterms:modified>
</cp:coreProperties>
</file>