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F852" w14:textId="77777777" w:rsidR="00677B01" w:rsidRPr="00D457FF" w:rsidRDefault="004D5A82" w:rsidP="00D457FF">
      <w:pPr>
        <w:spacing w:before="200"/>
      </w:pPr>
      <w:r w:rsidRPr="00D457FF">
        <w:rPr>
          <w:noProof/>
          <w:lang w:eastAsia="zh-CN"/>
        </w:rPr>
        <w:drawing>
          <wp:inline distT="0" distB="0" distL="0" distR="0" wp14:anchorId="76A54526" wp14:editId="3D5AC6FB">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6AC7F33C" w14:textId="42654C68" w:rsidR="00660796" w:rsidRPr="00D457FF" w:rsidRDefault="00502C46" w:rsidP="008C6FE3">
      <w:pPr>
        <w:pStyle w:val="Heading1"/>
        <w:rPr>
          <w:sz w:val="28"/>
        </w:rPr>
      </w:pPr>
      <w:r w:rsidRPr="00D457FF">
        <w:t>TEMPLATE FOR P</w:t>
      </w:r>
      <w:r w:rsidR="00BB6DD3" w:rsidRPr="00D457FF">
        <w:t xml:space="preserve">ROJECT </w:t>
      </w:r>
      <w:r w:rsidRPr="00D457FF">
        <w:t>PROPOSALS</w:t>
      </w:r>
    </w:p>
    <w:tbl>
      <w:tblPr>
        <w:tblStyle w:val="TableGrid"/>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3788"/>
        <w:gridCol w:w="6066"/>
      </w:tblGrid>
      <w:tr w:rsidR="006B23CD" w:rsidRPr="00D457FF" w14:paraId="76D291F3" w14:textId="305E7F60" w:rsidTr="004337FF">
        <w:trPr>
          <w:cantSplit/>
          <w:tblHeader/>
        </w:trPr>
        <w:tc>
          <w:tcPr>
            <w:tcW w:w="1600" w:type="pct"/>
            <w:vAlign w:val="center"/>
          </w:tcPr>
          <w:p w14:paraId="13CB3C3C" w14:textId="63F6ACAE" w:rsidR="006B23CD" w:rsidRPr="008C6FE3" w:rsidRDefault="006B23CD" w:rsidP="006B23CD">
            <w:pPr>
              <w:spacing w:before="200" w:after="200"/>
              <w:rPr>
                <w:b/>
                <w:bCs/>
              </w:rPr>
            </w:pPr>
            <w:r w:rsidRPr="008C6FE3">
              <w:rPr>
                <w:b/>
                <w:bCs/>
              </w:rPr>
              <w:t xml:space="preserve">Title: </w:t>
            </w:r>
          </w:p>
        </w:tc>
        <w:tc>
          <w:tcPr>
            <w:tcW w:w="2563" w:type="pct"/>
            <w:vAlign w:val="center"/>
          </w:tcPr>
          <w:p w14:paraId="34495D8B" w14:textId="6A837B7F" w:rsidR="006B23CD" w:rsidRPr="008C6FE3" w:rsidRDefault="006B23CD" w:rsidP="008C6FE3">
            <w:pPr>
              <w:spacing w:before="200" w:after="200"/>
              <w:rPr>
                <w:b/>
                <w:bCs/>
              </w:rPr>
            </w:pPr>
            <w:r w:rsidRPr="008C6FE3">
              <w:rPr>
                <w:b/>
                <w:bCs/>
              </w:rPr>
              <w:t>Empower for Change - Reducing violence and discrimination against women and children with disabilities in Timor-Leste</w:t>
            </w:r>
          </w:p>
        </w:tc>
      </w:tr>
      <w:tr w:rsidR="006B23CD" w:rsidRPr="00D457FF" w14:paraId="40B9C0CF" w14:textId="7D9664E6" w:rsidTr="004337FF">
        <w:trPr>
          <w:trHeight w:val="357"/>
        </w:trPr>
        <w:tc>
          <w:tcPr>
            <w:tcW w:w="1600" w:type="pct"/>
            <w:vAlign w:val="center"/>
          </w:tcPr>
          <w:p w14:paraId="07361469" w14:textId="5A49C84E" w:rsidR="006B23CD" w:rsidRPr="008C6FE3" w:rsidRDefault="006B23CD" w:rsidP="006B23CD">
            <w:pPr>
              <w:spacing w:before="200" w:after="200"/>
              <w:rPr>
                <w:b/>
                <w:bCs/>
              </w:rPr>
            </w:pPr>
            <w:r w:rsidRPr="008C6FE3">
              <w:rPr>
                <w:b/>
                <w:bCs/>
              </w:rPr>
              <w:t xml:space="preserve">Country: </w:t>
            </w:r>
          </w:p>
        </w:tc>
        <w:tc>
          <w:tcPr>
            <w:tcW w:w="2563" w:type="pct"/>
            <w:vAlign w:val="center"/>
          </w:tcPr>
          <w:p w14:paraId="0DA9CFBB" w14:textId="3D925D11" w:rsidR="006B23CD" w:rsidRPr="008C6FE3" w:rsidRDefault="006B23CD" w:rsidP="008C6FE3">
            <w:pPr>
              <w:spacing w:before="200" w:after="200"/>
              <w:rPr>
                <w:b/>
                <w:bCs/>
              </w:rPr>
            </w:pPr>
            <w:r w:rsidRPr="008C6FE3">
              <w:rPr>
                <w:b/>
                <w:bCs/>
              </w:rPr>
              <w:t>Timor-Leste</w:t>
            </w:r>
          </w:p>
        </w:tc>
      </w:tr>
      <w:tr w:rsidR="006B23CD" w:rsidRPr="00D457FF" w14:paraId="3048C479" w14:textId="4692FC4B" w:rsidTr="004337FF">
        <w:tc>
          <w:tcPr>
            <w:tcW w:w="1600" w:type="pct"/>
            <w:vAlign w:val="center"/>
          </w:tcPr>
          <w:p w14:paraId="312695AC" w14:textId="0BC9C8BA" w:rsidR="006B23CD" w:rsidRPr="008C6FE3" w:rsidRDefault="006B23CD" w:rsidP="006B23CD">
            <w:pPr>
              <w:spacing w:before="200" w:after="200"/>
              <w:rPr>
                <w:b/>
                <w:bCs/>
              </w:rPr>
            </w:pPr>
            <w:r w:rsidRPr="008C6FE3">
              <w:rPr>
                <w:b/>
                <w:bCs/>
              </w:rPr>
              <w:t xml:space="preserve">Duration: </w:t>
            </w:r>
          </w:p>
        </w:tc>
        <w:tc>
          <w:tcPr>
            <w:tcW w:w="2563" w:type="pct"/>
            <w:vAlign w:val="center"/>
          </w:tcPr>
          <w:p w14:paraId="0FE5AE67" w14:textId="6E407A32" w:rsidR="006B23CD" w:rsidRPr="008C6FE3" w:rsidRDefault="006B23CD" w:rsidP="008C6FE3">
            <w:pPr>
              <w:spacing w:before="200" w:after="200"/>
              <w:rPr>
                <w:b/>
                <w:bCs/>
              </w:rPr>
            </w:pPr>
            <w:r w:rsidRPr="008C6FE3">
              <w:rPr>
                <w:b/>
                <w:bCs/>
              </w:rPr>
              <w:t>36 months</w:t>
            </w:r>
          </w:p>
        </w:tc>
      </w:tr>
      <w:tr w:rsidR="006B23CD" w:rsidRPr="00D457FF" w14:paraId="6928FD73" w14:textId="79606122" w:rsidTr="004337FF">
        <w:tc>
          <w:tcPr>
            <w:tcW w:w="1600" w:type="pct"/>
            <w:vAlign w:val="center"/>
          </w:tcPr>
          <w:p w14:paraId="72A61964" w14:textId="4C66D44C" w:rsidR="006B23CD" w:rsidRPr="008C6FE3" w:rsidRDefault="006B23CD" w:rsidP="006B23CD">
            <w:pPr>
              <w:spacing w:before="200" w:after="200"/>
              <w:rPr>
                <w:b/>
                <w:bCs/>
              </w:rPr>
            </w:pPr>
            <w:r w:rsidRPr="008C6FE3">
              <w:rPr>
                <w:b/>
                <w:bCs/>
              </w:rPr>
              <w:t xml:space="preserve">Total Budget: </w:t>
            </w:r>
          </w:p>
        </w:tc>
        <w:tc>
          <w:tcPr>
            <w:tcW w:w="2563" w:type="pct"/>
            <w:vAlign w:val="center"/>
          </w:tcPr>
          <w:p w14:paraId="017B4CA4" w14:textId="5E2F148A" w:rsidR="006B23CD" w:rsidRPr="008C6FE3" w:rsidRDefault="008C6FE3" w:rsidP="008C6FE3">
            <w:pPr>
              <w:bidi/>
              <w:spacing w:before="200"/>
              <w:jc w:val="right"/>
              <w:rPr>
                <w:b/>
                <w:bCs/>
              </w:rPr>
            </w:pPr>
            <w:r w:rsidRPr="008C6FE3">
              <w:rPr>
                <w:b/>
                <w:bCs/>
              </w:rPr>
              <w:t>Women and WHO (in collaboration with UNFPA, UNICEF and OHCHR (through the Human Rights Adviser’s Unit in the Resident Coordinator’s Office)</w:t>
            </w:r>
          </w:p>
        </w:tc>
      </w:tr>
      <w:tr w:rsidR="006B23CD" w:rsidRPr="00D457FF" w14:paraId="03C8BDD5" w14:textId="7237E9A5" w:rsidTr="004337FF">
        <w:tc>
          <w:tcPr>
            <w:tcW w:w="1600" w:type="pct"/>
            <w:vAlign w:val="center"/>
          </w:tcPr>
          <w:p w14:paraId="649002CF" w14:textId="610801D6" w:rsidR="006B23CD" w:rsidRPr="008C6FE3" w:rsidRDefault="006B23CD" w:rsidP="008C6FE3">
            <w:pPr>
              <w:spacing w:before="200" w:after="200"/>
              <w:rPr>
                <w:b/>
                <w:bCs/>
              </w:rPr>
            </w:pPr>
            <w:r w:rsidRPr="008C6FE3">
              <w:rPr>
                <w:b/>
                <w:bCs/>
              </w:rPr>
              <w:t xml:space="preserve">Participating UN Organizations: </w:t>
            </w:r>
          </w:p>
        </w:tc>
        <w:tc>
          <w:tcPr>
            <w:tcW w:w="2563" w:type="pct"/>
            <w:vAlign w:val="center"/>
          </w:tcPr>
          <w:p w14:paraId="660B5660" w14:textId="34D371EF" w:rsidR="006B23CD" w:rsidRPr="008C6FE3" w:rsidRDefault="008C6FE3" w:rsidP="008C6FE3">
            <w:pPr>
              <w:rPr>
                <w:b/>
                <w:bCs/>
              </w:rPr>
            </w:pPr>
            <w:r w:rsidRPr="008C6FE3">
              <w:rPr>
                <w:b/>
                <w:bCs/>
              </w:rPr>
              <w:t xml:space="preserve">UN  </w:t>
            </w:r>
            <w:r w:rsidR="006B23CD" w:rsidRPr="008C6FE3">
              <w:rPr>
                <w:b/>
                <w:bCs/>
              </w:rPr>
              <w:t>Women and WHO (in collaboration with UNFPA, UNICEF and OHCHR (through the Human Rights Adviser’s Unit in the Resident Coordinator’s Office)</w:t>
            </w:r>
          </w:p>
        </w:tc>
      </w:tr>
    </w:tbl>
    <w:p w14:paraId="0C67B376" w14:textId="230078B6" w:rsidR="009D67BF" w:rsidRPr="008C6FE3" w:rsidRDefault="00BE1A64" w:rsidP="008C6FE3">
      <w:pPr>
        <w:pStyle w:val="Heading1"/>
      </w:pPr>
      <w:r w:rsidRPr="008C6FE3">
        <w:t>Executive summary</w:t>
      </w:r>
    </w:p>
    <w:p w14:paraId="305B310F" w14:textId="42A55F4F" w:rsidR="000571F8" w:rsidRPr="00D457FF" w:rsidRDefault="00A17588" w:rsidP="00D457FF">
      <w:pPr>
        <w:spacing w:before="200" w:line="240" w:lineRule="atLeast"/>
        <w:jc w:val="both"/>
        <w:rPr>
          <w:sz w:val="24"/>
          <w:szCs w:val="24"/>
        </w:rPr>
      </w:pPr>
      <w:r w:rsidRPr="00D457FF">
        <w:rPr>
          <w:sz w:val="24"/>
          <w:szCs w:val="24"/>
        </w:rPr>
        <w:t xml:space="preserve">This project </w:t>
      </w:r>
      <w:r w:rsidR="00CC5C56" w:rsidRPr="00D457FF">
        <w:rPr>
          <w:sz w:val="24"/>
          <w:szCs w:val="24"/>
        </w:rPr>
        <w:t>will</w:t>
      </w:r>
      <w:r w:rsidRPr="00D457FF">
        <w:rPr>
          <w:sz w:val="24"/>
          <w:szCs w:val="24"/>
        </w:rPr>
        <w:t xml:space="preserve"> work towards enhancing</w:t>
      </w:r>
      <w:r w:rsidR="001E00AB" w:rsidRPr="00D457FF">
        <w:rPr>
          <w:sz w:val="24"/>
          <w:szCs w:val="24"/>
        </w:rPr>
        <w:t xml:space="preserve"> the rights of persons w</w:t>
      </w:r>
      <w:r w:rsidR="009459A6" w:rsidRPr="00D457FF">
        <w:rPr>
          <w:sz w:val="24"/>
          <w:szCs w:val="24"/>
        </w:rPr>
        <w:t>ith disabilities to live free from</w:t>
      </w:r>
      <w:r w:rsidR="001E00AB" w:rsidRPr="00D457FF">
        <w:rPr>
          <w:sz w:val="24"/>
          <w:szCs w:val="24"/>
        </w:rPr>
        <w:t xml:space="preserve"> discrimination</w:t>
      </w:r>
      <w:r w:rsidR="003B2A0E" w:rsidRPr="00D457FF">
        <w:rPr>
          <w:sz w:val="24"/>
          <w:szCs w:val="24"/>
        </w:rPr>
        <w:t xml:space="preserve"> and</w:t>
      </w:r>
      <w:r w:rsidR="00B67B84" w:rsidRPr="00D457FF">
        <w:rPr>
          <w:sz w:val="24"/>
          <w:szCs w:val="24"/>
        </w:rPr>
        <w:t xml:space="preserve"> violence</w:t>
      </w:r>
      <w:r w:rsidR="001E00AB" w:rsidRPr="00D457FF">
        <w:rPr>
          <w:sz w:val="24"/>
          <w:szCs w:val="24"/>
        </w:rPr>
        <w:t xml:space="preserve">, </w:t>
      </w:r>
      <w:r w:rsidR="00805C29" w:rsidRPr="00D457FF">
        <w:rPr>
          <w:sz w:val="24"/>
          <w:szCs w:val="24"/>
        </w:rPr>
        <w:t>and advancing</w:t>
      </w:r>
      <w:r w:rsidR="00B67B84" w:rsidRPr="00D457FF">
        <w:rPr>
          <w:sz w:val="24"/>
          <w:szCs w:val="24"/>
        </w:rPr>
        <w:t xml:space="preserve"> </w:t>
      </w:r>
      <w:r w:rsidR="001E00AB" w:rsidRPr="00D457FF">
        <w:rPr>
          <w:sz w:val="24"/>
          <w:szCs w:val="24"/>
        </w:rPr>
        <w:t>the equal rights of women and girls</w:t>
      </w:r>
      <w:r w:rsidR="00B67B84" w:rsidRPr="00D457FF">
        <w:rPr>
          <w:sz w:val="24"/>
          <w:szCs w:val="24"/>
        </w:rPr>
        <w:t xml:space="preserve"> with disabilities facing m</w:t>
      </w:r>
      <w:r w:rsidR="00EC7A79" w:rsidRPr="00D457FF">
        <w:rPr>
          <w:sz w:val="24"/>
          <w:szCs w:val="24"/>
        </w:rPr>
        <w:t>ultiple forms of discrimination</w:t>
      </w:r>
      <w:r w:rsidR="00B44456" w:rsidRPr="00D457FF">
        <w:rPr>
          <w:sz w:val="24"/>
          <w:szCs w:val="24"/>
        </w:rPr>
        <w:t>. The UNCT in Timor-Leste will</w:t>
      </w:r>
      <w:r w:rsidR="00B67B84" w:rsidRPr="00D457FF">
        <w:rPr>
          <w:sz w:val="24"/>
          <w:szCs w:val="24"/>
        </w:rPr>
        <w:t xml:space="preserve"> leverag</w:t>
      </w:r>
      <w:r w:rsidR="003C75F3" w:rsidRPr="00D457FF">
        <w:rPr>
          <w:sz w:val="24"/>
          <w:szCs w:val="24"/>
        </w:rPr>
        <w:t>e</w:t>
      </w:r>
      <w:r w:rsidR="00B67B84" w:rsidRPr="00D457FF">
        <w:rPr>
          <w:sz w:val="24"/>
          <w:szCs w:val="24"/>
        </w:rPr>
        <w:t xml:space="preserve"> UNPRPD </w:t>
      </w:r>
      <w:r w:rsidR="00B44456" w:rsidRPr="00D457FF">
        <w:rPr>
          <w:sz w:val="24"/>
          <w:szCs w:val="24"/>
        </w:rPr>
        <w:t xml:space="preserve">support </w:t>
      </w:r>
      <w:r w:rsidR="00B67B84" w:rsidRPr="00D457FF">
        <w:rPr>
          <w:sz w:val="24"/>
          <w:szCs w:val="24"/>
        </w:rPr>
        <w:t xml:space="preserve">to </w:t>
      </w:r>
      <w:r w:rsidR="005E49B1" w:rsidRPr="00D457FF">
        <w:rPr>
          <w:sz w:val="24"/>
          <w:szCs w:val="24"/>
        </w:rPr>
        <w:t xml:space="preserve">prevent and </w:t>
      </w:r>
      <w:r w:rsidR="00982219" w:rsidRPr="00D457FF">
        <w:rPr>
          <w:sz w:val="24"/>
          <w:szCs w:val="24"/>
        </w:rPr>
        <w:t>address violence</w:t>
      </w:r>
      <w:r w:rsidR="00805C29" w:rsidRPr="00D457FF">
        <w:rPr>
          <w:sz w:val="24"/>
          <w:szCs w:val="24"/>
        </w:rPr>
        <w:t>, in particular</w:t>
      </w:r>
      <w:r w:rsidR="00982219" w:rsidRPr="00D457FF">
        <w:rPr>
          <w:sz w:val="24"/>
          <w:szCs w:val="24"/>
        </w:rPr>
        <w:t xml:space="preserve"> </w:t>
      </w:r>
      <w:r w:rsidR="00805C29" w:rsidRPr="00D457FF">
        <w:rPr>
          <w:sz w:val="24"/>
          <w:szCs w:val="24"/>
        </w:rPr>
        <w:t xml:space="preserve">gender-based violence </w:t>
      </w:r>
      <w:r w:rsidR="00BE3DCB" w:rsidRPr="00D457FF">
        <w:rPr>
          <w:sz w:val="24"/>
          <w:szCs w:val="24"/>
        </w:rPr>
        <w:t xml:space="preserve">(GBV) </w:t>
      </w:r>
      <w:r w:rsidR="00982219" w:rsidRPr="00D457FF">
        <w:rPr>
          <w:sz w:val="24"/>
          <w:szCs w:val="24"/>
        </w:rPr>
        <w:t>against persons with disabilities</w:t>
      </w:r>
      <w:r w:rsidR="00805C29" w:rsidRPr="00D457FF">
        <w:rPr>
          <w:sz w:val="24"/>
          <w:szCs w:val="24"/>
        </w:rPr>
        <w:t>, with a focus on women and children</w:t>
      </w:r>
      <w:r w:rsidR="00982219" w:rsidRPr="00D457FF">
        <w:rPr>
          <w:sz w:val="24"/>
          <w:szCs w:val="24"/>
        </w:rPr>
        <w:t xml:space="preserve">. The </w:t>
      </w:r>
      <w:r w:rsidR="00805C29" w:rsidRPr="00D457FF">
        <w:rPr>
          <w:sz w:val="24"/>
          <w:szCs w:val="24"/>
        </w:rPr>
        <w:t>project</w:t>
      </w:r>
      <w:r w:rsidR="00982219" w:rsidRPr="00D457FF">
        <w:rPr>
          <w:sz w:val="24"/>
          <w:szCs w:val="24"/>
        </w:rPr>
        <w:t xml:space="preserve"> </w:t>
      </w:r>
      <w:r w:rsidR="0007182A" w:rsidRPr="00D457FF">
        <w:rPr>
          <w:sz w:val="24"/>
          <w:szCs w:val="24"/>
        </w:rPr>
        <w:t>will partner with</w:t>
      </w:r>
      <w:r w:rsidR="00982219" w:rsidRPr="00D457FF">
        <w:rPr>
          <w:sz w:val="24"/>
          <w:szCs w:val="24"/>
        </w:rPr>
        <w:t xml:space="preserve"> </w:t>
      </w:r>
      <w:r w:rsidR="00C50F11" w:rsidRPr="00D457FF">
        <w:rPr>
          <w:sz w:val="24"/>
          <w:szCs w:val="24"/>
        </w:rPr>
        <w:t>Organizations</w:t>
      </w:r>
      <w:r w:rsidR="00D12780" w:rsidRPr="00D457FF">
        <w:rPr>
          <w:sz w:val="24"/>
          <w:szCs w:val="24"/>
        </w:rPr>
        <w:t xml:space="preserve"> of Persons with Disabilities</w:t>
      </w:r>
      <w:r w:rsidR="00C50F11" w:rsidRPr="00D457FF">
        <w:rPr>
          <w:sz w:val="24"/>
          <w:szCs w:val="24"/>
        </w:rPr>
        <w:t xml:space="preserve"> (</w:t>
      </w:r>
      <w:r w:rsidR="0007182A" w:rsidRPr="00D457FF">
        <w:rPr>
          <w:sz w:val="24"/>
          <w:szCs w:val="24"/>
        </w:rPr>
        <w:t>DPOs</w:t>
      </w:r>
      <w:r w:rsidR="00C50F11" w:rsidRPr="00D457FF">
        <w:rPr>
          <w:sz w:val="24"/>
          <w:szCs w:val="24"/>
        </w:rPr>
        <w:t>)</w:t>
      </w:r>
      <w:r w:rsidR="0007182A" w:rsidRPr="00D457FF">
        <w:rPr>
          <w:sz w:val="24"/>
          <w:szCs w:val="24"/>
        </w:rPr>
        <w:t xml:space="preserve"> </w:t>
      </w:r>
      <w:r w:rsidR="00836B94" w:rsidRPr="00D457FF">
        <w:rPr>
          <w:sz w:val="24"/>
          <w:szCs w:val="24"/>
        </w:rPr>
        <w:t xml:space="preserve">towards </w:t>
      </w:r>
      <w:r w:rsidR="00982219" w:rsidRPr="00D457FF">
        <w:rPr>
          <w:sz w:val="24"/>
          <w:szCs w:val="24"/>
        </w:rPr>
        <w:t xml:space="preserve">reducing harmful attitudes that perpetuate tolerance of gendered </w:t>
      </w:r>
      <w:r w:rsidR="00087DF9" w:rsidRPr="00D457FF">
        <w:rPr>
          <w:sz w:val="24"/>
          <w:szCs w:val="24"/>
        </w:rPr>
        <w:t>discrimination against persons with disabilities</w:t>
      </w:r>
      <w:r w:rsidR="00836B94" w:rsidRPr="00D457FF">
        <w:rPr>
          <w:sz w:val="24"/>
          <w:szCs w:val="24"/>
        </w:rPr>
        <w:t>. C</w:t>
      </w:r>
      <w:r w:rsidR="00982219" w:rsidRPr="00D457FF">
        <w:rPr>
          <w:sz w:val="24"/>
          <w:szCs w:val="24"/>
        </w:rPr>
        <w:t xml:space="preserve">apacities of service providers to </w:t>
      </w:r>
      <w:r w:rsidR="0007182A" w:rsidRPr="00D457FF">
        <w:rPr>
          <w:sz w:val="24"/>
          <w:szCs w:val="24"/>
        </w:rPr>
        <w:t xml:space="preserve">refer and </w:t>
      </w:r>
      <w:r w:rsidR="00982219" w:rsidRPr="00D457FF">
        <w:rPr>
          <w:sz w:val="24"/>
          <w:szCs w:val="24"/>
        </w:rPr>
        <w:t xml:space="preserve">deliver </w:t>
      </w:r>
      <w:r w:rsidR="0007182A" w:rsidRPr="00D457FF">
        <w:rPr>
          <w:sz w:val="24"/>
          <w:szCs w:val="24"/>
        </w:rPr>
        <w:t xml:space="preserve">coordinated, </w:t>
      </w:r>
      <w:r w:rsidR="00982219" w:rsidRPr="00D457FF">
        <w:rPr>
          <w:sz w:val="24"/>
          <w:szCs w:val="24"/>
        </w:rPr>
        <w:t>inclusive and accessible services</w:t>
      </w:r>
      <w:r w:rsidR="00836B94" w:rsidRPr="00D457FF">
        <w:rPr>
          <w:sz w:val="24"/>
          <w:szCs w:val="24"/>
        </w:rPr>
        <w:t xml:space="preserve"> will be strengthened, in particular the coordinating Ministry of Social Solidarity</w:t>
      </w:r>
      <w:r w:rsidR="00B67B84" w:rsidRPr="00D457FF">
        <w:rPr>
          <w:sz w:val="24"/>
          <w:szCs w:val="24"/>
        </w:rPr>
        <w:t xml:space="preserve"> </w:t>
      </w:r>
      <w:r w:rsidR="00836B94" w:rsidRPr="00D457FF">
        <w:rPr>
          <w:sz w:val="24"/>
          <w:szCs w:val="24"/>
        </w:rPr>
        <w:t xml:space="preserve">(MSS), the </w:t>
      </w:r>
      <w:r w:rsidR="00D12780" w:rsidRPr="00D457FF">
        <w:rPr>
          <w:sz w:val="24"/>
          <w:szCs w:val="24"/>
        </w:rPr>
        <w:t>M</w:t>
      </w:r>
      <w:r w:rsidR="00836B94" w:rsidRPr="00D457FF">
        <w:rPr>
          <w:sz w:val="24"/>
          <w:szCs w:val="24"/>
        </w:rPr>
        <w:t>inistries of Education</w:t>
      </w:r>
      <w:r w:rsidR="00D12780" w:rsidRPr="00D457FF">
        <w:rPr>
          <w:sz w:val="24"/>
          <w:szCs w:val="24"/>
        </w:rPr>
        <w:t xml:space="preserve"> and </w:t>
      </w:r>
      <w:r w:rsidR="00836B94" w:rsidRPr="00D457FF">
        <w:rPr>
          <w:sz w:val="24"/>
          <w:szCs w:val="24"/>
        </w:rPr>
        <w:t xml:space="preserve">Health and the </w:t>
      </w:r>
      <w:r w:rsidR="00D12780" w:rsidRPr="00D457FF">
        <w:rPr>
          <w:sz w:val="24"/>
          <w:szCs w:val="24"/>
        </w:rPr>
        <w:t>J</w:t>
      </w:r>
      <w:r w:rsidR="00836B94" w:rsidRPr="00D457FF">
        <w:rPr>
          <w:sz w:val="24"/>
          <w:szCs w:val="24"/>
        </w:rPr>
        <w:t xml:space="preserve">udiciary. </w:t>
      </w:r>
      <w:r w:rsidR="00805C29" w:rsidRPr="00D457FF">
        <w:rPr>
          <w:sz w:val="24"/>
          <w:szCs w:val="24"/>
        </w:rPr>
        <w:t>Capacity for better disaggregation and use of data and for disability and gender respons</w:t>
      </w:r>
      <w:r w:rsidR="00B41613" w:rsidRPr="00D457FF">
        <w:rPr>
          <w:sz w:val="24"/>
          <w:szCs w:val="24"/>
        </w:rPr>
        <w:t>ive</w:t>
      </w:r>
      <w:r w:rsidR="00805C29" w:rsidRPr="00D457FF">
        <w:rPr>
          <w:sz w:val="24"/>
          <w:szCs w:val="24"/>
        </w:rPr>
        <w:t xml:space="preserve"> budgeting in institutions and DPOs will be strengthened. </w:t>
      </w:r>
      <w:r w:rsidR="00087DF9" w:rsidRPr="00D457FF">
        <w:rPr>
          <w:sz w:val="24"/>
          <w:szCs w:val="24"/>
        </w:rPr>
        <w:t xml:space="preserve">The project will directly </w:t>
      </w:r>
      <w:r w:rsidR="0007182A" w:rsidRPr="00D457FF">
        <w:rPr>
          <w:sz w:val="24"/>
          <w:szCs w:val="24"/>
        </w:rPr>
        <w:t>call a</w:t>
      </w:r>
      <w:r w:rsidR="00982219" w:rsidRPr="00D457FF">
        <w:rPr>
          <w:sz w:val="24"/>
          <w:szCs w:val="24"/>
        </w:rPr>
        <w:t>ttention to the</w:t>
      </w:r>
      <w:r w:rsidR="00C220CF" w:rsidRPr="00D457FF">
        <w:rPr>
          <w:sz w:val="24"/>
          <w:szCs w:val="24"/>
        </w:rPr>
        <w:t xml:space="preserve"> urgent</w:t>
      </w:r>
      <w:r w:rsidR="00E456E5" w:rsidRPr="00D457FF">
        <w:rPr>
          <w:sz w:val="24"/>
          <w:szCs w:val="24"/>
        </w:rPr>
        <w:t xml:space="preserve"> need </w:t>
      </w:r>
      <w:r w:rsidR="00982219" w:rsidRPr="00D457FF">
        <w:rPr>
          <w:sz w:val="24"/>
          <w:szCs w:val="24"/>
        </w:rPr>
        <w:t xml:space="preserve">for </w:t>
      </w:r>
      <w:r w:rsidR="00074E5C" w:rsidRPr="00D457FF">
        <w:rPr>
          <w:sz w:val="24"/>
          <w:szCs w:val="24"/>
        </w:rPr>
        <w:t>ratification of the UN Convention on the Rights of Persons with Disabilities</w:t>
      </w:r>
      <w:r w:rsidR="003B2A0E" w:rsidRPr="00D457FF">
        <w:rPr>
          <w:sz w:val="24"/>
          <w:szCs w:val="24"/>
        </w:rPr>
        <w:t xml:space="preserve"> (CR</w:t>
      </w:r>
      <w:r w:rsidR="005E49B1" w:rsidRPr="00D457FF">
        <w:rPr>
          <w:sz w:val="24"/>
          <w:szCs w:val="24"/>
        </w:rPr>
        <w:t>P</w:t>
      </w:r>
      <w:r w:rsidR="003B2A0E" w:rsidRPr="00D457FF">
        <w:rPr>
          <w:sz w:val="24"/>
          <w:szCs w:val="24"/>
        </w:rPr>
        <w:t>D</w:t>
      </w:r>
      <w:r w:rsidR="005E49B1" w:rsidRPr="00D457FF">
        <w:rPr>
          <w:sz w:val="24"/>
          <w:szCs w:val="24"/>
        </w:rPr>
        <w:t>)</w:t>
      </w:r>
      <w:r w:rsidR="00982219" w:rsidRPr="00D457FF">
        <w:rPr>
          <w:sz w:val="24"/>
          <w:szCs w:val="24"/>
        </w:rPr>
        <w:t xml:space="preserve"> </w:t>
      </w:r>
      <w:r w:rsidR="00805C29" w:rsidRPr="00D457FF">
        <w:rPr>
          <w:sz w:val="24"/>
          <w:szCs w:val="24"/>
        </w:rPr>
        <w:t xml:space="preserve">to reinforce various national and international commitments of Timor-Leste </w:t>
      </w:r>
      <w:r w:rsidR="008B5880" w:rsidRPr="00D457FF">
        <w:rPr>
          <w:sz w:val="24"/>
          <w:szCs w:val="24"/>
        </w:rPr>
        <w:t>around</w:t>
      </w:r>
      <w:r w:rsidR="00805C29" w:rsidRPr="00D457FF">
        <w:rPr>
          <w:sz w:val="24"/>
          <w:szCs w:val="24"/>
        </w:rPr>
        <w:t xml:space="preserve"> disability and gender-based violence.</w:t>
      </w:r>
      <w:r w:rsidR="00656125" w:rsidRPr="00D457FF">
        <w:rPr>
          <w:sz w:val="24"/>
          <w:szCs w:val="24"/>
        </w:rPr>
        <w:t xml:space="preserve"> </w:t>
      </w:r>
      <w:r w:rsidR="00805C29" w:rsidRPr="00D457FF">
        <w:rPr>
          <w:sz w:val="24"/>
          <w:szCs w:val="24"/>
        </w:rPr>
        <w:t xml:space="preserve">The project will </w:t>
      </w:r>
      <w:r w:rsidR="007C4218" w:rsidRPr="00D457FF">
        <w:rPr>
          <w:sz w:val="24"/>
          <w:szCs w:val="24"/>
        </w:rPr>
        <w:t xml:space="preserve">strengthen </w:t>
      </w:r>
      <w:r w:rsidR="003B2A0E" w:rsidRPr="00D457FF">
        <w:rPr>
          <w:sz w:val="24"/>
          <w:szCs w:val="24"/>
        </w:rPr>
        <w:t>capacity</w:t>
      </w:r>
      <w:r w:rsidR="00805C29" w:rsidRPr="00D457FF">
        <w:rPr>
          <w:sz w:val="24"/>
          <w:szCs w:val="24"/>
        </w:rPr>
        <w:t xml:space="preserve"> of institutions and DPOs</w:t>
      </w:r>
      <w:r w:rsidR="003B2A0E" w:rsidRPr="00D457FF">
        <w:rPr>
          <w:sz w:val="24"/>
          <w:szCs w:val="24"/>
        </w:rPr>
        <w:t xml:space="preserve"> for legal and policy </w:t>
      </w:r>
      <w:r w:rsidR="0007182A" w:rsidRPr="00D457FF">
        <w:rPr>
          <w:sz w:val="24"/>
          <w:szCs w:val="24"/>
        </w:rPr>
        <w:t>analysis</w:t>
      </w:r>
      <w:r w:rsidR="005E49B1" w:rsidRPr="00D457FF">
        <w:rPr>
          <w:sz w:val="24"/>
          <w:szCs w:val="24"/>
        </w:rPr>
        <w:t xml:space="preserve"> </w:t>
      </w:r>
      <w:r w:rsidR="003B2A0E" w:rsidRPr="00D457FF">
        <w:rPr>
          <w:sz w:val="24"/>
          <w:szCs w:val="24"/>
        </w:rPr>
        <w:t>in line with the</w:t>
      </w:r>
      <w:r w:rsidR="005E49B1" w:rsidRPr="00D457FF">
        <w:rPr>
          <w:sz w:val="24"/>
          <w:szCs w:val="24"/>
        </w:rPr>
        <w:t xml:space="preserve"> rights of persons with disabilities. C</w:t>
      </w:r>
      <w:r w:rsidR="00074E5C" w:rsidRPr="00D457FF">
        <w:rPr>
          <w:sz w:val="24"/>
          <w:szCs w:val="24"/>
        </w:rPr>
        <w:t>apacity of DPOs</w:t>
      </w:r>
      <w:r w:rsidR="005E49B1" w:rsidRPr="00D457FF">
        <w:rPr>
          <w:sz w:val="24"/>
          <w:szCs w:val="24"/>
        </w:rPr>
        <w:t xml:space="preserve"> and State Institutions will be built for </w:t>
      </w:r>
      <w:r w:rsidR="0007182A" w:rsidRPr="00D457FF">
        <w:rPr>
          <w:sz w:val="24"/>
          <w:szCs w:val="24"/>
        </w:rPr>
        <w:t>implementation and monitoring</w:t>
      </w:r>
      <w:r w:rsidR="005E49B1" w:rsidRPr="00D457FF">
        <w:rPr>
          <w:sz w:val="24"/>
          <w:szCs w:val="24"/>
        </w:rPr>
        <w:t xml:space="preserve"> of the rights of persons with disabilities, </w:t>
      </w:r>
      <w:r w:rsidR="003B2A0E" w:rsidRPr="00D457FF">
        <w:rPr>
          <w:sz w:val="24"/>
          <w:szCs w:val="24"/>
        </w:rPr>
        <w:t xml:space="preserve">including CPRD and </w:t>
      </w:r>
      <w:r w:rsidR="005E49B1" w:rsidRPr="00D457FF">
        <w:rPr>
          <w:sz w:val="24"/>
          <w:szCs w:val="24"/>
        </w:rPr>
        <w:t>other treaties ratified</w:t>
      </w:r>
      <w:r w:rsidR="003B2A0E" w:rsidRPr="00D457FF">
        <w:rPr>
          <w:sz w:val="24"/>
          <w:szCs w:val="24"/>
        </w:rPr>
        <w:t xml:space="preserve"> by Timor-Leste</w:t>
      </w:r>
      <w:r w:rsidR="00805C29" w:rsidRPr="00D457FF">
        <w:rPr>
          <w:sz w:val="24"/>
          <w:szCs w:val="24"/>
        </w:rPr>
        <w:t xml:space="preserve"> as well as</w:t>
      </w:r>
      <w:r w:rsidR="005E49B1" w:rsidRPr="00D457FF">
        <w:rPr>
          <w:sz w:val="24"/>
          <w:szCs w:val="24"/>
        </w:rPr>
        <w:t xml:space="preserve"> </w:t>
      </w:r>
      <w:r w:rsidR="003B2A0E" w:rsidRPr="00D457FF">
        <w:rPr>
          <w:sz w:val="24"/>
          <w:szCs w:val="24"/>
        </w:rPr>
        <w:t xml:space="preserve">relevant </w:t>
      </w:r>
      <w:r w:rsidR="005E49B1" w:rsidRPr="00D457FF">
        <w:rPr>
          <w:sz w:val="24"/>
          <w:szCs w:val="24"/>
        </w:rPr>
        <w:t>recommendations from UN treaty bodies an</w:t>
      </w:r>
      <w:r w:rsidR="006C2137" w:rsidRPr="00D457FF">
        <w:rPr>
          <w:sz w:val="24"/>
          <w:szCs w:val="24"/>
        </w:rPr>
        <w:t>d the Universal Periodic Review</w:t>
      </w:r>
      <w:r w:rsidR="00C50F11" w:rsidRPr="00D457FF">
        <w:rPr>
          <w:sz w:val="24"/>
          <w:szCs w:val="24"/>
        </w:rPr>
        <w:t xml:space="preserve"> (UPR)</w:t>
      </w:r>
      <w:r w:rsidR="00805C29" w:rsidRPr="00D457FF">
        <w:rPr>
          <w:sz w:val="24"/>
          <w:szCs w:val="24"/>
        </w:rPr>
        <w:t>.</w:t>
      </w:r>
      <w:r w:rsidR="005E49B1" w:rsidRPr="00D457FF">
        <w:rPr>
          <w:sz w:val="24"/>
          <w:szCs w:val="24"/>
        </w:rPr>
        <w:t xml:space="preserve"> </w:t>
      </w:r>
    </w:p>
    <w:p w14:paraId="55103BB0" w14:textId="4EE1B370" w:rsidR="000571F8" w:rsidRPr="00D457FF" w:rsidRDefault="00D457FF" w:rsidP="00B43F7C">
      <w:pPr>
        <w:pStyle w:val="Heading1"/>
      </w:pPr>
      <w:r>
        <w:lastRenderedPageBreak/>
        <w:t xml:space="preserve">1. </w:t>
      </w:r>
      <w:r w:rsidR="004D202B" w:rsidRPr="00D457FF">
        <w:t>Background</w:t>
      </w:r>
      <w:r w:rsidR="00456CC0" w:rsidRPr="00D457FF">
        <w:rPr>
          <w:rFonts w:eastAsia="Times New Roman" w:cs="Times New Roman"/>
        </w:rPr>
        <w:t xml:space="preserve"> </w:t>
      </w:r>
      <w:r w:rsidR="00456CC0" w:rsidRPr="00D457FF">
        <w:t>and rationale</w:t>
      </w:r>
    </w:p>
    <w:p w14:paraId="620EFBF1" w14:textId="32978B06" w:rsidR="004F1E69" w:rsidRPr="00B43F7C" w:rsidRDefault="00B43F7C" w:rsidP="00B43F7C">
      <w:pPr>
        <w:pStyle w:val="Heading2"/>
        <w:rPr>
          <w:i/>
          <w:sz w:val="20"/>
        </w:rPr>
      </w:pPr>
      <w:r>
        <w:rPr>
          <w:rStyle w:val="Heading2Char"/>
        </w:rPr>
        <w:t xml:space="preserve">1.1. </w:t>
      </w:r>
      <w:r w:rsidR="0049086C" w:rsidRPr="00D457FF">
        <w:rPr>
          <w:rStyle w:val="Heading2Char"/>
        </w:rPr>
        <w:t>Challenges and opportunities to be addressed by the project</w:t>
      </w:r>
      <w:r w:rsidR="00C33125" w:rsidRPr="00B43F7C">
        <w:rPr>
          <w:sz w:val="20"/>
        </w:rPr>
        <w:t>.</w:t>
      </w:r>
    </w:p>
    <w:p w14:paraId="60FE9EEF" w14:textId="7CA2A393" w:rsidR="00BA6938" w:rsidRPr="00D457FF" w:rsidRDefault="006F2195" w:rsidP="00D457FF">
      <w:pPr>
        <w:pStyle w:val="NoSpacing"/>
        <w:spacing w:before="200" w:after="200" w:line="240" w:lineRule="atLeast"/>
        <w:jc w:val="both"/>
        <w:rPr>
          <w:rFonts w:cs="Times New Roman"/>
          <w:sz w:val="24"/>
          <w:szCs w:val="24"/>
        </w:rPr>
      </w:pPr>
      <w:r w:rsidRPr="00D457FF">
        <w:rPr>
          <w:rFonts w:cs="Times New Roman"/>
          <w:sz w:val="24"/>
          <w:szCs w:val="24"/>
        </w:rPr>
        <w:t>Since restoring in</w:t>
      </w:r>
      <w:r w:rsidR="007B3FE3" w:rsidRPr="00D457FF">
        <w:rPr>
          <w:rFonts w:cs="Times New Roman"/>
          <w:sz w:val="24"/>
          <w:szCs w:val="24"/>
        </w:rPr>
        <w:t>dependence in</w:t>
      </w:r>
      <w:r w:rsidRPr="00D457FF">
        <w:rPr>
          <w:rFonts w:cs="Times New Roman"/>
          <w:sz w:val="24"/>
          <w:szCs w:val="24"/>
        </w:rPr>
        <w:t xml:space="preserve"> 2002, </w:t>
      </w:r>
      <w:r w:rsidR="009D67BF" w:rsidRPr="00D457FF">
        <w:rPr>
          <w:rFonts w:cs="Times New Roman"/>
          <w:sz w:val="24"/>
          <w:szCs w:val="24"/>
        </w:rPr>
        <w:t>Timor-Leste has made significant progress in rebuilding the country from conflict towards sustained development</w:t>
      </w:r>
      <w:r w:rsidR="00C03B0F" w:rsidRPr="00D457FF">
        <w:rPr>
          <w:rFonts w:cs="Times New Roman"/>
          <w:sz w:val="24"/>
          <w:szCs w:val="24"/>
        </w:rPr>
        <w:t>.</w:t>
      </w:r>
      <w:r w:rsidR="00A30101" w:rsidRPr="00D457FF">
        <w:rPr>
          <w:rStyle w:val="FootnoteReference"/>
          <w:rFonts w:cs="Times New Roman"/>
          <w:sz w:val="24"/>
          <w:szCs w:val="24"/>
        </w:rPr>
        <w:footnoteReference w:id="1"/>
      </w:r>
      <w:r w:rsidR="00296DCC" w:rsidRPr="00D457FF">
        <w:rPr>
          <w:rFonts w:cs="Times New Roman"/>
          <w:sz w:val="24"/>
          <w:szCs w:val="24"/>
        </w:rPr>
        <w:t xml:space="preserve"> </w:t>
      </w:r>
      <w:r w:rsidR="00902FE9" w:rsidRPr="00D457FF">
        <w:rPr>
          <w:rFonts w:cs="Times New Roman"/>
          <w:sz w:val="24"/>
          <w:szCs w:val="24"/>
        </w:rPr>
        <w:t>Due to the myriad of priorities, disability has not had the attention</w:t>
      </w:r>
      <w:r w:rsidR="00AF6822" w:rsidRPr="00D457FF">
        <w:rPr>
          <w:rFonts w:cs="Times New Roman"/>
          <w:sz w:val="24"/>
          <w:szCs w:val="24"/>
        </w:rPr>
        <w:t xml:space="preserve"> </w:t>
      </w:r>
      <w:r w:rsidR="00ED2843" w:rsidRPr="00D457FF">
        <w:rPr>
          <w:rFonts w:cs="Times New Roman"/>
          <w:sz w:val="24"/>
          <w:szCs w:val="24"/>
        </w:rPr>
        <w:t xml:space="preserve">it warrants. </w:t>
      </w:r>
    </w:p>
    <w:p w14:paraId="13E9EBC2" w14:textId="423EE924" w:rsidR="00AF6822" w:rsidRPr="00D457FF" w:rsidRDefault="00AF6822" w:rsidP="00D457FF">
      <w:pPr>
        <w:pStyle w:val="NoSpacing"/>
        <w:spacing w:before="200" w:after="200" w:line="240" w:lineRule="atLeast"/>
        <w:jc w:val="both"/>
        <w:rPr>
          <w:rFonts w:cs="Times New Roman"/>
          <w:sz w:val="24"/>
          <w:szCs w:val="24"/>
        </w:rPr>
      </w:pPr>
      <w:r w:rsidRPr="00D457FF">
        <w:rPr>
          <w:rFonts w:cs="Times New Roman"/>
          <w:sz w:val="24"/>
          <w:szCs w:val="24"/>
        </w:rPr>
        <w:t>C</w:t>
      </w:r>
      <w:r w:rsidR="00A9070C" w:rsidRPr="00D457FF">
        <w:rPr>
          <w:rFonts w:cs="Times New Roman"/>
          <w:sz w:val="24"/>
          <w:szCs w:val="24"/>
        </w:rPr>
        <w:t>ommitment to uphold human</w:t>
      </w:r>
      <w:r w:rsidR="004D56B9" w:rsidRPr="00D457FF">
        <w:rPr>
          <w:rFonts w:cs="Times New Roman"/>
          <w:sz w:val="24"/>
          <w:szCs w:val="24"/>
        </w:rPr>
        <w:t xml:space="preserve"> rights, including </w:t>
      </w:r>
      <w:r w:rsidR="00A9070C" w:rsidRPr="00D457FF">
        <w:rPr>
          <w:rFonts w:cs="Times New Roman"/>
          <w:sz w:val="24"/>
          <w:szCs w:val="24"/>
        </w:rPr>
        <w:t xml:space="preserve">of </w:t>
      </w:r>
      <w:r w:rsidR="004D56B9" w:rsidRPr="00D457FF">
        <w:rPr>
          <w:rFonts w:cs="Times New Roman"/>
          <w:sz w:val="24"/>
          <w:szCs w:val="24"/>
        </w:rPr>
        <w:t>persons with disabi</w:t>
      </w:r>
      <w:r w:rsidR="00E456E5" w:rsidRPr="00D457FF">
        <w:rPr>
          <w:rFonts w:cs="Times New Roman"/>
          <w:sz w:val="24"/>
          <w:szCs w:val="24"/>
        </w:rPr>
        <w:t>lities</w:t>
      </w:r>
      <w:r w:rsidR="00280461" w:rsidRPr="00D457FF">
        <w:rPr>
          <w:rFonts w:cs="Times New Roman"/>
          <w:sz w:val="24"/>
          <w:szCs w:val="24"/>
        </w:rPr>
        <w:t>,</w:t>
      </w:r>
      <w:r w:rsidR="00E456E5" w:rsidRPr="00D457FF">
        <w:rPr>
          <w:rFonts w:cs="Times New Roman"/>
          <w:sz w:val="24"/>
          <w:szCs w:val="24"/>
        </w:rPr>
        <w:t xml:space="preserve"> are</w:t>
      </w:r>
      <w:r w:rsidR="004D56B9" w:rsidRPr="00D457FF">
        <w:rPr>
          <w:rFonts w:cs="Times New Roman"/>
          <w:sz w:val="24"/>
          <w:szCs w:val="24"/>
        </w:rPr>
        <w:t xml:space="preserve"> enshrined in the Constitution</w:t>
      </w:r>
      <w:r w:rsidR="00C91910" w:rsidRPr="00D457FF">
        <w:rPr>
          <w:rFonts w:cs="Times New Roman"/>
          <w:sz w:val="24"/>
          <w:szCs w:val="24"/>
        </w:rPr>
        <w:t>.</w:t>
      </w:r>
      <w:r w:rsidR="004D56B9" w:rsidRPr="00D457FF">
        <w:rPr>
          <w:rStyle w:val="FootnoteReference"/>
          <w:sz w:val="24"/>
          <w:szCs w:val="24"/>
        </w:rPr>
        <w:footnoteReference w:id="2"/>
      </w:r>
      <w:r w:rsidR="004D56B9" w:rsidRPr="00D457FF">
        <w:rPr>
          <w:rFonts w:cs="Times New Roman"/>
          <w:sz w:val="24"/>
          <w:szCs w:val="24"/>
        </w:rPr>
        <w:t xml:space="preserve"> </w:t>
      </w:r>
      <w:r w:rsidR="00902FE9" w:rsidRPr="00D457FF">
        <w:rPr>
          <w:rFonts w:cs="Times New Roman"/>
          <w:sz w:val="24"/>
          <w:szCs w:val="24"/>
        </w:rPr>
        <w:t>S</w:t>
      </w:r>
      <w:r w:rsidR="00A9070C" w:rsidRPr="00D457FF">
        <w:rPr>
          <w:rFonts w:cs="Times New Roman"/>
          <w:sz w:val="24"/>
          <w:szCs w:val="24"/>
        </w:rPr>
        <w:t>even core UN human rights treaties have been ratified</w:t>
      </w:r>
      <w:r w:rsidR="00324DD3" w:rsidRPr="00D457FF">
        <w:rPr>
          <w:rFonts w:cs="Times New Roman"/>
          <w:sz w:val="24"/>
          <w:szCs w:val="24"/>
        </w:rPr>
        <w:t xml:space="preserve">, </w:t>
      </w:r>
      <w:r w:rsidR="003D108E" w:rsidRPr="00D457FF">
        <w:rPr>
          <w:rFonts w:cs="Times New Roman"/>
          <w:sz w:val="24"/>
          <w:szCs w:val="24"/>
        </w:rPr>
        <w:t xml:space="preserve">but not yet </w:t>
      </w:r>
      <w:r w:rsidR="00296DCC" w:rsidRPr="00D457FF">
        <w:rPr>
          <w:rFonts w:cs="Times New Roman"/>
          <w:sz w:val="24"/>
          <w:szCs w:val="24"/>
        </w:rPr>
        <w:t xml:space="preserve">the </w:t>
      </w:r>
      <w:r w:rsidR="004D56B9" w:rsidRPr="00D457FF">
        <w:rPr>
          <w:rFonts w:cs="Times New Roman"/>
          <w:sz w:val="24"/>
          <w:szCs w:val="24"/>
        </w:rPr>
        <w:t>CRPD</w:t>
      </w:r>
      <w:r w:rsidR="00830DD0" w:rsidRPr="00D457FF">
        <w:rPr>
          <w:rFonts w:cs="Times New Roman"/>
          <w:sz w:val="24"/>
          <w:szCs w:val="24"/>
        </w:rPr>
        <w:t xml:space="preserve">. </w:t>
      </w:r>
      <w:r w:rsidR="00C91910" w:rsidRPr="00D457FF">
        <w:rPr>
          <w:rFonts w:cs="Times New Roman"/>
          <w:sz w:val="24"/>
          <w:szCs w:val="24"/>
        </w:rPr>
        <w:t>For several years, t</w:t>
      </w:r>
      <w:r w:rsidR="00902FE9" w:rsidRPr="00D457FF">
        <w:rPr>
          <w:rFonts w:cs="Times New Roman"/>
          <w:sz w:val="24"/>
          <w:szCs w:val="24"/>
        </w:rPr>
        <w:t xml:space="preserve">he Government has expressed </w:t>
      </w:r>
      <w:r w:rsidR="00280461" w:rsidRPr="00D457FF">
        <w:rPr>
          <w:rFonts w:cs="Times New Roman"/>
          <w:sz w:val="24"/>
          <w:szCs w:val="24"/>
        </w:rPr>
        <w:t>it will</w:t>
      </w:r>
      <w:r w:rsidR="005A5ABF" w:rsidRPr="00D457FF">
        <w:rPr>
          <w:rFonts w:cs="Times New Roman"/>
          <w:sz w:val="24"/>
          <w:szCs w:val="24"/>
        </w:rPr>
        <w:t xml:space="preserve"> ratify </w:t>
      </w:r>
      <w:r w:rsidR="00902FE9" w:rsidRPr="00D457FF">
        <w:rPr>
          <w:rFonts w:cs="Times New Roman"/>
          <w:sz w:val="24"/>
          <w:szCs w:val="24"/>
        </w:rPr>
        <w:t>CRPD ‘soon</w:t>
      </w:r>
      <w:r w:rsidRPr="00D457FF">
        <w:rPr>
          <w:rFonts w:cs="Times New Roman"/>
          <w:sz w:val="24"/>
          <w:szCs w:val="24"/>
        </w:rPr>
        <w:t xml:space="preserve">’, </w:t>
      </w:r>
      <w:r w:rsidR="00972046" w:rsidRPr="00D457FF">
        <w:rPr>
          <w:rFonts w:cs="Times New Roman"/>
          <w:sz w:val="24"/>
          <w:szCs w:val="24"/>
        </w:rPr>
        <w:t>pending</w:t>
      </w:r>
      <w:r w:rsidR="00280461" w:rsidRPr="00D457FF">
        <w:rPr>
          <w:rFonts w:cs="Times New Roman"/>
          <w:sz w:val="24"/>
          <w:szCs w:val="24"/>
        </w:rPr>
        <w:t xml:space="preserve"> ‘creati</w:t>
      </w:r>
      <w:r w:rsidR="00972046" w:rsidRPr="00D457FF">
        <w:rPr>
          <w:rFonts w:cs="Times New Roman"/>
          <w:sz w:val="24"/>
          <w:szCs w:val="24"/>
        </w:rPr>
        <w:t>on of</w:t>
      </w:r>
      <w:r w:rsidRPr="00D457FF">
        <w:rPr>
          <w:rFonts w:cs="Times New Roman"/>
          <w:sz w:val="24"/>
          <w:szCs w:val="24"/>
        </w:rPr>
        <w:t xml:space="preserve"> favorable conditions’ </w:t>
      </w:r>
      <w:r w:rsidR="00972046" w:rsidRPr="00D457FF">
        <w:rPr>
          <w:rFonts w:cs="Times New Roman"/>
          <w:sz w:val="24"/>
          <w:szCs w:val="24"/>
        </w:rPr>
        <w:t>in order to</w:t>
      </w:r>
      <w:r w:rsidRPr="00D457FF">
        <w:rPr>
          <w:rFonts w:cs="Times New Roman"/>
          <w:sz w:val="24"/>
          <w:szCs w:val="24"/>
        </w:rPr>
        <w:t xml:space="preserve"> ‘assume all of the consequences and responsibilities</w:t>
      </w:r>
      <w:r w:rsidR="00C91910" w:rsidRPr="00D457FF">
        <w:rPr>
          <w:rFonts w:cs="Times New Roman"/>
          <w:sz w:val="24"/>
          <w:szCs w:val="24"/>
        </w:rPr>
        <w:t>’ that ensue.</w:t>
      </w:r>
      <w:r w:rsidR="00E07A47" w:rsidRPr="00D457FF">
        <w:rPr>
          <w:rStyle w:val="FootnoteReference"/>
          <w:rFonts w:cs="Times New Roman"/>
          <w:sz w:val="24"/>
          <w:szCs w:val="24"/>
        </w:rPr>
        <w:footnoteReference w:id="3"/>
      </w:r>
      <w:r w:rsidR="000E1AFB" w:rsidRPr="00D457FF">
        <w:rPr>
          <w:sz w:val="24"/>
          <w:szCs w:val="24"/>
        </w:rPr>
        <w:t xml:space="preserve"> Central to this is the establishment of a disability council to oversee the implementation of the 2012 National Policy </w:t>
      </w:r>
      <w:r w:rsidR="00351D99" w:rsidRPr="00D457FF">
        <w:rPr>
          <w:sz w:val="24"/>
          <w:szCs w:val="24"/>
        </w:rPr>
        <w:t>on the Inclusion and Promotion of the Rights of P</w:t>
      </w:r>
      <w:r w:rsidR="000E1AFB" w:rsidRPr="00D457FF">
        <w:rPr>
          <w:sz w:val="24"/>
          <w:szCs w:val="24"/>
        </w:rPr>
        <w:t xml:space="preserve">ersons with </w:t>
      </w:r>
      <w:r w:rsidR="00351D99" w:rsidRPr="00D457FF">
        <w:rPr>
          <w:sz w:val="24"/>
          <w:szCs w:val="24"/>
        </w:rPr>
        <w:t>D</w:t>
      </w:r>
      <w:r w:rsidR="000E1AFB" w:rsidRPr="00D457FF">
        <w:rPr>
          <w:sz w:val="24"/>
          <w:szCs w:val="24"/>
        </w:rPr>
        <w:t>isabilities. Following recommendations calling for ratification</w:t>
      </w:r>
      <w:r w:rsidR="004D455D" w:rsidRPr="00D457FF">
        <w:rPr>
          <w:rStyle w:val="FootnoteReference"/>
          <w:sz w:val="24"/>
          <w:szCs w:val="24"/>
        </w:rPr>
        <w:footnoteReference w:id="4"/>
      </w:r>
      <w:r w:rsidR="000E1AFB" w:rsidRPr="00D457FF">
        <w:rPr>
          <w:sz w:val="24"/>
          <w:szCs w:val="24"/>
        </w:rPr>
        <w:t xml:space="preserve"> </w:t>
      </w:r>
      <w:r w:rsidR="004D455D" w:rsidRPr="00D457FF">
        <w:rPr>
          <w:sz w:val="24"/>
          <w:szCs w:val="24"/>
        </w:rPr>
        <w:t xml:space="preserve">and </w:t>
      </w:r>
      <w:r w:rsidR="000E1AFB" w:rsidRPr="00D457FF">
        <w:rPr>
          <w:sz w:val="24"/>
          <w:szCs w:val="24"/>
        </w:rPr>
        <w:t xml:space="preserve">for creation of the council during the 2016 UPR, a draft decree law on a council was submitted to the Council of Ministers in 2017, alongside a draft resolution on CRPD ratification. </w:t>
      </w:r>
      <w:r w:rsidR="00836B94" w:rsidRPr="00D457FF">
        <w:rPr>
          <w:sz w:val="24"/>
          <w:szCs w:val="24"/>
        </w:rPr>
        <w:t>T</w:t>
      </w:r>
      <w:r w:rsidR="000E1AFB" w:rsidRPr="00D457FF">
        <w:rPr>
          <w:sz w:val="24"/>
          <w:szCs w:val="24"/>
        </w:rPr>
        <w:t xml:space="preserve">he proposal </w:t>
      </w:r>
      <w:r w:rsidR="00836B94" w:rsidRPr="00D457FF">
        <w:rPr>
          <w:sz w:val="24"/>
          <w:szCs w:val="24"/>
        </w:rPr>
        <w:t xml:space="preserve">was returned </w:t>
      </w:r>
      <w:r w:rsidR="000E1AFB" w:rsidRPr="00D457FF">
        <w:rPr>
          <w:sz w:val="24"/>
          <w:szCs w:val="24"/>
        </w:rPr>
        <w:t>to the coordinating Ministry of Social Solidarity given lack of budget allocation for the council. UNPRPD support will provide additional momentum to</w:t>
      </w:r>
      <w:r w:rsidR="00836B94" w:rsidRPr="00D457FF">
        <w:rPr>
          <w:sz w:val="24"/>
          <w:szCs w:val="24"/>
        </w:rPr>
        <w:t xml:space="preserve">wards CRPD </w:t>
      </w:r>
      <w:r w:rsidR="000E1AFB" w:rsidRPr="00D457FF">
        <w:rPr>
          <w:sz w:val="24"/>
          <w:szCs w:val="24"/>
        </w:rPr>
        <w:t>ratif</w:t>
      </w:r>
      <w:r w:rsidR="00836B94" w:rsidRPr="00D457FF">
        <w:rPr>
          <w:sz w:val="24"/>
          <w:szCs w:val="24"/>
        </w:rPr>
        <w:t>ication</w:t>
      </w:r>
      <w:r w:rsidR="000E1AFB" w:rsidRPr="00D457FF">
        <w:rPr>
          <w:sz w:val="24"/>
          <w:szCs w:val="24"/>
        </w:rPr>
        <w:t>.</w:t>
      </w:r>
    </w:p>
    <w:p w14:paraId="1FC454C9" w14:textId="6483BCE4" w:rsidR="00E64AFB" w:rsidRPr="00D457FF" w:rsidRDefault="00836B94" w:rsidP="00D457FF">
      <w:pPr>
        <w:pStyle w:val="NoSpacing"/>
        <w:spacing w:before="200" w:after="200" w:line="240" w:lineRule="atLeast"/>
        <w:jc w:val="both"/>
        <w:rPr>
          <w:rFonts w:eastAsia="Calibri"/>
          <w:sz w:val="24"/>
          <w:szCs w:val="24"/>
        </w:rPr>
      </w:pPr>
      <w:r w:rsidRPr="00D457FF">
        <w:rPr>
          <w:rFonts w:cs="Times New Roman"/>
          <w:sz w:val="24"/>
          <w:szCs w:val="24"/>
        </w:rPr>
        <w:t xml:space="preserve">Several other </w:t>
      </w:r>
      <w:r w:rsidR="00E07A47" w:rsidRPr="00D457FF">
        <w:rPr>
          <w:rFonts w:cs="Times New Roman"/>
          <w:sz w:val="24"/>
          <w:szCs w:val="24"/>
        </w:rPr>
        <w:t xml:space="preserve">political </w:t>
      </w:r>
      <w:r w:rsidR="00830DD0" w:rsidRPr="00D457FF">
        <w:rPr>
          <w:rFonts w:cs="Times New Roman"/>
          <w:sz w:val="24"/>
          <w:szCs w:val="24"/>
        </w:rPr>
        <w:t xml:space="preserve">commitments </w:t>
      </w:r>
      <w:r w:rsidR="002A4920" w:rsidRPr="00D457FF">
        <w:rPr>
          <w:rFonts w:cs="Times New Roman"/>
          <w:sz w:val="24"/>
          <w:szCs w:val="24"/>
        </w:rPr>
        <w:t xml:space="preserve">on </w:t>
      </w:r>
      <w:r w:rsidR="00830DD0" w:rsidRPr="00D457FF">
        <w:rPr>
          <w:rFonts w:cs="Times New Roman"/>
          <w:sz w:val="24"/>
          <w:szCs w:val="24"/>
        </w:rPr>
        <w:t xml:space="preserve">the rights of </w:t>
      </w:r>
      <w:r w:rsidR="0070507E" w:rsidRPr="00D457FF">
        <w:rPr>
          <w:rFonts w:cs="Times New Roman"/>
          <w:sz w:val="24"/>
          <w:szCs w:val="24"/>
        </w:rPr>
        <w:t>persons with disabilities</w:t>
      </w:r>
      <w:r w:rsidR="00805C29" w:rsidRPr="00D457FF">
        <w:rPr>
          <w:rFonts w:cs="Times New Roman"/>
          <w:sz w:val="24"/>
          <w:szCs w:val="24"/>
        </w:rPr>
        <w:t xml:space="preserve"> have been made.</w:t>
      </w:r>
      <w:r w:rsidR="000B0B54" w:rsidRPr="00D457FF">
        <w:rPr>
          <w:rStyle w:val="FootnoteReference"/>
          <w:sz w:val="24"/>
          <w:szCs w:val="24"/>
        </w:rPr>
        <w:footnoteReference w:id="5"/>
      </w:r>
      <w:r w:rsidRPr="00D457FF">
        <w:rPr>
          <w:rFonts w:cs="Times New Roman"/>
          <w:sz w:val="24"/>
          <w:szCs w:val="24"/>
        </w:rPr>
        <w:t xml:space="preserve"> </w:t>
      </w:r>
      <w:r w:rsidR="00805C29" w:rsidRPr="00D457FF">
        <w:rPr>
          <w:rFonts w:cs="Times New Roman"/>
          <w:sz w:val="24"/>
          <w:szCs w:val="24"/>
        </w:rPr>
        <w:t>These include</w:t>
      </w:r>
      <w:r w:rsidRPr="00D457FF">
        <w:rPr>
          <w:rFonts w:cs="Times New Roman"/>
          <w:sz w:val="24"/>
          <w:szCs w:val="24"/>
        </w:rPr>
        <w:t xml:space="preserve"> endorsement of the Sustainable Development Goals (SDGs)</w:t>
      </w:r>
      <w:r w:rsidR="00E00A84" w:rsidRPr="00D457FF">
        <w:rPr>
          <w:rFonts w:cs="Times New Roman"/>
          <w:sz w:val="24"/>
          <w:szCs w:val="24"/>
        </w:rPr>
        <w:t xml:space="preserve">, </w:t>
      </w:r>
      <w:r w:rsidR="00100AEB" w:rsidRPr="00D457FF">
        <w:rPr>
          <w:rStyle w:val="FootnoteReference"/>
          <w:rFonts w:cstheme="minorHAnsi"/>
          <w:sz w:val="24"/>
          <w:szCs w:val="24"/>
        </w:rPr>
        <w:footnoteReference w:id="6"/>
      </w:r>
      <w:r w:rsidR="00610B41" w:rsidRPr="00D457FF">
        <w:rPr>
          <w:rFonts w:cstheme="minorHAnsi"/>
          <w:sz w:val="24"/>
          <w:szCs w:val="24"/>
        </w:rPr>
        <w:t xml:space="preserve"> </w:t>
      </w:r>
      <w:r w:rsidR="00E00A84" w:rsidRPr="00D457FF">
        <w:rPr>
          <w:rFonts w:cstheme="minorHAnsi"/>
          <w:sz w:val="24"/>
          <w:szCs w:val="24"/>
        </w:rPr>
        <w:t xml:space="preserve">which was followed by the adoption of </w:t>
      </w:r>
      <w:r w:rsidR="00D12780" w:rsidRPr="00D457FF">
        <w:rPr>
          <w:rFonts w:cstheme="minorHAnsi"/>
          <w:sz w:val="24"/>
          <w:szCs w:val="24"/>
        </w:rPr>
        <w:t>an SDG</w:t>
      </w:r>
      <w:r w:rsidR="002A4920" w:rsidRPr="00D457FF">
        <w:rPr>
          <w:rFonts w:cstheme="minorHAnsi"/>
          <w:sz w:val="24"/>
          <w:szCs w:val="24"/>
        </w:rPr>
        <w:t xml:space="preserve"> roadmap </w:t>
      </w:r>
      <w:r w:rsidR="00E00A84" w:rsidRPr="00D457FF">
        <w:rPr>
          <w:rFonts w:cstheme="minorHAnsi"/>
          <w:sz w:val="24"/>
          <w:szCs w:val="24"/>
        </w:rPr>
        <w:t>in May 2017. This</w:t>
      </w:r>
      <w:r w:rsidR="00805C29" w:rsidRPr="00D457FF">
        <w:rPr>
          <w:rFonts w:cstheme="minorHAnsi"/>
          <w:sz w:val="24"/>
          <w:szCs w:val="24"/>
        </w:rPr>
        <w:t xml:space="preserve"> call</w:t>
      </w:r>
      <w:r w:rsidR="00E00A84" w:rsidRPr="00D457FF">
        <w:rPr>
          <w:rFonts w:cstheme="minorHAnsi"/>
          <w:sz w:val="24"/>
          <w:szCs w:val="24"/>
        </w:rPr>
        <w:t>s</w:t>
      </w:r>
      <w:r w:rsidR="002A4920" w:rsidRPr="00D457FF">
        <w:rPr>
          <w:rFonts w:cstheme="minorHAnsi"/>
          <w:sz w:val="24"/>
          <w:szCs w:val="24"/>
        </w:rPr>
        <w:t xml:space="preserve"> for </w:t>
      </w:r>
      <w:r w:rsidR="002A4920" w:rsidRPr="00D457FF">
        <w:rPr>
          <w:rFonts w:cstheme="minorHAnsi"/>
          <w:color w:val="222222"/>
          <w:sz w:val="24"/>
          <w:szCs w:val="24"/>
        </w:rPr>
        <w:t>vulnerable</w:t>
      </w:r>
      <w:r w:rsidR="00610B41" w:rsidRPr="00D457FF">
        <w:rPr>
          <w:rFonts w:cstheme="minorHAnsi"/>
          <w:color w:val="222222"/>
          <w:sz w:val="24"/>
          <w:szCs w:val="24"/>
        </w:rPr>
        <w:t xml:space="preserve"> groups</w:t>
      </w:r>
      <w:r w:rsidR="002A4920" w:rsidRPr="00D457FF">
        <w:rPr>
          <w:rFonts w:cstheme="minorHAnsi"/>
          <w:color w:val="222222"/>
          <w:sz w:val="24"/>
          <w:szCs w:val="24"/>
        </w:rPr>
        <w:t xml:space="preserve"> </w:t>
      </w:r>
      <w:r w:rsidR="00610B41" w:rsidRPr="00D457FF">
        <w:rPr>
          <w:rFonts w:cstheme="minorHAnsi"/>
          <w:color w:val="222222"/>
          <w:sz w:val="24"/>
          <w:szCs w:val="24"/>
        </w:rPr>
        <w:t>to have</w:t>
      </w:r>
      <w:r w:rsidR="002A4920" w:rsidRPr="00D457FF">
        <w:rPr>
          <w:rFonts w:cstheme="minorHAnsi"/>
          <w:color w:val="222222"/>
          <w:sz w:val="24"/>
          <w:szCs w:val="24"/>
        </w:rPr>
        <w:t xml:space="preserve"> equa</w:t>
      </w:r>
      <w:r w:rsidR="00610B41" w:rsidRPr="00D457FF">
        <w:rPr>
          <w:rFonts w:cstheme="minorHAnsi"/>
          <w:color w:val="222222"/>
          <w:sz w:val="24"/>
          <w:szCs w:val="24"/>
        </w:rPr>
        <w:t>l access to services and rights</w:t>
      </w:r>
      <w:r w:rsidR="002A4920" w:rsidRPr="00D457FF">
        <w:rPr>
          <w:rFonts w:cstheme="minorHAnsi"/>
          <w:color w:val="222222"/>
          <w:sz w:val="24"/>
          <w:szCs w:val="24"/>
        </w:rPr>
        <w:t xml:space="preserve">, and </w:t>
      </w:r>
      <w:r w:rsidR="00610B41" w:rsidRPr="00D457FF">
        <w:rPr>
          <w:rFonts w:cstheme="minorHAnsi"/>
          <w:color w:val="222222"/>
          <w:sz w:val="24"/>
          <w:szCs w:val="24"/>
        </w:rPr>
        <w:t xml:space="preserve">for </w:t>
      </w:r>
      <w:r w:rsidR="002A4920" w:rsidRPr="00D457FF">
        <w:rPr>
          <w:rFonts w:cstheme="minorHAnsi"/>
          <w:sz w:val="24"/>
          <w:szCs w:val="24"/>
        </w:rPr>
        <w:t xml:space="preserve">a </w:t>
      </w:r>
      <w:r w:rsidR="002A4920" w:rsidRPr="00D457FF">
        <w:rPr>
          <w:rFonts w:cstheme="minorHAnsi"/>
          <w:color w:val="222222"/>
          <w:sz w:val="24"/>
          <w:szCs w:val="24"/>
        </w:rPr>
        <w:t>rights-based and gender-sensitive approach to address situations of exclusion, marginalization</w:t>
      </w:r>
      <w:r w:rsidR="000C6DA3" w:rsidRPr="00D457FF">
        <w:rPr>
          <w:rFonts w:cstheme="minorHAnsi"/>
          <w:color w:val="222222"/>
          <w:sz w:val="24"/>
          <w:szCs w:val="24"/>
        </w:rPr>
        <w:t xml:space="preserve"> and</w:t>
      </w:r>
      <w:r w:rsidR="00610B41" w:rsidRPr="00D457FF">
        <w:rPr>
          <w:rFonts w:cstheme="minorHAnsi"/>
          <w:color w:val="222222"/>
          <w:sz w:val="24"/>
          <w:szCs w:val="24"/>
        </w:rPr>
        <w:t xml:space="preserve"> inequality.</w:t>
      </w:r>
      <w:r w:rsidR="00BA6938" w:rsidRPr="00D457FF">
        <w:rPr>
          <w:rStyle w:val="FootnoteReference"/>
          <w:rFonts w:cstheme="minorHAnsi"/>
          <w:color w:val="222222"/>
          <w:sz w:val="24"/>
          <w:szCs w:val="24"/>
        </w:rPr>
        <w:footnoteReference w:id="7"/>
      </w:r>
      <w:r w:rsidR="00610B41" w:rsidRPr="00D457FF">
        <w:rPr>
          <w:sz w:val="24"/>
          <w:szCs w:val="24"/>
        </w:rPr>
        <w:t xml:space="preserve"> These </w:t>
      </w:r>
      <w:r w:rsidR="00610B41" w:rsidRPr="00D457FF">
        <w:rPr>
          <w:rFonts w:eastAsia="Calibri"/>
          <w:sz w:val="24"/>
          <w:szCs w:val="24"/>
        </w:rPr>
        <w:t>commitments</w:t>
      </w:r>
      <w:r w:rsidR="000B0B54" w:rsidRPr="00D457FF">
        <w:rPr>
          <w:rFonts w:eastAsia="Calibri"/>
          <w:sz w:val="24"/>
          <w:szCs w:val="24"/>
        </w:rPr>
        <w:t xml:space="preserve"> provide opportunities to advance the rights of persons with disabilities</w:t>
      </w:r>
      <w:r w:rsidR="00830DD0" w:rsidRPr="00D457FF">
        <w:rPr>
          <w:rFonts w:cs="Times New Roman"/>
          <w:sz w:val="24"/>
          <w:szCs w:val="24"/>
        </w:rPr>
        <w:t>.</w:t>
      </w:r>
      <w:r w:rsidR="008020BB" w:rsidRPr="00D457FF">
        <w:rPr>
          <w:rFonts w:cs="Times New Roman"/>
          <w:sz w:val="24"/>
          <w:szCs w:val="24"/>
        </w:rPr>
        <w:t xml:space="preserve"> </w:t>
      </w:r>
      <w:r w:rsidR="00902FE9" w:rsidRPr="00D457FF">
        <w:rPr>
          <w:rFonts w:cs="Times New Roman"/>
          <w:sz w:val="24"/>
          <w:szCs w:val="24"/>
        </w:rPr>
        <w:t>T</w:t>
      </w:r>
      <w:r w:rsidR="008020BB" w:rsidRPr="00D457FF">
        <w:rPr>
          <w:rFonts w:cs="Times New Roman"/>
          <w:sz w:val="24"/>
          <w:szCs w:val="24"/>
        </w:rPr>
        <w:t xml:space="preserve">here </w:t>
      </w:r>
      <w:r w:rsidR="00BB1104" w:rsidRPr="00D457FF">
        <w:rPr>
          <w:rFonts w:cs="Times New Roman"/>
          <w:sz w:val="24"/>
          <w:szCs w:val="24"/>
        </w:rPr>
        <w:t>are, however,</w:t>
      </w:r>
      <w:r w:rsidR="008F211A" w:rsidRPr="00D457FF">
        <w:rPr>
          <w:rFonts w:cs="Times New Roman"/>
          <w:sz w:val="24"/>
          <w:szCs w:val="24"/>
        </w:rPr>
        <w:t xml:space="preserve"> challenges in implementation</w:t>
      </w:r>
      <w:r w:rsidR="008020BB" w:rsidRPr="00D457FF">
        <w:rPr>
          <w:rFonts w:cs="Times New Roman"/>
          <w:sz w:val="24"/>
          <w:szCs w:val="24"/>
        </w:rPr>
        <w:t xml:space="preserve">. </w:t>
      </w:r>
      <w:r w:rsidR="009729C5" w:rsidRPr="00D457FF">
        <w:rPr>
          <w:rFonts w:cs="Times New Roman"/>
          <w:sz w:val="24"/>
          <w:szCs w:val="24"/>
        </w:rPr>
        <w:t>D</w:t>
      </w:r>
      <w:r w:rsidR="008F211A" w:rsidRPr="00D457FF">
        <w:rPr>
          <w:rFonts w:cs="Times New Roman"/>
          <w:sz w:val="24"/>
          <w:szCs w:val="24"/>
        </w:rPr>
        <w:t xml:space="preserve">POs identified </w:t>
      </w:r>
      <w:r w:rsidR="00BB1104" w:rsidRPr="00D457FF">
        <w:rPr>
          <w:rFonts w:cs="Times New Roman"/>
          <w:sz w:val="24"/>
          <w:szCs w:val="24"/>
        </w:rPr>
        <w:t>l</w:t>
      </w:r>
      <w:r w:rsidR="008020BB" w:rsidRPr="00D457FF">
        <w:rPr>
          <w:rFonts w:cs="Times New Roman"/>
          <w:sz w:val="24"/>
          <w:szCs w:val="24"/>
        </w:rPr>
        <w:t>imited</w:t>
      </w:r>
      <w:r w:rsidR="008020BB" w:rsidRPr="00D457FF">
        <w:rPr>
          <w:sz w:val="24"/>
          <w:szCs w:val="24"/>
        </w:rPr>
        <w:t xml:space="preserve"> </w:t>
      </w:r>
      <w:r w:rsidR="00902FE9" w:rsidRPr="00D457FF">
        <w:rPr>
          <w:sz w:val="24"/>
          <w:szCs w:val="24"/>
        </w:rPr>
        <w:t>awareness of commitment</w:t>
      </w:r>
      <w:r w:rsidR="00BB1104" w:rsidRPr="00D457FF">
        <w:rPr>
          <w:sz w:val="24"/>
          <w:szCs w:val="24"/>
        </w:rPr>
        <w:t>s</w:t>
      </w:r>
      <w:r w:rsidR="00902FE9" w:rsidRPr="00D457FF">
        <w:rPr>
          <w:sz w:val="24"/>
          <w:szCs w:val="24"/>
        </w:rPr>
        <w:t xml:space="preserve"> and limited </w:t>
      </w:r>
      <w:r w:rsidR="008020BB" w:rsidRPr="00D457FF">
        <w:rPr>
          <w:sz w:val="24"/>
          <w:szCs w:val="24"/>
        </w:rPr>
        <w:t>inter-ministerial coordination.</w:t>
      </w:r>
      <w:r w:rsidR="008020BB" w:rsidRPr="00D457FF">
        <w:rPr>
          <w:rStyle w:val="FootnoteReference"/>
          <w:sz w:val="24"/>
          <w:szCs w:val="24"/>
        </w:rPr>
        <w:footnoteReference w:id="8"/>
      </w:r>
      <w:r w:rsidR="000C6DA3" w:rsidRPr="00D457FF">
        <w:rPr>
          <w:rFonts w:cs="Times New Roman"/>
          <w:sz w:val="24"/>
          <w:szCs w:val="24"/>
        </w:rPr>
        <w:t xml:space="preserve"> </w:t>
      </w:r>
      <w:r w:rsidR="008517C6" w:rsidRPr="00D457FF">
        <w:rPr>
          <w:rFonts w:cs="Times New Roman"/>
          <w:sz w:val="24"/>
          <w:szCs w:val="24"/>
        </w:rPr>
        <w:t>Progress</w:t>
      </w:r>
      <w:r w:rsidR="007C4C39" w:rsidRPr="00D457FF">
        <w:rPr>
          <w:rFonts w:cs="Times New Roman"/>
          <w:sz w:val="24"/>
          <w:szCs w:val="24"/>
        </w:rPr>
        <w:t xml:space="preserve"> is also challenged </w:t>
      </w:r>
      <w:r w:rsidR="002A4920" w:rsidRPr="00D457FF">
        <w:rPr>
          <w:rFonts w:cs="Times New Roman"/>
          <w:sz w:val="24"/>
          <w:szCs w:val="24"/>
        </w:rPr>
        <w:t>as</w:t>
      </w:r>
      <w:r w:rsidR="00BB1104" w:rsidRPr="00D457FF">
        <w:rPr>
          <w:rFonts w:cs="Times New Roman"/>
          <w:sz w:val="24"/>
          <w:szCs w:val="24"/>
        </w:rPr>
        <w:t xml:space="preserve"> </w:t>
      </w:r>
      <w:r w:rsidR="007C4C39" w:rsidRPr="00D457FF">
        <w:rPr>
          <w:rFonts w:cs="Times New Roman"/>
          <w:sz w:val="24"/>
          <w:szCs w:val="24"/>
        </w:rPr>
        <w:t xml:space="preserve">the </w:t>
      </w:r>
      <w:r w:rsidR="0014718C" w:rsidRPr="00D457FF">
        <w:rPr>
          <w:rFonts w:eastAsia="Calibri"/>
          <w:sz w:val="24"/>
          <w:szCs w:val="24"/>
        </w:rPr>
        <w:t>2015</w:t>
      </w:r>
      <w:r w:rsidR="00ED2843" w:rsidRPr="00D457FF">
        <w:rPr>
          <w:rFonts w:eastAsia="Calibri"/>
          <w:sz w:val="24"/>
          <w:szCs w:val="24"/>
        </w:rPr>
        <w:t xml:space="preserve"> </w:t>
      </w:r>
      <w:r w:rsidR="0014718C" w:rsidRPr="00D457FF">
        <w:rPr>
          <w:rFonts w:eastAsia="Calibri"/>
          <w:sz w:val="24"/>
          <w:szCs w:val="24"/>
        </w:rPr>
        <w:t>Census identified</w:t>
      </w:r>
      <w:r w:rsidR="00E07A47" w:rsidRPr="00D457FF">
        <w:rPr>
          <w:rFonts w:eastAsia="Calibri"/>
          <w:sz w:val="24"/>
          <w:szCs w:val="24"/>
        </w:rPr>
        <w:t xml:space="preserve"> </w:t>
      </w:r>
      <w:r w:rsidR="00457D9F" w:rsidRPr="00D457FF">
        <w:rPr>
          <w:rFonts w:eastAsia="Calibri"/>
          <w:sz w:val="24"/>
          <w:szCs w:val="24"/>
        </w:rPr>
        <w:t xml:space="preserve">that </w:t>
      </w:r>
      <w:r w:rsidR="00ED2843" w:rsidRPr="00D457FF">
        <w:rPr>
          <w:rFonts w:eastAsia="Calibri"/>
          <w:sz w:val="24"/>
          <w:szCs w:val="24"/>
        </w:rPr>
        <w:t xml:space="preserve">only </w:t>
      </w:r>
      <w:r w:rsidR="0014718C" w:rsidRPr="00D457FF">
        <w:rPr>
          <w:rFonts w:eastAsia="Calibri"/>
          <w:sz w:val="24"/>
          <w:szCs w:val="24"/>
        </w:rPr>
        <w:t xml:space="preserve">3.2% of </w:t>
      </w:r>
      <w:r w:rsidR="00457D9F" w:rsidRPr="00D457FF">
        <w:rPr>
          <w:rFonts w:eastAsia="Calibri"/>
          <w:sz w:val="24"/>
          <w:szCs w:val="24"/>
        </w:rPr>
        <w:t xml:space="preserve">the population has </w:t>
      </w:r>
      <w:r w:rsidR="0014718C" w:rsidRPr="00D457FF">
        <w:rPr>
          <w:rFonts w:eastAsia="Calibri"/>
          <w:sz w:val="24"/>
          <w:szCs w:val="24"/>
        </w:rPr>
        <w:t xml:space="preserve">a </w:t>
      </w:r>
      <w:r w:rsidR="008517C6" w:rsidRPr="00D457FF">
        <w:rPr>
          <w:rFonts w:eastAsia="Calibri"/>
          <w:sz w:val="24"/>
          <w:szCs w:val="24"/>
        </w:rPr>
        <w:t>disability</w:t>
      </w:r>
      <w:r w:rsidR="003D71D0" w:rsidRPr="00D457FF">
        <w:rPr>
          <w:rFonts w:eastAsia="Calibri"/>
          <w:sz w:val="24"/>
          <w:szCs w:val="24"/>
        </w:rPr>
        <w:t>, indicating possible under-estimation.</w:t>
      </w:r>
    </w:p>
    <w:p w14:paraId="359D8A3F" w14:textId="551E3574" w:rsidR="00BE60CE" w:rsidRPr="008C6FE3" w:rsidRDefault="00E64AFB" w:rsidP="00B43F7C">
      <w:pPr>
        <w:pStyle w:val="Heading3"/>
      </w:pPr>
      <w:r w:rsidRPr="008C6FE3">
        <w:lastRenderedPageBreak/>
        <w:t>Table on Percentage and numbers of Persons with Disabilities</w:t>
      </w:r>
    </w:p>
    <w:p w14:paraId="3A9238BC" w14:textId="4CAF42A6" w:rsidR="00B81DB1" w:rsidRPr="00D457FF" w:rsidRDefault="003D71D0" w:rsidP="00D457FF">
      <w:pPr>
        <w:pStyle w:val="NoSpacing"/>
        <w:spacing w:before="200" w:after="200" w:line="240" w:lineRule="atLeast"/>
        <w:jc w:val="both"/>
        <w:rPr>
          <w:rFonts w:eastAsia="Calibri"/>
          <w:sz w:val="24"/>
          <w:szCs w:val="24"/>
        </w:rPr>
      </w:pPr>
      <w:r w:rsidRPr="00D457FF">
        <w:rPr>
          <w:noProof/>
          <w:sz w:val="24"/>
          <w:szCs w:val="24"/>
          <w:lang w:eastAsia="zh-CN"/>
        </w:rPr>
        <w:drawing>
          <wp:inline distT="0" distB="0" distL="0" distR="0" wp14:anchorId="1B4A9D2F" wp14:editId="126D3B08">
            <wp:extent cx="4607911" cy="2611062"/>
            <wp:effectExtent l="0" t="0" r="2540" b="0"/>
            <wp:docPr id="10" name="Picture 10" descr="&#10;2.1 % of the population have visual disability (12,370 men and 11,890 women). Total 24, 260.&#10;1.4 % of the population have a difficulty walking (8,794 men and 7,986 women). Total 16,780. &#10;1.2% of the population have a hearing difficulty (7,156 men and 6,919 women). Total 14,075&#10;1.0% of the population have a mental health or intellectual disability (5640 men and 5,658 women). Total 11,298&#10;" title="Percentage and Numbers of PErsons with Disba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72" t="9404" r="1357" b="17030"/>
                    <a:stretch/>
                  </pic:blipFill>
                  <pic:spPr bwMode="auto">
                    <a:xfrm>
                      <a:off x="0" y="0"/>
                      <a:ext cx="4617905" cy="2616725"/>
                    </a:xfrm>
                    <a:prstGeom prst="rect">
                      <a:avLst/>
                    </a:prstGeom>
                    <a:ln>
                      <a:noFill/>
                    </a:ln>
                    <a:extLst>
                      <a:ext uri="{53640926-AAD7-44D8-BBD7-CCE9431645EC}">
                        <a14:shadowObscured xmlns:a14="http://schemas.microsoft.com/office/drawing/2010/main"/>
                      </a:ext>
                    </a:extLst>
                  </pic:spPr>
                </pic:pic>
              </a:graphicData>
            </a:graphic>
          </wp:inline>
        </w:drawing>
      </w:r>
    </w:p>
    <w:p w14:paraId="407C0644" w14:textId="6F26A192" w:rsidR="00BB1104" w:rsidRPr="00D457FF" w:rsidRDefault="00610B41" w:rsidP="00D457FF">
      <w:pPr>
        <w:pStyle w:val="NoSpacing"/>
        <w:spacing w:before="200" w:after="200" w:line="240" w:lineRule="atLeast"/>
        <w:jc w:val="both"/>
        <w:rPr>
          <w:rFonts w:eastAsia="Calibri"/>
          <w:sz w:val="24"/>
          <w:szCs w:val="24"/>
        </w:rPr>
      </w:pPr>
      <w:r w:rsidRPr="00D457FF">
        <w:rPr>
          <w:rFonts w:eastAsia="Calibri"/>
          <w:sz w:val="24"/>
          <w:szCs w:val="24"/>
        </w:rPr>
        <w:t>Another challenge is persisting d</w:t>
      </w:r>
      <w:r w:rsidR="008F211A" w:rsidRPr="00D457FF">
        <w:rPr>
          <w:rFonts w:eastAsia="Calibri"/>
          <w:sz w:val="24"/>
          <w:szCs w:val="24"/>
        </w:rPr>
        <w:t xml:space="preserve">iscriminatory attitudes </w:t>
      </w:r>
      <w:r w:rsidR="000C6DA3" w:rsidRPr="00D457FF">
        <w:rPr>
          <w:rFonts w:eastAsia="Calibri"/>
          <w:sz w:val="24"/>
          <w:szCs w:val="24"/>
        </w:rPr>
        <w:t xml:space="preserve">against persons with disabilities </w:t>
      </w:r>
      <w:r w:rsidR="008F211A" w:rsidRPr="00D457FF">
        <w:rPr>
          <w:rFonts w:eastAsia="Calibri"/>
          <w:sz w:val="24"/>
          <w:szCs w:val="24"/>
        </w:rPr>
        <w:t xml:space="preserve">among </w:t>
      </w:r>
      <w:r w:rsidR="008F211A" w:rsidRPr="00D457FF">
        <w:rPr>
          <w:rFonts w:cs="Times New Roman"/>
          <w:sz w:val="24"/>
          <w:szCs w:val="24"/>
        </w:rPr>
        <w:t xml:space="preserve">services providers and </w:t>
      </w:r>
      <w:r w:rsidR="00ED2843" w:rsidRPr="00D457FF">
        <w:rPr>
          <w:rFonts w:cs="Times New Roman"/>
          <w:sz w:val="24"/>
          <w:szCs w:val="24"/>
        </w:rPr>
        <w:t>communities</w:t>
      </w:r>
      <w:r w:rsidR="008517C6" w:rsidRPr="00D457FF">
        <w:rPr>
          <w:rFonts w:cs="Times New Roman"/>
          <w:sz w:val="24"/>
          <w:szCs w:val="24"/>
        </w:rPr>
        <w:t xml:space="preserve">, </w:t>
      </w:r>
      <w:r w:rsidR="00BE3DCB" w:rsidRPr="00D457FF">
        <w:rPr>
          <w:rFonts w:cs="Times New Roman"/>
          <w:sz w:val="24"/>
          <w:szCs w:val="24"/>
        </w:rPr>
        <w:t xml:space="preserve">amidst </w:t>
      </w:r>
      <w:r w:rsidR="008517C6" w:rsidRPr="00D457FF">
        <w:rPr>
          <w:rFonts w:cs="Times New Roman"/>
          <w:sz w:val="24"/>
          <w:szCs w:val="24"/>
        </w:rPr>
        <w:t xml:space="preserve">a </w:t>
      </w:r>
      <w:r w:rsidR="00040412" w:rsidRPr="00D457FF">
        <w:rPr>
          <w:rFonts w:cs="Times New Roman"/>
          <w:sz w:val="24"/>
          <w:szCs w:val="24"/>
        </w:rPr>
        <w:t>background of patriarchal and hierarchical structures</w:t>
      </w:r>
      <w:r w:rsidR="00D50E68" w:rsidRPr="00D457FF">
        <w:rPr>
          <w:rFonts w:eastAsia="Calibri"/>
          <w:sz w:val="24"/>
          <w:szCs w:val="24"/>
        </w:rPr>
        <w:t>. DPOs report</w:t>
      </w:r>
      <w:r w:rsidR="003F11A6" w:rsidRPr="00D457FF">
        <w:rPr>
          <w:rFonts w:eastAsia="Calibri"/>
          <w:sz w:val="24"/>
          <w:szCs w:val="24"/>
        </w:rPr>
        <w:t xml:space="preserve"> </w:t>
      </w:r>
      <w:r w:rsidR="00D50E68" w:rsidRPr="00D457FF">
        <w:rPr>
          <w:rFonts w:eastAsia="Calibri"/>
          <w:sz w:val="24"/>
          <w:szCs w:val="24"/>
        </w:rPr>
        <w:t>persons with disabilities being shunned, ignored and marginalized.</w:t>
      </w:r>
      <w:r w:rsidR="00ED2843" w:rsidRPr="00D457FF">
        <w:rPr>
          <w:rStyle w:val="FootnoteReference"/>
          <w:rFonts w:eastAsia="Calibri"/>
          <w:sz w:val="24"/>
          <w:szCs w:val="24"/>
        </w:rPr>
        <w:footnoteReference w:id="9"/>
      </w:r>
      <w:r w:rsidRPr="00D457FF">
        <w:rPr>
          <w:rFonts w:eastAsia="Calibri"/>
          <w:sz w:val="24"/>
          <w:szCs w:val="24"/>
        </w:rPr>
        <w:t xml:space="preserve"> </w:t>
      </w:r>
      <w:r w:rsidR="008328F8" w:rsidRPr="00D457FF">
        <w:rPr>
          <w:rFonts w:eastAsia="Calibri"/>
          <w:sz w:val="24"/>
          <w:szCs w:val="24"/>
        </w:rPr>
        <w:t xml:space="preserve">Some </w:t>
      </w:r>
      <w:r w:rsidR="001A1565" w:rsidRPr="00D457FF">
        <w:rPr>
          <w:rFonts w:eastAsia="Calibri"/>
          <w:sz w:val="24"/>
          <w:szCs w:val="24"/>
        </w:rPr>
        <w:t xml:space="preserve">traditional and </w:t>
      </w:r>
      <w:r w:rsidR="008328F8" w:rsidRPr="00D457FF">
        <w:rPr>
          <w:rFonts w:eastAsia="Calibri"/>
          <w:sz w:val="24"/>
          <w:szCs w:val="24"/>
        </w:rPr>
        <w:t xml:space="preserve">cultural beliefs </w:t>
      </w:r>
      <w:r w:rsidR="008517C6" w:rsidRPr="00D457FF">
        <w:rPr>
          <w:rFonts w:eastAsia="Calibri"/>
          <w:sz w:val="24"/>
          <w:szCs w:val="24"/>
        </w:rPr>
        <w:t xml:space="preserve">are drivers of discrimination along with perceptions </w:t>
      </w:r>
      <w:r w:rsidR="001A1565" w:rsidRPr="00D457FF">
        <w:rPr>
          <w:rFonts w:eastAsia="Calibri"/>
          <w:sz w:val="24"/>
          <w:szCs w:val="24"/>
        </w:rPr>
        <w:t>that persons with disabilities cannot con</w:t>
      </w:r>
      <w:r w:rsidR="008517C6" w:rsidRPr="00D457FF">
        <w:rPr>
          <w:rFonts w:eastAsia="Calibri"/>
          <w:sz w:val="24"/>
          <w:szCs w:val="24"/>
        </w:rPr>
        <w:t>tribute meaningfully to society</w:t>
      </w:r>
      <w:r w:rsidR="004D455D" w:rsidRPr="00D457FF">
        <w:rPr>
          <w:rFonts w:eastAsia="Calibri"/>
          <w:sz w:val="24"/>
          <w:szCs w:val="24"/>
        </w:rPr>
        <w:t>. These</w:t>
      </w:r>
      <w:r w:rsidR="00DE3462" w:rsidRPr="00D457FF">
        <w:rPr>
          <w:rFonts w:eastAsia="Calibri"/>
          <w:sz w:val="24"/>
          <w:szCs w:val="24"/>
        </w:rPr>
        <w:t xml:space="preserve"> </w:t>
      </w:r>
      <w:r w:rsidR="0070507E" w:rsidRPr="00D457FF">
        <w:rPr>
          <w:rFonts w:eastAsia="Calibri"/>
          <w:sz w:val="24"/>
          <w:szCs w:val="24"/>
        </w:rPr>
        <w:t xml:space="preserve">are exacerbated by </w:t>
      </w:r>
      <w:r w:rsidR="003F11A6" w:rsidRPr="00D457FF">
        <w:rPr>
          <w:rFonts w:eastAsia="Calibri"/>
          <w:sz w:val="24"/>
          <w:szCs w:val="24"/>
        </w:rPr>
        <w:t xml:space="preserve">the population’s </w:t>
      </w:r>
      <w:r w:rsidR="0070507E" w:rsidRPr="00D457FF">
        <w:rPr>
          <w:rFonts w:eastAsia="Calibri"/>
          <w:sz w:val="24"/>
          <w:szCs w:val="24"/>
        </w:rPr>
        <w:t>la</w:t>
      </w:r>
      <w:r w:rsidR="001A1565" w:rsidRPr="00D457FF">
        <w:rPr>
          <w:rFonts w:eastAsia="Calibri"/>
          <w:sz w:val="24"/>
          <w:szCs w:val="24"/>
        </w:rPr>
        <w:t>ck of education and understanding of disability.</w:t>
      </w:r>
      <w:r w:rsidR="001A1565" w:rsidRPr="00D457FF">
        <w:rPr>
          <w:rStyle w:val="FootnoteReference"/>
          <w:rFonts w:eastAsia="Calibri"/>
          <w:sz w:val="24"/>
          <w:szCs w:val="24"/>
        </w:rPr>
        <w:footnoteReference w:id="10"/>
      </w:r>
      <w:r w:rsidR="009729C5" w:rsidRPr="00D457FF">
        <w:rPr>
          <w:rFonts w:eastAsia="Calibri"/>
          <w:sz w:val="24"/>
          <w:szCs w:val="24"/>
        </w:rPr>
        <w:t xml:space="preserve"> </w:t>
      </w:r>
      <w:r w:rsidR="008517C6" w:rsidRPr="00D457FF">
        <w:rPr>
          <w:rFonts w:eastAsia="Calibri"/>
          <w:sz w:val="24"/>
          <w:szCs w:val="24"/>
        </w:rPr>
        <w:t>L</w:t>
      </w:r>
      <w:r w:rsidR="00457D9F" w:rsidRPr="00D457FF">
        <w:rPr>
          <w:rFonts w:eastAsia="Calibri"/>
          <w:sz w:val="24"/>
          <w:szCs w:val="24"/>
        </w:rPr>
        <w:t xml:space="preserve">imited </w:t>
      </w:r>
      <w:r w:rsidR="00B556C5" w:rsidRPr="00D457FF">
        <w:rPr>
          <w:rFonts w:eastAsia="Calibri"/>
          <w:sz w:val="24"/>
          <w:szCs w:val="24"/>
        </w:rPr>
        <w:t xml:space="preserve">availability of assistive devices </w:t>
      </w:r>
      <w:r w:rsidR="008517C6" w:rsidRPr="00D457FF">
        <w:rPr>
          <w:rFonts w:eastAsia="Calibri"/>
          <w:sz w:val="24"/>
          <w:szCs w:val="24"/>
        </w:rPr>
        <w:t>presents an</w:t>
      </w:r>
      <w:r w:rsidR="003F11A6" w:rsidRPr="00D457FF">
        <w:rPr>
          <w:rFonts w:eastAsia="Calibri"/>
          <w:sz w:val="24"/>
          <w:szCs w:val="24"/>
        </w:rPr>
        <w:t>other</w:t>
      </w:r>
      <w:r w:rsidR="008517C6" w:rsidRPr="00D457FF">
        <w:rPr>
          <w:rFonts w:eastAsia="Calibri"/>
          <w:sz w:val="24"/>
          <w:szCs w:val="24"/>
        </w:rPr>
        <w:t xml:space="preserve"> obstacle to </w:t>
      </w:r>
      <w:r w:rsidR="00B556C5" w:rsidRPr="00D457FF">
        <w:rPr>
          <w:rFonts w:eastAsia="Calibri"/>
          <w:sz w:val="24"/>
          <w:szCs w:val="24"/>
        </w:rPr>
        <w:t>per</w:t>
      </w:r>
      <w:r w:rsidR="008517C6" w:rsidRPr="00D457FF">
        <w:rPr>
          <w:rFonts w:eastAsia="Calibri"/>
          <w:sz w:val="24"/>
          <w:szCs w:val="24"/>
        </w:rPr>
        <w:t xml:space="preserve">sons with disabilities participating equally </w:t>
      </w:r>
      <w:r w:rsidR="00DC0E21" w:rsidRPr="00D457FF">
        <w:rPr>
          <w:rFonts w:eastAsia="Calibri"/>
          <w:sz w:val="24"/>
          <w:szCs w:val="24"/>
        </w:rPr>
        <w:t>in society. S</w:t>
      </w:r>
      <w:r w:rsidR="00D50E68" w:rsidRPr="00D457FF">
        <w:rPr>
          <w:rFonts w:eastAsia="Calibri"/>
          <w:sz w:val="24"/>
          <w:szCs w:val="24"/>
        </w:rPr>
        <w:t xml:space="preserve">ervices </w:t>
      </w:r>
      <w:r w:rsidR="00BA6938" w:rsidRPr="00D457FF">
        <w:rPr>
          <w:rFonts w:eastAsia="Calibri"/>
          <w:sz w:val="24"/>
          <w:szCs w:val="24"/>
        </w:rPr>
        <w:t xml:space="preserve">for persons with disabilities </w:t>
      </w:r>
      <w:r w:rsidR="00D50E68" w:rsidRPr="00D457FF">
        <w:rPr>
          <w:rFonts w:eastAsia="Calibri"/>
          <w:sz w:val="24"/>
          <w:szCs w:val="24"/>
        </w:rPr>
        <w:t xml:space="preserve">and skills of providers are </w:t>
      </w:r>
      <w:r w:rsidR="00DC0E21" w:rsidRPr="00D457FF">
        <w:rPr>
          <w:rFonts w:eastAsia="Calibri"/>
          <w:sz w:val="24"/>
          <w:szCs w:val="24"/>
        </w:rPr>
        <w:t xml:space="preserve">strengthening, though </w:t>
      </w:r>
      <w:r w:rsidR="00D50E68" w:rsidRPr="00D457FF">
        <w:rPr>
          <w:rFonts w:eastAsia="Calibri"/>
          <w:sz w:val="24"/>
          <w:szCs w:val="24"/>
        </w:rPr>
        <w:t>rudimentary.</w:t>
      </w:r>
      <w:r w:rsidR="00DC0E21" w:rsidRPr="00D457FF">
        <w:rPr>
          <w:rFonts w:eastAsia="Calibri"/>
          <w:sz w:val="24"/>
          <w:szCs w:val="24"/>
        </w:rPr>
        <w:t xml:space="preserve"> </w:t>
      </w:r>
      <w:r w:rsidR="003F11A6" w:rsidRPr="00D457FF">
        <w:rPr>
          <w:rFonts w:eastAsia="Calibri"/>
          <w:sz w:val="24"/>
          <w:szCs w:val="24"/>
        </w:rPr>
        <w:t xml:space="preserve">As a result, </w:t>
      </w:r>
      <w:r w:rsidR="00DC0E21" w:rsidRPr="00D457FF">
        <w:rPr>
          <w:rFonts w:eastAsia="Calibri"/>
          <w:sz w:val="24"/>
          <w:szCs w:val="24"/>
        </w:rPr>
        <w:t>m</w:t>
      </w:r>
      <w:r w:rsidR="008F211A" w:rsidRPr="00D457FF">
        <w:rPr>
          <w:rFonts w:eastAsia="Calibri"/>
          <w:sz w:val="24"/>
          <w:szCs w:val="24"/>
        </w:rPr>
        <w:t xml:space="preserve">any persons with disabilities </w:t>
      </w:r>
      <w:r w:rsidR="003F11A6" w:rsidRPr="00D457FF">
        <w:rPr>
          <w:rFonts w:eastAsia="Calibri"/>
          <w:sz w:val="24"/>
          <w:szCs w:val="24"/>
        </w:rPr>
        <w:t xml:space="preserve">are </w:t>
      </w:r>
      <w:r w:rsidR="00324DD3" w:rsidRPr="00D457FF">
        <w:rPr>
          <w:rFonts w:eastAsia="Calibri"/>
          <w:sz w:val="24"/>
          <w:szCs w:val="24"/>
        </w:rPr>
        <w:t>not able to</w:t>
      </w:r>
      <w:r w:rsidR="008F211A" w:rsidRPr="00D457FF">
        <w:rPr>
          <w:rFonts w:eastAsia="Calibri"/>
          <w:sz w:val="24"/>
          <w:szCs w:val="24"/>
        </w:rPr>
        <w:t xml:space="preserve"> </w:t>
      </w:r>
      <w:r w:rsidR="00324DD3" w:rsidRPr="00D457FF">
        <w:rPr>
          <w:rFonts w:eastAsia="Calibri"/>
          <w:sz w:val="24"/>
          <w:szCs w:val="24"/>
        </w:rPr>
        <w:t>exercise</w:t>
      </w:r>
      <w:r w:rsidR="008F211A" w:rsidRPr="00D457FF">
        <w:rPr>
          <w:rFonts w:eastAsia="Calibri"/>
          <w:sz w:val="24"/>
          <w:szCs w:val="24"/>
        </w:rPr>
        <w:t xml:space="preserve"> </w:t>
      </w:r>
      <w:r w:rsidR="000C6DA3" w:rsidRPr="00D457FF">
        <w:rPr>
          <w:rFonts w:eastAsia="Calibri"/>
          <w:sz w:val="24"/>
          <w:szCs w:val="24"/>
        </w:rPr>
        <w:t>a range of</w:t>
      </w:r>
      <w:r w:rsidR="008F211A" w:rsidRPr="00D457FF">
        <w:rPr>
          <w:rFonts w:eastAsia="Calibri"/>
          <w:sz w:val="24"/>
          <w:szCs w:val="24"/>
        </w:rPr>
        <w:t xml:space="preserve"> rights. </w:t>
      </w:r>
      <w:r w:rsidR="00BB1104" w:rsidRPr="00D457FF">
        <w:rPr>
          <w:rFonts w:eastAsia="Calibri"/>
          <w:sz w:val="24"/>
          <w:szCs w:val="24"/>
        </w:rPr>
        <w:t xml:space="preserve">For instance, many health care providers do not believe women with disabilities are sexually active, and </w:t>
      </w:r>
      <w:r w:rsidR="00B129A5" w:rsidRPr="00D457FF">
        <w:rPr>
          <w:rFonts w:eastAsia="Calibri"/>
          <w:sz w:val="24"/>
          <w:szCs w:val="24"/>
        </w:rPr>
        <w:t>require</w:t>
      </w:r>
      <w:r w:rsidR="00BB1104" w:rsidRPr="00D457FF">
        <w:rPr>
          <w:rFonts w:eastAsia="Calibri"/>
          <w:sz w:val="24"/>
          <w:szCs w:val="24"/>
        </w:rPr>
        <w:t xml:space="preserve"> sexual and reproductive services.</w:t>
      </w:r>
      <w:r w:rsidR="00BB1104" w:rsidRPr="00D457FF">
        <w:rPr>
          <w:rStyle w:val="FootnoteReference"/>
          <w:rFonts w:eastAsia="Calibri"/>
          <w:sz w:val="24"/>
          <w:szCs w:val="24"/>
        </w:rPr>
        <w:footnoteReference w:id="11"/>
      </w:r>
      <w:r w:rsidR="00BB1104" w:rsidRPr="00D457FF">
        <w:rPr>
          <w:rFonts w:eastAsia="Calibri"/>
          <w:sz w:val="24"/>
          <w:szCs w:val="24"/>
        </w:rPr>
        <w:t xml:space="preserve"> </w:t>
      </w:r>
      <w:r w:rsidR="000D543B" w:rsidRPr="00D457FF">
        <w:rPr>
          <w:rFonts w:eastAsia="Calibri"/>
          <w:sz w:val="24"/>
          <w:szCs w:val="24"/>
        </w:rPr>
        <w:t>Seventy-t</w:t>
      </w:r>
      <w:r w:rsidR="00406FFC" w:rsidRPr="00D457FF">
        <w:rPr>
          <w:rFonts w:eastAsia="Calibri"/>
          <w:sz w:val="24"/>
          <w:szCs w:val="24"/>
        </w:rPr>
        <w:t>wo</w:t>
      </w:r>
      <w:r w:rsidR="00C44CEF" w:rsidRPr="00D457FF">
        <w:rPr>
          <w:rFonts w:eastAsia="Calibri"/>
          <w:sz w:val="24"/>
          <w:szCs w:val="24"/>
        </w:rPr>
        <w:t xml:space="preserve"> percent</w:t>
      </w:r>
      <w:r w:rsidR="0014718C" w:rsidRPr="00D457FF">
        <w:rPr>
          <w:rFonts w:eastAsia="Calibri"/>
          <w:sz w:val="24"/>
          <w:szCs w:val="24"/>
        </w:rPr>
        <w:t xml:space="preserve"> of persons with disabilities </w:t>
      </w:r>
      <w:r w:rsidRPr="00D457FF">
        <w:rPr>
          <w:rFonts w:eastAsia="Calibri"/>
          <w:sz w:val="24"/>
          <w:szCs w:val="24"/>
        </w:rPr>
        <w:t>have not</w:t>
      </w:r>
      <w:r w:rsidR="0014718C" w:rsidRPr="00D457FF">
        <w:rPr>
          <w:rFonts w:eastAsia="Calibri"/>
          <w:sz w:val="24"/>
          <w:szCs w:val="24"/>
        </w:rPr>
        <w:t xml:space="preserve"> attended school.</w:t>
      </w:r>
      <w:r w:rsidR="0014718C" w:rsidRPr="00D457FF">
        <w:rPr>
          <w:rStyle w:val="FootnoteReference"/>
          <w:rFonts w:eastAsia="Calibri"/>
          <w:sz w:val="24"/>
          <w:szCs w:val="24"/>
        </w:rPr>
        <w:footnoteReference w:id="12"/>
      </w:r>
      <w:r w:rsidR="00C44CEF" w:rsidRPr="00D457FF">
        <w:rPr>
          <w:rFonts w:eastAsia="Calibri"/>
          <w:sz w:val="24"/>
          <w:szCs w:val="24"/>
        </w:rPr>
        <w:t xml:space="preserve"> The 2017 </w:t>
      </w:r>
      <w:r w:rsidR="00BB1104" w:rsidRPr="00D457FF">
        <w:rPr>
          <w:rFonts w:eastAsia="Calibri"/>
          <w:sz w:val="24"/>
          <w:szCs w:val="24"/>
        </w:rPr>
        <w:t>Inclusive Education Policy</w:t>
      </w:r>
      <w:r w:rsidR="00E24C43" w:rsidRPr="00D457FF">
        <w:rPr>
          <w:rFonts w:eastAsia="Calibri"/>
          <w:sz w:val="24"/>
          <w:szCs w:val="24"/>
        </w:rPr>
        <w:t xml:space="preserve">, </w:t>
      </w:r>
      <w:r w:rsidR="004D455D" w:rsidRPr="00D457FF">
        <w:rPr>
          <w:rFonts w:eastAsia="Calibri"/>
          <w:sz w:val="24"/>
          <w:szCs w:val="24"/>
        </w:rPr>
        <w:t>establishing</w:t>
      </w:r>
      <w:r w:rsidR="00BB1104" w:rsidRPr="00D457FF">
        <w:rPr>
          <w:rFonts w:eastAsia="Calibri"/>
          <w:sz w:val="24"/>
          <w:szCs w:val="24"/>
        </w:rPr>
        <w:t xml:space="preserve"> </w:t>
      </w:r>
      <w:r w:rsidR="00E24C43" w:rsidRPr="00D457FF">
        <w:rPr>
          <w:rFonts w:eastAsia="Calibri"/>
          <w:sz w:val="24"/>
          <w:szCs w:val="24"/>
        </w:rPr>
        <w:t>resource c</w:t>
      </w:r>
      <w:r w:rsidR="00BB1104" w:rsidRPr="00D457FF">
        <w:rPr>
          <w:rFonts w:eastAsia="Calibri"/>
          <w:sz w:val="24"/>
          <w:szCs w:val="24"/>
        </w:rPr>
        <w:t xml:space="preserve">entres </w:t>
      </w:r>
      <w:r w:rsidR="004345EA" w:rsidRPr="00D457FF">
        <w:rPr>
          <w:rFonts w:eastAsia="Calibri"/>
          <w:sz w:val="24"/>
          <w:szCs w:val="24"/>
        </w:rPr>
        <w:t>provid</w:t>
      </w:r>
      <w:r w:rsidR="00E24C43" w:rsidRPr="00D457FF">
        <w:rPr>
          <w:rFonts w:eastAsia="Calibri"/>
          <w:sz w:val="24"/>
          <w:szCs w:val="24"/>
        </w:rPr>
        <w:t>ing</w:t>
      </w:r>
      <w:r w:rsidR="00BB1104" w:rsidRPr="00D457FF">
        <w:rPr>
          <w:rFonts w:eastAsia="Calibri"/>
          <w:sz w:val="24"/>
          <w:szCs w:val="24"/>
        </w:rPr>
        <w:t xml:space="preserve"> tailored education for</w:t>
      </w:r>
      <w:r w:rsidR="00C44CEF" w:rsidRPr="00D457FF">
        <w:rPr>
          <w:rFonts w:eastAsia="Calibri"/>
          <w:sz w:val="24"/>
          <w:szCs w:val="24"/>
        </w:rPr>
        <w:t>,</w:t>
      </w:r>
      <w:r w:rsidR="00E24C43" w:rsidRPr="00D457FF">
        <w:rPr>
          <w:rFonts w:eastAsia="Calibri"/>
          <w:sz w:val="24"/>
          <w:szCs w:val="24"/>
        </w:rPr>
        <w:t xml:space="preserve"> in particular</w:t>
      </w:r>
      <w:r w:rsidR="00C44CEF" w:rsidRPr="00D457FF">
        <w:rPr>
          <w:rFonts w:eastAsia="Calibri"/>
          <w:sz w:val="24"/>
          <w:szCs w:val="24"/>
        </w:rPr>
        <w:t>,</w:t>
      </w:r>
      <w:r w:rsidR="00BB1104" w:rsidRPr="00D457FF">
        <w:rPr>
          <w:rFonts w:eastAsia="Calibri"/>
          <w:sz w:val="24"/>
          <w:szCs w:val="24"/>
        </w:rPr>
        <w:t xml:space="preserve"> </w:t>
      </w:r>
      <w:r w:rsidR="00E24C43" w:rsidRPr="00D457FF">
        <w:rPr>
          <w:rFonts w:eastAsia="Calibri"/>
          <w:sz w:val="24"/>
          <w:szCs w:val="24"/>
        </w:rPr>
        <w:t>persons with</w:t>
      </w:r>
      <w:r w:rsidR="00BB1104" w:rsidRPr="00D457FF">
        <w:rPr>
          <w:rFonts w:eastAsia="Calibri"/>
          <w:sz w:val="24"/>
          <w:szCs w:val="24"/>
        </w:rPr>
        <w:t xml:space="preserve"> </w:t>
      </w:r>
      <w:r w:rsidR="000C6DA3" w:rsidRPr="00D457FF">
        <w:rPr>
          <w:rFonts w:eastAsia="Calibri"/>
          <w:sz w:val="24"/>
          <w:szCs w:val="24"/>
        </w:rPr>
        <w:t xml:space="preserve">visual and hearing </w:t>
      </w:r>
      <w:r w:rsidR="00BB1104" w:rsidRPr="00D457FF">
        <w:rPr>
          <w:rFonts w:eastAsia="Calibri"/>
          <w:sz w:val="24"/>
          <w:szCs w:val="24"/>
        </w:rPr>
        <w:t>disabilities before entering mainstream education</w:t>
      </w:r>
      <w:r w:rsidR="00BE3DCB" w:rsidRPr="00D457FF">
        <w:rPr>
          <w:rFonts w:eastAsia="Calibri"/>
          <w:sz w:val="24"/>
          <w:szCs w:val="24"/>
        </w:rPr>
        <w:t>,</w:t>
      </w:r>
      <w:r w:rsidR="00BB1104" w:rsidRPr="00D457FF">
        <w:rPr>
          <w:rFonts w:eastAsia="Calibri"/>
          <w:sz w:val="24"/>
          <w:szCs w:val="24"/>
        </w:rPr>
        <w:t xml:space="preserve"> and </w:t>
      </w:r>
      <w:r w:rsidR="00ED2843" w:rsidRPr="00D457FF">
        <w:rPr>
          <w:rFonts w:eastAsia="Calibri"/>
          <w:sz w:val="24"/>
          <w:szCs w:val="24"/>
        </w:rPr>
        <w:t>teacher training on disability</w:t>
      </w:r>
      <w:r w:rsidR="00BB1104" w:rsidRPr="00D457FF">
        <w:rPr>
          <w:rFonts w:eastAsia="Calibri"/>
          <w:sz w:val="24"/>
          <w:szCs w:val="24"/>
        </w:rPr>
        <w:t xml:space="preserve"> present opportunities for UNPRPD support</w:t>
      </w:r>
      <w:r w:rsidR="000C6DA3" w:rsidRPr="00D457FF">
        <w:rPr>
          <w:rFonts w:eastAsia="Calibri"/>
          <w:sz w:val="24"/>
          <w:szCs w:val="24"/>
        </w:rPr>
        <w:t xml:space="preserve"> to</w:t>
      </w:r>
      <w:r w:rsidR="00BB1104" w:rsidRPr="00D457FF">
        <w:rPr>
          <w:rFonts w:eastAsia="Calibri"/>
          <w:sz w:val="24"/>
          <w:szCs w:val="24"/>
        </w:rPr>
        <w:t xml:space="preserve"> </w:t>
      </w:r>
      <w:r w:rsidR="00E24C43" w:rsidRPr="00D457FF">
        <w:rPr>
          <w:rFonts w:eastAsia="Calibri"/>
          <w:sz w:val="24"/>
          <w:szCs w:val="24"/>
        </w:rPr>
        <w:t xml:space="preserve">out-of-school </w:t>
      </w:r>
      <w:r w:rsidR="00BB1104" w:rsidRPr="00D457FF">
        <w:rPr>
          <w:rFonts w:eastAsia="Calibri"/>
          <w:sz w:val="24"/>
          <w:szCs w:val="24"/>
        </w:rPr>
        <w:t>children with disabilities to</w:t>
      </w:r>
      <w:r w:rsidR="00AC68C2" w:rsidRPr="00D457FF">
        <w:rPr>
          <w:rFonts w:eastAsia="Calibri"/>
          <w:sz w:val="24"/>
          <w:szCs w:val="24"/>
        </w:rPr>
        <w:t xml:space="preserve"> </w:t>
      </w:r>
      <w:r w:rsidR="00BB1104" w:rsidRPr="00D457FF">
        <w:rPr>
          <w:rFonts w:eastAsia="Calibri"/>
          <w:sz w:val="24"/>
          <w:szCs w:val="24"/>
        </w:rPr>
        <w:t>exercise their right to education</w:t>
      </w:r>
      <w:r w:rsidR="00ED2843" w:rsidRPr="00D457FF">
        <w:rPr>
          <w:rFonts w:eastAsia="Calibri"/>
          <w:sz w:val="24"/>
          <w:szCs w:val="24"/>
        </w:rPr>
        <w:t xml:space="preserve"> in an adequate environment</w:t>
      </w:r>
      <w:r w:rsidR="00BB1104" w:rsidRPr="00D457FF">
        <w:rPr>
          <w:rFonts w:eastAsia="Calibri"/>
          <w:sz w:val="24"/>
          <w:szCs w:val="24"/>
        </w:rPr>
        <w:t>.</w:t>
      </w:r>
      <w:r w:rsidR="001809D5" w:rsidRPr="00D457FF">
        <w:rPr>
          <w:rStyle w:val="FootnoteReference"/>
          <w:rFonts w:eastAsia="Calibri"/>
          <w:sz w:val="24"/>
          <w:szCs w:val="24"/>
        </w:rPr>
        <w:footnoteReference w:id="13"/>
      </w:r>
      <w:r w:rsidR="00BB1104" w:rsidRPr="00D457FF">
        <w:rPr>
          <w:rFonts w:eastAsia="Calibri"/>
          <w:sz w:val="24"/>
          <w:szCs w:val="24"/>
        </w:rPr>
        <w:t xml:space="preserve"> </w:t>
      </w:r>
    </w:p>
    <w:p w14:paraId="7779A01D" w14:textId="6AD35A24" w:rsidR="002C6420" w:rsidRPr="00D457FF" w:rsidRDefault="004345EA" w:rsidP="00D457FF">
      <w:pPr>
        <w:pStyle w:val="NoSpacing"/>
        <w:spacing w:before="200" w:after="200" w:line="240" w:lineRule="atLeast"/>
        <w:jc w:val="both"/>
        <w:rPr>
          <w:rFonts w:cs="Times New Roman"/>
          <w:sz w:val="24"/>
          <w:szCs w:val="24"/>
        </w:rPr>
      </w:pPr>
      <w:r w:rsidRPr="00D457FF">
        <w:rPr>
          <w:rFonts w:eastAsia="Calibri"/>
          <w:sz w:val="24"/>
          <w:szCs w:val="24"/>
        </w:rPr>
        <w:lastRenderedPageBreak/>
        <w:t xml:space="preserve">The </w:t>
      </w:r>
      <w:r w:rsidR="003D16BF" w:rsidRPr="00D457FF">
        <w:rPr>
          <w:rFonts w:eastAsia="Calibri"/>
          <w:sz w:val="24"/>
          <w:szCs w:val="24"/>
        </w:rPr>
        <w:t>project</w:t>
      </w:r>
      <w:r w:rsidRPr="00D457FF">
        <w:rPr>
          <w:rFonts w:eastAsia="Calibri"/>
          <w:sz w:val="24"/>
          <w:szCs w:val="24"/>
        </w:rPr>
        <w:t xml:space="preserve"> also</w:t>
      </w:r>
      <w:r w:rsidR="003D16BF" w:rsidRPr="00D457FF">
        <w:rPr>
          <w:rFonts w:eastAsia="Calibri"/>
          <w:sz w:val="24"/>
          <w:szCs w:val="24"/>
        </w:rPr>
        <w:t xml:space="preserve"> aim</w:t>
      </w:r>
      <w:r w:rsidRPr="00D457FF">
        <w:rPr>
          <w:rFonts w:eastAsia="Calibri"/>
          <w:sz w:val="24"/>
          <w:szCs w:val="24"/>
        </w:rPr>
        <w:t>s to</w:t>
      </w:r>
      <w:r w:rsidR="003D16BF" w:rsidRPr="00D457FF">
        <w:rPr>
          <w:rFonts w:eastAsia="Calibri"/>
          <w:sz w:val="24"/>
          <w:szCs w:val="24"/>
        </w:rPr>
        <w:t xml:space="preserve"> address </w:t>
      </w:r>
      <w:r w:rsidR="00C36FBB" w:rsidRPr="00D457FF">
        <w:rPr>
          <w:rFonts w:eastAsia="Calibri"/>
          <w:sz w:val="24"/>
          <w:szCs w:val="24"/>
        </w:rPr>
        <w:t xml:space="preserve">violence, in particular </w:t>
      </w:r>
      <w:r w:rsidR="008F680C" w:rsidRPr="00D457FF">
        <w:rPr>
          <w:rFonts w:eastAsia="Calibri"/>
          <w:sz w:val="24"/>
          <w:szCs w:val="24"/>
        </w:rPr>
        <w:t>GBV</w:t>
      </w:r>
      <w:r w:rsidR="003F11A6" w:rsidRPr="00D457FF">
        <w:rPr>
          <w:rFonts w:eastAsia="Calibri"/>
          <w:sz w:val="24"/>
          <w:szCs w:val="24"/>
        </w:rPr>
        <w:t>,</w:t>
      </w:r>
      <w:r w:rsidR="008F680C" w:rsidRPr="00D457FF">
        <w:rPr>
          <w:rFonts w:eastAsia="Calibri"/>
          <w:sz w:val="24"/>
          <w:szCs w:val="24"/>
        </w:rPr>
        <w:t xml:space="preserve"> against </w:t>
      </w:r>
      <w:r w:rsidR="0070507E" w:rsidRPr="00D457FF">
        <w:rPr>
          <w:rFonts w:eastAsia="Calibri"/>
          <w:sz w:val="24"/>
          <w:szCs w:val="24"/>
        </w:rPr>
        <w:t>persons with disabilities</w:t>
      </w:r>
      <w:r w:rsidR="008F680C" w:rsidRPr="00D457FF">
        <w:rPr>
          <w:rFonts w:eastAsia="Calibri"/>
          <w:sz w:val="24"/>
          <w:szCs w:val="24"/>
        </w:rPr>
        <w:t>.</w:t>
      </w:r>
      <w:r w:rsidR="00114670" w:rsidRPr="00D457FF">
        <w:rPr>
          <w:rStyle w:val="FootnoteReference"/>
          <w:rFonts w:eastAsia="Calibri"/>
          <w:sz w:val="24"/>
          <w:szCs w:val="24"/>
        </w:rPr>
        <w:footnoteReference w:id="14"/>
      </w:r>
      <w:r w:rsidR="008F680C" w:rsidRPr="00D457FF">
        <w:rPr>
          <w:rFonts w:eastAsia="Calibri"/>
          <w:sz w:val="24"/>
          <w:szCs w:val="24"/>
        </w:rPr>
        <w:t xml:space="preserve"> GBV</w:t>
      </w:r>
      <w:r w:rsidR="003D16BF" w:rsidRPr="00D457FF">
        <w:rPr>
          <w:rFonts w:eastAsia="Calibri"/>
          <w:sz w:val="24"/>
          <w:szCs w:val="24"/>
        </w:rPr>
        <w:t xml:space="preserve"> is widespread in Timor-Leste</w:t>
      </w:r>
      <w:r w:rsidR="00DD65D0" w:rsidRPr="00D457FF">
        <w:rPr>
          <w:rFonts w:eastAsia="Calibri"/>
          <w:sz w:val="24"/>
          <w:szCs w:val="24"/>
        </w:rPr>
        <w:t xml:space="preserve">: </w:t>
      </w:r>
      <w:r w:rsidRPr="00D457FF">
        <w:rPr>
          <w:rFonts w:eastAsia="Calibri"/>
          <w:sz w:val="24"/>
          <w:szCs w:val="24"/>
        </w:rPr>
        <w:t>2015 r</w:t>
      </w:r>
      <w:r w:rsidR="003D16BF" w:rsidRPr="00D457FF">
        <w:rPr>
          <w:rFonts w:eastAsia="Calibri"/>
          <w:sz w:val="24"/>
          <w:szCs w:val="24"/>
        </w:rPr>
        <w:t xml:space="preserve">esearch revealed that </w:t>
      </w:r>
      <w:r w:rsidR="003D16BF" w:rsidRPr="00D457FF">
        <w:rPr>
          <w:rFonts w:cs="Times New Roman"/>
          <w:sz w:val="24"/>
          <w:szCs w:val="24"/>
        </w:rPr>
        <w:t>59% of women aged 15 to 49 experienced physical and/or sexual violence by a male intimate partner at least once in their lifetime.</w:t>
      </w:r>
      <w:r w:rsidR="003D16BF" w:rsidRPr="00D457FF">
        <w:rPr>
          <w:rStyle w:val="FootnoteReference"/>
          <w:rFonts w:eastAsia="Calibri"/>
          <w:sz w:val="24"/>
          <w:szCs w:val="24"/>
        </w:rPr>
        <w:footnoteReference w:id="15"/>
      </w:r>
      <w:r w:rsidR="008F680C" w:rsidRPr="00D457FF">
        <w:rPr>
          <w:rFonts w:cs="Times New Roman"/>
          <w:sz w:val="24"/>
          <w:szCs w:val="24"/>
        </w:rPr>
        <w:t xml:space="preserve"> </w:t>
      </w:r>
      <w:r w:rsidR="00560F54" w:rsidRPr="00D457FF">
        <w:rPr>
          <w:rFonts w:cs="Times New Roman"/>
          <w:sz w:val="24"/>
          <w:szCs w:val="24"/>
        </w:rPr>
        <w:t>There was n</w:t>
      </w:r>
      <w:r w:rsidR="000C6DA3" w:rsidRPr="00D457FF">
        <w:rPr>
          <w:rFonts w:cs="Times New Roman"/>
          <w:sz w:val="24"/>
          <w:szCs w:val="24"/>
        </w:rPr>
        <w:t>o</w:t>
      </w:r>
      <w:r w:rsidR="003D16BF" w:rsidRPr="00D457FF">
        <w:rPr>
          <w:rFonts w:cs="Times New Roman"/>
          <w:sz w:val="24"/>
          <w:szCs w:val="24"/>
        </w:rPr>
        <w:t xml:space="preserve"> specific data on women with disabilities</w:t>
      </w:r>
      <w:r w:rsidR="00D12780" w:rsidRPr="00D457FF">
        <w:rPr>
          <w:rFonts w:cs="Times New Roman"/>
          <w:sz w:val="24"/>
          <w:szCs w:val="24"/>
        </w:rPr>
        <w:t>. As</w:t>
      </w:r>
      <w:r w:rsidR="00DD65D0" w:rsidRPr="00D457FF">
        <w:rPr>
          <w:rFonts w:cs="Times New Roman"/>
          <w:sz w:val="24"/>
          <w:szCs w:val="24"/>
        </w:rPr>
        <w:t xml:space="preserve"> </w:t>
      </w:r>
      <w:r w:rsidR="00457D9F" w:rsidRPr="00D457FF">
        <w:rPr>
          <w:rFonts w:cs="Times New Roman"/>
          <w:sz w:val="24"/>
          <w:szCs w:val="24"/>
        </w:rPr>
        <w:t>i</w:t>
      </w:r>
      <w:r w:rsidR="003D16BF" w:rsidRPr="00D457FF">
        <w:rPr>
          <w:rFonts w:eastAsia="Calibri"/>
          <w:sz w:val="24"/>
          <w:szCs w:val="24"/>
        </w:rPr>
        <w:t xml:space="preserve">nternational </w:t>
      </w:r>
      <w:r w:rsidR="00457D9F" w:rsidRPr="00D457FF">
        <w:rPr>
          <w:rFonts w:eastAsia="Calibri"/>
          <w:sz w:val="24"/>
          <w:szCs w:val="24"/>
        </w:rPr>
        <w:t xml:space="preserve">evidence </w:t>
      </w:r>
      <w:r w:rsidR="00DD65D0" w:rsidRPr="00D457FF">
        <w:rPr>
          <w:rFonts w:eastAsia="Calibri"/>
          <w:sz w:val="24"/>
          <w:szCs w:val="24"/>
        </w:rPr>
        <w:t>show</w:t>
      </w:r>
      <w:r w:rsidR="00D12780" w:rsidRPr="00D457FF">
        <w:rPr>
          <w:rFonts w:eastAsia="Calibri"/>
          <w:sz w:val="24"/>
          <w:szCs w:val="24"/>
        </w:rPr>
        <w:t>s</w:t>
      </w:r>
      <w:r w:rsidR="00DD65D0" w:rsidRPr="00D457FF">
        <w:rPr>
          <w:rFonts w:eastAsia="Calibri"/>
          <w:sz w:val="24"/>
          <w:szCs w:val="24"/>
        </w:rPr>
        <w:t xml:space="preserve"> </w:t>
      </w:r>
      <w:r w:rsidR="003D16BF" w:rsidRPr="00D457FF">
        <w:rPr>
          <w:rFonts w:eastAsia="Calibri"/>
          <w:sz w:val="24"/>
          <w:szCs w:val="24"/>
        </w:rPr>
        <w:t>that</w:t>
      </w:r>
      <w:r w:rsidR="003D16BF" w:rsidRPr="00D457FF">
        <w:rPr>
          <w:rFonts w:cs="Times New Roman"/>
          <w:sz w:val="24"/>
          <w:szCs w:val="24"/>
        </w:rPr>
        <w:t xml:space="preserve"> </w:t>
      </w:r>
      <w:r w:rsidR="00E24C43" w:rsidRPr="00D457FF">
        <w:rPr>
          <w:rFonts w:cs="Times New Roman"/>
          <w:sz w:val="24"/>
          <w:szCs w:val="24"/>
        </w:rPr>
        <w:t>women</w:t>
      </w:r>
      <w:r w:rsidR="003D16BF" w:rsidRPr="00D457FF">
        <w:rPr>
          <w:rFonts w:cs="Times New Roman"/>
          <w:sz w:val="24"/>
          <w:szCs w:val="24"/>
        </w:rPr>
        <w:t xml:space="preserve"> with </w:t>
      </w:r>
      <w:r w:rsidR="00457D9F" w:rsidRPr="00D457FF">
        <w:rPr>
          <w:rFonts w:eastAsia="Calibri"/>
          <w:sz w:val="24"/>
          <w:szCs w:val="24"/>
        </w:rPr>
        <w:t xml:space="preserve">disabilities are </w:t>
      </w:r>
      <w:r w:rsidR="00C36FBB" w:rsidRPr="00D457FF">
        <w:rPr>
          <w:rFonts w:eastAsia="Calibri"/>
          <w:sz w:val="24"/>
          <w:szCs w:val="24"/>
        </w:rPr>
        <w:t>twice as</w:t>
      </w:r>
      <w:r w:rsidR="003D16BF" w:rsidRPr="00D457FF">
        <w:rPr>
          <w:rFonts w:eastAsia="Calibri"/>
          <w:sz w:val="24"/>
          <w:szCs w:val="24"/>
        </w:rPr>
        <w:t xml:space="preserve"> likely to experience violence</w:t>
      </w:r>
      <w:r w:rsidR="00DD65D0" w:rsidRPr="00D457FF">
        <w:rPr>
          <w:rFonts w:eastAsia="Calibri"/>
          <w:sz w:val="24"/>
          <w:szCs w:val="24"/>
        </w:rPr>
        <w:t xml:space="preserve"> </w:t>
      </w:r>
      <w:r w:rsidR="003D16BF" w:rsidRPr="00D457FF">
        <w:rPr>
          <w:rFonts w:eastAsia="Calibri"/>
          <w:sz w:val="24"/>
          <w:szCs w:val="24"/>
        </w:rPr>
        <w:t xml:space="preserve">than </w:t>
      </w:r>
      <w:r w:rsidR="00C36FBB" w:rsidRPr="00D457FF">
        <w:rPr>
          <w:rFonts w:eastAsia="Calibri"/>
          <w:sz w:val="24"/>
          <w:szCs w:val="24"/>
        </w:rPr>
        <w:t>women</w:t>
      </w:r>
      <w:r w:rsidR="003D16BF" w:rsidRPr="00D457FF">
        <w:rPr>
          <w:rFonts w:eastAsia="Calibri"/>
          <w:sz w:val="24"/>
          <w:szCs w:val="24"/>
        </w:rPr>
        <w:t xml:space="preserve"> </w:t>
      </w:r>
      <w:r w:rsidR="00943BE7" w:rsidRPr="00D457FF">
        <w:rPr>
          <w:rFonts w:eastAsia="Calibri"/>
          <w:sz w:val="24"/>
          <w:szCs w:val="24"/>
        </w:rPr>
        <w:t>without disabilities</w:t>
      </w:r>
      <w:r w:rsidR="00D12780" w:rsidRPr="00D457FF">
        <w:rPr>
          <w:rFonts w:eastAsia="Calibri"/>
          <w:sz w:val="24"/>
          <w:szCs w:val="24"/>
        </w:rPr>
        <w:t>,</w:t>
      </w:r>
      <w:r w:rsidR="003D16BF" w:rsidRPr="00D457FF">
        <w:rPr>
          <w:rStyle w:val="FootnoteReference"/>
          <w:rFonts w:eastAsia="Calibri"/>
          <w:sz w:val="24"/>
          <w:szCs w:val="24"/>
        </w:rPr>
        <w:footnoteReference w:id="16"/>
      </w:r>
      <w:r w:rsidR="003D16BF" w:rsidRPr="00D457FF">
        <w:rPr>
          <w:rFonts w:eastAsia="Calibri"/>
          <w:sz w:val="24"/>
          <w:szCs w:val="24"/>
        </w:rPr>
        <w:t xml:space="preserve"> </w:t>
      </w:r>
      <w:r w:rsidR="00FA5973" w:rsidRPr="00D457FF">
        <w:rPr>
          <w:rFonts w:eastAsia="Calibri"/>
          <w:sz w:val="24"/>
          <w:szCs w:val="24"/>
        </w:rPr>
        <w:t>the level</w:t>
      </w:r>
      <w:r w:rsidR="003D16BF" w:rsidRPr="00D457FF">
        <w:rPr>
          <w:rFonts w:eastAsia="Calibri"/>
          <w:sz w:val="24"/>
          <w:szCs w:val="24"/>
        </w:rPr>
        <w:t xml:space="preserve"> of violence against women with disabilities in Timor-Leste </w:t>
      </w:r>
      <w:r w:rsidR="00943BE7" w:rsidRPr="00D457FF">
        <w:rPr>
          <w:rFonts w:eastAsia="Calibri"/>
          <w:sz w:val="24"/>
          <w:szCs w:val="24"/>
        </w:rPr>
        <w:t xml:space="preserve">is believed </w:t>
      </w:r>
      <w:r w:rsidR="003D16BF" w:rsidRPr="00D457FF">
        <w:rPr>
          <w:rFonts w:eastAsia="Calibri"/>
          <w:sz w:val="24"/>
          <w:szCs w:val="24"/>
        </w:rPr>
        <w:t>significant.</w:t>
      </w:r>
      <w:r w:rsidR="00234ED0" w:rsidRPr="00D457FF">
        <w:rPr>
          <w:rFonts w:eastAsia="Calibri"/>
          <w:sz w:val="24"/>
          <w:szCs w:val="24"/>
        </w:rPr>
        <w:t xml:space="preserve"> </w:t>
      </w:r>
      <w:r w:rsidR="00E24C43" w:rsidRPr="00D457FF">
        <w:rPr>
          <w:rFonts w:eastAsia="Calibri"/>
          <w:sz w:val="24"/>
          <w:szCs w:val="24"/>
        </w:rPr>
        <w:t>The National Action Plan on GBV</w:t>
      </w:r>
      <w:r w:rsidR="00C36FBB" w:rsidRPr="00D457FF">
        <w:rPr>
          <w:rFonts w:eastAsia="Calibri"/>
          <w:sz w:val="24"/>
          <w:szCs w:val="24"/>
        </w:rPr>
        <w:t xml:space="preserve"> (2017-2021</w:t>
      </w:r>
      <w:r w:rsidR="003F11A6" w:rsidRPr="00D457FF">
        <w:rPr>
          <w:rFonts w:eastAsia="Calibri"/>
          <w:sz w:val="24"/>
          <w:szCs w:val="24"/>
        </w:rPr>
        <w:t>)</w:t>
      </w:r>
      <w:r w:rsidR="00E24C43" w:rsidRPr="00D457FF">
        <w:rPr>
          <w:rFonts w:eastAsia="Calibri"/>
          <w:sz w:val="24"/>
          <w:szCs w:val="24"/>
        </w:rPr>
        <w:t xml:space="preserve"> recognizes the vulnerability of women with disabilities who have experienced </w:t>
      </w:r>
      <w:r w:rsidR="000571F8" w:rsidRPr="00D457FF">
        <w:rPr>
          <w:rFonts w:eastAsia="Calibri"/>
          <w:sz w:val="24"/>
          <w:szCs w:val="24"/>
        </w:rPr>
        <w:t>violence but</w:t>
      </w:r>
      <w:r w:rsidR="0070507E" w:rsidRPr="00D457FF">
        <w:rPr>
          <w:rFonts w:eastAsia="Calibri"/>
          <w:sz w:val="24"/>
          <w:szCs w:val="24"/>
        </w:rPr>
        <w:t xml:space="preserve"> does not </w:t>
      </w:r>
      <w:r w:rsidR="003F11A6" w:rsidRPr="00D457FF">
        <w:rPr>
          <w:rFonts w:eastAsia="Calibri"/>
          <w:sz w:val="24"/>
          <w:szCs w:val="24"/>
        </w:rPr>
        <w:t xml:space="preserve">sufficiently </w:t>
      </w:r>
      <w:r w:rsidR="0070507E" w:rsidRPr="00D457FF">
        <w:rPr>
          <w:rFonts w:eastAsia="Calibri"/>
          <w:sz w:val="24"/>
          <w:szCs w:val="24"/>
        </w:rPr>
        <w:t xml:space="preserve">integrate disability </w:t>
      </w:r>
      <w:r w:rsidR="00351D99" w:rsidRPr="00D457FF">
        <w:rPr>
          <w:rFonts w:eastAsia="Calibri"/>
          <w:sz w:val="24"/>
          <w:szCs w:val="24"/>
        </w:rPr>
        <w:t>in mainstream prevention and response efforts</w:t>
      </w:r>
      <w:r w:rsidR="0070507E" w:rsidRPr="00D457FF">
        <w:rPr>
          <w:rFonts w:eastAsia="Calibri"/>
          <w:sz w:val="24"/>
          <w:szCs w:val="24"/>
        </w:rPr>
        <w:t>. It</w:t>
      </w:r>
      <w:r w:rsidR="00351D99" w:rsidRPr="00D457FF">
        <w:rPr>
          <w:rFonts w:eastAsia="Calibri"/>
          <w:sz w:val="24"/>
          <w:szCs w:val="24"/>
        </w:rPr>
        <w:t xml:space="preserve"> </w:t>
      </w:r>
      <w:r w:rsidR="00457D9F" w:rsidRPr="00D457FF">
        <w:rPr>
          <w:rFonts w:eastAsia="Calibri"/>
          <w:sz w:val="24"/>
          <w:szCs w:val="24"/>
        </w:rPr>
        <w:t xml:space="preserve">does not disaggregate </w:t>
      </w:r>
      <w:r w:rsidR="00C36FBB" w:rsidRPr="00D457FF">
        <w:rPr>
          <w:rFonts w:eastAsia="Calibri"/>
          <w:sz w:val="24"/>
          <w:szCs w:val="24"/>
        </w:rPr>
        <w:t>for</w:t>
      </w:r>
      <w:r w:rsidR="00457D9F" w:rsidRPr="00D457FF">
        <w:rPr>
          <w:rFonts w:eastAsia="Calibri"/>
          <w:sz w:val="24"/>
          <w:szCs w:val="24"/>
        </w:rPr>
        <w:t xml:space="preserve"> disability</w:t>
      </w:r>
      <w:r w:rsidR="0070507E" w:rsidRPr="00D457FF">
        <w:rPr>
          <w:rFonts w:eastAsia="Calibri"/>
          <w:sz w:val="24"/>
          <w:szCs w:val="24"/>
        </w:rPr>
        <w:t xml:space="preserve"> and</w:t>
      </w:r>
      <w:r w:rsidR="00351D99" w:rsidRPr="00D457FF">
        <w:rPr>
          <w:rFonts w:eastAsia="Calibri"/>
          <w:sz w:val="24"/>
          <w:szCs w:val="24"/>
        </w:rPr>
        <w:t xml:space="preserve"> </w:t>
      </w:r>
      <w:r w:rsidR="003F11A6" w:rsidRPr="00D457FF">
        <w:rPr>
          <w:rFonts w:eastAsia="Calibri"/>
          <w:sz w:val="24"/>
          <w:szCs w:val="24"/>
        </w:rPr>
        <w:t xml:space="preserve">allocates </w:t>
      </w:r>
      <w:r w:rsidR="00457D9F" w:rsidRPr="00D457FF">
        <w:rPr>
          <w:rFonts w:eastAsia="Calibri"/>
          <w:sz w:val="24"/>
          <w:szCs w:val="24"/>
        </w:rPr>
        <w:t>minimal resources to support women with disabilities</w:t>
      </w:r>
      <w:r w:rsidR="00351D99" w:rsidRPr="00D457FF">
        <w:rPr>
          <w:rFonts w:eastAsia="Calibri"/>
          <w:sz w:val="24"/>
          <w:szCs w:val="24"/>
        </w:rPr>
        <w:t>.</w:t>
      </w:r>
      <w:r w:rsidR="00E24C43" w:rsidRPr="00D457FF">
        <w:rPr>
          <w:rStyle w:val="FootnoteReference"/>
          <w:rFonts w:eastAsia="Calibri"/>
          <w:sz w:val="24"/>
          <w:szCs w:val="24"/>
        </w:rPr>
        <w:footnoteReference w:id="17"/>
      </w:r>
      <w:r w:rsidR="00E24C43" w:rsidRPr="00D457FF">
        <w:rPr>
          <w:rFonts w:eastAsia="Calibri"/>
          <w:sz w:val="24"/>
          <w:szCs w:val="24"/>
        </w:rPr>
        <w:t xml:space="preserve"> </w:t>
      </w:r>
      <w:r w:rsidR="009346FA" w:rsidRPr="00D457FF">
        <w:rPr>
          <w:rFonts w:eastAsia="Calibri"/>
          <w:sz w:val="24"/>
          <w:szCs w:val="24"/>
        </w:rPr>
        <w:t xml:space="preserve">DPOs </w:t>
      </w:r>
      <w:r w:rsidR="00DD2A47" w:rsidRPr="00D457FF">
        <w:rPr>
          <w:rFonts w:eastAsia="Calibri"/>
          <w:sz w:val="24"/>
          <w:szCs w:val="24"/>
        </w:rPr>
        <w:t>and</w:t>
      </w:r>
      <w:r w:rsidR="009346FA" w:rsidRPr="00D457FF">
        <w:rPr>
          <w:rFonts w:eastAsia="Calibri"/>
          <w:sz w:val="24"/>
          <w:szCs w:val="24"/>
        </w:rPr>
        <w:t xml:space="preserve"> the Government’s National Centre for Rehabilitation (CNR) have </w:t>
      </w:r>
      <w:r w:rsidR="00DD2A47" w:rsidRPr="00D457FF">
        <w:rPr>
          <w:rFonts w:eastAsia="Calibri"/>
          <w:sz w:val="24"/>
          <w:szCs w:val="24"/>
        </w:rPr>
        <w:t xml:space="preserve">some </w:t>
      </w:r>
      <w:r w:rsidR="009346FA" w:rsidRPr="00D457FF">
        <w:rPr>
          <w:rFonts w:eastAsia="Calibri"/>
          <w:sz w:val="24"/>
          <w:szCs w:val="24"/>
        </w:rPr>
        <w:t>data on</w:t>
      </w:r>
      <w:r w:rsidR="00BA6938" w:rsidRPr="00D457FF">
        <w:rPr>
          <w:rFonts w:eastAsia="Calibri"/>
          <w:sz w:val="24"/>
          <w:szCs w:val="24"/>
        </w:rPr>
        <w:t xml:space="preserve"> GBV</w:t>
      </w:r>
      <w:r w:rsidR="009346FA" w:rsidRPr="00D457FF">
        <w:rPr>
          <w:rFonts w:eastAsia="Calibri"/>
          <w:sz w:val="24"/>
          <w:szCs w:val="24"/>
        </w:rPr>
        <w:t xml:space="preserve"> against women with disabilities, but have limited capacity to identify survivors, adequately document cases and provide </w:t>
      </w:r>
      <w:r w:rsidR="00BA6938" w:rsidRPr="00D457FF">
        <w:rPr>
          <w:rFonts w:eastAsia="Calibri"/>
          <w:sz w:val="24"/>
          <w:szCs w:val="24"/>
        </w:rPr>
        <w:t>or refer to s</w:t>
      </w:r>
      <w:r w:rsidR="009346FA" w:rsidRPr="00D457FF">
        <w:rPr>
          <w:rFonts w:eastAsia="Calibri"/>
          <w:sz w:val="24"/>
          <w:szCs w:val="24"/>
        </w:rPr>
        <w:t>ervices. CNR</w:t>
      </w:r>
      <w:r w:rsidR="00963876" w:rsidRPr="00D457FF">
        <w:rPr>
          <w:rFonts w:eastAsia="Calibri"/>
          <w:sz w:val="24"/>
          <w:szCs w:val="24"/>
        </w:rPr>
        <w:t xml:space="preserve">, </w:t>
      </w:r>
      <w:r w:rsidR="006E4EB7" w:rsidRPr="00D457FF">
        <w:rPr>
          <w:rFonts w:eastAsia="Calibri"/>
          <w:sz w:val="24"/>
          <w:szCs w:val="24"/>
        </w:rPr>
        <w:t xml:space="preserve">the largest </w:t>
      </w:r>
      <w:r w:rsidR="00DD2A47" w:rsidRPr="00D457FF">
        <w:rPr>
          <w:rFonts w:eastAsia="Calibri"/>
          <w:sz w:val="24"/>
          <w:szCs w:val="24"/>
        </w:rPr>
        <w:t xml:space="preserve">legally mandated </w:t>
      </w:r>
      <w:r w:rsidR="00C36FBB" w:rsidRPr="00D457FF">
        <w:rPr>
          <w:rFonts w:eastAsia="Calibri"/>
          <w:sz w:val="24"/>
          <w:szCs w:val="24"/>
        </w:rPr>
        <w:t>service provider</w:t>
      </w:r>
      <w:r w:rsidR="00DD2A47" w:rsidRPr="00D457FF">
        <w:rPr>
          <w:rFonts w:eastAsia="Calibri"/>
          <w:sz w:val="24"/>
          <w:szCs w:val="24"/>
        </w:rPr>
        <w:t xml:space="preserve"> for persons with disabilities</w:t>
      </w:r>
      <w:r w:rsidR="00513DF0" w:rsidRPr="00D457FF">
        <w:rPr>
          <w:rFonts w:eastAsia="Calibri"/>
          <w:sz w:val="24"/>
          <w:szCs w:val="24"/>
        </w:rPr>
        <w:t>,</w:t>
      </w:r>
      <w:r w:rsidR="006E4EB7" w:rsidRPr="00D457FF">
        <w:rPr>
          <w:rStyle w:val="FootnoteReference"/>
          <w:rFonts w:eastAsia="Calibri"/>
          <w:sz w:val="24"/>
          <w:szCs w:val="24"/>
        </w:rPr>
        <w:footnoteReference w:id="18"/>
      </w:r>
      <w:r w:rsidR="00963876" w:rsidRPr="00D457FF">
        <w:rPr>
          <w:rFonts w:eastAsia="Calibri"/>
          <w:sz w:val="24"/>
          <w:szCs w:val="24"/>
        </w:rPr>
        <w:t xml:space="preserve"> </w:t>
      </w:r>
      <w:r w:rsidR="00C36FBB" w:rsidRPr="00D457FF">
        <w:rPr>
          <w:rFonts w:eastAsia="Calibri"/>
          <w:sz w:val="24"/>
          <w:szCs w:val="24"/>
        </w:rPr>
        <w:t>is</w:t>
      </w:r>
      <w:r w:rsidR="000818A5" w:rsidRPr="00D457FF">
        <w:rPr>
          <w:rFonts w:eastAsia="Calibri"/>
          <w:sz w:val="24"/>
          <w:szCs w:val="24"/>
        </w:rPr>
        <w:t xml:space="preserve"> </w:t>
      </w:r>
      <w:r w:rsidR="00DD2A47" w:rsidRPr="00D457FF">
        <w:rPr>
          <w:rFonts w:eastAsia="Calibri"/>
          <w:sz w:val="24"/>
          <w:szCs w:val="24"/>
        </w:rPr>
        <w:t>committed to</w:t>
      </w:r>
      <w:r w:rsidR="006E4EB7" w:rsidRPr="00D457FF">
        <w:rPr>
          <w:rFonts w:eastAsia="Calibri"/>
          <w:sz w:val="24"/>
          <w:szCs w:val="24"/>
        </w:rPr>
        <w:t xml:space="preserve"> </w:t>
      </w:r>
      <w:r w:rsidR="00C36FBB" w:rsidRPr="00D457FF">
        <w:rPr>
          <w:rFonts w:eastAsia="Calibri"/>
          <w:sz w:val="24"/>
          <w:szCs w:val="24"/>
        </w:rPr>
        <w:t>strengthening</w:t>
      </w:r>
      <w:r w:rsidR="006E4EB7" w:rsidRPr="00D457FF">
        <w:rPr>
          <w:rFonts w:eastAsia="Calibri"/>
          <w:sz w:val="24"/>
          <w:szCs w:val="24"/>
        </w:rPr>
        <w:t xml:space="preserve"> capacity to identify </w:t>
      </w:r>
      <w:r w:rsidR="000C6DA3" w:rsidRPr="00D457FF">
        <w:rPr>
          <w:rFonts w:eastAsia="Calibri"/>
          <w:sz w:val="24"/>
          <w:szCs w:val="24"/>
        </w:rPr>
        <w:t xml:space="preserve">GBV </w:t>
      </w:r>
      <w:r w:rsidR="006E4EB7" w:rsidRPr="00D457FF">
        <w:rPr>
          <w:rFonts w:eastAsia="Calibri"/>
          <w:sz w:val="24"/>
          <w:szCs w:val="24"/>
        </w:rPr>
        <w:t>survivors</w:t>
      </w:r>
      <w:r w:rsidR="00963876" w:rsidRPr="00D457FF">
        <w:rPr>
          <w:rFonts w:eastAsia="Calibri"/>
          <w:sz w:val="24"/>
          <w:szCs w:val="24"/>
        </w:rPr>
        <w:t xml:space="preserve">, conduct comprehensive assessments and facilitate </w:t>
      </w:r>
      <w:r w:rsidR="00C36FBB" w:rsidRPr="00D457FF">
        <w:rPr>
          <w:rFonts w:eastAsia="Calibri"/>
          <w:sz w:val="24"/>
          <w:szCs w:val="24"/>
        </w:rPr>
        <w:t>systematic support and referral</w:t>
      </w:r>
      <w:r w:rsidR="000818A5" w:rsidRPr="00D457FF">
        <w:rPr>
          <w:rFonts w:eastAsia="Calibri"/>
          <w:sz w:val="24"/>
          <w:szCs w:val="24"/>
        </w:rPr>
        <w:t>.</w:t>
      </w:r>
      <w:r w:rsidR="00914BB3" w:rsidRPr="00D457FF">
        <w:rPr>
          <w:rFonts w:eastAsia="Calibri"/>
          <w:sz w:val="24"/>
          <w:szCs w:val="24"/>
        </w:rPr>
        <w:t xml:space="preserve"> </w:t>
      </w:r>
      <w:r w:rsidR="00943BE7" w:rsidRPr="00D457FF">
        <w:rPr>
          <w:rFonts w:eastAsia="Calibri"/>
          <w:sz w:val="24"/>
          <w:szCs w:val="24"/>
        </w:rPr>
        <w:t>Women with disa</w:t>
      </w:r>
      <w:r w:rsidR="000818A5" w:rsidRPr="00D457FF">
        <w:rPr>
          <w:rFonts w:eastAsia="Calibri"/>
          <w:sz w:val="24"/>
          <w:szCs w:val="24"/>
        </w:rPr>
        <w:t>bilities, survivors of GBV</w:t>
      </w:r>
      <w:r w:rsidR="00963876" w:rsidRPr="00D457FF">
        <w:rPr>
          <w:rFonts w:eastAsia="Calibri"/>
          <w:sz w:val="24"/>
          <w:szCs w:val="24"/>
        </w:rPr>
        <w:t>, also face</w:t>
      </w:r>
      <w:r w:rsidR="00943BE7" w:rsidRPr="00D457FF">
        <w:rPr>
          <w:rFonts w:eastAsia="Calibri"/>
          <w:sz w:val="24"/>
          <w:szCs w:val="24"/>
        </w:rPr>
        <w:t xml:space="preserve"> significant difficulties </w:t>
      </w:r>
      <w:r w:rsidR="00963876" w:rsidRPr="00D457FF">
        <w:rPr>
          <w:rFonts w:eastAsia="Calibri"/>
          <w:sz w:val="24"/>
          <w:szCs w:val="24"/>
        </w:rPr>
        <w:t xml:space="preserve">to </w:t>
      </w:r>
      <w:r w:rsidR="00D12780" w:rsidRPr="00D457FF">
        <w:rPr>
          <w:rFonts w:eastAsia="Calibri"/>
          <w:sz w:val="24"/>
          <w:szCs w:val="24"/>
        </w:rPr>
        <w:t>access</w:t>
      </w:r>
      <w:r w:rsidR="006E4EB7" w:rsidRPr="00D457FF">
        <w:rPr>
          <w:rFonts w:eastAsia="Calibri"/>
          <w:sz w:val="24"/>
          <w:szCs w:val="24"/>
        </w:rPr>
        <w:t xml:space="preserve"> justice,</w:t>
      </w:r>
      <w:r w:rsidR="003053B8" w:rsidRPr="00D457FF">
        <w:rPr>
          <w:rFonts w:eastAsia="Calibri"/>
          <w:sz w:val="24"/>
          <w:szCs w:val="24"/>
        </w:rPr>
        <w:t xml:space="preserve"> including</w:t>
      </w:r>
      <w:r w:rsidR="006E4EB7" w:rsidRPr="00D457FF">
        <w:rPr>
          <w:rFonts w:eastAsia="Calibri"/>
          <w:sz w:val="24"/>
          <w:szCs w:val="24"/>
        </w:rPr>
        <w:t xml:space="preserve"> </w:t>
      </w:r>
      <w:r w:rsidR="003053B8" w:rsidRPr="00D457FF">
        <w:rPr>
          <w:rFonts w:eastAsia="Calibri"/>
          <w:sz w:val="24"/>
          <w:szCs w:val="24"/>
        </w:rPr>
        <w:t xml:space="preserve">the </w:t>
      </w:r>
      <w:r w:rsidR="006E4EB7" w:rsidRPr="00D457FF">
        <w:rPr>
          <w:rFonts w:eastAsia="Calibri"/>
          <w:sz w:val="24"/>
          <w:szCs w:val="24"/>
        </w:rPr>
        <w:t>police and the judicial system.</w:t>
      </w:r>
      <w:r w:rsidR="006E4EB7" w:rsidRPr="00D457FF">
        <w:rPr>
          <w:rStyle w:val="FootnoteReference"/>
          <w:rFonts w:eastAsia="Calibri"/>
          <w:sz w:val="24"/>
          <w:szCs w:val="24"/>
        </w:rPr>
        <w:footnoteReference w:id="19"/>
      </w:r>
      <w:r w:rsidR="00387AAF" w:rsidRPr="00D457FF">
        <w:rPr>
          <w:rFonts w:eastAsia="Calibri"/>
          <w:sz w:val="24"/>
          <w:szCs w:val="24"/>
        </w:rPr>
        <w:t xml:space="preserve"> T</w:t>
      </w:r>
      <w:r w:rsidR="000818A5" w:rsidRPr="00D457FF">
        <w:rPr>
          <w:rFonts w:eastAsia="Calibri"/>
          <w:sz w:val="24"/>
          <w:szCs w:val="24"/>
        </w:rPr>
        <w:t xml:space="preserve">he Government has committed </w:t>
      </w:r>
      <w:r w:rsidRPr="00D457FF">
        <w:rPr>
          <w:rFonts w:eastAsia="Calibri"/>
          <w:sz w:val="24"/>
          <w:szCs w:val="24"/>
        </w:rPr>
        <w:t xml:space="preserve">to </w:t>
      </w:r>
      <w:r w:rsidR="00BA6938" w:rsidRPr="00D457FF">
        <w:rPr>
          <w:rFonts w:eastAsia="Calibri"/>
          <w:sz w:val="24"/>
          <w:szCs w:val="24"/>
        </w:rPr>
        <w:t xml:space="preserve">build capacity, in collaboration with DPOs, </w:t>
      </w:r>
      <w:r w:rsidR="000818A5" w:rsidRPr="00D457FF">
        <w:rPr>
          <w:rFonts w:eastAsia="Calibri"/>
          <w:sz w:val="24"/>
          <w:szCs w:val="24"/>
        </w:rPr>
        <w:t>of judicial actors to respond adequately to the requirements of persons with disabilities</w:t>
      </w:r>
      <w:r w:rsidRPr="00D457FF">
        <w:rPr>
          <w:rFonts w:eastAsia="Calibri"/>
          <w:sz w:val="24"/>
          <w:szCs w:val="24"/>
        </w:rPr>
        <w:t>.</w:t>
      </w:r>
      <w:r w:rsidRPr="00D457FF">
        <w:rPr>
          <w:rStyle w:val="FootnoteReference"/>
          <w:rFonts w:eastAsia="Calibri"/>
          <w:sz w:val="24"/>
          <w:szCs w:val="24"/>
        </w:rPr>
        <w:footnoteReference w:id="20"/>
      </w:r>
      <w:r w:rsidRPr="00D457FF">
        <w:rPr>
          <w:rFonts w:eastAsia="Calibri"/>
          <w:sz w:val="24"/>
          <w:szCs w:val="24"/>
        </w:rPr>
        <w:t xml:space="preserve"> UNPRPD is well positioned to support these efforts.</w:t>
      </w:r>
    </w:p>
    <w:p w14:paraId="379240D4" w14:textId="1F7C70D1" w:rsidR="001E13E1" w:rsidRPr="00D457FF" w:rsidRDefault="00C23814" w:rsidP="00B43F7C">
      <w:pPr>
        <w:pStyle w:val="Heading2"/>
        <w:rPr>
          <w:i/>
        </w:rPr>
      </w:pPr>
      <w:r w:rsidRPr="00D457FF">
        <w:t xml:space="preserve">1.2. </w:t>
      </w:r>
      <w:r w:rsidR="005218E2" w:rsidRPr="00D457FF">
        <w:t>Proposal development process</w:t>
      </w:r>
    </w:p>
    <w:p w14:paraId="770DE390" w14:textId="5DCC462F" w:rsidR="00DD7709" w:rsidRPr="00D457FF" w:rsidRDefault="00CA4023" w:rsidP="00D457FF">
      <w:pPr>
        <w:spacing w:before="200" w:line="240" w:lineRule="auto"/>
        <w:jc w:val="both"/>
        <w:rPr>
          <w:sz w:val="24"/>
          <w:szCs w:val="24"/>
        </w:rPr>
      </w:pPr>
      <w:r w:rsidRPr="00D457FF">
        <w:rPr>
          <w:sz w:val="24"/>
          <w:szCs w:val="24"/>
        </w:rPr>
        <w:t>Consultations among UN agencies, relevant Government institutions, DPOs and civil society organizations</w:t>
      </w:r>
      <w:r w:rsidR="00D70AC3" w:rsidRPr="00D457FF">
        <w:rPr>
          <w:sz w:val="24"/>
          <w:szCs w:val="24"/>
        </w:rPr>
        <w:t>, and key development p</w:t>
      </w:r>
      <w:r w:rsidR="00534E3F" w:rsidRPr="00D457FF">
        <w:rPr>
          <w:sz w:val="24"/>
          <w:szCs w:val="24"/>
        </w:rPr>
        <w:t>artners</w:t>
      </w:r>
      <w:r w:rsidRPr="00D457FF">
        <w:rPr>
          <w:sz w:val="24"/>
          <w:szCs w:val="24"/>
        </w:rPr>
        <w:t xml:space="preserve"> were undertaken throughout the development of this proposal.</w:t>
      </w:r>
      <w:r w:rsidR="00511812" w:rsidRPr="00D457FF">
        <w:rPr>
          <w:sz w:val="24"/>
          <w:szCs w:val="24"/>
        </w:rPr>
        <w:t xml:space="preserve"> </w:t>
      </w:r>
      <w:r w:rsidR="00534E3F" w:rsidRPr="00D457FF">
        <w:rPr>
          <w:sz w:val="24"/>
          <w:szCs w:val="24"/>
        </w:rPr>
        <w:t>Consultations started</w:t>
      </w:r>
      <w:r w:rsidR="00511812" w:rsidRPr="00D457FF">
        <w:rPr>
          <w:sz w:val="24"/>
          <w:szCs w:val="24"/>
        </w:rPr>
        <w:t xml:space="preserve"> in late 2016 to formulate ideas for the project concept</w:t>
      </w:r>
      <w:r w:rsidR="002D4C99" w:rsidRPr="00D457FF">
        <w:rPr>
          <w:sz w:val="24"/>
          <w:szCs w:val="24"/>
        </w:rPr>
        <w:t>. This included</w:t>
      </w:r>
      <w:r w:rsidR="00511812" w:rsidRPr="00D457FF">
        <w:rPr>
          <w:sz w:val="24"/>
          <w:szCs w:val="24"/>
        </w:rPr>
        <w:t xml:space="preserve"> meetings with the </w:t>
      </w:r>
      <w:r w:rsidR="00534E3F" w:rsidRPr="00D457FF">
        <w:rPr>
          <w:sz w:val="24"/>
          <w:szCs w:val="24"/>
        </w:rPr>
        <w:t>MSS</w:t>
      </w:r>
      <w:r w:rsidR="00511812" w:rsidRPr="00D457FF">
        <w:rPr>
          <w:sz w:val="24"/>
          <w:szCs w:val="24"/>
        </w:rPr>
        <w:t xml:space="preserve"> </w:t>
      </w:r>
      <w:r w:rsidR="002D4C99" w:rsidRPr="00D457FF">
        <w:rPr>
          <w:sz w:val="24"/>
          <w:szCs w:val="24"/>
        </w:rPr>
        <w:t>and the subsequent endorsement of the concept by the Minister.</w:t>
      </w:r>
    </w:p>
    <w:p w14:paraId="1F61B80E" w14:textId="4BC80EBE" w:rsidR="00DD7709" w:rsidRPr="00D457FF" w:rsidRDefault="00DD7709" w:rsidP="00D457FF">
      <w:pPr>
        <w:pStyle w:val="CommentText"/>
        <w:spacing w:before="200"/>
        <w:jc w:val="both"/>
        <w:rPr>
          <w:sz w:val="24"/>
          <w:szCs w:val="24"/>
        </w:rPr>
      </w:pPr>
      <w:r w:rsidRPr="00D457FF">
        <w:rPr>
          <w:sz w:val="24"/>
          <w:szCs w:val="24"/>
        </w:rPr>
        <w:t xml:space="preserve">Following the invitation to develop a full proposal, a working </w:t>
      </w:r>
      <w:r w:rsidR="000C6DA3" w:rsidRPr="00D457FF">
        <w:rPr>
          <w:sz w:val="24"/>
          <w:szCs w:val="24"/>
        </w:rPr>
        <w:t>group</w:t>
      </w:r>
      <w:r w:rsidRPr="00D457FF">
        <w:rPr>
          <w:sz w:val="24"/>
          <w:szCs w:val="24"/>
        </w:rPr>
        <w:t xml:space="preserve"> was established comprised of UN Women, </w:t>
      </w:r>
      <w:r w:rsidR="00607D21" w:rsidRPr="00D457FF">
        <w:rPr>
          <w:sz w:val="24"/>
          <w:szCs w:val="24"/>
        </w:rPr>
        <w:t xml:space="preserve">the </w:t>
      </w:r>
      <w:r w:rsidRPr="00D457FF">
        <w:rPr>
          <w:sz w:val="24"/>
          <w:szCs w:val="24"/>
        </w:rPr>
        <w:t>H</w:t>
      </w:r>
      <w:r w:rsidR="00607D21" w:rsidRPr="00D457FF">
        <w:rPr>
          <w:sz w:val="24"/>
          <w:szCs w:val="24"/>
        </w:rPr>
        <w:t>uman Rights Adv</w:t>
      </w:r>
      <w:r w:rsidR="00040412" w:rsidRPr="00D457FF">
        <w:rPr>
          <w:sz w:val="24"/>
          <w:szCs w:val="24"/>
        </w:rPr>
        <w:t>is</w:t>
      </w:r>
      <w:r w:rsidR="00607D21" w:rsidRPr="00D457FF">
        <w:rPr>
          <w:sz w:val="24"/>
          <w:szCs w:val="24"/>
        </w:rPr>
        <w:t>er’s Unit (</w:t>
      </w:r>
      <w:r w:rsidR="00F44DD1" w:rsidRPr="00D457FF">
        <w:rPr>
          <w:sz w:val="24"/>
          <w:szCs w:val="24"/>
        </w:rPr>
        <w:t>HRAU/OHCHR</w:t>
      </w:r>
      <w:r w:rsidR="00607D21" w:rsidRPr="00D457FF">
        <w:rPr>
          <w:sz w:val="24"/>
          <w:szCs w:val="24"/>
        </w:rPr>
        <w:t>)</w:t>
      </w:r>
      <w:r w:rsidRPr="00D457FF">
        <w:rPr>
          <w:sz w:val="24"/>
          <w:szCs w:val="24"/>
        </w:rPr>
        <w:t>, UNFPA, UNIC</w:t>
      </w:r>
      <w:r w:rsidR="000C6DA3" w:rsidRPr="00D457FF">
        <w:rPr>
          <w:sz w:val="24"/>
          <w:szCs w:val="24"/>
        </w:rPr>
        <w:t>EF, UNESCO and WHO to design this</w:t>
      </w:r>
      <w:r w:rsidRPr="00D457FF">
        <w:rPr>
          <w:sz w:val="24"/>
          <w:szCs w:val="24"/>
        </w:rPr>
        <w:t xml:space="preserve"> project. Agencies </w:t>
      </w:r>
      <w:r w:rsidR="00963876" w:rsidRPr="00D457FF">
        <w:rPr>
          <w:sz w:val="24"/>
          <w:szCs w:val="24"/>
        </w:rPr>
        <w:t xml:space="preserve">adopted the same process as used for the development of the concept note and </w:t>
      </w:r>
      <w:r w:rsidRPr="00D457FF">
        <w:rPr>
          <w:sz w:val="24"/>
          <w:szCs w:val="24"/>
        </w:rPr>
        <w:t>sought key guidance from reports on the</w:t>
      </w:r>
      <w:r w:rsidR="00040412" w:rsidRPr="00D457FF">
        <w:rPr>
          <w:sz w:val="24"/>
          <w:szCs w:val="24"/>
        </w:rPr>
        <w:t xml:space="preserve"> </w:t>
      </w:r>
      <w:r w:rsidRPr="00D457FF">
        <w:rPr>
          <w:sz w:val="24"/>
          <w:szCs w:val="24"/>
        </w:rPr>
        <w:t>situation of persons with disabilities in Timor-Leste, in particular those from DPOs to the UN human rights mechanisms</w:t>
      </w:r>
      <w:r w:rsidR="00607D21" w:rsidRPr="00D457FF">
        <w:rPr>
          <w:rStyle w:val="FootnoteReference"/>
          <w:sz w:val="24"/>
          <w:szCs w:val="24"/>
        </w:rPr>
        <w:footnoteReference w:id="21"/>
      </w:r>
      <w:r w:rsidRPr="00D457FF">
        <w:rPr>
          <w:sz w:val="24"/>
          <w:szCs w:val="24"/>
        </w:rPr>
        <w:t xml:space="preserve">, </w:t>
      </w:r>
      <w:r w:rsidR="007F5958" w:rsidRPr="00D457FF">
        <w:rPr>
          <w:sz w:val="24"/>
          <w:szCs w:val="24"/>
        </w:rPr>
        <w:t xml:space="preserve">to identify gaps and </w:t>
      </w:r>
      <w:r w:rsidR="00607D21" w:rsidRPr="00D457FF">
        <w:rPr>
          <w:sz w:val="24"/>
          <w:szCs w:val="24"/>
        </w:rPr>
        <w:t xml:space="preserve">to </w:t>
      </w:r>
      <w:r w:rsidRPr="00D457FF">
        <w:rPr>
          <w:sz w:val="24"/>
          <w:szCs w:val="24"/>
        </w:rPr>
        <w:t xml:space="preserve">draft its theory of change. In addition, bilateral consultations were undertaken with </w:t>
      </w:r>
      <w:r w:rsidR="00A44FF0" w:rsidRPr="00D457FF">
        <w:rPr>
          <w:sz w:val="24"/>
          <w:szCs w:val="24"/>
        </w:rPr>
        <w:t xml:space="preserve">DPOs, </w:t>
      </w:r>
      <w:r w:rsidR="00607D21" w:rsidRPr="00D457FF">
        <w:rPr>
          <w:sz w:val="24"/>
          <w:szCs w:val="24"/>
        </w:rPr>
        <w:t xml:space="preserve">the </w:t>
      </w:r>
      <w:r w:rsidRPr="00D457FF">
        <w:rPr>
          <w:sz w:val="24"/>
          <w:szCs w:val="24"/>
        </w:rPr>
        <w:t>Ministries</w:t>
      </w:r>
      <w:r w:rsidR="00607D21" w:rsidRPr="00D457FF">
        <w:rPr>
          <w:sz w:val="24"/>
          <w:szCs w:val="24"/>
        </w:rPr>
        <w:t xml:space="preserve"> of Social Solidarity, Health, Justice and Education as well as the Secretariat of State for the Support and Socio-Economic Promotion of Women</w:t>
      </w:r>
      <w:r w:rsidR="00A44FF0" w:rsidRPr="00D457FF">
        <w:rPr>
          <w:sz w:val="24"/>
          <w:szCs w:val="24"/>
        </w:rPr>
        <w:t>, (</w:t>
      </w:r>
      <w:r w:rsidR="00A44FF0" w:rsidRPr="00D457FF">
        <w:rPr>
          <w:rFonts w:cstheme="minorHAnsi"/>
          <w:sz w:val="24"/>
          <w:szCs w:val="24"/>
        </w:rPr>
        <w:t xml:space="preserve">as the coordinating entity in Government for the NAP GBV) </w:t>
      </w:r>
      <w:r w:rsidRPr="00D457FF">
        <w:rPr>
          <w:sz w:val="24"/>
          <w:szCs w:val="24"/>
        </w:rPr>
        <w:t>and INGOs working in the area of disability</w:t>
      </w:r>
      <w:r w:rsidR="000C6DA3" w:rsidRPr="00D457FF">
        <w:rPr>
          <w:sz w:val="24"/>
          <w:szCs w:val="24"/>
        </w:rPr>
        <w:t>. These meetings assisted the working group</w:t>
      </w:r>
      <w:r w:rsidRPr="00D457FF">
        <w:rPr>
          <w:sz w:val="24"/>
          <w:szCs w:val="24"/>
        </w:rPr>
        <w:t xml:space="preserve"> to </w:t>
      </w:r>
      <w:r w:rsidR="007F5958" w:rsidRPr="00D457FF">
        <w:rPr>
          <w:sz w:val="24"/>
          <w:szCs w:val="24"/>
        </w:rPr>
        <w:t xml:space="preserve">map existing initiatives and </w:t>
      </w:r>
      <w:r w:rsidRPr="00D457FF">
        <w:rPr>
          <w:sz w:val="24"/>
          <w:szCs w:val="24"/>
        </w:rPr>
        <w:t xml:space="preserve">ensure that the project </w:t>
      </w:r>
      <w:r w:rsidR="007F5958" w:rsidRPr="00D457FF">
        <w:rPr>
          <w:sz w:val="24"/>
          <w:szCs w:val="24"/>
        </w:rPr>
        <w:t xml:space="preserve">complements these and </w:t>
      </w:r>
      <w:r w:rsidRPr="00D457FF">
        <w:rPr>
          <w:sz w:val="24"/>
          <w:szCs w:val="24"/>
        </w:rPr>
        <w:t>is in line with priorities of rights holders and duty bearers</w:t>
      </w:r>
      <w:r w:rsidR="007F5958" w:rsidRPr="00D457FF">
        <w:rPr>
          <w:sz w:val="24"/>
          <w:szCs w:val="24"/>
        </w:rPr>
        <w:t>. As an example, c</w:t>
      </w:r>
      <w:r w:rsidRPr="00D457FF">
        <w:rPr>
          <w:sz w:val="24"/>
          <w:szCs w:val="24"/>
        </w:rPr>
        <w:t xml:space="preserve">onsultations </w:t>
      </w:r>
      <w:r w:rsidRPr="00D457FF">
        <w:rPr>
          <w:sz w:val="24"/>
          <w:szCs w:val="24"/>
        </w:rPr>
        <w:lastRenderedPageBreak/>
        <w:t xml:space="preserve">undertaken with the </w:t>
      </w:r>
      <w:r w:rsidR="00974DF2" w:rsidRPr="00D457FF">
        <w:rPr>
          <w:sz w:val="24"/>
          <w:szCs w:val="24"/>
        </w:rPr>
        <w:t xml:space="preserve">Secretary of State for Support and Socio-economic Promotion of Women </w:t>
      </w:r>
      <w:r w:rsidR="00FD4FDE" w:rsidRPr="00D457FF">
        <w:rPr>
          <w:sz w:val="24"/>
          <w:szCs w:val="24"/>
        </w:rPr>
        <w:t xml:space="preserve">aimed </w:t>
      </w:r>
      <w:r w:rsidR="00974DF2" w:rsidRPr="00D457FF">
        <w:rPr>
          <w:sz w:val="24"/>
          <w:szCs w:val="24"/>
        </w:rPr>
        <w:t xml:space="preserve">to ensure congruence with the </w:t>
      </w:r>
      <w:r w:rsidR="00EA7E66" w:rsidRPr="00D457FF">
        <w:rPr>
          <w:sz w:val="24"/>
          <w:szCs w:val="24"/>
        </w:rPr>
        <w:t>NAP</w:t>
      </w:r>
      <w:r w:rsidR="00974DF2" w:rsidRPr="00D457FF">
        <w:rPr>
          <w:sz w:val="24"/>
          <w:szCs w:val="24"/>
        </w:rPr>
        <w:t xml:space="preserve"> </w:t>
      </w:r>
      <w:r w:rsidR="003D71D0" w:rsidRPr="00D457FF">
        <w:rPr>
          <w:sz w:val="24"/>
          <w:szCs w:val="24"/>
        </w:rPr>
        <w:t>GBV</w:t>
      </w:r>
      <w:r w:rsidR="00974DF2" w:rsidRPr="00D457FF">
        <w:rPr>
          <w:sz w:val="24"/>
          <w:szCs w:val="24"/>
        </w:rPr>
        <w:t xml:space="preserve"> and the </w:t>
      </w:r>
      <w:r w:rsidRPr="00D457FF">
        <w:rPr>
          <w:sz w:val="24"/>
          <w:szCs w:val="24"/>
        </w:rPr>
        <w:t>M</w:t>
      </w:r>
      <w:r w:rsidR="00040412" w:rsidRPr="00D457FF">
        <w:rPr>
          <w:sz w:val="24"/>
          <w:szCs w:val="24"/>
        </w:rPr>
        <w:t>inistry of Education (MoE)</w:t>
      </w:r>
      <w:r w:rsidRPr="00D457FF">
        <w:rPr>
          <w:sz w:val="24"/>
          <w:szCs w:val="24"/>
        </w:rPr>
        <w:t xml:space="preserve"> </w:t>
      </w:r>
      <w:r w:rsidR="00FD4FDE" w:rsidRPr="00D457FF">
        <w:rPr>
          <w:sz w:val="24"/>
          <w:szCs w:val="24"/>
        </w:rPr>
        <w:t>on</w:t>
      </w:r>
      <w:r w:rsidRPr="00D457FF">
        <w:rPr>
          <w:sz w:val="24"/>
          <w:szCs w:val="24"/>
        </w:rPr>
        <w:t xml:space="preserve"> alig</w:t>
      </w:r>
      <w:r w:rsidR="00FD4FDE" w:rsidRPr="00D457FF">
        <w:rPr>
          <w:sz w:val="24"/>
          <w:szCs w:val="24"/>
        </w:rPr>
        <w:t>nment</w:t>
      </w:r>
      <w:r w:rsidRPr="00D457FF">
        <w:rPr>
          <w:sz w:val="24"/>
          <w:szCs w:val="24"/>
        </w:rPr>
        <w:t xml:space="preserve"> with priorities in the Inclusive Education Policy</w:t>
      </w:r>
      <w:r w:rsidR="007F5958" w:rsidRPr="00D457FF">
        <w:rPr>
          <w:sz w:val="24"/>
          <w:szCs w:val="24"/>
        </w:rPr>
        <w:t xml:space="preserve">. Meetings were also held with the Australian Government-supported </w:t>
      </w:r>
      <w:r w:rsidR="007F6099" w:rsidRPr="00D457FF">
        <w:rPr>
          <w:sz w:val="24"/>
          <w:szCs w:val="24"/>
        </w:rPr>
        <w:t xml:space="preserve">Ending Violence Against Women Project, as well as the </w:t>
      </w:r>
      <w:r w:rsidR="00607D21" w:rsidRPr="00D457FF">
        <w:rPr>
          <w:sz w:val="24"/>
          <w:szCs w:val="24"/>
        </w:rPr>
        <w:t xml:space="preserve">Partnership for Human Development’s </w:t>
      </w:r>
      <w:r w:rsidR="007F5958" w:rsidRPr="00D457FF">
        <w:rPr>
          <w:sz w:val="24"/>
          <w:szCs w:val="24"/>
        </w:rPr>
        <w:t>program on disability and gender mainstreaming to ensure complementarity of the project</w:t>
      </w:r>
      <w:r w:rsidR="007C690A" w:rsidRPr="00D457FF">
        <w:rPr>
          <w:sz w:val="24"/>
          <w:szCs w:val="24"/>
        </w:rPr>
        <w:t>.</w:t>
      </w:r>
      <w:r w:rsidR="007F6099" w:rsidRPr="00D457FF">
        <w:rPr>
          <w:sz w:val="24"/>
          <w:szCs w:val="24"/>
        </w:rPr>
        <w:t xml:space="preserve"> </w:t>
      </w:r>
    </w:p>
    <w:p w14:paraId="6D2F59CD" w14:textId="01E4072D" w:rsidR="00963876" w:rsidRPr="00D457FF" w:rsidRDefault="00DD7709" w:rsidP="00D457FF">
      <w:pPr>
        <w:spacing w:before="200" w:line="240" w:lineRule="auto"/>
        <w:jc w:val="both"/>
        <w:rPr>
          <w:sz w:val="24"/>
          <w:szCs w:val="24"/>
        </w:rPr>
      </w:pPr>
      <w:r w:rsidRPr="00D457FF">
        <w:rPr>
          <w:sz w:val="24"/>
          <w:szCs w:val="24"/>
        </w:rPr>
        <w:t xml:space="preserve">A </w:t>
      </w:r>
      <w:r w:rsidR="007F5958" w:rsidRPr="00D457FF">
        <w:rPr>
          <w:sz w:val="24"/>
          <w:szCs w:val="24"/>
        </w:rPr>
        <w:t>wider</w:t>
      </w:r>
      <w:r w:rsidRPr="00D457FF">
        <w:rPr>
          <w:sz w:val="24"/>
          <w:szCs w:val="24"/>
        </w:rPr>
        <w:t xml:space="preserve"> consultation with 19 key</w:t>
      </w:r>
      <w:r w:rsidR="007F5958" w:rsidRPr="00D457FF">
        <w:rPr>
          <w:sz w:val="24"/>
          <w:szCs w:val="24"/>
        </w:rPr>
        <w:t xml:space="preserve"> </w:t>
      </w:r>
      <w:r w:rsidRPr="00D457FF">
        <w:rPr>
          <w:sz w:val="24"/>
          <w:szCs w:val="24"/>
        </w:rPr>
        <w:t xml:space="preserve">stakeholders (9 women) from DPOs, </w:t>
      </w:r>
      <w:r w:rsidR="007F5958" w:rsidRPr="00D457FF">
        <w:rPr>
          <w:sz w:val="24"/>
          <w:szCs w:val="24"/>
        </w:rPr>
        <w:t>the National Human Rights Institution, Government</w:t>
      </w:r>
      <w:r w:rsidRPr="00D457FF">
        <w:rPr>
          <w:sz w:val="24"/>
          <w:szCs w:val="24"/>
        </w:rPr>
        <w:t xml:space="preserve"> and INGOs was held at the UN on 2 June 2017. Special efforts were made to ensure that a newly established DPO of women with disabilities was represented and voiced </w:t>
      </w:r>
      <w:r w:rsidR="007F5958" w:rsidRPr="00D457FF">
        <w:rPr>
          <w:sz w:val="24"/>
          <w:szCs w:val="24"/>
        </w:rPr>
        <w:t>suggestions during</w:t>
      </w:r>
      <w:r w:rsidRPr="00D457FF">
        <w:rPr>
          <w:sz w:val="24"/>
          <w:szCs w:val="24"/>
        </w:rPr>
        <w:t xml:space="preserve"> the </w:t>
      </w:r>
      <w:r w:rsidR="007F5958" w:rsidRPr="00D457FF">
        <w:rPr>
          <w:sz w:val="24"/>
          <w:szCs w:val="24"/>
        </w:rPr>
        <w:t>meeti</w:t>
      </w:r>
      <w:r w:rsidRPr="00D457FF">
        <w:rPr>
          <w:sz w:val="24"/>
          <w:szCs w:val="24"/>
        </w:rPr>
        <w:t>ng. During the consultation, the draft proposal was presented, and feedback sought on gaps and additi</w:t>
      </w:r>
      <w:r w:rsidR="007F5958" w:rsidRPr="00D457FF">
        <w:rPr>
          <w:sz w:val="24"/>
          <w:szCs w:val="24"/>
        </w:rPr>
        <w:t>onal areas of consideration. The co</w:t>
      </w:r>
      <w:r w:rsidRPr="00D457FF">
        <w:rPr>
          <w:sz w:val="24"/>
          <w:szCs w:val="24"/>
        </w:rPr>
        <w:t>nsultation reaffirmed the proposed theory of change.</w:t>
      </w:r>
    </w:p>
    <w:p w14:paraId="776E22A3" w14:textId="2D094277" w:rsidR="007F5958" w:rsidRPr="00D457FF" w:rsidRDefault="00233C8C" w:rsidP="00D457FF">
      <w:pPr>
        <w:spacing w:before="200" w:line="240" w:lineRule="auto"/>
        <w:jc w:val="both"/>
        <w:rPr>
          <w:sz w:val="24"/>
          <w:szCs w:val="24"/>
        </w:rPr>
      </w:pPr>
      <w:r w:rsidRPr="00D457FF">
        <w:rPr>
          <w:sz w:val="24"/>
          <w:szCs w:val="24"/>
        </w:rPr>
        <w:t xml:space="preserve">Through </w:t>
      </w:r>
      <w:r w:rsidR="00D70AC3" w:rsidRPr="00D457FF">
        <w:rPr>
          <w:sz w:val="24"/>
          <w:szCs w:val="24"/>
        </w:rPr>
        <w:t xml:space="preserve">joint work under the project, </w:t>
      </w:r>
      <w:r w:rsidRPr="00D457FF">
        <w:rPr>
          <w:sz w:val="24"/>
          <w:szCs w:val="24"/>
        </w:rPr>
        <w:t xml:space="preserve">UN Agencies </w:t>
      </w:r>
      <w:r w:rsidR="00A44FF0" w:rsidRPr="00D457FF">
        <w:rPr>
          <w:sz w:val="24"/>
          <w:szCs w:val="24"/>
        </w:rPr>
        <w:t xml:space="preserve">will be in a better position to </w:t>
      </w:r>
      <w:r w:rsidR="00D70AC3" w:rsidRPr="00D457FF">
        <w:rPr>
          <w:sz w:val="24"/>
          <w:szCs w:val="24"/>
        </w:rPr>
        <w:t xml:space="preserve">jointly </w:t>
      </w:r>
      <w:r w:rsidR="00FD4FDE" w:rsidRPr="00D457FF">
        <w:rPr>
          <w:sz w:val="24"/>
          <w:szCs w:val="24"/>
        </w:rPr>
        <w:t xml:space="preserve">leverage their </w:t>
      </w:r>
      <w:r w:rsidR="00D70AC3" w:rsidRPr="00D457FF">
        <w:rPr>
          <w:sz w:val="24"/>
          <w:szCs w:val="24"/>
        </w:rPr>
        <w:t>a</w:t>
      </w:r>
      <w:r w:rsidR="00FD4FDE" w:rsidRPr="00D457FF">
        <w:rPr>
          <w:sz w:val="24"/>
          <w:szCs w:val="24"/>
        </w:rPr>
        <w:t>reas of expertise</w:t>
      </w:r>
      <w:r w:rsidR="00DD72CB" w:rsidRPr="00D457FF">
        <w:rPr>
          <w:sz w:val="24"/>
          <w:szCs w:val="24"/>
        </w:rPr>
        <w:t xml:space="preserve"> and </w:t>
      </w:r>
      <w:r w:rsidR="00351D99" w:rsidRPr="00D457FF">
        <w:rPr>
          <w:sz w:val="24"/>
          <w:szCs w:val="24"/>
        </w:rPr>
        <w:t xml:space="preserve">existing </w:t>
      </w:r>
      <w:r w:rsidR="00DD72CB" w:rsidRPr="00D457FF">
        <w:rPr>
          <w:sz w:val="24"/>
          <w:szCs w:val="24"/>
        </w:rPr>
        <w:t>partnerships</w:t>
      </w:r>
      <w:r w:rsidR="00351D99" w:rsidRPr="00D457FF">
        <w:rPr>
          <w:sz w:val="24"/>
          <w:szCs w:val="24"/>
        </w:rPr>
        <w:t xml:space="preserve"> with DPOs and </w:t>
      </w:r>
      <w:r w:rsidR="00A44FF0" w:rsidRPr="00D457FF">
        <w:rPr>
          <w:sz w:val="24"/>
          <w:szCs w:val="24"/>
        </w:rPr>
        <w:t>r</w:t>
      </w:r>
      <w:r w:rsidR="00351D99" w:rsidRPr="00D457FF">
        <w:rPr>
          <w:sz w:val="24"/>
          <w:szCs w:val="24"/>
        </w:rPr>
        <w:t xml:space="preserve">elevant State Institutions, </w:t>
      </w:r>
      <w:r w:rsidR="00FD4FDE" w:rsidRPr="00D457FF">
        <w:rPr>
          <w:sz w:val="24"/>
          <w:szCs w:val="24"/>
        </w:rPr>
        <w:t xml:space="preserve">to </w:t>
      </w:r>
      <w:r w:rsidR="00DD72CB" w:rsidRPr="00D457FF">
        <w:rPr>
          <w:sz w:val="24"/>
          <w:szCs w:val="24"/>
        </w:rPr>
        <w:t xml:space="preserve">improve multi-sectoral coordination and </w:t>
      </w:r>
      <w:r w:rsidR="00FD4FDE" w:rsidRPr="00D457FF">
        <w:rPr>
          <w:sz w:val="24"/>
          <w:szCs w:val="24"/>
        </w:rPr>
        <w:t xml:space="preserve">more holistically address </w:t>
      </w:r>
      <w:r w:rsidR="00351D99" w:rsidRPr="00D457FF">
        <w:rPr>
          <w:sz w:val="24"/>
          <w:szCs w:val="24"/>
        </w:rPr>
        <w:t xml:space="preserve">discrimination and </w:t>
      </w:r>
      <w:r w:rsidR="00FD4FDE" w:rsidRPr="00D457FF">
        <w:rPr>
          <w:sz w:val="24"/>
          <w:szCs w:val="24"/>
        </w:rPr>
        <w:t xml:space="preserve">violence </w:t>
      </w:r>
      <w:r w:rsidR="00DD72CB" w:rsidRPr="00D457FF">
        <w:rPr>
          <w:sz w:val="24"/>
          <w:szCs w:val="24"/>
        </w:rPr>
        <w:t xml:space="preserve">faced by </w:t>
      </w:r>
      <w:r w:rsidR="00351D99" w:rsidRPr="00D457FF">
        <w:rPr>
          <w:sz w:val="24"/>
          <w:szCs w:val="24"/>
        </w:rPr>
        <w:t>persons with disabilities</w:t>
      </w:r>
      <w:r w:rsidR="00DD72CB" w:rsidRPr="00D457FF">
        <w:rPr>
          <w:sz w:val="24"/>
          <w:szCs w:val="24"/>
        </w:rPr>
        <w:t xml:space="preserve">. </w:t>
      </w:r>
    </w:p>
    <w:p w14:paraId="2957869B" w14:textId="7534D394" w:rsidR="00BB033A" w:rsidRPr="00D457FF" w:rsidRDefault="00D457FF" w:rsidP="008C6FE3">
      <w:pPr>
        <w:pStyle w:val="Heading1"/>
        <w:rPr>
          <w:sz w:val="20"/>
        </w:rPr>
      </w:pPr>
      <w:r>
        <w:t xml:space="preserve">2. </w:t>
      </w:r>
      <w:r w:rsidR="00BA1386" w:rsidRPr="00D457FF">
        <w:t>Project approach</w:t>
      </w:r>
    </w:p>
    <w:p w14:paraId="0CEDB56A" w14:textId="480F74ED" w:rsidR="005002C5" w:rsidRPr="00D457FF" w:rsidRDefault="00A449AF" w:rsidP="008C6FE3">
      <w:pPr>
        <w:pStyle w:val="Heading2"/>
        <w:rPr>
          <w:sz w:val="20"/>
        </w:rPr>
      </w:pPr>
      <w:r w:rsidRPr="00D457FF">
        <w:rPr>
          <w:rStyle w:val="Heading2Char"/>
        </w:rPr>
        <w:t xml:space="preserve">2.1 </w:t>
      </w:r>
      <w:r w:rsidR="00BE7792" w:rsidRPr="00D457FF">
        <w:rPr>
          <w:rStyle w:val="Heading2Char"/>
        </w:rPr>
        <w:t xml:space="preserve">Focus of the </w:t>
      </w:r>
      <w:r w:rsidR="00CF2AA9" w:rsidRPr="00D457FF">
        <w:rPr>
          <w:rStyle w:val="Heading2Char"/>
        </w:rPr>
        <w:t>project</w:t>
      </w:r>
      <w:r w:rsidR="001E13E1" w:rsidRPr="00D457FF">
        <w:rPr>
          <w:rStyle w:val="Heading2Char"/>
        </w:rPr>
        <w:t xml:space="preserve"> – “What is the </w:t>
      </w:r>
      <w:r w:rsidR="00CF2AA9" w:rsidRPr="00D457FF">
        <w:rPr>
          <w:rStyle w:val="Heading2Char"/>
        </w:rPr>
        <w:t>project</w:t>
      </w:r>
      <w:r w:rsidR="001E13E1" w:rsidRPr="00D457FF">
        <w:rPr>
          <w:rStyle w:val="Heading2Char"/>
        </w:rPr>
        <w:t xml:space="preserve"> about?”</w:t>
      </w:r>
    </w:p>
    <w:p w14:paraId="108E4A36" w14:textId="4195523B" w:rsidR="00641E43" w:rsidRPr="00D457FF" w:rsidRDefault="002A1811" w:rsidP="00D457FF">
      <w:pPr>
        <w:spacing w:before="200" w:line="240" w:lineRule="auto"/>
        <w:jc w:val="both"/>
        <w:rPr>
          <w:color w:val="000000" w:themeColor="text1"/>
          <w:sz w:val="24"/>
          <w:szCs w:val="24"/>
        </w:rPr>
      </w:pPr>
      <w:r w:rsidRPr="00D457FF">
        <w:rPr>
          <w:color w:val="000000" w:themeColor="text1"/>
          <w:sz w:val="24"/>
          <w:szCs w:val="24"/>
        </w:rPr>
        <w:t xml:space="preserve">This project </w:t>
      </w:r>
      <w:r w:rsidR="002A1F7D" w:rsidRPr="00D457FF">
        <w:rPr>
          <w:color w:val="000000" w:themeColor="text1"/>
          <w:sz w:val="24"/>
          <w:szCs w:val="24"/>
        </w:rPr>
        <w:t>will</w:t>
      </w:r>
      <w:r w:rsidRPr="00D457FF">
        <w:rPr>
          <w:color w:val="000000" w:themeColor="text1"/>
          <w:sz w:val="24"/>
          <w:szCs w:val="24"/>
        </w:rPr>
        <w:t xml:space="preserve"> enhanc</w:t>
      </w:r>
      <w:r w:rsidR="002A1F7D" w:rsidRPr="00D457FF">
        <w:rPr>
          <w:color w:val="000000" w:themeColor="text1"/>
          <w:sz w:val="24"/>
          <w:szCs w:val="24"/>
        </w:rPr>
        <w:t>e</w:t>
      </w:r>
      <w:r w:rsidRPr="00D457FF">
        <w:rPr>
          <w:color w:val="000000" w:themeColor="text1"/>
          <w:sz w:val="24"/>
          <w:szCs w:val="24"/>
        </w:rPr>
        <w:t xml:space="preserve"> the respect for the inherent dignity of persons with disabilities through addressing stigma and discrimination</w:t>
      </w:r>
      <w:r w:rsidR="00641E43" w:rsidRPr="00D457FF">
        <w:rPr>
          <w:color w:val="000000" w:themeColor="text1"/>
          <w:sz w:val="24"/>
          <w:szCs w:val="24"/>
        </w:rPr>
        <w:t>, in line wit</w:t>
      </w:r>
      <w:r w:rsidR="00983DAD" w:rsidRPr="00D457FF">
        <w:rPr>
          <w:color w:val="000000" w:themeColor="text1"/>
          <w:sz w:val="24"/>
          <w:szCs w:val="24"/>
        </w:rPr>
        <w:t xml:space="preserve">h articles 1, 3 and 5 of the </w:t>
      </w:r>
      <w:r w:rsidR="00641E43" w:rsidRPr="00D457FF">
        <w:rPr>
          <w:color w:val="000000" w:themeColor="text1"/>
          <w:sz w:val="24"/>
          <w:szCs w:val="24"/>
        </w:rPr>
        <w:t>CRPD</w:t>
      </w:r>
      <w:r w:rsidR="00CB3BA4" w:rsidRPr="00D457FF">
        <w:rPr>
          <w:color w:val="000000" w:themeColor="text1"/>
          <w:sz w:val="24"/>
          <w:szCs w:val="24"/>
        </w:rPr>
        <w:t>.</w:t>
      </w:r>
      <w:r w:rsidR="00641E43" w:rsidRPr="00D457FF">
        <w:rPr>
          <w:rStyle w:val="FootnoteReference"/>
          <w:color w:val="000000" w:themeColor="text1"/>
          <w:sz w:val="24"/>
          <w:szCs w:val="24"/>
        </w:rPr>
        <w:footnoteReference w:id="22"/>
      </w:r>
      <w:r w:rsidRPr="00D457FF">
        <w:rPr>
          <w:color w:val="000000" w:themeColor="text1"/>
          <w:sz w:val="24"/>
          <w:szCs w:val="24"/>
        </w:rPr>
        <w:t xml:space="preserve"> </w:t>
      </w:r>
      <w:r w:rsidR="002A1F7D" w:rsidRPr="00D457FF">
        <w:rPr>
          <w:color w:val="000000" w:themeColor="text1"/>
          <w:sz w:val="24"/>
          <w:szCs w:val="24"/>
        </w:rPr>
        <w:t xml:space="preserve">It </w:t>
      </w:r>
      <w:r w:rsidR="00CB3BA4" w:rsidRPr="00D457FF">
        <w:rPr>
          <w:color w:val="000000" w:themeColor="text1"/>
          <w:sz w:val="24"/>
          <w:szCs w:val="24"/>
        </w:rPr>
        <w:t xml:space="preserve">aims to ensure that women and </w:t>
      </w:r>
      <w:r w:rsidRPr="00D457FF">
        <w:rPr>
          <w:color w:val="000000" w:themeColor="text1"/>
          <w:sz w:val="24"/>
          <w:szCs w:val="24"/>
        </w:rPr>
        <w:t>children with disabilities</w:t>
      </w:r>
      <w:r w:rsidR="00CB3BA4" w:rsidRPr="00D457FF">
        <w:rPr>
          <w:color w:val="000000" w:themeColor="text1"/>
          <w:sz w:val="24"/>
          <w:szCs w:val="24"/>
        </w:rPr>
        <w:t xml:space="preserve"> will exercise their right to be free from violence</w:t>
      </w:r>
      <w:r w:rsidR="00641E43" w:rsidRPr="00D457FF">
        <w:rPr>
          <w:color w:val="000000" w:themeColor="text1"/>
          <w:sz w:val="24"/>
          <w:szCs w:val="24"/>
        </w:rPr>
        <w:t>, in accordance with articles</w:t>
      </w:r>
      <w:r w:rsidR="00641E43" w:rsidRPr="00D457FF">
        <w:rPr>
          <w:sz w:val="24"/>
          <w:szCs w:val="24"/>
        </w:rPr>
        <w:t xml:space="preserve"> </w:t>
      </w:r>
      <w:r w:rsidR="00983DAD" w:rsidRPr="00D457FF">
        <w:rPr>
          <w:sz w:val="24"/>
          <w:szCs w:val="24"/>
        </w:rPr>
        <w:t xml:space="preserve">6, 7, </w:t>
      </w:r>
      <w:r w:rsidR="00920FA3" w:rsidRPr="00D457FF">
        <w:rPr>
          <w:sz w:val="24"/>
          <w:szCs w:val="24"/>
        </w:rPr>
        <w:t xml:space="preserve">10, 15, </w:t>
      </w:r>
      <w:r w:rsidR="00983DAD" w:rsidRPr="00D457FF">
        <w:rPr>
          <w:sz w:val="24"/>
          <w:szCs w:val="24"/>
        </w:rPr>
        <w:t>16 and</w:t>
      </w:r>
      <w:r w:rsidR="00641E43" w:rsidRPr="00D457FF">
        <w:rPr>
          <w:sz w:val="24"/>
          <w:szCs w:val="24"/>
        </w:rPr>
        <w:t xml:space="preserve"> 17</w:t>
      </w:r>
      <w:r w:rsidR="00983DAD" w:rsidRPr="00D457FF">
        <w:rPr>
          <w:sz w:val="24"/>
          <w:szCs w:val="24"/>
        </w:rPr>
        <w:t xml:space="preserve"> of </w:t>
      </w:r>
      <w:r w:rsidR="00641E43" w:rsidRPr="00D457FF">
        <w:rPr>
          <w:sz w:val="24"/>
          <w:szCs w:val="24"/>
        </w:rPr>
        <w:t>CRPD</w:t>
      </w:r>
      <w:r w:rsidR="00641E43" w:rsidRPr="00D457FF">
        <w:rPr>
          <w:color w:val="000000" w:themeColor="text1"/>
          <w:sz w:val="24"/>
          <w:szCs w:val="24"/>
        </w:rPr>
        <w:t>.</w:t>
      </w:r>
      <w:r w:rsidR="00641E43" w:rsidRPr="00D457FF">
        <w:rPr>
          <w:rStyle w:val="FootnoteReference"/>
          <w:color w:val="000000" w:themeColor="text1"/>
          <w:sz w:val="24"/>
          <w:szCs w:val="24"/>
        </w:rPr>
        <w:footnoteReference w:id="23"/>
      </w:r>
      <w:r w:rsidR="00641E43" w:rsidRPr="00D457FF">
        <w:rPr>
          <w:color w:val="000000" w:themeColor="text1"/>
          <w:sz w:val="24"/>
          <w:szCs w:val="24"/>
        </w:rPr>
        <w:t xml:space="preserve"> Through violence prevention and response interventions, women and children with disabilities will also access key services in education, health, rehabilitation and justice, thereby availing themselves of the </w:t>
      </w:r>
      <w:r w:rsidR="00FF1C68" w:rsidRPr="00D457FF">
        <w:rPr>
          <w:color w:val="000000" w:themeColor="text1"/>
          <w:sz w:val="24"/>
          <w:szCs w:val="24"/>
        </w:rPr>
        <w:t xml:space="preserve">rights guaranteed </w:t>
      </w:r>
      <w:r w:rsidR="00983DAD" w:rsidRPr="00D457FF">
        <w:rPr>
          <w:color w:val="000000" w:themeColor="text1"/>
          <w:sz w:val="24"/>
          <w:szCs w:val="24"/>
        </w:rPr>
        <w:t xml:space="preserve">in </w:t>
      </w:r>
      <w:r w:rsidR="00641E43" w:rsidRPr="00D457FF">
        <w:rPr>
          <w:color w:val="000000" w:themeColor="text1"/>
          <w:sz w:val="24"/>
          <w:szCs w:val="24"/>
        </w:rPr>
        <w:t>CRPD articles 13, 24, 25 and 26.</w:t>
      </w:r>
      <w:r w:rsidR="00641E43" w:rsidRPr="00D457FF">
        <w:rPr>
          <w:rStyle w:val="FootnoteReference"/>
          <w:color w:val="000000" w:themeColor="text1"/>
          <w:sz w:val="24"/>
          <w:szCs w:val="24"/>
        </w:rPr>
        <w:footnoteReference w:id="24"/>
      </w:r>
    </w:p>
    <w:p w14:paraId="05B2A7F1" w14:textId="077C45E7" w:rsidR="001362D2" w:rsidRPr="008C6FE3" w:rsidRDefault="007712B3" w:rsidP="008C6FE3">
      <w:pPr>
        <w:pStyle w:val="Heading3"/>
      </w:pPr>
      <w:r w:rsidRPr="008C6FE3">
        <w:t>T</w:t>
      </w:r>
      <w:r w:rsidR="00F75F28" w:rsidRPr="008C6FE3">
        <w:t>heory of c</w:t>
      </w:r>
      <w:r w:rsidR="000C3642" w:rsidRPr="008C6FE3">
        <w:t xml:space="preserve">hange of the intervention – “How will the </w:t>
      </w:r>
      <w:r w:rsidR="00CF2AA9" w:rsidRPr="008C6FE3">
        <w:t>project</w:t>
      </w:r>
      <w:r w:rsidR="000C3642" w:rsidRPr="008C6FE3">
        <w:t xml:space="preserve"> produce positive change?”</w:t>
      </w:r>
    </w:p>
    <w:p w14:paraId="1F7561AE" w14:textId="01B30088" w:rsidR="006833F5" w:rsidRPr="00D457FF" w:rsidRDefault="00920FA3" w:rsidP="00D457FF">
      <w:pPr>
        <w:spacing w:before="200" w:line="240" w:lineRule="auto"/>
        <w:jc w:val="both"/>
        <w:rPr>
          <w:sz w:val="24"/>
          <w:szCs w:val="24"/>
        </w:rPr>
      </w:pPr>
      <w:r w:rsidRPr="00D457FF">
        <w:rPr>
          <w:sz w:val="24"/>
          <w:szCs w:val="24"/>
        </w:rPr>
        <w:t xml:space="preserve">The project </w:t>
      </w:r>
      <w:r w:rsidR="00983DAD" w:rsidRPr="00D457FF">
        <w:rPr>
          <w:sz w:val="24"/>
          <w:szCs w:val="24"/>
        </w:rPr>
        <w:t xml:space="preserve">will </w:t>
      </w:r>
      <w:r w:rsidRPr="00D457FF">
        <w:rPr>
          <w:sz w:val="24"/>
          <w:szCs w:val="24"/>
        </w:rPr>
        <w:t xml:space="preserve">contribute to </w:t>
      </w:r>
      <w:r w:rsidR="00D70AC3" w:rsidRPr="00D457FF">
        <w:rPr>
          <w:sz w:val="24"/>
          <w:szCs w:val="24"/>
        </w:rPr>
        <w:t>strengthening</w:t>
      </w:r>
      <w:r w:rsidRPr="00D457FF">
        <w:rPr>
          <w:sz w:val="24"/>
          <w:szCs w:val="24"/>
        </w:rPr>
        <w:t xml:space="preserve"> an environment in which </w:t>
      </w:r>
      <w:r w:rsidR="007F0756" w:rsidRPr="00D457FF">
        <w:rPr>
          <w:sz w:val="24"/>
          <w:szCs w:val="24"/>
        </w:rPr>
        <w:t>persons with disabilities</w:t>
      </w:r>
      <w:r w:rsidR="00983DAD" w:rsidRPr="00D457FF">
        <w:rPr>
          <w:sz w:val="24"/>
          <w:szCs w:val="24"/>
        </w:rPr>
        <w:t xml:space="preserve"> </w:t>
      </w:r>
      <w:r w:rsidR="00FF1C68" w:rsidRPr="00D457FF">
        <w:rPr>
          <w:sz w:val="24"/>
          <w:szCs w:val="24"/>
        </w:rPr>
        <w:t xml:space="preserve">live free from </w:t>
      </w:r>
      <w:r w:rsidR="008D1705" w:rsidRPr="00D457FF">
        <w:rPr>
          <w:sz w:val="24"/>
          <w:szCs w:val="24"/>
        </w:rPr>
        <w:t>discrimination and violence</w:t>
      </w:r>
      <w:r w:rsidR="00FF1C68" w:rsidRPr="00D457FF">
        <w:rPr>
          <w:sz w:val="24"/>
          <w:szCs w:val="24"/>
        </w:rPr>
        <w:t>, and access key services</w:t>
      </w:r>
      <w:r w:rsidRPr="00D457FF">
        <w:rPr>
          <w:sz w:val="24"/>
          <w:szCs w:val="24"/>
        </w:rPr>
        <w:t xml:space="preserve"> that are inclusive</w:t>
      </w:r>
      <w:r w:rsidR="00FF1C68" w:rsidRPr="00D457FF">
        <w:rPr>
          <w:sz w:val="24"/>
          <w:szCs w:val="24"/>
        </w:rPr>
        <w:t>.</w:t>
      </w:r>
      <w:r w:rsidR="00FA77B4" w:rsidRPr="00D457FF">
        <w:rPr>
          <w:sz w:val="24"/>
          <w:szCs w:val="24"/>
        </w:rPr>
        <w:t xml:space="preserve"> </w:t>
      </w:r>
      <w:r w:rsidR="00FF1C68" w:rsidRPr="00D457FF">
        <w:rPr>
          <w:sz w:val="24"/>
          <w:szCs w:val="24"/>
        </w:rPr>
        <w:t>It build</w:t>
      </w:r>
      <w:r w:rsidRPr="00D457FF">
        <w:rPr>
          <w:sz w:val="24"/>
          <w:szCs w:val="24"/>
        </w:rPr>
        <w:t>s</w:t>
      </w:r>
      <w:r w:rsidR="00FF1C68" w:rsidRPr="00D457FF">
        <w:rPr>
          <w:sz w:val="24"/>
          <w:szCs w:val="24"/>
        </w:rPr>
        <w:t xml:space="preserve"> on existing enabling legislation,</w:t>
      </w:r>
      <w:r w:rsidR="006833F5" w:rsidRPr="00D457FF">
        <w:rPr>
          <w:sz w:val="24"/>
          <w:szCs w:val="24"/>
        </w:rPr>
        <w:t xml:space="preserve"> policies and other commitments. Through support for ratification, </w:t>
      </w:r>
      <w:r w:rsidR="00983DAD" w:rsidRPr="00D457FF">
        <w:rPr>
          <w:sz w:val="24"/>
          <w:szCs w:val="24"/>
        </w:rPr>
        <w:t>capitalizing on the</w:t>
      </w:r>
      <w:r w:rsidR="006833F5" w:rsidRPr="00D457FF">
        <w:rPr>
          <w:sz w:val="24"/>
          <w:szCs w:val="24"/>
        </w:rPr>
        <w:t xml:space="preserve"> momentum </w:t>
      </w:r>
      <w:r w:rsidR="00983DAD" w:rsidRPr="00D457FF">
        <w:rPr>
          <w:sz w:val="24"/>
          <w:szCs w:val="24"/>
        </w:rPr>
        <w:t xml:space="preserve">that </w:t>
      </w:r>
      <w:r w:rsidR="006833F5" w:rsidRPr="00D457FF">
        <w:rPr>
          <w:sz w:val="24"/>
          <w:szCs w:val="24"/>
        </w:rPr>
        <w:t>exists, the project s</w:t>
      </w:r>
      <w:r w:rsidR="00FF1C68" w:rsidRPr="00D457FF">
        <w:rPr>
          <w:sz w:val="24"/>
          <w:szCs w:val="24"/>
        </w:rPr>
        <w:t>eek</w:t>
      </w:r>
      <w:r w:rsidRPr="00D457FF">
        <w:rPr>
          <w:sz w:val="24"/>
          <w:szCs w:val="24"/>
        </w:rPr>
        <w:t>s</w:t>
      </w:r>
      <w:r w:rsidR="00FF1C68" w:rsidRPr="00D457FF">
        <w:rPr>
          <w:sz w:val="24"/>
          <w:szCs w:val="24"/>
        </w:rPr>
        <w:t xml:space="preserve"> </w:t>
      </w:r>
      <w:r w:rsidR="003E3DFB" w:rsidRPr="00D457FF">
        <w:rPr>
          <w:sz w:val="24"/>
          <w:szCs w:val="24"/>
        </w:rPr>
        <w:t xml:space="preserve">to </w:t>
      </w:r>
      <w:r w:rsidR="00FF1C68" w:rsidRPr="00D457FF">
        <w:rPr>
          <w:sz w:val="24"/>
          <w:szCs w:val="24"/>
        </w:rPr>
        <w:t>reinforce these</w:t>
      </w:r>
      <w:r w:rsidR="006833F5" w:rsidRPr="00D457FF">
        <w:rPr>
          <w:sz w:val="24"/>
          <w:szCs w:val="24"/>
        </w:rPr>
        <w:t xml:space="preserve"> commitment</w:t>
      </w:r>
      <w:r w:rsidR="003E3DFB" w:rsidRPr="00D457FF">
        <w:rPr>
          <w:sz w:val="24"/>
          <w:szCs w:val="24"/>
        </w:rPr>
        <w:t>s</w:t>
      </w:r>
      <w:r w:rsidR="006833F5" w:rsidRPr="00D457FF">
        <w:rPr>
          <w:sz w:val="24"/>
          <w:szCs w:val="24"/>
        </w:rPr>
        <w:t>. R</w:t>
      </w:r>
      <w:r w:rsidR="008E79DC" w:rsidRPr="00D457FF">
        <w:rPr>
          <w:sz w:val="24"/>
          <w:szCs w:val="24"/>
        </w:rPr>
        <w:t xml:space="preserve">eview </w:t>
      </w:r>
      <w:r w:rsidRPr="00D457FF">
        <w:rPr>
          <w:sz w:val="24"/>
          <w:szCs w:val="24"/>
        </w:rPr>
        <w:t>of existing laws and policies</w:t>
      </w:r>
      <w:r w:rsidR="006833F5" w:rsidRPr="00D457FF">
        <w:rPr>
          <w:sz w:val="24"/>
          <w:szCs w:val="24"/>
        </w:rPr>
        <w:t xml:space="preserve"> in </w:t>
      </w:r>
      <w:r w:rsidR="00256412" w:rsidRPr="00D457FF">
        <w:rPr>
          <w:sz w:val="24"/>
          <w:szCs w:val="24"/>
        </w:rPr>
        <w:t xml:space="preserve">key </w:t>
      </w:r>
      <w:r w:rsidR="006833F5" w:rsidRPr="00D457FF">
        <w:rPr>
          <w:sz w:val="24"/>
          <w:szCs w:val="24"/>
        </w:rPr>
        <w:t>areas where disability has not yet been integrated,</w:t>
      </w:r>
      <w:r w:rsidRPr="00D457FF">
        <w:rPr>
          <w:sz w:val="24"/>
          <w:szCs w:val="24"/>
        </w:rPr>
        <w:t xml:space="preserve"> and </w:t>
      </w:r>
      <w:r w:rsidR="006833F5" w:rsidRPr="00D457FF">
        <w:rPr>
          <w:sz w:val="24"/>
          <w:szCs w:val="24"/>
        </w:rPr>
        <w:t xml:space="preserve">the drafting </w:t>
      </w:r>
      <w:r w:rsidR="003E3DFB" w:rsidRPr="00D457FF">
        <w:rPr>
          <w:sz w:val="24"/>
          <w:szCs w:val="24"/>
        </w:rPr>
        <w:t xml:space="preserve">of a </w:t>
      </w:r>
      <w:r w:rsidRPr="00D457FF">
        <w:rPr>
          <w:sz w:val="24"/>
          <w:szCs w:val="24"/>
        </w:rPr>
        <w:t xml:space="preserve">checklist </w:t>
      </w:r>
      <w:r w:rsidR="006833F0" w:rsidRPr="00D457FF">
        <w:rPr>
          <w:sz w:val="24"/>
          <w:szCs w:val="24"/>
        </w:rPr>
        <w:t xml:space="preserve">to ensure that </w:t>
      </w:r>
      <w:r w:rsidRPr="00D457FF">
        <w:rPr>
          <w:sz w:val="24"/>
          <w:szCs w:val="24"/>
        </w:rPr>
        <w:t xml:space="preserve">future </w:t>
      </w:r>
      <w:r w:rsidR="006833F0" w:rsidRPr="00D457FF">
        <w:rPr>
          <w:sz w:val="24"/>
          <w:szCs w:val="24"/>
        </w:rPr>
        <w:t>legislation and policies</w:t>
      </w:r>
      <w:r w:rsidRPr="00D457FF">
        <w:rPr>
          <w:sz w:val="24"/>
          <w:szCs w:val="24"/>
        </w:rPr>
        <w:t xml:space="preserve"> </w:t>
      </w:r>
      <w:r w:rsidR="006833F0" w:rsidRPr="00D457FF">
        <w:rPr>
          <w:sz w:val="24"/>
          <w:szCs w:val="24"/>
        </w:rPr>
        <w:t>comply</w:t>
      </w:r>
      <w:r w:rsidR="005A5ABF" w:rsidRPr="00D457FF">
        <w:rPr>
          <w:sz w:val="24"/>
          <w:szCs w:val="24"/>
        </w:rPr>
        <w:t xml:space="preserve"> with the </w:t>
      </w:r>
      <w:r w:rsidRPr="00D457FF">
        <w:rPr>
          <w:sz w:val="24"/>
          <w:szCs w:val="24"/>
        </w:rPr>
        <w:t>CRPD,</w:t>
      </w:r>
      <w:r w:rsidR="00830179" w:rsidRPr="00D457FF">
        <w:rPr>
          <w:sz w:val="24"/>
          <w:szCs w:val="24"/>
        </w:rPr>
        <w:t xml:space="preserve"> </w:t>
      </w:r>
      <w:r w:rsidR="006833F5" w:rsidRPr="00D457FF">
        <w:rPr>
          <w:sz w:val="24"/>
          <w:szCs w:val="24"/>
        </w:rPr>
        <w:t>are aimed at guaranteeing comprehensive</w:t>
      </w:r>
      <w:r w:rsidR="00D70AC3" w:rsidRPr="00D457FF">
        <w:rPr>
          <w:sz w:val="24"/>
          <w:szCs w:val="24"/>
        </w:rPr>
        <w:t xml:space="preserve"> and long-term</w:t>
      </w:r>
      <w:r w:rsidR="007353C9" w:rsidRPr="00D457FF">
        <w:rPr>
          <w:sz w:val="24"/>
          <w:szCs w:val="24"/>
        </w:rPr>
        <w:t xml:space="preserve"> </w:t>
      </w:r>
      <w:r w:rsidR="006833F5" w:rsidRPr="00D457FF">
        <w:rPr>
          <w:sz w:val="24"/>
          <w:szCs w:val="24"/>
        </w:rPr>
        <w:t xml:space="preserve">mainstreaming of disability </w:t>
      </w:r>
      <w:r w:rsidR="006833F0" w:rsidRPr="00D457FF">
        <w:rPr>
          <w:sz w:val="24"/>
          <w:szCs w:val="24"/>
        </w:rPr>
        <w:t>in standard and policy setting.</w:t>
      </w:r>
      <w:r w:rsidR="008B16BC" w:rsidRPr="00D457FF">
        <w:rPr>
          <w:rStyle w:val="FootnoteReference"/>
          <w:sz w:val="24"/>
          <w:szCs w:val="24"/>
        </w:rPr>
        <w:footnoteReference w:id="25"/>
      </w:r>
      <w:r w:rsidR="006833F0" w:rsidRPr="00D457FF">
        <w:rPr>
          <w:sz w:val="24"/>
          <w:szCs w:val="24"/>
        </w:rPr>
        <w:t xml:space="preserve"> Capacity building on monitoring and reporting for Government and </w:t>
      </w:r>
      <w:r w:rsidR="00983DAD" w:rsidRPr="00D457FF">
        <w:rPr>
          <w:sz w:val="24"/>
          <w:szCs w:val="24"/>
        </w:rPr>
        <w:t>DPOs</w:t>
      </w:r>
      <w:r w:rsidR="006833F0" w:rsidRPr="00D457FF">
        <w:rPr>
          <w:sz w:val="24"/>
          <w:szCs w:val="24"/>
        </w:rPr>
        <w:t xml:space="preserve"> is essential to track progress of implementation of commitments</w:t>
      </w:r>
      <w:r w:rsidR="00983DAD" w:rsidRPr="00D457FF">
        <w:rPr>
          <w:sz w:val="24"/>
          <w:szCs w:val="24"/>
        </w:rPr>
        <w:t>. Through reporting,</w:t>
      </w:r>
      <w:r w:rsidR="006833F0" w:rsidRPr="00D457FF">
        <w:rPr>
          <w:sz w:val="24"/>
          <w:szCs w:val="24"/>
        </w:rPr>
        <w:t xml:space="preserve"> Timor-Leste </w:t>
      </w:r>
      <w:r w:rsidR="00983DAD" w:rsidRPr="00D457FF">
        <w:rPr>
          <w:sz w:val="24"/>
          <w:szCs w:val="24"/>
        </w:rPr>
        <w:t xml:space="preserve">will </w:t>
      </w:r>
      <w:r w:rsidR="00031A03" w:rsidRPr="00D457FF">
        <w:rPr>
          <w:sz w:val="24"/>
          <w:szCs w:val="24"/>
        </w:rPr>
        <w:t xml:space="preserve">also </w:t>
      </w:r>
      <w:r w:rsidR="00983DAD" w:rsidRPr="00D457FF">
        <w:rPr>
          <w:sz w:val="24"/>
          <w:szCs w:val="24"/>
        </w:rPr>
        <w:t>benefit from</w:t>
      </w:r>
      <w:r w:rsidR="006833F0" w:rsidRPr="00D457FF">
        <w:rPr>
          <w:sz w:val="24"/>
          <w:szCs w:val="24"/>
        </w:rPr>
        <w:t xml:space="preserve"> </w:t>
      </w:r>
      <w:r w:rsidR="00983DAD" w:rsidRPr="00D457FF">
        <w:rPr>
          <w:sz w:val="24"/>
          <w:szCs w:val="24"/>
        </w:rPr>
        <w:t>expertise</w:t>
      </w:r>
      <w:r w:rsidR="006833F0" w:rsidRPr="00D457FF">
        <w:rPr>
          <w:sz w:val="24"/>
          <w:szCs w:val="24"/>
        </w:rPr>
        <w:t xml:space="preserve"> of the UN Committee on the Rights of Persons with Disabilities </w:t>
      </w:r>
      <w:r w:rsidR="00B0177A" w:rsidRPr="00D457FF">
        <w:rPr>
          <w:sz w:val="24"/>
          <w:szCs w:val="24"/>
        </w:rPr>
        <w:t xml:space="preserve">on </w:t>
      </w:r>
      <w:r w:rsidR="006833F0" w:rsidRPr="00D457FF">
        <w:rPr>
          <w:sz w:val="24"/>
          <w:szCs w:val="24"/>
        </w:rPr>
        <w:t>how further advancements can be made.</w:t>
      </w:r>
    </w:p>
    <w:p w14:paraId="43151665" w14:textId="06A76AE2" w:rsidR="00B556C5" w:rsidRPr="00D457FF" w:rsidRDefault="006833F0" w:rsidP="00D457FF">
      <w:pPr>
        <w:spacing w:before="200" w:line="240" w:lineRule="auto"/>
        <w:jc w:val="both"/>
        <w:rPr>
          <w:sz w:val="24"/>
          <w:szCs w:val="24"/>
        </w:rPr>
      </w:pPr>
      <w:r w:rsidRPr="00D457FF">
        <w:rPr>
          <w:sz w:val="24"/>
          <w:szCs w:val="24"/>
        </w:rPr>
        <w:lastRenderedPageBreak/>
        <w:t>Building</w:t>
      </w:r>
      <w:r w:rsidR="002C622F" w:rsidRPr="00D457FF">
        <w:rPr>
          <w:sz w:val="24"/>
          <w:szCs w:val="24"/>
        </w:rPr>
        <w:t xml:space="preserve"> awareness on</w:t>
      </w:r>
      <w:r w:rsidRPr="00D457FF">
        <w:rPr>
          <w:sz w:val="24"/>
          <w:szCs w:val="24"/>
        </w:rPr>
        <w:t xml:space="preserve"> the rights of persons with disabilities</w:t>
      </w:r>
      <w:r w:rsidR="002C622F" w:rsidRPr="00D457FF">
        <w:rPr>
          <w:sz w:val="24"/>
          <w:szCs w:val="24"/>
        </w:rPr>
        <w:t xml:space="preserve"> with families, communit</w:t>
      </w:r>
      <w:r w:rsidR="00E53BAD" w:rsidRPr="00D457FF">
        <w:rPr>
          <w:sz w:val="24"/>
          <w:szCs w:val="24"/>
        </w:rPr>
        <w:t>ies</w:t>
      </w:r>
      <w:r w:rsidR="008B16BC" w:rsidRPr="00D457FF">
        <w:rPr>
          <w:sz w:val="24"/>
          <w:szCs w:val="24"/>
        </w:rPr>
        <w:t xml:space="preserve"> and service providers </w:t>
      </w:r>
      <w:r w:rsidR="002C622F" w:rsidRPr="00D457FF">
        <w:rPr>
          <w:sz w:val="24"/>
          <w:szCs w:val="24"/>
        </w:rPr>
        <w:t>that include</w:t>
      </w:r>
      <w:r w:rsidR="008B16BC" w:rsidRPr="00D457FF">
        <w:rPr>
          <w:sz w:val="24"/>
          <w:szCs w:val="24"/>
        </w:rPr>
        <w:t>s</w:t>
      </w:r>
      <w:r w:rsidRPr="00D457FF">
        <w:rPr>
          <w:sz w:val="24"/>
          <w:szCs w:val="24"/>
        </w:rPr>
        <w:t xml:space="preserve"> CRPD, the rights-based approach to disability and existing political commitments in the area of disability</w:t>
      </w:r>
      <w:r w:rsidR="002C622F" w:rsidRPr="00D457FF">
        <w:rPr>
          <w:sz w:val="24"/>
          <w:szCs w:val="24"/>
        </w:rPr>
        <w:t xml:space="preserve"> </w:t>
      </w:r>
      <w:r w:rsidRPr="00D457FF">
        <w:rPr>
          <w:sz w:val="24"/>
          <w:szCs w:val="24"/>
        </w:rPr>
        <w:t>will reduce p</w:t>
      </w:r>
      <w:r w:rsidR="00357C05" w:rsidRPr="00D457FF">
        <w:rPr>
          <w:sz w:val="24"/>
          <w:szCs w:val="24"/>
        </w:rPr>
        <w:t xml:space="preserve">revailing discriminatory </w:t>
      </w:r>
      <w:r w:rsidR="00137925" w:rsidRPr="00D457FF">
        <w:rPr>
          <w:sz w:val="24"/>
          <w:szCs w:val="24"/>
        </w:rPr>
        <w:t>attitudes</w:t>
      </w:r>
      <w:r w:rsidR="002C622F" w:rsidRPr="00D457FF">
        <w:rPr>
          <w:sz w:val="24"/>
          <w:szCs w:val="24"/>
        </w:rPr>
        <w:t xml:space="preserve"> against persons with disabilities</w:t>
      </w:r>
      <w:r w:rsidRPr="00D457FF">
        <w:rPr>
          <w:sz w:val="24"/>
          <w:szCs w:val="24"/>
        </w:rPr>
        <w:t>.</w:t>
      </w:r>
      <w:r w:rsidR="00031A03" w:rsidRPr="00D457FF">
        <w:rPr>
          <w:rStyle w:val="FootnoteReference"/>
          <w:sz w:val="24"/>
          <w:szCs w:val="24"/>
        </w:rPr>
        <w:footnoteReference w:id="26"/>
      </w:r>
      <w:r w:rsidRPr="00D457FF">
        <w:rPr>
          <w:sz w:val="24"/>
          <w:szCs w:val="24"/>
        </w:rPr>
        <w:t xml:space="preserve"> </w:t>
      </w:r>
      <w:r w:rsidR="007353C9" w:rsidRPr="00D457FF">
        <w:rPr>
          <w:sz w:val="24"/>
          <w:szCs w:val="24"/>
        </w:rPr>
        <w:t xml:space="preserve">Capacity building of </w:t>
      </w:r>
      <w:r w:rsidR="00710681" w:rsidRPr="00D457FF">
        <w:rPr>
          <w:sz w:val="24"/>
          <w:szCs w:val="24"/>
        </w:rPr>
        <w:t>DPOs and persons with disabilities</w:t>
      </w:r>
      <w:r w:rsidR="00983DAD" w:rsidRPr="00D457FF">
        <w:rPr>
          <w:sz w:val="24"/>
          <w:szCs w:val="24"/>
        </w:rPr>
        <w:t xml:space="preserve"> on CRPD to claim rights is</w:t>
      </w:r>
      <w:r w:rsidR="007353C9" w:rsidRPr="00D457FF">
        <w:rPr>
          <w:sz w:val="24"/>
          <w:szCs w:val="24"/>
        </w:rPr>
        <w:t xml:space="preserve"> </w:t>
      </w:r>
      <w:r w:rsidR="006833F5" w:rsidRPr="00D457FF">
        <w:rPr>
          <w:sz w:val="24"/>
          <w:szCs w:val="24"/>
        </w:rPr>
        <w:t>aimed</w:t>
      </w:r>
      <w:r w:rsidR="007353C9" w:rsidRPr="00D457FF">
        <w:rPr>
          <w:sz w:val="24"/>
          <w:szCs w:val="24"/>
        </w:rPr>
        <w:t xml:space="preserve"> at</w:t>
      </w:r>
      <w:r w:rsidR="00983DAD" w:rsidRPr="00D457FF">
        <w:rPr>
          <w:sz w:val="24"/>
          <w:szCs w:val="24"/>
        </w:rPr>
        <w:t xml:space="preserve">, </w:t>
      </w:r>
      <w:r w:rsidR="007353C9" w:rsidRPr="00D457FF">
        <w:rPr>
          <w:sz w:val="24"/>
          <w:szCs w:val="24"/>
        </w:rPr>
        <w:t>among other things</w:t>
      </w:r>
      <w:r w:rsidR="00983DAD" w:rsidRPr="00D457FF">
        <w:rPr>
          <w:sz w:val="24"/>
          <w:szCs w:val="24"/>
        </w:rPr>
        <w:t xml:space="preserve">, </w:t>
      </w:r>
      <w:r w:rsidR="007353C9" w:rsidRPr="00D457FF">
        <w:rPr>
          <w:sz w:val="24"/>
          <w:szCs w:val="24"/>
        </w:rPr>
        <w:t xml:space="preserve">ensuring </w:t>
      </w:r>
      <w:r w:rsidR="008B16BC" w:rsidRPr="00D457FF">
        <w:rPr>
          <w:sz w:val="24"/>
          <w:szCs w:val="24"/>
        </w:rPr>
        <w:t>they lead</w:t>
      </w:r>
      <w:r w:rsidR="007353C9" w:rsidRPr="00D457FF">
        <w:rPr>
          <w:sz w:val="24"/>
          <w:szCs w:val="24"/>
        </w:rPr>
        <w:t xml:space="preserve"> a</w:t>
      </w:r>
      <w:r w:rsidR="00710681" w:rsidRPr="00D457FF">
        <w:rPr>
          <w:sz w:val="24"/>
          <w:szCs w:val="24"/>
        </w:rPr>
        <w:t>wareness raising efforts</w:t>
      </w:r>
      <w:r w:rsidR="00983DAD" w:rsidRPr="00D457FF">
        <w:rPr>
          <w:sz w:val="24"/>
          <w:szCs w:val="24"/>
        </w:rPr>
        <w:t>. This will increase</w:t>
      </w:r>
      <w:r w:rsidR="002C622F" w:rsidRPr="00D457FF">
        <w:rPr>
          <w:sz w:val="24"/>
          <w:szCs w:val="24"/>
        </w:rPr>
        <w:t xml:space="preserve"> their </w:t>
      </w:r>
      <w:r w:rsidR="00983DAD" w:rsidRPr="00D457FF">
        <w:rPr>
          <w:sz w:val="24"/>
          <w:szCs w:val="24"/>
        </w:rPr>
        <w:t xml:space="preserve">visibility in society and </w:t>
      </w:r>
      <w:r w:rsidR="003F11A6" w:rsidRPr="00D457FF">
        <w:rPr>
          <w:sz w:val="24"/>
          <w:szCs w:val="24"/>
        </w:rPr>
        <w:t>will</w:t>
      </w:r>
      <w:r w:rsidRPr="00D457FF">
        <w:rPr>
          <w:sz w:val="24"/>
          <w:szCs w:val="24"/>
        </w:rPr>
        <w:t xml:space="preserve"> </w:t>
      </w:r>
      <w:r w:rsidR="007353C9" w:rsidRPr="00D457FF">
        <w:rPr>
          <w:sz w:val="24"/>
          <w:szCs w:val="24"/>
        </w:rPr>
        <w:t>contribute to addressing negative attitudes t</w:t>
      </w:r>
      <w:r w:rsidR="003F11A6" w:rsidRPr="00D457FF">
        <w:rPr>
          <w:sz w:val="24"/>
          <w:szCs w:val="24"/>
        </w:rPr>
        <w:t>hey face</w:t>
      </w:r>
      <w:r w:rsidR="007353C9" w:rsidRPr="00D457FF">
        <w:rPr>
          <w:sz w:val="24"/>
          <w:szCs w:val="24"/>
        </w:rPr>
        <w:t xml:space="preserve">. Advocacy </w:t>
      </w:r>
      <w:r w:rsidR="00B556C5" w:rsidRPr="00D457FF">
        <w:rPr>
          <w:sz w:val="24"/>
          <w:szCs w:val="24"/>
        </w:rPr>
        <w:t>for adoptin</w:t>
      </w:r>
      <w:r w:rsidR="003F11A6" w:rsidRPr="00D457FF">
        <w:rPr>
          <w:sz w:val="24"/>
          <w:szCs w:val="24"/>
        </w:rPr>
        <w:t>g</w:t>
      </w:r>
      <w:r w:rsidR="00B556C5" w:rsidRPr="00D457FF">
        <w:rPr>
          <w:sz w:val="24"/>
          <w:szCs w:val="24"/>
        </w:rPr>
        <w:t xml:space="preserve"> </w:t>
      </w:r>
      <w:r w:rsidR="007353C9" w:rsidRPr="00D457FF">
        <w:rPr>
          <w:sz w:val="24"/>
          <w:szCs w:val="24"/>
        </w:rPr>
        <w:t xml:space="preserve">and resourcing </w:t>
      </w:r>
      <w:r w:rsidR="003F11A6" w:rsidRPr="00D457FF">
        <w:rPr>
          <w:sz w:val="24"/>
          <w:szCs w:val="24"/>
        </w:rPr>
        <w:t>for</w:t>
      </w:r>
      <w:r w:rsidR="00B556C5" w:rsidRPr="00D457FF">
        <w:rPr>
          <w:sz w:val="24"/>
          <w:szCs w:val="24"/>
        </w:rPr>
        <w:t xml:space="preserve"> an assistive product</w:t>
      </w:r>
      <w:r w:rsidR="007353C9" w:rsidRPr="00D457FF">
        <w:rPr>
          <w:sz w:val="24"/>
          <w:szCs w:val="24"/>
        </w:rPr>
        <w:t>s</w:t>
      </w:r>
      <w:r w:rsidR="00B556C5" w:rsidRPr="00D457FF">
        <w:rPr>
          <w:sz w:val="24"/>
          <w:szCs w:val="24"/>
        </w:rPr>
        <w:t xml:space="preserve"> list, using </w:t>
      </w:r>
      <w:r w:rsidR="003F11A6" w:rsidRPr="00D457FF">
        <w:rPr>
          <w:sz w:val="24"/>
          <w:szCs w:val="24"/>
        </w:rPr>
        <w:t xml:space="preserve">WHO’s </w:t>
      </w:r>
      <w:r w:rsidR="00710681" w:rsidRPr="00D457FF">
        <w:rPr>
          <w:sz w:val="24"/>
          <w:szCs w:val="24"/>
        </w:rPr>
        <w:t xml:space="preserve">2016 Priority Assistive Products List </w:t>
      </w:r>
      <w:r w:rsidR="00B556C5" w:rsidRPr="00D457FF">
        <w:rPr>
          <w:sz w:val="24"/>
          <w:szCs w:val="24"/>
        </w:rPr>
        <w:t xml:space="preserve">as guidance, and </w:t>
      </w:r>
      <w:r w:rsidR="007353C9" w:rsidRPr="00D457FF">
        <w:rPr>
          <w:sz w:val="24"/>
          <w:szCs w:val="24"/>
        </w:rPr>
        <w:t xml:space="preserve">support for </w:t>
      </w:r>
      <w:r w:rsidR="00B556C5" w:rsidRPr="00D457FF">
        <w:rPr>
          <w:sz w:val="24"/>
          <w:szCs w:val="24"/>
        </w:rPr>
        <w:t>build</w:t>
      </w:r>
      <w:r w:rsidR="007353C9" w:rsidRPr="00D457FF">
        <w:rPr>
          <w:sz w:val="24"/>
          <w:szCs w:val="24"/>
        </w:rPr>
        <w:t>ing</w:t>
      </w:r>
      <w:r w:rsidR="00B556C5" w:rsidRPr="00D457FF">
        <w:rPr>
          <w:sz w:val="24"/>
          <w:szCs w:val="24"/>
        </w:rPr>
        <w:t xml:space="preserve"> consensus on a national list based on the needs of persons wi</w:t>
      </w:r>
      <w:r w:rsidR="007353C9" w:rsidRPr="00D457FF">
        <w:rPr>
          <w:sz w:val="24"/>
          <w:szCs w:val="24"/>
        </w:rPr>
        <w:t xml:space="preserve">th disabilities in Timor-Leste </w:t>
      </w:r>
      <w:r w:rsidR="004A0141" w:rsidRPr="00D457FF">
        <w:rPr>
          <w:sz w:val="24"/>
          <w:szCs w:val="24"/>
        </w:rPr>
        <w:t>aim</w:t>
      </w:r>
      <w:r w:rsidR="00B0177A" w:rsidRPr="00D457FF">
        <w:rPr>
          <w:sz w:val="24"/>
          <w:szCs w:val="24"/>
        </w:rPr>
        <w:t>s</w:t>
      </w:r>
      <w:r w:rsidR="004A0141" w:rsidRPr="00D457FF">
        <w:rPr>
          <w:sz w:val="24"/>
          <w:szCs w:val="24"/>
        </w:rPr>
        <w:t xml:space="preserve"> </w:t>
      </w:r>
      <w:r w:rsidR="00B0177A" w:rsidRPr="00D457FF">
        <w:rPr>
          <w:sz w:val="24"/>
          <w:szCs w:val="24"/>
        </w:rPr>
        <w:t>to enable</w:t>
      </w:r>
      <w:r w:rsidR="00060897" w:rsidRPr="00D457FF">
        <w:rPr>
          <w:sz w:val="24"/>
          <w:szCs w:val="24"/>
        </w:rPr>
        <w:t xml:space="preserve"> in particular</w:t>
      </w:r>
      <w:r w:rsidR="00B0177A" w:rsidRPr="00D457FF">
        <w:rPr>
          <w:sz w:val="24"/>
          <w:szCs w:val="24"/>
        </w:rPr>
        <w:t xml:space="preserve"> </w:t>
      </w:r>
      <w:r w:rsidR="007353C9" w:rsidRPr="00D457FF">
        <w:rPr>
          <w:sz w:val="24"/>
          <w:szCs w:val="24"/>
        </w:rPr>
        <w:t xml:space="preserve">persons with </w:t>
      </w:r>
      <w:r w:rsidR="00060897" w:rsidRPr="00D457FF">
        <w:rPr>
          <w:sz w:val="24"/>
          <w:szCs w:val="24"/>
        </w:rPr>
        <w:t xml:space="preserve">physical and sensory </w:t>
      </w:r>
      <w:r w:rsidR="007353C9" w:rsidRPr="00D457FF">
        <w:rPr>
          <w:sz w:val="24"/>
          <w:szCs w:val="24"/>
        </w:rPr>
        <w:t xml:space="preserve">disabilities </w:t>
      </w:r>
      <w:r w:rsidR="004A0141" w:rsidRPr="00D457FF">
        <w:rPr>
          <w:sz w:val="24"/>
          <w:szCs w:val="24"/>
        </w:rPr>
        <w:t>to</w:t>
      </w:r>
      <w:r w:rsidR="007353C9" w:rsidRPr="00D457FF">
        <w:rPr>
          <w:sz w:val="24"/>
          <w:szCs w:val="24"/>
        </w:rPr>
        <w:t xml:space="preserve"> participate fully and effectively in society.</w:t>
      </w:r>
      <w:r w:rsidRPr="00D457FF">
        <w:rPr>
          <w:sz w:val="24"/>
          <w:szCs w:val="24"/>
        </w:rPr>
        <w:t xml:space="preserve"> </w:t>
      </w:r>
    </w:p>
    <w:p w14:paraId="3EA9B9F7" w14:textId="4EB8FFCD" w:rsidR="00192B13" w:rsidRPr="00A33953" w:rsidRDefault="006D1E82" w:rsidP="006D1E82">
      <w:pPr>
        <w:pStyle w:val="Heading2"/>
        <w:rPr>
          <w:vanish/>
        </w:rPr>
      </w:pPr>
      <w:bookmarkStart w:id="0" w:name="_GoBack"/>
      <w:bookmarkEnd w:id="0"/>
      <w:r w:rsidRPr="00A33953">
        <w:rPr>
          <w:vanish/>
        </w:rPr>
        <w:t>Heading 2</w:t>
      </w:r>
    </w:p>
    <w:p w14:paraId="77B8EBE8" w14:textId="1F0C425B" w:rsidR="00351D99" w:rsidRPr="00D457FF" w:rsidRDefault="004A0141" w:rsidP="00D457FF">
      <w:pPr>
        <w:spacing w:before="200" w:line="240" w:lineRule="auto"/>
        <w:jc w:val="both"/>
        <w:rPr>
          <w:sz w:val="24"/>
          <w:szCs w:val="24"/>
        </w:rPr>
      </w:pPr>
      <w:r w:rsidRPr="00D457FF">
        <w:rPr>
          <w:sz w:val="24"/>
          <w:szCs w:val="24"/>
        </w:rPr>
        <w:t>To address</w:t>
      </w:r>
      <w:r w:rsidR="00137925" w:rsidRPr="00D457FF">
        <w:rPr>
          <w:sz w:val="24"/>
          <w:szCs w:val="24"/>
        </w:rPr>
        <w:t xml:space="preserve"> violence against women and children with disabili</w:t>
      </w:r>
      <w:r w:rsidRPr="00D457FF">
        <w:rPr>
          <w:sz w:val="24"/>
          <w:szCs w:val="24"/>
        </w:rPr>
        <w:t xml:space="preserve">ties, </w:t>
      </w:r>
      <w:r w:rsidR="00424C75" w:rsidRPr="00D457FF">
        <w:rPr>
          <w:sz w:val="24"/>
          <w:szCs w:val="24"/>
        </w:rPr>
        <w:t xml:space="preserve">the </w:t>
      </w:r>
      <w:r w:rsidRPr="00D457FF">
        <w:rPr>
          <w:sz w:val="24"/>
          <w:szCs w:val="24"/>
        </w:rPr>
        <w:t>National Action Plan</w:t>
      </w:r>
      <w:r w:rsidR="00424C75" w:rsidRPr="00D457FF">
        <w:rPr>
          <w:sz w:val="24"/>
          <w:szCs w:val="24"/>
        </w:rPr>
        <w:t>s</w:t>
      </w:r>
      <w:r w:rsidRPr="00D457FF">
        <w:rPr>
          <w:sz w:val="24"/>
          <w:szCs w:val="24"/>
        </w:rPr>
        <w:t xml:space="preserve"> (NAP) </w:t>
      </w:r>
      <w:r w:rsidR="00137925" w:rsidRPr="00D457FF">
        <w:rPr>
          <w:sz w:val="24"/>
          <w:szCs w:val="24"/>
        </w:rPr>
        <w:t>on GBV</w:t>
      </w:r>
      <w:r w:rsidR="00424C75" w:rsidRPr="00D457FF">
        <w:rPr>
          <w:sz w:val="24"/>
          <w:szCs w:val="24"/>
        </w:rPr>
        <w:t>,</w:t>
      </w:r>
      <w:r w:rsidR="00137925" w:rsidRPr="00D457FF">
        <w:rPr>
          <w:sz w:val="24"/>
          <w:szCs w:val="24"/>
        </w:rPr>
        <w:t xml:space="preserve"> the Rights of the Child</w:t>
      </w:r>
      <w:r w:rsidR="00B0177A" w:rsidRPr="00D457FF">
        <w:rPr>
          <w:sz w:val="24"/>
          <w:szCs w:val="24"/>
        </w:rPr>
        <w:t>,</w:t>
      </w:r>
      <w:r w:rsidR="00FA77B4" w:rsidRPr="00D457FF">
        <w:rPr>
          <w:sz w:val="24"/>
          <w:szCs w:val="24"/>
        </w:rPr>
        <w:t xml:space="preserve"> </w:t>
      </w:r>
      <w:r w:rsidR="00B0177A" w:rsidRPr="00D457FF">
        <w:rPr>
          <w:sz w:val="24"/>
          <w:szCs w:val="24"/>
        </w:rPr>
        <w:t>and</w:t>
      </w:r>
      <w:r w:rsidR="00FA77B4" w:rsidRPr="00D457FF">
        <w:rPr>
          <w:sz w:val="24"/>
          <w:szCs w:val="24"/>
        </w:rPr>
        <w:t xml:space="preserve"> the Law Against Domestic Violence,</w:t>
      </w:r>
      <w:r w:rsidR="00137925" w:rsidRPr="00D457FF">
        <w:rPr>
          <w:sz w:val="24"/>
          <w:szCs w:val="24"/>
        </w:rPr>
        <w:t xml:space="preserve"> serve as </w:t>
      </w:r>
      <w:r w:rsidR="00FA77B4" w:rsidRPr="00D457FF">
        <w:rPr>
          <w:sz w:val="24"/>
          <w:szCs w:val="24"/>
        </w:rPr>
        <w:t xml:space="preserve">key </w:t>
      </w:r>
      <w:r w:rsidR="00137925" w:rsidRPr="00D457FF">
        <w:rPr>
          <w:sz w:val="24"/>
          <w:szCs w:val="24"/>
        </w:rPr>
        <w:t>frameworks</w:t>
      </w:r>
      <w:r w:rsidR="008F4E60" w:rsidRPr="00D457FF">
        <w:rPr>
          <w:sz w:val="24"/>
          <w:szCs w:val="24"/>
        </w:rPr>
        <w:t xml:space="preserve"> </w:t>
      </w:r>
      <w:r w:rsidR="00D61F26" w:rsidRPr="00D457FF">
        <w:rPr>
          <w:sz w:val="24"/>
          <w:szCs w:val="24"/>
        </w:rPr>
        <w:t>guiding</w:t>
      </w:r>
      <w:r w:rsidR="00025CDC" w:rsidRPr="00D457FF">
        <w:rPr>
          <w:sz w:val="24"/>
          <w:szCs w:val="24"/>
        </w:rPr>
        <w:t xml:space="preserve"> </w:t>
      </w:r>
      <w:r w:rsidR="008F4E60" w:rsidRPr="00D457FF">
        <w:rPr>
          <w:sz w:val="24"/>
          <w:szCs w:val="24"/>
        </w:rPr>
        <w:t>the project</w:t>
      </w:r>
      <w:r w:rsidR="00137925" w:rsidRPr="00D457FF">
        <w:rPr>
          <w:sz w:val="24"/>
          <w:szCs w:val="24"/>
        </w:rPr>
        <w:t xml:space="preserve">. </w:t>
      </w:r>
      <w:r w:rsidR="00D61F26" w:rsidRPr="00D457FF">
        <w:rPr>
          <w:sz w:val="24"/>
          <w:szCs w:val="24"/>
        </w:rPr>
        <w:t xml:space="preserve">To </w:t>
      </w:r>
      <w:r w:rsidR="00543E6B" w:rsidRPr="00D457FF">
        <w:rPr>
          <w:sz w:val="24"/>
          <w:szCs w:val="24"/>
        </w:rPr>
        <w:t xml:space="preserve">strengthen information on </w:t>
      </w:r>
      <w:r w:rsidR="00D61F26" w:rsidRPr="00D457FF">
        <w:rPr>
          <w:sz w:val="24"/>
          <w:szCs w:val="24"/>
        </w:rPr>
        <w:t xml:space="preserve">violence against women and girls with disabilities, technical support will be given to </w:t>
      </w:r>
      <w:r w:rsidR="00543E6B" w:rsidRPr="00D457FF">
        <w:rPr>
          <w:sz w:val="24"/>
          <w:szCs w:val="24"/>
        </w:rPr>
        <w:t xml:space="preserve">key institutions implementing and monitoring the NAP GBV to </w:t>
      </w:r>
      <w:r w:rsidR="00D61F26" w:rsidRPr="00D457FF">
        <w:rPr>
          <w:sz w:val="24"/>
          <w:szCs w:val="24"/>
        </w:rPr>
        <w:t>ensure disaggregation for disability and its specific types</w:t>
      </w:r>
      <w:r w:rsidR="00543938" w:rsidRPr="00D457FF">
        <w:rPr>
          <w:sz w:val="24"/>
          <w:szCs w:val="24"/>
        </w:rPr>
        <w:t xml:space="preserve"> in data on violence</w:t>
      </w:r>
      <w:r w:rsidR="00D61F26" w:rsidRPr="00D457FF">
        <w:rPr>
          <w:sz w:val="24"/>
          <w:szCs w:val="24"/>
        </w:rPr>
        <w:t xml:space="preserve">. The </w:t>
      </w:r>
      <w:r w:rsidR="00E00A84" w:rsidRPr="00D457FF">
        <w:rPr>
          <w:sz w:val="24"/>
          <w:szCs w:val="24"/>
        </w:rPr>
        <w:t>inclusion</w:t>
      </w:r>
      <w:r w:rsidR="00D61F26" w:rsidRPr="00D457FF">
        <w:rPr>
          <w:sz w:val="24"/>
          <w:szCs w:val="24"/>
        </w:rPr>
        <w:t xml:space="preserve"> of disability into an existing tool for gender responsive budgeting, and subsequent capacity building thereon, will </w:t>
      </w:r>
      <w:r w:rsidR="00543E6B" w:rsidRPr="00D457FF">
        <w:rPr>
          <w:sz w:val="24"/>
          <w:szCs w:val="24"/>
        </w:rPr>
        <w:t xml:space="preserve">increase capacities of </w:t>
      </w:r>
      <w:r w:rsidR="008B16BC" w:rsidRPr="00D457FF">
        <w:rPr>
          <w:sz w:val="24"/>
          <w:szCs w:val="24"/>
        </w:rPr>
        <w:t>i</w:t>
      </w:r>
      <w:r w:rsidR="00543E6B" w:rsidRPr="00D457FF">
        <w:rPr>
          <w:sz w:val="24"/>
          <w:szCs w:val="24"/>
        </w:rPr>
        <w:t>nstitutions</w:t>
      </w:r>
      <w:r w:rsidR="00E95F2F" w:rsidRPr="00D457FF">
        <w:rPr>
          <w:sz w:val="24"/>
          <w:szCs w:val="24"/>
        </w:rPr>
        <w:t xml:space="preserve"> and gender equality advocates to recommend </w:t>
      </w:r>
      <w:r w:rsidR="00D61F26" w:rsidRPr="00D457FF">
        <w:rPr>
          <w:sz w:val="24"/>
          <w:szCs w:val="24"/>
        </w:rPr>
        <w:t xml:space="preserve">better </w:t>
      </w:r>
      <w:r w:rsidR="00E95F2F" w:rsidRPr="00D457FF">
        <w:rPr>
          <w:sz w:val="24"/>
          <w:szCs w:val="24"/>
        </w:rPr>
        <w:t>allocation of</w:t>
      </w:r>
      <w:r w:rsidR="00543E6B" w:rsidRPr="00D457FF">
        <w:rPr>
          <w:sz w:val="24"/>
          <w:szCs w:val="24"/>
        </w:rPr>
        <w:t xml:space="preserve"> </w:t>
      </w:r>
      <w:r w:rsidR="00D61F26" w:rsidRPr="00D457FF">
        <w:rPr>
          <w:sz w:val="24"/>
          <w:szCs w:val="24"/>
        </w:rPr>
        <w:t>resource</w:t>
      </w:r>
      <w:r w:rsidR="00543E6B" w:rsidRPr="00D457FF">
        <w:rPr>
          <w:sz w:val="24"/>
          <w:szCs w:val="24"/>
        </w:rPr>
        <w:t>s</w:t>
      </w:r>
      <w:r w:rsidR="00D61F26" w:rsidRPr="00D457FF">
        <w:rPr>
          <w:sz w:val="24"/>
          <w:szCs w:val="24"/>
        </w:rPr>
        <w:t xml:space="preserve"> across key sectors and ultimately lead to more adequate support to </w:t>
      </w:r>
      <w:r w:rsidR="00784D3E" w:rsidRPr="00D457FF">
        <w:rPr>
          <w:sz w:val="24"/>
          <w:szCs w:val="24"/>
        </w:rPr>
        <w:t xml:space="preserve">GBV </w:t>
      </w:r>
      <w:r w:rsidR="00D61F26" w:rsidRPr="00D457FF">
        <w:rPr>
          <w:sz w:val="24"/>
          <w:szCs w:val="24"/>
        </w:rPr>
        <w:t>survivors</w:t>
      </w:r>
      <w:r w:rsidR="00DE10D9" w:rsidRPr="00D457FF">
        <w:rPr>
          <w:sz w:val="24"/>
          <w:szCs w:val="24"/>
        </w:rPr>
        <w:t xml:space="preserve"> with a disability</w:t>
      </w:r>
      <w:r w:rsidR="00D61F26" w:rsidRPr="00D457FF">
        <w:rPr>
          <w:sz w:val="24"/>
          <w:szCs w:val="24"/>
        </w:rPr>
        <w:t>.</w:t>
      </w:r>
      <w:r w:rsidR="00FE4E1A" w:rsidRPr="00D457FF">
        <w:rPr>
          <w:sz w:val="24"/>
          <w:szCs w:val="24"/>
        </w:rPr>
        <w:t xml:space="preserve"> </w:t>
      </w:r>
      <w:r w:rsidR="008E418C" w:rsidRPr="00D457FF">
        <w:rPr>
          <w:sz w:val="24"/>
          <w:szCs w:val="24"/>
        </w:rPr>
        <w:t>Capacity building of the Nationa</w:t>
      </w:r>
      <w:r w:rsidR="007F45FE" w:rsidRPr="00D457FF">
        <w:rPr>
          <w:sz w:val="24"/>
          <w:szCs w:val="24"/>
        </w:rPr>
        <w:t xml:space="preserve">l Rehabilitation Centre, DPOs and </w:t>
      </w:r>
      <w:r w:rsidR="00784D3E" w:rsidRPr="00D457FF">
        <w:rPr>
          <w:sz w:val="24"/>
          <w:szCs w:val="24"/>
        </w:rPr>
        <w:t>CSOs</w:t>
      </w:r>
      <w:r w:rsidR="008E418C" w:rsidRPr="00D457FF">
        <w:rPr>
          <w:sz w:val="24"/>
          <w:szCs w:val="24"/>
        </w:rPr>
        <w:t xml:space="preserve"> to </w:t>
      </w:r>
      <w:r w:rsidR="00FE4E1A" w:rsidRPr="00D457FF">
        <w:rPr>
          <w:sz w:val="24"/>
          <w:szCs w:val="24"/>
        </w:rPr>
        <w:t xml:space="preserve">better </w:t>
      </w:r>
      <w:r w:rsidR="008E418C" w:rsidRPr="00D457FF">
        <w:rPr>
          <w:sz w:val="24"/>
          <w:szCs w:val="24"/>
        </w:rPr>
        <w:t xml:space="preserve">identify </w:t>
      </w:r>
      <w:r w:rsidR="00FE4E1A" w:rsidRPr="00D457FF">
        <w:rPr>
          <w:sz w:val="24"/>
          <w:szCs w:val="24"/>
        </w:rPr>
        <w:t xml:space="preserve">women and girls with disability at risk or who have experienced </w:t>
      </w:r>
      <w:r w:rsidR="00FE3990" w:rsidRPr="00D457FF">
        <w:rPr>
          <w:sz w:val="24"/>
          <w:szCs w:val="24"/>
        </w:rPr>
        <w:t xml:space="preserve">violence, document such cases and refer </w:t>
      </w:r>
      <w:r w:rsidR="000C737F" w:rsidRPr="00D457FF">
        <w:rPr>
          <w:sz w:val="24"/>
          <w:szCs w:val="24"/>
        </w:rPr>
        <w:t>them</w:t>
      </w:r>
      <w:r w:rsidR="00FE3990" w:rsidRPr="00D457FF">
        <w:rPr>
          <w:sz w:val="24"/>
          <w:szCs w:val="24"/>
        </w:rPr>
        <w:t xml:space="preserve"> to the </w:t>
      </w:r>
      <w:r w:rsidR="00C3271F" w:rsidRPr="00D457FF">
        <w:rPr>
          <w:sz w:val="24"/>
          <w:szCs w:val="24"/>
        </w:rPr>
        <w:t>required services will generate various positive changes</w:t>
      </w:r>
      <w:r w:rsidR="00FE4E1A" w:rsidRPr="00D457FF">
        <w:rPr>
          <w:sz w:val="24"/>
          <w:szCs w:val="24"/>
        </w:rPr>
        <w:t xml:space="preserve">. These include </w:t>
      </w:r>
      <w:r w:rsidR="00C3271F" w:rsidRPr="00D457FF">
        <w:rPr>
          <w:sz w:val="24"/>
          <w:szCs w:val="24"/>
        </w:rPr>
        <w:t xml:space="preserve">more </w:t>
      </w:r>
      <w:r w:rsidR="00FE4E1A" w:rsidRPr="00D457FF">
        <w:rPr>
          <w:sz w:val="24"/>
          <w:szCs w:val="24"/>
        </w:rPr>
        <w:t xml:space="preserve">adequate support to </w:t>
      </w:r>
      <w:r w:rsidR="000C737F" w:rsidRPr="00D457FF">
        <w:rPr>
          <w:sz w:val="24"/>
          <w:szCs w:val="24"/>
        </w:rPr>
        <w:t xml:space="preserve">those at risk as well as </w:t>
      </w:r>
      <w:r w:rsidR="00FE4E1A" w:rsidRPr="00D457FF">
        <w:rPr>
          <w:sz w:val="24"/>
          <w:szCs w:val="24"/>
        </w:rPr>
        <w:t xml:space="preserve">survivors, </w:t>
      </w:r>
      <w:r w:rsidR="00C3271F" w:rsidRPr="00D457FF">
        <w:rPr>
          <w:sz w:val="24"/>
          <w:szCs w:val="24"/>
        </w:rPr>
        <w:t>and</w:t>
      </w:r>
      <w:r w:rsidR="00FE4E1A" w:rsidRPr="00D457FF">
        <w:rPr>
          <w:sz w:val="24"/>
          <w:szCs w:val="24"/>
        </w:rPr>
        <w:t xml:space="preserve">, </w:t>
      </w:r>
      <w:r w:rsidR="00C3271F" w:rsidRPr="00D457FF">
        <w:rPr>
          <w:sz w:val="24"/>
          <w:szCs w:val="24"/>
        </w:rPr>
        <w:t>better capacity of civil society to</w:t>
      </w:r>
      <w:r w:rsidR="00FE4E1A" w:rsidRPr="00D457FF">
        <w:rPr>
          <w:sz w:val="24"/>
          <w:szCs w:val="24"/>
        </w:rPr>
        <w:t xml:space="preserve"> </w:t>
      </w:r>
      <w:r w:rsidR="00C3271F" w:rsidRPr="00D457FF">
        <w:rPr>
          <w:sz w:val="24"/>
          <w:szCs w:val="24"/>
        </w:rPr>
        <w:t xml:space="preserve">call for </w:t>
      </w:r>
      <w:r w:rsidR="00FE4E1A" w:rsidRPr="00D457FF">
        <w:rPr>
          <w:sz w:val="24"/>
          <w:szCs w:val="24"/>
        </w:rPr>
        <w:t xml:space="preserve">structural changes to prevent future </w:t>
      </w:r>
      <w:r w:rsidR="00DE10D9" w:rsidRPr="00D457FF">
        <w:rPr>
          <w:sz w:val="24"/>
          <w:szCs w:val="24"/>
        </w:rPr>
        <w:t>GBV against women and girls with disabilities</w:t>
      </w:r>
      <w:r w:rsidR="00FE4E1A" w:rsidRPr="00D457FF">
        <w:rPr>
          <w:sz w:val="24"/>
          <w:szCs w:val="24"/>
        </w:rPr>
        <w:t>.</w:t>
      </w:r>
    </w:p>
    <w:p w14:paraId="25FF3C96" w14:textId="006C0F9B" w:rsidR="00F421FB" w:rsidRPr="00D457FF" w:rsidRDefault="0071647E" w:rsidP="00D457FF">
      <w:pPr>
        <w:spacing w:before="200" w:line="240" w:lineRule="auto"/>
        <w:jc w:val="both"/>
        <w:rPr>
          <w:sz w:val="24"/>
          <w:szCs w:val="24"/>
        </w:rPr>
      </w:pPr>
      <w:r w:rsidRPr="00D457FF">
        <w:rPr>
          <w:sz w:val="24"/>
          <w:szCs w:val="24"/>
        </w:rPr>
        <w:t xml:space="preserve">Capacity building </w:t>
      </w:r>
      <w:r w:rsidR="000C737F" w:rsidRPr="00D457FF">
        <w:rPr>
          <w:sz w:val="24"/>
          <w:szCs w:val="24"/>
        </w:rPr>
        <w:t xml:space="preserve">of key service providers will </w:t>
      </w:r>
      <w:r w:rsidR="008F04F3" w:rsidRPr="00D457FF">
        <w:rPr>
          <w:sz w:val="24"/>
          <w:szCs w:val="24"/>
        </w:rPr>
        <w:t xml:space="preserve">reduce stigmatizing and discriminatory attitudes and behaviours they display, and will </w:t>
      </w:r>
      <w:r w:rsidR="000C737F" w:rsidRPr="00D457FF">
        <w:rPr>
          <w:sz w:val="24"/>
          <w:szCs w:val="24"/>
        </w:rPr>
        <w:t xml:space="preserve">enable them to </w:t>
      </w:r>
      <w:r w:rsidR="002C622F" w:rsidRPr="00D457FF">
        <w:rPr>
          <w:sz w:val="24"/>
          <w:szCs w:val="24"/>
        </w:rPr>
        <w:t xml:space="preserve">provide </w:t>
      </w:r>
      <w:r w:rsidR="00C3271F" w:rsidRPr="00D457FF">
        <w:rPr>
          <w:sz w:val="24"/>
          <w:szCs w:val="24"/>
        </w:rPr>
        <w:t xml:space="preserve">persons with disabilities, in particular women and girls, </w:t>
      </w:r>
      <w:r w:rsidR="008B16BC" w:rsidRPr="00D457FF">
        <w:rPr>
          <w:sz w:val="24"/>
          <w:szCs w:val="24"/>
        </w:rPr>
        <w:t>the services they</w:t>
      </w:r>
      <w:r w:rsidR="002C622F" w:rsidRPr="00D457FF">
        <w:rPr>
          <w:sz w:val="24"/>
          <w:szCs w:val="24"/>
        </w:rPr>
        <w:t xml:space="preserve"> are entitled</w:t>
      </w:r>
      <w:r w:rsidR="008B16BC" w:rsidRPr="00D457FF">
        <w:rPr>
          <w:sz w:val="24"/>
          <w:szCs w:val="24"/>
        </w:rPr>
        <w:t xml:space="preserve"> to</w:t>
      </w:r>
      <w:r w:rsidRPr="00D457FF">
        <w:rPr>
          <w:sz w:val="24"/>
          <w:szCs w:val="24"/>
        </w:rPr>
        <w:t>.</w:t>
      </w:r>
      <w:r w:rsidR="00E5368C" w:rsidRPr="00D457FF">
        <w:rPr>
          <w:sz w:val="24"/>
          <w:szCs w:val="24"/>
        </w:rPr>
        <w:t xml:space="preserve"> Advocacy to ensure the use of universal design of service facilities is expected to benefit persons with all types of disabilities.</w:t>
      </w:r>
      <w:r w:rsidRPr="00D457FF">
        <w:rPr>
          <w:sz w:val="24"/>
          <w:szCs w:val="24"/>
        </w:rPr>
        <w:t xml:space="preserve"> </w:t>
      </w:r>
      <w:r w:rsidR="008B16BC" w:rsidRPr="00D457FF">
        <w:rPr>
          <w:sz w:val="24"/>
          <w:szCs w:val="24"/>
        </w:rPr>
        <w:t>M</w:t>
      </w:r>
      <w:r w:rsidR="00AE2197" w:rsidRPr="00D457FF">
        <w:rPr>
          <w:sz w:val="24"/>
          <w:szCs w:val="24"/>
        </w:rPr>
        <w:t xml:space="preserve">edical doctors and midwives </w:t>
      </w:r>
      <w:r w:rsidR="00C3271F" w:rsidRPr="00D457FF">
        <w:rPr>
          <w:sz w:val="24"/>
          <w:szCs w:val="24"/>
        </w:rPr>
        <w:t>will provide better</w:t>
      </w:r>
      <w:r w:rsidR="00AD0DF3" w:rsidRPr="00D457FF">
        <w:rPr>
          <w:sz w:val="24"/>
          <w:szCs w:val="24"/>
        </w:rPr>
        <w:t xml:space="preserve"> services to GBV survivors using</w:t>
      </w:r>
      <w:r w:rsidR="00AE2197" w:rsidRPr="00D457FF">
        <w:rPr>
          <w:sz w:val="24"/>
          <w:szCs w:val="24"/>
        </w:rPr>
        <w:t xml:space="preserve"> the </w:t>
      </w:r>
      <w:r w:rsidR="00AD0DF3" w:rsidRPr="00D457FF">
        <w:rPr>
          <w:sz w:val="24"/>
          <w:szCs w:val="24"/>
        </w:rPr>
        <w:t>existing health sector response</w:t>
      </w:r>
      <w:r w:rsidR="00AE2197" w:rsidRPr="00D457FF">
        <w:rPr>
          <w:sz w:val="24"/>
          <w:szCs w:val="24"/>
        </w:rPr>
        <w:t xml:space="preserve"> GBV tool</w:t>
      </w:r>
      <w:r w:rsidR="00C3271F" w:rsidRPr="00D457FF">
        <w:rPr>
          <w:sz w:val="24"/>
          <w:szCs w:val="24"/>
        </w:rPr>
        <w:t>, modified with</w:t>
      </w:r>
      <w:r w:rsidRPr="00D457FF">
        <w:rPr>
          <w:sz w:val="24"/>
          <w:szCs w:val="24"/>
        </w:rPr>
        <w:t xml:space="preserve"> UNPRPD support </w:t>
      </w:r>
      <w:r w:rsidR="00A3481C" w:rsidRPr="00D457FF">
        <w:rPr>
          <w:sz w:val="24"/>
          <w:szCs w:val="24"/>
        </w:rPr>
        <w:t>to</w:t>
      </w:r>
      <w:r w:rsidR="00AD0DF3" w:rsidRPr="00D457FF">
        <w:rPr>
          <w:sz w:val="24"/>
          <w:szCs w:val="24"/>
        </w:rPr>
        <w:t xml:space="preserve"> integrate adequately disability.</w:t>
      </w:r>
      <w:r w:rsidR="00256412" w:rsidRPr="00D457FF">
        <w:rPr>
          <w:sz w:val="24"/>
          <w:szCs w:val="24"/>
        </w:rPr>
        <w:t xml:space="preserve"> Specific attention to ensure that in</w:t>
      </w:r>
      <w:r w:rsidR="0047354A" w:rsidRPr="00D457FF">
        <w:rPr>
          <w:sz w:val="24"/>
          <w:szCs w:val="24"/>
        </w:rPr>
        <w:t xml:space="preserve"> capacity building </w:t>
      </w:r>
      <w:r w:rsidR="00256412" w:rsidRPr="00D457FF">
        <w:rPr>
          <w:sz w:val="24"/>
          <w:szCs w:val="24"/>
        </w:rPr>
        <w:t xml:space="preserve">efforts, service providers </w:t>
      </w:r>
      <w:r w:rsidR="0047354A" w:rsidRPr="00D457FF">
        <w:rPr>
          <w:sz w:val="24"/>
          <w:szCs w:val="24"/>
        </w:rPr>
        <w:t xml:space="preserve">gain a thorough </w:t>
      </w:r>
      <w:r w:rsidR="00256412" w:rsidRPr="00D457FF">
        <w:rPr>
          <w:sz w:val="24"/>
          <w:szCs w:val="24"/>
        </w:rPr>
        <w:t>understand</w:t>
      </w:r>
      <w:r w:rsidR="0047354A" w:rsidRPr="00D457FF">
        <w:rPr>
          <w:sz w:val="24"/>
          <w:szCs w:val="24"/>
        </w:rPr>
        <w:t>ing of</w:t>
      </w:r>
      <w:r w:rsidR="00256412" w:rsidRPr="00D457FF">
        <w:rPr>
          <w:sz w:val="24"/>
          <w:szCs w:val="24"/>
        </w:rPr>
        <w:t xml:space="preserve"> the principles of full and informed consent, </w:t>
      </w:r>
      <w:r w:rsidR="0047354A" w:rsidRPr="00D457FF">
        <w:rPr>
          <w:sz w:val="24"/>
          <w:szCs w:val="24"/>
        </w:rPr>
        <w:t xml:space="preserve">the need for </w:t>
      </w:r>
      <w:r w:rsidR="00256412" w:rsidRPr="00D457FF">
        <w:rPr>
          <w:sz w:val="24"/>
          <w:szCs w:val="24"/>
        </w:rPr>
        <w:t xml:space="preserve">special protection where a person is not able to give valid consent, and </w:t>
      </w:r>
      <w:r w:rsidR="00E5368C" w:rsidRPr="00D457FF">
        <w:rPr>
          <w:sz w:val="24"/>
          <w:szCs w:val="24"/>
        </w:rPr>
        <w:t xml:space="preserve">of </w:t>
      </w:r>
      <w:r w:rsidR="00256412" w:rsidRPr="00D457FF">
        <w:rPr>
          <w:sz w:val="24"/>
          <w:szCs w:val="24"/>
        </w:rPr>
        <w:t>the prohibition of involuntary treatment</w:t>
      </w:r>
      <w:r w:rsidR="0047354A" w:rsidRPr="00D457FF">
        <w:rPr>
          <w:sz w:val="24"/>
          <w:szCs w:val="24"/>
        </w:rPr>
        <w:t xml:space="preserve"> including force</w:t>
      </w:r>
      <w:r w:rsidR="008F04F3" w:rsidRPr="00D457FF">
        <w:rPr>
          <w:sz w:val="24"/>
          <w:szCs w:val="24"/>
        </w:rPr>
        <w:t>d</w:t>
      </w:r>
      <w:r w:rsidR="0047354A" w:rsidRPr="00D457FF">
        <w:rPr>
          <w:sz w:val="24"/>
          <w:szCs w:val="24"/>
        </w:rPr>
        <w:t xml:space="preserve"> sterilization</w:t>
      </w:r>
      <w:r w:rsidR="00256412" w:rsidRPr="00D457FF">
        <w:rPr>
          <w:sz w:val="24"/>
          <w:szCs w:val="24"/>
        </w:rPr>
        <w:t xml:space="preserve">, </w:t>
      </w:r>
      <w:r w:rsidR="008F04F3" w:rsidRPr="00D457FF">
        <w:rPr>
          <w:sz w:val="24"/>
          <w:szCs w:val="24"/>
        </w:rPr>
        <w:t xml:space="preserve">is aimed </w:t>
      </w:r>
      <w:r w:rsidR="00E5368C" w:rsidRPr="00D457FF">
        <w:rPr>
          <w:sz w:val="24"/>
          <w:szCs w:val="24"/>
        </w:rPr>
        <w:t>at guaranteeing the rights of, in particular,</w:t>
      </w:r>
      <w:r w:rsidR="008F04F3" w:rsidRPr="00D457FF">
        <w:rPr>
          <w:sz w:val="24"/>
          <w:szCs w:val="24"/>
        </w:rPr>
        <w:t xml:space="preserve"> women survivors of </w:t>
      </w:r>
      <w:r w:rsidR="00256412" w:rsidRPr="00D457FF">
        <w:rPr>
          <w:sz w:val="24"/>
          <w:szCs w:val="24"/>
        </w:rPr>
        <w:t>violence</w:t>
      </w:r>
      <w:r w:rsidR="008F04F3" w:rsidRPr="00D457FF">
        <w:rPr>
          <w:sz w:val="24"/>
          <w:szCs w:val="24"/>
        </w:rPr>
        <w:t xml:space="preserve"> who have</w:t>
      </w:r>
      <w:r w:rsidR="00256412" w:rsidRPr="00D457FF">
        <w:rPr>
          <w:sz w:val="24"/>
          <w:szCs w:val="24"/>
        </w:rPr>
        <w:t xml:space="preserve"> psycho-social and intellectual disabilities. </w:t>
      </w:r>
      <w:r w:rsidR="00B1358A" w:rsidRPr="00D457FF">
        <w:rPr>
          <w:sz w:val="24"/>
          <w:szCs w:val="24"/>
        </w:rPr>
        <w:t xml:space="preserve">Judicial actors and the police will gain </w:t>
      </w:r>
      <w:r w:rsidR="008C4F0B" w:rsidRPr="00D457FF">
        <w:rPr>
          <w:sz w:val="24"/>
          <w:szCs w:val="24"/>
        </w:rPr>
        <w:t>knowledge and skills</w:t>
      </w:r>
      <w:r w:rsidR="00B1358A" w:rsidRPr="00D457FF">
        <w:rPr>
          <w:sz w:val="24"/>
          <w:szCs w:val="24"/>
        </w:rPr>
        <w:t xml:space="preserve"> to provide adequate access to justice for survivors of GBV, using</w:t>
      </w:r>
      <w:r w:rsidR="00C3271F" w:rsidRPr="00D457FF">
        <w:rPr>
          <w:sz w:val="24"/>
          <w:szCs w:val="24"/>
        </w:rPr>
        <w:t xml:space="preserve"> a </w:t>
      </w:r>
      <w:r w:rsidR="00A3481C" w:rsidRPr="00D457FF">
        <w:rPr>
          <w:sz w:val="24"/>
          <w:szCs w:val="24"/>
        </w:rPr>
        <w:t xml:space="preserve">toolkit </w:t>
      </w:r>
      <w:r w:rsidR="000F3C03" w:rsidRPr="00D457FF">
        <w:rPr>
          <w:sz w:val="24"/>
          <w:szCs w:val="24"/>
        </w:rPr>
        <w:t xml:space="preserve">on </w:t>
      </w:r>
      <w:r w:rsidR="00B1358A" w:rsidRPr="00D457FF">
        <w:rPr>
          <w:sz w:val="24"/>
          <w:szCs w:val="24"/>
        </w:rPr>
        <w:t xml:space="preserve">addressing </w:t>
      </w:r>
      <w:r w:rsidR="000F3C03" w:rsidRPr="00D457FF">
        <w:rPr>
          <w:sz w:val="24"/>
          <w:szCs w:val="24"/>
        </w:rPr>
        <w:t>GBV</w:t>
      </w:r>
      <w:r w:rsidR="00C3271F" w:rsidRPr="00D457FF">
        <w:rPr>
          <w:sz w:val="24"/>
          <w:szCs w:val="24"/>
        </w:rPr>
        <w:t xml:space="preserve"> </w:t>
      </w:r>
      <w:r w:rsidR="008B16BC" w:rsidRPr="00D457FF">
        <w:rPr>
          <w:sz w:val="24"/>
          <w:szCs w:val="24"/>
        </w:rPr>
        <w:t>for persons with disabilities</w:t>
      </w:r>
      <w:r w:rsidR="00A3481C" w:rsidRPr="00D457FF">
        <w:rPr>
          <w:sz w:val="24"/>
          <w:szCs w:val="24"/>
        </w:rPr>
        <w:t xml:space="preserve">. </w:t>
      </w:r>
      <w:r w:rsidR="008C4F0B" w:rsidRPr="00D457FF">
        <w:rPr>
          <w:sz w:val="24"/>
          <w:szCs w:val="24"/>
        </w:rPr>
        <w:t>Stressing that all persons with disabilities have legal capacity is aimed at guaranteeing access in particular of those with psycho-social disabilities to justice services. I</w:t>
      </w:r>
      <w:r w:rsidR="00A26150" w:rsidRPr="00D457FF">
        <w:rPr>
          <w:sz w:val="24"/>
          <w:szCs w:val="24"/>
        </w:rPr>
        <w:t xml:space="preserve">ncreasing linkages between justice </w:t>
      </w:r>
      <w:r w:rsidR="00060897" w:rsidRPr="00D457FF">
        <w:rPr>
          <w:sz w:val="24"/>
          <w:szCs w:val="24"/>
        </w:rPr>
        <w:t>institutions</w:t>
      </w:r>
      <w:r w:rsidR="00A26150" w:rsidRPr="00D457FF">
        <w:rPr>
          <w:sz w:val="24"/>
          <w:szCs w:val="24"/>
        </w:rPr>
        <w:t xml:space="preserve"> and DPOs</w:t>
      </w:r>
      <w:r w:rsidR="008C4F0B" w:rsidRPr="00D457FF">
        <w:rPr>
          <w:sz w:val="24"/>
          <w:szCs w:val="24"/>
        </w:rPr>
        <w:t xml:space="preserve"> -</w:t>
      </w:r>
      <w:r w:rsidR="00A26150" w:rsidRPr="00D457FF">
        <w:rPr>
          <w:sz w:val="24"/>
          <w:szCs w:val="24"/>
        </w:rPr>
        <w:t xml:space="preserve"> as the latter have expertise in areas of mental health, but also in providing sign language to ensure better comprehension between justice actors and survivors of GBV</w:t>
      </w:r>
      <w:r w:rsidR="008C4F0B" w:rsidRPr="00D457FF">
        <w:rPr>
          <w:sz w:val="24"/>
          <w:szCs w:val="24"/>
        </w:rPr>
        <w:t xml:space="preserve"> – is aimed at ensuring access to justice</w:t>
      </w:r>
      <w:r w:rsidR="00A26150" w:rsidRPr="00D457FF">
        <w:rPr>
          <w:sz w:val="24"/>
          <w:szCs w:val="24"/>
        </w:rPr>
        <w:t xml:space="preserve"> in particular </w:t>
      </w:r>
      <w:r w:rsidR="008C4F0B" w:rsidRPr="00D457FF">
        <w:rPr>
          <w:sz w:val="24"/>
          <w:szCs w:val="24"/>
        </w:rPr>
        <w:t xml:space="preserve">for </w:t>
      </w:r>
      <w:r w:rsidR="00A26150" w:rsidRPr="00D457FF">
        <w:rPr>
          <w:sz w:val="24"/>
          <w:szCs w:val="24"/>
        </w:rPr>
        <w:t xml:space="preserve">those with hearing, intellectual </w:t>
      </w:r>
      <w:r w:rsidR="00060897" w:rsidRPr="00D457FF">
        <w:rPr>
          <w:sz w:val="24"/>
          <w:szCs w:val="24"/>
        </w:rPr>
        <w:t xml:space="preserve">and </w:t>
      </w:r>
      <w:r w:rsidR="00A26150" w:rsidRPr="00D457FF">
        <w:rPr>
          <w:sz w:val="24"/>
          <w:szCs w:val="24"/>
        </w:rPr>
        <w:t>psychosocial disabilities. Advocacy for State budget allocation for sign language interpretation is aimed at ensuring that the State fulfils its legal obligations to ensure access to justice and reduce</w:t>
      </w:r>
      <w:r w:rsidR="00060897" w:rsidRPr="00D457FF">
        <w:rPr>
          <w:sz w:val="24"/>
          <w:szCs w:val="24"/>
        </w:rPr>
        <w:t>s</w:t>
      </w:r>
      <w:r w:rsidR="00A26150" w:rsidRPr="00D457FF">
        <w:rPr>
          <w:sz w:val="24"/>
          <w:szCs w:val="24"/>
        </w:rPr>
        <w:t xml:space="preserve"> dependenc</w:t>
      </w:r>
      <w:r w:rsidR="00060897" w:rsidRPr="00D457FF">
        <w:rPr>
          <w:sz w:val="24"/>
          <w:szCs w:val="24"/>
        </w:rPr>
        <w:t>y</w:t>
      </w:r>
      <w:r w:rsidR="00A26150" w:rsidRPr="00D457FF">
        <w:rPr>
          <w:sz w:val="24"/>
          <w:szCs w:val="24"/>
        </w:rPr>
        <w:t xml:space="preserve"> for such support on civil society. </w:t>
      </w:r>
      <w:r w:rsidR="00F421FB" w:rsidRPr="00D457FF">
        <w:rPr>
          <w:sz w:val="24"/>
          <w:szCs w:val="24"/>
        </w:rPr>
        <w:t xml:space="preserve">The </w:t>
      </w:r>
      <w:r w:rsidR="00C3271F" w:rsidRPr="00D457FF">
        <w:rPr>
          <w:sz w:val="24"/>
          <w:szCs w:val="24"/>
        </w:rPr>
        <w:t>reinforcement</w:t>
      </w:r>
      <w:r w:rsidRPr="00D457FF">
        <w:rPr>
          <w:sz w:val="24"/>
          <w:szCs w:val="24"/>
        </w:rPr>
        <w:t xml:space="preserve"> </w:t>
      </w:r>
      <w:r w:rsidR="00C3271F" w:rsidRPr="00D457FF">
        <w:rPr>
          <w:sz w:val="24"/>
          <w:szCs w:val="24"/>
        </w:rPr>
        <w:t xml:space="preserve">of </w:t>
      </w:r>
      <w:r w:rsidR="00F421FB" w:rsidRPr="00D457FF">
        <w:rPr>
          <w:sz w:val="24"/>
          <w:szCs w:val="24"/>
        </w:rPr>
        <w:t>existing referral</w:t>
      </w:r>
      <w:r w:rsidRPr="00D457FF">
        <w:rPr>
          <w:sz w:val="24"/>
          <w:szCs w:val="24"/>
        </w:rPr>
        <w:t xml:space="preserve"> networks</w:t>
      </w:r>
      <w:r w:rsidR="00F421FB" w:rsidRPr="00D457FF">
        <w:rPr>
          <w:sz w:val="24"/>
          <w:szCs w:val="24"/>
        </w:rPr>
        <w:t xml:space="preserve"> on GBV, </w:t>
      </w:r>
      <w:r w:rsidRPr="00D457FF">
        <w:rPr>
          <w:sz w:val="24"/>
          <w:szCs w:val="24"/>
        </w:rPr>
        <w:t xml:space="preserve">making them more disability </w:t>
      </w:r>
      <w:r w:rsidR="00ED5BE5" w:rsidRPr="00D457FF">
        <w:rPr>
          <w:sz w:val="24"/>
          <w:szCs w:val="24"/>
        </w:rPr>
        <w:t>inclusive</w:t>
      </w:r>
      <w:r w:rsidRPr="00D457FF">
        <w:rPr>
          <w:sz w:val="24"/>
          <w:szCs w:val="24"/>
        </w:rPr>
        <w:t>,</w:t>
      </w:r>
      <w:r w:rsidR="00F421FB" w:rsidRPr="00D457FF">
        <w:rPr>
          <w:sz w:val="24"/>
          <w:szCs w:val="24"/>
        </w:rPr>
        <w:t xml:space="preserve"> </w:t>
      </w:r>
      <w:r w:rsidR="00F421FB" w:rsidRPr="00D457FF">
        <w:rPr>
          <w:sz w:val="24"/>
          <w:szCs w:val="24"/>
        </w:rPr>
        <w:lastRenderedPageBreak/>
        <w:t>through mapping and evaluation of existing structures, will lead to improved support for GBV survivors</w:t>
      </w:r>
      <w:r w:rsidR="00DE10D9" w:rsidRPr="00D457FF">
        <w:rPr>
          <w:sz w:val="24"/>
          <w:szCs w:val="24"/>
        </w:rPr>
        <w:t xml:space="preserve"> with a</w:t>
      </w:r>
      <w:r w:rsidR="00060897" w:rsidRPr="00D457FF">
        <w:rPr>
          <w:sz w:val="24"/>
          <w:szCs w:val="24"/>
        </w:rPr>
        <w:t>ll types of</w:t>
      </w:r>
      <w:r w:rsidR="00DE10D9" w:rsidRPr="00D457FF">
        <w:rPr>
          <w:sz w:val="24"/>
          <w:szCs w:val="24"/>
        </w:rPr>
        <w:t xml:space="preserve"> disabilit</w:t>
      </w:r>
      <w:r w:rsidR="00060897" w:rsidRPr="00D457FF">
        <w:rPr>
          <w:sz w:val="24"/>
          <w:szCs w:val="24"/>
        </w:rPr>
        <w:t>ies</w:t>
      </w:r>
      <w:r w:rsidR="00F421FB" w:rsidRPr="00D457FF">
        <w:rPr>
          <w:sz w:val="24"/>
          <w:szCs w:val="24"/>
        </w:rPr>
        <w:t xml:space="preserve">. </w:t>
      </w:r>
    </w:p>
    <w:p w14:paraId="38539EB4" w14:textId="6A4ADA42" w:rsidR="00CD3C2C" w:rsidRPr="00D457FF" w:rsidRDefault="000F1CB9" w:rsidP="00D457FF">
      <w:pPr>
        <w:spacing w:before="200" w:line="240" w:lineRule="auto"/>
        <w:jc w:val="both"/>
        <w:rPr>
          <w:sz w:val="24"/>
          <w:szCs w:val="24"/>
        </w:rPr>
      </w:pPr>
      <w:r w:rsidRPr="00D457FF">
        <w:rPr>
          <w:sz w:val="24"/>
          <w:szCs w:val="24"/>
        </w:rPr>
        <w:t>Strengthening the capacity of the MoE’s Inclusive Education Resource in the capital, Dili, to reach out to out-of-school children with disabilities to ensure they attend school will be a priority. Access to inclusive education reduces the risk of violence against children with disabilities and protects children from exclusion and abuse.</w:t>
      </w:r>
      <w:r w:rsidRPr="00D457FF">
        <w:rPr>
          <w:rStyle w:val="FootnoteReference"/>
          <w:sz w:val="24"/>
          <w:szCs w:val="24"/>
        </w:rPr>
        <w:footnoteReference w:id="27"/>
      </w:r>
      <w:r w:rsidRPr="00D457FF">
        <w:rPr>
          <w:sz w:val="24"/>
          <w:szCs w:val="24"/>
        </w:rPr>
        <w:t xml:space="preserve"> Support will be provided to better use household survey data on disabilities</w:t>
      </w:r>
      <w:r w:rsidR="000571F8" w:rsidRPr="00D457FF">
        <w:rPr>
          <w:sz w:val="24"/>
          <w:szCs w:val="24"/>
        </w:rPr>
        <w:t xml:space="preserve"> </w:t>
      </w:r>
      <w:r w:rsidRPr="00D457FF">
        <w:rPr>
          <w:sz w:val="24"/>
          <w:szCs w:val="24"/>
        </w:rPr>
        <w:t>and establish a functioning coordination mechanism to support schools covered by the Resource Center to be more inclusive, benefitting children with various types of disabilities.</w:t>
      </w:r>
      <w:r w:rsidR="00656125" w:rsidRPr="00D457FF">
        <w:rPr>
          <w:sz w:val="24"/>
          <w:szCs w:val="24"/>
        </w:rPr>
        <w:t xml:space="preserve"> </w:t>
      </w:r>
      <w:r w:rsidRPr="00D457FF">
        <w:rPr>
          <w:sz w:val="24"/>
          <w:szCs w:val="24"/>
        </w:rPr>
        <w:t>National advocacy using materials developed as part of the project will be aimed at parents, teachers, school and MOE officials, and community leaders. Teacher training on the broad principles and practices on Inclusive Education as well as focus on specific disabilities (e.g. physical and learning disabilities) will be provided to teachers covered by the Dili Inclusive Education Resource Center. This can serve as a model for the MOE to apply in other Inclusive Education Resource Centers across the country. The 2017 Inclusive Education Policy will underpin these interventions, and complement existing initiatives including those supported by Australia and other Development Partners.</w:t>
      </w:r>
      <w:r w:rsidRPr="00D457FF">
        <w:rPr>
          <w:rFonts w:ascii="Times New Roman" w:hAnsi="Times New Roman" w:cs="Times New Roman"/>
          <w:sz w:val="24"/>
          <w:szCs w:val="24"/>
        </w:rPr>
        <w:t xml:space="preserve"> </w:t>
      </w:r>
    </w:p>
    <w:p w14:paraId="096C79AB" w14:textId="1C34DFDE" w:rsidR="00E64AFB" w:rsidRPr="00D457FF" w:rsidRDefault="00031A03" w:rsidP="00D457FF">
      <w:pPr>
        <w:spacing w:before="200" w:line="240" w:lineRule="auto"/>
        <w:jc w:val="both"/>
        <w:rPr>
          <w:sz w:val="24"/>
          <w:szCs w:val="24"/>
        </w:rPr>
      </w:pPr>
      <w:r w:rsidRPr="00D457FF">
        <w:rPr>
          <w:sz w:val="24"/>
          <w:szCs w:val="24"/>
        </w:rPr>
        <w:t xml:space="preserve">Advocacy efforts for ratification of CRPD and legislative and policy review will benefit all women and children with disabilities. One women-led DPO, an unspecified number of women and children survivors of violence, including </w:t>
      </w:r>
      <w:r w:rsidR="001F4AAB" w:rsidRPr="00D457FF">
        <w:rPr>
          <w:sz w:val="24"/>
          <w:szCs w:val="24"/>
        </w:rPr>
        <w:t>GBV</w:t>
      </w:r>
      <w:r w:rsidRPr="00D457FF">
        <w:rPr>
          <w:sz w:val="24"/>
          <w:szCs w:val="24"/>
        </w:rPr>
        <w:t>, and out-of-school children wi</w:t>
      </w:r>
      <w:r w:rsidR="001F4AAB" w:rsidRPr="00D457FF">
        <w:rPr>
          <w:sz w:val="24"/>
          <w:szCs w:val="24"/>
        </w:rPr>
        <w:t>ll</w:t>
      </w:r>
      <w:r w:rsidRPr="00D457FF">
        <w:rPr>
          <w:sz w:val="24"/>
          <w:szCs w:val="24"/>
        </w:rPr>
        <w:t xml:space="preserve"> </w:t>
      </w:r>
      <w:r w:rsidR="001F4AAB" w:rsidRPr="00D457FF">
        <w:rPr>
          <w:sz w:val="24"/>
          <w:szCs w:val="24"/>
        </w:rPr>
        <w:t xml:space="preserve">directly </w:t>
      </w:r>
      <w:r w:rsidRPr="00D457FF">
        <w:rPr>
          <w:sz w:val="24"/>
          <w:szCs w:val="24"/>
        </w:rPr>
        <w:t xml:space="preserve">benefit from the project. A </w:t>
      </w:r>
      <w:r w:rsidR="00210AC8" w:rsidRPr="00D457FF">
        <w:rPr>
          <w:sz w:val="24"/>
          <w:szCs w:val="24"/>
        </w:rPr>
        <w:t xml:space="preserve">more accurate </w:t>
      </w:r>
      <w:r w:rsidRPr="00D457FF">
        <w:rPr>
          <w:sz w:val="24"/>
          <w:szCs w:val="24"/>
        </w:rPr>
        <w:t>estimate of beneficiaries will be</w:t>
      </w:r>
      <w:r w:rsidR="00210AC8" w:rsidRPr="00D457FF">
        <w:rPr>
          <w:sz w:val="24"/>
          <w:szCs w:val="24"/>
        </w:rPr>
        <w:t xml:space="preserve"> made</w:t>
      </w:r>
      <w:r w:rsidRPr="00D457FF">
        <w:rPr>
          <w:sz w:val="24"/>
          <w:szCs w:val="24"/>
        </w:rPr>
        <w:t xml:space="preserve"> during the inception phase.</w:t>
      </w:r>
    </w:p>
    <w:p w14:paraId="384EB7A7" w14:textId="29267B8D" w:rsidR="00B43F7C" w:rsidRDefault="00B43F7C" w:rsidP="004D0739">
      <w:pPr>
        <w:pStyle w:val="Heading2"/>
      </w:pPr>
      <w:r>
        <w:br w:type="page"/>
      </w:r>
    </w:p>
    <w:p w14:paraId="4653743D" w14:textId="0AD213D0" w:rsidR="005002C5" w:rsidRPr="00D457FF" w:rsidRDefault="00E64AFB" w:rsidP="008C6FE3">
      <w:pPr>
        <w:pStyle w:val="Heading3"/>
      </w:pPr>
      <w:r w:rsidRPr="00D457FF">
        <w:lastRenderedPageBreak/>
        <w:t>Theory of Change</w:t>
      </w:r>
    </w:p>
    <w:p w14:paraId="003F5418" w14:textId="6D56AC6A" w:rsidR="00590277" w:rsidRPr="00D457FF" w:rsidRDefault="00590277" w:rsidP="00D457FF">
      <w:pPr>
        <w:spacing w:before="200"/>
      </w:pPr>
      <w:r w:rsidRPr="00D457FF">
        <w:rPr>
          <w:noProof/>
          <w:lang w:eastAsia="zh-CN"/>
        </w:rPr>
        <w:drawing>
          <wp:inline distT="0" distB="0" distL="0" distR="0" wp14:anchorId="2D4525FB" wp14:editId="1631995D">
            <wp:extent cx="2612390" cy="756285"/>
            <wp:effectExtent l="0" t="0" r="0" b="5715"/>
            <wp:docPr id="7" name="Picture 7" descr="The words IF AND... THEN written horizontally in capital letters in large font above a flow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Official\UNDP\task4-feb2018\i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2390" cy="756285"/>
                    </a:xfrm>
                    <a:prstGeom prst="rect">
                      <a:avLst/>
                    </a:prstGeom>
                    <a:noFill/>
                    <a:ln>
                      <a:noFill/>
                    </a:ln>
                  </pic:spPr>
                </pic:pic>
              </a:graphicData>
            </a:graphic>
          </wp:inline>
        </w:drawing>
      </w:r>
    </w:p>
    <w:p w14:paraId="74D873F5" w14:textId="1C78636F" w:rsidR="005002C5" w:rsidRPr="00D457FF" w:rsidRDefault="00590277" w:rsidP="00D457FF">
      <w:pPr>
        <w:pStyle w:val="ListParagraph"/>
        <w:spacing w:before="200" w:line="240" w:lineRule="auto"/>
        <w:ind w:left="0"/>
        <w:contextualSpacing w:val="0"/>
        <w:jc w:val="both"/>
        <w:rPr>
          <w:i/>
          <w:sz w:val="20"/>
        </w:rPr>
      </w:pPr>
      <w:r w:rsidRPr="00D457FF">
        <w:rPr>
          <w:i/>
          <w:noProof/>
          <w:sz w:val="20"/>
          <w:lang w:eastAsia="zh-CN"/>
        </w:rPr>
        <w:drawing>
          <wp:inline distT="0" distB="0" distL="0" distR="0" wp14:anchorId="25333DC1" wp14:editId="36D7E5CA">
            <wp:extent cx="5583600" cy="4518000"/>
            <wp:effectExtent l="0" t="0" r="0" b="0"/>
            <wp:docPr id="3" name="Picture 3" descr="Flow chart description: &#10;IF: Persons with disabilities have better capacity to advocate for rights; and key service providers that work on prevention and response of violence have increased capacity to fulfill obligations &#10;&#10;AND: There is an enabling legislative and policy environment; and families, communities and service providers display attitudes and behaviors that are respectful of the rights of persons with disabilities&#10;&#10;THEN: Persons with disabilities in Timor-Leste, especially women and children, will be free from discrimination and gender-based viol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Official\UNDP\task4-feb2018\flowcha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3600" cy="4518000"/>
                    </a:xfrm>
                    <a:prstGeom prst="rect">
                      <a:avLst/>
                    </a:prstGeom>
                    <a:noFill/>
                    <a:ln>
                      <a:noFill/>
                    </a:ln>
                  </pic:spPr>
                </pic:pic>
              </a:graphicData>
            </a:graphic>
          </wp:inline>
        </w:drawing>
      </w:r>
    </w:p>
    <w:p w14:paraId="32CBE429" w14:textId="6B4252FA" w:rsidR="003E2A3C" w:rsidRPr="00D457FF" w:rsidRDefault="003E2A3C" w:rsidP="00D457FF">
      <w:pPr>
        <w:spacing w:before="200"/>
        <w:rPr>
          <w:i/>
          <w:sz w:val="20"/>
        </w:rPr>
      </w:pPr>
      <w:r w:rsidRPr="00D457FF">
        <w:rPr>
          <w:i/>
          <w:sz w:val="20"/>
        </w:rPr>
        <w:br w:type="page"/>
      </w:r>
    </w:p>
    <w:p w14:paraId="42E48536" w14:textId="2AE28ADE" w:rsidR="00BE7792" w:rsidRPr="008C6FE3" w:rsidRDefault="008C6FE3" w:rsidP="008C6FE3">
      <w:pPr>
        <w:pStyle w:val="Heading2"/>
      </w:pPr>
      <w:r>
        <w:lastRenderedPageBreak/>
        <w:t xml:space="preserve">2.2. </w:t>
      </w:r>
      <w:r w:rsidR="00401CDD" w:rsidRPr="008C6FE3">
        <w:t>Other programmatic considerations</w:t>
      </w:r>
    </w:p>
    <w:p w14:paraId="164CDC8C" w14:textId="255DB28C" w:rsidR="00660796" w:rsidRDefault="00CF2AA9" w:rsidP="00EE471A">
      <w:pPr>
        <w:pStyle w:val="Heading3"/>
      </w:pPr>
      <w:r w:rsidRPr="00D457FF">
        <w:t>Table 1.</w:t>
      </w:r>
      <w:r w:rsidR="00AA5587" w:rsidRPr="00D457FF">
        <w:t xml:space="preserve"> </w:t>
      </w:r>
    </w:p>
    <w:p w14:paraId="58FC7365" w14:textId="79B6F9C6" w:rsidR="001C0682" w:rsidRPr="001C0682" w:rsidRDefault="001C0682" w:rsidP="001C0682">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jc w:val="both"/>
      </w:pPr>
      <w:r w:rsidRPr="001C0682">
        <w:t xml:space="preserve">1. Mix of targeting and mainstreaming </w:t>
      </w:r>
    </w:p>
    <w:p w14:paraId="67E3C0D5" w14:textId="77777777" w:rsidR="001C0682" w:rsidRPr="001C0682" w:rsidRDefault="001C0682" w:rsidP="001C0682">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jc w:val="both"/>
      </w:pPr>
      <w:r w:rsidRPr="001C0682">
        <w:t>How will the proposed project mix targeting and mainstreaming strategies in order to generate structural transformation?</w:t>
      </w:r>
    </w:p>
    <w:p w14:paraId="27698EBC" w14:textId="77777777" w:rsidR="001C0682" w:rsidRDefault="001C0682" w:rsidP="001C0682">
      <w:pPr>
        <w:pBdr>
          <w:top w:val="single" w:sz="8" w:space="1" w:color="auto"/>
          <w:left w:val="single" w:sz="8" w:space="4" w:color="auto"/>
          <w:bottom w:val="single" w:sz="8" w:space="1" w:color="auto"/>
          <w:right w:val="single" w:sz="8" w:space="4" w:color="auto"/>
        </w:pBdr>
        <w:spacing w:before="200"/>
        <w:jc w:val="both"/>
        <w:rPr>
          <w:color w:val="000000" w:themeColor="text1"/>
          <w:sz w:val="20"/>
        </w:rPr>
      </w:pPr>
      <w:r>
        <w:rPr>
          <w:color w:val="000000" w:themeColor="text1"/>
          <w:sz w:val="20"/>
        </w:rPr>
        <w:t>The project includes mutually reinforcing strategies that indirectly and directly benefit persons with disabilities, particularly women and children, and that promote attitude and behavior change, enhance the normative framework, strengthen capacities, and build networks.</w:t>
      </w:r>
    </w:p>
    <w:p w14:paraId="17959698" w14:textId="77777777" w:rsidR="001C0682" w:rsidRDefault="001C0682" w:rsidP="001C0682">
      <w:pPr>
        <w:pBdr>
          <w:top w:val="single" w:sz="8" w:space="1" w:color="auto"/>
          <w:left w:val="single" w:sz="8" w:space="4" w:color="auto"/>
          <w:bottom w:val="single" w:sz="8" w:space="1" w:color="auto"/>
          <w:right w:val="single" w:sz="8" w:space="4" w:color="auto"/>
        </w:pBdr>
        <w:spacing w:before="200"/>
        <w:jc w:val="both"/>
        <w:rPr>
          <w:color w:val="000000" w:themeColor="text1"/>
          <w:sz w:val="20"/>
        </w:rPr>
      </w:pPr>
      <w:r>
        <w:rPr>
          <w:color w:val="000000" w:themeColor="text1"/>
          <w:sz w:val="20"/>
        </w:rPr>
        <w:t xml:space="preserve">The overall normative environment will be reinforced through support for CRPD ratification and capacity and tools to mainstream disability in legislation and policies. To ensure that ratification, capacity building and awareness raising impacts on the lives of persons with disabilities, the project strengthens monitoring and reporting capacity of Government, DPOs and others. </w:t>
      </w:r>
    </w:p>
    <w:p w14:paraId="60BF05F5" w14:textId="77777777" w:rsidR="001C0682" w:rsidRDefault="001C0682" w:rsidP="001C0682">
      <w:pPr>
        <w:pBdr>
          <w:top w:val="single" w:sz="8" w:space="1" w:color="auto"/>
          <w:left w:val="single" w:sz="8" w:space="4" w:color="auto"/>
          <w:bottom w:val="single" w:sz="8" w:space="1" w:color="auto"/>
          <w:right w:val="single" w:sz="8" w:space="4" w:color="auto"/>
        </w:pBdr>
        <w:spacing w:before="200"/>
        <w:jc w:val="both"/>
        <w:rPr>
          <w:color w:val="000000" w:themeColor="text1"/>
          <w:sz w:val="20"/>
        </w:rPr>
      </w:pPr>
      <w:r>
        <w:rPr>
          <w:color w:val="000000" w:themeColor="text1"/>
          <w:sz w:val="20"/>
        </w:rPr>
        <w:t>Capacity of DPOs and persons with disabilities will be built, and resources made available, to claim and lead awareness raising on rights publicly and with officials. Capacity to engage actively in society will be enhanced through support for the adoption of an assistive products list and for advocacy for adequate resourcing. Capacity building for women DPOs and the CNR on gender-based violence will enable better identification, protection and response to the needs of survivors. Capacity building for key officials and service providers who prevent and/or respond to violence aims to ensure that services are increasingly sensitive to the rights of persons with disabilities. To enhance access to these improved services, the project supports existing GBV networks to better integrate disability. Capacity to collect and use disaggregated data in education and under the NAP-GBV, is aimed at better identifying children and women at risk of violence or who have already experienced violence with a view to enhancing prevention and response.</w:t>
      </w:r>
    </w:p>
    <w:p w14:paraId="1B545F73" w14:textId="145B252A" w:rsidR="001C0682" w:rsidRPr="001C0682" w:rsidRDefault="001C0682" w:rsidP="001C0682">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jc w:val="both"/>
        <w:rPr>
          <w:b/>
          <w:bCs/>
        </w:rPr>
      </w:pPr>
      <w:r w:rsidRPr="001C0682">
        <w:rPr>
          <w:b/>
          <w:bCs/>
        </w:rPr>
        <w:t>2. Scalability</w:t>
      </w:r>
    </w:p>
    <w:p w14:paraId="0EDE7148" w14:textId="77777777" w:rsidR="001C0682" w:rsidRPr="001C0682" w:rsidRDefault="001C0682" w:rsidP="001C0682">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jc w:val="both"/>
      </w:pPr>
      <w:r w:rsidRPr="001C0682">
        <w:t xml:space="preserve">How will the project create the conditions for scalability of results and successful approaches tested through project activities? </w:t>
      </w:r>
    </w:p>
    <w:p w14:paraId="06AC9AF8" w14:textId="77777777" w:rsidR="001C0682" w:rsidRPr="001C0682" w:rsidRDefault="001C0682" w:rsidP="001C0682">
      <w:pPr>
        <w:pBdr>
          <w:top w:val="single" w:sz="8" w:space="1" w:color="auto"/>
          <w:left w:val="single" w:sz="8" w:space="4" w:color="auto"/>
          <w:bottom w:val="single" w:sz="8" w:space="1" w:color="auto"/>
          <w:right w:val="single" w:sz="8" w:space="4" w:color="auto"/>
        </w:pBdr>
        <w:spacing w:before="200"/>
        <w:jc w:val="both"/>
      </w:pPr>
      <w:r w:rsidRPr="001C0682">
        <w:t>Interventions with most key service providers will be done in the capital, Dili. Services in outlying municipalities are even more limited than in the capital, however, even in Dili these are rudimentary but can be built on by UNPRPD to enhance quality, and subsequently be rolled out to outlying municipalities by UN Agencies separate from the project or by partners. Capacity building with key service providers on GBV will be based on existing global standards and joint UN approaches and tools will be adapted under the project to support implementation in the local context. After testing and improving them as required, these will be made available for use in other municipalities, for other service providers, and for integration into other stakeholders’ action in line with the NAP-GBV. After strengthening or establishing a referral network on GBV in Dili that integrates disability, lessons will be shared for replication in other parts of the country. Advocacy under the project for increased resource allocation will allow Government to scale up models being tested with UNPRPD support. Regular monitoring and evaluation during the project will include the documentation of results and successful approaches. These will be shared with key players in the disability sector to seek their support for scaling up, for example with the Australian Government’s Programme on disability that has a $ 1.2 million annual budget until 2020.</w:t>
      </w:r>
    </w:p>
    <w:p w14:paraId="5EB7DDCA" w14:textId="5619F3D0" w:rsidR="001C0682" w:rsidRPr="001C0682" w:rsidRDefault="001C0682" w:rsidP="001C0682">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jc w:val="both"/>
        <w:rPr>
          <w:b/>
          <w:bCs/>
        </w:rPr>
      </w:pPr>
      <w:r w:rsidRPr="001C0682">
        <w:rPr>
          <w:b/>
          <w:bCs/>
        </w:rPr>
        <w:t xml:space="preserve">3. Sustainability </w:t>
      </w:r>
    </w:p>
    <w:p w14:paraId="4EC47482" w14:textId="77777777" w:rsidR="001C0682" w:rsidRPr="001C0682" w:rsidRDefault="001C0682" w:rsidP="001C0682">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jc w:val="both"/>
      </w:pPr>
      <w:r w:rsidRPr="001C0682">
        <w:t>How does the project intend to create the conditions for the long-term sustainability of the project results?</w:t>
      </w:r>
    </w:p>
    <w:p w14:paraId="61B68F2B" w14:textId="77777777" w:rsidR="001C0682" w:rsidRPr="001C0682" w:rsidRDefault="001C0682" w:rsidP="001C0682">
      <w:pPr>
        <w:pBdr>
          <w:top w:val="single" w:sz="8" w:space="1" w:color="auto"/>
          <w:left w:val="single" w:sz="8" w:space="4" w:color="auto"/>
          <w:bottom w:val="single" w:sz="8" w:space="1" w:color="auto"/>
          <w:right w:val="single" w:sz="8" w:space="4" w:color="auto"/>
        </w:pBdr>
        <w:spacing w:before="200"/>
        <w:jc w:val="both"/>
      </w:pPr>
      <w:r w:rsidRPr="001C0682">
        <w:lastRenderedPageBreak/>
        <w:t>To have impact of interventions to further enhance the rights of persons with disabilities beyond the project, the intervention is aligned with existing medium and long-term national commitments, including the 2011-2030 Strategic Development Plan, the SDG agenda</w:t>
      </w:r>
      <w:r w:rsidRPr="001C0682">
        <w:footnoteReference w:id="28"/>
      </w:r>
      <w:r w:rsidRPr="001C0682">
        <w:t xml:space="preserve">, existing policies and action plans. Partners in Government and DPOs will be regularly informed of results throughout, but also at the end of the project, to ensure continuation of interventions as relevant. The project will build national training capacity and advocate for capacity building programmes to be integrated in official curricula for use beyond the project. Through constant engagement with persons with disabilities and other stakeholders, the project aims to ensure that immediate but also long-term needs and concerns of persons with disabilities will be addressed. Lastly, ratification of CRPD as well as the foreseen change in attitudes and behaviors to reduce discrimination and violence against persons with disabilities is expected to have long-term impact. </w:t>
      </w:r>
    </w:p>
    <w:p w14:paraId="61882478" w14:textId="77777777" w:rsidR="00401CDD" w:rsidRPr="00D457FF" w:rsidRDefault="00401CDD" w:rsidP="00D457FF">
      <w:pPr>
        <w:spacing w:before="200" w:line="240" w:lineRule="auto"/>
        <w:jc w:val="both"/>
        <w:rPr>
          <w:i/>
          <w:sz w:val="20"/>
        </w:rPr>
      </w:pPr>
    </w:p>
    <w:p w14:paraId="3EEBECBB" w14:textId="0457BEBB" w:rsidR="005C52C0" w:rsidRPr="00D457FF" w:rsidRDefault="005C52C0" w:rsidP="00EE471A">
      <w:pPr>
        <w:pStyle w:val="Heading4"/>
        <w:rPr>
          <w:color w:val="FFFFFF" w:themeColor="background1"/>
        </w:rPr>
      </w:pPr>
      <w:r w:rsidRPr="00D457FF">
        <w:t>Table 1.1</w:t>
      </w:r>
      <w:r w:rsidR="00B43F7C">
        <w:t xml:space="preserve"> </w:t>
      </w:r>
    </w:p>
    <w:p w14:paraId="21CF7191" w14:textId="75B3966E" w:rsidR="00E3155F" w:rsidRPr="00D457FF" w:rsidRDefault="005C52C0" w:rsidP="00D457FF">
      <w:pPr>
        <w:spacing w:before="200"/>
        <w:jc w:val="both"/>
        <w:rPr>
          <w:b/>
          <w:i/>
          <w:color w:val="FFFFFF" w:themeColor="background1"/>
          <w:sz w:val="20"/>
        </w:rPr>
      </w:pPr>
      <w:r w:rsidRPr="00D457FF">
        <w:rPr>
          <w:b/>
          <w:color w:val="000000" w:themeColor="text1"/>
          <w:sz w:val="20"/>
        </w:rPr>
        <w:t>Risk Management Strategy (please describe the risk management strategy using the table below)</w:t>
      </w:r>
      <w:r w:rsidR="00753C26" w:rsidRPr="00D457FF">
        <w:rPr>
          <w:b/>
          <w:color w:val="000000" w:themeColor="text1"/>
          <w:sz w:val="20"/>
        </w:rPr>
        <w:t xml:space="preserve"> </w:t>
      </w:r>
    </w:p>
    <w:tbl>
      <w:tblPr>
        <w:tblStyle w:val="TableGrid1"/>
        <w:tblW w:w="5000" w:type="pct"/>
        <w:tblLook w:val="04A0" w:firstRow="1" w:lastRow="0" w:firstColumn="1" w:lastColumn="0" w:noHBand="0" w:noVBand="1"/>
        <w:tblCaption w:val="Risk Managment Strategy"/>
      </w:tblPr>
      <w:tblGrid>
        <w:gridCol w:w="1883"/>
        <w:gridCol w:w="1993"/>
        <w:gridCol w:w="1161"/>
        <w:gridCol w:w="1745"/>
        <w:gridCol w:w="1708"/>
        <w:gridCol w:w="1364"/>
      </w:tblGrid>
      <w:tr w:rsidR="000C5EA2" w:rsidRPr="00D457FF" w14:paraId="72EFBD4C" w14:textId="77777777" w:rsidTr="001C0682">
        <w:trPr>
          <w:cantSplit/>
          <w:tblHeader/>
        </w:trPr>
        <w:tc>
          <w:tcPr>
            <w:tcW w:w="956" w:type="pct"/>
            <w:shd w:val="clear" w:color="auto" w:fill="D9D9D9" w:themeFill="background1" w:themeFillShade="D9"/>
          </w:tcPr>
          <w:p w14:paraId="0AC24BC5" w14:textId="77777777" w:rsidR="000C5EA2" w:rsidRPr="001C0682" w:rsidRDefault="000C5EA2" w:rsidP="00D457FF">
            <w:pPr>
              <w:spacing w:before="200" w:after="200"/>
              <w:rPr>
                <w:b/>
                <w:bCs/>
              </w:rPr>
            </w:pPr>
            <w:r w:rsidRPr="001C0682">
              <w:rPr>
                <w:b/>
                <w:bCs/>
              </w:rPr>
              <w:t>Type of risk</w:t>
            </w:r>
            <w:r w:rsidR="00D31469" w:rsidRPr="001C0682">
              <w:rPr>
                <w:b/>
                <w:bCs/>
              </w:rPr>
              <w:t>*</w:t>
            </w:r>
          </w:p>
          <w:p w14:paraId="5AE16F6D" w14:textId="77777777" w:rsidR="000C5EA2" w:rsidRPr="001C0682" w:rsidRDefault="000C5EA2" w:rsidP="00D457FF">
            <w:pPr>
              <w:spacing w:before="200" w:after="200"/>
              <w:rPr>
                <w:b/>
                <w:bCs/>
              </w:rPr>
            </w:pPr>
            <w:r w:rsidRPr="001C0682">
              <w:rPr>
                <w:b/>
                <w:bCs/>
              </w:rPr>
              <w:t>(contextual</w:t>
            </w:r>
          </w:p>
          <w:p w14:paraId="157C7E8B" w14:textId="77777777" w:rsidR="000C5EA2" w:rsidRPr="001C0682" w:rsidRDefault="000C5EA2" w:rsidP="00D457FF">
            <w:pPr>
              <w:spacing w:before="200" w:after="200"/>
              <w:rPr>
                <w:b/>
                <w:bCs/>
              </w:rPr>
            </w:pPr>
            <w:r w:rsidRPr="001C0682">
              <w:rPr>
                <w:b/>
                <w:bCs/>
              </w:rPr>
              <w:t xml:space="preserve">programmatic, </w:t>
            </w:r>
            <w:r w:rsidR="00F57232" w:rsidRPr="001C0682">
              <w:rPr>
                <w:b/>
                <w:bCs/>
              </w:rPr>
              <w:t>institutional</w:t>
            </w:r>
            <w:r w:rsidRPr="001C0682">
              <w:rPr>
                <w:b/>
                <w:bCs/>
              </w:rPr>
              <w:t>)</w:t>
            </w:r>
          </w:p>
        </w:tc>
        <w:tc>
          <w:tcPr>
            <w:tcW w:w="1012" w:type="pct"/>
            <w:shd w:val="clear" w:color="auto" w:fill="D9D9D9" w:themeFill="background1" w:themeFillShade="D9"/>
          </w:tcPr>
          <w:p w14:paraId="640F5B15" w14:textId="77777777" w:rsidR="000C5EA2" w:rsidRPr="001C0682" w:rsidRDefault="000C5EA2" w:rsidP="00D457FF">
            <w:pPr>
              <w:spacing w:before="200" w:after="200"/>
              <w:rPr>
                <w:b/>
                <w:bCs/>
              </w:rPr>
            </w:pPr>
            <w:r w:rsidRPr="001C0682">
              <w:rPr>
                <w:b/>
                <w:bCs/>
              </w:rPr>
              <w:t>Risk</w:t>
            </w:r>
          </w:p>
        </w:tc>
        <w:tc>
          <w:tcPr>
            <w:tcW w:w="588" w:type="pct"/>
            <w:shd w:val="clear" w:color="auto" w:fill="D9D9D9" w:themeFill="background1" w:themeFillShade="D9"/>
          </w:tcPr>
          <w:p w14:paraId="3C26247F" w14:textId="77777777" w:rsidR="000C5EA2" w:rsidRPr="001C0682" w:rsidRDefault="000C5EA2" w:rsidP="00D457FF">
            <w:pPr>
              <w:spacing w:before="200" w:after="200"/>
              <w:rPr>
                <w:b/>
                <w:bCs/>
              </w:rPr>
            </w:pPr>
            <w:r w:rsidRPr="001C0682">
              <w:rPr>
                <w:b/>
                <w:bCs/>
              </w:rPr>
              <w:t>Likelihood (</w:t>
            </w:r>
            <w:r w:rsidR="00F57232" w:rsidRPr="001C0682">
              <w:rPr>
                <w:b/>
                <w:bCs/>
              </w:rPr>
              <w:t>L, M</w:t>
            </w:r>
            <w:r w:rsidRPr="001C0682">
              <w:rPr>
                <w:b/>
                <w:bCs/>
              </w:rPr>
              <w:t>,</w:t>
            </w:r>
            <w:r w:rsidR="00F57232" w:rsidRPr="001C0682">
              <w:rPr>
                <w:b/>
                <w:bCs/>
              </w:rPr>
              <w:t xml:space="preserve"> </w:t>
            </w:r>
            <w:r w:rsidRPr="001C0682">
              <w:rPr>
                <w:b/>
                <w:bCs/>
              </w:rPr>
              <w:t>H)</w:t>
            </w:r>
          </w:p>
        </w:tc>
        <w:tc>
          <w:tcPr>
            <w:tcW w:w="886" w:type="pct"/>
            <w:shd w:val="clear" w:color="auto" w:fill="D9D9D9" w:themeFill="background1" w:themeFillShade="D9"/>
          </w:tcPr>
          <w:p w14:paraId="1E52FD3F" w14:textId="77777777" w:rsidR="000C5EA2" w:rsidRPr="001C0682" w:rsidRDefault="000C5EA2" w:rsidP="00D457FF">
            <w:pPr>
              <w:spacing w:before="200" w:after="200"/>
              <w:rPr>
                <w:b/>
                <w:bCs/>
              </w:rPr>
            </w:pPr>
            <w:r w:rsidRPr="001C0682">
              <w:rPr>
                <w:b/>
                <w:bCs/>
              </w:rPr>
              <w:t>Impact on result</w:t>
            </w:r>
          </w:p>
        </w:tc>
        <w:tc>
          <w:tcPr>
            <w:tcW w:w="867" w:type="pct"/>
            <w:shd w:val="clear" w:color="auto" w:fill="D9D9D9" w:themeFill="background1" w:themeFillShade="D9"/>
          </w:tcPr>
          <w:p w14:paraId="70CA1CF2" w14:textId="77777777" w:rsidR="000C5EA2" w:rsidRPr="001C0682" w:rsidRDefault="000C5EA2" w:rsidP="00D457FF">
            <w:pPr>
              <w:spacing w:before="200" w:after="200"/>
              <w:rPr>
                <w:b/>
                <w:bCs/>
              </w:rPr>
            </w:pPr>
            <w:r w:rsidRPr="001C0682">
              <w:rPr>
                <w:b/>
                <w:bCs/>
              </w:rPr>
              <w:t>Mitigation strategies</w:t>
            </w:r>
          </w:p>
        </w:tc>
        <w:tc>
          <w:tcPr>
            <w:tcW w:w="691" w:type="pct"/>
            <w:shd w:val="clear" w:color="auto" w:fill="D9D9D9" w:themeFill="background1" w:themeFillShade="D9"/>
          </w:tcPr>
          <w:p w14:paraId="14C55F8F" w14:textId="77777777" w:rsidR="000C5EA2" w:rsidRPr="001C0682" w:rsidRDefault="000C5EA2" w:rsidP="00D457FF">
            <w:pPr>
              <w:spacing w:before="200" w:after="200"/>
              <w:rPr>
                <w:b/>
                <w:bCs/>
              </w:rPr>
            </w:pPr>
            <w:r w:rsidRPr="001C0682">
              <w:rPr>
                <w:b/>
                <w:bCs/>
              </w:rPr>
              <w:t>Risk treatment owners</w:t>
            </w:r>
          </w:p>
        </w:tc>
      </w:tr>
      <w:tr w:rsidR="000C5EA2" w:rsidRPr="00D457FF" w14:paraId="3F018A67" w14:textId="77777777" w:rsidTr="001C0682">
        <w:tc>
          <w:tcPr>
            <w:tcW w:w="956" w:type="pct"/>
          </w:tcPr>
          <w:p w14:paraId="723E1055" w14:textId="613FD476" w:rsidR="000C5EA2" w:rsidRPr="00D457FF" w:rsidRDefault="00D96D90" w:rsidP="00D457FF">
            <w:pPr>
              <w:spacing w:before="200" w:after="200"/>
              <w:rPr>
                <w:b/>
                <w:i/>
                <w:sz w:val="20"/>
              </w:rPr>
            </w:pPr>
            <w:r w:rsidRPr="00D457FF">
              <w:rPr>
                <w:b/>
                <w:i/>
                <w:sz w:val="20"/>
              </w:rPr>
              <w:t>Contextual</w:t>
            </w:r>
          </w:p>
          <w:p w14:paraId="5205734E" w14:textId="77777777" w:rsidR="000C5EA2" w:rsidRPr="00D457FF" w:rsidRDefault="000C5EA2" w:rsidP="00D457FF">
            <w:pPr>
              <w:spacing w:before="200" w:after="200"/>
              <w:rPr>
                <w:i/>
                <w:sz w:val="20"/>
              </w:rPr>
            </w:pPr>
          </w:p>
        </w:tc>
        <w:tc>
          <w:tcPr>
            <w:tcW w:w="1012" w:type="pct"/>
          </w:tcPr>
          <w:p w14:paraId="36255CDD" w14:textId="6A2105F5" w:rsidR="000C5EA2" w:rsidRPr="00D457FF" w:rsidRDefault="00D96D90" w:rsidP="00D457FF">
            <w:pPr>
              <w:spacing w:before="200" w:after="200"/>
              <w:rPr>
                <w:i/>
                <w:sz w:val="20"/>
              </w:rPr>
            </w:pPr>
            <w:r w:rsidRPr="00D457FF">
              <w:rPr>
                <w:i/>
                <w:sz w:val="20"/>
              </w:rPr>
              <w:t xml:space="preserve">Change in Government reduces momentum to pursue ratification of </w:t>
            </w:r>
            <w:r w:rsidR="005A5ABF" w:rsidRPr="00D457FF">
              <w:rPr>
                <w:i/>
                <w:sz w:val="20"/>
              </w:rPr>
              <w:t>CRPD</w:t>
            </w:r>
          </w:p>
          <w:p w14:paraId="526868D8" w14:textId="77777777" w:rsidR="000C5EA2" w:rsidRPr="00D457FF" w:rsidRDefault="000C5EA2" w:rsidP="00D457FF">
            <w:pPr>
              <w:spacing w:before="200" w:after="200"/>
              <w:rPr>
                <w:i/>
                <w:sz w:val="20"/>
              </w:rPr>
            </w:pPr>
          </w:p>
        </w:tc>
        <w:tc>
          <w:tcPr>
            <w:tcW w:w="588" w:type="pct"/>
          </w:tcPr>
          <w:p w14:paraId="0A8B0927" w14:textId="4F1F44A9" w:rsidR="000C5EA2" w:rsidRPr="00D457FF" w:rsidRDefault="00D96D90" w:rsidP="00D457FF">
            <w:pPr>
              <w:spacing w:before="200" w:after="200"/>
              <w:rPr>
                <w:i/>
                <w:sz w:val="20"/>
              </w:rPr>
            </w:pPr>
            <w:r w:rsidRPr="00D457FF">
              <w:rPr>
                <w:i/>
                <w:sz w:val="20"/>
              </w:rPr>
              <w:t>L</w:t>
            </w:r>
          </w:p>
          <w:p w14:paraId="12EAD91D" w14:textId="77777777" w:rsidR="000C5EA2" w:rsidRPr="00D457FF" w:rsidRDefault="000C5EA2" w:rsidP="00D457FF">
            <w:pPr>
              <w:spacing w:before="200" w:after="200"/>
              <w:rPr>
                <w:i/>
                <w:sz w:val="20"/>
              </w:rPr>
            </w:pPr>
          </w:p>
        </w:tc>
        <w:tc>
          <w:tcPr>
            <w:tcW w:w="886" w:type="pct"/>
          </w:tcPr>
          <w:p w14:paraId="1CF67308" w14:textId="30F29ADE" w:rsidR="00917208" w:rsidRPr="00D457FF" w:rsidRDefault="00917208" w:rsidP="00D457FF">
            <w:pPr>
              <w:spacing w:before="200" w:after="200"/>
              <w:rPr>
                <w:i/>
                <w:sz w:val="20"/>
              </w:rPr>
            </w:pPr>
            <w:r w:rsidRPr="00D457FF">
              <w:rPr>
                <w:i/>
                <w:sz w:val="20"/>
              </w:rPr>
              <w:t>Momentum for capacity building of in particular duty-bearers reduced. Possible limited engagement of officials in such programmes</w:t>
            </w:r>
          </w:p>
          <w:p w14:paraId="1D6BED12" w14:textId="03E2557E" w:rsidR="00917208" w:rsidRPr="00D457FF" w:rsidRDefault="00917208" w:rsidP="00D457FF">
            <w:pPr>
              <w:spacing w:before="200" w:after="200"/>
              <w:rPr>
                <w:i/>
                <w:sz w:val="20"/>
              </w:rPr>
            </w:pPr>
          </w:p>
        </w:tc>
        <w:tc>
          <w:tcPr>
            <w:tcW w:w="867" w:type="pct"/>
          </w:tcPr>
          <w:p w14:paraId="120BED06" w14:textId="607E9987" w:rsidR="000C5EA2" w:rsidRPr="00D457FF" w:rsidRDefault="001369B7" w:rsidP="00D457FF">
            <w:pPr>
              <w:spacing w:before="200" w:after="200"/>
              <w:rPr>
                <w:i/>
                <w:sz w:val="20"/>
              </w:rPr>
            </w:pPr>
            <w:r w:rsidRPr="00D457FF">
              <w:rPr>
                <w:i/>
                <w:sz w:val="20"/>
              </w:rPr>
              <w:t>N</w:t>
            </w:r>
            <w:r w:rsidR="00D96D90" w:rsidRPr="00D457FF">
              <w:rPr>
                <w:i/>
                <w:sz w:val="20"/>
              </w:rPr>
              <w:t xml:space="preserve">ew Government </w:t>
            </w:r>
            <w:r w:rsidRPr="00D457FF">
              <w:rPr>
                <w:i/>
                <w:sz w:val="20"/>
              </w:rPr>
              <w:t xml:space="preserve">to receive orientation on the </w:t>
            </w:r>
            <w:r w:rsidR="00D96D90" w:rsidRPr="00D457FF">
              <w:rPr>
                <w:i/>
                <w:sz w:val="20"/>
              </w:rPr>
              <w:t>merits of ratification.</w:t>
            </w:r>
            <w:r w:rsidR="00917208" w:rsidRPr="00D457FF">
              <w:rPr>
                <w:i/>
                <w:sz w:val="20"/>
              </w:rPr>
              <w:t xml:space="preserve"> More focus on already signed human rights treaties that equally apply to persons with disabilities in outreach and capacity building</w:t>
            </w:r>
          </w:p>
          <w:p w14:paraId="581A191A" w14:textId="45DB8862" w:rsidR="00917208" w:rsidRPr="00D457FF" w:rsidRDefault="00917208" w:rsidP="00D457FF">
            <w:pPr>
              <w:spacing w:before="200" w:after="200"/>
              <w:rPr>
                <w:i/>
                <w:sz w:val="20"/>
              </w:rPr>
            </w:pPr>
          </w:p>
        </w:tc>
        <w:tc>
          <w:tcPr>
            <w:tcW w:w="691" w:type="pct"/>
          </w:tcPr>
          <w:p w14:paraId="7C41D22F" w14:textId="55620A79" w:rsidR="000C5EA2" w:rsidRPr="00D457FF" w:rsidRDefault="00F44DD1" w:rsidP="00D457FF">
            <w:pPr>
              <w:spacing w:before="200" w:after="200"/>
              <w:rPr>
                <w:i/>
                <w:sz w:val="20"/>
              </w:rPr>
            </w:pPr>
            <w:r w:rsidRPr="00D457FF">
              <w:rPr>
                <w:i/>
                <w:sz w:val="20"/>
              </w:rPr>
              <w:t>HRAU/OHCHR</w:t>
            </w:r>
          </w:p>
          <w:p w14:paraId="042949D1" w14:textId="77777777" w:rsidR="000C5EA2" w:rsidRPr="00D457FF" w:rsidRDefault="000C5EA2" w:rsidP="00D457FF">
            <w:pPr>
              <w:spacing w:before="200" w:after="200"/>
              <w:rPr>
                <w:i/>
                <w:sz w:val="20"/>
              </w:rPr>
            </w:pPr>
          </w:p>
        </w:tc>
      </w:tr>
      <w:tr w:rsidR="000C5EA2" w:rsidRPr="00D457FF" w14:paraId="26F417D3" w14:textId="77777777" w:rsidTr="001C0682">
        <w:tc>
          <w:tcPr>
            <w:tcW w:w="956" w:type="pct"/>
          </w:tcPr>
          <w:p w14:paraId="39276317" w14:textId="1295AB31" w:rsidR="000C5EA2" w:rsidRPr="00D457FF" w:rsidRDefault="00D96D90" w:rsidP="00D457FF">
            <w:pPr>
              <w:spacing w:before="200" w:after="200"/>
              <w:rPr>
                <w:b/>
                <w:i/>
                <w:sz w:val="20"/>
              </w:rPr>
            </w:pPr>
            <w:r w:rsidRPr="00D457FF">
              <w:rPr>
                <w:b/>
                <w:i/>
                <w:sz w:val="20"/>
              </w:rPr>
              <w:t>Programmatic</w:t>
            </w:r>
          </w:p>
          <w:p w14:paraId="371142BF" w14:textId="77777777" w:rsidR="000C5EA2" w:rsidRPr="00D457FF" w:rsidRDefault="000C5EA2" w:rsidP="00D457FF">
            <w:pPr>
              <w:spacing w:before="200" w:after="200"/>
              <w:rPr>
                <w:i/>
                <w:sz w:val="20"/>
              </w:rPr>
            </w:pPr>
          </w:p>
        </w:tc>
        <w:tc>
          <w:tcPr>
            <w:tcW w:w="1012" w:type="pct"/>
          </w:tcPr>
          <w:p w14:paraId="53E59080" w14:textId="4A0D7337" w:rsidR="006169CD" w:rsidRPr="00D457FF" w:rsidRDefault="00CD426F" w:rsidP="00D457FF">
            <w:pPr>
              <w:spacing w:before="200" w:after="200"/>
              <w:rPr>
                <w:i/>
                <w:sz w:val="20"/>
              </w:rPr>
            </w:pPr>
            <w:r w:rsidRPr="00D457FF">
              <w:rPr>
                <w:i/>
                <w:sz w:val="20"/>
              </w:rPr>
              <w:t>Weak coordination between DPOs</w:t>
            </w:r>
            <w:r w:rsidR="00917208" w:rsidRPr="00D457FF">
              <w:rPr>
                <w:i/>
                <w:sz w:val="20"/>
              </w:rPr>
              <w:t xml:space="preserve">, </w:t>
            </w:r>
            <w:r w:rsidRPr="00D457FF">
              <w:rPr>
                <w:i/>
                <w:sz w:val="20"/>
              </w:rPr>
              <w:t>Government</w:t>
            </w:r>
            <w:r w:rsidR="00917208" w:rsidRPr="00D457FF">
              <w:rPr>
                <w:i/>
                <w:sz w:val="20"/>
              </w:rPr>
              <w:t>, and other project</w:t>
            </w:r>
            <w:r w:rsidRPr="00D457FF">
              <w:rPr>
                <w:i/>
                <w:sz w:val="20"/>
              </w:rPr>
              <w:t xml:space="preserve"> partners delays </w:t>
            </w:r>
            <w:r w:rsidR="005A6A85" w:rsidRPr="00D457FF">
              <w:rPr>
                <w:i/>
                <w:sz w:val="20"/>
              </w:rPr>
              <w:t>collaboration</w:t>
            </w:r>
          </w:p>
          <w:p w14:paraId="57A5BDC9" w14:textId="1FA501E2" w:rsidR="009C0B85" w:rsidRPr="00D457FF" w:rsidRDefault="002C5B07" w:rsidP="00D457FF">
            <w:pPr>
              <w:spacing w:before="200" w:after="200"/>
              <w:rPr>
                <w:i/>
                <w:sz w:val="20"/>
              </w:rPr>
            </w:pPr>
            <w:r w:rsidRPr="00D457FF">
              <w:rPr>
                <w:i/>
                <w:sz w:val="20"/>
              </w:rPr>
              <w:t>Varying levels of capacity amongst project partners</w:t>
            </w:r>
          </w:p>
        </w:tc>
        <w:tc>
          <w:tcPr>
            <w:tcW w:w="588" w:type="pct"/>
          </w:tcPr>
          <w:p w14:paraId="0EF03C4F" w14:textId="366206E5" w:rsidR="002C5B07" w:rsidRPr="00D457FF" w:rsidRDefault="00CD426F" w:rsidP="00D457FF">
            <w:pPr>
              <w:spacing w:before="200" w:after="200"/>
              <w:rPr>
                <w:i/>
                <w:sz w:val="20"/>
              </w:rPr>
            </w:pPr>
            <w:r w:rsidRPr="00D457FF">
              <w:rPr>
                <w:i/>
                <w:sz w:val="20"/>
              </w:rPr>
              <w:t>M</w:t>
            </w:r>
            <w:r w:rsidR="002C5B07" w:rsidRPr="00D457FF">
              <w:rPr>
                <w:i/>
                <w:sz w:val="20"/>
              </w:rPr>
              <w:t>H</w:t>
            </w:r>
          </w:p>
        </w:tc>
        <w:tc>
          <w:tcPr>
            <w:tcW w:w="886" w:type="pct"/>
          </w:tcPr>
          <w:p w14:paraId="1992409D" w14:textId="77777777" w:rsidR="00231A12" w:rsidRPr="00D457FF" w:rsidRDefault="00CD426F" w:rsidP="00D457FF">
            <w:pPr>
              <w:spacing w:before="200" w:after="200"/>
              <w:rPr>
                <w:i/>
                <w:sz w:val="20"/>
              </w:rPr>
            </w:pPr>
            <w:r w:rsidRPr="00D457FF">
              <w:rPr>
                <w:i/>
                <w:sz w:val="20"/>
              </w:rPr>
              <w:t>Reduced impact of intervention and risk of not meeting targets set</w:t>
            </w:r>
            <w:r w:rsidR="00231A12" w:rsidRPr="00D457FF">
              <w:rPr>
                <w:i/>
                <w:sz w:val="20"/>
              </w:rPr>
              <w:t>.</w:t>
            </w:r>
          </w:p>
          <w:p w14:paraId="7198B733" w14:textId="3E8BF066" w:rsidR="002C5B07" w:rsidRPr="00D457FF" w:rsidRDefault="002C5B07" w:rsidP="00D457FF">
            <w:pPr>
              <w:spacing w:before="200" w:after="200"/>
              <w:rPr>
                <w:i/>
                <w:sz w:val="20"/>
              </w:rPr>
            </w:pPr>
            <w:r w:rsidRPr="00D457FF">
              <w:rPr>
                <w:i/>
                <w:sz w:val="20"/>
              </w:rPr>
              <w:t>Low capacities will slow down progress towards project results</w:t>
            </w:r>
          </w:p>
        </w:tc>
        <w:tc>
          <w:tcPr>
            <w:tcW w:w="867" w:type="pct"/>
          </w:tcPr>
          <w:p w14:paraId="1992013E" w14:textId="3D277C2A" w:rsidR="00231A12" w:rsidRPr="00D457FF" w:rsidRDefault="00CD426F" w:rsidP="00D457FF">
            <w:pPr>
              <w:spacing w:before="200" w:after="200"/>
              <w:rPr>
                <w:i/>
                <w:sz w:val="20"/>
              </w:rPr>
            </w:pPr>
            <w:r w:rsidRPr="00D457FF">
              <w:rPr>
                <w:i/>
                <w:sz w:val="20"/>
              </w:rPr>
              <w:t>Stakeholders to be engaged at outset of project through joint activities to build trust and support systematic coordination</w:t>
            </w:r>
            <w:r w:rsidR="00231A12" w:rsidRPr="00D457FF">
              <w:rPr>
                <w:i/>
                <w:sz w:val="20"/>
              </w:rPr>
              <w:t>.</w:t>
            </w:r>
          </w:p>
          <w:p w14:paraId="78CCD43B" w14:textId="163565E0" w:rsidR="002C5B07" w:rsidRPr="00D457FF" w:rsidRDefault="002C5B07" w:rsidP="00D457FF">
            <w:pPr>
              <w:spacing w:before="200" w:after="200"/>
              <w:rPr>
                <w:i/>
                <w:sz w:val="20"/>
              </w:rPr>
            </w:pPr>
            <w:r w:rsidRPr="00D457FF">
              <w:rPr>
                <w:i/>
                <w:sz w:val="20"/>
              </w:rPr>
              <w:t xml:space="preserve">Dedicated capacity building with specific </w:t>
            </w:r>
            <w:r w:rsidRPr="00D457FF">
              <w:rPr>
                <w:i/>
                <w:sz w:val="20"/>
              </w:rPr>
              <w:lastRenderedPageBreak/>
              <w:t xml:space="preserve">partners, </w:t>
            </w:r>
            <w:r w:rsidR="002B6099" w:rsidRPr="00D457FF">
              <w:rPr>
                <w:i/>
                <w:sz w:val="20"/>
              </w:rPr>
              <w:t xml:space="preserve">that </w:t>
            </w:r>
            <w:r w:rsidRPr="00D457FF">
              <w:rPr>
                <w:i/>
                <w:sz w:val="20"/>
              </w:rPr>
              <w:t>is adequately pitched and includes on-the-job mentoring</w:t>
            </w:r>
          </w:p>
        </w:tc>
        <w:tc>
          <w:tcPr>
            <w:tcW w:w="691" w:type="pct"/>
          </w:tcPr>
          <w:p w14:paraId="6A890E3D" w14:textId="7CF29D57" w:rsidR="000C5EA2" w:rsidRPr="00D457FF" w:rsidRDefault="00CD426F" w:rsidP="00D457FF">
            <w:pPr>
              <w:spacing w:before="200" w:after="200"/>
              <w:rPr>
                <w:i/>
                <w:sz w:val="20"/>
              </w:rPr>
            </w:pPr>
            <w:r w:rsidRPr="00D457FF">
              <w:rPr>
                <w:i/>
                <w:sz w:val="20"/>
              </w:rPr>
              <w:lastRenderedPageBreak/>
              <w:t>ALL</w:t>
            </w:r>
          </w:p>
        </w:tc>
      </w:tr>
      <w:tr w:rsidR="001C0682" w:rsidRPr="00D457FF" w14:paraId="555760E0" w14:textId="77777777" w:rsidTr="001C0682">
        <w:tc>
          <w:tcPr>
            <w:tcW w:w="956" w:type="pct"/>
          </w:tcPr>
          <w:p w14:paraId="32D05E18" w14:textId="27759D93" w:rsidR="001C0682" w:rsidRPr="00D457FF" w:rsidRDefault="001C0682" w:rsidP="00D457FF">
            <w:pPr>
              <w:spacing w:before="200"/>
              <w:rPr>
                <w:b/>
                <w:i/>
                <w:sz w:val="20"/>
              </w:rPr>
            </w:pPr>
            <w:r>
              <w:rPr>
                <w:b/>
                <w:i/>
                <w:sz w:val="20"/>
              </w:rPr>
              <w:lastRenderedPageBreak/>
              <w:t>Institutional</w:t>
            </w:r>
          </w:p>
        </w:tc>
        <w:tc>
          <w:tcPr>
            <w:tcW w:w="1012" w:type="pct"/>
          </w:tcPr>
          <w:p w14:paraId="54C8B9D1" w14:textId="77777777" w:rsidR="001C0682" w:rsidRPr="00D457FF" w:rsidRDefault="001C0682" w:rsidP="001C0682">
            <w:pPr>
              <w:spacing w:before="200" w:after="200"/>
              <w:rPr>
                <w:i/>
                <w:sz w:val="20"/>
              </w:rPr>
            </w:pPr>
            <w:r w:rsidRPr="00D457FF">
              <w:rPr>
                <w:i/>
                <w:sz w:val="20"/>
              </w:rPr>
              <w:t>Limited internal UN knowledge on how to apply legal and political commitments on the rights of persons with disabilities, into practice</w:t>
            </w:r>
          </w:p>
          <w:p w14:paraId="338D7512" w14:textId="77777777" w:rsidR="001C0682" w:rsidRPr="00D457FF" w:rsidRDefault="001C0682" w:rsidP="001C0682">
            <w:pPr>
              <w:spacing w:before="200" w:after="200"/>
              <w:rPr>
                <w:i/>
                <w:sz w:val="20"/>
              </w:rPr>
            </w:pPr>
            <w:r w:rsidRPr="00D457FF">
              <w:rPr>
                <w:i/>
                <w:sz w:val="20"/>
              </w:rPr>
              <w:t>Change in agency/ partner organization personnel affect capacity to implement components under UNPRPD</w:t>
            </w:r>
          </w:p>
          <w:p w14:paraId="7EB67B8F" w14:textId="77777777" w:rsidR="001C0682" w:rsidRPr="00D457FF" w:rsidRDefault="001C0682" w:rsidP="00D457FF">
            <w:pPr>
              <w:spacing w:before="200"/>
              <w:rPr>
                <w:i/>
                <w:sz w:val="20"/>
              </w:rPr>
            </w:pPr>
          </w:p>
        </w:tc>
        <w:tc>
          <w:tcPr>
            <w:tcW w:w="588" w:type="pct"/>
          </w:tcPr>
          <w:p w14:paraId="39AF09AC" w14:textId="4B549138" w:rsidR="001C0682" w:rsidRPr="00D457FF" w:rsidRDefault="001C0682" w:rsidP="001C0682">
            <w:pPr>
              <w:spacing w:before="200"/>
              <w:rPr>
                <w:i/>
                <w:sz w:val="20"/>
              </w:rPr>
            </w:pPr>
            <w:r>
              <w:rPr>
                <w:i/>
                <w:sz w:val="20"/>
              </w:rPr>
              <w:t>MM</w:t>
            </w:r>
          </w:p>
        </w:tc>
        <w:tc>
          <w:tcPr>
            <w:tcW w:w="886" w:type="pct"/>
          </w:tcPr>
          <w:p w14:paraId="6F3BC6EB" w14:textId="6989049D" w:rsidR="001C0682" w:rsidRDefault="001C0682" w:rsidP="001C0682">
            <w:pPr>
              <w:spacing w:before="200"/>
              <w:rPr>
                <w:i/>
                <w:sz w:val="20"/>
              </w:rPr>
            </w:pPr>
            <w:r>
              <w:rPr>
                <w:i/>
                <w:sz w:val="20"/>
              </w:rPr>
              <w:t>Quality of project activities is compromised due to limited capacity for advice and supervision</w:t>
            </w:r>
          </w:p>
          <w:p w14:paraId="634B2007" w14:textId="77777777" w:rsidR="001C0682" w:rsidRDefault="001C0682" w:rsidP="001C0682">
            <w:pPr>
              <w:spacing w:before="200"/>
              <w:rPr>
                <w:i/>
                <w:sz w:val="20"/>
              </w:rPr>
            </w:pPr>
            <w:r>
              <w:rPr>
                <w:i/>
                <w:sz w:val="20"/>
              </w:rPr>
              <w:t>Activities might be delayed allowing for new personnel to become familiar with components of programme</w:t>
            </w:r>
          </w:p>
          <w:p w14:paraId="0B12D48B" w14:textId="77777777" w:rsidR="001C0682" w:rsidRPr="00D457FF" w:rsidRDefault="001C0682" w:rsidP="00D457FF">
            <w:pPr>
              <w:spacing w:before="200"/>
              <w:rPr>
                <w:i/>
                <w:sz w:val="20"/>
              </w:rPr>
            </w:pPr>
          </w:p>
        </w:tc>
        <w:tc>
          <w:tcPr>
            <w:tcW w:w="867" w:type="pct"/>
          </w:tcPr>
          <w:p w14:paraId="17EE8454" w14:textId="77777777" w:rsidR="001C0682" w:rsidRDefault="001C0682" w:rsidP="001C0682">
            <w:pPr>
              <w:spacing w:before="200"/>
              <w:rPr>
                <w:i/>
                <w:sz w:val="20"/>
              </w:rPr>
            </w:pPr>
            <w:r>
              <w:rPr>
                <w:i/>
                <w:sz w:val="20"/>
              </w:rPr>
              <w:t>Capacity building at the outset of the project and continuous peer-support throughout the project</w:t>
            </w:r>
          </w:p>
          <w:p w14:paraId="6C708FCA" w14:textId="4739E385" w:rsidR="001C0682" w:rsidRPr="00D457FF" w:rsidRDefault="001C0682" w:rsidP="001C0682">
            <w:pPr>
              <w:spacing w:before="200"/>
              <w:rPr>
                <w:i/>
                <w:sz w:val="20"/>
              </w:rPr>
            </w:pPr>
            <w:r>
              <w:rPr>
                <w:i/>
                <w:sz w:val="20"/>
              </w:rPr>
              <w:t>Ensure agencies/partners have at least 2 focal points for the project</w:t>
            </w:r>
          </w:p>
        </w:tc>
        <w:tc>
          <w:tcPr>
            <w:tcW w:w="691" w:type="pct"/>
          </w:tcPr>
          <w:p w14:paraId="368A9277" w14:textId="77777777" w:rsidR="001C0682" w:rsidRDefault="001C0682" w:rsidP="001C0682">
            <w:pPr>
              <w:spacing w:before="200"/>
              <w:rPr>
                <w:i/>
                <w:sz w:val="20"/>
              </w:rPr>
            </w:pPr>
            <w:r>
              <w:rPr>
                <w:i/>
                <w:sz w:val="20"/>
              </w:rPr>
              <w:t>ALL</w:t>
            </w:r>
          </w:p>
          <w:p w14:paraId="7D21A6A2" w14:textId="77777777" w:rsidR="001C0682" w:rsidRDefault="001C0682" w:rsidP="001C0682">
            <w:pPr>
              <w:spacing w:before="200"/>
              <w:rPr>
                <w:i/>
                <w:sz w:val="20"/>
              </w:rPr>
            </w:pPr>
            <w:r>
              <w:rPr>
                <w:i/>
                <w:sz w:val="20"/>
              </w:rPr>
              <w:t>ALL</w:t>
            </w:r>
          </w:p>
          <w:p w14:paraId="0F029907" w14:textId="77777777" w:rsidR="001C0682" w:rsidRDefault="001C0682" w:rsidP="001C0682">
            <w:pPr>
              <w:spacing w:before="200"/>
              <w:rPr>
                <w:i/>
                <w:sz w:val="20"/>
              </w:rPr>
            </w:pPr>
          </w:p>
          <w:p w14:paraId="35493A89" w14:textId="77777777" w:rsidR="001C0682" w:rsidRPr="00D457FF" w:rsidRDefault="001C0682" w:rsidP="00D457FF">
            <w:pPr>
              <w:spacing w:before="200"/>
              <w:rPr>
                <w:i/>
                <w:sz w:val="20"/>
              </w:rPr>
            </w:pPr>
          </w:p>
        </w:tc>
      </w:tr>
    </w:tbl>
    <w:p w14:paraId="36809C5E" w14:textId="77777777" w:rsidR="008740BB" w:rsidRPr="00D457FF" w:rsidRDefault="008740BB" w:rsidP="00D457FF">
      <w:pPr>
        <w:spacing w:before="200" w:line="240" w:lineRule="auto"/>
        <w:jc w:val="both"/>
        <w:rPr>
          <w:sz w:val="16"/>
        </w:rPr>
      </w:pPr>
    </w:p>
    <w:p w14:paraId="30C586E7" w14:textId="26C1F70F" w:rsidR="007B4F7B" w:rsidRPr="008C6FE3" w:rsidRDefault="008C6FE3" w:rsidP="008C6FE3">
      <w:pPr>
        <w:pStyle w:val="Heading2"/>
        <w:rPr>
          <w:i/>
        </w:rPr>
      </w:pPr>
      <w:r>
        <w:t xml:space="preserve">2.3. </w:t>
      </w:r>
      <w:r w:rsidR="00642CA9" w:rsidRPr="008C6FE3">
        <w:t xml:space="preserve"> </w:t>
      </w:r>
      <w:r w:rsidR="00A41965" w:rsidRPr="008C6FE3">
        <w:t>R</w:t>
      </w:r>
      <w:r w:rsidR="009A655A" w:rsidRPr="008C6FE3">
        <w:t>esult chain of the intervention</w:t>
      </w:r>
      <w:r w:rsidR="00D02708" w:rsidRPr="008C6FE3">
        <w:t xml:space="preserve"> (See below in table)</w:t>
      </w:r>
    </w:p>
    <w:p w14:paraId="41DCE18B" w14:textId="47C7F77D" w:rsidR="005B38A4" w:rsidRPr="00D457FF" w:rsidRDefault="000F1CB9" w:rsidP="00B43F7C">
      <w:pPr>
        <w:pStyle w:val="ListParagraph"/>
        <w:spacing w:before="200" w:line="240" w:lineRule="auto"/>
        <w:ind w:left="0"/>
        <w:contextualSpacing w:val="0"/>
        <w:rPr>
          <w:sz w:val="16"/>
        </w:rPr>
      </w:pPr>
      <w:r w:rsidRPr="00D457FF">
        <w:rPr>
          <w:sz w:val="20"/>
        </w:rPr>
        <w:t>PLEASE REFER TO THE REVISED DOCUMENT SEPARATELY ANNEXED TO THE REVISED PROPOSAL FOR THE NEW DRAFT CHAIN (though you find comments on your comments responded to below)</w:t>
      </w:r>
    </w:p>
    <w:p w14:paraId="4CD10C74" w14:textId="37E739AD" w:rsidR="007C2D17" w:rsidRPr="00D457FF" w:rsidRDefault="007C2D17" w:rsidP="00EE471A">
      <w:pPr>
        <w:pStyle w:val="Heading3"/>
      </w:pPr>
      <w:r w:rsidRPr="00D457FF">
        <w:t xml:space="preserve">Table 2. </w:t>
      </w:r>
    </w:p>
    <w:p w14:paraId="3792C50A" w14:textId="77777777" w:rsidR="00480612" w:rsidRDefault="00480612" w:rsidP="00D457FF">
      <w:pPr>
        <w:spacing w:before="200"/>
        <w:rPr>
          <w:b/>
          <w:i/>
          <w:sz w:val="32"/>
          <w:szCs w:val="32"/>
        </w:rPr>
      </w:pPr>
      <w:r w:rsidRPr="00D457FF">
        <w:rPr>
          <w:b/>
          <w:i/>
          <w:sz w:val="32"/>
          <w:szCs w:val="32"/>
        </w:rPr>
        <w:t>Expected impact</w:t>
      </w:r>
    </w:p>
    <w:p w14:paraId="36606B17" w14:textId="77777777" w:rsidR="00586EED" w:rsidRPr="00586EED" w:rsidRDefault="00586EED" w:rsidP="00586EED">
      <w:pPr>
        <w:pBdr>
          <w:top w:val="single" w:sz="8" w:space="1" w:color="auto"/>
          <w:left w:val="single" w:sz="8" w:space="4" w:color="auto"/>
          <w:bottom w:val="single" w:sz="8" w:space="1" w:color="auto"/>
          <w:right w:val="single" w:sz="8" w:space="4" w:color="auto"/>
        </w:pBdr>
        <w:shd w:val="clear" w:color="auto" w:fill="FFC000"/>
        <w:spacing w:before="200"/>
        <w:rPr>
          <w:b/>
          <w:sz w:val="24"/>
          <w:szCs w:val="24"/>
        </w:rPr>
      </w:pPr>
      <w:r w:rsidRPr="00586EED">
        <w:rPr>
          <w:b/>
          <w:sz w:val="24"/>
          <w:szCs w:val="24"/>
        </w:rPr>
        <w:t xml:space="preserve">Impact: </w:t>
      </w:r>
    </w:p>
    <w:p w14:paraId="2BF91FCF" w14:textId="77777777" w:rsidR="00586EED" w:rsidRPr="00586EED" w:rsidRDefault="00586EED" w:rsidP="00586EED">
      <w:pPr>
        <w:pBdr>
          <w:top w:val="single" w:sz="8" w:space="1" w:color="auto"/>
          <w:left w:val="single" w:sz="8" w:space="4" w:color="auto"/>
          <w:bottom w:val="single" w:sz="8" w:space="1" w:color="auto"/>
          <w:right w:val="single" w:sz="8" w:space="4" w:color="auto"/>
        </w:pBdr>
        <w:shd w:val="clear" w:color="auto" w:fill="FFC000"/>
        <w:spacing w:before="200"/>
        <w:rPr>
          <w:b/>
          <w:sz w:val="24"/>
          <w:szCs w:val="24"/>
        </w:rPr>
      </w:pPr>
      <w:r w:rsidRPr="00586EED">
        <w:rPr>
          <w:b/>
          <w:sz w:val="24"/>
          <w:szCs w:val="24"/>
        </w:rPr>
        <w:t>What rights will be advanced? For whom?</w:t>
      </w:r>
    </w:p>
    <w:p w14:paraId="78395B68" w14:textId="0F46027F" w:rsidR="00586EED" w:rsidRPr="00D457FF" w:rsidRDefault="00586EED" w:rsidP="00586EED">
      <w:pPr>
        <w:pBdr>
          <w:top w:val="single" w:sz="8" w:space="1" w:color="auto"/>
          <w:left w:val="single" w:sz="8" w:space="4" w:color="auto"/>
          <w:bottom w:val="single" w:sz="8" w:space="1" w:color="auto"/>
          <w:right w:val="single" w:sz="8" w:space="4" w:color="auto"/>
        </w:pBdr>
        <w:spacing w:before="200"/>
        <w:rPr>
          <w:b/>
          <w:i/>
          <w:sz w:val="32"/>
          <w:szCs w:val="32"/>
        </w:rPr>
      </w:pPr>
      <w:r>
        <w:rPr>
          <w:rFonts w:cstheme="minorHAnsi"/>
          <w:b/>
          <w:color w:val="000000" w:themeColor="text1"/>
          <w:sz w:val="24"/>
          <w:szCs w:val="24"/>
        </w:rPr>
        <w:t>Persons with disabilities in Timor-Leste, especially women and children, are free from discrimination and violence and access inclusive key services</w:t>
      </w:r>
    </w:p>
    <w:p w14:paraId="74BCC0EB" w14:textId="77777777" w:rsidR="00480612" w:rsidRPr="00D457FF" w:rsidRDefault="00480612" w:rsidP="00D457FF">
      <w:pPr>
        <w:spacing w:before="200"/>
        <w:rPr>
          <w:i/>
          <w:sz w:val="24"/>
          <w:szCs w:val="24"/>
        </w:rPr>
      </w:pPr>
    </w:p>
    <w:p w14:paraId="14DF4E13" w14:textId="77777777" w:rsidR="00EE471A" w:rsidRDefault="00EE471A">
      <w:pPr>
        <w:rPr>
          <w:b/>
          <w:i/>
          <w:sz w:val="32"/>
          <w:szCs w:val="32"/>
        </w:rPr>
      </w:pPr>
      <w:r>
        <w:rPr>
          <w:b/>
          <w:i/>
          <w:sz w:val="32"/>
          <w:szCs w:val="32"/>
        </w:rPr>
        <w:br w:type="page"/>
      </w:r>
    </w:p>
    <w:p w14:paraId="0841F34E" w14:textId="4B123746" w:rsidR="00480612" w:rsidRPr="00D457FF" w:rsidRDefault="00480612" w:rsidP="00EE471A">
      <w:pPr>
        <w:pStyle w:val="Heading3"/>
      </w:pPr>
      <w:r w:rsidRPr="00D457FF">
        <w:lastRenderedPageBreak/>
        <w:t xml:space="preserve">Expected outcomes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7365"/>
        <w:gridCol w:w="1965"/>
      </w:tblGrid>
      <w:tr w:rsidR="00480612" w:rsidRPr="00D457FF" w14:paraId="79743F14" w14:textId="77777777" w:rsidTr="003E2A3C">
        <w:trPr>
          <w:tblHeader/>
        </w:trPr>
        <w:tc>
          <w:tcPr>
            <w:tcW w:w="7365" w:type="dxa"/>
            <w:shd w:val="clear" w:color="auto" w:fill="FFC000"/>
          </w:tcPr>
          <w:p w14:paraId="651FBB98" w14:textId="77777777" w:rsidR="00480612" w:rsidRPr="00D457FF" w:rsidRDefault="00480612" w:rsidP="00D457FF">
            <w:pPr>
              <w:spacing w:before="200" w:after="200"/>
              <w:rPr>
                <w:b/>
              </w:rPr>
            </w:pPr>
            <w:r w:rsidRPr="00D457FF">
              <w:rPr>
                <w:b/>
              </w:rPr>
              <w:t>Outcome 1</w:t>
            </w:r>
          </w:p>
          <w:p w14:paraId="0D6CA245" w14:textId="77777777" w:rsidR="00480612" w:rsidRPr="00D457FF" w:rsidRDefault="00480612" w:rsidP="00D457FF">
            <w:pPr>
              <w:spacing w:before="200" w:after="200"/>
              <w:rPr>
                <w:i/>
              </w:rPr>
            </w:pPr>
            <w:r w:rsidRPr="00D457FF">
              <w:t>What structural shifts will be achieved?</w:t>
            </w:r>
            <w:r w:rsidRPr="00D457FF">
              <w:rPr>
                <w:b/>
              </w:rPr>
              <w:t xml:space="preserve"> </w:t>
            </w:r>
          </w:p>
        </w:tc>
        <w:tc>
          <w:tcPr>
            <w:tcW w:w="1965" w:type="dxa"/>
            <w:shd w:val="clear" w:color="auto" w:fill="FFC000"/>
          </w:tcPr>
          <w:p w14:paraId="1B99E1B3" w14:textId="77777777" w:rsidR="00480612" w:rsidRPr="00D457FF" w:rsidRDefault="00480612" w:rsidP="00D457FF">
            <w:pPr>
              <w:spacing w:before="200" w:after="200"/>
              <w:rPr>
                <w:i/>
              </w:rPr>
            </w:pPr>
          </w:p>
        </w:tc>
      </w:tr>
      <w:tr w:rsidR="00480612" w:rsidRPr="00D457FF" w14:paraId="76EEB919" w14:textId="77777777" w:rsidTr="003E2A3C">
        <w:tc>
          <w:tcPr>
            <w:tcW w:w="7365" w:type="dxa"/>
          </w:tcPr>
          <w:p w14:paraId="7BA4E529" w14:textId="77777777" w:rsidR="00480612" w:rsidRPr="00D457FF" w:rsidRDefault="00480612" w:rsidP="00D457FF">
            <w:pPr>
              <w:spacing w:before="200" w:after="200"/>
              <w:rPr>
                <w:b/>
              </w:rPr>
            </w:pPr>
            <w:r w:rsidRPr="00D457FF">
              <w:rPr>
                <w:b/>
              </w:rPr>
              <w:t>Outcome formulation</w:t>
            </w:r>
          </w:p>
        </w:tc>
        <w:tc>
          <w:tcPr>
            <w:tcW w:w="1965" w:type="dxa"/>
          </w:tcPr>
          <w:p w14:paraId="7FF862AE" w14:textId="77777777" w:rsidR="00480612" w:rsidRPr="00D457FF" w:rsidRDefault="00480612" w:rsidP="00D457FF">
            <w:pPr>
              <w:spacing w:before="200" w:after="200"/>
              <w:rPr>
                <w:i/>
              </w:rPr>
            </w:pPr>
            <w:r w:rsidRPr="00D457FF">
              <w:rPr>
                <w:b/>
              </w:rPr>
              <w:t>Type of lever</w:t>
            </w:r>
            <w:r w:rsidRPr="00D457FF">
              <w:rPr>
                <w:rStyle w:val="FootnoteReference"/>
                <w:b/>
              </w:rPr>
              <w:footnoteReference w:id="29"/>
            </w:r>
          </w:p>
        </w:tc>
      </w:tr>
      <w:tr w:rsidR="00480612" w:rsidRPr="00D457FF" w14:paraId="7779980F" w14:textId="77777777" w:rsidTr="003E2A3C">
        <w:trPr>
          <w:trHeight w:val="1185"/>
        </w:trPr>
        <w:tc>
          <w:tcPr>
            <w:tcW w:w="7365" w:type="dxa"/>
          </w:tcPr>
          <w:p w14:paraId="3F3FF915" w14:textId="605BDC26" w:rsidR="00480612" w:rsidRPr="00D457FF" w:rsidRDefault="00480612" w:rsidP="00D457FF">
            <w:pPr>
              <w:spacing w:before="200" w:after="200"/>
              <w:rPr>
                <w:rFonts w:cstheme="minorHAnsi"/>
                <w:b/>
                <w:color w:val="000000" w:themeColor="text1"/>
                <w:sz w:val="24"/>
                <w:szCs w:val="24"/>
              </w:rPr>
            </w:pPr>
            <w:r w:rsidRPr="00D457FF">
              <w:rPr>
                <w:rFonts w:cstheme="minorHAnsi"/>
                <w:b/>
                <w:color w:val="000000" w:themeColor="text1"/>
                <w:sz w:val="24"/>
                <w:szCs w:val="24"/>
              </w:rPr>
              <w:t>Outcome 1. Legislative, policy</w:t>
            </w:r>
            <w:r w:rsidR="00B6105E" w:rsidRPr="00D457FF">
              <w:rPr>
                <w:rFonts w:cstheme="minorHAnsi"/>
                <w:b/>
                <w:color w:val="000000" w:themeColor="text1"/>
                <w:sz w:val="24"/>
                <w:szCs w:val="24"/>
              </w:rPr>
              <w:t xml:space="preserve"> and planning</w:t>
            </w:r>
            <w:r w:rsidRPr="00D457FF">
              <w:rPr>
                <w:rFonts w:cstheme="minorHAnsi"/>
                <w:b/>
                <w:color w:val="000000" w:themeColor="text1"/>
                <w:sz w:val="24"/>
                <w:szCs w:val="24"/>
              </w:rPr>
              <w:t xml:space="preserve"> frameworks that integrate the rights of </w:t>
            </w:r>
            <w:r w:rsidR="000601C7" w:rsidRPr="00D457FF">
              <w:rPr>
                <w:rFonts w:cstheme="minorHAnsi"/>
                <w:b/>
                <w:color w:val="000000" w:themeColor="text1"/>
                <w:sz w:val="24"/>
                <w:szCs w:val="24"/>
              </w:rPr>
              <w:t>p</w:t>
            </w:r>
            <w:r w:rsidRPr="00D457FF">
              <w:rPr>
                <w:rFonts w:cstheme="minorHAnsi"/>
                <w:b/>
                <w:color w:val="000000" w:themeColor="text1"/>
                <w:sz w:val="24"/>
                <w:szCs w:val="24"/>
              </w:rPr>
              <w:t xml:space="preserve">ersons with disabilities and their implementation is strengthened and mechanisms to monitor and report on UN-CRPD are in place </w:t>
            </w:r>
          </w:p>
        </w:tc>
        <w:tc>
          <w:tcPr>
            <w:tcW w:w="1965" w:type="dxa"/>
          </w:tcPr>
          <w:p w14:paraId="14435DFE" w14:textId="77777777" w:rsidR="00480612" w:rsidRPr="00D457FF" w:rsidRDefault="00480612" w:rsidP="00D457FF">
            <w:pPr>
              <w:spacing w:before="200" w:after="200"/>
              <w:rPr>
                <w:i/>
              </w:rPr>
            </w:pPr>
            <w:r w:rsidRPr="00D457FF">
              <w:t>LEG</w:t>
            </w:r>
          </w:p>
        </w:tc>
      </w:tr>
      <w:tr w:rsidR="00480612" w:rsidRPr="00D457FF" w14:paraId="6156EA0E" w14:textId="77777777" w:rsidTr="003E2A3C">
        <w:tc>
          <w:tcPr>
            <w:tcW w:w="7365" w:type="dxa"/>
            <w:shd w:val="clear" w:color="auto" w:fill="FFC000"/>
          </w:tcPr>
          <w:p w14:paraId="0ECB7FE6" w14:textId="77777777" w:rsidR="00480612" w:rsidRPr="00D457FF" w:rsidRDefault="00480612" w:rsidP="00D457FF">
            <w:pPr>
              <w:spacing w:before="200" w:after="200"/>
              <w:rPr>
                <w:b/>
              </w:rPr>
            </w:pPr>
            <w:r w:rsidRPr="00D457FF">
              <w:rPr>
                <w:b/>
              </w:rPr>
              <w:t>Outputs</w:t>
            </w:r>
          </w:p>
          <w:p w14:paraId="2FF64531" w14:textId="77777777" w:rsidR="00480612" w:rsidRPr="00D457FF" w:rsidRDefault="00480612" w:rsidP="00D457FF">
            <w:pPr>
              <w:spacing w:before="200" w:after="200"/>
              <w:rPr>
                <w:b/>
              </w:rPr>
            </w:pPr>
            <w:r w:rsidRPr="00D457FF">
              <w:t xml:space="preserve">What project deliverables will contribute to the achievement of the outcome? </w:t>
            </w:r>
          </w:p>
        </w:tc>
        <w:tc>
          <w:tcPr>
            <w:tcW w:w="1965" w:type="dxa"/>
            <w:shd w:val="clear" w:color="auto" w:fill="FFC000"/>
          </w:tcPr>
          <w:p w14:paraId="15C929D7" w14:textId="77777777" w:rsidR="00480612" w:rsidRPr="00D457FF" w:rsidRDefault="00480612" w:rsidP="00D457FF">
            <w:pPr>
              <w:spacing w:before="200" w:after="200"/>
              <w:rPr>
                <w:b/>
              </w:rPr>
            </w:pPr>
          </w:p>
        </w:tc>
      </w:tr>
      <w:tr w:rsidR="00480612" w:rsidRPr="00D457FF" w14:paraId="57FD3B73"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5" w:type="dxa"/>
          </w:tcPr>
          <w:p w14:paraId="5E5E09D4" w14:textId="77777777" w:rsidR="00480612" w:rsidRPr="00D457FF" w:rsidRDefault="00480612" w:rsidP="00D457FF">
            <w:pPr>
              <w:spacing w:before="200" w:after="200"/>
              <w:rPr>
                <w:b/>
              </w:rPr>
            </w:pPr>
            <w:r w:rsidRPr="00D457FF">
              <w:rPr>
                <w:b/>
              </w:rPr>
              <w:t>Output formulation</w:t>
            </w:r>
          </w:p>
        </w:tc>
        <w:tc>
          <w:tcPr>
            <w:tcW w:w="1965" w:type="dxa"/>
          </w:tcPr>
          <w:p w14:paraId="58ABF5B0" w14:textId="77777777" w:rsidR="00480612" w:rsidRPr="00D457FF" w:rsidRDefault="00480612" w:rsidP="00D457FF">
            <w:pPr>
              <w:spacing w:before="200" w:after="200"/>
              <w:rPr>
                <w:i/>
              </w:rPr>
            </w:pPr>
            <w:r w:rsidRPr="00D457FF">
              <w:t>(Only for capacity outcomes)</w:t>
            </w:r>
          </w:p>
        </w:tc>
      </w:tr>
      <w:tr w:rsidR="00480612" w:rsidRPr="00D457FF" w14:paraId="47BEAB50" w14:textId="77777777" w:rsidTr="003E2A3C">
        <w:tc>
          <w:tcPr>
            <w:tcW w:w="7365" w:type="dxa"/>
          </w:tcPr>
          <w:p w14:paraId="28DE94CD" w14:textId="00CDE26B" w:rsidR="00480612" w:rsidRPr="00D457FF" w:rsidRDefault="00480612" w:rsidP="00D457FF">
            <w:pPr>
              <w:spacing w:before="200" w:after="200"/>
              <w:rPr>
                <w:b/>
                <w:sz w:val="24"/>
                <w:szCs w:val="24"/>
              </w:rPr>
            </w:pPr>
            <w:r w:rsidRPr="00D457FF">
              <w:rPr>
                <w:b/>
                <w:sz w:val="24"/>
                <w:szCs w:val="24"/>
              </w:rPr>
              <w:t xml:space="preserve">Output 1.1. Advocacy strategy </w:t>
            </w:r>
            <w:r w:rsidR="000601C7" w:rsidRPr="00D457FF">
              <w:rPr>
                <w:b/>
                <w:sz w:val="24"/>
                <w:szCs w:val="24"/>
              </w:rPr>
              <w:t>in place by</w:t>
            </w:r>
            <w:r w:rsidRPr="00D457FF">
              <w:rPr>
                <w:b/>
                <w:sz w:val="24"/>
                <w:szCs w:val="24"/>
              </w:rPr>
              <w:t xml:space="preserve"> DPOs and civil society for the ratification of UN-CRPD</w:t>
            </w:r>
          </w:p>
        </w:tc>
        <w:tc>
          <w:tcPr>
            <w:tcW w:w="1965" w:type="dxa"/>
          </w:tcPr>
          <w:p w14:paraId="7DFF5722" w14:textId="77777777" w:rsidR="00480612" w:rsidRPr="00D457FF" w:rsidDel="007F23B5" w:rsidRDefault="00480612" w:rsidP="00D457FF">
            <w:pPr>
              <w:spacing w:before="200" w:after="200"/>
              <w:rPr>
                <w:i/>
              </w:rPr>
            </w:pPr>
          </w:p>
        </w:tc>
      </w:tr>
      <w:tr w:rsidR="00480612" w:rsidRPr="00D457FF" w14:paraId="62B3A0F5" w14:textId="77777777" w:rsidTr="003E2A3C">
        <w:tc>
          <w:tcPr>
            <w:tcW w:w="7365" w:type="dxa"/>
          </w:tcPr>
          <w:p w14:paraId="78BEEE8E" w14:textId="77777777" w:rsidR="00480612" w:rsidRPr="00D457FF" w:rsidRDefault="00480612" w:rsidP="00D457FF">
            <w:pPr>
              <w:spacing w:before="200" w:after="200"/>
              <w:rPr>
                <w:i/>
              </w:rPr>
            </w:pPr>
            <w:r w:rsidRPr="00D457FF">
              <w:rPr>
                <w:b/>
                <w:sz w:val="24"/>
                <w:szCs w:val="24"/>
              </w:rPr>
              <w:t>Output 1.2. Workshops/trainings for</w:t>
            </w:r>
            <w:r w:rsidRPr="00D457FF">
              <w:rPr>
                <w:rFonts w:cstheme="minorHAnsi"/>
                <w:b/>
                <w:color w:val="000000" w:themeColor="text1"/>
                <w:sz w:val="24"/>
                <w:szCs w:val="24"/>
              </w:rPr>
              <w:t xml:space="preserve"> the National Human Rights Institution, and civil servants from relevant Line Ministries, and for and by DPOs</w:t>
            </w:r>
            <w:r w:rsidRPr="00D457FF">
              <w:rPr>
                <w:b/>
                <w:sz w:val="24"/>
                <w:szCs w:val="24"/>
              </w:rPr>
              <w:t xml:space="preserve"> on CRPD and monitoring and reporting on UN-CRPD</w:t>
            </w:r>
          </w:p>
        </w:tc>
        <w:tc>
          <w:tcPr>
            <w:tcW w:w="1965" w:type="dxa"/>
          </w:tcPr>
          <w:p w14:paraId="4FD2BD43" w14:textId="77777777" w:rsidR="00480612" w:rsidRPr="00D457FF" w:rsidRDefault="00480612" w:rsidP="00D457FF">
            <w:pPr>
              <w:spacing w:before="200" w:after="200"/>
              <w:rPr>
                <w:i/>
              </w:rPr>
            </w:pPr>
          </w:p>
        </w:tc>
      </w:tr>
      <w:tr w:rsidR="00480612" w:rsidRPr="00D457FF" w14:paraId="7597A307" w14:textId="77777777" w:rsidTr="003E2A3C">
        <w:tc>
          <w:tcPr>
            <w:tcW w:w="7365" w:type="dxa"/>
          </w:tcPr>
          <w:p w14:paraId="2032CD3E" w14:textId="77777777" w:rsidR="00480612" w:rsidRPr="00D457FF" w:rsidRDefault="00480612" w:rsidP="00D457FF">
            <w:pPr>
              <w:spacing w:before="200" w:after="200"/>
            </w:pPr>
            <w:r w:rsidRPr="00D457FF">
              <w:rPr>
                <w:rFonts w:cstheme="minorHAnsi"/>
                <w:b/>
                <w:color w:val="000000" w:themeColor="text1"/>
                <w:sz w:val="24"/>
                <w:szCs w:val="24"/>
              </w:rPr>
              <w:t>Output 1.3. Tool for integrating disability in law and policy making developed and implemented</w:t>
            </w:r>
          </w:p>
        </w:tc>
        <w:tc>
          <w:tcPr>
            <w:tcW w:w="1965" w:type="dxa"/>
          </w:tcPr>
          <w:p w14:paraId="57F88F20" w14:textId="77777777" w:rsidR="00480612" w:rsidRPr="00D457FF" w:rsidRDefault="00480612" w:rsidP="00D457FF">
            <w:pPr>
              <w:spacing w:before="200" w:after="200"/>
              <w:rPr>
                <w:i/>
              </w:rPr>
            </w:pPr>
          </w:p>
        </w:tc>
      </w:tr>
      <w:tr w:rsidR="00480612" w:rsidRPr="00D457FF" w14:paraId="20603A63" w14:textId="77777777" w:rsidTr="003E2A3C">
        <w:tc>
          <w:tcPr>
            <w:tcW w:w="7365" w:type="dxa"/>
          </w:tcPr>
          <w:p w14:paraId="55562CAB" w14:textId="77777777" w:rsidR="00480612" w:rsidRPr="00D457FF" w:rsidRDefault="00480612" w:rsidP="00D457FF">
            <w:pPr>
              <w:spacing w:before="200" w:after="200"/>
              <w:rPr>
                <w:rFonts w:cstheme="minorHAnsi"/>
                <w:b/>
                <w:color w:val="000000" w:themeColor="text1"/>
                <w:sz w:val="24"/>
                <w:szCs w:val="24"/>
              </w:rPr>
            </w:pPr>
            <w:r w:rsidRPr="00D457FF">
              <w:rPr>
                <w:rFonts w:cstheme="minorHAnsi"/>
                <w:b/>
                <w:color w:val="000000" w:themeColor="text1"/>
                <w:sz w:val="24"/>
                <w:szCs w:val="24"/>
              </w:rPr>
              <w:t>Output 1.4. Workshops for and mentoring of policy makers, legal drafters and DPOs on how to use tool to integrate disability in law and policy making</w:t>
            </w:r>
          </w:p>
        </w:tc>
        <w:tc>
          <w:tcPr>
            <w:tcW w:w="1965" w:type="dxa"/>
          </w:tcPr>
          <w:p w14:paraId="65FC6FF7" w14:textId="77777777" w:rsidR="00480612" w:rsidRPr="00D457FF" w:rsidRDefault="00480612" w:rsidP="00D457FF">
            <w:pPr>
              <w:spacing w:before="200" w:after="200"/>
              <w:rPr>
                <w:i/>
              </w:rPr>
            </w:pPr>
          </w:p>
        </w:tc>
      </w:tr>
      <w:tr w:rsidR="00480612" w:rsidRPr="00D457FF" w14:paraId="2E634904" w14:textId="77777777" w:rsidTr="003E2A3C">
        <w:trPr>
          <w:trHeight w:val="555"/>
        </w:trPr>
        <w:tc>
          <w:tcPr>
            <w:tcW w:w="7365" w:type="dxa"/>
          </w:tcPr>
          <w:p w14:paraId="26ACB1C5" w14:textId="77777777" w:rsidR="00480612" w:rsidRPr="00D457FF" w:rsidRDefault="00480612" w:rsidP="00D457FF">
            <w:pPr>
              <w:pStyle w:val="CommentText"/>
              <w:spacing w:before="200" w:after="200"/>
              <w:rPr>
                <w:rFonts w:cstheme="minorHAnsi"/>
                <w:b/>
                <w:color w:val="000000" w:themeColor="text1"/>
                <w:sz w:val="24"/>
                <w:szCs w:val="24"/>
              </w:rPr>
            </w:pPr>
            <w:r w:rsidRPr="00D457FF">
              <w:rPr>
                <w:rFonts w:cstheme="minorHAnsi"/>
                <w:b/>
                <w:color w:val="000000" w:themeColor="text1"/>
                <w:sz w:val="24"/>
                <w:szCs w:val="24"/>
              </w:rPr>
              <w:t>Output 1.5. Public campaign by DPOs on the rights of persons with disabilities</w:t>
            </w:r>
          </w:p>
        </w:tc>
        <w:tc>
          <w:tcPr>
            <w:tcW w:w="1965" w:type="dxa"/>
          </w:tcPr>
          <w:p w14:paraId="4A2CA92F" w14:textId="77777777" w:rsidR="00480612" w:rsidRPr="00D457FF" w:rsidRDefault="00480612" w:rsidP="00D457FF">
            <w:pPr>
              <w:spacing w:before="200" w:after="200"/>
              <w:rPr>
                <w:i/>
              </w:rPr>
            </w:pPr>
          </w:p>
        </w:tc>
      </w:tr>
      <w:tr w:rsidR="00480612" w:rsidRPr="00D457FF" w14:paraId="0C26BABE" w14:textId="77777777" w:rsidTr="003E2A3C">
        <w:trPr>
          <w:trHeight w:val="663"/>
        </w:trPr>
        <w:tc>
          <w:tcPr>
            <w:tcW w:w="7365" w:type="dxa"/>
          </w:tcPr>
          <w:p w14:paraId="31F4E93C" w14:textId="0CD85D01" w:rsidR="00480612" w:rsidRPr="00D457FF" w:rsidRDefault="00480612" w:rsidP="00D457FF">
            <w:pPr>
              <w:pStyle w:val="CommentText"/>
              <w:spacing w:before="200" w:after="200"/>
              <w:rPr>
                <w:rFonts w:cstheme="minorHAnsi"/>
                <w:b/>
                <w:color w:val="000000" w:themeColor="text1"/>
                <w:sz w:val="24"/>
                <w:szCs w:val="24"/>
              </w:rPr>
            </w:pPr>
            <w:r w:rsidRPr="00D457FF">
              <w:rPr>
                <w:b/>
                <w:sz w:val="24"/>
                <w:szCs w:val="24"/>
              </w:rPr>
              <w:t>Output 1.6.</w:t>
            </w:r>
            <w:r w:rsidR="003E2A3C" w:rsidRPr="00D457FF">
              <w:rPr>
                <w:b/>
                <w:sz w:val="24"/>
                <w:szCs w:val="24"/>
              </w:rPr>
              <w:t xml:space="preserve"> </w:t>
            </w:r>
            <w:r w:rsidRPr="00D457FF">
              <w:rPr>
                <w:b/>
                <w:sz w:val="24"/>
                <w:szCs w:val="24"/>
              </w:rPr>
              <w:t xml:space="preserve">Tool, workshops and mentoring on tool for policy makers </w:t>
            </w:r>
            <w:r w:rsidRPr="00D457FF">
              <w:rPr>
                <w:b/>
                <w:sz w:val="24"/>
                <w:szCs w:val="24"/>
              </w:rPr>
              <w:lastRenderedPageBreak/>
              <w:t>and DPOs on integrating disability in national budgeting and planning</w:t>
            </w:r>
            <w:r w:rsidRPr="00D457FF">
              <w:rPr>
                <w:sz w:val="24"/>
                <w:szCs w:val="24"/>
              </w:rPr>
              <w:t>.</w:t>
            </w:r>
          </w:p>
        </w:tc>
        <w:tc>
          <w:tcPr>
            <w:tcW w:w="1965" w:type="dxa"/>
          </w:tcPr>
          <w:p w14:paraId="1BA460EA" w14:textId="77777777" w:rsidR="00480612" w:rsidRPr="00D457FF" w:rsidDel="007F23B5" w:rsidRDefault="00480612" w:rsidP="00D457FF">
            <w:pPr>
              <w:spacing w:before="200" w:after="200"/>
              <w:rPr>
                <w:i/>
              </w:rPr>
            </w:pPr>
          </w:p>
        </w:tc>
      </w:tr>
    </w:tbl>
    <w:p w14:paraId="44D6B44F" w14:textId="77777777" w:rsidR="00480612" w:rsidRPr="00D457FF" w:rsidRDefault="00480612" w:rsidP="00D457FF">
      <w:pPr>
        <w:spacing w:before="200"/>
        <w:rPr>
          <w:b/>
          <w: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7365"/>
        <w:gridCol w:w="1965"/>
      </w:tblGrid>
      <w:tr w:rsidR="00480612" w:rsidRPr="00D457FF" w14:paraId="44DBCAF6" w14:textId="77777777" w:rsidTr="003E2A3C">
        <w:trPr>
          <w:tblHeader/>
        </w:trPr>
        <w:tc>
          <w:tcPr>
            <w:tcW w:w="7365" w:type="dxa"/>
            <w:shd w:val="clear" w:color="auto" w:fill="FFC000"/>
          </w:tcPr>
          <w:p w14:paraId="5D582892" w14:textId="77777777" w:rsidR="00951AB5" w:rsidRDefault="00480612" w:rsidP="00951AB5">
            <w:pPr>
              <w:spacing w:before="200"/>
            </w:pPr>
            <w:r w:rsidRPr="00951AB5">
              <w:t>Outcome 2</w:t>
            </w:r>
          </w:p>
          <w:p w14:paraId="792C5E3E" w14:textId="1A195876" w:rsidR="00480612" w:rsidRPr="00951AB5" w:rsidRDefault="00480612" w:rsidP="00951AB5">
            <w:pPr>
              <w:spacing w:before="200"/>
            </w:pPr>
            <w:r w:rsidRPr="00D457FF">
              <w:t>What structural shifts will be achieved?</w:t>
            </w:r>
            <w:r w:rsidRPr="00D457FF">
              <w:rPr>
                <w:b/>
              </w:rPr>
              <w:t xml:space="preserve"> </w:t>
            </w:r>
          </w:p>
        </w:tc>
        <w:tc>
          <w:tcPr>
            <w:tcW w:w="1965" w:type="dxa"/>
            <w:shd w:val="clear" w:color="auto" w:fill="FFC000"/>
          </w:tcPr>
          <w:p w14:paraId="3628589A" w14:textId="77777777" w:rsidR="00480612" w:rsidRPr="00D457FF" w:rsidRDefault="00480612" w:rsidP="00D457FF">
            <w:pPr>
              <w:spacing w:before="200" w:after="200"/>
              <w:rPr>
                <w:i/>
              </w:rPr>
            </w:pPr>
          </w:p>
        </w:tc>
      </w:tr>
      <w:tr w:rsidR="00480612" w:rsidRPr="00D457FF" w14:paraId="2DF097F0" w14:textId="77777777" w:rsidTr="003E2A3C">
        <w:tc>
          <w:tcPr>
            <w:tcW w:w="7365" w:type="dxa"/>
          </w:tcPr>
          <w:p w14:paraId="3F060FFE" w14:textId="77777777" w:rsidR="00480612" w:rsidRPr="00D457FF" w:rsidRDefault="00480612" w:rsidP="00D457FF">
            <w:pPr>
              <w:spacing w:before="200" w:after="200"/>
              <w:rPr>
                <w:b/>
              </w:rPr>
            </w:pPr>
            <w:bookmarkStart w:id="1" w:name="_Hlk503780369"/>
            <w:r w:rsidRPr="00D457FF">
              <w:rPr>
                <w:b/>
              </w:rPr>
              <w:t>Outcome formulation</w:t>
            </w:r>
          </w:p>
        </w:tc>
        <w:tc>
          <w:tcPr>
            <w:tcW w:w="1965" w:type="dxa"/>
          </w:tcPr>
          <w:p w14:paraId="66A047D5" w14:textId="77777777" w:rsidR="00480612" w:rsidRPr="00D457FF" w:rsidRDefault="00480612" w:rsidP="00D457FF">
            <w:pPr>
              <w:spacing w:before="200" w:after="200"/>
              <w:rPr>
                <w:i/>
              </w:rPr>
            </w:pPr>
            <w:r w:rsidRPr="00D457FF">
              <w:rPr>
                <w:b/>
              </w:rPr>
              <w:t>Type of lever</w:t>
            </w:r>
          </w:p>
        </w:tc>
      </w:tr>
      <w:bookmarkEnd w:id="1"/>
      <w:tr w:rsidR="00480612" w:rsidRPr="00D457FF" w14:paraId="7E681194" w14:textId="77777777" w:rsidTr="003E2A3C">
        <w:tc>
          <w:tcPr>
            <w:tcW w:w="7365" w:type="dxa"/>
          </w:tcPr>
          <w:p w14:paraId="020198B3" w14:textId="77777777" w:rsidR="00480612" w:rsidRPr="00D457FF" w:rsidRDefault="00480612" w:rsidP="00D457FF">
            <w:pPr>
              <w:shd w:val="clear" w:color="auto" w:fill="FFFFFF" w:themeFill="background1"/>
              <w:spacing w:before="200" w:after="200"/>
              <w:rPr>
                <w:b/>
                <w:sz w:val="24"/>
                <w:szCs w:val="24"/>
              </w:rPr>
            </w:pPr>
            <w:r w:rsidRPr="00D457FF">
              <w:rPr>
                <w:b/>
                <w:sz w:val="24"/>
                <w:szCs w:val="24"/>
              </w:rPr>
              <w:t>Outcome 2. Capacity of key service providers (education, health, rehabilitation and justice) to deliver disability inclusive services is enhanced, with a focus on prevention and response to violence against women and children with disabilities</w:t>
            </w:r>
          </w:p>
        </w:tc>
        <w:tc>
          <w:tcPr>
            <w:tcW w:w="1965" w:type="dxa"/>
          </w:tcPr>
          <w:p w14:paraId="124BBB96" w14:textId="77777777" w:rsidR="00480612" w:rsidRPr="00D457FF" w:rsidRDefault="00480612" w:rsidP="00D457FF">
            <w:pPr>
              <w:spacing w:before="200" w:after="200"/>
              <w:rPr>
                <w:i/>
              </w:rPr>
            </w:pPr>
            <w:r w:rsidRPr="00D457FF">
              <w:t>CAP</w:t>
            </w:r>
          </w:p>
        </w:tc>
      </w:tr>
      <w:tr w:rsidR="00480612" w:rsidRPr="00D457FF" w14:paraId="0549552B" w14:textId="77777777" w:rsidTr="003E2A3C">
        <w:tc>
          <w:tcPr>
            <w:tcW w:w="7365" w:type="dxa"/>
            <w:shd w:val="clear" w:color="auto" w:fill="FFC000"/>
          </w:tcPr>
          <w:p w14:paraId="7977526C" w14:textId="77777777" w:rsidR="00480612" w:rsidRPr="00D457FF" w:rsidRDefault="00480612" w:rsidP="00D457FF">
            <w:pPr>
              <w:spacing w:before="200" w:after="200"/>
              <w:rPr>
                <w:b/>
              </w:rPr>
            </w:pPr>
            <w:r w:rsidRPr="00D457FF">
              <w:rPr>
                <w:b/>
              </w:rPr>
              <w:t>Outputs</w:t>
            </w:r>
          </w:p>
          <w:p w14:paraId="71A1FC95" w14:textId="77777777" w:rsidR="00480612" w:rsidRPr="00D457FF" w:rsidRDefault="00480612" w:rsidP="00D457FF">
            <w:pPr>
              <w:spacing w:before="200" w:after="200"/>
              <w:rPr>
                <w:b/>
              </w:rPr>
            </w:pPr>
            <w:r w:rsidRPr="00D457FF">
              <w:t xml:space="preserve">What project deliverables will contribute to the achievement of the outcome? </w:t>
            </w:r>
          </w:p>
        </w:tc>
        <w:tc>
          <w:tcPr>
            <w:tcW w:w="1965" w:type="dxa"/>
            <w:shd w:val="clear" w:color="auto" w:fill="FFC000"/>
          </w:tcPr>
          <w:p w14:paraId="6E63CA00" w14:textId="77777777" w:rsidR="00480612" w:rsidRPr="00D457FF" w:rsidRDefault="00480612" w:rsidP="00D457FF">
            <w:pPr>
              <w:spacing w:before="200" w:after="200"/>
              <w:rPr>
                <w:b/>
              </w:rPr>
            </w:pPr>
          </w:p>
        </w:tc>
      </w:tr>
      <w:tr w:rsidR="00480612" w:rsidRPr="00D457FF" w14:paraId="5698AD39"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5" w:type="dxa"/>
          </w:tcPr>
          <w:p w14:paraId="69550D23" w14:textId="77777777" w:rsidR="00480612" w:rsidRPr="00D457FF" w:rsidRDefault="00480612" w:rsidP="00D457FF">
            <w:pPr>
              <w:spacing w:before="200" w:after="200"/>
              <w:rPr>
                <w:b/>
              </w:rPr>
            </w:pPr>
            <w:bookmarkStart w:id="2" w:name="_Hlk503780405"/>
            <w:r w:rsidRPr="00D457FF">
              <w:rPr>
                <w:b/>
              </w:rPr>
              <w:t>Output formulation</w:t>
            </w:r>
          </w:p>
        </w:tc>
        <w:tc>
          <w:tcPr>
            <w:tcW w:w="1965" w:type="dxa"/>
          </w:tcPr>
          <w:p w14:paraId="7EE5F298" w14:textId="77777777" w:rsidR="00480612" w:rsidRPr="00D457FF" w:rsidRDefault="00480612" w:rsidP="00D457FF">
            <w:pPr>
              <w:spacing w:before="200" w:after="200"/>
              <w:rPr>
                <w:i/>
              </w:rPr>
            </w:pPr>
            <w:r w:rsidRPr="00D457FF">
              <w:t>(Only for capacity outcomes)</w:t>
            </w:r>
          </w:p>
        </w:tc>
      </w:tr>
      <w:bookmarkEnd w:id="2"/>
      <w:tr w:rsidR="00480612" w:rsidRPr="00D457FF" w14:paraId="535DF13F" w14:textId="77777777" w:rsidTr="003E2A3C">
        <w:tc>
          <w:tcPr>
            <w:tcW w:w="7365" w:type="dxa"/>
          </w:tcPr>
          <w:p w14:paraId="3A3A5539" w14:textId="77777777" w:rsidR="00480612" w:rsidRPr="00D457FF" w:rsidRDefault="00480612" w:rsidP="00D457FF">
            <w:pPr>
              <w:spacing w:before="200" w:after="200"/>
              <w:rPr>
                <w:rFonts w:cstheme="minorHAnsi"/>
                <w:b/>
                <w:color w:val="000000" w:themeColor="text1"/>
                <w:sz w:val="24"/>
                <w:szCs w:val="24"/>
              </w:rPr>
            </w:pPr>
            <w:r w:rsidRPr="00D457FF">
              <w:rPr>
                <w:rFonts w:cstheme="minorHAnsi"/>
                <w:b/>
                <w:color w:val="000000" w:themeColor="text1"/>
                <w:sz w:val="24"/>
                <w:szCs w:val="24"/>
              </w:rPr>
              <w:t xml:space="preserve">Output 2.1. Technical assistance to increase integration of disability in existing gender-based violence (GBV) referral networks </w:t>
            </w:r>
          </w:p>
        </w:tc>
        <w:tc>
          <w:tcPr>
            <w:tcW w:w="1965" w:type="dxa"/>
          </w:tcPr>
          <w:p w14:paraId="6AE44CA9" w14:textId="77777777" w:rsidR="00480612" w:rsidRPr="00D457FF" w:rsidRDefault="00480612" w:rsidP="00D457FF">
            <w:pPr>
              <w:spacing w:before="200" w:after="200"/>
              <w:rPr>
                <w:i/>
              </w:rPr>
            </w:pPr>
            <w:r w:rsidRPr="00D457FF">
              <w:rPr>
                <w:i/>
              </w:rPr>
              <w:t>ACC</w:t>
            </w:r>
          </w:p>
        </w:tc>
      </w:tr>
      <w:tr w:rsidR="00480612" w:rsidRPr="00D457FF" w14:paraId="3822BFF1" w14:textId="77777777" w:rsidTr="003E2A3C">
        <w:tc>
          <w:tcPr>
            <w:tcW w:w="7365" w:type="dxa"/>
          </w:tcPr>
          <w:p w14:paraId="55FCCF7C" w14:textId="3A6FBC7A" w:rsidR="00480612" w:rsidRPr="00D457FF" w:rsidRDefault="00480612" w:rsidP="00D457FF">
            <w:pPr>
              <w:shd w:val="clear" w:color="auto" w:fill="FFFFFF" w:themeFill="background1"/>
              <w:spacing w:before="200" w:after="200"/>
              <w:rPr>
                <w:rFonts w:cstheme="minorHAnsi"/>
                <w:color w:val="000000" w:themeColor="text1"/>
                <w:sz w:val="24"/>
                <w:szCs w:val="24"/>
              </w:rPr>
            </w:pPr>
            <w:r w:rsidRPr="00D457FF">
              <w:rPr>
                <w:rFonts w:cstheme="minorHAnsi"/>
                <w:b/>
                <w:color w:val="000000" w:themeColor="text1"/>
                <w:sz w:val="24"/>
                <w:szCs w:val="24"/>
              </w:rPr>
              <w:t xml:space="preserve">Output 2.2. Workshops </w:t>
            </w:r>
            <w:r w:rsidR="00430F6C" w:rsidRPr="00D457FF">
              <w:rPr>
                <w:rFonts w:cstheme="minorHAnsi"/>
                <w:b/>
                <w:color w:val="000000" w:themeColor="text1"/>
                <w:sz w:val="24"/>
                <w:szCs w:val="24"/>
              </w:rPr>
              <w:t xml:space="preserve">for judges, prosecutors, public defenders, private lawyers and police </w:t>
            </w:r>
            <w:r w:rsidRPr="00D457FF">
              <w:rPr>
                <w:rFonts w:cstheme="minorHAnsi"/>
                <w:b/>
                <w:color w:val="000000" w:themeColor="text1"/>
                <w:sz w:val="24"/>
                <w:szCs w:val="24"/>
              </w:rPr>
              <w:t>on the rights of persons with disabilities and the particular barriers faced by GBV survivors with disabilities</w:t>
            </w:r>
            <w:r w:rsidR="00430F6C" w:rsidRPr="00D457FF">
              <w:rPr>
                <w:rFonts w:cstheme="minorHAnsi"/>
                <w:b/>
                <w:color w:val="000000" w:themeColor="text1"/>
                <w:sz w:val="24"/>
                <w:szCs w:val="24"/>
              </w:rPr>
              <w:t xml:space="preserve"> to access justice</w:t>
            </w:r>
            <w:r w:rsidRPr="00D457FF">
              <w:rPr>
                <w:rFonts w:cstheme="minorHAnsi"/>
                <w:b/>
                <w:color w:val="000000" w:themeColor="text1"/>
                <w:sz w:val="24"/>
                <w:szCs w:val="24"/>
              </w:rPr>
              <w:t xml:space="preserve"> </w:t>
            </w:r>
          </w:p>
        </w:tc>
        <w:tc>
          <w:tcPr>
            <w:tcW w:w="1965" w:type="dxa"/>
          </w:tcPr>
          <w:p w14:paraId="5EB09A77" w14:textId="77777777" w:rsidR="00480612" w:rsidRPr="00D457FF" w:rsidRDefault="00480612" w:rsidP="00D457FF">
            <w:pPr>
              <w:spacing w:before="200" w:after="200"/>
              <w:rPr>
                <w:i/>
              </w:rPr>
            </w:pPr>
            <w:r w:rsidRPr="00D457FF">
              <w:rPr>
                <w:i/>
              </w:rPr>
              <w:t>ACV</w:t>
            </w:r>
          </w:p>
        </w:tc>
      </w:tr>
      <w:tr w:rsidR="00480612" w:rsidRPr="00D457FF" w14:paraId="6557847D" w14:textId="77777777" w:rsidTr="003E2A3C">
        <w:tc>
          <w:tcPr>
            <w:tcW w:w="7365" w:type="dxa"/>
            <w:tcBorders>
              <w:bottom w:val="double" w:sz="4" w:space="0" w:color="auto"/>
            </w:tcBorders>
          </w:tcPr>
          <w:p w14:paraId="282A4BEE" w14:textId="77777777" w:rsidR="00480612" w:rsidRPr="00D457FF" w:rsidRDefault="00480612" w:rsidP="00D457FF">
            <w:pPr>
              <w:spacing w:before="200" w:after="200"/>
              <w:rPr>
                <w:rFonts w:cstheme="minorHAnsi"/>
                <w:b/>
                <w:color w:val="000000" w:themeColor="text1"/>
                <w:sz w:val="24"/>
                <w:szCs w:val="24"/>
              </w:rPr>
            </w:pPr>
            <w:r w:rsidRPr="00D457FF">
              <w:rPr>
                <w:rFonts w:cstheme="minorHAnsi"/>
                <w:b/>
                <w:color w:val="000000" w:themeColor="text1"/>
                <w:sz w:val="24"/>
                <w:szCs w:val="24"/>
              </w:rPr>
              <w:t>Output 2.3. Workshops for health officials in Dili on the rights of persons with disabilities and how to identify, treat and refer survivors of GBV to appropriate services and to integrate disability in the broader health sector response to GBV</w:t>
            </w:r>
          </w:p>
        </w:tc>
        <w:tc>
          <w:tcPr>
            <w:tcW w:w="1965" w:type="dxa"/>
            <w:tcBorders>
              <w:bottom w:val="double" w:sz="4" w:space="0" w:color="auto"/>
            </w:tcBorders>
          </w:tcPr>
          <w:p w14:paraId="79AFB8F5" w14:textId="77777777" w:rsidR="00480612" w:rsidRPr="00D457FF" w:rsidRDefault="00480612" w:rsidP="00D457FF">
            <w:pPr>
              <w:spacing w:before="200" w:after="200"/>
              <w:rPr>
                <w:i/>
              </w:rPr>
            </w:pPr>
            <w:r w:rsidRPr="00D457FF">
              <w:rPr>
                <w:i/>
              </w:rPr>
              <w:t>KNO</w:t>
            </w:r>
          </w:p>
        </w:tc>
      </w:tr>
      <w:tr w:rsidR="00480612" w:rsidRPr="00D457FF" w14:paraId="65D2A2A3"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5" w:type="dxa"/>
            <w:tcBorders>
              <w:top w:val="double" w:sz="4" w:space="0" w:color="auto"/>
              <w:left w:val="double" w:sz="4" w:space="0" w:color="auto"/>
              <w:bottom w:val="double" w:sz="4" w:space="0" w:color="auto"/>
              <w:right w:val="double" w:sz="4" w:space="0" w:color="auto"/>
            </w:tcBorders>
          </w:tcPr>
          <w:p w14:paraId="6982A86B" w14:textId="77777777" w:rsidR="00480612" w:rsidRPr="00D457FF" w:rsidRDefault="00480612" w:rsidP="00D457FF">
            <w:pPr>
              <w:spacing w:before="200" w:after="200"/>
            </w:pPr>
            <w:r w:rsidRPr="00D457FF">
              <w:rPr>
                <w:rFonts w:cstheme="minorHAnsi"/>
                <w:b/>
                <w:color w:val="000000" w:themeColor="text1"/>
                <w:sz w:val="24"/>
                <w:szCs w:val="24"/>
              </w:rPr>
              <w:t>Output 2.4. Trainings and mentoring for CNR staff how to conduct comprehensive needs assessments and provide support services to and/or referral of survivors of GBV to key services</w:t>
            </w:r>
          </w:p>
        </w:tc>
        <w:tc>
          <w:tcPr>
            <w:tcW w:w="1965" w:type="dxa"/>
            <w:tcBorders>
              <w:top w:val="double" w:sz="4" w:space="0" w:color="auto"/>
              <w:left w:val="double" w:sz="4" w:space="0" w:color="auto"/>
              <w:bottom w:val="double" w:sz="4" w:space="0" w:color="auto"/>
              <w:right w:val="double" w:sz="4" w:space="0" w:color="auto"/>
            </w:tcBorders>
          </w:tcPr>
          <w:p w14:paraId="5483F81F" w14:textId="77777777" w:rsidR="00480612" w:rsidRPr="00D457FF" w:rsidRDefault="00480612" w:rsidP="00D457FF">
            <w:pPr>
              <w:spacing w:before="200" w:after="200"/>
              <w:rPr>
                <w:i/>
              </w:rPr>
            </w:pPr>
            <w:r w:rsidRPr="00D457FF">
              <w:rPr>
                <w:i/>
              </w:rPr>
              <w:t>KNO</w:t>
            </w:r>
          </w:p>
        </w:tc>
      </w:tr>
      <w:tr w:rsidR="00480612" w:rsidRPr="00D457FF" w14:paraId="17ACBE56"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365" w:type="dxa"/>
            <w:tcBorders>
              <w:top w:val="double" w:sz="4" w:space="0" w:color="auto"/>
              <w:left w:val="double" w:sz="4" w:space="0" w:color="auto"/>
              <w:bottom w:val="double" w:sz="4" w:space="0" w:color="auto"/>
              <w:right w:val="double" w:sz="4" w:space="0" w:color="auto"/>
            </w:tcBorders>
          </w:tcPr>
          <w:p w14:paraId="5CB63E33" w14:textId="77777777" w:rsidR="00480612" w:rsidRPr="00D457FF" w:rsidRDefault="00480612" w:rsidP="00D457FF">
            <w:pPr>
              <w:pStyle w:val="CommentText"/>
              <w:spacing w:before="200" w:after="200"/>
              <w:rPr>
                <w:i/>
              </w:rPr>
            </w:pPr>
            <w:r w:rsidRPr="00D457FF">
              <w:rPr>
                <w:rFonts w:cstheme="minorHAnsi"/>
                <w:b/>
                <w:color w:val="000000" w:themeColor="text1"/>
                <w:sz w:val="24"/>
                <w:szCs w:val="24"/>
              </w:rPr>
              <w:lastRenderedPageBreak/>
              <w:t>Output 2.5.</w:t>
            </w:r>
            <w:r w:rsidRPr="00D457FF">
              <w:t xml:space="preserve"> </w:t>
            </w:r>
            <w:r w:rsidRPr="00D457FF">
              <w:rPr>
                <w:rFonts w:cstheme="minorHAnsi"/>
                <w:b/>
                <w:bCs/>
                <w:color w:val="000000" w:themeColor="text1"/>
                <w:sz w:val="24"/>
                <w:szCs w:val="24"/>
              </w:rPr>
              <w:t>National assistive products list developed and endorsed to increase participation of persons with disabilities in society, and to enhance prevention and response to violence against women and children with disabilities</w:t>
            </w:r>
          </w:p>
        </w:tc>
        <w:tc>
          <w:tcPr>
            <w:tcW w:w="1965" w:type="dxa"/>
            <w:tcBorders>
              <w:top w:val="double" w:sz="4" w:space="0" w:color="auto"/>
              <w:left w:val="double" w:sz="4" w:space="0" w:color="auto"/>
              <w:bottom w:val="double" w:sz="4" w:space="0" w:color="auto"/>
              <w:right w:val="double" w:sz="4" w:space="0" w:color="auto"/>
            </w:tcBorders>
          </w:tcPr>
          <w:p w14:paraId="567D1573" w14:textId="77777777" w:rsidR="00480612" w:rsidRPr="00D457FF" w:rsidRDefault="00480612" w:rsidP="00D457FF">
            <w:pPr>
              <w:spacing w:before="200" w:after="200"/>
              <w:rPr>
                <w:i/>
              </w:rPr>
            </w:pPr>
            <w:r w:rsidRPr="00D457FF">
              <w:rPr>
                <w:i/>
              </w:rPr>
              <w:t>TOO</w:t>
            </w:r>
          </w:p>
        </w:tc>
      </w:tr>
      <w:tr w:rsidR="00480612" w:rsidRPr="00D457FF" w14:paraId="7B268191" w14:textId="77777777" w:rsidTr="003E2A3C">
        <w:tc>
          <w:tcPr>
            <w:tcW w:w="7365" w:type="dxa"/>
            <w:tcBorders>
              <w:top w:val="double" w:sz="4" w:space="0" w:color="auto"/>
            </w:tcBorders>
          </w:tcPr>
          <w:p w14:paraId="590EAFC0" w14:textId="77777777" w:rsidR="00480612" w:rsidRPr="00D457FF" w:rsidRDefault="00480612" w:rsidP="00D457FF">
            <w:pPr>
              <w:spacing w:before="200" w:after="200"/>
            </w:pPr>
            <w:r w:rsidRPr="00D457FF">
              <w:rPr>
                <w:rFonts w:cstheme="minorHAnsi"/>
                <w:b/>
                <w:color w:val="000000" w:themeColor="text1"/>
                <w:sz w:val="24"/>
                <w:szCs w:val="24"/>
              </w:rPr>
              <w:t>Output 2.6. Technical assistance to officials of the Ministry of Education and the Dili Inclusive Education Resource Center to identify children with disabilities who are out of school and support their entry to school to reduce risk of violence in the home setting</w:t>
            </w:r>
          </w:p>
        </w:tc>
        <w:tc>
          <w:tcPr>
            <w:tcW w:w="1965" w:type="dxa"/>
            <w:tcBorders>
              <w:top w:val="double" w:sz="4" w:space="0" w:color="auto"/>
            </w:tcBorders>
          </w:tcPr>
          <w:p w14:paraId="23792FAB" w14:textId="77777777" w:rsidR="00480612" w:rsidRPr="00D457FF" w:rsidRDefault="00480612" w:rsidP="00D457FF">
            <w:pPr>
              <w:spacing w:before="200" w:after="200"/>
              <w:rPr>
                <w:i/>
              </w:rPr>
            </w:pPr>
            <w:r w:rsidRPr="00D457FF">
              <w:rPr>
                <w:i/>
              </w:rPr>
              <w:t>KNO</w:t>
            </w:r>
          </w:p>
        </w:tc>
      </w:tr>
    </w:tbl>
    <w:p w14:paraId="0F459EB3" w14:textId="77777777" w:rsidR="00480612" w:rsidRPr="00D457FF" w:rsidRDefault="00480612" w:rsidP="00D457FF">
      <w:pPr>
        <w:spacing w:before="200"/>
        <w:rPr>
          <w:b/>
          <w:i/>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7365"/>
        <w:gridCol w:w="1965"/>
      </w:tblGrid>
      <w:tr w:rsidR="00480612" w:rsidRPr="00D457FF" w14:paraId="7EABC31C" w14:textId="77777777" w:rsidTr="003E2A3C">
        <w:trPr>
          <w:tblHeader/>
        </w:trPr>
        <w:tc>
          <w:tcPr>
            <w:tcW w:w="7365" w:type="dxa"/>
            <w:shd w:val="clear" w:color="auto" w:fill="FFC000"/>
          </w:tcPr>
          <w:p w14:paraId="7CE5F8CA" w14:textId="77777777" w:rsidR="00480612" w:rsidRPr="00D457FF" w:rsidRDefault="00480612" w:rsidP="00D457FF">
            <w:pPr>
              <w:spacing w:before="200" w:after="200"/>
              <w:rPr>
                <w:b/>
              </w:rPr>
            </w:pPr>
            <w:r w:rsidRPr="00D457FF">
              <w:rPr>
                <w:b/>
              </w:rPr>
              <w:t>Outcome 3</w:t>
            </w:r>
          </w:p>
          <w:p w14:paraId="1D864D54" w14:textId="77777777" w:rsidR="00480612" w:rsidRPr="00D457FF" w:rsidRDefault="00480612" w:rsidP="00D457FF">
            <w:pPr>
              <w:spacing w:before="200" w:after="200"/>
              <w:rPr>
                <w:i/>
              </w:rPr>
            </w:pPr>
            <w:r w:rsidRPr="00D457FF">
              <w:t>What structural shifts will be achieved?</w:t>
            </w:r>
            <w:r w:rsidRPr="00D457FF">
              <w:rPr>
                <w:b/>
              </w:rPr>
              <w:t xml:space="preserve"> </w:t>
            </w:r>
          </w:p>
        </w:tc>
        <w:tc>
          <w:tcPr>
            <w:tcW w:w="1965" w:type="dxa"/>
            <w:shd w:val="clear" w:color="auto" w:fill="FFC000"/>
          </w:tcPr>
          <w:p w14:paraId="44515161" w14:textId="77777777" w:rsidR="00480612" w:rsidRPr="00D457FF" w:rsidRDefault="00480612" w:rsidP="00D457FF">
            <w:pPr>
              <w:spacing w:before="200" w:after="200"/>
              <w:rPr>
                <w:i/>
              </w:rPr>
            </w:pPr>
          </w:p>
        </w:tc>
      </w:tr>
      <w:tr w:rsidR="00480612" w:rsidRPr="00D457FF" w14:paraId="400498C8" w14:textId="77777777" w:rsidTr="003E2A3C">
        <w:tc>
          <w:tcPr>
            <w:tcW w:w="7365" w:type="dxa"/>
          </w:tcPr>
          <w:p w14:paraId="1E691750" w14:textId="77777777" w:rsidR="00480612" w:rsidRPr="00D457FF" w:rsidRDefault="00480612" w:rsidP="00D457FF">
            <w:pPr>
              <w:spacing w:before="200" w:after="200"/>
              <w:rPr>
                <w:b/>
              </w:rPr>
            </w:pPr>
            <w:r w:rsidRPr="00D457FF">
              <w:rPr>
                <w:b/>
              </w:rPr>
              <w:t>Outcome formulation</w:t>
            </w:r>
          </w:p>
        </w:tc>
        <w:tc>
          <w:tcPr>
            <w:tcW w:w="1965" w:type="dxa"/>
          </w:tcPr>
          <w:p w14:paraId="40B02191" w14:textId="77777777" w:rsidR="00480612" w:rsidRPr="00D457FF" w:rsidRDefault="00480612" w:rsidP="00D457FF">
            <w:pPr>
              <w:spacing w:before="200" w:after="200"/>
              <w:rPr>
                <w:i/>
              </w:rPr>
            </w:pPr>
            <w:r w:rsidRPr="00D457FF">
              <w:rPr>
                <w:b/>
              </w:rPr>
              <w:t>Type of lever</w:t>
            </w:r>
            <w:r w:rsidRPr="00D457FF">
              <w:rPr>
                <w:rStyle w:val="FootnoteReference"/>
                <w:b/>
              </w:rPr>
              <w:footnoteReference w:id="30"/>
            </w:r>
          </w:p>
        </w:tc>
      </w:tr>
      <w:tr w:rsidR="00480612" w:rsidRPr="00D457FF" w14:paraId="07A996DA" w14:textId="77777777" w:rsidTr="003E2A3C">
        <w:tc>
          <w:tcPr>
            <w:tcW w:w="7365" w:type="dxa"/>
          </w:tcPr>
          <w:p w14:paraId="0B661A15" w14:textId="77777777" w:rsidR="00480612" w:rsidRPr="00D457FF" w:rsidRDefault="00480612" w:rsidP="00D457FF">
            <w:pPr>
              <w:shd w:val="clear" w:color="auto" w:fill="FFFFFF" w:themeFill="background1"/>
              <w:spacing w:before="200" w:after="200"/>
              <w:rPr>
                <w:b/>
                <w:sz w:val="24"/>
                <w:szCs w:val="24"/>
              </w:rPr>
            </w:pPr>
            <w:r w:rsidRPr="00D457FF">
              <w:rPr>
                <w:b/>
                <w:sz w:val="24"/>
                <w:szCs w:val="24"/>
              </w:rPr>
              <w:t>Outcome 3. Capacity of DPO staff, specifically women with disabilities, to access and to advocate for disability inclusive services, including GBV services, is strengthened</w:t>
            </w:r>
          </w:p>
        </w:tc>
        <w:tc>
          <w:tcPr>
            <w:tcW w:w="1965" w:type="dxa"/>
          </w:tcPr>
          <w:p w14:paraId="670360E8" w14:textId="77777777" w:rsidR="00480612" w:rsidRPr="00D457FF" w:rsidRDefault="00480612" w:rsidP="00D457FF">
            <w:pPr>
              <w:spacing w:before="200" w:after="200"/>
              <w:rPr>
                <w:i/>
              </w:rPr>
            </w:pPr>
            <w:r w:rsidRPr="00D457FF">
              <w:t>CAP</w:t>
            </w:r>
          </w:p>
        </w:tc>
      </w:tr>
      <w:tr w:rsidR="00480612" w:rsidRPr="00D457FF" w14:paraId="5A285EC6" w14:textId="77777777" w:rsidTr="003E2A3C">
        <w:tc>
          <w:tcPr>
            <w:tcW w:w="7365" w:type="dxa"/>
            <w:tcBorders>
              <w:bottom w:val="double" w:sz="4" w:space="0" w:color="auto"/>
            </w:tcBorders>
            <w:shd w:val="clear" w:color="auto" w:fill="FFC000"/>
          </w:tcPr>
          <w:p w14:paraId="100CD242" w14:textId="77777777" w:rsidR="00480612" w:rsidRPr="00D457FF" w:rsidRDefault="00480612" w:rsidP="00D457FF">
            <w:pPr>
              <w:spacing w:before="200" w:after="200"/>
              <w:rPr>
                <w:b/>
              </w:rPr>
            </w:pPr>
            <w:r w:rsidRPr="00D457FF">
              <w:rPr>
                <w:b/>
              </w:rPr>
              <w:t>Outputs</w:t>
            </w:r>
          </w:p>
          <w:p w14:paraId="56EAF622" w14:textId="77777777" w:rsidR="00480612" w:rsidRPr="00D457FF" w:rsidRDefault="00480612" w:rsidP="00D457FF">
            <w:pPr>
              <w:spacing w:before="200" w:after="200"/>
              <w:rPr>
                <w:b/>
              </w:rPr>
            </w:pPr>
            <w:r w:rsidRPr="00D457FF">
              <w:t xml:space="preserve">What project deliverables will contribute to the achievement of the outcome? </w:t>
            </w:r>
          </w:p>
        </w:tc>
        <w:tc>
          <w:tcPr>
            <w:tcW w:w="1965" w:type="dxa"/>
            <w:tcBorders>
              <w:bottom w:val="double" w:sz="4" w:space="0" w:color="auto"/>
            </w:tcBorders>
            <w:shd w:val="clear" w:color="auto" w:fill="FFC000"/>
          </w:tcPr>
          <w:p w14:paraId="0EF14D1F" w14:textId="77777777" w:rsidR="00480612" w:rsidRPr="00D457FF" w:rsidRDefault="00480612" w:rsidP="00D457FF">
            <w:pPr>
              <w:spacing w:before="200" w:after="200"/>
              <w:rPr>
                <w:b/>
              </w:rPr>
            </w:pPr>
          </w:p>
        </w:tc>
      </w:tr>
      <w:tr w:rsidR="00480612" w:rsidRPr="00D457FF" w14:paraId="1177FF93"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5" w:type="dxa"/>
            <w:tcBorders>
              <w:top w:val="double" w:sz="4" w:space="0" w:color="auto"/>
              <w:left w:val="double" w:sz="4" w:space="0" w:color="auto"/>
              <w:bottom w:val="double" w:sz="4" w:space="0" w:color="auto"/>
              <w:right w:val="double" w:sz="4" w:space="0" w:color="auto"/>
            </w:tcBorders>
          </w:tcPr>
          <w:p w14:paraId="59C8BAD4" w14:textId="77777777" w:rsidR="00480612" w:rsidRPr="00D457FF" w:rsidRDefault="00480612" w:rsidP="00D457FF">
            <w:pPr>
              <w:spacing w:before="200" w:after="200"/>
              <w:rPr>
                <w:b/>
              </w:rPr>
            </w:pPr>
            <w:r w:rsidRPr="00D457FF">
              <w:rPr>
                <w:b/>
              </w:rPr>
              <w:t>Output formulation</w:t>
            </w:r>
          </w:p>
        </w:tc>
        <w:tc>
          <w:tcPr>
            <w:tcW w:w="1965" w:type="dxa"/>
            <w:tcBorders>
              <w:top w:val="double" w:sz="4" w:space="0" w:color="auto"/>
              <w:left w:val="double" w:sz="4" w:space="0" w:color="auto"/>
              <w:bottom w:val="double" w:sz="4" w:space="0" w:color="auto"/>
              <w:right w:val="double" w:sz="4" w:space="0" w:color="auto"/>
            </w:tcBorders>
          </w:tcPr>
          <w:p w14:paraId="04B43C3F" w14:textId="77777777" w:rsidR="00480612" w:rsidRPr="00D457FF" w:rsidRDefault="00480612" w:rsidP="00D457FF">
            <w:pPr>
              <w:spacing w:before="200" w:after="200"/>
              <w:rPr>
                <w:i/>
              </w:rPr>
            </w:pPr>
            <w:r w:rsidRPr="00D457FF">
              <w:t>(Only for capacity outcomes)</w:t>
            </w:r>
          </w:p>
        </w:tc>
      </w:tr>
      <w:tr w:rsidR="00480612" w:rsidRPr="00D457FF" w14:paraId="77782E93"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5" w:type="dxa"/>
            <w:tcBorders>
              <w:top w:val="double" w:sz="4" w:space="0" w:color="auto"/>
              <w:left w:val="double" w:sz="4" w:space="0" w:color="auto"/>
              <w:bottom w:val="double" w:sz="4" w:space="0" w:color="auto"/>
              <w:right w:val="double" w:sz="4" w:space="0" w:color="auto"/>
            </w:tcBorders>
          </w:tcPr>
          <w:p w14:paraId="43947734" w14:textId="6C48DFEE" w:rsidR="00480612" w:rsidRPr="00D457FF" w:rsidRDefault="00480612" w:rsidP="00D457FF">
            <w:pPr>
              <w:spacing w:before="200" w:after="200"/>
              <w:rPr>
                <w:b/>
                <w:sz w:val="24"/>
                <w:szCs w:val="24"/>
              </w:rPr>
            </w:pPr>
            <w:r w:rsidRPr="00D457FF">
              <w:rPr>
                <w:b/>
                <w:sz w:val="24"/>
                <w:szCs w:val="24"/>
              </w:rPr>
              <w:t>Output 3.1. Training of trainers of staff of DPOs, with a focus on women</w:t>
            </w:r>
            <w:r w:rsidR="00E1343D" w:rsidRPr="00D457FF">
              <w:rPr>
                <w:b/>
                <w:sz w:val="24"/>
                <w:szCs w:val="24"/>
              </w:rPr>
              <w:t xml:space="preserve"> with disabilities</w:t>
            </w:r>
          </w:p>
        </w:tc>
        <w:tc>
          <w:tcPr>
            <w:tcW w:w="1965" w:type="dxa"/>
            <w:tcBorders>
              <w:top w:val="double" w:sz="4" w:space="0" w:color="auto"/>
              <w:left w:val="double" w:sz="4" w:space="0" w:color="auto"/>
              <w:bottom w:val="double" w:sz="4" w:space="0" w:color="auto"/>
              <w:right w:val="double" w:sz="4" w:space="0" w:color="auto"/>
            </w:tcBorders>
          </w:tcPr>
          <w:p w14:paraId="31ADE6B3" w14:textId="77777777" w:rsidR="00480612" w:rsidRPr="00D457FF" w:rsidRDefault="00480612" w:rsidP="00D457FF">
            <w:pPr>
              <w:spacing w:before="200" w:after="200"/>
              <w:rPr>
                <w:i/>
              </w:rPr>
            </w:pPr>
            <w:r w:rsidRPr="00D457FF">
              <w:rPr>
                <w:i/>
              </w:rPr>
              <w:t>KNO</w:t>
            </w:r>
          </w:p>
        </w:tc>
      </w:tr>
      <w:tr w:rsidR="00480612" w:rsidRPr="00D457FF" w14:paraId="69A0306C"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5" w:type="dxa"/>
            <w:tcBorders>
              <w:top w:val="double" w:sz="4" w:space="0" w:color="auto"/>
              <w:left w:val="double" w:sz="4" w:space="0" w:color="auto"/>
              <w:bottom w:val="double" w:sz="4" w:space="0" w:color="auto"/>
              <w:right w:val="double" w:sz="4" w:space="0" w:color="auto"/>
            </w:tcBorders>
          </w:tcPr>
          <w:p w14:paraId="589FBD87" w14:textId="77777777" w:rsidR="00480612" w:rsidRPr="00D457FF" w:rsidRDefault="00480612" w:rsidP="00D457FF">
            <w:pPr>
              <w:spacing w:before="200" w:after="200"/>
              <w:rPr>
                <w:sz w:val="24"/>
                <w:szCs w:val="24"/>
              </w:rPr>
            </w:pPr>
            <w:r w:rsidRPr="00D457FF">
              <w:rPr>
                <w:rFonts w:cstheme="minorHAnsi"/>
                <w:b/>
                <w:color w:val="000000" w:themeColor="text1"/>
                <w:sz w:val="24"/>
                <w:szCs w:val="24"/>
              </w:rPr>
              <w:t xml:space="preserve">Output 3.2. GBV toolkit produced, tested and training on toolkit for DPOs, in particular women with disabilities, to enable them to conduct capacity building on the toolkit for national partners (CNR, health </w:t>
            </w:r>
            <w:r w:rsidRPr="00D457FF">
              <w:rPr>
                <w:rFonts w:cstheme="minorHAnsi"/>
                <w:b/>
                <w:color w:val="000000" w:themeColor="text1"/>
                <w:sz w:val="24"/>
                <w:szCs w:val="24"/>
              </w:rPr>
              <w:lastRenderedPageBreak/>
              <w:t>officials and judicial actors)</w:t>
            </w:r>
          </w:p>
        </w:tc>
        <w:tc>
          <w:tcPr>
            <w:tcW w:w="1965" w:type="dxa"/>
            <w:tcBorders>
              <w:top w:val="double" w:sz="4" w:space="0" w:color="auto"/>
              <w:left w:val="double" w:sz="4" w:space="0" w:color="auto"/>
              <w:bottom w:val="double" w:sz="4" w:space="0" w:color="auto"/>
              <w:right w:val="double" w:sz="4" w:space="0" w:color="auto"/>
            </w:tcBorders>
          </w:tcPr>
          <w:p w14:paraId="0336D543" w14:textId="77777777" w:rsidR="00480612" w:rsidRPr="00D457FF" w:rsidRDefault="00480612" w:rsidP="00D457FF">
            <w:pPr>
              <w:spacing w:before="200" w:after="200"/>
              <w:rPr>
                <w:i/>
              </w:rPr>
            </w:pPr>
            <w:r w:rsidRPr="00D457FF">
              <w:rPr>
                <w:i/>
              </w:rPr>
              <w:lastRenderedPageBreak/>
              <w:t>TOO</w:t>
            </w:r>
          </w:p>
        </w:tc>
      </w:tr>
      <w:tr w:rsidR="00480612" w:rsidRPr="00D457FF" w14:paraId="3B2435A1"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5" w:type="dxa"/>
            <w:tcBorders>
              <w:top w:val="double" w:sz="4" w:space="0" w:color="auto"/>
              <w:left w:val="double" w:sz="4" w:space="0" w:color="auto"/>
              <w:bottom w:val="double" w:sz="4" w:space="0" w:color="auto"/>
              <w:right w:val="double" w:sz="4" w:space="0" w:color="auto"/>
            </w:tcBorders>
          </w:tcPr>
          <w:p w14:paraId="416E8B35" w14:textId="6DBB506E" w:rsidR="00480612" w:rsidRPr="00D457FF" w:rsidRDefault="00480612" w:rsidP="00D457FF">
            <w:pPr>
              <w:spacing w:before="200" w:after="200"/>
            </w:pPr>
            <w:r w:rsidRPr="00D457FF">
              <w:rPr>
                <w:rFonts w:cstheme="minorHAnsi"/>
                <w:b/>
                <w:color w:val="000000" w:themeColor="text1"/>
                <w:sz w:val="24"/>
                <w:szCs w:val="24"/>
              </w:rPr>
              <w:lastRenderedPageBreak/>
              <w:t xml:space="preserve">Output 3.3. Trainings/workshops </w:t>
            </w:r>
            <w:r w:rsidRPr="00D457FF">
              <w:rPr>
                <w:rFonts w:cstheme="minorHAnsi"/>
                <w:b/>
                <w:sz w:val="24"/>
                <w:szCs w:val="24"/>
              </w:rPr>
              <w:t xml:space="preserve">to DPOs, including women-led DPOs and gender equality advocates </w:t>
            </w:r>
            <w:r w:rsidRPr="00D457FF">
              <w:rPr>
                <w:rFonts w:cstheme="minorHAnsi"/>
                <w:b/>
                <w:color w:val="000000" w:themeColor="text1"/>
                <w:sz w:val="24"/>
                <w:szCs w:val="24"/>
              </w:rPr>
              <w:t xml:space="preserve">on </w:t>
            </w:r>
            <w:r w:rsidR="00E1343D" w:rsidRPr="00D457FF">
              <w:rPr>
                <w:rFonts w:cstheme="minorHAnsi"/>
                <w:b/>
                <w:color w:val="000000" w:themeColor="text1"/>
                <w:sz w:val="24"/>
                <w:szCs w:val="24"/>
              </w:rPr>
              <w:t xml:space="preserve">monitoring and </w:t>
            </w:r>
            <w:r w:rsidRPr="00D457FF">
              <w:rPr>
                <w:b/>
                <w:sz w:val="24"/>
                <w:szCs w:val="24"/>
              </w:rPr>
              <w:t>documenting GBV cases</w:t>
            </w:r>
          </w:p>
        </w:tc>
        <w:tc>
          <w:tcPr>
            <w:tcW w:w="1965" w:type="dxa"/>
            <w:tcBorders>
              <w:top w:val="double" w:sz="4" w:space="0" w:color="auto"/>
              <w:left w:val="double" w:sz="4" w:space="0" w:color="auto"/>
              <w:bottom w:val="double" w:sz="4" w:space="0" w:color="auto"/>
              <w:right w:val="double" w:sz="4" w:space="0" w:color="auto"/>
            </w:tcBorders>
          </w:tcPr>
          <w:p w14:paraId="48DF5748" w14:textId="77777777" w:rsidR="00480612" w:rsidRPr="00D457FF" w:rsidRDefault="00480612" w:rsidP="00D457FF">
            <w:pPr>
              <w:spacing w:before="200" w:after="200"/>
              <w:rPr>
                <w:i/>
              </w:rPr>
            </w:pPr>
            <w:r w:rsidRPr="00D457FF">
              <w:rPr>
                <w:i/>
              </w:rPr>
              <w:t>KNO</w:t>
            </w:r>
          </w:p>
        </w:tc>
      </w:tr>
      <w:tr w:rsidR="00480612" w:rsidRPr="00D457FF" w14:paraId="1303853D" w14:textId="77777777" w:rsidTr="003E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5" w:type="dxa"/>
            <w:tcBorders>
              <w:top w:val="double" w:sz="4" w:space="0" w:color="auto"/>
              <w:left w:val="double" w:sz="4" w:space="0" w:color="auto"/>
              <w:bottom w:val="double" w:sz="4" w:space="0" w:color="auto"/>
              <w:right w:val="double" w:sz="4" w:space="0" w:color="auto"/>
            </w:tcBorders>
          </w:tcPr>
          <w:p w14:paraId="772A3E79" w14:textId="77777777" w:rsidR="00480612" w:rsidRPr="00D457FF" w:rsidRDefault="00480612" w:rsidP="00D457FF">
            <w:pPr>
              <w:spacing w:before="200" w:after="200"/>
              <w:rPr>
                <w:rFonts w:cstheme="minorHAnsi"/>
                <w:b/>
                <w:color w:val="000000" w:themeColor="text1"/>
                <w:sz w:val="24"/>
                <w:szCs w:val="24"/>
              </w:rPr>
            </w:pPr>
            <w:r w:rsidRPr="00D457FF">
              <w:rPr>
                <w:rFonts w:cstheme="minorHAnsi"/>
                <w:b/>
                <w:color w:val="000000" w:themeColor="text1"/>
                <w:sz w:val="24"/>
                <w:szCs w:val="24"/>
              </w:rPr>
              <w:t>Output 3.4. DPOs and persons with disabilities, in particular women, participate in existing referral networks on GBV</w:t>
            </w:r>
          </w:p>
        </w:tc>
        <w:tc>
          <w:tcPr>
            <w:tcW w:w="1965" w:type="dxa"/>
            <w:tcBorders>
              <w:top w:val="double" w:sz="4" w:space="0" w:color="auto"/>
              <w:left w:val="double" w:sz="4" w:space="0" w:color="auto"/>
              <w:bottom w:val="double" w:sz="4" w:space="0" w:color="auto"/>
              <w:right w:val="double" w:sz="4" w:space="0" w:color="auto"/>
            </w:tcBorders>
          </w:tcPr>
          <w:p w14:paraId="2AAB91C2" w14:textId="77777777" w:rsidR="00480612" w:rsidRPr="00D457FF" w:rsidRDefault="00480612" w:rsidP="00D457FF">
            <w:pPr>
              <w:spacing w:before="200" w:after="200"/>
              <w:rPr>
                <w:i/>
              </w:rPr>
            </w:pPr>
            <w:r w:rsidRPr="00D457FF">
              <w:rPr>
                <w:i/>
              </w:rPr>
              <w:t>ACC</w:t>
            </w:r>
          </w:p>
        </w:tc>
      </w:tr>
    </w:tbl>
    <w:p w14:paraId="091B2CC3" w14:textId="77777777" w:rsidR="00480612" w:rsidRPr="00D457FF" w:rsidRDefault="00480612" w:rsidP="00D457FF">
      <w:pPr>
        <w:spacing w:before="200"/>
        <w:rPr>
          <w:b/>
          <w:i/>
          <w:sz w:val="20"/>
          <w:szCs w:val="20"/>
        </w:rPr>
      </w:pPr>
    </w:p>
    <w:p w14:paraId="7B7BDA21" w14:textId="65A0837C" w:rsidR="009F2DDB" w:rsidRPr="00D457FF" w:rsidRDefault="00D457FF" w:rsidP="008C6FE3">
      <w:pPr>
        <w:pStyle w:val="Heading1"/>
        <w:rPr>
          <w:i/>
          <w:sz w:val="20"/>
        </w:rPr>
      </w:pPr>
      <w:r>
        <w:t xml:space="preserve">3. </w:t>
      </w:r>
      <w:r w:rsidR="00BA1386" w:rsidRPr="00D457FF">
        <w:t>Elements of project design</w:t>
      </w:r>
    </w:p>
    <w:p w14:paraId="6E143479" w14:textId="14456E6A" w:rsidR="00106C5C" w:rsidRPr="00D457FF" w:rsidRDefault="009F5FFC" w:rsidP="00D457FF">
      <w:pPr>
        <w:shd w:val="clear" w:color="auto" w:fill="FFFFFF" w:themeFill="background1"/>
        <w:spacing w:before="200" w:line="23" w:lineRule="atLeast"/>
        <w:jc w:val="both"/>
        <w:rPr>
          <w:rFonts w:cstheme="minorHAnsi"/>
          <w:color w:val="000000" w:themeColor="text1"/>
          <w:sz w:val="24"/>
          <w:szCs w:val="24"/>
        </w:rPr>
      </w:pPr>
      <w:r w:rsidRPr="00D457FF">
        <w:rPr>
          <w:rFonts w:cstheme="minorHAnsi"/>
          <w:color w:val="000000" w:themeColor="text1"/>
          <w:sz w:val="24"/>
          <w:szCs w:val="24"/>
        </w:rPr>
        <w:t xml:space="preserve">The focus on the rights of </w:t>
      </w:r>
      <w:r w:rsidR="008D1705" w:rsidRPr="00D457FF">
        <w:rPr>
          <w:rFonts w:cstheme="minorHAnsi"/>
          <w:color w:val="000000" w:themeColor="text1"/>
          <w:sz w:val="24"/>
          <w:szCs w:val="24"/>
        </w:rPr>
        <w:t>w</w:t>
      </w:r>
      <w:r w:rsidR="004D21DC" w:rsidRPr="00D457FF">
        <w:rPr>
          <w:rFonts w:cstheme="minorHAnsi"/>
          <w:color w:val="000000" w:themeColor="text1"/>
          <w:sz w:val="24"/>
          <w:szCs w:val="24"/>
        </w:rPr>
        <w:t>ome</w:t>
      </w:r>
      <w:r w:rsidR="008D1705" w:rsidRPr="00D457FF">
        <w:rPr>
          <w:rFonts w:cstheme="minorHAnsi"/>
          <w:color w:val="000000" w:themeColor="text1"/>
          <w:sz w:val="24"/>
          <w:szCs w:val="24"/>
        </w:rPr>
        <w:t xml:space="preserve">n </w:t>
      </w:r>
      <w:r w:rsidR="0042280E" w:rsidRPr="00D457FF">
        <w:rPr>
          <w:rFonts w:cstheme="minorHAnsi"/>
          <w:color w:val="000000" w:themeColor="text1"/>
          <w:sz w:val="24"/>
          <w:szCs w:val="24"/>
        </w:rPr>
        <w:t xml:space="preserve">with disabilities </w:t>
      </w:r>
      <w:r w:rsidRPr="00D457FF">
        <w:rPr>
          <w:rFonts w:cstheme="minorHAnsi"/>
          <w:color w:val="000000" w:themeColor="text1"/>
          <w:sz w:val="24"/>
          <w:szCs w:val="24"/>
        </w:rPr>
        <w:t xml:space="preserve">is premised on the </w:t>
      </w:r>
      <w:r w:rsidR="0042280E" w:rsidRPr="00D457FF">
        <w:rPr>
          <w:rFonts w:cstheme="minorHAnsi"/>
          <w:color w:val="000000" w:themeColor="text1"/>
          <w:sz w:val="24"/>
          <w:szCs w:val="24"/>
        </w:rPr>
        <w:t xml:space="preserve">reality </w:t>
      </w:r>
      <w:r w:rsidRPr="00D457FF">
        <w:rPr>
          <w:rFonts w:cstheme="minorHAnsi"/>
          <w:color w:val="000000" w:themeColor="text1"/>
          <w:sz w:val="24"/>
          <w:szCs w:val="24"/>
        </w:rPr>
        <w:t xml:space="preserve">that </w:t>
      </w:r>
      <w:r w:rsidR="008D1705" w:rsidRPr="00D457FF">
        <w:rPr>
          <w:rFonts w:cstheme="minorHAnsi"/>
          <w:color w:val="000000" w:themeColor="text1"/>
          <w:sz w:val="24"/>
          <w:szCs w:val="24"/>
        </w:rPr>
        <w:t>discrimination</w:t>
      </w:r>
      <w:r w:rsidRPr="00D457FF">
        <w:rPr>
          <w:rFonts w:cstheme="minorHAnsi"/>
          <w:color w:val="000000" w:themeColor="text1"/>
          <w:sz w:val="24"/>
          <w:szCs w:val="24"/>
        </w:rPr>
        <w:t xml:space="preserve"> </w:t>
      </w:r>
      <w:r w:rsidR="008D1705" w:rsidRPr="00D457FF">
        <w:rPr>
          <w:rFonts w:cstheme="minorHAnsi"/>
          <w:color w:val="000000" w:themeColor="text1"/>
          <w:sz w:val="24"/>
          <w:szCs w:val="24"/>
        </w:rPr>
        <w:t xml:space="preserve">based on sex </w:t>
      </w:r>
      <w:r w:rsidRPr="00D457FF">
        <w:rPr>
          <w:rFonts w:cstheme="minorHAnsi"/>
          <w:color w:val="000000" w:themeColor="text1"/>
          <w:sz w:val="24"/>
          <w:szCs w:val="24"/>
        </w:rPr>
        <w:t xml:space="preserve">is a key barrier faced by women and </w:t>
      </w:r>
      <w:r w:rsidR="008D1705" w:rsidRPr="00D457FF">
        <w:rPr>
          <w:rFonts w:cstheme="minorHAnsi"/>
          <w:color w:val="000000" w:themeColor="text1"/>
          <w:sz w:val="24"/>
          <w:szCs w:val="24"/>
        </w:rPr>
        <w:t>girls</w:t>
      </w:r>
      <w:r w:rsidR="0042280E" w:rsidRPr="00D457FF">
        <w:rPr>
          <w:rFonts w:cstheme="minorHAnsi"/>
          <w:color w:val="000000" w:themeColor="text1"/>
          <w:sz w:val="24"/>
          <w:szCs w:val="24"/>
        </w:rPr>
        <w:t>, affecting</w:t>
      </w:r>
      <w:r w:rsidRPr="00D457FF">
        <w:rPr>
          <w:rFonts w:cstheme="minorHAnsi"/>
          <w:color w:val="000000" w:themeColor="text1"/>
          <w:sz w:val="24"/>
          <w:szCs w:val="24"/>
        </w:rPr>
        <w:t xml:space="preserve"> their ability to pursue their rights as </w:t>
      </w:r>
      <w:r w:rsidR="0042280E" w:rsidRPr="00D457FF">
        <w:rPr>
          <w:rFonts w:cstheme="minorHAnsi"/>
          <w:color w:val="000000" w:themeColor="text1"/>
          <w:sz w:val="24"/>
          <w:szCs w:val="24"/>
        </w:rPr>
        <w:t>guaranteed under various treaties, including</w:t>
      </w:r>
      <w:r w:rsidRPr="00D457FF">
        <w:rPr>
          <w:rFonts w:cstheme="minorHAnsi"/>
          <w:color w:val="000000" w:themeColor="text1"/>
          <w:sz w:val="24"/>
          <w:szCs w:val="24"/>
        </w:rPr>
        <w:t xml:space="preserve"> CPRD. </w:t>
      </w:r>
      <w:r w:rsidR="00651132" w:rsidRPr="00D457FF">
        <w:rPr>
          <w:rFonts w:cstheme="minorHAnsi"/>
          <w:color w:val="000000" w:themeColor="text1"/>
          <w:sz w:val="24"/>
          <w:szCs w:val="24"/>
        </w:rPr>
        <w:t xml:space="preserve">Women and girls have lower status than men and boys in Timor-Leste because of persisting </w:t>
      </w:r>
      <w:r w:rsidR="00BB033A" w:rsidRPr="00D457FF">
        <w:rPr>
          <w:rFonts w:cstheme="minorHAnsi"/>
          <w:color w:val="000000" w:themeColor="text1"/>
          <w:sz w:val="24"/>
          <w:szCs w:val="24"/>
        </w:rPr>
        <w:t>gender inequality and patriarchal structures</w:t>
      </w:r>
      <w:r w:rsidR="00651132" w:rsidRPr="00D457FF">
        <w:rPr>
          <w:rFonts w:cstheme="minorHAnsi"/>
          <w:color w:val="000000" w:themeColor="text1"/>
          <w:sz w:val="24"/>
          <w:szCs w:val="24"/>
        </w:rPr>
        <w:t>.</w:t>
      </w:r>
      <w:r w:rsidR="00BB033A" w:rsidRPr="00D457FF">
        <w:rPr>
          <w:rFonts w:cstheme="minorHAnsi"/>
          <w:color w:val="000000" w:themeColor="text1"/>
          <w:sz w:val="24"/>
          <w:szCs w:val="24"/>
        </w:rPr>
        <w:t xml:space="preserve"> </w:t>
      </w:r>
      <w:r w:rsidR="004D21DC" w:rsidRPr="00D457FF">
        <w:rPr>
          <w:rFonts w:cstheme="minorHAnsi"/>
          <w:color w:val="000000" w:themeColor="text1"/>
          <w:sz w:val="24"/>
          <w:szCs w:val="24"/>
        </w:rPr>
        <w:t>T</w:t>
      </w:r>
      <w:r w:rsidR="003E4D45" w:rsidRPr="00D457FF">
        <w:rPr>
          <w:rFonts w:cstheme="minorHAnsi"/>
          <w:color w:val="000000" w:themeColor="text1"/>
          <w:sz w:val="24"/>
          <w:szCs w:val="24"/>
        </w:rPr>
        <w:t>he project</w:t>
      </w:r>
      <w:r w:rsidRPr="00D457FF">
        <w:rPr>
          <w:rFonts w:cstheme="minorHAnsi"/>
          <w:color w:val="000000" w:themeColor="text1"/>
          <w:sz w:val="24"/>
          <w:szCs w:val="24"/>
        </w:rPr>
        <w:t xml:space="preserve"> seeks to address the underlying tolerance of gender inequality</w:t>
      </w:r>
      <w:r w:rsidR="004D21DC" w:rsidRPr="00D457FF">
        <w:rPr>
          <w:rFonts w:cstheme="minorHAnsi"/>
          <w:color w:val="000000" w:themeColor="text1"/>
          <w:sz w:val="24"/>
          <w:szCs w:val="24"/>
        </w:rPr>
        <w:t xml:space="preserve">, </w:t>
      </w:r>
      <w:r w:rsidRPr="00D457FF">
        <w:rPr>
          <w:rFonts w:cstheme="minorHAnsi"/>
          <w:color w:val="000000" w:themeColor="text1"/>
          <w:sz w:val="24"/>
          <w:szCs w:val="24"/>
        </w:rPr>
        <w:t xml:space="preserve">discrimination </w:t>
      </w:r>
      <w:r w:rsidR="004D21DC" w:rsidRPr="00D457FF">
        <w:rPr>
          <w:rFonts w:cstheme="minorHAnsi"/>
          <w:color w:val="000000" w:themeColor="text1"/>
          <w:sz w:val="24"/>
          <w:szCs w:val="24"/>
        </w:rPr>
        <w:t xml:space="preserve">and subsequent violence </w:t>
      </w:r>
      <w:r w:rsidRPr="00D457FF">
        <w:rPr>
          <w:rFonts w:cstheme="minorHAnsi"/>
          <w:color w:val="000000" w:themeColor="text1"/>
          <w:sz w:val="24"/>
          <w:szCs w:val="24"/>
        </w:rPr>
        <w:t xml:space="preserve">faced by </w:t>
      </w:r>
      <w:r w:rsidR="004D21DC" w:rsidRPr="00D457FF">
        <w:rPr>
          <w:rFonts w:cstheme="minorHAnsi"/>
          <w:color w:val="000000" w:themeColor="text1"/>
          <w:sz w:val="24"/>
          <w:szCs w:val="24"/>
        </w:rPr>
        <w:t xml:space="preserve">women </w:t>
      </w:r>
      <w:r w:rsidR="00F0233C" w:rsidRPr="00D457FF">
        <w:rPr>
          <w:rFonts w:cstheme="minorHAnsi"/>
          <w:color w:val="000000" w:themeColor="text1"/>
          <w:sz w:val="24"/>
          <w:szCs w:val="24"/>
        </w:rPr>
        <w:t>and girl</w:t>
      </w:r>
      <w:r w:rsidR="008A1500" w:rsidRPr="00D457FF">
        <w:rPr>
          <w:rFonts w:cstheme="minorHAnsi"/>
          <w:color w:val="000000" w:themeColor="text1"/>
          <w:sz w:val="24"/>
          <w:szCs w:val="24"/>
        </w:rPr>
        <w:t>s</w:t>
      </w:r>
      <w:r w:rsidR="00F0233C" w:rsidRPr="00D457FF">
        <w:rPr>
          <w:rFonts w:cstheme="minorHAnsi"/>
          <w:color w:val="000000" w:themeColor="text1"/>
          <w:sz w:val="24"/>
          <w:szCs w:val="24"/>
        </w:rPr>
        <w:t xml:space="preserve"> </w:t>
      </w:r>
      <w:r w:rsidR="004D21DC" w:rsidRPr="00D457FF">
        <w:rPr>
          <w:rFonts w:cstheme="minorHAnsi"/>
          <w:color w:val="000000" w:themeColor="text1"/>
          <w:sz w:val="24"/>
          <w:szCs w:val="24"/>
        </w:rPr>
        <w:t xml:space="preserve">with disabilities. </w:t>
      </w:r>
      <w:r w:rsidR="00F0233C" w:rsidRPr="00D457FF">
        <w:rPr>
          <w:rFonts w:cstheme="minorHAnsi"/>
          <w:color w:val="000000" w:themeColor="text1"/>
          <w:sz w:val="24"/>
          <w:szCs w:val="24"/>
        </w:rPr>
        <w:t>T</w:t>
      </w:r>
      <w:r w:rsidRPr="00D457FF">
        <w:rPr>
          <w:rFonts w:cstheme="minorHAnsi"/>
          <w:color w:val="000000" w:themeColor="text1"/>
          <w:sz w:val="24"/>
          <w:szCs w:val="24"/>
        </w:rPr>
        <w:t xml:space="preserve">he </w:t>
      </w:r>
      <w:r w:rsidR="003E4D45" w:rsidRPr="00D457FF">
        <w:rPr>
          <w:rFonts w:cstheme="minorHAnsi"/>
          <w:color w:val="000000" w:themeColor="text1"/>
          <w:sz w:val="24"/>
          <w:szCs w:val="24"/>
        </w:rPr>
        <w:t>project</w:t>
      </w:r>
      <w:r w:rsidRPr="00D457FF">
        <w:rPr>
          <w:rFonts w:cstheme="minorHAnsi"/>
          <w:color w:val="000000" w:themeColor="text1"/>
          <w:sz w:val="24"/>
          <w:szCs w:val="24"/>
        </w:rPr>
        <w:t xml:space="preserve"> </w:t>
      </w:r>
      <w:r w:rsidR="00106C5C" w:rsidRPr="00D457FF">
        <w:rPr>
          <w:rFonts w:cstheme="minorHAnsi"/>
          <w:color w:val="000000" w:themeColor="text1"/>
          <w:sz w:val="24"/>
          <w:szCs w:val="24"/>
        </w:rPr>
        <w:t>will</w:t>
      </w:r>
      <w:r w:rsidRPr="00D457FF">
        <w:rPr>
          <w:rFonts w:cstheme="minorHAnsi"/>
          <w:color w:val="000000" w:themeColor="text1"/>
          <w:sz w:val="24"/>
          <w:szCs w:val="24"/>
        </w:rPr>
        <w:t xml:space="preserve"> work with </w:t>
      </w:r>
      <w:r w:rsidR="00226D09" w:rsidRPr="00D457FF">
        <w:rPr>
          <w:rFonts w:cstheme="minorHAnsi"/>
          <w:color w:val="000000" w:themeColor="text1"/>
          <w:sz w:val="24"/>
          <w:szCs w:val="24"/>
        </w:rPr>
        <w:t xml:space="preserve">women-led </w:t>
      </w:r>
      <w:r w:rsidRPr="00D457FF">
        <w:rPr>
          <w:rFonts w:cstheme="minorHAnsi"/>
          <w:color w:val="000000" w:themeColor="text1"/>
          <w:sz w:val="24"/>
          <w:szCs w:val="24"/>
        </w:rPr>
        <w:t>DPOs</w:t>
      </w:r>
      <w:r w:rsidR="004D21DC" w:rsidRPr="00D457FF">
        <w:rPr>
          <w:rFonts w:cstheme="minorHAnsi"/>
          <w:color w:val="000000" w:themeColor="text1"/>
          <w:sz w:val="24"/>
          <w:szCs w:val="24"/>
        </w:rPr>
        <w:t xml:space="preserve"> </w:t>
      </w:r>
      <w:r w:rsidRPr="00D457FF">
        <w:rPr>
          <w:rFonts w:cstheme="minorHAnsi"/>
          <w:color w:val="000000" w:themeColor="text1"/>
          <w:sz w:val="24"/>
          <w:szCs w:val="24"/>
        </w:rPr>
        <w:t>and women’s rights organizations to advocate against discrimination and violence and increase understanding among service providers</w:t>
      </w:r>
      <w:r w:rsidR="00F0233C" w:rsidRPr="00D457FF">
        <w:rPr>
          <w:rFonts w:cstheme="minorHAnsi"/>
          <w:color w:val="000000" w:themeColor="text1"/>
          <w:sz w:val="24"/>
          <w:szCs w:val="24"/>
        </w:rPr>
        <w:t>, families and communities</w:t>
      </w:r>
      <w:r w:rsidRPr="00D457FF">
        <w:rPr>
          <w:rFonts w:cstheme="minorHAnsi"/>
          <w:color w:val="000000" w:themeColor="text1"/>
          <w:sz w:val="24"/>
          <w:szCs w:val="24"/>
        </w:rPr>
        <w:t xml:space="preserve"> of rights.</w:t>
      </w:r>
      <w:r w:rsidR="004D21DC" w:rsidRPr="00D457FF">
        <w:rPr>
          <w:rFonts w:cstheme="minorHAnsi"/>
          <w:color w:val="000000" w:themeColor="text1"/>
          <w:sz w:val="24"/>
          <w:szCs w:val="24"/>
        </w:rPr>
        <w:t xml:space="preserve"> Support to </w:t>
      </w:r>
      <w:r w:rsidR="00106C5C" w:rsidRPr="00D457FF">
        <w:rPr>
          <w:rFonts w:cstheme="minorHAnsi"/>
          <w:color w:val="000000" w:themeColor="text1"/>
          <w:sz w:val="24"/>
          <w:szCs w:val="24"/>
        </w:rPr>
        <w:t xml:space="preserve">women-led </w:t>
      </w:r>
      <w:r w:rsidR="004D21DC" w:rsidRPr="00D457FF">
        <w:rPr>
          <w:rFonts w:cstheme="minorHAnsi"/>
          <w:color w:val="000000" w:themeColor="text1"/>
          <w:sz w:val="24"/>
          <w:szCs w:val="24"/>
        </w:rPr>
        <w:t xml:space="preserve">DPOs </w:t>
      </w:r>
      <w:r w:rsidR="007363C1" w:rsidRPr="00D457FF">
        <w:rPr>
          <w:rFonts w:cstheme="minorHAnsi"/>
          <w:color w:val="000000" w:themeColor="text1"/>
          <w:sz w:val="24"/>
          <w:szCs w:val="24"/>
        </w:rPr>
        <w:t xml:space="preserve">will focus on </w:t>
      </w:r>
      <w:r w:rsidR="004D21DC" w:rsidRPr="00D457FF">
        <w:rPr>
          <w:rFonts w:cstheme="minorHAnsi"/>
          <w:color w:val="000000" w:themeColor="text1"/>
          <w:sz w:val="24"/>
          <w:szCs w:val="24"/>
        </w:rPr>
        <w:t>collect</w:t>
      </w:r>
      <w:r w:rsidR="007363C1" w:rsidRPr="00D457FF">
        <w:rPr>
          <w:rFonts w:cstheme="minorHAnsi"/>
          <w:color w:val="000000" w:themeColor="text1"/>
          <w:sz w:val="24"/>
          <w:szCs w:val="24"/>
        </w:rPr>
        <w:t>ion and analysis</w:t>
      </w:r>
      <w:r w:rsidR="004D21DC" w:rsidRPr="00D457FF">
        <w:rPr>
          <w:rFonts w:cstheme="minorHAnsi"/>
          <w:color w:val="000000" w:themeColor="text1"/>
          <w:sz w:val="24"/>
          <w:szCs w:val="24"/>
        </w:rPr>
        <w:t xml:space="preserve"> </w:t>
      </w:r>
      <w:r w:rsidR="007363C1" w:rsidRPr="00D457FF">
        <w:rPr>
          <w:rFonts w:cstheme="minorHAnsi"/>
          <w:color w:val="000000" w:themeColor="text1"/>
          <w:sz w:val="24"/>
          <w:szCs w:val="24"/>
        </w:rPr>
        <w:t>of</w:t>
      </w:r>
      <w:r w:rsidR="00EA620A" w:rsidRPr="00D457FF">
        <w:rPr>
          <w:rFonts w:cstheme="minorHAnsi"/>
          <w:color w:val="000000" w:themeColor="text1"/>
          <w:sz w:val="24"/>
          <w:szCs w:val="24"/>
        </w:rPr>
        <w:t xml:space="preserve"> </w:t>
      </w:r>
      <w:r w:rsidR="00F0233C" w:rsidRPr="00D457FF">
        <w:rPr>
          <w:rFonts w:cstheme="minorHAnsi"/>
          <w:color w:val="000000" w:themeColor="text1"/>
          <w:sz w:val="24"/>
          <w:szCs w:val="24"/>
        </w:rPr>
        <w:t>cases of</w:t>
      </w:r>
      <w:r w:rsidR="004D21DC" w:rsidRPr="00D457FF">
        <w:rPr>
          <w:rFonts w:cstheme="minorHAnsi"/>
          <w:color w:val="000000" w:themeColor="text1"/>
          <w:sz w:val="24"/>
          <w:szCs w:val="24"/>
        </w:rPr>
        <w:t xml:space="preserve"> GBV against women with disabilities, and </w:t>
      </w:r>
      <w:r w:rsidR="007363C1" w:rsidRPr="00D457FF">
        <w:rPr>
          <w:rFonts w:cstheme="minorHAnsi"/>
          <w:color w:val="000000" w:themeColor="text1"/>
          <w:sz w:val="24"/>
          <w:szCs w:val="24"/>
        </w:rPr>
        <w:t>on</w:t>
      </w:r>
      <w:r w:rsidR="004D21DC" w:rsidRPr="00D457FF">
        <w:rPr>
          <w:rFonts w:cstheme="minorHAnsi"/>
          <w:color w:val="000000" w:themeColor="text1"/>
          <w:sz w:val="24"/>
          <w:szCs w:val="24"/>
        </w:rPr>
        <w:t xml:space="preserve"> advocacy for change</w:t>
      </w:r>
      <w:r w:rsidR="00226D09" w:rsidRPr="00D457FF">
        <w:rPr>
          <w:rFonts w:cstheme="minorHAnsi"/>
          <w:color w:val="000000" w:themeColor="text1"/>
          <w:sz w:val="24"/>
          <w:szCs w:val="24"/>
        </w:rPr>
        <w:t xml:space="preserve"> with parents, families of persons with disabilities and institutions responsible for upholding their rights</w:t>
      </w:r>
      <w:r w:rsidR="004D21DC" w:rsidRPr="00D457FF">
        <w:rPr>
          <w:rFonts w:cstheme="minorHAnsi"/>
          <w:color w:val="000000" w:themeColor="text1"/>
          <w:sz w:val="24"/>
          <w:szCs w:val="24"/>
        </w:rPr>
        <w:t>.</w:t>
      </w:r>
      <w:r w:rsidRPr="00D457FF">
        <w:rPr>
          <w:rFonts w:cstheme="minorHAnsi"/>
          <w:color w:val="000000" w:themeColor="text1"/>
          <w:sz w:val="24"/>
          <w:szCs w:val="24"/>
        </w:rPr>
        <w:t xml:space="preserve"> </w:t>
      </w:r>
      <w:r w:rsidR="00106C5C" w:rsidRPr="00D457FF">
        <w:rPr>
          <w:rFonts w:cstheme="minorHAnsi"/>
          <w:color w:val="000000" w:themeColor="text1"/>
          <w:sz w:val="24"/>
          <w:szCs w:val="24"/>
        </w:rPr>
        <w:t>Out-of-school girls in Dili will be supported to join the education system, thereby reducing their risk of being exposed to violence particularly in the domestic setting.</w:t>
      </w:r>
    </w:p>
    <w:p w14:paraId="245C4F9B" w14:textId="5FFF325C" w:rsidR="007363C1" w:rsidRPr="00D457FF" w:rsidRDefault="00E60117" w:rsidP="00D457FF">
      <w:pPr>
        <w:shd w:val="clear" w:color="auto" w:fill="FFFFFF" w:themeFill="background1"/>
        <w:spacing w:before="200" w:line="23" w:lineRule="atLeast"/>
        <w:jc w:val="both"/>
        <w:rPr>
          <w:rFonts w:cstheme="minorHAnsi"/>
          <w:color w:val="000000" w:themeColor="text1"/>
          <w:sz w:val="24"/>
          <w:szCs w:val="24"/>
        </w:rPr>
      </w:pPr>
      <w:r w:rsidRPr="00D457FF">
        <w:rPr>
          <w:rFonts w:cstheme="minorHAnsi"/>
          <w:color w:val="000000" w:themeColor="text1"/>
          <w:sz w:val="24"/>
          <w:szCs w:val="24"/>
        </w:rPr>
        <w:t>S</w:t>
      </w:r>
      <w:r w:rsidR="004D21DC" w:rsidRPr="00D457FF">
        <w:rPr>
          <w:rFonts w:cstheme="minorHAnsi"/>
          <w:color w:val="000000" w:themeColor="text1"/>
          <w:sz w:val="24"/>
          <w:szCs w:val="24"/>
        </w:rPr>
        <w:t xml:space="preserve">upport for </w:t>
      </w:r>
      <w:r w:rsidR="006912CE" w:rsidRPr="00D457FF">
        <w:rPr>
          <w:rFonts w:cstheme="minorHAnsi"/>
          <w:color w:val="000000" w:themeColor="text1"/>
          <w:sz w:val="24"/>
          <w:szCs w:val="24"/>
        </w:rPr>
        <w:t xml:space="preserve">disability inclusive </w:t>
      </w:r>
      <w:r w:rsidR="00727CD3" w:rsidRPr="00D457FF">
        <w:rPr>
          <w:rFonts w:cstheme="minorHAnsi"/>
          <w:color w:val="000000" w:themeColor="text1"/>
          <w:sz w:val="24"/>
          <w:szCs w:val="24"/>
        </w:rPr>
        <w:t xml:space="preserve">gender </w:t>
      </w:r>
      <w:r w:rsidR="009F5FFC" w:rsidRPr="00D457FF">
        <w:rPr>
          <w:rFonts w:cstheme="minorHAnsi"/>
          <w:color w:val="000000" w:themeColor="text1"/>
          <w:sz w:val="24"/>
          <w:szCs w:val="24"/>
        </w:rPr>
        <w:t>r</w:t>
      </w:r>
      <w:r w:rsidR="004D21DC" w:rsidRPr="00D457FF">
        <w:rPr>
          <w:rFonts w:cstheme="minorHAnsi"/>
          <w:color w:val="000000" w:themeColor="text1"/>
          <w:sz w:val="24"/>
          <w:szCs w:val="24"/>
        </w:rPr>
        <w:t xml:space="preserve">esponsive budgeting </w:t>
      </w:r>
      <w:r w:rsidR="009F5FFC" w:rsidRPr="00D457FF">
        <w:rPr>
          <w:rFonts w:cstheme="minorHAnsi"/>
          <w:color w:val="000000" w:themeColor="text1"/>
          <w:sz w:val="24"/>
          <w:szCs w:val="24"/>
        </w:rPr>
        <w:t xml:space="preserve">and disaggregation of </w:t>
      </w:r>
      <w:r w:rsidR="000571F8" w:rsidRPr="00D457FF">
        <w:rPr>
          <w:rFonts w:cstheme="minorHAnsi"/>
          <w:color w:val="000000" w:themeColor="text1"/>
          <w:sz w:val="24"/>
          <w:szCs w:val="24"/>
        </w:rPr>
        <w:t>data and</w:t>
      </w:r>
      <w:r w:rsidR="009F5FFC" w:rsidRPr="00D457FF">
        <w:rPr>
          <w:rFonts w:cstheme="minorHAnsi"/>
          <w:color w:val="000000" w:themeColor="text1"/>
          <w:sz w:val="24"/>
          <w:szCs w:val="24"/>
        </w:rPr>
        <w:t xml:space="preserve"> </w:t>
      </w:r>
      <w:r w:rsidR="003E4D45" w:rsidRPr="00D457FF">
        <w:rPr>
          <w:rFonts w:cstheme="minorHAnsi"/>
          <w:color w:val="000000" w:themeColor="text1"/>
          <w:sz w:val="24"/>
          <w:szCs w:val="24"/>
        </w:rPr>
        <w:t>improving</w:t>
      </w:r>
      <w:r w:rsidR="009F5FFC" w:rsidRPr="00D457FF">
        <w:rPr>
          <w:rFonts w:cstheme="minorHAnsi"/>
          <w:color w:val="000000" w:themeColor="text1"/>
          <w:sz w:val="24"/>
          <w:szCs w:val="24"/>
        </w:rPr>
        <w:t xml:space="preserve"> services for </w:t>
      </w:r>
      <w:r w:rsidR="00632559" w:rsidRPr="00D457FF">
        <w:rPr>
          <w:rFonts w:cstheme="minorHAnsi"/>
          <w:color w:val="000000" w:themeColor="text1"/>
          <w:sz w:val="24"/>
          <w:szCs w:val="24"/>
        </w:rPr>
        <w:t xml:space="preserve">women and children with focus on </w:t>
      </w:r>
      <w:r w:rsidR="009F5FFC" w:rsidRPr="00D457FF">
        <w:rPr>
          <w:rFonts w:cstheme="minorHAnsi"/>
          <w:color w:val="000000" w:themeColor="text1"/>
          <w:sz w:val="24"/>
          <w:szCs w:val="24"/>
        </w:rPr>
        <w:t xml:space="preserve">GBV </w:t>
      </w:r>
      <w:r w:rsidR="00F0233C" w:rsidRPr="00D457FF">
        <w:rPr>
          <w:rFonts w:cstheme="minorHAnsi"/>
          <w:color w:val="000000" w:themeColor="text1"/>
          <w:sz w:val="24"/>
          <w:szCs w:val="24"/>
        </w:rPr>
        <w:t>survivors</w:t>
      </w:r>
      <w:r w:rsidRPr="00D457FF">
        <w:rPr>
          <w:rFonts w:cstheme="minorHAnsi"/>
          <w:color w:val="000000" w:themeColor="text1"/>
          <w:sz w:val="24"/>
          <w:szCs w:val="24"/>
        </w:rPr>
        <w:t>, will also directly impact on empowering women and girls.</w:t>
      </w:r>
    </w:p>
    <w:p w14:paraId="0DA581FA" w14:textId="6A323858" w:rsidR="00E60117" w:rsidRPr="00D457FF" w:rsidRDefault="004D21DC" w:rsidP="00D457FF">
      <w:pPr>
        <w:shd w:val="clear" w:color="auto" w:fill="FFFFFF" w:themeFill="background1"/>
        <w:spacing w:before="200" w:line="23" w:lineRule="atLeast"/>
        <w:jc w:val="both"/>
        <w:rPr>
          <w:rFonts w:cstheme="minorHAnsi"/>
          <w:color w:val="000000" w:themeColor="text1"/>
          <w:sz w:val="24"/>
          <w:szCs w:val="24"/>
        </w:rPr>
      </w:pPr>
      <w:r w:rsidRPr="00D457FF">
        <w:rPr>
          <w:rFonts w:cstheme="minorHAnsi"/>
          <w:color w:val="000000" w:themeColor="text1"/>
          <w:sz w:val="24"/>
          <w:szCs w:val="24"/>
        </w:rPr>
        <w:t>Persons</w:t>
      </w:r>
      <w:r w:rsidR="001402AE" w:rsidRPr="00D457FF">
        <w:rPr>
          <w:rFonts w:cstheme="minorHAnsi"/>
          <w:color w:val="000000" w:themeColor="text1"/>
          <w:sz w:val="24"/>
          <w:szCs w:val="24"/>
        </w:rPr>
        <w:t xml:space="preserve"> with disabilities</w:t>
      </w:r>
      <w:r w:rsidRPr="00D457FF">
        <w:rPr>
          <w:rFonts w:cstheme="minorHAnsi"/>
          <w:color w:val="000000" w:themeColor="text1"/>
          <w:sz w:val="24"/>
          <w:szCs w:val="24"/>
        </w:rPr>
        <w:t>, through DPOs</w:t>
      </w:r>
      <w:r w:rsidR="00F0233C" w:rsidRPr="00D457FF">
        <w:rPr>
          <w:rFonts w:cstheme="minorHAnsi"/>
          <w:color w:val="000000" w:themeColor="text1"/>
          <w:sz w:val="24"/>
          <w:szCs w:val="24"/>
        </w:rPr>
        <w:t>,</w:t>
      </w:r>
      <w:r w:rsidR="001402AE" w:rsidRPr="00D457FF">
        <w:rPr>
          <w:rFonts w:cstheme="minorHAnsi"/>
          <w:color w:val="000000" w:themeColor="text1"/>
          <w:sz w:val="24"/>
          <w:szCs w:val="24"/>
        </w:rPr>
        <w:t xml:space="preserve"> </w:t>
      </w:r>
      <w:r w:rsidR="003E4D45" w:rsidRPr="00D457FF">
        <w:rPr>
          <w:rFonts w:cstheme="minorHAnsi"/>
          <w:color w:val="000000" w:themeColor="text1"/>
          <w:sz w:val="24"/>
          <w:szCs w:val="24"/>
        </w:rPr>
        <w:t>play</w:t>
      </w:r>
      <w:r w:rsidR="00C40CD5" w:rsidRPr="00D457FF">
        <w:rPr>
          <w:rFonts w:cstheme="minorHAnsi"/>
          <w:color w:val="000000" w:themeColor="text1"/>
          <w:sz w:val="24"/>
          <w:szCs w:val="24"/>
        </w:rPr>
        <w:t>ed</w:t>
      </w:r>
      <w:r w:rsidR="003E4D45" w:rsidRPr="00D457FF">
        <w:rPr>
          <w:rFonts w:cstheme="minorHAnsi"/>
          <w:color w:val="000000" w:themeColor="text1"/>
          <w:sz w:val="24"/>
          <w:szCs w:val="24"/>
        </w:rPr>
        <w:t xml:space="preserve"> a key role in the </w:t>
      </w:r>
      <w:r w:rsidR="00C40CD5" w:rsidRPr="00D457FF">
        <w:rPr>
          <w:rFonts w:cstheme="minorHAnsi"/>
          <w:color w:val="000000" w:themeColor="text1"/>
          <w:sz w:val="24"/>
          <w:szCs w:val="24"/>
        </w:rPr>
        <w:t xml:space="preserve">design of the </w:t>
      </w:r>
      <w:r w:rsidR="003E4D45" w:rsidRPr="00D457FF">
        <w:rPr>
          <w:rFonts w:cstheme="minorHAnsi"/>
          <w:color w:val="000000" w:themeColor="text1"/>
          <w:sz w:val="24"/>
          <w:szCs w:val="24"/>
        </w:rPr>
        <w:t>project</w:t>
      </w:r>
      <w:r w:rsidR="00EA620A" w:rsidRPr="00D457FF">
        <w:rPr>
          <w:rFonts w:cstheme="minorHAnsi"/>
          <w:color w:val="000000" w:themeColor="text1"/>
          <w:sz w:val="24"/>
          <w:szCs w:val="24"/>
        </w:rPr>
        <w:t xml:space="preserve"> providing adv</w:t>
      </w:r>
      <w:r w:rsidR="00ED5BE5" w:rsidRPr="00D457FF">
        <w:rPr>
          <w:rFonts w:cstheme="minorHAnsi"/>
          <w:color w:val="000000" w:themeColor="text1"/>
          <w:sz w:val="24"/>
          <w:szCs w:val="24"/>
        </w:rPr>
        <w:t>ice during various consultation</w:t>
      </w:r>
      <w:r w:rsidR="00651132" w:rsidRPr="00D457FF">
        <w:rPr>
          <w:rFonts w:cstheme="minorHAnsi"/>
          <w:color w:val="000000" w:themeColor="text1"/>
          <w:sz w:val="24"/>
          <w:szCs w:val="24"/>
        </w:rPr>
        <w:t>s</w:t>
      </w:r>
      <w:r w:rsidR="00ED5BE5" w:rsidRPr="00D457FF">
        <w:rPr>
          <w:rFonts w:cstheme="minorHAnsi"/>
          <w:color w:val="000000" w:themeColor="text1"/>
          <w:sz w:val="24"/>
          <w:szCs w:val="24"/>
        </w:rPr>
        <w:t xml:space="preserve">. The issues of focus in the project are in line with priorities they identified, are already working on but are seeking additional support for. DPOs </w:t>
      </w:r>
      <w:r w:rsidR="003E4D45" w:rsidRPr="00D457FF">
        <w:rPr>
          <w:rFonts w:cstheme="minorHAnsi"/>
          <w:color w:val="000000" w:themeColor="text1"/>
          <w:sz w:val="24"/>
          <w:szCs w:val="24"/>
        </w:rPr>
        <w:t xml:space="preserve">are </w:t>
      </w:r>
      <w:r w:rsidR="001402AE" w:rsidRPr="00D457FF">
        <w:rPr>
          <w:rFonts w:cstheme="minorHAnsi"/>
          <w:color w:val="000000" w:themeColor="text1"/>
          <w:sz w:val="24"/>
          <w:szCs w:val="24"/>
        </w:rPr>
        <w:t xml:space="preserve">expected to actively engage </w:t>
      </w:r>
      <w:r w:rsidRPr="00D457FF">
        <w:rPr>
          <w:rFonts w:cstheme="minorHAnsi"/>
          <w:color w:val="000000" w:themeColor="text1"/>
          <w:sz w:val="24"/>
          <w:szCs w:val="24"/>
        </w:rPr>
        <w:t xml:space="preserve">from </w:t>
      </w:r>
      <w:r w:rsidR="009F5FFC" w:rsidRPr="00D457FF">
        <w:rPr>
          <w:rFonts w:cstheme="minorHAnsi"/>
          <w:color w:val="000000" w:themeColor="text1"/>
          <w:sz w:val="24"/>
          <w:szCs w:val="24"/>
        </w:rPr>
        <w:t xml:space="preserve">implementation </w:t>
      </w:r>
      <w:r w:rsidRPr="00D457FF">
        <w:rPr>
          <w:rFonts w:cstheme="minorHAnsi"/>
          <w:color w:val="000000" w:themeColor="text1"/>
          <w:sz w:val="24"/>
          <w:szCs w:val="24"/>
        </w:rPr>
        <w:t xml:space="preserve">to evaluation </w:t>
      </w:r>
      <w:r w:rsidR="009F5FFC" w:rsidRPr="00D457FF">
        <w:rPr>
          <w:rFonts w:cstheme="minorHAnsi"/>
          <w:color w:val="000000" w:themeColor="text1"/>
          <w:sz w:val="24"/>
          <w:szCs w:val="24"/>
        </w:rPr>
        <w:t xml:space="preserve">of the </w:t>
      </w:r>
      <w:r w:rsidR="001402AE" w:rsidRPr="00D457FF">
        <w:rPr>
          <w:rFonts w:cstheme="minorHAnsi"/>
          <w:color w:val="000000" w:themeColor="text1"/>
          <w:sz w:val="24"/>
          <w:szCs w:val="24"/>
        </w:rPr>
        <w:t>project</w:t>
      </w:r>
      <w:r w:rsidR="00ED5BE5" w:rsidRPr="00D457FF">
        <w:rPr>
          <w:rFonts w:cstheme="minorHAnsi"/>
          <w:color w:val="000000" w:themeColor="text1"/>
          <w:sz w:val="24"/>
          <w:szCs w:val="24"/>
        </w:rPr>
        <w:t xml:space="preserve">. </w:t>
      </w:r>
      <w:r w:rsidR="0032166D" w:rsidRPr="00D457FF">
        <w:rPr>
          <w:rFonts w:cstheme="minorHAnsi"/>
          <w:color w:val="000000" w:themeColor="text1"/>
          <w:sz w:val="24"/>
          <w:szCs w:val="24"/>
        </w:rPr>
        <w:t xml:space="preserve">A number of </w:t>
      </w:r>
      <w:r w:rsidR="001402AE" w:rsidRPr="00D457FF">
        <w:rPr>
          <w:rFonts w:cstheme="minorHAnsi"/>
          <w:color w:val="000000" w:themeColor="text1"/>
          <w:sz w:val="24"/>
          <w:szCs w:val="24"/>
        </w:rPr>
        <w:t xml:space="preserve">DPOs </w:t>
      </w:r>
      <w:r w:rsidR="00820D2B" w:rsidRPr="00D457FF">
        <w:rPr>
          <w:rFonts w:cstheme="minorHAnsi"/>
          <w:color w:val="000000" w:themeColor="text1"/>
          <w:sz w:val="24"/>
          <w:szCs w:val="24"/>
        </w:rPr>
        <w:t xml:space="preserve">will </w:t>
      </w:r>
      <w:r w:rsidR="003E4D45" w:rsidRPr="00D457FF">
        <w:rPr>
          <w:rFonts w:cstheme="minorHAnsi"/>
          <w:color w:val="000000" w:themeColor="text1"/>
          <w:sz w:val="24"/>
          <w:szCs w:val="24"/>
        </w:rPr>
        <w:t xml:space="preserve">sit on a </w:t>
      </w:r>
      <w:r w:rsidRPr="00D457FF">
        <w:rPr>
          <w:rFonts w:cstheme="minorHAnsi"/>
          <w:color w:val="000000" w:themeColor="text1"/>
          <w:sz w:val="24"/>
          <w:szCs w:val="24"/>
        </w:rPr>
        <w:t xml:space="preserve">governance </w:t>
      </w:r>
      <w:r w:rsidR="003E4D45" w:rsidRPr="00D457FF">
        <w:rPr>
          <w:rFonts w:cstheme="minorHAnsi"/>
          <w:color w:val="000000" w:themeColor="text1"/>
          <w:sz w:val="24"/>
          <w:szCs w:val="24"/>
        </w:rPr>
        <w:t>committee</w:t>
      </w:r>
      <w:r w:rsidRPr="00D457FF">
        <w:rPr>
          <w:rFonts w:cstheme="minorHAnsi"/>
          <w:color w:val="000000" w:themeColor="text1"/>
          <w:sz w:val="24"/>
          <w:szCs w:val="24"/>
        </w:rPr>
        <w:t xml:space="preserve"> </w:t>
      </w:r>
      <w:r w:rsidR="001402AE" w:rsidRPr="00D457FF">
        <w:rPr>
          <w:rFonts w:cstheme="minorHAnsi"/>
          <w:color w:val="000000" w:themeColor="text1"/>
          <w:sz w:val="24"/>
          <w:szCs w:val="24"/>
        </w:rPr>
        <w:t xml:space="preserve">to </w:t>
      </w:r>
      <w:r w:rsidR="00F0233C" w:rsidRPr="00D457FF">
        <w:rPr>
          <w:rFonts w:cstheme="minorHAnsi"/>
          <w:color w:val="000000" w:themeColor="text1"/>
          <w:sz w:val="24"/>
          <w:szCs w:val="24"/>
        </w:rPr>
        <w:t>advise</w:t>
      </w:r>
      <w:r w:rsidR="001402AE" w:rsidRPr="00D457FF">
        <w:rPr>
          <w:rFonts w:cstheme="minorHAnsi"/>
          <w:color w:val="000000" w:themeColor="text1"/>
          <w:sz w:val="24"/>
          <w:szCs w:val="24"/>
        </w:rPr>
        <w:t xml:space="preserve"> and oversee the project</w:t>
      </w:r>
      <w:r w:rsidR="006912CE" w:rsidRPr="00D457FF">
        <w:rPr>
          <w:rFonts w:cstheme="minorHAnsi"/>
          <w:color w:val="000000" w:themeColor="text1"/>
          <w:sz w:val="24"/>
          <w:szCs w:val="24"/>
        </w:rPr>
        <w:t>, with attention to gender parity</w:t>
      </w:r>
      <w:r w:rsidR="001402AE" w:rsidRPr="00D457FF">
        <w:rPr>
          <w:rFonts w:cstheme="minorHAnsi"/>
          <w:color w:val="000000" w:themeColor="text1"/>
          <w:sz w:val="24"/>
          <w:szCs w:val="24"/>
        </w:rPr>
        <w:t xml:space="preserve">. </w:t>
      </w:r>
      <w:r w:rsidR="00D86431" w:rsidRPr="00D457FF">
        <w:rPr>
          <w:rFonts w:cstheme="minorHAnsi"/>
          <w:color w:val="000000" w:themeColor="text1"/>
          <w:sz w:val="24"/>
          <w:szCs w:val="24"/>
        </w:rPr>
        <w:t xml:space="preserve">Most of the </w:t>
      </w:r>
      <w:r w:rsidRPr="00D457FF">
        <w:rPr>
          <w:rFonts w:cstheme="minorHAnsi"/>
          <w:color w:val="000000" w:themeColor="text1"/>
          <w:sz w:val="24"/>
          <w:szCs w:val="24"/>
        </w:rPr>
        <w:t>a</w:t>
      </w:r>
      <w:r w:rsidR="001402AE" w:rsidRPr="00D457FF">
        <w:rPr>
          <w:rFonts w:cstheme="minorHAnsi"/>
          <w:color w:val="000000" w:themeColor="text1"/>
          <w:sz w:val="24"/>
          <w:szCs w:val="24"/>
        </w:rPr>
        <w:t xml:space="preserve">ctivities under the project will be undertaken </w:t>
      </w:r>
      <w:r w:rsidRPr="00D457FF">
        <w:rPr>
          <w:rFonts w:cstheme="minorHAnsi"/>
          <w:color w:val="000000" w:themeColor="text1"/>
          <w:sz w:val="24"/>
          <w:szCs w:val="24"/>
        </w:rPr>
        <w:t xml:space="preserve">directly </w:t>
      </w:r>
      <w:r w:rsidR="001402AE" w:rsidRPr="00D457FF">
        <w:rPr>
          <w:rFonts w:cstheme="minorHAnsi"/>
          <w:color w:val="000000" w:themeColor="text1"/>
          <w:sz w:val="24"/>
          <w:szCs w:val="24"/>
        </w:rPr>
        <w:t xml:space="preserve">with persons with disabilities, </w:t>
      </w:r>
      <w:r w:rsidRPr="00D457FF">
        <w:rPr>
          <w:rFonts w:cstheme="minorHAnsi"/>
          <w:color w:val="000000" w:themeColor="text1"/>
          <w:sz w:val="24"/>
          <w:szCs w:val="24"/>
        </w:rPr>
        <w:t xml:space="preserve">either as partners to do outreach on </w:t>
      </w:r>
      <w:r w:rsidR="005A5ABF" w:rsidRPr="00D457FF">
        <w:rPr>
          <w:rFonts w:cstheme="minorHAnsi"/>
          <w:color w:val="000000" w:themeColor="text1"/>
          <w:sz w:val="24"/>
          <w:szCs w:val="24"/>
        </w:rPr>
        <w:t>CRPD</w:t>
      </w:r>
      <w:r w:rsidRPr="00D457FF">
        <w:rPr>
          <w:rFonts w:cstheme="minorHAnsi"/>
          <w:color w:val="000000" w:themeColor="text1"/>
          <w:sz w:val="24"/>
          <w:szCs w:val="24"/>
        </w:rPr>
        <w:t xml:space="preserve">, </w:t>
      </w:r>
      <w:r w:rsidR="0032166D" w:rsidRPr="00D457FF">
        <w:rPr>
          <w:rFonts w:cstheme="minorHAnsi"/>
          <w:color w:val="000000" w:themeColor="text1"/>
          <w:sz w:val="24"/>
          <w:szCs w:val="24"/>
        </w:rPr>
        <w:t xml:space="preserve">or </w:t>
      </w:r>
      <w:r w:rsidR="00EA620A" w:rsidRPr="00D457FF">
        <w:rPr>
          <w:rFonts w:cstheme="minorHAnsi"/>
          <w:color w:val="000000" w:themeColor="text1"/>
          <w:sz w:val="24"/>
          <w:szCs w:val="24"/>
        </w:rPr>
        <w:t xml:space="preserve">as direct beneficiaries. </w:t>
      </w:r>
      <w:r w:rsidR="00C40CD5" w:rsidRPr="00D457FF">
        <w:rPr>
          <w:rFonts w:cstheme="minorHAnsi"/>
          <w:color w:val="000000" w:themeColor="text1"/>
          <w:sz w:val="24"/>
          <w:szCs w:val="24"/>
        </w:rPr>
        <w:t>C</w:t>
      </w:r>
      <w:r w:rsidR="001402AE" w:rsidRPr="00D457FF">
        <w:rPr>
          <w:rFonts w:cstheme="minorHAnsi"/>
          <w:color w:val="000000" w:themeColor="text1"/>
          <w:sz w:val="24"/>
          <w:szCs w:val="24"/>
        </w:rPr>
        <w:t xml:space="preserve">apacity building </w:t>
      </w:r>
      <w:r w:rsidR="00820D2B" w:rsidRPr="00D457FF">
        <w:rPr>
          <w:rFonts w:cstheme="minorHAnsi"/>
          <w:color w:val="000000" w:themeColor="text1"/>
          <w:sz w:val="24"/>
          <w:szCs w:val="24"/>
        </w:rPr>
        <w:t xml:space="preserve">that </w:t>
      </w:r>
      <w:r w:rsidR="001402AE" w:rsidRPr="00D457FF">
        <w:rPr>
          <w:rFonts w:cstheme="minorHAnsi"/>
          <w:color w:val="000000" w:themeColor="text1"/>
          <w:sz w:val="24"/>
          <w:szCs w:val="24"/>
        </w:rPr>
        <w:t xml:space="preserve">is currently ongoing with DPOs </w:t>
      </w:r>
      <w:r w:rsidR="00231A12" w:rsidRPr="00D457FF">
        <w:rPr>
          <w:rFonts w:cstheme="minorHAnsi"/>
          <w:color w:val="000000" w:themeColor="text1"/>
          <w:sz w:val="24"/>
          <w:szCs w:val="24"/>
        </w:rPr>
        <w:t>–</w:t>
      </w:r>
      <w:r w:rsidR="00F0233C" w:rsidRPr="00D457FF">
        <w:rPr>
          <w:rFonts w:cstheme="minorHAnsi"/>
          <w:color w:val="000000" w:themeColor="text1"/>
          <w:sz w:val="24"/>
          <w:szCs w:val="24"/>
        </w:rPr>
        <w:t xml:space="preserve"> </w:t>
      </w:r>
      <w:r w:rsidR="00231A12" w:rsidRPr="00D457FF">
        <w:rPr>
          <w:rFonts w:cstheme="minorHAnsi"/>
          <w:color w:val="000000" w:themeColor="text1"/>
          <w:sz w:val="24"/>
          <w:szCs w:val="24"/>
        </w:rPr>
        <w:t xml:space="preserve">for instance </w:t>
      </w:r>
      <w:r w:rsidR="001402AE" w:rsidRPr="00D457FF">
        <w:rPr>
          <w:rFonts w:cstheme="minorHAnsi"/>
          <w:color w:val="000000" w:themeColor="text1"/>
          <w:sz w:val="24"/>
          <w:szCs w:val="24"/>
        </w:rPr>
        <w:t xml:space="preserve">to </w:t>
      </w:r>
      <w:r w:rsidR="002E5A2D" w:rsidRPr="00D457FF">
        <w:rPr>
          <w:rFonts w:cstheme="minorHAnsi"/>
          <w:color w:val="000000" w:themeColor="text1"/>
          <w:sz w:val="24"/>
          <w:szCs w:val="24"/>
        </w:rPr>
        <w:t>advocate</w:t>
      </w:r>
      <w:r w:rsidR="00F0233C" w:rsidRPr="00D457FF">
        <w:rPr>
          <w:rFonts w:cstheme="minorHAnsi"/>
          <w:color w:val="000000" w:themeColor="text1"/>
          <w:sz w:val="24"/>
          <w:szCs w:val="24"/>
        </w:rPr>
        <w:t xml:space="preserve"> for ratification of </w:t>
      </w:r>
      <w:r w:rsidR="005A5ABF" w:rsidRPr="00D457FF">
        <w:rPr>
          <w:rFonts w:cstheme="minorHAnsi"/>
          <w:color w:val="000000" w:themeColor="text1"/>
          <w:sz w:val="24"/>
          <w:szCs w:val="24"/>
        </w:rPr>
        <w:t>CRPD</w:t>
      </w:r>
      <w:r w:rsidR="001402AE" w:rsidRPr="00D457FF">
        <w:rPr>
          <w:rFonts w:cstheme="minorHAnsi"/>
          <w:color w:val="000000" w:themeColor="text1"/>
          <w:sz w:val="24"/>
          <w:szCs w:val="24"/>
        </w:rPr>
        <w:t xml:space="preserve"> </w:t>
      </w:r>
      <w:r w:rsidR="00F0233C" w:rsidRPr="00D457FF">
        <w:rPr>
          <w:rFonts w:cstheme="minorHAnsi"/>
          <w:color w:val="000000" w:themeColor="text1"/>
          <w:sz w:val="24"/>
          <w:szCs w:val="24"/>
        </w:rPr>
        <w:t xml:space="preserve">- </w:t>
      </w:r>
      <w:r w:rsidR="001402AE" w:rsidRPr="00D457FF">
        <w:rPr>
          <w:rFonts w:cstheme="minorHAnsi"/>
          <w:color w:val="000000" w:themeColor="text1"/>
          <w:sz w:val="24"/>
          <w:szCs w:val="24"/>
        </w:rPr>
        <w:t xml:space="preserve">will </w:t>
      </w:r>
      <w:r w:rsidR="000571F8" w:rsidRPr="00D457FF">
        <w:rPr>
          <w:rFonts w:cstheme="minorHAnsi"/>
          <w:color w:val="000000" w:themeColor="text1"/>
          <w:sz w:val="24"/>
          <w:szCs w:val="24"/>
        </w:rPr>
        <w:t>continue but</w:t>
      </w:r>
      <w:r w:rsidR="00F0233C" w:rsidRPr="00D457FF">
        <w:rPr>
          <w:rFonts w:cstheme="minorHAnsi"/>
          <w:color w:val="000000" w:themeColor="text1"/>
          <w:sz w:val="24"/>
          <w:szCs w:val="24"/>
        </w:rPr>
        <w:t xml:space="preserve"> will later in the project </w:t>
      </w:r>
      <w:r w:rsidR="001402AE" w:rsidRPr="00D457FF">
        <w:rPr>
          <w:rFonts w:cstheme="minorHAnsi"/>
          <w:color w:val="000000" w:themeColor="text1"/>
          <w:sz w:val="24"/>
          <w:szCs w:val="24"/>
        </w:rPr>
        <w:t>focus on DPOs submitt</w:t>
      </w:r>
      <w:r w:rsidR="00820D2B" w:rsidRPr="00D457FF">
        <w:rPr>
          <w:rFonts w:cstheme="minorHAnsi"/>
          <w:color w:val="000000" w:themeColor="text1"/>
          <w:sz w:val="24"/>
          <w:szCs w:val="24"/>
        </w:rPr>
        <w:t>ing</w:t>
      </w:r>
      <w:r w:rsidR="001402AE" w:rsidRPr="00D457FF">
        <w:rPr>
          <w:rFonts w:cstheme="minorHAnsi"/>
          <w:color w:val="000000" w:themeColor="text1"/>
          <w:sz w:val="24"/>
          <w:szCs w:val="24"/>
        </w:rPr>
        <w:t xml:space="preserve"> their first report to the </w:t>
      </w:r>
      <w:r w:rsidR="005A5ABF" w:rsidRPr="00D457FF">
        <w:rPr>
          <w:rFonts w:cstheme="minorHAnsi"/>
          <w:color w:val="000000" w:themeColor="text1"/>
          <w:sz w:val="24"/>
          <w:szCs w:val="24"/>
        </w:rPr>
        <w:t>CRPD</w:t>
      </w:r>
      <w:r w:rsidR="001402AE" w:rsidRPr="00D457FF">
        <w:rPr>
          <w:rFonts w:cstheme="minorHAnsi"/>
          <w:color w:val="000000" w:themeColor="text1"/>
          <w:sz w:val="24"/>
          <w:szCs w:val="24"/>
        </w:rPr>
        <w:t xml:space="preserve"> Committee. </w:t>
      </w:r>
      <w:r w:rsidR="00F0233C" w:rsidRPr="00D457FF">
        <w:rPr>
          <w:rFonts w:cstheme="minorHAnsi"/>
          <w:color w:val="000000" w:themeColor="text1"/>
          <w:sz w:val="24"/>
          <w:szCs w:val="24"/>
        </w:rPr>
        <w:t>Joint development and implementation of public advocacy and training for key s</w:t>
      </w:r>
      <w:r w:rsidR="009F5FFC" w:rsidRPr="00D457FF">
        <w:rPr>
          <w:rFonts w:cstheme="minorHAnsi"/>
          <w:color w:val="000000" w:themeColor="text1"/>
          <w:sz w:val="24"/>
          <w:szCs w:val="24"/>
        </w:rPr>
        <w:t>ervice providers</w:t>
      </w:r>
      <w:r w:rsidR="00F0233C" w:rsidRPr="00D457FF">
        <w:rPr>
          <w:rFonts w:cstheme="minorHAnsi"/>
          <w:color w:val="000000" w:themeColor="text1"/>
          <w:sz w:val="24"/>
          <w:szCs w:val="24"/>
        </w:rPr>
        <w:t xml:space="preserve"> is also aimed at</w:t>
      </w:r>
      <w:r w:rsidR="009F5FFC" w:rsidRPr="00D457FF">
        <w:rPr>
          <w:rFonts w:cstheme="minorHAnsi"/>
          <w:color w:val="000000" w:themeColor="text1"/>
          <w:sz w:val="24"/>
          <w:szCs w:val="24"/>
        </w:rPr>
        <w:t xml:space="preserve"> strengthen</w:t>
      </w:r>
      <w:r w:rsidR="00F0233C" w:rsidRPr="00D457FF">
        <w:rPr>
          <w:rFonts w:cstheme="minorHAnsi"/>
          <w:color w:val="000000" w:themeColor="text1"/>
          <w:sz w:val="24"/>
          <w:szCs w:val="24"/>
        </w:rPr>
        <w:t>ing</w:t>
      </w:r>
      <w:r w:rsidR="009F5FFC" w:rsidRPr="00D457FF">
        <w:rPr>
          <w:rFonts w:cstheme="minorHAnsi"/>
          <w:color w:val="000000" w:themeColor="text1"/>
          <w:sz w:val="24"/>
          <w:szCs w:val="24"/>
        </w:rPr>
        <w:t xml:space="preserve"> DPO</w:t>
      </w:r>
      <w:r w:rsidR="00F0233C" w:rsidRPr="00D457FF">
        <w:rPr>
          <w:rFonts w:cstheme="minorHAnsi"/>
          <w:color w:val="000000" w:themeColor="text1"/>
          <w:sz w:val="24"/>
          <w:szCs w:val="24"/>
        </w:rPr>
        <w:t>s</w:t>
      </w:r>
      <w:r w:rsidR="009F5FFC" w:rsidRPr="00D457FF">
        <w:rPr>
          <w:rFonts w:cstheme="minorHAnsi"/>
          <w:color w:val="000000" w:themeColor="text1"/>
          <w:sz w:val="24"/>
          <w:szCs w:val="24"/>
        </w:rPr>
        <w:t xml:space="preserve"> facilitation/training capacities. </w:t>
      </w:r>
    </w:p>
    <w:p w14:paraId="254875AF" w14:textId="79648570" w:rsidR="0032166D" w:rsidRPr="00D457FF" w:rsidRDefault="0032166D" w:rsidP="00D457FF">
      <w:pPr>
        <w:shd w:val="clear" w:color="auto" w:fill="FFFFFF" w:themeFill="background1"/>
        <w:spacing w:before="200" w:line="23" w:lineRule="atLeast"/>
        <w:jc w:val="both"/>
        <w:rPr>
          <w:rFonts w:cstheme="minorHAnsi"/>
          <w:color w:val="000000" w:themeColor="text1"/>
          <w:sz w:val="24"/>
          <w:szCs w:val="24"/>
        </w:rPr>
      </w:pPr>
      <w:r w:rsidRPr="00D457FF">
        <w:rPr>
          <w:rFonts w:cstheme="minorHAnsi"/>
          <w:color w:val="000000" w:themeColor="text1"/>
          <w:sz w:val="24"/>
          <w:szCs w:val="24"/>
        </w:rPr>
        <w:lastRenderedPageBreak/>
        <w:t xml:space="preserve">The UN will seek advice from DPOs as to how </w:t>
      </w:r>
      <w:r w:rsidR="00106C5C" w:rsidRPr="00D457FF">
        <w:rPr>
          <w:rFonts w:cstheme="minorHAnsi"/>
          <w:color w:val="000000" w:themeColor="text1"/>
          <w:sz w:val="24"/>
          <w:szCs w:val="24"/>
        </w:rPr>
        <w:t xml:space="preserve">best to </w:t>
      </w:r>
      <w:r w:rsidRPr="00D457FF">
        <w:rPr>
          <w:rFonts w:cstheme="minorHAnsi"/>
          <w:color w:val="000000" w:themeColor="text1"/>
          <w:sz w:val="24"/>
          <w:szCs w:val="24"/>
        </w:rPr>
        <w:t>ensure that persons with disabilities can meaningfully participa</w:t>
      </w:r>
      <w:r w:rsidR="00D86431" w:rsidRPr="00D457FF">
        <w:rPr>
          <w:rFonts w:cstheme="minorHAnsi"/>
          <w:color w:val="000000" w:themeColor="text1"/>
          <w:sz w:val="24"/>
          <w:szCs w:val="24"/>
        </w:rPr>
        <w:t xml:space="preserve">te in all stages of the project, and that accessibility is fully guaranteed. UN agencies will continue to ensure that documentation is available </w:t>
      </w:r>
      <w:r w:rsidR="000B3408" w:rsidRPr="00D457FF">
        <w:rPr>
          <w:rFonts w:cstheme="minorHAnsi"/>
          <w:color w:val="000000" w:themeColor="text1"/>
          <w:sz w:val="24"/>
          <w:szCs w:val="24"/>
        </w:rPr>
        <w:t>in accessible format</w:t>
      </w:r>
      <w:r w:rsidR="003C06C7" w:rsidRPr="00D457FF">
        <w:rPr>
          <w:rFonts w:cstheme="minorHAnsi"/>
          <w:color w:val="000000" w:themeColor="text1"/>
          <w:sz w:val="24"/>
          <w:szCs w:val="24"/>
        </w:rPr>
        <w:t>s</w:t>
      </w:r>
      <w:r w:rsidR="006E798C" w:rsidRPr="00D457FF">
        <w:rPr>
          <w:rFonts w:cstheme="minorHAnsi"/>
          <w:color w:val="000000" w:themeColor="text1"/>
          <w:sz w:val="24"/>
          <w:szCs w:val="24"/>
        </w:rPr>
        <w:t xml:space="preserve"> </w:t>
      </w:r>
      <w:r w:rsidR="000B3408" w:rsidRPr="00D457FF">
        <w:rPr>
          <w:rFonts w:cstheme="minorHAnsi"/>
          <w:color w:val="000000" w:themeColor="text1"/>
          <w:sz w:val="24"/>
          <w:szCs w:val="24"/>
        </w:rPr>
        <w:t xml:space="preserve">(e.g.in </w:t>
      </w:r>
      <w:r w:rsidR="00D86431" w:rsidRPr="00D457FF">
        <w:rPr>
          <w:rFonts w:cstheme="minorHAnsi"/>
          <w:color w:val="000000" w:themeColor="text1"/>
          <w:sz w:val="24"/>
          <w:szCs w:val="24"/>
        </w:rPr>
        <w:t>Braille</w:t>
      </w:r>
      <w:r w:rsidR="000B3408" w:rsidRPr="00D457FF">
        <w:rPr>
          <w:rFonts w:cstheme="minorHAnsi"/>
          <w:color w:val="000000" w:themeColor="text1"/>
          <w:sz w:val="24"/>
          <w:szCs w:val="24"/>
        </w:rPr>
        <w:t>)</w:t>
      </w:r>
      <w:r w:rsidR="00D86431" w:rsidRPr="00D457FF">
        <w:rPr>
          <w:rFonts w:cstheme="minorHAnsi"/>
          <w:color w:val="000000" w:themeColor="text1"/>
          <w:sz w:val="24"/>
          <w:szCs w:val="24"/>
        </w:rPr>
        <w:t>, and that venues selected are accessible. Support will be sought from a DPO that facilitate</w:t>
      </w:r>
      <w:r w:rsidR="00106C5C" w:rsidRPr="00D457FF">
        <w:rPr>
          <w:rFonts w:cstheme="minorHAnsi"/>
          <w:color w:val="000000" w:themeColor="text1"/>
          <w:sz w:val="24"/>
          <w:szCs w:val="24"/>
        </w:rPr>
        <w:t>s</w:t>
      </w:r>
      <w:r w:rsidR="00D86431" w:rsidRPr="00D457FF">
        <w:rPr>
          <w:rFonts w:cstheme="minorHAnsi"/>
          <w:color w:val="000000" w:themeColor="text1"/>
          <w:sz w:val="24"/>
          <w:szCs w:val="24"/>
        </w:rPr>
        <w:t xml:space="preserve"> sign language. Resources will be made available in the project to ensure accessibility. </w:t>
      </w:r>
      <w:r w:rsidR="006C1726" w:rsidRPr="00D457FF">
        <w:rPr>
          <w:rFonts w:cstheme="minorHAnsi"/>
          <w:color w:val="000000" w:themeColor="text1"/>
          <w:sz w:val="24"/>
          <w:szCs w:val="24"/>
        </w:rPr>
        <w:t>For example, an audit by DPOs will inform</w:t>
      </w:r>
      <w:r w:rsidR="00E60117" w:rsidRPr="00D457FF">
        <w:rPr>
          <w:rFonts w:cstheme="minorHAnsi"/>
          <w:color w:val="000000" w:themeColor="text1"/>
          <w:sz w:val="24"/>
          <w:szCs w:val="24"/>
        </w:rPr>
        <w:t xml:space="preserve"> necessary</w:t>
      </w:r>
      <w:r w:rsidR="006C1726" w:rsidRPr="00D457FF">
        <w:rPr>
          <w:rFonts w:cstheme="minorHAnsi"/>
          <w:color w:val="000000" w:themeColor="text1"/>
          <w:sz w:val="24"/>
          <w:szCs w:val="24"/>
        </w:rPr>
        <w:t xml:space="preserve"> improvements in the accessibility of t</w:t>
      </w:r>
      <w:r w:rsidR="00D86431" w:rsidRPr="00D457FF">
        <w:rPr>
          <w:rFonts w:cstheme="minorHAnsi"/>
          <w:color w:val="000000" w:themeColor="text1"/>
          <w:sz w:val="24"/>
          <w:szCs w:val="24"/>
        </w:rPr>
        <w:t xml:space="preserve">he UN compound and its facilities for persons with disabilities. </w:t>
      </w:r>
    </w:p>
    <w:p w14:paraId="11138ED9" w14:textId="1A1DF649" w:rsidR="00E63255" w:rsidRPr="00D457FF" w:rsidRDefault="00D457FF" w:rsidP="008C6FE3">
      <w:pPr>
        <w:pStyle w:val="Heading1"/>
      </w:pPr>
      <w:r>
        <w:t xml:space="preserve">4. </w:t>
      </w:r>
      <w:r w:rsidR="003A4197" w:rsidRPr="00D457FF">
        <w:t>P</w:t>
      </w:r>
      <w:r w:rsidR="00BF0262" w:rsidRPr="00D457FF">
        <w:t xml:space="preserve">artnership-building </w:t>
      </w:r>
      <w:r w:rsidR="0083617E" w:rsidRPr="00D457FF">
        <w:t>potential</w:t>
      </w:r>
      <w:r w:rsidR="00B30AE6" w:rsidRPr="00D457FF">
        <w:t xml:space="preserve"> </w:t>
      </w:r>
    </w:p>
    <w:p w14:paraId="47A1B4A3" w14:textId="1A78BF1B" w:rsidR="004D35FA" w:rsidRPr="00D457FF" w:rsidRDefault="00D02708" w:rsidP="00D457FF">
      <w:pPr>
        <w:shd w:val="clear" w:color="auto" w:fill="FFFFFF" w:themeFill="background1"/>
        <w:spacing w:before="200" w:line="240" w:lineRule="auto"/>
        <w:jc w:val="both"/>
        <w:rPr>
          <w:color w:val="000000" w:themeColor="text1"/>
          <w:sz w:val="24"/>
          <w:szCs w:val="24"/>
        </w:rPr>
      </w:pPr>
      <w:r w:rsidRPr="00D457FF">
        <w:rPr>
          <w:sz w:val="24"/>
          <w:szCs w:val="24"/>
        </w:rPr>
        <w:t>The</w:t>
      </w:r>
      <w:r w:rsidR="006812FF" w:rsidRPr="00D457FF">
        <w:rPr>
          <w:sz w:val="24"/>
          <w:szCs w:val="24"/>
        </w:rPr>
        <w:t xml:space="preserve"> project will support</w:t>
      </w:r>
      <w:r w:rsidR="003C06C7" w:rsidRPr="00D457FF">
        <w:rPr>
          <w:sz w:val="24"/>
          <w:szCs w:val="24"/>
        </w:rPr>
        <w:t xml:space="preserve"> the</w:t>
      </w:r>
      <w:r w:rsidR="006812FF" w:rsidRPr="00D457FF">
        <w:rPr>
          <w:sz w:val="24"/>
          <w:szCs w:val="24"/>
        </w:rPr>
        <w:t xml:space="preserve"> inclusion of DPOs into existing referral networks on </w:t>
      </w:r>
      <w:r w:rsidR="000571F8" w:rsidRPr="00D457FF">
        <w:rPr>
          <w:sz w:val="24"/>
          <w:szCs w:val="24"/>
        </w:rPr>
        <w:t>GBV.</w:t>
      </w:r>
      <w:r w:rsidR="00E9264A" w:rsidRPr="00D457FF">
        <w:rPr>
          <w:sz w:val="24"/>
          <w:szCs w:val="24"/>
        </w:rPr>
        <w:t xml:space="preserve"> </w:t>
      </w:r>
      <w:r w:rsidR="006812FF" w:rsidRPr="00D457FF">
        <w:rPr>
          <w:color w:val="000000" w:themeColor="text1"/>
          <w:sz w:val="24"/>
          <w:szCs w:val="24"/>
        </w:rPr>
        <w:t>With project support</w:t>
      </w:r>
      <w:r w:rsidR="008F4438" w:rsidRPr="00D457FF">
        <w:rPr>
          <w:color w:val="000000" w:themeColor="text1"/>
          <w:sz w:val="24"/>
          <w:szCs w:val="24"/>
        </w:rPr>
        <w:t>,</w:t>
      </w:r>
      <w:r w:rsidR="004814E2" w:rsidRPr="00D457FF">
        <w:rPr>
          <w:color w:val="000000" w:themeColor="text1"/>
          <w:sz w:val="24"/>
          <w:szCs w:val="24"/>
        </w:rPr>
        <w:t xml:space="preserve"> including through producing tools, capacity building thereon and mentoring, </w:t>
      </w:r>
      <w:r w:rsidR="008F4438" w:rsidRPr="00D457FF">
        <w:rPr>
          <w:color w:val="000000" w:themeColor="text1"/>
          <w:sz w:val="24"/>
          <w:szCs w:val="24"/>
        </w:rPr>
        <w:t>DPOs will be enabled</w:t>
      </w:r>
      <w:r w:rsidR="004814E2" w:rsidRPr="00D457FF">
        <w:rPr>
          <w:color w:val="000000" w:themeColor="text1"/>
          <w:sz w:val="24"/>
          <w:szCs w:val="24"/>
        </w:rPr>
        <w:t xml:space="preserve"> </w:t>
      </w:r>
      <w:r w:rsidR="008F4438" w:rsidRPr="00D457FF">
        <w:rPr>
          <w:color w:val="000000" w:themeColor="text1"/>
          <w:sz w:val="24"/>
          <w:szCs w:val="24"/>
        </w:rPr>
        <w:t>to</w:t>
      </w:r>
      <w:r w:rsidR="00ED184F" w:rsidRPr="00D457FF">
        <w:rPr>
          <w:color w:val="000000" w:themeColor="text1"/>
          <w:sz w:val="24"/>
          <w:szCs w:val="24"/>
        </w:rPr>
        <w:t xml:space="preserve"> build</w:t>
      </w:r>
      <w:r w:rsidR="008F4438" w:rsidRPr="00D457FF">
        <w:rPr>
          <w:color w:val="000000" w:themeColor="text1"/>
          <w:sz w:val="24"/>
          <w:szCs w:val="24"/>
        </w:rPr>
        <w:t xml:space="preserve"> capacity of key service providers. This collaboration will </w:t>
      </w:r>
      <w:r w:rsidR="00D214D5" w:rsidRPr="00D457FF">
        <w:rPr>
          <w:color w:val="000000" w:themeColor="text1"/>
          <w:sz w:val="24"/>
          <w:szCs w:val="24"/>
        </w:rPr>
        <w:t>reinforce</w:t>
      </w:r>
      <w:r w:rsidR="008F4438" w:rsidRPr="00D457FF">
        <w:rPr>
          <w:color w:val="000000" w:themeColor="text1"/>
          <w:sz w:val="24"/>
          <w:szCs w:val="24"/>
        </w:rPr>
        <w:t xml:space="preserve"> existing </w:t>
      </w:r>
      <w:r w:rsidR="00503E62" w:rsidRPr="00D457FF">
        <w:rPr>
          <w:color w:val="000000" w:themeColor="text1"/>
          <w:sz w:val="24"/>
          <w:szCs w:val="24"/>
        </w:rPr>
        <w:t>p</w:t>
      </w:r>
      <w:r w:rsidR="008F4438" w:rsidRPr="00D457FF">
        <w:rPr>
          <w:color w:val="000000" w:themeColor="text1"/>
          <w:sz w:val="24"/>
          <w:szCs w:val="24"/>
        </w:rPr>
        <w:t>artnerships between persons with disabilities</w:t>
      </w:r>
      <w:r w:rsidR="00503E62" w:rsidRPr="00D457FF">
        <w:rPr>
          <w:color w:val="000000" w:themeColor="text1"/>
          <w:sz w:val="24"/>
          <w:szCs w:val="24"/>
        </w:rPr>
        <w:t xml:space="preserve"> and State Institutions in health, education and social protection and establish new </w:t>
      </w:r>
      <w:r w:rsidR="004814E2" w:rsidRPr="00D457FF">
        <w:rPr>
          <w:color w:val="000000" w:themeColor="text1"/>
          <w:sz w:val="24"/>
          <w:szCs w:val="24"/>
        </w:rPr>
        <w:t>ones</w:t>
      </w:r>
      <w:r w:rsidR="00503E62" w:rsidRPr="00D457FF">
        <w:rPr>
          <w:color w:val="000000" w:themeColor="text1"/>
          <w:sz w:val="24"/>
          <w:szCs w:val="24"/>
        </w:rPr>
        <w:t xml:space="preserve"> </w:t>
      </w:r>
      <w:r w:rsidR="004814E2" w:rsidRPr="00D457FF">
        <w:rPr>
          <w:color w:val="000000" w:themeColor="text1"/>
          <w:sz w:val="24"/>
          <w:szCs w:val="24"/>
        </w:rPr>
        <w:t xml:space="preserve">with the </w:t>
      </w:r>
      <w:r w:rsidR="00503E62" w:rsidRPr="00D457FF">
        <w:rPr>
          <w:color w:val="000000" w:themeColor="text1"/>
          <w:sz w:val="24"/>
          <w:szCs w:val="24"/>
        </w:rPr>
        <w:t>Judiciary</w:t>
      </w:r>
      <w:r w:rsidR="008F4438" w:rsidRPr="00D457FF">
        <w:rPr>
          <w:color w:val="000000" w:themeColor="text1"/>
          <w:sz w:val="24"/>
          <w:szCs w:val="24"/>
        </w:rPr>
        <w:t>.</w:t>
      </w:r>
      <w:r w:rsidR="00503E62" w:rsidRPr="00D457FF">
        <w:rPr>
          <w:color w:val="000000" w:themeColor="text1"/>
          <w:sz w:val="24"/>
          <w:szCs w:val="24"/>
        </w:rPr>
        <w:t xml:space="preserve"> Joint advocacy</w:t>
      </w:r>
      <w:r w:rsidR="004814E2" w:rsidRPr="00D457FF">
        <w:rPr>
          <w:color w:val="000000" w:themeColor="text1"/>
          <w:sz w:val="24"/>
          <w:szCs w:val="24"/>
        </w:rPr>
        <w:t xml:space="preserve"> to</w:t>
      </w:r>
      <w:r w:rsidR="00503E62" w:rsidRPr="00D457FF">
        <w:rPr>
          <w:color w:val="000000" w:themeColor="text1"/>
          <w:sz w:val="24"/>
          <w:szCs w:val="24"/>
        </w:rPr>
        <w:t xml:space="preserve"> prevent</w:t>
      </w:r>
      <w:r w:rsidR="004814E2" w:rsidRPr="00D457FF">
        <w:rPr>
          <w:color w:val="000000" w:themeColor="text1"/>
          <w:sz w:val="24"/>
          <w:szCs w:val="24"/>
        </w:rPr>
        <w:t xml:space="preserve"> discrimination and violence</w:t>
      </w:r>
      <w:r w:rsidR="00503E62" w:rsidRPr="00D457FF">
        <w:rPr>
          <w:color w:val="000000" w:themeColor="text1"/>
          <w:sz w:val="24"/>
          <w:szCs w:val="24"/>
        </w:rPr>
        <w:t xml:space="preserve"> will strengthen DPO partnership with </w:t>
      </w:r>
      <w:r w:rsidR="004814E2" w:rsidRPr="00D457FF">
        <w:rPr>
          <w:color w:val="000000" w:themeColor="text1"/>
          <w:sz w:val="24"/>
          <w:szCs w:val="24"/>
        </w:rPr>
        <w:t xml:space="preserve">civil society, </w:t>
      </w:r>
      <w:r w:rsidR="00503E62" w:rsidRPr="00D457FF">
        <w:rPr>
          <w:color w:val="000000" w:themeColor="text1"/>
          <w:sz w:val="24"/>
          <w:szCs w:val="24"/>
        </w:rPr>
        <w:t>the women’s network, the NAP GBV Coordination Entity</w:t>
      </w:r>
      <w:r w:rsidR="00D214D5" w:rsidRPr="00D457FF">
        <w:rPr>
          <w:color w:val="000000" w:themeColor="text1"/>
          <w:sz w:val="24"/>
          <w:szCs w:val="24"/>
        </w:rPr>
        <w:t xml:space="preserve"> in Government</w:t>
      </w:r>
      <w:r w:rsidR="00503E62" w:rsidRPr="00D457FF">
        <w:rPr>
          <w:color w:val="000000" w:themeColor="text1"/>
          <w:sz w:val="24"/>
          <w:szCs w:val="24"/>
        </w:rPr>
        <w:t xml:space="preserve"> and the Gender Coordination Group</w:t>
      </w:r>
      <w:r w:rsidR="00D214D5" w:rsidRPr="00D457FF">
        <w:rPr>
          <w:color w:val="000000" w:themeColor="text1"/>
          <w:sz w:val="24"/>
          <w:szCs w:val="24"/>
        </w:rPr>
        <w:t>.</w:t>
      </w:r>
      <w:r w:rsidR="00D214D5" w:rsidRPr="00D457FF">
        <w:rPr>
          <w:rStyle w:val="FootnoteReference"/>
          <w:color w:val="000000" w:themeColor="text1"/>
          <w:sz w:val="24"/>
          <w:szCs w:val="24"/>
        </w:rPr>
        <w:footnoteReference w:id="31"/>
      </w:r>
      <w:r w:rsidR="004D35FA" w:rsidRPr="00D457FF">
        <w:rPr>
          <w:color w:val="000000" w:themeColor="text1"/>
          <w:sz w:val="24"/>
          <w:szCs w:val="24"/>
        </w:rPr>
        <w:t xml:space="preserve"> Eventual ratification supported under the project will result in</w:t>
      </w:r>
      <w:r w:rsidR="004814E2" w:rsidRPr="00D457FF">
        <w:rPr>
          <w:color w:val="000000" w:themeColor="text1"/>
          <w:sz w:val="24"/>
          <w:szCs w:val="24"/>
        </w:rPr>
        <w:t xml:space="preserve"> a new partnership</w:t>
      </w:r>
      <w:r w:rsidR="004D35FA" w:rsidRPr="00D457FF">
        <w:rPr>
          <w:color w:val="000000" w:themeColor="text1"/>
          <w:sz w:val="24"/>
          <w:szCs w:val="24"/>
        </w:rPr>
        <w:t xml:space="preserve"> </w:t>
      </w:r>
      <w:r w:rsidR="004814E2" w:rsidRPr="00D457FF">
        <w:rPr>
          <w:color w:val="000000" w:themeColor="text1"/>
          <w:sz w:val="24"/>
          <w:szCs w:val="24"/>
        </w:rPr>
        <w:t xml:space="preserve">for </w:t>
      </w:r>
      <w:r w:rsidR="004D35FA" w:rsidRPr="00D457FF">
        <w:rPr>
          <w:color w:val="000000" w:themeColor="text1"/>
          <w:sz w:val="24"/>
          <w:szCs w:val="24"/>
        </w:rPr>
        <w:t xml:space="preserve">Government, DPOs, the NHRI </w:t>
      </w:r>
      <w:r w:rsidR="004814E2" w:rsidRPr="00D457FF">
        <w:rPr>
          <w:color w:val="000000" w:themeColor="text1"/>
          <w:sz w:val="24"/>
          <w:szCs w:val="24"/>
        </w:rPr>
        <w:t xml:space="preserve">and civil society alike with the UN Committee on the Rights of Persons with Disabilities when reporting is done. National partners will </w:t>
      </w:r>
      <w:r w:rsidR="003C06C7" w:rsidRPr="00D457FF">
        <w:rPr>
          <w:color w:val="000000" w:themeColor="text1"/>
          <w:sz w:val="24"/>
          <w:szCs w:val="24"/>
        </w:rPr>
        <w:t xml:space="preserve">thus </w:t>
      </w:r>
      <w:r w:rsidR="004814E2" w:rsidRPr="00D457FF">
        <w:rPr>
          <w:color w:val="000000" w:themeColor="text1"/>
          <w:sz w:val="24"/>
          <w:szCs w:val="24"/>
        </w:rPr>
        <w:t>avail themselves of the Committee’s expertise. Lastly, through drawing upon good practices in the region and UNPRPD support for DPOs from the region to share such practices, new relations between persons with disabilities in Timor-</w:t>
      </w:r>
      <w:r w:rsidR="00602507" w:rsidRPr="00D457FF">
        <w:rPr>
          <w:color w:val="000000" w:themeColor="text1"/>
          <w:sz w:val="24"/>
          <w:szCs w:val="24"/>
        </w:rPr>
        <w:t>L</w:t>
      </w:r>
      <w:r w:rsidR="004814E2" w:rsidRPr="00D457FF">
        <w:rPr>
          <w:color w:val="000000" w:themeColor="text1"/>
          <w:sz w:val="24"/>
          <w:szCs w:val="24"/>
        </w:rPr>
        <w:t xml:space="preserve">este and </w:t>
      </w:r>
      <w:r w:rsidR="002B3B12" w:rsidRPr="00D457FF">
        <w:rPr>
          <w:color w:val="000000" w:themeColor="text1"/>
          <w:sz w:val="24"/>
          <w:szCs w:val="24"/>
        </w:rPr>
        <w:t>beyond</w:t>
      </w:r>
      <w:r w:rsidR="004814E2" w:rsidRPr="00D457FF">
        <w:rPr>
          <w:color w:val="000000" w:themeColor="text1"/>
          <w:sz w:val="24"/>
          <w:szCs w:val="24"/>
        </w:rPr>
        <w:t xml:space="preserve"> will be nurtured.</w:t>
      </w:r>
    </w:p>
    <w:p w14:paraId="145822F9" w14:textId="71AED01D" w:rsidR="00E60117" w:rsidRPr="00D457FF" w:rsidRDefault="00D457FF" w:rsidP="008C6FE3">
      <w:pPr>
        <w:pStyle w:val="Heading1"/>
        <w:rPr>
          <w:i/>
          <w:color w:val="4F81BD" w:themeColor="accent1"/>
          <w:sz w:val="20"/>
        </w:rPr>
      </w:pPr>
      <w:r>
        <w:t xml:space="preserve">5. </w:t>
      </w:r>
      <w:r w:rsidR="002333DE" w:rsidRPr="00D457FF">
        <w:t>Long-term UN engagement in the area of disability</w:t>
      </w:r>
      <w:r w:rsidR="00B30AE6" w:rsidRPr="00D457FF">
        <w:t xml:space="preserve"> </w:t>
      </w:r>
    </w:p>
    <w:p w14:paraId="45B542EB" w14:textId="6890BC30" w:rsidR="00991FCF" w:rsidRPr="00D457FF" w:rsidRDefault="00CB1FE5" w:rsidP="00D457FF">
      <w:pPr>
        <w:shd w:val="clear" w:color="auto" w:fill="FFFFFF" w:themeFill="background1"/>
        <w:spacing w:before="200" w:line="240" w:lineRule="auto"/>
        <w:jc w:val="both"/>
        <w:rPr>
          <w:sz w:val="24"/>
          <w:szCs w:val="24"/>
        </w:rPr>
      </w:pPr>
      <w:r w:rsidRPr="00D457FF">
        <w:rPr>
          <w:sz w:val="24"/>
          <w:szCs w:val="24"/>
        </w:rPr>
        <w:t xml:space="preserve">Some </w:t>
      </w:r>
      <w:r w:rsidR="00BE6E98" w:rsidRPr="00D457FF">
        <w:rPr>
          <w:sz w:val="24"/>
          <w:szCs w:val="24"/>
        </w:rPr>
        <w:t xml:space="preserve">UN Agencies </w:t>
      </w:r>
      <w:r w:rsidRPr="00D457FF">
        <w:rPr>
          <w:sz w:val="24"/>
          <w:szCs w:val="24"/>
        </w:rPr>
        <w:t>in Timor-Leste</w:t>
      </w:r>
      <w:r w:rsidR="00D86431" w:rsidRPr="00D457FF">
        <w:rPr>
          <w:sz w:val="24"/>
          <w:szCs w:val="24"/>
        </w:rPr>
        <w:t xml:space="preserve"> </w:t>
      </w:r>
      <w:r w:rsidR="00991FCF" w:rsidRPr="00D457FF">
        <w:rPr>
          <w:sz w:val="24"/>
          <w:szCs w:val="24"/>
        </w:rPr>
        <w:t xml:space="preserve">have </w:t>
      </w:r>
      <w:r w:rsidR="00435DF3" w:rsidRPr="00D457FF">
        <w:rPr>
          <w:sz w:val="24"/>
          <w:szCs w:val="24"/>
        </w:rPr>
        <w:t xml:space="preserve">collaborated with DPOs and </w:t>
      </w:r>
      <w:r w:rsidR="00991FCF" w:rsidRPr="00D457FF">
        <w:rPr>
          <w:sz w:val="24"/>
          <w:szCs w:val="24"/>
        </w:rPr>
        <w:t xml:space="preserve">Government </w:t>
      </w:r>
      <w:r w:rsidR="00BE6E98" w:rsidRPr="00D457FF">
        <w:rPr>
          <w:sz w:val="24"/>
          <w:szCs w:val="24"/>
        </w:rPr>
        <w:t xml:space="preserve">on disability </w:t>
      </w:r>
      <w:r w:rsidR="00645248" w:rsidRPr="00D457FF">
        <w:rPr>
          <w:sz w:val="24"/>
          <w:szCs w:val="24"/>
        </w:rPr>
        <w:t>already for</w:t>
      </w:r>
      <w:r w:rsidR="00145A2A" w:rsidRPr="00D457FF">
        <w:rPr>
          <w:sz w:val="24"/>
          <w:szCs w:val="24"/>
        </w:rPr>
        <w:t xml:space="preserve"> </w:t>
      </w:r>
      <w:r w:rsidR="00991FCF" w:rsidRPr="00D457FF">
        <w:rPr>
          <w:sz w:val="24"/>
          <w:szCs w:val="24"/>
        </w:rPr>
        <w:t>several years</w:t>
      </w:r>
      <w:r w:rsidR="00B415D6" w:rsidRPr="00D457FF">
        <w:rPr>
          <w:sz w:val="24"/>
          <w:szCs w:val="24"/>
        </w:rPr>
        <w:t>, though not in a coordinated manner</w:t>
      </w:r>
      <w:r w:rsidR="00991FCF" w:rsidRPr="00D457FF">
        <w:rPr>
          <w:sz w:val="24"/>
          <w:szCs w:val="24"/>
        </w:rPr>
        <w:t xml:space="preserve">. </w:t>
      </w:r>
      <w:r w:rsidR="00BE6E98" w:rsidRPr="00D457FF">
        <w:rPr>
          <w:sz w:val="24"/>
          <w:szCs w:val="24"/>
        </w:rPr>
        <w:t>T</w:t>
      </w:r>
      <w:r w:rsidR="00991FCF" w:rsidRPr="00D457FF">
        <w:rPr>
          <w:sz w:val="24"/>
          <w:szCs w:val="24"/>
        </w:rPr>
        <w:t xml:space="preserve">he UNPRPD call has </w:t>
      </w:r>
      <w:r w:rsidR="00BE6E98" w:rsidRPr="00D457FF">
        <w:rPr>
          <w:sz w:val="24"/>
          <w:szCs w:val="24"/>
        </w:rPr>
        <w:t>expanded</w:t>
      </w:r>
      <w:r w:rsidR="00991FCF" w:rsidRPr="00D457FF">
        <w:rPr>
          <w:sz w:val="24"/>
          <w:szCs w:val="24"/>
        </w:rPr>
        <w:t xml:space="preserve"> </w:t>
      </w:r>
      <w:r w:rsidR="00BE6E98" w:rsidRPr="00D457FF">
        <w:rPr>
          <w:sz w:val="24"/>
          <w:szCs w:val="24"/>
        </w:rPr>
        <w:t xml:space="preserve">the number of </w:t>
      </w:r>
      <w:r w:rsidR="00435DF3" w:rsidRPr="00D457FF">
        <w:rPr>
          <w:sz w:val="24"/>
          <w:szCs w:val="24"/>
        </w:rPr>
        <w:t>A</w:t>
      </w:r>
      <w:r w:rsidR="00991FCF" w:rsidRPr="00D457FF">
        <w:rPr>
          <w:sz w:val="24"/>
          <w:szCs w:val="24"/>
        </w:rPr>
        <w:t>genc</w:t>
      </w:r>
      <w:r w:rsidR="00145A2A" w:rsidRPr="00D457FF">
        <w:rPr>
          <w:sz w:val="24"/>
          <w:szCs w:val="24"/>
        </w:rPr>
        <w:t xml:space="preserve">ies </w:t>
      </w:r>
      <w:r w:rsidR="00991FCF" w:rsidRPr="00D457FF">
        <w:rPr>
          <w:sz w:val="24"/>
          <w:szCs w:val="24"/>
        </w:rPr>
        <w:t>interact</w:t>
      </w:r>
      <w:r w:rsidR="00145A2A" w:rsidRPr="00D457FF">
        <w:rPr>
          <w:sz w:val="24"/>
          <w:szCs w:val="24"/>
        </w:rPr>
        <w:t>ing</w:t>
      </w:r>
      <w:r w:rsidR="00991FCF" w:rsidRPr="00D457FF">
        <w:rPr>
          <w:sz w:val="24"/>
          <w:szCs w:val="24"/>
        </w:rPr>
        <w:t xml:space="preserve"> with persons with disabilities</w:t>
      </w:r>
      <w:r w:rsidR="00145A2A" w:rsidRPr="00D457FF">
        <w:rPr>
          <w:sz w:val="24"/>
          <w:szCs w:val="24"/>
        </w:rPr>
        <w:t xml:space="preserve"> and </w:t>
      </w:r>
      <w:r w:rsidR="0007129B" w:rsidRPr="00D457FF">
        <w:rPr>
          <w:sz w:val="24"/>
          <w:szCs w:val="24"/>
        </w:rPr>
        <w:t xml:space="preserve">others </w:t>
      </w:r>
      <w:r w:rsidR="00145A2A" w:rsidRPr="00D457FF">
        <w:rPr>
          <w:sz w:val="24"/>
          <w:szCs w:val="24"/>
        </w:rPr>
        <w:t>work</w:t>
      </w:r>
      <w:r w:rsidR="0007129B" w:rsidRPr="00D457FF">
        <w:rPr>
          <w:sz w:val="24"/>
          <w:szCs w:val="24"/>
        </w:rPr>
        <w:t>ing on disability</w:t>
      </w:r>
      <w:r w:rsidR="00145A2A" w:rsidRPr="00D457FF">
        <w:rPr>
          <w:sz w:val="24"/>
          <w:szCs w:val="24"/>
        </w:rPr>
        <w:t>.</w:t>
      </w:r>
      <w:r w:rsidR="00991FCF" w:rsidRPr="00D457FF">
        <w:rPr>
          <w:sz w:val="24"/>
          <w:szCs w:val="24"/>
        </w:rPr>
        <w:t xml:space="preserve"> </w:t>
      </w:r>
      <w:r w:rsidR="00B415D6" w:rsidRPr="00D457FF">
        <w:rPr>
          <w:sz w:val="24"/>
          <w:szCs w:val="24"/>
        </w:rPr>
        <w:t>R</w:t>
      </w:r>
      <w:r w:rsidR="00435DF3" w:rsidRPr="00D457FF">
        <w:rPr>
          <w:sz w:val="24"/>
          <w:szCs w:val="24"/>
        </w:rPr>
        <w:t xml:space="preserve">egular advice from </w:t>
      </w:r>
      <w:r w:rsidR="00991FCF" w:rsidRPr="00D457FF">
        <w:rPr>
          <w:sz w:val="24"/>
          <w:szCs w:val="24"/>
        </w:rPr>
        <w:t xml:space="preserve">persons with </w:t>
      </w:r>
      <w:r w:rsidR="00B415D6" w:rsidRPr="00D457FF">
        <w:rPr>
          <w:sz w:val="24"/>
          <w:szCs w:val="24"/>
        </w:rPr>
        <w:t>disabilities during the project will enable</w:t>
      </w:r>
      <w:r w:rsidR="00991FCF" w:rsidRPr="00D457FF">
        <w:rPr>
          <w:sz w:val="24"/>
          <w:szCs w:val="24"/>
        </w:rPr>
        <w:t xml:space="preserve"> </w:t>
      </w:r>
      <w:r w:rsidR="00145A2A" w:rsidRPr="00D457FF">
        <w:rPr>
          <w:sz w:val="24"/>
          <w:szCs w:val="24"/>
        </w:rPr>
        <w:t xml:space="preserve">the </w:t>
      </w:r>
      <w:r w:rsidR="00435DF3" w:rsidRPr="00D457FF">
        <w:rPr>
          <w:sz w:val="24"/>
          <w:szCs w:val="24"/>
        </w:rPr>
        <w:t xml:space="preserve">Agencies </w:t>
      </w:r>
      <w:r w:rsidR="00B415D6" w:rsidRPr="00D457FF">
        <w:rPr>
          <w:sz w:val="24"/>
          <w:szCs w:val="24"/>
        </w:rPr>
        <w:t xml:space="preserve">to </w:t>
      </w:r>
      <w:r w:rsidR="00435DF3" w:rsidRPr="00D457FF">
        <w:rPr>
          <w:sz w:val="24"/>
          <w:szCs w:val="24"/>
        </w:rPr>
        <w:t xml:space="preserve">better </w:t>
      </w:r>
      <w:r w:rsidR="00B415D6" w:rsidRPr="00D457FF">
        <w:rPr>
          <w:sz w:val="24"/>
          <w:szCs w:val="24"/>
        </w:rPr>
        <w:t xml:space="preserve">to </w:t>
      </w:r>
      <w:r w:rsidR="00145A2A" w:rsidRPr="00D457FF">
        <w:rPr>
          <w:sz w:val="24"/>
          <w:szCs w:val="24"/>
        </w:rPr>
        <w:t>integrate disability</w:t>
      </w:r>
      <w:r w:rsidR="00991FCF" w:rsidRPr="00D457FF">
        <w:rPr>
          <w:sz w:val="24"/>
          <w:szCs w:val="24"/>
        </w:rPr>
        <w:t xml:space="preserve"> </w:t>
      </w:r>
      <w:r w:rsidR="0007129B" w:rsidRPr="00D457FF">
        <w:rPr>
          <w:sz w:val="24"/>
          <w:szCs w:val="24"/>
        </w:rPr>
        <w:t xml:space="preserve">in </w:t>
      </w:r>
      <w:r w:rsidR="00435DF3" w:rsidRPr="00D457FF">
        <w:rPr>
          <w:sz w:val="24"/>
          <w:szCs w:val="24"/>
        </w:rPr>
        <w:t>p</w:t>
      </w:r>
      <w:r w:rsidR="00B415D6" w:rsidRPr="00D457FF">
        <w:rPr>
          <w:sz w:val="24"/>
          <w:szCs w:val="24"/>
        </w:rPr>
        <w:t>rogramming</w:t>
      </w:r>
      <w:r w:rsidR="00435DF3" w:rsidRPr="00D457FF">
        <w:rPr>
          <w:sz w:val="24"/>
          <w:szCs w:val="24"/>
        </w:rPr>
        <w:t>.</w:t>
      </w:r>
      <w:r w:rsidR="00B415D6" w:rsidRPr="00D457FF">
        <w:rPr>
          <w:sz w:val="24"/>
          <w:szCs w:val="24"/>
        </w:rPr>
        <w:t xml:space="preserve"> T</w:t>
      </w:r>
      <w:r w:rsidR="00BE6E98" w:rsidRPr="00D457FF">
        <w:rPr>
          <w:sz w:val="24"/>
          <w:szCs w:val="24"/>
        </w:rPr>
        <w:t xml:space="preserve">he project will </w:t>
      </w:r>
      <w:r w:rsidR="00B415D6" w:rsidRPr="00D457FF">
        <w:rPr>
          <w:sz w:val="24"/>
          <w:szCs w:val="24"/>
        </w:rPr>
        <w:t>also develop capacity</w:t>
      </w:r>
      <w:r w:rsidR="00BE6E98" w:rsidRPr="00D457FF">
        <w:rPr>
          <w:sz w:val="24"/>
          <w:szCs w:val="24"/>
        </w:rPr>
        <w:t xml:space="preserve"> </w:t>
      </w:r>
      <w:r w:rsidR="00991FCF" w:rsidRPr="00D457FF">
        <w:rPr>
          <w:sz w:val="24"/>
          <w:szCs w:val="24"/>
        </w:rPr>
        <w:t xml:space="preserve">of UN staff </w:t>
      </w:r>
      <w:r w:rsidR="00B415D6" w:rsidRPr="00D457FF">
        <w:rPr>
          <w:sz w:val="24"/>
          <w:szCs w:val="24"/>
        </w:rPr>
        <w:t xml:space="preserve">on </w:t>
      </w:r>
      <w:r w:rsidR="00991FCF" w:rsidRPr="00D457FF">
        <w:rPr>
          <w:sz w:val="24"/>
          <w:szCs w:val="24"/>
        </w:rPr>
        <w:t>the rights of persons with disabilities</w:t>
      </w:r>
      <w:r w:rsidR="00BE6E98" w:rsidRPr="00D457FF">
        <w:rPr>
          <w:sz w:val="24"/>
          <w:szCs w:val="24"/>
        </w:rPr>
        <w:t xml:space="preserve">, </w:t>
      </w:r>
      <w:r w:rsidR="00B415D6" w:rsidRPr="00D457FF">
        <w:rPr>
          <w:sz w:val="24"/>
          <w:szCs w:val="24"/>
        </w:rPr>
        <w:t xml:space="preserve">including </w:t>
      </w:r>
      <w:r w:rsidR="005A5ABF" w:rsidRPr="00D457FF">
        <w:rPr>
          <w:sz w:val="24"/>
          <w:szCs w:val="24"/>
        </w:rPr>
        <w:t>CRPD</w:t>
      </w:r>
      <w:r w:rsidR="00435DF3" w:rsidRPr="00D457FF">
        <w:rPr>
          <w:sz w:val="24"/>
          <w:szCs w:val="24"/>
        </w:rPr>
        <w:t xml:space="preserve"> and disability mainstreaming. </w:t>
      </w:r>
      <w:bookmarkStart w:id="3" w:name="_Hlk503253841"/>
      <w:r w:rsidR="00435DF3" w:rsidRPr="00D457FF">
        <w:rPr>
          <w:sz w:val="24"/>
          <w:szCs w:val="24"/>
        </w:rPr>
        <w:t>A</w:t>
      </w:r>
      <w:r w:rsidR="00991FCF" w:rsidRPr="00D457FF">
        <w:rPr>
          <w:sz w:val="24"/>
          <w:szCs w:val="24"/>
        </w:rPr>
        <w:t xml:space="preserve">gency staff </w:t>
      </w:r>
      <w:r w:rsidR="00435DF3" w:rsidRPr="00D457FF">
        <w:rPr>
          <w:sz w:val="24"/>
          <w:szCs w:val="24"/>
        </w:rPr>
        <w:t xml:space="preserve">will be encouraged </w:t>
      </w:r>
      <w:r w:rsidR="00991FCF" w:rsidRPr="00D457FF">
        <w:rPr>
          <w:sz w:val="24"/>
          <w:szCs w:val="24"/>
        </w:rPr>
        <w:t>to take the online UN course on disability</w:t>
      </w:r>
      <w:r w:rsidR="00D075E0" w:rsidRPr="00D457FF">
        <w:rPr>
          <w:sz w:val="24"/>
          <w:szCs w:val="24"/>
        </w:rPr>
        <w:t xml:space="preserve"> </w:t>
      </w:r>
      <w:r w:rsidR="00BE6E98" w:rsidRPr="00D457FF">
        <w:rPr>
          <w:sz w:val="24"/>
          <w:szCs w:val="24"/>
        </w:rPr>
        <w:t>and</w:t>
      </w:r>
      <w:r w:rsidR="000372FE" w:rsidRPr="00D457FF">
        <w:rPr>
          <w:sz w:val="24"/>
          <w:szCs w:val="24"/>
        </w:rPr>
        <w:t xml:space="preserve"> </w:t>
      </w:r>
      <w:r w:rsidR="00991FCF" w:rsidRPr="00D457FF">
        <w:rPr>
          <w:sz w:val="24"/>
          <w:szCs w:val="24"/>
        </w:rPr>
        <w:t xml:space="preserve">to disaggregate data and report </w:t>
      </w:r>
      <w:r w:rsidR="00BE6E98" w:rsidRPr="00D457FF">
        <w:rPr>
          <w:sz w:val="24"/>
          <w:szCs w:val="24"/>
        </w:rPr>
        <w:t xml:space="preserve">on </w:t>
      </w:r>
      <w:r w:rsidR="00991FCF" w:rsidRPr="00D457FF">
        <w:rPr>
          <w:sz w:val="24"/>
          <w:szCs w:val="24"/>
        </w:rPr>
        <w:t>agency programmes</w:t>
      </w:r>
      <w:r w:rsidR="00BE6E98" w:rsidRPr="00D457FF">
        <w:rPr>
          <w:sz w:val="24"/>
          <w:szCs w:val="24"/>
        </w:rPr>
        <w:t>’ impact</w:t>
      </w:r>
      <w:r w:rsidR="00991FCF" w:rsidRPr="00D457FF">
        <w:rPr>
          <w:sz w:val="24"/>
          <w:szCs w:val="24"/>
        </w:rPr>
        <w:t xml:space="preserve"> on persons with disabilities</w:t>
      </w:r>
      <w:r w:rsidR="00AB5B9C" w:rsidRPr="00D457FF">
        <w:rPr>
          <w:sz w:val="24"/>
          <w:szCs w:val="24"/>
        </w:rPr>
        <w:t>.</w:t>
      </w:r>
    </w:p>
    <w:bookmarkEnd w:id="3"/>
    <w:p w14:paraId="6CC45435" w14:textId="2F0018FB" w:rsidR="00162B64" w:rsidRPr="00D457FF" w:rsidRDefault="0007129B" w:rsidP="00D457FF">
      <w:pPr>
        <w:shd w:val="clear" w:color="auto" w:fill="FFFFFF" w:themeFill="background1"/>
        <w:spacing w:before="200" w:line="240" w:lineRule="auto"/>
        <w:jc w:val="both"/>
        <w:rPr>
          <w:i/>
          <w:sz w:val="20"/>
        </w:rPr>
      </w:pPr>
      <w:r w:rsidRPr="00D457FF">
        <w:rPr>
          <w:sz w:val="24"/>
          <w:szCs w:val="24"/>
        </w:rPr>
        <w:t>In</w:t>
      </w:r>
      <w:r w:rsidR="00991FCF" w:rsidRPr="00D457FF">
        <w:rPr>
          <w:sz w:val="24"/>
          <w:szCs w:val="24"/>
        </w:rPr>
        <w:t xml:space="preserve"> discussions initiated through the UNPRPD call, UN agencies agreed to hold a </w:t>
      </w:r>
      <w:r w:rsidR="00BE6E98" w:rsidRPr="00D457FF">
        <w:rPr>
          <w:sz w:val="24"/>
          <w:szCs w:val="24"/>
        </w:rPr>
        <w:t xml:space="preserve">quarterly </w:t>
      </w:r>
      <w:r w:rsidR="00991FCF" w:rsidRPr="00D457FF">
        <w:rPr>
          <w:sz w:val="24"/>
          <w:szCs w:val="24"/>
        </w:rPr>
        <w:t xml:space="preserve">UN forum </w:t>
      </w:r>
      <w:r w:rsidRPr="00D457FF">
        <w:rPr>
          <w:sz w:val="24"/>
          <w:szCs w:val="24"/>
        </w:rPr>
        <w:t xml:space="preserve">– </w:t>
      </w:r>
      <w:r w:rsidR="00BE6E98" w:rsidRPr="00D457FF">
        <w:rPr>
          <w:sz w:val="24"/>
          <w:szCs w:val="24"/>
        </w:rPr>
        <w:t xml:space="preserve">irrespective of </w:t>
      </w:r>
      <w:r w:rsidR="00B415D6" w:rsidRPr="00D457FF">
        <w:rPr>
          <w:sz w:val="24"/>
          <w:szCs w:val="24"/>
        </w:rPr>
        <w:t xml:space="preserve">funding - for better coordination, collaboration to reinforce programmes based on individual agency’s expertise, and eventually, </w:t>
      </w:r>
      <w:r w:rsidR="00991FCF" w:rsidRPr="00D457FF">
        <w:rPr>
          <w:sz w:val="24"/>
          <w:szCs w:val="24"/>
        </w:rPr>
        <w:t>higher impact</w:t>
      </w:r>
      <w:r w:rsidR="00B415D6" w:rsidRPr="00D457FF">
        <w:rPr>
          <w:sz w:val="24"/>
          <w:szCs w:val="24"/>
        </w:rPr>
        <w:t xml:space="preserve"> on realizing</w:t>
      </w:r>
      <w:r w:rsidRPr="00D457FF">
        <w:rPr>
          <w:sz w:val="24"/>
          <w:szCs w:val="24"/>
        </w:rPr>
        <w:t xml:space="preserve"> </w:t>
      </w:r>
      <w:r w:rsidR="00CB1FE5" w:rsidRPr="00D457FF">
        <w:rPr>
          <w:sz w:val="24"/>
          <w:szCs w:val="24"/>
        </w:rPr>
        <w:t xml:space="preserve">the </w:t>
      </w:r>
      <w:r w:rsidRPr="00D457FF">
        <w:rPr>
          <w:sz w:val="24"/>
          <w:szCs w:val="24"/>
        </w:rPr>
        <w:t>rights</w:t>
      </w:r>
      <w:r w:rsidR="00CB1FE5" w:rsidRPr="00D457FF">
        <w:rPr>
          <w:sz w:val="24"/>
          <w:szCs w:val="24"/>
        </w:rPr>
        <w:t xml:space="preserve"> of persons with disabilities</w:t>
      </w:r>
      <w:r w:rsidR="00991FCF" w:rsidRPr="00D457FF">
        <w:rPr>
          <w:sz w:val="24"/>
          <w:szCs w:val="24"/>
        </w:rPr>
        <w:t xml:space="preserve">. </w:t>
      </w:r>
      <w:r w:rsidR="000372FE" w:rsidRPr="00D457FF">
        <w:rPr>
          <w:sz w:val="24"/>
          <w:szCs w:val="24"/>
        </w:rPr>
        <w:t xml:space="preserve">This forum will </w:t>
      </w:r>
      <w:r w:rsidR="000372FE" w:rsidRPr="00D457FF">
        <w:rPr>
          <w:rFonts w:ascii="Calibri" w:eastAsia="Times New Roman" w:hAnsi="Calibri" w:cs="Calibri"/>
          <w:color w:val="000000"/>
          <w:sz w:val="24"/>
          <w:szCs w:val="24"/>
        </w:rPr>
        <w:t>inform existing UN coordination platforms</w:t>
      </w:r>
      <w:r w:rsidR="00B415D6" w:rsidRPr="00D457FF">
        <w:rPr>
          <w:rFonts w:ascii="Calibri" w:eastAsia="Times New Roman" w:hAnsi="Calibri" w:cs="Calibri"/>
          <w:color w:val="000000"/>
          <w:sz w:val="24"/>
          <w:szCs w:val="24"/>
        </w:rPr>
        <w:t>, like the Gender Theme Group, the Communications Group and the Youth Results Group</w:t>
      </w:r>
      <w:r w:rsidR="00AB5B9C" w:rsidRPr="00D457FF">
        <w:rPr>
          <w:rFonts w:ascii="Calibri" w:eastAsia="Times New Roman" w:hAnsi="Calibri" w:cs="Calibri"/>
          <w:color w:val="000000"/>
          <w:sz w:val="24"/>
          <w:szCs w:val="24"/>
        </w:rPr>
        <w:t xml:space="preserve">. </w:t>
      </w:r>
      <w:r w:rsidR="00991FCF" w:rsidRPr="00D457FF">
        <w:rPr>
          <w:sz w:val="24"/>
          <w:szCs w:val="24"/>
        </w:rPr>
        <w:t>Persons with disabilities will be invited</w:t>
      </w:r>
      <w:r w:rsidR="00435DF3" w:rsidRPr="00D457FF">
        <w:rPr>
          <w:sz w:val="24"/>
          <w:szCs w:val="24"/>
        </w:rPr>
        <w:t xml:space="preserve"> on a regular basis</w:t>
      </w:r>
      <w:r w:rsidR="00991FCF" w:rsidRPr="00D457FF">
        <w:rPr>
          <w:sz w:val="24"/>
          <w:szCs w:val="24"/>
        </w:rPr>
        <w:t xml:space="preserve"> to advice agencies</w:t>
      </w:r>
      <w:r w:rsidR="00DB72A2" w:rsidRPr="00D457FF">
        <w:rPr>
          <w:sz w:val="24"/>
          <w:szCs w:val="24"/>
        </w:rPr>
        <w:t xml:space="preserve"> in </w:t>
      </w:r>
      <w:r w:rsidR="00CB1FE5" w:rsidRPr="00D457FF">
        <w:rPr>
          <w:sz w:val="24"/>
          <w:szCs w:val="24"/>
        </w:rPr>
        <w:t>UN</w:t>
      </w:r>
      <w:r w:rsidR="00DB72A2" w:rsidRPr="00D457FF">
        <w:rPr>
          <w:sz w:val="24"/>
          <w:szCs w:val="24"/>
        </w:rPr>
        <w:t xml:space="preserve"> </w:t>
      </w:r>
      <w:r w:rsidR="00CB1FE5" w:rsidRPr="00D457FF">
        <w:rPr>
          <w:sz w:val="24"/>
          <w:szCs w:val="24"/>
        </w:rPr>
        <w:t>fora.</w:t>
      </w:r>
      <w:r w:rsidR="00991FCF" w:rsidRPr="00D457FF">
        <w:rPr>
          <w:rFonts w:ascii="Calibri" w:eastAsia="Times New Roman" w:hAnsi="Calibri" w:cs="Calibri"/>
          <w:color w:val="000000"/>
          <w:sz w:val="24"/>
          <w:szCs w:val="24"/>
        </w:rPr>
        <w:t> </w:t>
      </w:r>
    </w:p>
    <w:p w14:paraId="0F84D674" w14:textId="449C31BD" w:rsidR="0038149A" w:rsidRPr="00D457FF" w:rsidRDefault="00D457FF" w:rsidP="008C6FE3">
      <w:pPr>
        <w:pStyle w:val="Heading1"/>
        <w:rPr>
          <w:color w:val="4F81BD" w:themeColor="accent1"/>
          <w:sz w:val="20"/>
        </w:rPr>
      </w:pPr>
      <w:r w:rsidRPr="00D457FF">
        <w:lastRenderedPageBreak/>
        <w:t xml:space="preserve">6. </w:t>
      </w:r>
      <w:r w:rsidR="003A5725" w:rsidRPr="00D457FF">
        <w:t>Management arrangements</w:t>
      </w:r>
    </w:p>
    <w:p w14:paraId="472BEA63" w14:textId="4625D503" w:rsidR="00D90CD2" w:rsidRPr="00D457FF" w:rsidRDefault="00E63255" w:rsidP="003B5BB1">
      <w:pPr>
        <w:pStyle w:val="Heading2"/>
      </w:pPr>
      <w:r w:rsidRPr="00D457FF">
        <w:t xml:space="preserve"> </w:t>
      </w:r>
      <w:r w:rsidR="00CF2AA9" w:rsidRPr="00D457FF">
        <w:t>Table 4</w:t>
      </w:r>
      <w:r w:rsidR="003A5725" w:rsidRPr="00D457FF">
        <w:t>. Implementation arrangements</w:t>
      </w:r>
    </w:p>
    <w:tbl>
      <w:tblPr>
        <w:tblStyle w:val="TableGrid1"/>
        <w:tblW w:w="5000" w:type="pct"/>
        <w:tblLook w:val="04A0" w:firstRow="1" w:lastRow="0" w:firstColumn="1" w:lastColumn="0" w:noHBand="0" w:noVBand="1"/>
        <w:tblCaption w:val="Table 4"/>
      </w:tblPr>
      <w:tblGrid>
        <w:gridCol w:w="3917"/>
        <w:gridCol w:w="1368"/>
        <w:gridCol w:w="2569"/>
        <w:gridCol w:w="2000"/>
      </w:tblGrid>
      <w:tr w:rsidR="00B30AE6" w:rsidRPr="00D457FF" w14:paraId="7DB124F9" w14:textId="77777777" w:rsidTr="005214F1">
        <w:trPr>
          <w:cantSplit/>
          <w:trHeight w:val="413"/>
          <w:tblHeader/>
        </w:trPr>
        <w:tc>
          <w:tcPr>
            <w:tcW w:w="1991" w:type="pct"/>
            <w:hideMark/>
          </w:tcPr>
          <w:p w14:paraId="6C9CC4C8" w14:textId="77777777" w:rsidR="00B30AE6" w:rsidRPr="00D457FF" w:rsidRDefault="00B30AE6" w:rsidP="00D457FF">
            <w:pPr>
              <w:pStyle w:val="ListParagraph"/>
              <w:shd w:val="clear" w:color="auto" w:fill="FFFFFF" w:themeFill="background1"/>
              <w:spacing w:before="200" w:after="200"/>
              <w:ind w:left="0"/>
              <w:contextualSpacing w:val="0"/>
              <w:jc w:val="both"/>
              <w:rPr>
                <w:b/>
                <w:color w:val="4F81BD" w:themeColor="accent1"/>
                <w:sz w:val="20"/>
              </w:rPr>
            </w:pPr>
            <w:r w:rsidRPr="00D457FF">
              <w:rPr>
                <w:b/>
                <w:color w:val="4F81BD" w:themeColor="accent1"/>
                <w:sz w:val="20"/>
              </w:rPr>
              <w:t>Outcome number</w:t>
            </w:r>
          </w:p>
        </w:tc>
        <w:tc>
          <w:tcPr>
            <w:tcW w:w="684" w:type="pct"/>
            <w:hideMark/>
          </w:tcPr>
          <w:p w14:paraId="55362C8F" w14:textId="77777777" w:rsidR="00B30AE6" w:rsidRPr="00D457FF" w:rsidRDefault="00B30AE6" w:rsidP="00D457FF">
            <w:pPr>
              <w:pStyle w:val="ListParagraph"/>
              <w:shd w:val="clear" w:color="auto" w:fill="FFFFFF" w:themeFill="background1"/>
              <w:spacing w:before="200" w:after="200"/>
              <w:ind w:left="0"/>
              <w:contextualSpacing w:val="0"/>
              <w:jc w:val="both"/>
              <w:rPr>
                <w:b/>
                <w:color w:val="4F81BD" w:themeColor="accent1"/>
                <w:sz w:val="20"/>
              </w:rPr>
            </w:pPr>
            <w:r w:rsidRPr="00D457FF">
              <w:rPr>
                <w:b/>
                <w:color w:val="4F81BD" w:themeColor="accent1"/>
                <w:sz w:val="20"/>
              </w:rPr>
              <w:t>UNPRPD Focal Point</w:t>
            </w:r>
          </w:p>
        </w:tc>
        <w:tc>
          <w:tcPr>
            <w:tcW w:w="1307" w:type="pct"/>
            <w:hideMark/>
          </w:tcPr>
          <w:p w14:paraId="1A584630" w14:textId="77777777" w:rsidR="00B30AE6" w:rsidRPr="00D457FF" w:rsidRDefault="00B30AE6" w:rsidP="00D457FF">
            <w:pPr>
              <w:pStyle w:val="ListParagraph"/>
              <w:shd w:val="clear" w:color="auto" w:fill="FFFFFF" w:themeFill="background1"/>
              <w:spacing w:before="200" w:after="200"/>
              <w:ind w:left="0"/>
              <w:contextualSpacing w:val="0"/>
              <w:jc w:val="both"/>
              <w:rPr>
                <w:b/>
                <w:color w:val="4F81BD" w:themeColor="accent1"/>
                <w:sz w:val="20"/>
              </w:rPr>
            </w:pPr>
            <w:r w:rsidRPr="00D457FF">
              <w:rPr>
                <w:b/>
                <w:color w:val="4F81BD" w:themeColor="accent1"/>
                <w:sz w:val="20"/>
              </w:rPr>
              <w:t>Implementing agencies</w:t>
            </w:r>
          </w:p>
        </w:tc>
        <w:tc>
          <w:tcPr>
            <w:tcW w:w="1018" w:type="pct"/>
            <w:hideMark/>
          </w:tcPr>
          <w:p w14:paraId="478969EB" w14:textId="77777777" w:rsidR="00B30AE6" w:rsidRPr="00D457FF" w:rsidRDefault="00B30AE6" w:rsidP="00D457FF">
            <w:pPr>
              <w:pStyle w:val="ListParagraph"/>
              <w:shd w:val="clear" w:color="auto" w:fill="FFFFFF" w:themeFill="background1"/>
              <w:spacing w:before="200" w:after="200"/>
              <w:ind w:left="0"/>
              <w:contextualSpacing w:val="0"/>
              <w:jc w:val="both"/>
              <w:rPr>
                <w:b/>
                <w:color w:val="4F81BD" w:themeColor="accent1"/>
                <w:sz w:val="20"/>
              </w:rPr>
            </w:pPr>
            <w:r w:rsidRPr="00D457FF">
              <w:rPr>
                <w:b/>
                <w:color w:val="4F81BD" w:themeColor="accent1"/>
                <w:sz w:val="20"/>
              </w:rPr>
              <w:t>Other partners</w:t>
            </w:r>
          </w:p>
        </w:tc>
      </w:tr>
      <w:tr w:rsidR="00B30AE6" w:rsidRPr="00D457FF" w14:paraId="7C7A712F" w14:textId="77777777" w:rsidTr="005214F1">
        <w:trPr>
          <w:trHeight w:val="413"/>
        </w:trPr>
        <w:tc>
          <w:tcPr>
            <w:tcW w:w="1991" w:type="pct"/>
            <w:hideMark/>
          </w:tcPr>
          <w:p w14:paraId="0FE4650A" w14:textId="02DCC1DA" w:rsidR="00645248" w:rsidRPr="00D457FF" w:rsidRDefault="00B30AE6" w:rsidP="00D457FF">
            <w:pPr>
              <w:shd w:val="clear" w:color="auto" w:fill="FFFFFF" w:themeFill="background1"/>
              <w:spacing w:before="200" w:after="200"/>
              <w:rPr>
                <w:rFonts w:cstheme="minorHAnsi"/>
                <w:color w:val="000000" w:themeColor="text1"/>
                <w:sz w:val="20"/>
                <w:szCs w:val="20"/>
              </w:rPr>
            </w:pPr>
            <w:r w:rsidRPr="00D457FF">
              <w:rPr>
                <w:rFonts w:cstheme="minorHAnsi"/>
                <w:b/>
                <w:color w:val="000000" w:themeColor="text1"/>
                <w:sz w:val="20"/>
                <w:szCs w:val="20"/>
              </w:rPr>
              <w:t>Outcome 1</w:t>
            </w:r>
            <w:r w:rsidRPr="00D457FF">
              <w:rPr>
                <w:rFonts w:cstheme="minorHAnsi"/>
                <w:color w:val="000000" w:themeColor="text1"/>
                <w:sz w:val="20"/>
                <w:szCs w:val="20"/>
              </w:rPr>
              <w:t xml:space="preserve">: </w:t>
            </w:r>
            <w:r w:rsidR="00CD3C2C" w:rsidRPr="00D457FF">
              <w:rPr>
                <w:rFonts w:cstheme="minorHAnsi"/>
                <w:b/>
                <w:color w:val="000000" w:themeColor="text1"/>
                <w:sz w:val="20"/>
                <w:szCs w:val="20"/>
              </w:rPr>
              <w:t>Legislative, planning and policy frameworks that integrate the rights of Persons with disabilities and their implementation is strengthened and mechanisms to monitor and report on UN-CRPD are in place</w:t>
            </w:r>
          </w:p>
        </w:tc>
        <w:tc>
          <w:tcPr>
            <w:tcW w:w="684" w:type="pct"/>
            <w:hideMark/>
          </w:tcPr>
          <w:p w14:paraId="4804D86B" w14:textId="0E4BBCB4" w:rsidR="00B30AE6" w:rsidRPr="00D457FF" w:rsidRDefault="00CD3C2C" w:rsidP="00D457FF">
            <w:pPr>
              <w:pStyle w:val="ListParagraph"/>
              <w:shd w:val="clear" w:color="auto" w:fill="FFFFFF" w:themeFill="background1"/>
              <w:spacing w:before="200" w:after="200"/>
              <w:ind w:left="0"/>
              <w:contextualSpacing w:val="0"/>
              <w:jc w:val="both"/>
              <w:rPr>
                <w:rFonts w:eastAsiaTheme="majorHAnsi" w:cstheme="majorHAnsi"/>
                <w:color w:val="000000"/>
                <w:sz w:val="20"/>
                <w:szCs w:val="20"/>
                <w:lang w:eastAsia="zh-CN"/>
              </w:rPr>
            </w:pPr>
            <w:r w:rsidRPr="00D457FF">
              <w:rPr>
                <w:rFonts w:eastAsiaTheme="majorHAnsi" w:cstheme="majorHAnsi"/>
                <w:color w:val="000000"/>
                <w:sz w:val="20"/>
                <w:szCs w:val="20"/>
                <w:lang w:eastAsia="zh-CN"/>
              </w:rPr>
              <w:t>HRAU/</w:t>
            </w:r>
            <w:r w:rsidR="00F44DD1" w:rsidRPr="00D457FF">
              <w:rPr>
                <w:rFonts w:eastAsiaTheme="majorHAnsi" w:cstheme="majorHAnsi"/>
                <w:color w:val="000000"/>
                <w:sz w:val="20"/>
                <w:szCs w:val="20"/>
                <w:lang w:eastAsia="zh-CN"/>
              </w:rPr>
              <w:t>OHCHR</w:t>
            </w:r>
          </w:p>
        </w:tc>
        <w:tc>
          <w:tcPr>
            <w:tcW w:w="1307" w:type="pct"/>
            <w:hideMark/>
          </w:tcPr>
          <w:p w14:paraId="080FCBEB" w14:textId="01E13F7D" w:rsidR="00B30AE6" w:rsidRPr="00D457FF" w:rsidRDefault="00B30AE6"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UN WOMEN</w:t>
            </w:r>
          </w:p>
          <w:p w14:paraId="76689D20" w14:textId="2D8F10B4" w:rsidR="006F2823" w:rsidRPr="00D457FF" w:rsidRDefault="006F2823" w:rsidP="00D457FF">
            <w:pPr>
              <w:pStyle w:val="ListParagraph"/>
              <w:numPr>
                <w:ilvl w:val="0"/>
                <w:numId w:val="13"/>
              </w:numPr>
              <w:shd w:val="clear" w:color="auto" w:fill="FFFFFF" w:themeFill="background1"/>
              <w:spacing w:before="200" w:after="200"/>
              <w:ind w:left="185" w:hanging="185"/>
              <w:contextualSpacing w:val="0"/>
              <w:jc w:val="both"/>
              <w:rPr>
                <w:sz w:val="20"/>
                <w:szCs w:val="20"/>
              </w:rPr>
            </w:pPr>
            <w:r w:rsidRPr="00D457FF">
              <w:rPr>
                <w:sz w:val="20"/>
                <w:szCs w:val="20"/>
              </w:rPr>
              <w:t xml:space="preserve">DPOs </w:t>
            </w:r>
          </w:p>
          <w:p w14:paraId="044B1CE9" w14:textId="77777777" w:rsidR="00337E7B" w:rsidRPr="00D457FF" w:rsidRDefault="006F2823"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Ministry of Social Solidarity</w:t>
            </w:r>
          </w:p>
          <w:p w14:paraId="4D617FE0" w14:textId="50A0C45A" w:rsidR="00B30AE6" w:rsidRPr="00D457FF" w:rsidRDefault="00337E7B"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National Human Rights Institution</w:t>
            </w:r>
          </w:p>
          <w:p w14:paraId="0B996FDE" w14:textId="61607B27" w:rsidR="00B415D6" w:rsidRPr="00D457FF" w:rsidRDefault="00B415D6" w:rsidP="00D457FF">
            <w:pPr>
              <w:pStyle w:val="ListParagraph"/>
              <w:shd w:val="clear" w:color="auto" w:fill="FFFFFF" w:themeFill="background1"/>
              <w:spacing w:before="200" w:after="200"/>
              <w:ind w:left="185"/>
              <w:contextualSpacing w:val="0"/>
              <w:jc w:val="both"/>
              <w:rPr>
                <w:sz w:val="20"/>
                <w:szCs w:val="20"/>
              </w:rPr>
            </w:pPr>
          </w:p>
        </w:tc>
        <w:tc>
          <w:tcPr>
            <w:tcW w:w="1018" w:type="pct"/>
            <w:hideMark/>
          </w:tcPr>
          <w:p w14:paraId="651F0C2D" w14:textId="77777777" w:rsidR="001E5F27" w:rsidRPr="00D457FF" w:rsidRDefault="00F94AE1" w:rsidP="00D457FF">
            <w:pPr>
              <w:pStyle w:val="NoSpacing"/>
              <w:numPr>
                <w:ilvl w:val="0"/>
                <w:numId w:val="13"/>
              </w:numPr>
              <w:shd w:val="clear" w:color="auto" w:fill="FFFFFF" w:themeFill="background1"/>
              <w:spacing w:before="200" w:after="200"/>
              <w:ind w:left="166" w:hanging="180"/>
              <w:rPr>
                <w:rStyle w:val="st"/>
                <w:sz w:val="20"/>
                <w:szCs w:val="20"/>
              </w:rPr>
            </w:pPr>
            <w:r w:rsidRPr="00D457FF">
              <w:rPr>
                <w:rStyle w:val="st"/>
                <w:sz w:val="20"/>
                <w:szCs w:val="20"/>
              </w:rPr>
              <w:t>Secretary of State for Gender Equality and Social Inclusion (SEIGIS)</w:t>
            </w:r>
          </w:p>
          <w:p w14:paraId="3A5ED1B9" w14:textId="0F23A289" w:rsidR="006F2823" w:rsidRPr="00D457FF" w:rsidRDefault="006F2823" w:rsidP="00D457FF">
            <w:pPr>
              <w:pStyle w:val="NoSpacing"/>
              <w:numPr>
                <w:ilvl w:val="0"/>
                <w:numId w:val="13"/>
              </w:numPr>
              <w:shd w:val="clear" w:color="auto" w:fill="FFFFFF" w:themeFill="background1"/>
              <w:spacing w:before="200" w:after="200"/>
              <w:ind w:left="166" w:hanging="180"/>
              <w:rPr>
                <w:sz w:val="20"/>
                <w:szCs w:val="20"/>
              </w:rPr>
            </w:pPr>
            <w:r w:rsidRPr="00D457FF">
              <w:rPr>
                <w:rStyle w:val="st"/>
                <w:sz w:val="20"/>
                <w:szCs w:val="20"/>
              </w:rPr>
              <w:t>Ministry of Justice</w:t>
            </w:r>
          </w:p>
          <w:p w14:paraId="193E8F6C" w14:textId="77777777" w:rsidR="00AB5B9C" w:rsidRPr="00D457FF" w:rsidRDefault="00B30AE6"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Human rights NGOs</w:t>
            </w:r>
            <w:r w:rsidR="0053478B" w:rsidRPr="00D457FF">
              <w:rPr>
                <w:sz w:val="20"/>
                <w:szCs w:val="20"/>
              </w:rPr>
              <w:t xml:space="preserve"> </w:t>
            </w:r>
          </w:p>
          <w:p w14:paraId="76776C32" w14:textId="4D85F5A6" w:rsidR="00746291" w:rsidRPr="00D457FF" w:rsidRDefault="00746291"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DFAT Partnership for Human Development</w:t>
            </w:r>
          </w:p>
          <w:p w14:paraId="5933345B" w14:textId="1C6C708F" w:rsidR="00746291" w:rsidRPr="00D457FF" w:rsidRDefault="00746291"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Handicap International</w:t>
            </w:r>
          </w:p>
          <w:p w14:paraId="3F4606AA" w14:textId="192E1DEB" w:rsidR="00B30AE6" w:rsidRPr="00D457FF" w:rsidRDefault="00B30AE6" w:rsidP="00D457FF">
            <w:pPr>
              <w:pStyle w:val="NoSpacing"/>
              <w:shd w:val="clear" w:color="auto" w:fill="FFFFFF" w:themeFill="background1"/>
              <w:spacing w:before="200" w:after="200"/>
              <w:ind w:left="185"/>
              <w:rPr>
                <w:sz w:val="20"/>
                <w:szCs w:val="20"/>
              </w:rPr>
            </w:pPr>
          </w:p>
        </w:tc>
      </w:tr>
      <w:tr w:rsidR="00B30AE6" w:rsidRPr="00D457FF" w14:paraId="28744037" w14:textId="77777777" w:rsidTr="005214F1">
        <w:trPr>
          <w:trHeight w:val="413"/>
        </w:trPr>
        <w:tc>
          <w:tcPr>
            <w:tcW w:w="1991" w:type="pct"/>
            <w:hideMark/>
          </w:tcPr>
          <w:p w14:paraId="116B5A4E" w14:textId="337870F7" w:rsidR="00645248" w:rsidRPr="00D457FF" w:rsidRDefault="00B30AE6" w:rsidP="00D457FF">
            <w:pPr>
              <w:pStyle w:val="ListParagraph"/>
              <w:shd w:val="clear" w:color="auto" w:fill="FFFFFF" w:themeFill="background1"/>
              <w:spacing w:before="200" w:after="200"/>
              <w:ind w:left="0"/>
              <w:contextualSpacing w:val="0"/>
              <w:jc w:val="both"/>
              <w:rPr>
                <w:b/>
                <w:sz w:val="20"/>
                <w:szCs w:val="20"/>
              </w:rPr>
            </w:pPr>
            <w:r w:rsidRPr="00D457FF">
              <w:rPr>
                <w:rFonts w:cstheme="minorHAnsi"/>
                <w:b/>
                <w:sz w:val="20"/>
                <w:szCs w:val="20"/>
              </w:rPr>
              <w:t>Outcome 2:</w:t>
            </w:r>
            <w:r w:rsidR="00656125" w:rsidRPr="00D457FF">
              <w:rPr>
                <w:rFonts w:cstheme="minorHAnsi"/>
                <w:b/>
                <w:bCs/>
                <w:color w:val="000000" w:themeColor="text1"/>
                <w:sz w:val="20"/>
                <w:szCs w:val="20"/>
              </w:rPr>
              <w:t xml:space="preserve"> </w:t>
            </w:r>
          </w:p>
          <w:p w14:paraId="53482648" w14:textId="3702EB56" w:rsidR="00480612" w:rsidRPr="00D457FF" w:rsidRDefault="00480612" w:rsidP="00D457FF">
            <w:pPr>
              <w:pStyle w:val="ListParagraph"/>
              <w:shd w:val="clear" w:color="auto" w:fill="FFFFFF" w:themeFill="background1"/>
              <w:spacing w:before="200" w:after="200"/>
              <w:ind w:left="0"/>
              <w:contextualSpacing w:val="0"/>
              <w:jc w:val="both"/>
              <w:rPr>
                <w:sz w:val="20"/>
                <w:szCs w:val="20"/>
              </w:rPr>
            </w:pPr>
            <w:r w:rsidRPr="00D457FF">
              <w:rPr>
                <w:b/>
                <w:sz w:val="20"/>
                <w:szCs w:val="20"/>
              </w:rPr>
              <w:t>Capacity of key service providers (education, health, rehabilitation and justice) to deliver disability inclusive services enhanced, with a focus on prevention and response to violence against women and children with disabilities</w:t>
            </w:r>
          </w:p>
          <w:p w14:paraId="00551895" w14:textId="2E0DD242" w:rsidR="00AB5B9C" w:rsidRPr="00D457FF" w:rsidRDefault="00AB5B9C" w:rsidP="00D457FF">
            <w:pPr>
              <w:pStyle w:val="ListParagraph"/>
              <w:shd w:val="clear" w:color="auto" w:fill="FFFFFF" w:themeFill="background1"/>
              <w:spacing w:before="200" w:after="200"/>
              <w:ind w:left="0"/>
              <w:contextualSpacing w:val="0"/>
              <w:jc w:val="both"/>
              <w:rPr>
                <w:sz w:val="20"/>
                <w:szCs w:val="20"/>
              </w:rPr>
            </w:pPr>
          </w:p>
        </w:tc>
        <w:tc>
          <w:tcPr>
            <w:tcW w:w="684" w:type="pct"/>
            <w:hideMark/>
          </w:tcPr>
          <w:p w14:paraId="5B9CAD05" w14:textId="2627900D" w:rsidR="00B30AE6" w:rsidRPr="00D457FF" w:rsidRDefault="00074E5C" w:rsidP="00D457FF">
            <w:pPr>
              <w:pStyle w:val="ListParagraph"/>
              <w:shd w:val="clear" w:color="auto" w:fill="FFFFFF" w:themeFill="background1"/>
              <w:spacing w:before="200" w:after="200"/>
              <w:ind w:left="0"/>
              <w:contextualSpacing w:val="0"/>
              <w:jc w:val="both"/>
              <w:rPr>
                <w:sz w:val="20"/>
                <w:szCs w:val="20"/>
              </w:rPr>
            </w:pPr>
            <w:r w:rsidRPr="00D457FF">
              <w:rPr>
                <w:sz w:val="20"/>
                <w:szCs w:val="20"/>
              </w:rPr>
              <w:t>UN Women</w:t>
            </w:r>
          </w:p>
        </w:tc>
        <w:tc>
          <w:tcPr>
            <w:tcW w:w="1307" w:type="pct"/>
            <w:hideMark/>
          </w:tcPr>
          <w:p w14:paraId="4FADFC1E" w14:textId="24E3983E" w:rsidR="00AB5B9C" w:rsidRPr="00D457FF" w:rsidRDefault="00AB5B9C"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UN Women</w:t>
            </w:r>
          </w:p>
          <w:p w14:paraId="24A68F0F" w14:textId="38531A5A" w:rsidR="00B30AE6" w:rsidRPr="00D457FF" w:rsidRDefault="00F44DD1"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HRAU/OHCHR</w:t>
            </w:r>
          </w:p>
          <w:p w14:paraId="24CAE614" w14:textId="77777777" w:rsidR="00B30AE6" w:rsidRPr="00D457FF" w:rsidRDefault="00B30AE6"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UNFPA</w:t>
            </w:r>
          </w:p>
          <w:p w14:paraId="16E94684" w14:textId="77777777" w:rsidR="00B30AE6" w:rsidRPr="00D457FF" w:rsidRDefault="00B30AE6"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UNICEF</w:t>
            </w:r>
          </w:p>
          <w:p w14:paraId="0E42E0BE" w14:textId="77777777" w:rsidR="00B30AE6" w:rsidRPr="00D457FF" w:rsidRDefault="00B30AE6"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 xml:space="preserve">WHO </w:t>
            </w:r>
          </w:p>
          <w:p w14:paraId="752ECAEB" w14:textId="59D19465" w:rsidR="006F2823" w:rsidRPr="00D457FF" w:rsidRDefault="006F2823" w:rsidP="00D457FF">
            <w:pPr>
              <w:pStyle w:val="NoSpacing"/>
              <w:shd w:val="clear" w:color="auto" w:fill="FFFFFF" w:themeFill="background1"/>
              <w:spacing w:before="200" w:after="200"/>
              <w:ind w:left="185"/>
              <w:rPr>
                <w:sz w:val="20"/>
                <w:szCs w:val="20"/>
              </w:rPr>
            </w:pPr>
            <w:r w:rsidRPr="00D457FF">
              <w:rPr>
                <w:sz w:val="20"/>
                <w:szCs w:val="20"/>
              </w:rPr>
              <w:t>DPOs, including Timor-Leste Disability Association (ADTL), CBRN</w:t>
            </w:r>
          </w:p>
          <w:p w14:paraId="1DCE8170" w14:textId="35F002DC" w:rsidR="006F2823" w:rsidRPr="00D457FF" w:rsidRDefault="006F2823"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Ministry of Social Solidarity</w:t>
            </w:r>
          </w:p>
          <w:p w14:paraId="54777501" w14:textId="2EDEECB0" w:rsidR="00337E7B" w:rsidRPr="00D457FF" w:rsidRDefault="00337E7B"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Ministry of Education</w:t>
            </w:r>
          </w:p>
          <w:p w14:paraId="30EFC37A" w14:textId="05D09B35" w:rsidR="00337E7B" w:rsidRPr="00D457FF" w:rsidRDefault="00337E7B"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Ministry of Health</w:t>
            </w:r>
          </w:p>
          <w:p w14:paraId="7DE5734F" w14:textId="3A02DF92" w:rsidR="00746291" w:rsidRPr="00D457FF" w:rsidRDefault="00746291"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National Rehabilitation Centre</w:t>
            </w:r>
          </w:p>
          <w:p w14:paraId="68333A49" w14:textId="395D42EF" w:rsidR="00337E7B" w:rsidRPr="00D457FF" w:rsidRDefault="00746291"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Judiciary</w:t>
            </w:r>
          </w:p>
          <w:p w14:paraId="36B481A3" w14:textId="7CD80E22" w:rsidR="006F2823" w:rsidRPr="00D457FF" w:rsidRDefault="006F2823" w:rsidP="00D457FF">
            <w:pPr>
              <w:pStyle w:val="NoSpacing"/>
              <w:shd w:val="clear" w:color="auto" w:fill="FFFFFF" w:themeFill="background1"/>
              <w:spacing w:before="200" w:after="200"/>
              <w:ind w:left="185"/>
              <w:rPr>
                <w:sz w:val="20"/>
                <w:szCs w:val="20"/>
              </w:rPr>
            </w:pPr>
          </w:p>
        </w:tc>
        <w:tc>
          <w:tcPr>
            <w:tcW w:w="1018" w:type="pct"/>
            <w:hideMark/>
          </w:tcPr>
          <w:p w14:paraId="022B6E19" w14:textId="20A8F7FC" w:rsidR="0053478B" w:rsidRPr="00D457FF" w:rsidRDefault="00D86431"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Ministry of Justice</w:t>
            </w:r>
          </w:p>
          <w:p w14:paraId="706BB4EC" w14:textId="77777777"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Ministry of Health</w:t>
            </w:r>
          </w:p>
          <w:p w14:paraId="6F08B99E" w14:textId="77777777"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 xml:space="preserve">Ministry of Education </w:t>
            </w:r>
          </w:p>
          <w:p w14:paraId="0BE0876F" w14:textId="77777777" w:rsidR="00F94AE1" w:rsidRPr="00D457FF" w:rsidRDefault="00F94AE1" w:rsidP="00D457FF">
            <w:pPr>
              <w:pStyle w:val="NoSpacing"/>
              <w:numPr>
                <w:ilvl w:val="0"/>
                <w:numId w:val="13"/>
              </w:numPr>
              <w:shd w:val="clear" w:color="auto" w:fill="FFFFFF" w:themeFill="background1"/>
              <w:spacing w:before="200" w:after="200"/>
              <w:ind w:left="166" w:hanging="166"/>
              <w:rPr>
                <w:sz w:val="20"/>
                <w:szCs w:val="20"/>
              </w:rPr>
            </w:pPr>
            <w:r w:rsidRPr="00D457FF">
              <w:rPr>
                <w:sz w:val="20"/>
                <w:szCs w:val="20"/>
              </w:rPr>
              <w:t>Secretary of State for Gender Equality and Social Inclusion (SEIGIS)</w:t>
            </w:r>
          </w:p>
          <w:p w14:paraId="0E42563D" w14:textId="1AA01F61" w:rsidR="00F84310" w:rsidRPr="00D457FF" w:rsidRDefault="0053478B" w:rsidP="00D457FF">
            <w:pPr>
              <w:pStyle w:val="NoSpacing"/>
              <w:numPr>
                <w:ilvl w:val="0"/>
                <w:numId w:val="13"/>
              </w:numPr>
              <w:shd w:val="clear" w:color="auto" w:fill="FFFFFF" w:themeFill="background1"/>
              <w:spacing w:before="200" w:after="200"/>
              <w:ind w:left="166" w:hanging="166"/>
              <w:rPr>
                <w:sz w:val="20"/>
                <w:szCs w:val="20"/>
              </w:rPr>
            </w:pPr>
            <w:r w:rsidRPr="00D457FF">
              <w:rPr>
                <w:sz w:val="20"/>
                <w:szCs w:val="20"/>
              </w:rPr>
              <w:t xml:space="preserve">Dili </w:t>
            </w:r>
            <w:r w:rsidR="00F84310" w:rsidRPr="00D457FF">
              <w:rPr>
                <w:sz w:val="20"/>
                <w:szCs w:val="20"/>
              </w:rPr>
              <w:t>Municipal government</w:t>
            </w:r>
          </w:p>
          <w:p w14:paraId="438BF7AE" w14:textId="1EF5DD30" w:rsidR="00337E7B" w:rsidRPr="00D457FF" w:rsidRDefault="00AB5B9C"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 xml:space="preserve">Women and </w:t>
            </w:r>
            <w:r w:rsidR="00812A72" w:rsidRPr="00D457FF">
              <w:rPr>
                <w:sz w:val="20"/>
                <w:szCs w:val="20"/>
              </w:rPr>
              <w:t>human r</w:t>
            </w:r>
            <w:r w:rsidRPr="00D457FF">
              <w:rPr>
                <w:sz w:val="20"/>
                <w:szCs w:val="20"/>
              </w:rPr>
              <w:t>ights N</w:t>
            </w:r>
            <w:r w:rsidR="006F277F" w:rsidRPr="00D457FF">
              <w:rPr>
                <w:sz w:val="20"/>
                <w:szCs w:val="20"/>
              </w:rPr>
              <w:t xml:space="preserve">GOs: </w:t>
            </w:r>
            <w:r w:rsidR="00B30AE6" w:rsidRPr="00D457FF">
              <w:rPr>
                <w:sz w:val="20"/>
                <w:szCs w:val="20"/>
              </w:rPr>
              <w:t>Rede Feto</w:t>
            </w:r>
            <w:r w:rsidR="0053478B" w:rsidRPr="00D457FF">
              <w:rPr>
                <w:sz w:val="20"/>
                <w:szCs w:val="20"/>
              </w:rPr>
              <w:t>, JSMP, Alfela</w:t>
            </w:r>
            <w:r w:rsidR="00746291" w:rsidRPr="00D457FF">
              <w:rPr>
                <w:sz w:val="20"/>
                <w:szCs w:val="20"/>
              </w:rPr>
              <w:t>, Pradet</w:t>
            </w:r>
          </w:p>
          <w:p w14:paraId="7E029145" w14:textId="4968F3B5" w:rsidR="00337E7B" w:rsidRPr="00D457FF" w:rsidRDefault="00337E7B"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UNESCO</w:t>
            </w:r>
          </w:p>
          <w:p w14:paraId="5A5A4BFB" w14:textId="3BD979BB" w:rsidR="00210AC8" w:rsidRPr="00D457FF" w:rsidRDefault="00210AC8"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UNDP</w:t>
            </w:r>
          </w:p>
          <w:p w14:paraId="3D5FF1C9" w14:textId="4E17412B" w:rsidR="00746291" w:rsidRPr="00D457FF" w:rsidRDefault="00746291"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The Asia Foundation’s Ending Violence Women Programme</w:t>
            </w:r>
          </w:p>
          <w:p w14:paraId="097FED9D" w14:textId="2B728639" w:rsidR="00210AC8" w:rsidRPr="00D457FF" w:rsidRDefault="00746291"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lastRenderedPageBreak/>
              <w:t>DFAT Partnership for Human Development</w:t>
            </w:r>
          </w:p>
          <w:p w14:paraId="5B547D9C" w14:textId="69C4035B" w:rsidR="00210AC8" w:rsidRPr="00D457FF" w:rsidRDefault="00210AC8"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National Directorate for Statistics</w:t>
            </w:r>
          </w:p>
          <w:p w14:paraId="59380FE5" w14:textId="1A0CB0B4"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Handicap International</w:t>
            </w:r>
          </w:p>
          <w:p w14:paraId="7F2E25FC" w14:textId="062EC36B" w:rsidR="00B30AE6" w:rsidRPr="00D457FF" w:rsidRDefault="00B30AE6" w:rsidP="00D457FF">
            <w:pPr>
              <w:pStyle w:val="NoSpacing"/>
              <w:shd w:val="clear" w:color="auto" w:fill="FFFFFF" w:themeFill="background1"/>
              <w:spacing w:before="200" w:after="200"/>
              <w:ind w:left="185"/>
              <w:rPr>
                <w:sz w:val="20"/>
                <w:szCs w:val="20"/>
              </w:rPr>
            </w:pPr>
          </w:p>
        </w:tc>
      </w:tr>
      <w:tr w:rsidR="00CD3C2C" w:rsidRPr="00D457FF" w14:paraId="685B4ACC" w14:textId="77777777" w:rsidTr="005214F1">
        <w:trPr>
          <w:trHeight w:val="413"/>
        </w:trPr>
        <w:tc>
          <w:tcPr>
            <w:tcW w:w="1991" w:type="pct"/>
          </w:tcPr>
          <w:p w14:paraId="37A90ED9" w14:textId="21769A90" w:rsidR="00480612" w:rsidRPr="00D457FF" w:rsidRDefault="00CD3C2C" w:rsidP="00D457FF">
            <w:pPr>
              <w:pStyle w:val="ListParagraph"/>
              <w:shd w:val="clear" w:color="auto" w:fill="FFFFFF" w:themeFill="background1"/>
              <w:spacing w:before="200" w:after="200"/>
              <w:ind w:left="0"/>
              <w:contextualSpacing w:val="0"/>
              <w:jc w:val="both"/>
              <w:rPr>
                <w:b/>
                <w:sz w:val="20"/>
                <w:szCs w:val="20"/>
              </w:rPr>
            </w:pPr>
            <w:r w:rsidRPr="00D457FF">
              <w:rPr>
                <w:b/>
                <w:sz w:val="20"/>
                <w:szCs w:val="20"/>
              </w:rPr>
              <w:lastRenderedPageBreak/>
              <w:t xml:space="preserve">Outcome 3: </w:t>
            </w:r>
            <w:r w:rsidR="00480612" w:rsidRPr="00D457FF">
              <w:rPr>
                <w:b/>
                <w:sz w:val="20"/>
                <w:szCs w:val="20"/>
              </w:rPr>
              <w:t>Capacity of DPO staff, in particular women with disabilities, to access and to advocate for disability inclusive services, including GBV services, strengthened</w:t>
            </w:r>
          </w:p>
          <w:p w14:paraId="1EA1DB76" w14:textId="00ABB19A" w:rsidR="00CD3C2C" w:rsidRPr="00D457FF" w:rsidRDefault="00CD3C2C" w:rsidP="00D457FF">
            <w:pPr>
              <w:pStyle w:val="ListParagraph"/>
              <w:shd w:val="clear" w:color="auto" w:fill="FFFFFF" w:themeFill="background1"/>
              <w:spacing w:before="200" w:after="200"/>
              <w:ind w:left="0"/>
              <w:contextualSpacing w:val="0"/>
              <w:jc w:val="both"/>
              <w:rPr>
                <w:rFonts w:cstheme="minorHAnsi"/>
                <w:b/>
                <w:sz w:val="20"/>
                <w:szCs w:val="20"/>
              </w:rPr>
            </w:pPr>
          </w:p>
        </w:tc>
        <w:tc>
          <w:tcPr>
            <w:tcW w:w="684" w:type="pct"/>
          </w:tcPr>
          <w:p w14:paraId="426D1203" w14:textId="11B12B65" w:rsidR="00CD3C2C" w:rsidRPr="00D457FF" w:rsidRDefault="00480612" w:rsidP="00D457FF">
            <w:pPr>
              <w:pStyle w:val="ListParagraph"/>
              <w:shd w:val="clear" w:color="auto" w:fill="FFFFFF" w:themeFill="background1"/>
              <w:spacing w:before="200" w:after="200"/>
              <w:ind w:left="0"/>
              <w:contextualSpacing w:val="0"/>
              <w:jc w:val="both"/>
              <w:rPr>
                <w:sz w:val="20"/>
                <w:szCs w:val="20"/>
              </w:rPr>
            </w:pPr>
            <w:r w:rsidRPr="00D457FF">
              <w:rPr>
                <w:sz w:val="20"/>
                <w:szCs w:val="20"/>
              </w:rPr>
              <w:t>UN Women</w:t>
            </w:r>
          </w:p>
        </w:tc>
        <w:tc>
          <w:tcPr>
            <w:tcW w:w="1307" w:type="pct"/>
          </w:tcPr>
          <w:p w14:paraId="02A9192C" w14:textId="77777777"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 xml:space="preserve">DPOs </w:t>
            </w:r>
          </w:p>
          <w:p w14:paraId="196FA9B1" w14:textId="6BB10F69" w:rsidR="00CD3C2C"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HRAU/OHCHR</w:t>
            </w:r>
          </w:p>
          <w:p w14:paraId="7A482ABC" w14:textId="06A8EC3F"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UNFPA</w:t>
            </w:r>
          </w:p>
          <w:p w14:paraId="197BF425" w14:textId="3B574C9A"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UNICEF</w:t>
            </w:r>
          </w:p>
          <w:p w14:paraId="1F228C8F" w14:textId="492142FE"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WHO</w:t>
            </w:r>
          </w:p>
          <w:p w14:paraId="6D58D641" w14:textId="150C8B85" w:rsidR="00480612" w:rsidRPr="00D457FF" w:rsidRDefault="00480612" w:rsidP="00D457FF">
            <w:pPr>
              <w:pStyle w:val="NoSpacing"/>
              <w:shd w:val="clear" w:color="auto" w:fill="FFFFFF" w:themeFill="background1"/>
              <w:spacing w:before="200" w:after="200"/>
              <w:rPr>
                <w:sz w:val="20"/>
                <w:szCs w:val="20"/>
              </w:rPr>
            </w:pPr>
          </w:p>
        </w:tc>
        <w:tc>
          <w:tcPr>
            <w:tcW w:w="1018" w:type="pct"/>
          </w:tcPr>
          <w:p w14:paraId="69AE1901" w14:textId="77777777"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DFAT Partnership for Human Development</w:t>
            </w:r>
          </w:p>
          <w:p w14:paraId="354DE0CF" w14:textId="77777777" w:rsidR="00CD3C2C"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The Asia Foundation</w:t>
            </w:r>
          </w:p>
          <w:p w14:paraId="04205B4D" w14:textId="00695406" w:rsidR="00480612" w:rsidRPr="00D457FF" w:rsidRDefault="00480612" w:rsidP="00D457FF">
            <w:pPr>
              <w:pStyle w:val="NoSpacing"/>
              <w:numPr>
                <w:ilvl w:val="0"/>
                <w:numId w:val="13"/>
              </w:numPr>
              <w:shd w:val="clear" w:color="auto" w:fill="FFFFFF" w:themeFill="background1"/>
              <w:spacing w:before="200" w:after="200"/>
              <w:ind w:left="185" w:hanging="185"/>
              <w:rPr>
                <w:sz w:val="20"/>
                <w:szCs w:val="20"/>
              </w:rPr>
            </w:pPr>
            <w:r w:rsidRPr="00D457FF">
              <w:rPr>
                <w:sz w:val="20"/>
                <w:szCs w:val="20"/>
              </w:rPr>
              <w:t>Handicap International</w:t>
            </w:r>
          </w:p>
        </w:tc>
      </w:tr>
    </w:tbl>
    <w:p w14:paraId="503E4093" w14:textId="4925A12B" w:rsidR="0085343D" w:rsidRPr="00D457FF" w:rsidRDefault="0085343D" w:rsidP="00D457FF">
      <w:pPr>
        <w:shd w:val="clear" w:color="auto" w:fill="FFFFFF" w:themeFill="background1"/>
        <w:spacing w:before="200"/>
        <w:jc w:val="both"/>
        <w:rPr>
          <w:rFonts w:ascii="Calibri" w:eastAsia="Calibri" w:hAnsi="Calibri" w:cs="Calibri"/>
          <w:color w:val="000000"/>
          <w:szCs w:val="20"/>
          <w:lang w:eastAsia="zh-CN"/>
        </w:rPr>
      </w:pPr>
    </w:p>
    <w:p w14:paraId="6A185D20" w14:textId="45BE5DB0" w:rsidR="00D90CD2" w:rsidRPr="00D457FF" w:rsidRDefault="001D291E" w:rsidP="00D457FF">
      <w:pPr>
        <w:shd w:val="clear" w:color="auto" w:fill="FFFFFF" w:themeFill="background1"/>
        <w:spacing w:before="200" w:line="240" w:lineRule="auto"/>
        <w:jc w:val="both"/>
        <w:rPr>
          <w:b/>
          <w:sz w:val="24"/>
        </w:rPr>
      </w:pPr>
      <w:r w:rsidRPr="00D457FF">
        <w:rPr>
          <w:sz w:val="24"/>
          <w:szCs w:val="24"/>
        </w:rPr>
        <w:t>A Steering Committee, led by the UN</w:t>
      </w:r>
      <w:r w:rsidR="006F277F" w:rsidRPr="00D457FF">
        <w:rPr>
          <w:sz w:val="24"/>
          <w:szCs w:val="24"/>
        </w:rPr>
        <w:t xml:space="preserve"> in Timor-Leste</w:t>
      </w:r>
      <w:r w:rsidRPr="00D457FF">
        <w:rPr>
          <w:sz w:val="24"/>
          <w:szCs w:val="24"/>
        </w:rPr>
        <w:t xml:space="preserve">, will be established comprising representatives </w:t>
      </w:r>
      <w:r w:rsidR="006F2823" w:rsidRPr="00D457FF">
        <w:rPr>
          <w:sz w:val="24"/>
          <w:szCs w:val="24"/>
        </w:rPr>
        <w:t>of</w:t>
      </w:r>
      <w:r w:rsidRPr="00D457FF">
        <w:rPr>
          <w:sz w:val="24"/>
          <w:szCs w:val="24"/>
        </w:rPr>
        <w:t xml:space="preserve"> implementing partners in DPOs, Government, the NHRI and civil society to ensure </w:t>
      </w:r>
      <w:r w:rsidR="006F277F" w:rsidRPr="00D457FF">
        <w:rPr>
          <w:sz w:val="24"/>
          <w:szCs w:val="24"/>
        </w:rPr>
        <w:t xml:space="preserve">inclusive, accountable and </w:t>
      </w:r>
      <w:r w:rsidRPr="00D457FF">
        <w:rPr>
          <w:sz w:val="24"/>
          <w:szCs w:val="24"/>
        </w:rPr>
        <w:t xml:space="preserve">effective governance of the project. The Committee will jointly develop a </w:t>
      </w:r>
      <w:r w:rsidR="00B954BA" w:rsidRPr="00D457FF">
        <w:rPr>
          <w:sz w:val="24"/>
          <w:szCs w:val="24"/>
        </w:rPr>
        <w:t xml:space="preserve">Terms </w:t>
      </w:r>
      <w:r w:rsidR="006E798C" w:rsidRPr="00D457FF">
        <w:rPr>
          <w:sz w:val="24"/>
          <w:szCs w:val="24"/>
        </w:rPr>
        <w:t>o</w:t>
      </w:r>
      <w:r w:rsidR="00B954BA" w:rsidRPr="00D457FF">
        <w:rPr>
          <w:sz w:val="24"/>
          <w:szCs w:val="24"/>
        </w:rPr>
        <w:t xml:space="preserve">f Reference </w:t>
      </w:r>
      <w:r w:rsidRPr="00D457FF">
        <w:rPr>
          <w:sz w:val="24"/>
          <w:szCs w:val="24"/>
        </w:rPr>
        <w:t xml:space="preserve">and meet quarterly to review project </w:t>
      </w:r>
      <w:r w:rsidR="006F2823" w:rsidRPr="00D457FF">
        <w:rPr>
          <w:sz w:val="24"/>
          <w:szCs w:val="24"/>
        </w:rPr>
        <w:t>progress</w:t>
      </w:r>
      <w:r w:rsidRPr="00D457FF">
        <w:rPr>
          <w:sz w:val="24"/>
          <w:szCs w:val="24"/>
        </w:rPr>
        <w:t xml:space="preserve"> and provide direction for effective implementation. Project reports will be drafted on a </w:t>
      </w:r>
      <w:r w:rsidR="006F277F" w:rsidRPr="00D457FF">
        <w:rPr>
          <w:sz w:val="24"/>
          <w:szCs w:val="24"/>
        </w:rPr>
        <w:t xml:space="preserve">quarterly </w:t>
      </w:r>
      <w:r w:rsidRPr="00D457FF">
        <w:rPr>
          <w:sz w:val="24"/>
          <w:szCs w:val="24"/>
        </w:rPr>
        <w:t>basis</w:t>
      </w:r>
      <w:r w:rsidR="006F277F" w:rsidRPr="00D457FF">
        <w:rPr>
          <w:sz w:val="24"/>
          <w:szCs w:val="24"/>
        </w:rPr>
        <w:t xml:space="preserve"> by the </w:t>
      </w:r>
      <w:r w:rsidR="006F2823" w:rsidRPr="00D457FF">
        <w:rPr>
          <w:sz w:val="24"/>
          <w:szCs w:val="24"/>
        </w:rPr>
        <w:t>implementing</w:t>
      </w:r>
      <w:r w:rsidR="006F277F" w:rsidRPr="00D457FF">
        <w:rPr>
          <w:sz w:val="24"/>
          <w:szCs w:val="24"/>
        </w:rPr>
        <w:t xml:space="preserve"> UN agencies</w:t>
      </w:r>
      <w:r w:rsidRPr="00D457FF">
        <w:rPr>
          <w:sz w:val="24"/>
          <w:szCs w:val="24"/>
        </w:rPr>
        <w:t>, reviewed by the Steering Committee</w:t>
      </w:r>
      <w:r w:rsidR="006F277F" w:rsidRPr="00D457FF">
        <w:rPr>
          <w:sz w:val="24"/>
          <w:szCs w:val="24"/>
        </w:rPr>
        <w:t>, and shared with beneficiaries</w:t>
      </w:r>
      <w:r w:rsidR="00CB1FE5" w:rsidRPr="00D457FF">
        <w:rPr>
          <w:sz w:val="24"/>
          <w:szCs w:val="24"/>
        </w:rPr>
        <w:t>, and the public,</w:t>
      </w:r>
      <w:r w:rsidR="006F277F" w:rsidRPr="00D457FF">
        <w:rPr>
          <w:sz w:val="24"/>
          <w:szCs w:val="24"/>
        </w:rPr>
        <w:t xml:space="preserve"> as relevant</w:t>
      </w:r>
      <w:r w:rsidR="00AB5B9C" w:rsidRPr="00D457FF">
        <w:rPr>
          <w:sz w:val="24"/>
          <w:szCs w:val="24"/>
        </w:rPr>
        <w:t>,</w:t>
      </w:r>
      <w:r w:rsidR="006F277F" w:rsidRPr="00D457FF">
        <w:rPr>
          <w:sz w:val="24"/>
          <w:szCs w:val="24"/>
        </w:rPr>
        <w:t xml:space="preserve"> in an accessible format and language.</w:t>
      </w:r>
      <w:r w:rsidR="00656125" w:rsidRPr="00D457FF">
        <w:rPr>
          <w:sz w:val="24"/>
          <w:szCs w:val="24"/>
        </w:rPr>
        <w:t xml:space="preserve"> </w:t>
      </w:r>
      <w:r w:rsidR="00CB1FE5" w:rsidRPr="00D457FF">
        <w:rPr>
          <w:sz w:val="24"/>
          <w:szCs w:val="24"/>
        </w:rPr>
        <w:t>An annual meeting will be held by the Steering Committee with interested stakeholder from DPOs, government, developments partners who are not directly involved in the project, but who have an int</w:t>
      </w:r>
      <w:r w:rsidR="00AB5B9C" w:rsidRPr="00D457FF">
        <w:rPr>
          <w:sz w:val="24"/>
          <w:szCs w:val="24"/>
        </w:rPr>
        <w:t xml:space="preserve">erest in the area of disability, and </w:t>
      </w:r>
      <w:r w:rsidR="000571F8" w:rsidRPr="00D457FF">
        <w:rPr>
          <w:sz w:val="24"/>
          <w:szCs w:val="24"/>
        </w:rPr>
        <w:t xml:space="preserve">who </w:t>
      </w:r>
      <w:r w:rsidR="00AB5B9C" w:rsidRPr="00D457FF">
        <w:rPr>
          <w:sz w:val="24"/>
          <w:szCs w:val="24"/>
        </w:rPr>
        <w:t xml:space="preserve">may be able to complement </w:t>
      </w:r>
      <w:r w:rsidR="006F2823" w:rsidRPr="00D457FF">
        <w:rPr>
          <w:sz w:val="24"/>
          <w:szCs w:val="24"/>
        </w:rPr>
        <w:t xml:space="preserve">or scale up </w:t>
      </w:r>
      <w:r w:rsidR="00AB5B9C" w:rsidRPr="00D457FF">
        <w:rPr>
          <w:sz w:val="24"/>
          <w:szCs w:val="24"/>
        </w:rPr>
        <w:t xml:space="preserve">project interventions. </w:t>
      </w:r>
      <w:r w:rsidRPr="00D457FF">
        <w:rPr>
          <w:sz w:val="24"/>
          <w:szCs w:val="24"/>
        </w:rPr>
        <w:t>An internet</w:t>
      </w:r>
      <w:r w:rsidR="000571F8" w:rsidRPr="00D457FF">
        <w:rPr>
          <w:sz w:val="24"/>
          <w:szCs w:val="24"/>
        </w:rPr>
        <w:t>-</w:t>
      </w:r>
      <w:r w:rsidRPr="00D457FF">
        <w:rPr>
          <w:sz w:val="24"/>
          <w:szCs w:val="24"/>
        </w:rPr>
        <w:t xml:space="preserve">based platform will be used for communication between the UN agencies involved in implementing the project and national partners. </w:t>
      </w:r>
    </w:p>
    <w:p w14:paraId="5DD950A3" w14:textId="1FB60392" w:rsidR="003B626F" w:rsidRPr="00D457FF" w:rsidRDefault="00D457FF" w:rsidP="008C6FE3">
      <w:pPr>
        <w:pStyle w:val="Heading1"/>
        <w:rPr>
          <w:i/>
          <w:sz w:val="20"/>
        </w:rPr>
      </w:pPr>
      <w:r w:rsidRPr="00D457FF">
        <w:t xml:space="preserve">7. </w:t>
      </w:r>
      <w:r w:rsidR="000F52F3" w:rsidRPr="00D457FF">
        <w:t xml:space="preserve">Knowledge Management </w:t>
      </w:r>
    </w:p>
    <w:p w14:paraId="5ED64CD3" w14:textId="7DD24DF8" w:rsidR="00C84BF8" w:rsidRPr="00D457FF" w:rsidRDefault="00CF674F" w:rsidP="00D457FF">
      <w:pPr>
        <w:pStyle w:val="ListParagraph"/>
        <w:shd w:val="clear" w:color="auto" w:fill="FFFFFF" w:themeFill="background1"/>
        <w:spacing w:before="200" w:line="240" w:lineRule="auto"/>
        <w:ind w:left="0"/>
        <w:contextualSpacing w:val="0"/>
        <w:jc w:val="both"/>
        <w:rPr>
          <w:color w:val="000000" w:themeColor="text1"/>
          <w:sz w:val="24"/>
          <w:szCs w:val="24"/>
        </w:rPr>
      </w:pPr>
      <w:r w:rsidRPr="00D457FF">
        <w:rPr>
          <w:color w:val="000000" w:themeColor="text1"/>
          <w:sz w:val="24"/>
          <w:szCs w:val="24"/>
        </w:rPr>
        <w:t xml:space="preserve">The project will </w:t>
      </w:r>
      <w:r w:rsidR="00DB621C" w:rsidRPr="00D457FF">
        <w:rPr>
          <w:color w:val="000000" w:themeColor="text1"/>
          <w:sz w:val="24"/>
          <w:szCs w:val="24"/>
        </w:rPr>
        <w:t xml:space="preserve">document </w:t>
      </w:r>
      <w:r w:rsidRPr="00D457FF">
        <w:rPr>
          <w:color w:val="000000" w:themeColor="text1"/>
          <w:sz w:val="24"/>
          <w:szCs w:val="24"/>
        </w:rPr>
        <w:t>good practices and lessons learnt</w:t>
      </w:r>
      <w:r w:rsidR="00DB621C" w:rsidRPr="00D457FF">
        <w:rPr>
          <w:color w:val="000000" w:themeColor="text1"/>
          <w:sz w:val="24"/>
          <w:szCs w:val="24"/>
        </w:rPr>
        <w:t xml:space="preserve"> </w:t>
      </w:r>
      <w:r w:rsidR="00812A72" w:rsidRPr="00D457FF">
        <w:rPr>
          <w:color w:val="000000" w:themeColor="text1"/>
          <w:sz w:val="24"/>
          <w:szCs w:val="24"/>
        </w:rPr>
        <w:t>in</w:t>
      </w:r>
      <w:r w:rsidR="00DB621C" w:rsidRPr="00D457FF">
        <w:rPr>
          <w:color w:val="000000" w:themeColor="text1"/>
          <w:sz w:val="24"/>
          <w:szCs w:val="24"/>
        </w:rPr>
        <w:t xml:space="preserve"> the outcome areas. These </w:t>
      </w:r>
      <w:r w:rsidRPr="00D457FF">
        <w:rPr>
          <w:color w:val="000000" w:themeColor="text1"/>
          <w:sz w:val="24"/>
          <w:szCs w:val="24"/>
        </w:rPr>
        <w:t>wi</w:t>
      </w:r>
      <w:r w:rsidR="00C36FB5" w:rsidRPr="00D457FF">
        <w:rPr>
          <w:color w:val="000000" w:themeColor="text1"/>
          <w:sz w:val="24"/>
          <w:szCs w:val="24"/>
        </w:rPr>
        <w:t xml:space="preserve">ll be prepared with inputs from in particular women and children with disabilities as the key beneficiaries of support under the project, </w:t>
      </w:r>
      <w:r w:rsidRPr="00D457FF">
        <w:rPr>
          <w:color w:val="000000" w:themeColor="text1"/>
          <w:sz w:val="24"/>
          <w:szCs w:val="24"/>
        </w:rPr>
        <w:t>DPOs</w:t>
      </w:r>
      <w:r w:rsidR="00DB621C" w:rsidRPr="00D457FF">
        <w:rPr>
          <w:color w:val="000000" w:themeColor="text1"/>
          <w:sz w:val="24"/>
          <w:szCs w:val="24"/>
        </w:rPr>
        <w:t>, G</w:t>
      </w:r>
      <w:r w:rsidRPr="00D457FF">
        <w:rPr>
          <w:color w:val="000000" w:themeColor="text1"/>
          <w:sz w:val="24"/>
          <w:szCs w:val="24"/>
        </w:rPr>
        <w:t xml:space="preserve">overnment </w:t>
      </w:r>
      <w:r w:rsidR="00DB621C" w:rsidRPr="00D457FF">
        <w:rPr>
          <w:color w:val="000000" w:themeColor="text1"/>
          <w:sz w:val="24"/>
          <w:szCs w:val="24"/>
        </w:rPr>
        <w:t>and other partners</w:t>
      </w:r>
      <w:r w:rsidR="00C36FB5" w:rsidRPr="00D457FF">
        <w:rPr>
          <w:color w:val="000000" w:themeColor="text1"/>
          <w:sz w:val="24"/>
          <w:szCs w:val="24"/>
        </w:rPr>
        <w:t>.</w:t>
      </w:r>
      <w:r w:rsidR="00D621AF" w:rsidRPr="00D457FF">
        <w:rPr>
          <w:color w:val="000000" w:themeColor="text1"/>
          <w:sz w:val="24"/>
          <w:szCs w:val="24"/>
        </w:rPr>
        <w:t xml:space="preserve"> </w:t>
      </w:r>
      <w:r w:rsidR="00812A72" w:rsidRPr="00D457FF">
        <w:rPr>
          <w:color w:val="000000" w:themeColor="text1"/>
          <w:sz w:val="24"/>
          <w:szCs w:val="24"/>
        </w:rPr>
        <w:t xml:space="preserve">Methodologies such as knowledge, attitude and practice (KAP) surveys with key stakeholders, appreciative inquiry and most significant change will be used to identify the most salient results from the perspective of project beneficiaries. </w:t>
      </w:r>
      <w:r w:rsidR="00E573FD" w:rsidRPr="00D457FF">
        <w:rPr>
          <w:color w:val="000000" w:themeColor="text1"/>
          <w:sz w:val="24"/>
          <w:szCs w:val="24"/>
        </w:rPr>
        <w:t>Site</w:t>
      </w:r>
      <w:r w:rsidR="00D621AF" w:rsidRPr="00D457FF">
        <w:rPr>
          <w:color w:val="000000" w:themeColor="text1"/>
          <w:sz w:val="24"/>
          <w:szCs w:val="24"/>
        </w:rPr>
        <w:t xml:space="preserve"> visits will also be used to document such practices and lessons.</w:t>
      </w:r>
      <w:r w:rsidR="00DB621C" w:rsidRPr="00D457FF">
        <w:rPr>
          <w:color w:val="000000" w:themeColor="text1"/>
          <w:sz w:val="24"/>
          <w:szCs w:val="24"/>
        </w:rPr>
        <w:t xml:space="preserve"> The quarterly project coordination meetings with all partners will </w:t>
      </w:r>
      <w:r w:rsidR="00812A72" w:rsidRPr="00D457FF">
        <w:rPr>
          <w:color w:val="000000" w:themeColor="text1"/>
          <w:sz w:val="24"/>
          <w:szCs w:val="24"/>
        </w:rPr>
        <w:t xml:space="preserve">also </w:t>
      </w:r>
      <w:r w:rsidR="00C36FB5" w:rsidRPr="00D457FF">
        <w:rPr>
          <w:color w:val="000000" w:themeColor="text1"/>
          <w:sz w:val="24"/>
          <w:szCs w:val="24"/>
        </w:rPr>
        <w:t xml:space="preserve">be used as </w:t>
      </w:r>
      <w:r w:rsidR="00812A72" w:rsidRPr="00D457FF">
        <w:rPr>
          <w:color w:val="000000" w:themeColor="text1"/>
          <w:sz w:val="24"/>
          <w:szCs w:val="24"/>
        </w:rPr>
        <w:t>a forum</w:t>
      </w:r>
      <w:r w:rsidR="00C36FB5" w:rsidRPr="00D457FF">
        <w:rPr>
          <w:color w:val="000000" w:themeColor="text1"/>
          <w:sz w:val="24"/>
          <w:szCs w:val="24"/>
        </w:rPr>
        <w:t xml:space="preserve"> t</w:t>
      </w:r>
      <w:r w:rsidR="00DB621C" w:rsidRPr="00D457FF">
        <w:rPr>
          <w:color w:val="000000" w:themeColor="text1"/>
          <w:sz w:val="24"/>
          <w:szCs w:val="24"/>
        </w:rPr>
        <w:t xml:space="preserve">o </w:t>
      </w:r>
      <w:r w:rsidR="00C36FB5" w:rsidRPr="00D457FF">
        <w:rPr>
          <w:color w:val="000000" w:themeColor="text1"/>
          <w:sz w:val="24"/>
          <w:szCs w:val="24"/>
        </w:rPr>
        <w:t xml:space="preserve">identify </w:t>
      </w:r>
      <w:r w:rsidR="00C36FB5" w:rsidRPr="00D457FF">
        <w:rPr>
          <w:color w:val="000000" w:themeColor="text1"/>
          <w:sz w:val="24"/>
          <w:szCs w:val="24"/>
        </w:rPr>
        <w:lastRenderedPageBreak/>
        <w:t>such practices and lessons and to integrate them in subse</w:t>
      </w:r>
      <w:r w:rsidR="00767D3C" w:rsidRPr="00D457FF">
        <w:rPr>
          <w:color w:val="000000" w:themeColor="text1"/>
          <w:sz w:val="24"/>
          <w:szCs w:val="24"/>
        </w:rPr>
        <w:t xml:space="preserve">quent programme implementation. </w:t>
      </w:r>
      <w:r w:rsidR="00C36FB5" w:rsidRPr="00D457FF">
        <w:rPr>
          <w:color w:val="000000" w:themeColor="text1"/>
          <w:sz w:val="24"/>
          <w:szCs w:val="24"/>
        </w:rPr>
        <w:t xml:space="preserve">Success stories and/or videos will be </w:t>
      </w:r>
      <w:r w:rsidR="00D621AF" w:rsidRPr="00D457FF">
        <w:rPr>
          <w:color w:val="000000" w:themeColor="text1"/>
          <w:sz w:val="24"/>
          <w:szCs w:val="24"/>
        </w:rPr>
        <w:t>made available</w:t>
      </w:r>
      <w:r w:rsidR="00DB621C" w:rsidRPr="00D457FF">
        <w:rPr>
          <w:color w:val="000000" w:themeColor="text1"/>
          <w:sz w:val="24"/>
          <w:szCs w:val="24"/>
        </w:rPr>
        <w:t xml:space="preserve"> publicly, </w:t>
      </w:r>
      <w:r w:rsidR="00C36FB5" w:rsidRPr="00D457FF">
        <w:rPr>
          <w:color w:val="000000" w:themeColor="text1"/>
          <w:sz w:val="24"/>
          <w:szCs w:val="24"/>
        </w:rPr>
        <w:t xml:space="preserve">including on social media, but will also be shared in existing joint UN and other partner coordination platforms with </w:t>
      </w:r>
      <w:r w:rsidR="00DB621C" w:rsidRPr="00D457FF">
        <w:rPr>
          <w:color w:val="000000" w:themeColor="text1"/>
          <w:sz w:val="24"/>
          <w:szCs w:val="24"/>
        </w:rPr>
        <w:t xml:space="preserve">the aim of </w:t>
      </w:r>
      <w:r w:rsidRPr="00D457FF">
        <w:rPr>
          <w:color w:val="000000" w:themeColor="text1"/>
          <w:sz w:val="24"/>
          <w:szCs w:val="24"/>
        </w:rPr>
        <w:t xml:space="preserve">scaling up </w:t>
      </w:r>
      <w:r w:rsidR="00C36FB5" w:rsidRPr="00D457FF">
        <w:rPr>
          <w:color w:val="000000" w:themeColor="text1"/>
          <w:sz w:val="24"/>
          <w:szCs w:val="24"/>
        </w:rPr>
        <w:t xml:space="preserve">of </w:t>
      </w:r>
      <w:r w:rsidRPr="00D457FF">
        <w:rPr>
          <w:color w:val="000000" w:themeColor="text1"/>
          <w:sz w:val="24"/>
          <w:szCs w:val="24"/>
        </w:rPr>
        <w:t>interventions</w:t>
      </w:r>
      <w:r w:rsidR="00812A72" w:rsidRPr="00D457FF">
        <w:rPr>
          <w:color w:val="000000" w:themeColor="text1"/>
          <w:sz w:val="24"/>
          <w:szCs w:val="24"/>
        </w:rPr>
        <w:t>, with supp</w:t>
      </w:r>
      <w:r w:rsidR="00C36FB5" w:rsidRPr="00D457FF">
        <w:rPr>
          <w:color w:val="000000" w:themeColor="text1"/>
          <w:sz w:val="24"/>
          <w:szCs w:val="24"/>
        </w:rPr>
        <w:t xml:space="preserve">ort from </w:t>
      </w:r>
      <w:r w:rsidR="00812A72" w:rsidRPr="00D457FF">
        <w:rPr>
          <w:color w:val="000000" w:themeColor="text1"/>
          <w:sz w:val="24"/>
          <w:szCs w:val="24"/>
        </w:rPr>
        <w:t xml:space="preserve">external </w:t>
      </w:r>
      <w:r w:rsidR="00C36FB5" w:rsidRPr="00D457FF">
        <w:rPr>
          <w:color w:val="000000" w:themeColor="text1"/>
          <w:sz w:val="24"/>
          <w:szCs w:val="24"/>
        </w:rPr>
        <w:t>donors.</w:t>
      </w:r>
      <w:r w:rsidR="003F59D8" w:rsidRPr="00D457FF">
        <w:rPr>
          <w:color w:val="000000" w:themeColor="text1"/>
          <w:sz w:val="24"/>
          <w:szCs w:val="24"/>
        </w:rPr>
        <w:t xml:space="preserve"> </w:t>
      </w:r>
    </w:p>
    <w:p w14:paraId="3B251F34" w14:textId="61C495B8" w:rsidR="00BD0D79" w:rsidRPr="00D457FF" w:rsidRDefault="00C84BF8" w:rsidP="00D457FF">
      <w:pPr>
        <w:pStyle w:val="ListParagraph"/>
        <w:shd w:val="clear" w:color="auto" w:fill="FFFFFF" w:themeFill="background1"/>
        <w:spacing w:before="200" w:line="240" w:lineRule="auto"/>
        <w:ind w:left="0"/>
        <w:contextualSpacing w:val="0"/>
        <w:jc w:val="both"/>
        <w:rPr>
          <w:rFonts w:asciiTheme="majorHAnsi" w:eastAsiaTheme="majorEastAsia" w:hAnsiTheme="majorHAnsi" w:cstheme="majorBidi"/>
          <w:color w:val="365F91" w:themeColor="accent1" w:themeShade="BF"/>
          <w:sz w:val="32"/>
          <w:szCs w:val="32"/>
        </w:rPr>
      </w:pPr>
      <w:r w:rsidRPr="00D457FF">
        <w:rPr>
          <w:color w:val="000000" w:themeColor="text1"/>
          <w:sz w:val="24"/>
          <w:szCs w:val="24"/>
        </w:rPr>
        <w:t>Knowledge products developed under the project, such as a toolkit on addressing violence against women and children with disabilities, tools for data analysis and for review of legislation will be made available through existing UN and partner platforms. This will include the UN Gender Theme Group, Communications Group and the UN’s social media platforms, the umbrella organization of DPO</w:t>
      </w:r>
      <w:r w:rsidR="00481AFE" w:rsidRPr="00D457FF">
        <w:rPr>
          <w:color w:val="000000" w:themeColor="text1"/>
          <w:sz w:val="24"/>
          <w:szCs w:val="24"/>
        </w:rPr>
        <w:t>s</w:t>
      </w:r>
      <w:r w:rsidRPr="00D457FF">
        <w:rPr>
          <w:color w:val="000000" w:themeColor="text1"/>
          <w:sz w:val="24"/>
          <w:szCs w:val="24"/>
        </w:rPr>
        <w:t xml:space="preserve"> and the Government led Gender Coordination Group. This aims to ensure an integrated approach to sharing information generated from the project.</w:t>
      </w:r>
    </w:p>
    <w:p w14:paraId="2887BD71" w14:textId="707E2AE1" w:rsidR="00BD0D79" w:rsidRPr="00D457FF" w:rsidRDefault="00D457FF" w:rsidP="008C6FE3">
      <w:pPr>
        <w:pStyle w:val="Heading1"/>
        <w:rPr>
          <w:sz w:val="24"/>
          <w:szCs w:val="24"/>
        </w:rPr>
      </w:pPr>
      <w:r w:rsidRPr="00D457FF">
        <w:t xml:space="preserve">8. </w:t>
      </w:r>
      <w:r w:rsidR="00464E2C" w:rsidRPr="00D457FF">
        <w:t xml:space="preserve">Inception Activities </w:t>
      </w:r>
    </w:p>
    <w:p w14:paraId="7D4AE9AE" w14:textId="0695EB7E" w:rsidR="00E81775" w:rsidRPr="00D457FF" w:rsidRDefault="00991FCF" w:rsidP="00D457FF">
      <w:pPr>
        <w:pStyle w:val="ListParagraph"/>
        <w:shd w:val="clear" w:color="auto" w:fill="FFFFFF" w:themeFill="background1"/>
        <w:spacing w:before="200" w:line="240" w:lineRule="auto"/>
        <w:ind w:left="0"/>
        <w:contextualSpacing w:val="0"/>
        <w:jc w:val="both"/>
        <w:rPr>
          <w:sz w:val="24"/>
          <w:szCs w:val="24"/>
        </w:rPr>
      </w:pPr>
      <w:r w:rsidRPr="00D457FF">
        <w:rPr>
          <w:sz w:val="24"/>
          <w:szCs w:val="24"/>
        </w:rPr>
        <w:t xml:space="preserve">An inception </w:t>
      </w:r>
      <w:r w:rsidR="00350401" w:rsidRPr="00D457FF">
        <w:rPr>
          <w:sz w:val="24"/>
          <w:szCs w:val="24"/>
        </w:rPr>
        <w:t xml:space="preserve">survey </w:t>
      </w:r>
      <w:r w:rsidRPr="00D457FF">
        <w:rPr>
          <w:sz w:val="24"/>
          <w:szCs w:val="24"/>
        </w:rPr>
        <w:t xml:space="preserve">with </w:t>
      </w:r>
      <w:r w:rsidR="00E81775" w:rsidRPr="00D457FF">
        <w:rPr>
          <w:sz w:val="24"/>
          <w:szCs w:val="24"/>
        </w:rPr>
        <w:t xml:space="preserve">UN staff </w:t>
      </w:r>
      <w:r w:rsidRPr="00D457FF">
        <w:rPr>
          <w:sz w:val="24"/>
          <w:szCs w:val="24"/>
        </w:rPr>
        <w:t xml:space="preserve">and </w:t>
      </w:r>
      <w:r w:rsidR="00767D3C" w:rsidRPr="00D457FF">
        <w:rPr>
          <w:sz w:val="24"/>
          <w:szCs w:val="24"/>
        </w:rPr>
        <w:t xml:space="preserve">all </w:t>
      </w:r>
      <w:r w:rsidRPr="00D457FF">
        <w:rPr>
          <w:sz w:val="24"/>
          <w:szCs w:val="24"/>
        </w:rPr>
        <w:t>partner organizations</w:t>
      </w:r>
      <w:r w:rsidR="00D621AF" w:rsidRPr="00D457FF">
        <w:rPr>
          <w:sz w:val="24"/>
          <w:szCs w:val="24"/>
        </w:rPr>
        <w:t xml:space="preserve"> including </w:t>
      </w:r>
      <w:r w:rsidR="00767D3C" w:rsidRPr="00D457FF">
        <w:rPr>
          <w:sz w:val="24"/>
          <w:szCs w:val="24"/>
        </w:rPr>
        <w:t xml:space="preserve">DPOs, </w:t>
      </w:r>
      <w:r w:rsidR="00D621AF" w:rsidRPr="00D457FF">
        <w:rPr>
          <w:sz w:val="24"/>
          <w:szCs w:val="24"/>
        </w:rPr>
        <w:t>Government and civil society,</w:t>
      </w:r>
      <w:r w:rsidRPr="00D457FF">
        <w:rPr>
          <w:sz w:val="24"/>
          <w:szCs w:val="24"/>
        </w:rPr>
        <w:t xml:space="preserve"> </w:t>
      </w:r>
      <w:r w:rsidR="00E81775" w:rsidRPr="00D457FF">
        <w:rPr>
          <w:sz w:val="24"/>
          <w:szCs w:val="24"/>
        </w:rPr>
        <w:t xml:space="preserve">will be </w:t>
      </w:r>
      <w:r w:rsidR="00767D3C" w:rsidRPr="00D457FF">
        <w:rPr>
          <w:sz w:val="24"/>
          <w:szCs w:val="24"/>
        </w:rPr>
        <w:t>conducted</w:t>
      </w:r>
      <w:r w:rsidR="00E81775" w:rsidRPr="00D457FF">
        <w:rPr>
          <w:sz w:val="24"/>
          <w:szCs w:val="24"/>
        </w:rPr>
        <w:t xml:space="preserve"> </w:t>
      </w:r>
      <w:r w:rsidRPr="00D457FF">
        <w:rPr>
          <w:sz w:val="24"/>
          <w:szCs w:val="24"/>
        </w:rPr>
        <w:t xml:space="preserve">to </w:t>
      </w:r>
      <w:r w:rsidR="00E81775" w:rsidRPr="00D457FF">
        <w:rPr>
          <w:sz w:val="24"/>
          <w:szCs w:val="24"/>
        </w:rPr>
        <w:t>ga</w:t>
      </w:r>
      <w:r w:rsidR="003D37E3" w:rsidRPr="00D457FF">
        <w:rPr>
          <w:sz w:val="24"/>
          <w:szCs w:val="24"/>
        </w:rPr>
        <w:t>u</w:t>
      </w:r>
      <w:r w:rsidR="00767D3C" w:rsidRPr="00D457FF">
        <w:rPr>
          <w:sz w:val="24"/>
          <w:szCs w:val="24"/>
        </w:rPr>
        <w:t>ge knowledge on</w:t>
      </w:r>
      <w:r w:rsidR="00E81775" w:rsidRPr="00D457FF">
        <w:rPr>
          <w:sz w:val="24"/>
          <w:szCs w:val="24"/>
        </w:rPr>
        <w:t xml:space="preserve"> the human rights</w:t>
      </w:r>
      <w:r w:rsidR="000571F8" w:rsidRPr="00D457FF">
        <w:rPr>
          <w:sz w:val="24"/>
          <w:szCs w:val="24"/>
        </w:rPr>
        <w:t>-</w:t>
      </w:r>
      <w:r w:rsidR="00767D3C" w:rsidRPr="00D457FF">
        <w:rPr>
          <w:sz w:val="24"/>
          <w:szCs w:val="24"/>
        </w:rPr>
        <w:t xml:space="preserve">based </w:t>
      </w:r>
      <w:r w:rsidR="00E81775" w:rsidRPr="00D457FF">
        <w:rPr>
          <w:sz w:val="24"/>
          <w:szCs w:val="24"/>
        </w:rPr>
        <w:t xml:space="preserve">approach </w:t>
      </w:r>
      <w:r w:rsidR="00DB621C" w:rsidRPr="00D457FF">
        <w:rPr>
          <w:sz w:val="24"/>
          <w:szCs w:val="24"/>
        </w:rPr>
        <w:t xml:space="preserve">to disability </w:t>
      </w:r>
      <w:r w:rsidR="00E81775" w:rsidRPr="00D457FF">
        <w:rPr>
          <w:sz w:val="24"/>
          <w:szCs w:val="24"/>
        </w:rPr>
        <w:t xml:space="preserve">and attitudes towards persons with the disabilities. </w:t>
      </w:r>
      <w:r w:rsidR="00D621AF" w:rsidRPr="00D457FF">
        <w:rPr>
          <w:sz w:val="24"/>
          <w:szCs w:val="24"/>
        </w:rPr>
        <w:t xml:space="preserve">This will serve as a baseline against which progress during the project will be measured. </w:t>
      </w:r>
      <w:r w:rsidR="00350401" w:rsidRPr="00D457FF">
        <w:rPr>
          <w:sz w:val="24"/>
          <w:szCs w:val="24"/>
        </w:rPr>
        <w:t xml:space="preserve">In addition, </w:t>
      </w:r>
      <w:r w:rsidR="00E81775" w:rsidRPr="00D457FF">
        <w:rPr>
          <w:sz w:val="24"/>
          <w:szCs w:val="24"/>
        </w:rPr>
        <w:t>workshop</w:t>
      </w:r>
      <w:r w:rsidR="00350401" w:rsidRPr="00D457FF">
        <w:rPr>
          <w:sz w:val="24"/>
          <w:szCs w:val="24"/>
        </w:rPr>
        <w:t>s</w:t>
      </w:r>
      <w:r w:rsidR="00E81775" w:rsidRPr="00D457FF">
        <w:rPr>
          <w:sz w:val="24"/>
          <w:szCs w:val="24"/>
        </w:rPr>
        <w:t xml:space="preserve"> </w:t>
      </w:r>
      <w:r w:rsidR="00350401" w:rsidRPr="00D457FF">
        <w:rPr>
          <w:sz w:val="24"/>
          <w:szCs w:val="24"/>
        </w:rPr>
        <w:t>with UN and partners will be conducted</w:t>
      </w:r>
      <w:r w:rsidR="00D621AF" w:rsidRPr="00D457FF">
        <w:rPr>
          <w:sz w:val="24"/>
          <w:szCs w:val="24"/>
        </w:rPr>
        <w:t xml:space="preserve"> in collaboration with DPOs, </w:t>
      </w:r>
      <w:r w:rsidR="00350401" w:rsidRPr="00D457FF">
        <w:rPr>
          <w:sz w:val="24"/>
          <w:szCs w:val="24"/>
        </w:rPr>
        <w:t xml:space="preserve">to raise awareness </w:t>
      </w:r>
      <w:r w:rsidR="00D621AF" w:rsidRPr="00D457FF">
        <w:rPr>
          <w:sz w:val="24"/>
          <w:szCs w:val="24"/>
        </w:rPr>
        <w:t>on</w:t>
      </w:r>
      <w:r w:rsidR="00DB621C" w:rsidRPr="00D457FF">
        <w:rPr>
          <w:sz w:val="24"/>
          <w:szCs w:val="24"/>
        </w:rPr>
        <w:t xml:space="preserve"> the </w:t>
      </w:r>
      <w:r w:rsidR="005A5ABF" w:rsidRPr="00D457FF">
        <w:rPr>
          <w:sz w:val="24"/>
          <w:szCs w:val="24"/>
        </w:rPr>
        <w:t>CRPD</w:t>
      </w:r>
      <w:r w:rsidR="00E81775" w:rsidRPr="00D457FF">
        <w:rPr>
          <w:sz w:val="24"/>
          <w:szCs w:val="24"/>
        </w:rPr>
        <w:t xml:space="preserve"> to </w:t>
      </w:r>
      <w:r w:rsidRPr="00D457FF">
        <w:rPr>
          <w:sz w:val="24"/>
          <w:szCs w:val="24"/>
        </w:rPr>
        <w:t xml:space="preserve">ensure </w:t>
      </w:r>
      <w:r w:rsidR="00767D3C" w:rsidRPr="00D457FF">
        <w:rPr>
          <w:sz w:val="24"/>
          <w:szCs w:val="24"/>
        </w:rPr>
        <w:t xml:space="preserve">a common </w:t>
      </w:r>
      <w:r w:rsidRPr="00D457FF">
        <w:rPr>
          <w:sz w:val="24"/>
          <w:szCs w:val="24"/>
        </w:rPr>
        <w:t>understand</w:t>
      </w:r>
      <w:r w:rsidR="002B0B46" w:rsidRPr="00D457FF">
        <w:rPr>
          <w:sz w:val="24"/>
          <w:szCs w:val="24"/>
        </w:rPr>
        <w:t>ing of</w:t>
      </w:r>
      <w:r w:rsidRPr="00D457FF">
        <w:rPr>
          <w:sz w:val="24"/>
          <w:szCs w:val="24"/>
        </w:rPr>
        <w:t xml:space="preserve"> the </w:t>
      </w:r>
      <w:r w:rsidR="00E81775" w:rsidRPr="00D457FF">
        <w:rPr>
          <w:sz w:val="24"/>
          <w:szCs w:val="24"/>
        </w:rPr>
        <w:t xml:space="preserve">key </w:t>
      </w:r>
      <w:r w:rsidRPr="00D457FF">
        <w:rPr>
          <w:sz w:val="24"/>
          <w:szCs w:val="24"/>
        </w:rPr>
        <w:t>normative framework</w:t>
      </w:r>
      <w:r w:rsidR="00E81775" w:rsidRPr="00D457FF">
        <w:rPr>
          <w:sz w:val="24"/>
          <w:szCs w:val="24"/>
        </w:rPr>
        <w:t xml:space="preserve"> underpinning the project</w:t>
      </w:r>
      <w:r w:rsidRPr="00D457FF">
        <w:rPr>
          <w:sz w:val="24"/>
          <w:szCs w:val="24"/>
        </w:rPr>
        <w:t xml:space="preserve">. </w:t>
      </w:r>
      <w:r w:rsidR="00EA620A" w:rsidRPr="00D457FF">
        <w:rPr>
          <w:sz w:val="24"/>
          <w:szCs w:val="24"/>
        </w:rPr>
        <w:t>These workshops</w:t>
      </w:r>
      <w:r w:rsidR="00E81775" w:rsidRPr="00D457FF">
        <w:rPr>
          <w:sz w:val="24"/>
          <w:szCs w:val="24"/>
        </w:rPr>
        <w:t xml:space="preserve"> will also be used to </w:t>
      </w:r>
      <w:r w:rsidRPr="00D457FF">
        <w:rPr>
          <w:sz w:val="24"/>
          <w:szCs w:val="24"/>
        </w:rPr>
        <w:t>validate the M&amp;E framework</w:t>
      </w:r>
      <w:r w:rsidR="00C77CA3" w:rsidRPr="00D457FF">
        <w:rPr>
          <w:sz w:val="24"/>
          <w:szCs w:val="24"/>
        </w:rPr>
        <w:t xml:space="preserve"> for the project, including its indicators and targets.</w:t>
      </w:r>
      <w:r w:rsidR="007B3B48" w:rsidRPr="00D457FF">
        <w:rPr>
          <w:sz w:val="24"/>
          <w:szCs w:val="24"/>
        </w:rPr>
        <w:t xml:space="preserve"> Lastly, desk review will be conducted to comprehensively </w:t>
      </w:r>
      <w:r w:rsidR="00481AFE" w:rsidRPr="00D457FF">
        <w:rPr>
          <w:sz w:val="24"/>
          <w:szCs w:val="24"/>
        </w:rPr>
        <w:t>analyze</w:t>
      </w:r>
      <w:r w:rsidR="007B3B48" w:rsidRPr="00D457FF">
        <w:rPr>
          <w:sz w:val="24"/>
          <w:szCs w:val="24"/>
        </w:rPr>
        <w:t xml:space="preserve"> available data on persons with disabilities, with a focus on discrimination and violence.</w:t>
      </w:r>
    </w:p>
    <w:p w14:paraId="519CD503" w14:textId="5A299833" w:rsidR="001D563B" w:rsidRPr="00D457FF" w:rsidRDefault="00D457FF" w:rsidP="008C6FE3">
      <w:pPr>
        <w:pStyle w:val="Heading1"/>
        <w:rPr>
          <w:sz w:val="20"/>
        </w:rPr>
      </w:pPr>
      <w:r w:rsidRPr="00D457FF">
        <w:t xml:space="preserve">9. </w:t>
      </w:r>
      <w:r w:rsidR="005B1EB7" w:rsidRPr="00D457FF">
        <w:t>Budget</w:t>
      </w:r>
      <w:r w:rsidR="00656125" w:rsidRPr="00D457FF">
        <w:rPr>
          <w:sz w:val="20"/>
        </w:rPr>
        <w:t xml:space="preserve"> </w:t>
      </w:r>
    </w:p>
    <w:p w14:paraId="4C34DFF3" w14:textId="1C5A0F18" w:rsidR="001D563B" w:rsidRPr="00D457FF" w:rsidRDefault="00CF2AA9" w:rsidP="00EE471A">
      <w:pPr>
        <w:pStyle w:val="Heading2"/>
      </w:pPr>
      <w:r w:rsidRPr="00D457FF">
        <w:t>Table 5</w:t>
      </w:r>
      <w:r w:rsidR="009A655A" w:rsidRPr="00D457FF">
        <w:t xml:space="preserve">. </w:t>
      </w:r>
      <w:r w:rsidRPr="00D457FF">
        <w:t>Project</w:t>
      </w:r>
      <w:r w:rsidR="009A655A" w:rsidRPr="00D457FF">
        <w:t xml:space="preserve"> Budget</w:t>
      </w:r>
    </w:p>
    <w:tbl>
      <w:tblPr>
        <w:tblStyle w:val="TableGrid1"/>
        <w:tblW w:w="5000" w:type="pct"/>
        <w:tblLook w:val="04A0" w:firstRow="1" w:lastRow="0" w:firstColumn="1" w:lastColumn="0" w:noHBand="0" w:noVBand="1"/>
        <w:tblCaption w:val="Table 5, Project Budget "/>
      </w:tblPr>
      <w:tblGrid>
        <w:gridCol w:w="1528"/>
        <w:gridCol w:w="1789"/>
        <w:gridCol w:w="938"/>
        <w:gridCol w:w="806"/>
        <w:gridCol w:w="1283"/>
        <w:gridCol w:w="1287"/>
        <w:gridCol w:w="938"/>
        <w:gridCol w:w="1285"/>
      </w:tblGrid>
      <w:tr w:rsidR="005214F1" w:rsidRPr="00D457FF" w14:paraId="3F27B0A2" w14:textId="77777777" w:rsidTr="005214F1">
        <w:trPr>
          <w:trHeight w:val="1062"/>
          <w:tblHeader/>
        </w:trPr>
        <w:tc>
          <w:tcPr>
            <w:tcW w:w="775" w:type="pct"/>
            <w:tcBorders>
              <w:bottom w:val="single" w:sz="4" w:space="0" w:color="auto"/>
            </w:tcBorders>
            <w:shd w:val="clear" w:color="auto" w:fill="D9D9D9" w:themeFill="background1" w:themeFillShade="D9"/>
            <w:hideMark/>
          </w:tcPr>
          <w:p w14:paraId="3121AD6E" w14:textId="77777777"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Category</w:t>
            </w:r>
          </w:p>
        </w:tc>
        <w:tc>
          <w:tcPr>
            <w:tcW w:w="907" w:type="pct"/>
            <w:shd w:val="clear" w:color="auto" w:fill="D9D9D9" w:themeFill="background1" w:themeFillShade="D9"/>
            <w:hideMark/>
          </w:tcPr>
          <w:p w14:paraId="74071B8A" w14:textId="77777777"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Item</w:t>
            </w:r>
          </w:p>
        </w:tc>
        <w:tc>
          <w:tcPr>
            <w:tcW w:w="476" w:type="pct"/>
            <w:shd w:val="clear" w:color="auto" w:fill="D9D9D9" w:themeFill="background1" w:themeFillShade="D9"/>
            <w:hideMark/>
          </w:tcPr>
          <w:p w14:paraId="4FB88161" w14:textId="77777777"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Unit Cost</w:t>
            </w:r>
          </w:p>
        </w:tc>
        <w:tc>
          <w:tcPr>
            <w:tcW w:w="409" w:type="pct"/>
            <w:shd w:val="clear" w:color="auto" w:fill="D9D9D9" w:themeFill="background1" w:themeFillShade="D9"/>
            <w:hideMark/>
          </w:tcPr>
          <w:p w14:paraId="74485701" w14:textId="77777777"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No units</w:t>
            </w:r>
          </w:p>
        </w:tc>
        <w:tc>
          <w:tcPr>
            <w:tcW w:w="651" w:type="pct"/>
            <w:shd w:val="clear" w:color="auto" w:fill="D9D9D9" w:themeFill="background1" w:themeFillShade="D9"/>
            <w:hideMark/>
          </w:tcPr>
          <w:p w14:paraId="163EA95E" w14:textId="77777777"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Total cost</w:t>
            </w:r>
          </w:p>
        </w:tc>
        <w:tc>
          <w:tcPr>
            <w:tcW w:w="653" w:type="pct"/>
            <w:shd w:val="clear" w:color="auto" w:fill="D9D9D9" w:themeFill="background1" w:themeFillShade="D9"/>
            <w:hideMark/>
          </w:tcPr>
          <w:p w14:paraId="7CF4331E" w14:textId="77777777"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Request from UNPRPD Fund</w:t>
            </w:r>
          </w:p>
        </w:tc>
        <w:tc>
          <w:tcPr>
            <w:tcW w:w="476" w:type="pct"/>
            <w:shd w:val="clear" w:color="auto" w:fill="D9D9D9" w:themeFill="background1" w:themeFillShade="D9"/>
            <w:hideMark/>
          </w:tcPr>
          <w:p w14:paraId="3F59FA0A" w14:textId="77777777"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UNPRPD POs cost-sharing</w:t>
            </w:r>
          </w:p>
        </w:tc>
        <w:tc>
          <w:tcPr>
            <w:tcW w:w="652" w:type="pct"/>
            <w:shd w:val="clear" w:color="auto" w:fill="D9D9D9" w:themeFill="background1" w:themeFillShade="D9"/>
            <w:hideMark/>
          </w:tcPr>
          <w:p w14:paraId="79DA1A16" w14:textId="77777777"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Other partners cost-sharing</w:t>
            </w:r>
          </w:p>
        </w:tc>
      </w:tr>
      <w:tr w:rsidR="005214F1" w:rsidRPr="00D457FF" w14:paraId="5D959CF2" w14:textId="77777777" w:rsidTr="005214F1">
        <w:trPr>
          <w:trHeight w:val="525"/>
        </w:trPr>
        <w:tc>
          <w:tcPr>
            <w:tcW w:w="775" w:type="pct"/>
            <w:tcBorders>
              <w:bottom w:val="nil"/>
            </w:tcBorders>
            <w:hideMark/>
          </w:tcPr>
          <w:p w14:paraId="70B00D64" w14:textId="77777777" w:rsidR="005214F1" w:rsidRPr="00D457FF" w:rsidRDefault="005214F1" w:rsidP="00D457FF">
            <w:pPr>
              <w:spacing w:before="200" w:after="200"/>
              <w:rPr>
                <w:rFonts w:ascii="Calibri" w:eastAsia="Times New Roman" w:hAnsi="Calibri" w:cs="Calibri"/>
                <w:b/>
                <w:bCs/>
                <w:sz w:val="20"/>
                <w:szCs w:val="20"/>
              </w:rPr>
            </w:pPr>
            <w:r w:rsidRPr="00D457FF">
              <w:rPr>
                <w:rFonts w:ascii="Calibri" w:eastAsia="Times New Roman" w:hAnsi="Calibri" w:cs="Calibri"/>
                <w:b/>
                <w:bCs/>
                <w:sz w:val="20"/>
                <w:szCs w:val="20"/>
              </w:rPr>
              <w:t>Staff and Personnel Costs</w:t>
            </w:r>
          </w:p>
        </w:tc>
        <w:tc>
          <w:tcPr>
            <w:tcW w:w="907" w:type="pct"/>
            <w:hideMark/>
          </w:tcPr>
          <w:p w14:paraId="2CFEADAA" w14:textId="77777777" w:rsidR="005214F1" w:rsidRPr="00D457FF" w:rsidRDefault="005214F1"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National Programme Officer (at 35%/yr)</w:t>
            </w:r>
          </w:p>
        </w:tc>
        <w:tc>
          <w:tcPr>
            <w:tcW w:w="476" w:type="pct"/>
            <w:noWrap/>
            <w:hideMark/>
          </w:tcPr>
          <w:p w14:paraId="415921CF" w14:textId="77777777" w:rsidR="005214F1" w:rsidRPr="00D457FF" w:rsidRDefault="005214F1" w:rsidP="00D457FF">
            <w:pPr>
              <w:spacing w:before="200" w:after="200"/>
              <w:jc w:val="right"/>
              <w:rPr>
                <w:rFonts w:ascii="Calibri" w:eastAsia="Times New Roman" w:hAnsi="Calibri" w:cs="Calibri"/>
                <w:color w:val="000000"/>
                <w:sz w:val="20"/>
                <w:szCs w:val="20"/>
              </w:rPr>
            </w:pPr>
            <w:r w:rsidRPr="00D457FF">
              <w:rPr>
                <w:rFonts w:ascii="Calibri" w:eastAsia="Times New Roman" w:hAnsi="Calibri" w:cs="Calibri"/>
                <w:color w:val="000000"/>
                <w:sz w:val="20"/>
                <w:szCs w:val="20"/>
              </w:rPr>
              <w:t>8,333</w:t>
            </w:r>
          </w:p>
        </w:tc>
        <w:tc>
          <w:tcPr>
            <w:tcW w:w="409" w:type="pct"/>
            <w:noWrap/>
            <w:hideMark/>
          </w:tcPr>
          <w:p w14:paraId="1372CDE1" w14:textId="77777777" w:rsidR="005214F1" w:rsidRPr="00D457FF" w:rsidRDefault="005214F1"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3 years</w:t>
            </w:r>
          </w:p>
        </w:tc>
        <w:tc>
          <w:tcPr>
            <w:tcW w:w="651" w:type="pct"/>
            <w:noWrap/>
            <w:hideMark/>
          </w:tcPr>
          <w:p w14:paraId="3650F5C0" w14:textId="77777777" w:rsidR="005214F1" w:rsidRPr="00D457FF" w:rsidRDefault="005214F1" w:rsidP="00D457FF">
            <w:pPr>
              <w:spacing w:before="200" w:after="200"/>
              <w:jc w:val="right"/>
              <w:rPr>
                <w:rFonts w:ascii="Calibri" w:eastAsia="Times New Roman" w:hAnsi="Calibri" w:cs="Calibri"/>
                <w:color w:val="000000"/>
                <w:sz w:val="20"/>
                <w:szCs w:val="20"/>
              </w:rPr>
            </w:pPr>
            <w:r w:rsidRPr="00D457FF">
              <w:rPr>
                <w:rFonts w:ascii="Calibri" w:eastAsia="Times New Roman" w:hAnsi="Calibri" w:cs="Calibri"/>
                <w:color w:val="000000"/>
                <w:sz w:val="20"/>
                <w:szCs w:val="20"/>
              </w:rPr>
              <w:t>25,000</w:t>
            </w:r>
          </w:p>
        </w:tc>
        <w:tc>
          <w:tcPr>
            <w:tcW w:w="653" w:type="pct"/>
            <w:noWrap/>
            <w:hideMark/>
          </w:tcPr>
          <w:p w14:paraId="5AF08564" w14:textId="77777777" w:rsidR="005214F1" w:rsidRPr="00D457FF" w:rsidRDefault="005214F1" w:rsidP="00D457FF">
            <w:pPr>
              <w:spacing w:before="200" w:after="200"/>
              <w:jc w:val="right"/>
              <w:rPr>
                <w:rFonts w:ascii="Calibri" w:eastAsia="Times New Roman" w:hAnsi="Calibri" w:cs="Calibri"/>
                <w:color w:val="000000"/>
                <w:sz w:val="20"/>
                <w:szCs w:val="20"/>
              </w:rPr>
            </w:pPr>
            <w:r w:rsidRPr="00D457FF">
              <w:rPr>
                <w:rFonts w:ascii="Calibri" w:eastAsia="Times New Roman" w:hAnsi="Calibri" w:cs="Calibri"/>
                <w:color w:val="000000"/>
                <w:sz w:val="20"/>
                <w:szCs w:val="20"/>
              </w:rPr>
              <w:t>25,000</w:t>
            </w:r>
          </w:p>
        </w:tc>
        <w:tc>
          <w:tcPr>
            <w:tcW w:w="476" w:type="pct"/>
            <w:noWrap/>
            <w:hideMark/>
          </w:tcPr>
          <w:p w14:paraId="583A2179" w14:textId="77777777" w:rsidR="005214F1" w:rsidRPr="00D457FF" w:rsidRDefault="005214F1"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652" w:type="pct"/>
            <w:noWrap/>
            <w:hideMark/>
          </w:tcPr>
          <w:p w14:paraId="4922F81F" w14:textId="77777777" w:rsidR="005214F1" w:rsidRPr="00D457FF" w:rsidRDefault="005214F1"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r>
      <w:tr w:rsidR="005214F1" w:rsidRPr="00D457FF" w14:paraId="3A76D974" w14:textId="77777777" w:rsidTr="005214F1">
        <w:trPr>
          <w:trHeight w:val="510"/>
        </w:trPr>
        <w:tc>
          <w:tcPr>
            <w:tcW w:w="775" w:type="pct"/>
            <w:tcBorders>
              <w:top w:val="nil"/>
            </w:tcBorders>
            <w:hideMark/>
          </w:tcPr>
          <w:p w14:paraId="4FB2C807" w14:textId="61181589" w:rsidR="005214F1" w:rsidRPr="005214F1" w:rsidRDefault="005214F1" w:rsidP="00D457FF">
            <w:pPr>
              <w:spacing w:before="200" w:after="200"/>
              <w:rPr>
                <w:rFonts w:ascii="Calibri" w:eastAsia="Times New Roman" w:hAnsi="Calibri" w:cs="Calibri"/>
                <w:b/>
                <w:bCs/>
                <w:color w:val="FFFFFF" w:themeColor="background1"/>
                <w:sz w:val="20"/>
                <w:szCs w:val="20"/>
              </w:rPr>
            </w:pPr>
            <w:r w:rsidRPr="005214F1">
              <w:rPr>
                <w:rFonts w:ascii="Calibri" w:eastAsia="Times New Roman" w:hAnsi="Calibri" w:cs="Calibri"/>
                <w:b/>
                <w:bCs/>
                <w:color w:val="FFFFFF" w:themeColor="background1"/>
                <w:sz w:val="2"/>
                <w:szCs w:val="2"/>
              </w:rPr>
              <w:t>Staff and Personnel Costs</w:t>
            </w:r>
          </w:p>
        </w:tc>
        <w:tc>
          <w:tcPr>
            <w:tcW w:w="907" w:type="pct"/>
            <w:hideMark/>
          </w:tcPr>
          <w:p w14:paraId="18B0A5C3" w14:textId="77777777" w:rsidR="005214F1" w:rsidRPr="00D457FF" w:rsidRDefault="005214F1"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National Programme Officer M&amp;E (at 20%/yr)</w:t>
            </w:r>
          </w:p>
        </w:tc>
        <w:tc>
          <w:tcPr>
            <w:tcW w:w="476" w:type="pct"/>
            <w:noWrap/>
            <w:hideMark/>
          </w:tcPr>
          <w:p w14:paraId="4BD3EEEC" w14:textId="77777777" w:rsidR="005214F1" w:rsidRPr="00D457FF" w:rsidRDefault="005214F1" w:rsidP="00D457FF">
            <w:pPr>
              <w:spacing w:before="200" w:after="200"/>
              <w:jc w:val="right"/>
              <w:rPr>
                <w:rFonts w:ascii="Calibri" w:eastAsia="Times New Roman" w:hAnsi="Calibri" w:cs="Calibri"/>
                <w:color w:val="000000"/>
                <w:sz w:val="20"/>
                <w:szCs w:val="20"/>
              </w:rPr>
            </w:pPr>
            <w:r w:rsidRPr="00D457FF">
              <w:rPr>
                <w:rFonts w:ascii="Calibri" w:eastAsia="Times New Roman" w:hAnsi="Calibri" w:cs="Calibri"/>
                <w:color w:val="000000"/>
                <w:sz w:val="20"/>
                <w:szCs w:val="20"/>
              </w:rPr>
              <w:t>5,000</w:t>
            </w:r>
          </w:p>
        </w:tc>
        <w:tc>
          <w:tcPr>
            <w:tcW w:w="409" w:type="pct"/>
            <w:noWrap/>
            <w:hideMark/>
          </w:tcPr>
          <w:p w14:paraId="1C81BFB5" w14:textId="77777777" w:rsidR="005214F1" w:rsidRPr="00D457FF" w:rsidRDefault="005214F1"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3 years</w:t>
            </w:r>
          </w:p>
        </w:tc>
        <w:tc>
          <w:tcPr>
            <w:tcW w:w="651" w:type="pct"/>
            <w:noWrap/>
            <w:hideMark/>
          </w:tcPr>
          <w:p w14:paraId="38A452C7" w14:textId="77777777" w:rsidR="005214F1" w:rsidRPr="00D457FF" w:rsidRDefault="005214F1" w:rsidP="00D457FF">
            <w:pPr>
              <w:spacing w:before="200" w:after="200"/>
              <w:jc w:val="right"/>
              <w:rPr>
                <w:rFonts w:ascii="Calibri" w:eastAsia="Times New Roman" w:hAnsi="Calibri" w:cs="Calibri"/>
                <w:color w:val="000000"/>
                <w:sz w:val="20"/>
                <w:szCs w:val="20"/>
              </w:rPr>
            </w:pPr>
            <w:r w:rsidRPr="00D457FF">
              <w:rPr>
                <w:rFonts w:ascii="Calibri" w:eastAsia="Times New Roman" w:hAnsi="Calibri" w:cs="Calibri"/>
                <w:color w:val="000000"/>
                <w:sz w:val="20"/>
                <w:szCs w:val="20"/>
              </w:rPr>
              <w:t>15,000</w:t>
            </w:r>
          </w:p>
        </w:tc>
        <w:tc>
          <w:tcPr>
            <w:tcW w:w="653" w:type="pct"/>
            <w:noWrap/>
            <w:hideMark/>
          </w:tcPr>
          <w:p w14:paraId="130875D6" w14:textId="77777777" w:rsidR="005214F1" w:rsidRPr="00D457FF" w:rsidRDefault="005214F1"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476" w:type="pct"/>
            <w:noWrap/>
            <w:hideMark/>
          </w:tcPr>
          <w:p w14:paraId="469D488A" w14:textId="77777777" w:rsidR="005214F1" w:rsidRPr="00D457FF" w:rsidRDefault="005214F1" w:rsidP="00D457FF">
            <w:pPr>
              <w:spacing w:before="200" w:after="200"/>
              <w:jc w:val="right"/>
              <w:rPr>
                <w:rFonts w:ascii="Calibri" w:eastAsia="Times New Roman" w:hAnsi="Calibri" w:cs="Calibri"/>
                <w:color w:val="000000"/>
                <w:sz w:val="20"/>
                <w:szCs w:val="20"/>
              </w:rPr>
            </w:pPr>
            <w:r w:rsidRPr="00D457FF">
              <w:rPr>
                <w:rFonts w:ascii="Calibri" w:eastAsia="Times New Roman" w:hAnsi="Calibri" w:cs="Calibri"/>
                <w:color w:val="000000"/>
                <w:sz w:val="20"/>
                <w:szCs w:val="20"/>
              </w:rPr>
              <w:t>15,000</w:t>
            </w:r>
          </w:p>
        </w:tc>
        <w:tc>
          <w:tcPr>
            <w:tcW w:w="652" w:type="pct"/>
            <w:noWrap/>
            <w:hideMark/>
          </w:tcPr>
          <w:p w14:paraId="1AF4C002" w14:textId="77777777" w:rsidR="005214F1" w:rsidRPr="00D457FF" w:rsidRDefault="005214F1"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r>
      <w:tr w:rsidR="001D563B" w:rsidRPr="00D457FF" w14:paraId="32FDD4DD" w14:textId="77777777" w:rsidTr="005214F1">
        <w:trPr>
          <w:trHeight w:val="780"/>
        </w:trPr>
        <w:tc>
          <w:tcPr>
            <w:tcW w:w="775" w:type="pct"/>
            <w:tcBorders>
              <w:bottom w:val="single" w:sz="4" w:space="0" w:color="auto"/>
            </w:tcBorders>
            <w:hideMark/>
          </w:tcPr>
          <w:p w14:paraId="7C8110FA" w14:textId="77777777" w:rsidR="001D563B" w:rsidRPr="00D457FF" w:rsidRDefault="001D563B" w:rsidP="00D457FF">
            <w:pPr>
              <w:spacing w:before="200" w:after="200"/>
              <w:rPr>
                <w:rFonts w:ascii="Calibri" w:eastAsia="Times New Roman" w:hAnsi="Calibri" w:cs="Calibri"/>
                <w:b/>
                <w:bCs/>
                <w:sz w:val="20"/>
                <w:szCs w:val="20"/>
              </w:rPr>
            </w:pPr>
            <w:r w:rsidRPr="00D457FF">
              <w:rPr>
                <w:rFonts w:ascii="Calibri" w:eastAsia="Times New Roman" w:hAnsi="Calibri" w:cs="Calibri"/>
                <w:b/>
                <w:bCs/>
                <w:sz w:val="20"/>
                <w:szCs w:val="20"/>
              </w:rPr>
              <w:t>Supplies, commodities and materials</w:t>
            </w:r>
          </w:p>
        </w:tc>
        <w:tc>
          <w:tcPr>
            <w:tcW w:w="907" w:type="pct"/>
            <w:tcBorders>
              <w:bottom w:val="single" w:sz="4" w:space="0" w:color="auto"/>
            </w:tcBorders>
            <w:hideMark/>
          </w:tcPr>
          <w:p w14:paraId="7E753EDA"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Training materials and supplies for workshops, meetings</w:t>
            </w:r>
          </w:p>
        </w:tc>
        <w:tc>
          <w:tcPr>
            <w:tcW w:w="476" w:type="pct"/>
            <w:tcBorders>
              <w:bottom w:val="single" w:sz="4" w:space="0" w:color="auto"/>
            </w:tcBorders>
            <w:hideMark/>
          </w:tcPr>
          <w:p w14:paraId="72F93118"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409" w:type="pct"/>
            <w:tcBorders>
              <w:bottom w:val="single" w:sz="4" w:space="0" w:color="auto"/>
            </w:tcBorders>
            <w:hideMark/>
          </w:tcPr>
          <w:p w14:paraId="5CDD6851"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651" w:type="pct"/>
            <w:tcBorders>
              <w:bottom w:val="single" w:sz="4" w:space="0" w:color="auto"/>
            </w:tcBorders>
            <w:hideMark/>
          </w:tcPr>
          <w:p w14:paraId="34F7DC58"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653" w:type="pct"/>
            <w:tcBorders>
              <w:bottom w:val="single" w:sz="4" w:space="0" w:color="auto"/>
            </w:tcBorders>
            <w:hideMark/>
          </w:tcPr>
          <w:p w14:paraId="23CCEB8B" w14:textId="2AEB0514" w:rsidR="001D563B" w:rsidRPr="00D457FF" w:rsidRDefault="00264AA3"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71</w:t>
            </w:r>
            <w:r w:rsidR="001D563B" w:rsidRPr="00D457FF">
              <w:rPr>
                <w:rFonts w:ascii="Calibri" w:eastAsia="Times New Roman" w:hAnsi="Calibri" w:cs="Calibri"/>
                <w:sz w:val="20"/>
                <w:szCs w:val="20"/>
              </w:rPr>
              <w:t>,</w:t>
            </w:r>
            <w:r w:rsidRPr="00D457FF">
              <w:rPr>
                <w:rFonts w:ascii="Calibri" w:eastAsia="Times New Roman" w:hAnsi="Calibri" w:cs="Calibri"/>
                <w:sz w:val="20"/>
                <w:szCs w:val="20"/>
              </w:rPr>
              <w:t>0</w:t>
            </w:r>
            <w:r w:rsidR="001D563B" w:rsidRPr="00D457FF">
              <w:rPr>
                <w:rFonts w:ascii="Calibri" w:eastAsia="Times New Roman" w:hAnsi="Calibri" w:cs="Calibri"/>
                <w:sz w:val="20"/>
                <w:szCs w:val="20"/>
              </w:rPr>
              <w:t>00</w:t>
            </w:r>
          </w:p>
        </w:tc>
        <w:tc>
          <w:tcPr>
            <w:tcW w:w="476" w:type="pct"/>
            <w:tcBorders>
              <w:bottom w:val="single" w:sz="4" w:space="0" w:color="auto"/>
            </w:tcBorders>
            <w:hideMark/>
          </w:tcPr>
          <w:p w14:paraId="07750998" w14:textId="77777777" w:rsidR="001D563B" w:rsidRPr="00D457FF" w:rsidRDefault="001D563B"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17,000</w:t>
            </w:r>
          </w:p>
        </w:tc>
        <w:tc>
          <w:tcPr>
            <w:tcW w:w="652" w:type="pct"/>
            <w:tcBorders>
              <w:bottom w:val="single" w:sz="4" w:space="0" w:color="auto"/>
            </w:tcBorders>
            <w:hideMark/>
          </w:tcPr>
          <w:p w14:paraId="2FFDB462"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r>
      <w:tr w:rsidR="005214F1" w:rsidRPr="00D457FF" w14:paraId="63008890" w14:textId="77777777" w:rsidTr="005214F1">
        <w:trPr>
          <w:trHeight w:val="780"/>
        </w:trPr>
        <w:tc>
          <w:tcPr>
            <w:tcW w:w="775" w:type="pct"/>
            <w:shd w:val="clear" w:color="auto" w:fill="D9D9D9" w:themeFill="background1" w:themeFillShade="D9"/>
            <w:hideMark/>
          </w:tcPr>
          <w:p w14:paraId="4EDC0424" w14:textId="2A752E2C" w:rsidR="001D563B" w:rsidRPr="00D457FF" w:rsidRDefault="001D563B" w:rsidP="00D457FF">
            <w:pPr>
              <w:spacing w:before="200" w:after="200"/>
              <w:jc w:val="both"/>
              <w:rPr>
                <w:rFonts w:ascii="Calibri" w:eastAsia="Times New Roman" w:hAnsi="Calibri" w:cs="Calibri"/>
                <w:b/>
                <w:bCs/>
                <w:sz w:val="20"/>
                <w:szCs w:val="20"/>
              </w:rPr>
            </w:pPr>
            <w:r w:rsidRPr="00D457FF">
              <w:rPr>
                <w:rFonts w:ascii="Calibri" w:eastAsia="Times New Roman" w:hAnsi="Calibri" w:cs="Calibri"/>
                <w:b/>
                <w:bCs/>
                <w:sz w:val="20"/>
                <w:szCs w:val="20"/>
              </w:rPr>
              <w:t xml:space="preserve">Equipment vehicles, </w:t>
            </w:r>
            <w:r w:rsidRPr="00D457FF">
              <w:rPr>
                <w:rFonts w:ascii="Calibri" w:eastAsia="Times New Roman" w:hAnsi="Calibri" w:cs="Calibri"/>
                <w:b/>
                <w:bCs/>
                <w:sz w:val="20"/>
                <w:szCs w:val="20"/>
              </w:rPr>
              <w:lastRenderedPageBreak/>
              <w:t>furniture depreciation</w:t>
            </w:r>
          </w:p>
        </w:tc>
        <w:tc>
          <w:tcPr>
            <w:tcW w:w="907" w:type="pct"/>
            <w:shd w:val="clear" w:color="auto" w:fill="D9D9D9" w:themeFill="background1" w:themeFillShade="D9"/>
            <w:hideMark/>
          </w:tcPr>
          <w:p w14:paraId="6997BB75" w14:textId="77777777" w:rsidR="001D563B" w:rsidRPr="005214F1" w:rsidRDefault="001D563B" w:rsidP="00D457FF">
            <w:pPr>
              <w:spacing w:before="200" w:after="200"/>
              <w:rPr>
                <w:rFonts w:ascii="Calibri" w:eastAsia="Times New Roman" w:hAnsi="Calibri" w:cs="Calibri"/>
                <w:b/>
                <w:bCs/>
                <w:sz w:val="20"/>
                <w:szCs w:val="20"/>
              </w:rPr>
            </w:pPr>
            <w:r w:rsidRPr="005214F1">
              <w:rPr>
                <w:rFonts w:ascii="Calibri" w:eastAsia="Times New Roman" w:hAnsi="Calibri" w:cs="Calibri"/>
                <w:b/>
                <w:bCs/>
                <w:sz w:val="20"/>
                <w:szCs w:val="20"/>
              </w:rPr>
              <w:lastRenderedPageBreak/>
              <w:t> </w:t>
            </w:r>
          </w:p>
        </w:tc>
        <w:tc>
          <w:tcPr>
            <w:tcW w:w="476" w:type="pct"/>
            <w:shd w:val="clear" w:color="auto" w:fill="D9D9D9" w:themeFill="background1" w:themeFillShade="D9"/>
            <w:hideMark/>
          </w:tcPr>
          <w:p w14:paraId="7CFF644C" w14:textId="77777777" w:rsidR="001D563B" w:rsidRPr="005214F1" w:rsidRDefault="001D563B" w:rsidP="00D457FF">
            <w:pPr>
              <w:spacing w:before="200" w:after="200"/>
              <w:rPr>
                <w:rFonts w:ascii="Calibri" w:eastAsia="Times New Roman" w:hAnsi="Calibri" w:cs="Calibri"/>
                <w:b/>
                <w:bCs/>
                <w:sz w:val="20"/>
                <w:szCs w:val="20"/>
              </w:rPr>
            </w:pPr>
            <w:r w:rsidRPr="005214F1">
              <w:rPr>
                <w:rFonts w:ascii="Calibri" w:eastAsia="Times New Roman" w:hAnsi="Calibri" w:cs="Calibri"/>
                <w:b/>
                <w:bCs/>
                <w:sz w:val="20"/>
                <w:szCs w:val="20"/>
              </w:rPr>
              <w:t> </w:t>
            </w:r>
          </w:p>
        </w:tc>
        <w:tc>
          <w:tcPr>
            <w:tcW w:w="409" w:type="pct"/>
            <w:shd w:val="clear" w:color="auto" w:fill="D9D9D9" w:themeFill="background1" w:themeFillShade="D9"/>
            <w:hideMark/>
          </w:tcPr>
          <w:p w14:paraId="6CB7ADEB" w14:textId="77777777" w:rsidR="001D563B" w:rsidRPr="005214F1" w:rsidRDefault="001D563B" w:rsidP="00D457FF">
            <w:pPr>
              <w:spacing w:before="200" w:after="200"/>
              <w:rPr>
                <w:rFonts w:ascii="Calibri" w:eastAsia="Times New Roman" w:hAnsi="Calibri" w:cs="Calibri"/>
                <w:b/>
                <w:bCs/>
                <w:sz w:val="20"/>
                <w:szCs w:val="20"/>
              </w:rPr>
            </w:pPr>
            <w:r w:rsidRPr="005214F1">
              <w:rPr>
                <w:rFonts w:ascii="Calibri" w:eastAsia="Times New Roman" w:hAnsi="Calibri" w:cs="Calibri"/>
                <w:b/>
                <w:bCs/>
                <w:sz w:val="20"/>
                <w:szCs w:val="20"/>
              </w:rPr>
              <w:t> </w:t>
            </w:r>
          </w:p>
        </w:tc>
        <w:tc>
          <w:tcPr>
            <w:tcW w:w="651" w:type="pct"/>
            <w:shd w:val="clear" w:color="auto" w:fill="D9D9D9" w:themeFill="background1" w:themeFillShade="D9"/>
            <w:hideMark/>
          </w:tcPr>
          <w:p w14:paraId="5D980961" w14:textId="77777777" w:rsidR="001D563B" w:rsidRPr="005214F1" w:rsidRDefault="001D563B" w:rsidP="00D457FF">
            <w:pPr>
              <w:spacing w:before="200" w:after="200"/>
              <w:rPr>
                <w:rFonts w:ascii="Calibri" w:eastAsia="Times New Roman" w:hAnsi="Calibri" w:cs="Calibri"/>
                <w:b/>
                <w:bCs/>
                <w:sz w:val="20"/>
                <w:szCs w:val="20"/>
              </w:rPr>
            </w:pPr>
            <w:r w:rsidRPr="005214F1">
              <w:rPr>
                <w:rFonts w:ascii="Calibri" w:eastAsia="Times New Roman" w:hAnsi="Calibri" w:cs="Calibri"/>
                <w:b/>
                <w:bCs/>
                <w:sz w:val="20"/>
                <w:szCs w:val="20"/>
              </w:rPr>
              <w:t> </w:t>
            </w:r>
          </w:p>
        </w:tc>
        <w:tc>
          <w:tcPr>
            <w:tcW w:w="653" w:type="pct"/>
            <w:shd w:val="clear" w:color="auto" w:fill="D9D9D9" w:themeFill="background1" w:themeFillShade="D9"/>
            <w:hideMark/>
          </w:tcPr>
          <w:p w14:paraId="2CACB591" w14:textId="77777777" w:rsidR="001D563B" w:rsidRPr="005214F1" w:rsidRDefault="001D563B" w:rsidP="00D457FF">
            <w:pPr>
              <w:spacing w:before="200" w:after="200"/>
              <w:rPr>
                <w:rFonts w:ascii="Calibri" w:eastAsia="Times New Roman" w:hAnsi="Calibri" w:cs="Calibri"/>
                <w:b/>
                <w:bCs/>
                <w:sz w:val="20"/>
                <w:szCs w:val="20"/>
              </w:rPr>
            </w:pPr>
            <w:r w:rsidRPr="005214F1">
              <w:rPr>
                <w:rFonts w:ascii="Calibri" w:eastAsia="Times New Roman" w:hAnsi="Calibri" w:cs="Calibri"/>
                <w:b/>
                <w:bCs/>
                <w:sz w:val="20"/>
                <w:szCs w:val="20"/>
              </w:rPr>
              <w:t> </w:t>
            </w:r>
          </w:p>
        </w:tc>
        <w:tc>
          <w:tcPr>
            <w:tcW w:w="476" w:type="pct"/>
            <w:shd w:val="clear" w:color="auto" w:fill="D9D9D9" w:themeFill="background1" w:themeFillShade="D9"/>
            <w:hideMark/>
          </w:tcPr>
          <w:p w14:paraId="78BE41A8" w14:textId="77777777" w:rsidR="001D563B" w:rsidRPr="005214F1" w:rsidRDefault="001D563B" w:rsidP="00D457FF">
            <w:pPr>
              <w:spacing w:before="200" w:after="200"/>
              <w:jc w:val="right"/>
              <w:rPr>
                <w:rFonts w:ascii="Calibri" w:eastAsia="Times New Roman" w:hAnsi="Calibri" w:cs="Calibri"/>
                <w:b/>
                <w:bCs/>
                <w:sz w:val="20"/>
                <w:szCs w:val="20"/>
              </w:rPr>
            </w:pPr>
            <w:r w:rsidRPr="005214F1">
              <w:rPr>
                <w:rFonts w:ascii="Calibri" w:eastAsia="Times New Roman" w:hAnsi="Calibri" w:cs="Calibri"/>
                <w:b/>
                <w:bCs/>
                <w:sz w:val="20"/>
                <w:szCs w:val="20"/>
              </w:rPr>
              <w:t>0</w:t>
            </w:r>
          </w:p>
        </w:tc>
        <w:tc>
          <w:tcPr>
            <w:tcW w:w="652" w:type="pct"/>
            <w:shd w:val="clear" w:color="auto" w:fill="D9D9D9" w:themeFill="background1" w:themeFillShade="D9"/>
            <w:hideMark/>
          </w:tcPr>
          <w:p w14:paraId="35E9BCE6" w14:textId="77777777" w:rsidR="001D563B" w:rsidRPr="005214F1" w:rsidRDefault="001D563B" w:rsidP="00D457FF">
            <w:pPr>
              <w:spacing w:before="200" w:after="200"/>
              <w:rPr>
                <w:rFonts w:ascii="Calibri" w:eastAsia="Times New Roman" w:hAnsi="Calibri" w:cs="Calibri"/>
                <w:b/>
                <w:bCs/>
                <w:sz w:val="20"/>
                <w:szCs w:val="20"/>
              </w:rPr>
            </w:pPr>
            <w:r w:rsidRPr="005214F1">
              <w:rPr>
                <w:rFonts w:ascii="Calibri" w:eastAsia="Times New Roman" w:hAnsi="Calibri" w:cs="Calibri"/>
                <w:b/>
                <w:bCs/>
                <w:sz w:val="20"/>
                <w:szCs w:val="20"/>
              </w:rPr>
              <w:t> </w:t>
            </w:r>
          </w:p>
        </w:tc>
      </w:tr>
      <w:tr w:rsidR="001D563B" w:rsidRPr="00D457FF" w14:paraId="2C8F6497" w14:textId="77777777" w:rsidTr="005214F1">
        <w:trPr>
          <w:trHeight w:val="1695"/>
        </w:trPr>
        <w:tc>
          <w:tcPr>
            <w:tcW w:w="775" w:type="pct"/>
            <w:hideMark/>
          </w:tcPr>
          <w:p w14:paraId="2683E151" w14:textId="77777777" w:rsidR="001D563B" w:rsidRPr="00D457FF" w:rsidRDefault="001D563B" w:rsidP="00D457FF">
            <w:pPr>
              <w:spacing w:before="200" w:after="200"/>
              <w:rPr>
                <w:rFonts w:ascii="Calibri" w:eastAsia="Times New Roman" w:hAnsi="Calibri" w:cs="Calibri"/>
                <w:b/>
                <w:bCs/>
                <w:sz w:val="20"/>
                <w:szCs w:val="20"/>
              </w:rPr>
            </w:pPr>
            <w:r w:rsidRPr="00D457FF">
              <w:rPr>
                <w:rFonts w:ascii="Calibri" w:eastAsia="Times New Roman" w:hAnsi="Calibri" w:cs="Calibri"/>
                <w:b/>
                <w:bCs/>
                <w:sz w:val="20"/>
                <w:szCs w:val="20"/>
              </w:rPr>
              <w:lastRenderedPageBreak/>
              <w:t>Contractual Services</w:t>
            </w:r>
          </w:p>
        </w:tc>
        <w:tc>
          <w:tcPr>
            <w:tcW w:w="907" w:type="pct"/>
            <w:hideMark/>
          </w:tcPr>
          <w:p w14:paraId="2C67B492" w14:textId="6F78F950" w:rsidR="001D563B" w:rsidRPr="00D457FF" w:rsidRDefault="001D563B" w:rsidP="00D457FF">
            <w:pPr>
              <w:spacing w:before="200" w:after="200"/>
              <w:rPr>
                <w:rFonts w:ascii="Calibri" w:eastAsia="Times New Roman" w:hAnsi="Calibri" w:cs="Calibri"/>
                <w:sz w:val="18"/>
                <w:szCs w:val="18"/>
              </w:rPr>
            </w:pPr>
            <w:r w:rsidRPr="00D457FF">
              <w:rPr>
                <w:rFonts w:ascii="Calibri" w:eastAsia="Times New Roman" w:hAnsi="Calibri" w:cs="Calibri"/>
                <w:sz w:val="18"/>
                <w:szCs w:val="18"/>
              </w:rPr>
              <w:t>Consultants (international and national to support capacity development in health, education and judiciary; GBV toolkit development, analysis of legislation and policies, inception, evaluation, etc.)</w:t>
            </w:r>
          </w:p>
        </w:tc>
        <w:tc>
          <w:tcPr>
            <w:tcW w:w="476" w:type="pct"/>
            <w:hideMark/>
          </w:tcPr>
          <w:p w14:paraId="21871E35"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409" w:type="pct"/>
            <w:hideMark/>
          </w:tcPr>
          <w:p w14:paraId="579E9093"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651" w:type="pct"/>
            <w:hideMark/>
          </w:tcPr>
          <w:p w14:paraId="791D2F84"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653" w:type="pct"/>
            <w:hideMark/>
          </w:tcPr>
          <w:p w14:paraId="6FB4CC2B" w14:textId="77777777" w:rsidR="001D563B" w:rsidRPr="00D457FF" w:rsidRDefault="001D563B"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164,832</w:t>
            </w:r>
          </w:p>
        </w:tc>
        <w:tc>
          <w:tcPr>
            <w:tcW w:w="476" w:type="pct"/>
            <w:hideMark/>
          </w:tcPr>
          <w:p w14:paraId="06097926" w14:textId="77777777" w:rsidR="001D563B" w:rsidRPr="00D457FF" w:rsidRDefault="001D563B"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37,500</w:t>
            </w:r>
          </w:p>
        </w:tc>
        <w:tc>
          <w:tcPr>
            <w:tcW w:w="652" w:type="pct"/>
            <w:hideMark/>
          </w:tcPr>
          <w:p w14:paraId="34794D18"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r>
      <w:tr w:rsidR="001D563B" w:rsidRPr="00D457FF" w14:paraId="35DAC97E" w14:textId="77777777" w:rsidTr="005214F1">
        <w:trPr>
          <w:trHeight w:val="525"/>
        </w:trPr>
        <w:tc>
          <w:tcPr>
            <w:tcW w:w="775" w:type="pct"/>
            <w:hideMark/>
          </w:tcPr>
          <w:p w14:paraId="1412CAA7" w14:textId="77777777" w:rsidR="001D563B" w:rsidRPr="00D457FF" w:rsidRDefault="001D563B" w:rsidP="00D457FF">
            <w:pPr>
              <w:spacing w:before="200" w:after="200"/>
              <w:rPr>
                <w:rFonts w:ascii="Calibri" w:eastAsia="Times New Roman" w:hAnsi="Calibri" w:cs="Calibri"/>
                <w:b/>
                <w:bCs/>
                <w:sz w:val="20"/>
                <w:szCs w:val="20"/>
              </w:rPr>
            </w:pPr>
            <w:r w:rsidRPr="00D457FF">
              <w:rPr>
                <w:rFonts w:ascii="Calibri" w:eastAsia="Times New Roman" w:hAnsi="Calibri" w:cs="Calibri"/>
                <w:b/>
                <w:bCs/>
                <w:sz w:val="20"/>
                <w:szCs w:val="20"/>
              </w:rPr>
              <w:t>Travel</w:t>
            </w:r>
          </w:p>
        </w:tc>
        <w:tc>
          <w:tcPr>
            <w:tcW w:w="907" w:type="pct"/>
            <w:hideMark/>
          </w:tcPr>
          <w:p w14:paraId="2FF51B52"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Staff and consultant travel including per diem</w:t>
            </w:r>
          </w:p>
        </w:tc>
        <w:tc>
          <w:tcPr>
            <w:tcW w:w="476" w:type="pct"/>
            <w:hideMark/>
          </w:tcPr>
          <w:p w14:paraId="6925EA89"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409" w:type="pct"/>
            <w:hideMark/>
          </w:tcPr>
          <w:p w14:paraId="6EA36A20"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651" w:type="pct"/>
            <w:hideMark/>
          </w:tcPr>
          <w:p w14:paraId="0E2B3E19"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653" w:type="pct"/>
            <w:hideMark/>
          </w:tcPr>
          <w:p w14:paraId="2BF9EAEC" w14:textId="77777777" w:rsidR="001D563B" w:rsidRPr="00D457FF" w:rsidRDefault="001D563B"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38,000</w:t>
            </w:r>
          </w:p>
        </w:tc>
        <w:tc>
          <w:tcPr>
            <w:tcW w:w="476" w:type="pct"/>
            <w:hideMark/>
          </w:tcPr>
          <w:p w14:paraId="2DB62F29" w14:textId="77777777" w:rsidR="001D563B" w:rsidRPr="00D457FF" w:rsidRDefault="001D563B"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4,000</w:t>
            </w:r>
          </w:p>
        </w:tc>
        <w:tc>
          <w:tcPr>
            <w:tcW w:w="652" w:type="pct"/>
            <w:hideMark/>
          </w:tcPr>
          <w:p w14:paraId="413C000D"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r>
      <w:tr w:rsidR="001D563B" w:rsidRPr="00D457FF" w14:paraId="33CC3A67" w14:textId="77777777" w:rsidTr="005214F1">
        <w:trPr>
          <w:trHeight w:val="780"/>
        </w:trPr>
        <w:tc>
          <w:tcPr>
            <w:tcW w:w="775" w:type="pct"/>
            <w:hideMark/>
          </w:tcPr>
          <w:p w14:paraId="2570A74A" w14:textId="1CE00A22" w:rsidR="001D563B" w:rsidRPr="00D457FF" w:rsidRDefault="005214F1" w:rsidP="00D457FF">
            <w:pPr>
              <w:spacing w:before="200" w:after="200"/>
              <w:rPr>
                <w:rFonts w:ascii="Calibri" w:eastAsia="Times New Roman" w:hAnsi="Calibri" w:cs="Calibri"/>
                <w:b/>
                <w:bCs/>
                <w:sz w:val="20"/>
                <w:szCs w:val="20"/>
              </w:rPr>
            </w:pPr>
            <w:r>
              <w:rPr>
                <w:rFonts w:ascii="Calibri" w:eastAsia="Times New Roman" w:hAnsi="Calibri" w:cs="Calibri"/>
                <w:b/>
                <w:bCs/>
                <w:sz w:val="20"/>
                <w:szCs w:val="20"/>
              </w:rPr>
              <w:t>~</w:t>
            </w:r>
            <w:r w:rsidR="001D563B" w:rsidRPr="00D457FF">
              <w:rPr>
                <w:rFonts w:ascii="Calibri" w:eastAsia="Times New Roman" w:hAnsi="Calibri" w:cs="Calibri"/>
                <w:b/>
                <w:bCs/>
                <w:sz w:val="20"/>
                <w:szCs w:val="20"/>
              </w:rPr>
              <w:t>Transfers and grants</w:t>
            </w:r>
          </w:p>
        </w:tc>
        <w:tc>
          <w:tcPr>
            <w:tcW w:w="907" w:type="pct"/>
            <w:hideMark/>
          </w:tcPr>
          <w:p w14:paraId="6DCE846B"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Grants to DPOs as partner for advocacy, capacity development, etc.</w:t>
            </w:r>
          </w:p>
        </w:tc>
        <w:tc>
          <w:tcPr>
            <w:tcW w:w="476" w:type="pct"/>
            <w:hideMark/>
          </w:tcPr>
          <w:p w14:paraId="26BAE21A"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409" w:type="pct"/>
            <w:hideMark/>
          </w:tcPr>
          <w:p w14:paraId="6A80C234"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651" w:type="pct"/>
            <w:hideMark/>
          </w:tcPr>
          <w:p w14:paraId="68A73F06"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653" w:type="pct"/>
            <w:hideMark/>
          </w:tcPr>
          <w:p w14:paraId="7329A5DD" w14:textId="401B6789" w:rsidR="001D563B" w:rsidRPr="00D457FF" w:rsidRDefault="001D563B" w:rsidP="00D457FF">
            <w:pPr>
              <w:spacing w:before="200" w:after="200"/>
              <w:jc w:val="right"/>
              <w:rPr>
                <w:rFonts w:ascii="Calibri" w:eastAsia="Times New Roman" w:hAnsi="Calibri" w:cs="Calibri"/>
                <w:color w:val="000000"/>
                <w:sz w:val="20"/>
                <w:szCs w:val="20"/>
              </w:rPr>
            </w:pPr>
            <w:r w:rsidRPr="00D457FF">
              <w:rPr>
                <w:rFonts w:ascii="Calibri" w:eastAsia="Times New Roman" w:hAnsi="Calibri" w:cs="Calibri"/>
                <w:color w:val="000000"/>
                <w:sz w:val="20"/>
                <w:szCs w:val="20"/>
              </w:rPr>
              <w:t>7</w:t>
            </w:r>
            <w:r w:rsidR="00264AA3" w:rsidRPr="00D457FF">
              <w:rPr>
                <w:rFonts w:ascii="Calibri" w:eastAsia="Times New Roman" w:hAnsi="Calibri" w:cs="Calibri"/>
                <w:color w:val="000000"/>
                <w:sz w:val="20"/>
                <w:szCs w:val="20"/>
              </w:rPr>
              <w:t>5</w:t>
            </w:r>
            <w:r w:rsidRPr="00D457FF">
              <w:rPr>
                <w:rFonts w:ascii="Calibri" w:eastAsia="Times New Roman" w:hAnsi="Calibri" w:cs="Calibri"/>
                <w:color w:val="000000"/>
                <w:sz w:val="20"/>
                <w:szCs w:val="20"/>
              </w:rPr>
              <w:t>,</w:t>
            </w:r>
            <w:r w:rsidR="00264AA3" w:rsidRPr="00D457FF">
              <w:rPr>
                <w:rFonts w:ascii="Calibri" w:eastAsia="Times New Roman" w:hAnsi="Calibri" w:cs="Calibri"/>
                <w:color w:val="000000"/>
                <w:sz w:val="20"/>
                <w:szCs w:val="20"/>
              </w:rPr>
              <w:t>0</w:t>
            </w:r>
            <w:r w:rsidRPr="00D457FF">
              <w:rPr>
                <w:rFonts w:ascii="Calibri" w:eastAsia="Times New Roman" w:hAnsi="Calibri" w:cs="Calibri"/>
                <w:color w:val="000000"/>
                <w:sz w:val="20"/>
                <w:szCs w:val="20"/>
              </w:rPr>
              <w:t>00</w:t>
            </w:r>
          </w:p>
        </w:tc>
        <w:tc>
          <w:tcPr>
            <w:tcW w:w="476" w:type="pct"/>
            <w:hideMark/>
          </w:tcPr>
          <w:p w14:paraId="1FCD0393" w14:textId="77777777" w:rsidR="001D563B" w:rsidRPr="00D457FF" w:rsidRDefault="001D563B" w:rsidP="00D457FF">
            <w:pPr>
              <w:spacing w:before="200" w:after="200"/>
              <w:jc w:val="right"/>
              <w:rPr>
                <w:rFonts w:ascii="Calibri" w:eastAsia="Times New Roman" w:hAnsi="Calibri" w:cs="Calibri"/>
                <w:color w:val="000000"/>
                <w:sz w:val="20"/>
                <w:szCs w:val="20"/>
              </w:rPr>
            </w:pPr>
            <w:r w:rsidRPr="00D457FF">
              <w:rPr>
                <w:rFonts w:ascii="Calibri" w:eastAsia="Times New Roman" w:hAnsi="Calibri" w:cs="Calibri"/>
                <w:color w:val="000000"/>
                <w:sz w:val="20"/>
                <w:szCs w:val="20"/>
              </w:rPr>
              <w:t>2,000</w:t>
            </w:r>
          </w:p>
        </w:tc>
        <w:tc>
          <w:tcPr>
            <w:tcW w:w="652" w:type="pct"/>
            <w:hideMark/>
          </w:tcPr>
          <w:p w14:paraId="170EF4A6"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r>
      <w:tr w:rsidR="001D563B" w:rsidRPr="00D457FF" w14:paraId="649945F8" w14:textId="77777777" w:rsidTr="005214F1">
        <w:trPr>
          <w:trHeight w:val="525"/>
        </w:trPr>
        <w:tc>
          <w:tcPr>
            <w:tcW w:w="775" w:type="pct"/>
            <w:hideMark/>
          </w:tcPr>
          <w:p w14:paraId="3CE960CD" w14:textId="77777777" w:rsidR="001D563B" w:rsidRPr="00D457FF" w:rsidRDefault="001D563B" w:rsidP="00D457FF">
            <w:pPr>
              <w:spacing w:before="200" w:after="200"/>
              <w:rPr>
                <w:rFonts w:ascii="Calibri" w:eastAsia="Times New Roman" w:hAnsi="Calibri" w:cs="Calibri"/>
                <w:b/>
                <w:bCs/>
                <w:sz w:val="20"/>
                <w:szCs w:val="20"/>
              </w:rPr>
            </w:pPr>
            <w:r w:rsidRPr="00D457FF">
              <w:rPr>
                <w:rFonts w:ascii="Calibri" w:eastAsia="Times New Roman" w:hAnsi="Calibri" w:cs="Calibri"/>
                <w:b/>
                <w:bCs/>
                <w:sz w:val="20"/>
                <w:szCs w:val="20"/>
              </w:rPr>
              <w:t xml:space="preserve">General Operating expenses </w:t>
            </w:r>
          </w:p>
        </w:tc>
        <w:tc>
          <w:tcPr>
            <w:tcW w:w="907" w:type="pct"/>
            <w:hideMark/>
          </w:tcPr>
          <w:p w14:paraId="60337B14"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476" w:type="pct"/>
            <w:hideMark/>
          </w:tcPr>
          <w:p w14:paraId="3205899B"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409" w:type="pct"/>
            <w:hideMark/>
          </w:tcPr>
          <w:p w14:paraId="197CC2E6"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651" w:type="pct"/>
            <w:hideMark/>
          </w:tcPr>
          <w:p w14:paraId="624D9EE2"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653" w:type="pct"/>
            <w:hideMark/>
          </w:tcPr>
          <w:p w14:paraId="56D5402F" w14:textId="77777777" w:rsidR="001D563B" w:rsidRPr="00D457FF" w:rsidRDefault="001D563B" w:rsidP="00D457FF">
            <w:pPr>
              <w:spacing w:before="200" w:after="200"/>
              <w:rPr>
                <w:rFonts w:ascii="Calibri" w:eastAsia="Times New Roman" w:hAnsi="Calibri" w:cs="Calibri"/>
                <w:color w:val="000000"/>
                <w:sz w:val="20"/>
                <w:szCs w:val="20"/>
              </w:rPr>
            </w:pPr>
            <w:r w:rsidRPr="00D457FF">
              <w:rPr>
                <w:rFonts w:ascii="Calibri" w:eastAsia="Times New Roman" w:hAnsi="Calibri" w:cs="Calibri"/>
                <w:color w:val="000000"/>
                <w:sz w:val="20"/>
                <w:szCs w:val="20"/>
              </w:rPr>
              <w:t> </w:t>
            </w:r>
          </w:p>
        </w:tc>
        <w:tc>
          <w:tcPr>
            <w:tcW w:w="476" w:type="pct"/>
            <w:hideMark/>
          </w:tcPr>
          <w:p w14:paraId="4E0C1D1F" w14:textId="77777777" w:rsidR="001D563B" w:rsidRPr="00D457FF" w:rsidRDefault="001D563B"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0</w:t>
            </w:r>
          </w:p>
        </w:tc>
        <w:tc>
          <w:tcPr>
            <w:tcW w:w="652" w:type="pct"/>
            <w:hideMark/>
          </w:tcPr>
          <w:p w14:paraId="41C60421"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r>
      <w:tr w:rsidR="001D563B" w:rsidRPr="00D457FF" w14:paraId="06A24812" w14:textId="77777777" w:rsidTr="005214F1">
        <w:trPr>
          <w:trHeight w:val="330"/>
        </w:trPr>
        <w:tc>
          <w:tcPr>
            <w:tcW w:w="775" w:type="pct"/>
            <w:hideMark/>
          </w:tcPr>
          <w:p w14:paraId="671E2F15" w14:textId="77777777" w:rsidR="001D563B" w:rsidRPr="00D457FF" w:rsidRDefault="001D563B" w:rsidP="00D457FF">
            <w:pPr>
              <w:spacing w:before="200" w:after="200"/>
              <w:rPr>
                <w:rFonts w:ascii="Calibri" w:eastAsia="Times New Roman" w:hAnsi="Calibri" w:cs="Calibri"/>
                <w:b/>
                <w:bCs/>
                <w:sz w:val="20"/>
                <w:szCs w:val="20"/>
              </w:rPr>
            </w:pPr>
            <w:r w:rsidRPr="00D457FF">
              <w:rPr>
                <w:rFonts w:ascii="Calibri" w:eastAsia="Times New Roman" w:hAnsi="Calibri" w:cs="Calibri"/>
                <w:b/>
                <w:bCs/>
                <w:sz w:val="20"/>
                <w:szCs w:val="20"/>
              </w:rPr>
              <w:t>Subtotal</w:t>
            </w:r>
          </w:p>
        </w:tc>
        <w:tc>
          <w:tcPr>
            <w:tcW w:w="907" w:type="pct"/>
            <w:hideMark/>
          </w:tcPr>
          <w:p w14:paraId="0C01195D" w14:textId="77777777" w:rsidR="001D563B" w:rsidRPr="00D457FF" w:rsidRDefault="001D563B" w:rsidP="00D457FF">
            <w:pPr>
              <w:spacing w:before="200" w:after="200"/>
              <w:ind w:firstLine="400"/>
              <w:rPr>
                <w:rFonts w:ascii="Calibri" w:eastAsia="Times New Roman" w:hAnsi="Calibri" w:cs="Calibri"/>
                <w:sz w:val="20"/>
                <w:szCs w:val="20"/>
              </w:rPr>
            </w:pPr>
            <w:r w:rsidRPr="00D457FF">
              <w:rPr>
                <w:rFonts w:ascii="Calibri" w:eastAsia="Times New Roman" w:hAnsi="Calibri" w:cs="Calibri"/>
                <w:sz w:val="20"/>
                <w:szCs w:val="20"/>
              </w:rPr>
              <w:t> </w:t>
            </w:r>
          </w:p>
        </w:tc>
        <w:tc>
          <w:tcPr>
            <w:tcW w:w="476" w:type="pct"/>
            <w:hideMark/>
          </w:tcPr>
          <w:p w14:paraId="2136CB5F" w14:textId="77777777" w:rsidR="001D563B" w:rsidRPr="00D457FF" w:rsidRDefault="001D563B" w:rsidP="00D457FF">
            <w:pPr>
              <w:spacing w:before="200" w:after="200"/>
              <w:ind w:firstLine="400"/>
              <w:rPr>
                <w:rFonts w:ascii="Calibri" w:eastAsia="Times New Roman" w:hAnsi="Calibri" w:cs="Calibri"/>
                <w:sz w:val="20"/>
                <w:szCs w:val="20"/>
              </w:rPr>
            </w:pPr>
            <w:r w:rsidRPr="00D457FF">
              <w:rPr>
                <w:rFonts w:ascii="Calibri" w:eastAsia="Times New Roman" w:hAnsi="Calibri" w:cs="Calibri"/>
                <w:sz w:val="20"/>
                <w:szCs w:val="20"/>
              </w:rPr>
              <w:t> </w:t>
            </w:r>
          </w:p>
        </w:tc>
        <w:tc>
          <w:tcPr>
            <w:tcW w:w="409" w:type="pct"/>
            <w:hideMark/>
          </w:tcPr>
          <w:p w14:paraId="4E24B308" w14:textId="77777777" w:rsidR="001D563B" w:rsidRPr="00D457FF" w:rsidRDefault="001D563B" w:rsidP="00D457FF">
            <w:pPr>
              <w:spacing w:before="200" w:after="200"/>
              <w:ind w:firstLine="400"/>
              <w:rPr>
                <w:rFonts w:ascii="Calibri" w:eastAsia="Times New Roman" w:hAnsi="Calibri" w:cs="Calibri"/>
                <w:sz w:val="20"/>
                <w:szCs w:val="20"/>
              </w:rPr>
            </w:pPr>
            <w:r w:rsidRPr="00D457FF">
              <w:rPr>
                <w:rFonts w:ascii="Calibri" w:eastAsia="Times New Roman" w:hAnsi="Calibri" w:cs="Calibri"/>
                <w:sz w:val="20"/>
                <w:szCs w:val="20"/>
              </w:rPr>
              <w:t> </w:t>
            </w:r>
          </w:p>
        </w:tc>
        <w:tc>
          <w:tcPr>
            <w:tcW w:w="651" w:type="pct"/>
            <w:hideMark/>
          </w:tcPr>
          <w:p w14:paraId="70F52A99" w14:textId="77777777" w:rsidR="001D563B" w:rsidRPr="00D457FF" w:rsidRDefault="001D563B" w:rsidP="00D457FF">
            <w:pPr>
              <w:spacing w:before="200" w:after="200"/>
              <w:ind w:firstLine="400"/>
              <w:rPr>
                <w:rFonts w:ascii="Calibri" w:eastAsia="Times New Roman" w:hAnsi="Calibri" w:cs="Calibri"/>
                <w:sz w:val="20"/>
                <w:szCs w:val="20"/>
              </w:rPr>
            </w:pPr>
            <w:r w:rsidRPr="00D457FF">
              <w:rPr>
                <w:rFonts w:ascii="Calibri" w:eastAsia="Times New Roman" w:hAnsi="Calibri" w:cs="Calibri"/>
                <w:sz w:val="20"/>
                <w:szCs w:val="20"/>
              </w:rPr>
              <w:t> </w:t>
            </w:r>
          </w:p>
        </w:tc>
        <w:tc>
          <w:tcPr>
            <w:tcW w:w="653" w:type="pct"/>
            <w:hideMark/>
          </w:tcPr>
          <w:p w14:paraId="0870109E" w14:textId="77777777" w:rsidR="001D563B" w:rsidRPr="00D457FF" w:rsidRDefault="001D563B" w:rsidP="00D457FF">
            <w:pPr>
              <w:spacing w:before="200" w:after="200"/>
              <w:ind w:firstLine="402"/>
              <w:rPr>
                <w:rFonts w:ascii="Calibri" w:eastAsia="Times New Roman" w:hAnsi="Calibri" w:cs="Calibri"/>
                <w:b/>
                <w:bCs/>
                <w:color w:val="000000" w:themeColor="text1"/>
                <w:sz w:val="20"/>
                <w:szCs w:val="20"/>
              </w:rPr>
            </w:pPr>
            <w:r w:rsidRPr="00D457FF">
              <w:rPr>
                <w:rFonts w:ascii="Calibri" w:eastAsia="Times New Roman" w:hAnsi="Calibri" w:cs="Calibri"/>
                <w:b/>
                <w:bCs/>
                <w:color w:val="000000" w:themeColor="text1"/>
                <w:sz w:val="20"/>
                <w:szCs w:val="20"/>
              </w:rPr>
              <w:t>373,832</w:t>
            </w:r>
          </w:p>
        </w:tc>
        <w:tc>
          <w:tcPr>
            <w:tcW w:w="476" w:type="pct"/>
            <w:hideMark/>
          </w:tcPr>
          <w:p w14:paraId="4E3A3991" w14:textId="77777777" w:rsidR="001D563B" w:rsidRPr="00D457FF" w:rsidRDefault="001D563B"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75500</w:t>
            </w:r>
          </w:p>
        </w:tc>
        <w:tc>
          <w:tcPr>
            <w:tcW w:w="652" w:type="pct"/>
            <w:hideMark/>
          </w:tcPr>
          <w:p w14:paraId="2ABF440C" w14:textId="77777777" w:rsidR="001D563B" w:rsidRPr="00D457FF" w:rsidRDefault="001D563B" w:rsidP="00D457FF">
            <w:pPr>
              <w:spacing w:before="200" w:after="200"/>
              <w:ind w:firstLine="400"/>
              <w:rPr>
                <w:rFonts w:ascii="Calibri" w:eastAsia="Times New Roman" w:hAnsi="Calibri" w:cs="Calibri"/>
                <w:sz w:val="20"/>
                <w:szCs w:val="20"/>
              </w:rPr>
            </w:pPr>
            <w:r w:rsidRPr="00D457FF">
              <w:rPr>
                <w:rFonts w:ascii="Calibri" w:eastAsia="Times New Roman" w:hAnsi="Calibri" w:cs="Calibri"/>
                <w:sz w:val="20"/>
                <w:szCs w:val="20"/>
              </w:rPr>
              <w:t> </w:t>
            </w:r>
          </w:p>
        </w:tc>
      </w:tr>
      <w:tr w:rsidR="001D563B" w:rsidRPr="00D457FF" w14:paraId="6409B9B5" w14:textId="77777777" w:rsidTr="005214F1">
        <w:trPr>
          <w:trHeight w:val="345"/>
        </w:trPr>
        <w:tc>
          <w:tcPr>
            <w:tcW w:w="775" w:type="pct"/>
            <w:tcBorders>
              <w:bottom w:val="single" w:sz="4" w:space="0" w:color="auto"/>
            </w:tcBorders>
            <w:hideMark/>
          </w:tcPr>
          <w:p w14:paraId="1AB38780" w14:textId="77777777" w:rsidR="001D563B" w:rsidRPr="00D457FF" w:rsidRDefault="001D563B" w:rsidP="00D457FF">
            <w:pPr>
              <w:spacing w:before="200" w:after="200"/>
              <w:rPr>
                <w:rFonts w:ascii="Calibri" w:eastAsia="Times New Roman" w:hAnsi="Calibri" w:cs="Calibri"/>
                <w:b/>
                <w:bCs/>
                <w:sz w:val="20"/>
                <w:szCs w:val="20"/>
              </w:rPr>
            </w:pPr>
            <w:r w:rsidRPr="00D457FF">
              <w:rPr>
                <w:rFonts w:ascii="Calibri" w:eastAsia="Times New Roman" w:hAnsi="Calibri" w:cs="Calibri"/>
                <w:b/>
                <w:bCs/>
                <w:sz w:val="20"/>
                <w:szCs w:val="20"/>
              </w:rPr>
              <w:t>Indirect costs (7%)</w:t>
            </w:r>
          </w:p>
        </w:tc>
        <w:tc>
          <w:tcPr>
            <w:tcW w:w="907" w:type="pct"/>
            <w:tcBorders>
              <w:bottom w:val="single" w:sz="4" w:space="0" w:color="auto"/>
            </w:tcBorders>
            <w:hideMark/>
          </w:tcPr>
          <w:p w14:paraId="7461EC60"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w:t>
            </w:r>
          </w:p>
        </w:tc>
        <w:tc>
          <w:tcPr>
            <w:tcW w:w="476" w:type="pct"/>
            <w:tcBorders>
              <w:bottom w:val="single" w:sz="4" w:space="0" w:color="auto"/>
            </w:tcBorders>
            <w:hideMark/>
          </w:tcPr>
          <w:p w14:paraId="6BB60586"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w:t>
            </w:r>
          </w:p>
        </w:tc>
        <w:tc>
          <w:tcPr>
            <w:tcW w:w="409" w:type="pct"/>
            <w:tcBorders>
              <w:bottom w:val="single" w:sz="4" w:space="0" w:color="auto"/>
            </w:tcBorders>
            <w:hideMark/>
          </w:tcPr>
          <w:p w14:paraId="40FEE030"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w:t>
            </w:r>
          </w:p>
        </w:tc>
        <w:tc>
          <w:tcPr>
            <w:tcW w:w="651" w:type="pct"/>
            <w:tcBorders>
              <w:bottom w:val="single" w:sz="4" w:space="0" w:color="auto"/>
            </w:tcBorders>
            <w:hideMark/>
          </w:tcPr>
          <w:p w14:paraId="0CEB6AAE"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653" w:type="pct"/>
            <w:tcBorders>
              <w:bottom w:val="single" w:sz="4" w:space="0" w:color="auto"/>
            </w:tcBorders>
            <w:hideMark/>
          </w:tcPr>
          <w:p w14:paraId="3E685580" w14:textId="77777777" w:rsidR="001D563B" w:rsidRPr="00D457FF" w:rsidRDefault="001D563B" w:rsidP="00D457FF">
            <w:pPr>
              <w:spacing w:before="200" w:after="200"/>
              <w:jc w:val="right"/>
              <w:rPr>
                <w:rFonts w:ascii="Calibri" w:eastAsia="Times New Roman" w:hAnsi="Calibri" w:cs="Calibri"/>
                <w:b/>
                <w:bCs/>
                <w:sz w:val="20"/>
                <w:szCs w:val="20"/>
              </w:rPr>
            </w:pPr>
            <w:r w:rsidRPr="00D457FF">
              <w:rPr>
                <w:rFonts w:ascii="Calibri" w:eastAsia="Times New Roman" w:hAnsi="Calibri" w:cs="Calibri"/>
                <w:b/>
                <w:bCs/>
                <w:sz w:val="20"/>
                <w:szCs w:val="20"/>
              </w:rPr>
              <w:t>26,168</w:t>
            </w:r>
          </w:p>
        </w:tc>
        <w:tc>
          <w:tcPr>
            <w:tcW w:w="476" w:type="pct"/>
            <w:tcBorders>
              <w:bottom w:val="single" w:sz="4" w:space="0" w:color="auto"/>
            </w:tcBorders>
            <w:hideMark/>
          </w:tcPr>
          <w:p w14:paraId="43A4E37F"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w:t>
            </w:r>
          </w:p>
        </w:tc>
        <w:tc>
          <w:tcPr>
            <w:tcW w:w="652" w:type="pct"/>
            <w:tcBorders>
              <w:bottom w:val="single" w:sz="4" w:space="0" w:color="auto"/>
            </w:tcBorders>
            <w:hideMark/>
          </w:tcPr>
          <w:p w14:paraId="27B84A5E"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w:t>
            </w:r>
          </w:p>
        </w:tc>
      </w:tr>
      <w:tr w:rsidR="005214F1" w:rsidRPr="00D457FF" w14:paraId="52084B2D" w14:textId="77777777" w:rsidTr="005214F1">
        <w:trPr>
          <w:trHeight w:val="345"/>
        </w:trPr>
        <w:tc>
          <w:tcPr>
            <w:tcW w:w="775" w:type="pct"/>
            <w:tcBorders>
              <w:bottom w:val="single" w:sz="4" w:space="0" w:color="auto"/>
            </w:tcBorders>
            <w:shd w:val="clear" w:color="auto" w:fill="D9D9D9" w:themeFill="background1" w:themeFillShade="D9"/>
            <w:hideMark/>
          </w:tcPr>
          <w:p w14:paraId="6426527B" w14:textId="3135B7CC" w:rsidR="001D563B" w:rsidRPr="00D457FF" w:rsidRDefault="001D563B" w:rsidP="00D457FF">
            <w:pPr>
              <w:spacing w:before="200" w:after="200"/>
              <w:rPr>
                <w:rFonts w:ascii="Calibri" w:eastAsia="Times New Roman" w:hAnsi="Calibri" w:cs="Calibri"/>
                <w:b/>
                <w:bCs/>
                <w:sz w:val="20"/>
                <w:szCs w:val="20"/>
              </w:rPr>
            </w:pPr>
            <w:r w:rsidRPr="00D457FF">
              <w:rPr>
                <w:rFonts w:ascii="Calibri" w:eastAsia="Times New Roman" w:hAnsi="Calibri" w:cs="Calibri"/>
                <w:b/>
                <w:bCs/>
                <w:sz w:val="20"/>
                <w:szCs w:val="20"/>
              </w:rPr>
              <w:t>Total</w:t>
            </w:r>
          </w:p>
        </w:tc>
        <w:tc>
          <w:tcPr>
            <w:tcW w:w="907" w:type="pct"/>
            <w:tcBorders>
              <w:bottom w:val="single" w:sz="4" w:space="0" w:color="auto"/>
            </w:tcBorders>
            <w:shd w:val="clear" w:color="auto" w:fill="D9D9D9" w:themeFill="background1" w:themeFillShade="D9"/>
            <w:hideMark/>
          </w:tcPr>
          <w:p w14:paraId="2D3730F2"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w:t>
            </w:r>
          </w:p>
        </w:tc>
        <w:tc>
          <w:tcPr>
            <w:tcW w:w="476" w:type="pct"/>
            <w:tcBorders>
              <w:bottom w:val="single" w:sz="4" w:space="0" w:color="auto"/>
            </w:tcBorders>
            <w:shd w:val="clear" w:color="auto" w:fill="D9D9D9" w:themeFill="background1" w:themeFillShade="D9"/>
            <w:hideMark/>
          </w:tcPr>
          <w:p w14:paraId="395D7BD9"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409" w:type="pct"/>
            <w:tcBorders>
              <w:bottom w:val="single" w:sz="4" w:space="0" w:color="auto"/>
            </w:tcBorders>
            <w:shd w:val="clear" w:color="auto" w:fill="D9D9D9" w:themeFill="background1" w:themeFillShade="D9"/>
            <w:hideMark/>
          </w:tcPr>
          <w:p w14:paraId="5264F5B1"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w:t>
            </w:r>
          </w:p>
        </w:tc>
        <w:tc>
          <w:tcPr>
            <w:tcW w:w="651" w:type="pct"/>
            <w:tcBorders>
              <w:bottom w:val="single" w:sz="4" w:space="0" w:color="auto"/>
            </w:tcBorders>
            <w:shd w:val="clear" w:color="auto" w:fill="D9D9D9" w:themeFill="background1" w:themeFillShade="D9"/>
            <w:hideMark/>
          </w:tcPr>
          <w:p w14:paraId="06327A8B"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 </w:t>
            </w:r>
          </w:p>
        </w:tc>
        <w:tc>
          <w:tcPr>
            <w:tcW w:w="653" w:type="pct"/>
            <w:tcBorders>
              <w:bottom w:val="single" w:sz="4" w:space="0" w:color="auto"/>
            </w:tcBorders>
            <w:shd w:val="clear" w:color="auto" w:fill="D9D9D9" w:themeFill="background1" w:themeFillShade="D9"/>
            <w:hideMark/>
          </w:tcPr>
          <w:p w14:paraId="5993E7E8" w14:textId="77777777" w:rsidR="001D563B" w:rsidRPr="00D457FF" w:rsidRDefault="001D563B" w:rsidP="00D457FF">
            <w:pPr>
              <w:spacing w:before="200" w:after="200"/>
              <w:jc w:val="right"/>
              <w:rPr>
                <w:rFonts w:ascii="Calibri" w:eastAsia="Times New Roman" w:hAnsi="Calibri" w:cs="Calibri"/>
                <w:b/>
                <w:bCs/>
                <w:sz w:val="20"/>
                <w:szCs w:val="20"/>
              </w:rPr>
            </w:pPr>
            <w:r w:rsidRPr="00D457FF">
              <w:rPr>
                <w:rFonts w:ascii="Calibri" w:eastAsia="Times New Roman" w:hAnsi="Calibri" w:cs="Calibri"/>
                <w:b/>
                <w:bCs/>
                <w:sz w:val="20"/>
                <w:szCs w:val="20"/>
              </w:rPr>
              <w:t>400,000</w:t>
            </w:r>
          </w:p>
        </w:tc>
        <w:tc>
          <w:tcPr>
            <w:tcW w:w="476" w:type="pct"/>
            <w:tcBorders>
              <w:bottom w:val="single" w:sz="4" w:space="0" w:color="auto"/>
            </w:tcBorders>
            <w:shd w:val="clear" w:color="auto" w:fill="D9D9D9" w:themeFill="background1" w:themeFillShade="D9"/>
            <w:hideMark/>
          </w:tcPr>
          <w:p w14:paraId="1A349F14" w14:textId="77777777" w:rsidR="001D563B" w:rsidRPr="00D457FF" w:rsidRDefault="001D563B" w:rsidP="00D457FF">
            <w:pPr>
              <w:spacing w:before="200" w:after="200"/>
              <w:jc w:val="right"/>
              <w:rPr>
                <w:rFonts w:ascii="Calibri" w:eastAsia="Times New Roman" w:hAnsi="Calibri" w:cs="Calibri"/>
                <w:sz w:val="20"/>
                <w:szCs w:val="20"/>
              </w:rPr>
            </w:pPr>
            <w:r w:rsidRPr="00D457FF">
              <w:rPr>
                <w:rFonts w:ascii="Calibri" w:eastAsia="Times New Roman" w:hAnsi="Calibri" w:cs="Calibri"/>
                <w:sz w:val="20"/>
                <w:szCs w:val="20"/>
              </w:rPr>
              <w:t>75500</w:t>
            </w:r>
          </w:p>
        </w:tc>
        <w:tc>
          <w:tcPr>
            <w:tcW w:w="652" w:type="pct"/>
            <w:tcBorders>
              <w:bottom w:val="single" w:sz="4" w:space="0" w:color="auto"/>
            </w:tcBorders>
            <w:shd w:val="clear" w:color="auto" w:fill="D9D9D9" w:themeFill="background1" w:themeFillShade="D9"/>
            <w:hideMark/>
          </w:tcPr>
          <w:p w14:paraId="6FC7760A" w14:textId="77777777" w:rsidR="001D563B" w:rsidRPr="00D457FF" w:rsidRDefault="001D563B" w:rsidP="00D457FF">
            <w:pPr>
              <w:spacing w:before="200" w:after="200"/>
              <w:rPr>
                <w:rFonts w:ascii="Calibri" w:eastAsia="Times New Roman" w:hAnsi="Calibri" w:cs="Calibri"/>
                <w:sz w:val="20"/>
                <w:szCs w:val="20"/>
              </w:rPr>
            </w:pPr>
            <w:r w:rsidRPr="00D457FF">
              <w:rPr>
                <w:rFonts w:ascii="Calibri" w:eastAsia="Times New Roman" w:hAnsi="Calibri" w:cs="Calibri"/>
                <w:sz w:val="20"/>
                <w:szCs w:val="20"/>
              </w:rPr>
              <w:t>[…]</w:t>
            </w:r>
          </w:p>
        </w:tc>
      </w:tr>
      <w:tr w:rsidR="005214F1" w:rsidRPr="00D457FF" w14:paraId="7E532051" w14:textId="77777777" w:rsidTr="005214F1">
        <w:trPr>
          <w:trHeight w:val="345"/>
        </w:trPr>
        <w:tc>
          <w:tcPr>
            <w:tcW w:w="775" w:type="pct"/>
            <w:shd w:val="clear" w:color="auto" w:fill="auto"/>
          </w:tcPr>
          <w:p w14:paraId="760FD591" w14:textId="77777777" w:rsidR="005214F1" w:rsidRPr="00D457FF" w:rsidRDefault="005214F1" w:rsidP="00D457FF">
            <w:pPr>
              <w:spacing w:before="200"/>
              <w:rPr>
                <w:rFonts w:ascii="Calibri" w:eastAsia="Times New Roman" w:hAnsi="Calibri" w:cs="Calibri"/>
                <w:b/>
                <w:bCs/>
                <w:sz w:val="20"/>
                <w:szCs w:val="20"/>
              </w:rPr>
            </w:pPr>
          </w:p>
        </w:tc>
        <w:tc>
          <w:tcPr>
            <w:tcW w:w="907" w:type="pct"/>
            <w:shd w:val="clear" w:color="auto" w:fill="auto"/>
          </w:tcPr>
          <w:p w14:paraId="58810CD1" w14:textId="026F4797" w:rsidR="005214F1" w:rsidRPr="00D457FF" w:rsidRDefault="005214F1" w:rsidP="00D457FF">
            <w:pPr>
              <w:spacing w:before="200"/>
              <w:rPr>
                <w:rFonts w:ascii="Calibri" w:eastAsia="Times New Roman" w:hAnsi="Calibri" w:cs="Calibri"/>
                <w:sz w:val="20"/>
                <w:szCs w:val="20"/>
              </w:rPr>
            </w:pPr>
            <w:r>
              <w:rPr>
                <w:rFonts w:ascii="Calibri" w:eastAsia="Times New Roman" w:hAnsi="Calibri" w:cs="Calibri"/>
                <w:b/>
                <w:bCs/>
                <w:color w:val="000000"/>
                <w:sz w:val="20"/>
                <w:szCs w:val="20"/>
              </w:rPr>
              <w:t>Total Project Cost</w:t>
            </w:r>
          </w:p>
        </w:tc>
        <w:tc>
          <w:tcPr>
            <w:tcW w:w="476" w:type="pct"/>
            <w:shd w:val="clear" w:color="auto" w:fill="auto"/>
          </w:tcPr>
          <w:p w14:paraId="69D59267" w14:textId="60010FFD" w:rsidR="005214F1" w:rsidRPr="00D457FF" w:rsidRDefault="005214F1" w:rsidP="00D457FF">
            <w:pPr>
              <w:spacing w:before="200"/>
              <w:rPr>
                <w:rFonts w:ascii="Calibri" w:eastAsia="Times New Roman" w:hAnsi="Calibri" w:cs="Calibri"/>
                <w:sz w:val="20"/>
                <w:szCs w:val="20"/>
              </w:rPr>
            </w:pPr>
          </w:p>
        </w:tc>
        <w:tc>
          <w:tcPr>
            <w:tcW w:w="409" w:type="pct"/>
            <w:shd w:val="clear" w:color="auto" w:fill="auto"/>
          </w:tcPr>
          <w:p w14:paraId="415E6983" w14:textId="4492490A" w:rsidR="005214F1" w:rsidRPr="00D457FF" w:rsidRDefault="005214F1" w:rsidP="00D457FF">
            <w:pPr>
              <w:spacing w:before="200"/>
              <w:rPr>
                <w:rFonts w:ascii="Calibri" w:eastAsia="Times New Roman" w:hAnsi="Calibri" w:cs="Calibri"/>
                <w:sz w:val="20"/>
                <w:szCs w:val="20"/>
              </w:rPr>
            </w:pPr>
          </w:p>
        </w:tc>
        <w:tc>
          <w:tcPr>
            <w:tcW w:w="651" w:type="pct"/>
            <w:shd w:val="clear" w:color="auto" w:fill="auto"/>
          </w:tcPr>
          <w:p w14:paraId="5E02963D" w14:textId="77777777" w:rsidR="005214F1" w:rsidRPr="00D457FF" w:rsidRDefault="005214F1" w:rsidP="00D457FF">
            <w:pPr>
              <w:spacing w:before="200"/>
              <w:rPr>
                <w:rFonts w:ascii="Calibri" w:eastAsia="Times New Roman" w:hAnsi="Calibri" w:cs="Calibri"/>
                <w:sz w:val="20"/>
                <w:szCs w:val="20"/>
              </w:rPr>
            </w:pPr>
          </w:p>
        </w:tc>
        <w:tc>
          <w:tcPr>
            <w:tcW w:w="653" w:type="pct"/>
            <w:shd w:val="clear" w:color="auto" w:fill="auto"/>
          </w:tcPr>
          <w:p w14:paraId="244A7F39" w14:textId="56539BE3" w:rsidR="005214F1" w:rsidRPr="00D457FF" w:rsidRDefault="005214F1" w:rsidP="00D457FF">
            <w:pPr>
              <w:spacing w:before="200"/>
              <w:jc w:val="right"/>
              <w:rPr>
                <w:rFonts w:ascii="Calibri" w:eastAsia="Times New Roman" w:hAnsi="Calibri" w:cs="Calibri"/>
                <w:b/>
                <w:bCs/>
                <w:sz w:val="20"/>
                <w:szCs w:val="20"/>
              </w:rPr>
            </w:pPr>
            <w:r w:rsidRPr="00D457FF">
              <w:rPr>
                <w:rFonts w:ascii="Calibri" w:eastAsia="Times New Roman" w:hAnsi="Calibri" w:cs="Calibri"/>
                <w:b/>
                <w:bCs/>
                <w:color w:val="000000"/>
                <w:sz w:val="20"/>
                <w:szCs w:val="20"/>
              </w:rPr>
              <w:t>475,500</w:t>
            </w:r>
          </w:p>
        </w:tc>
        <w:tc>
          <w:tcPr>
            <w:tcW w:w="476" w:type="pct"/>
            <w:shd w:val="clear" w:color="auto" w:fill="auto"/>
          </w:tcPr>
          <w:p w14:paraId="58FF781C" w14:textId="77777777" w:rsidR="005214F1" w:rsidRPr="00D457FF" w:rsidRDefault="005214F1" w:rsidP="00D457FF">
            <w:pPr>
              <w:spacing w:before="200"/>
              <w:jc w:val="right"/>
              <w:rPr>
                <w:rFonts w:ascii="Calibri" w:eastAsia="Times New Roman" w:hAnsi="Calibri" w:cs="Calibri"/>
                <w:sz w:val="20"/>
                <w:szCs w:val="20"/>
              </w:rPr>
            </w:pPr>
          </w:p>
        </w:tc>
        <w:tc>
          <w:tcPr>
            <w:tcW w:w="652" w:type="pct"/>
            <w:shd w:val="clear" w:color="auto" w:fill="auto"/>
          </w:tcPr>
          <w:p w14:paraId="5BAFB22C" w14:textId="77777777" w:rsidR="005214F1" w:rsidRPr="00D457FF" w:rsidRDefault="005214F1" w:rsidP="00D457FF">
            <w:pPr>
              <w:spacing w:before="200"/>
              <w:rPr>
                <w:rFonts w:ascii="Calibri" w:eastAsia="Times New Roman" w:hAnsi="Calibri" w:cs="Calibri"/>
                <w:sz w:val="20"/>
                <w:szCs w:val="20"/>
              </w:rPr>
            </w:pPr>
          </w:p>
        </w:tc>
      </w:tr>
    </w:tbl>
    <w:p w14:paraId="6BB1A515" w14:textId="77777777" w:rsidR="001D563B" w:rsidRPr="00D457FF" w:rsidRDefault="001D563B" w:rsidP="00D457FF">
      <w:pPr>
        <w:pStyle w:val="ListParagraph"/>
        <w:shd w:val="clear" w:color="auto" w:fill="FFFFFF" w:themeFill="background1"/>
        <w:spacing w:before="200" w:line="240" w:lineRule="auto"/>
        <w:ind w:left="360"/>
        <w:contextualSpacing w:val="0"/>
        <w:jc w:val="both"/>
        <w:rPr>
          <w:b/>
          <w:sz w:val="20"/>
        </w:rPr>
      </w:pPr>
    </w:p>
    <w:p w14:paraId="6CAA836F" w14:textId="77777777" w:rsidR="001D563B" w:rsidRPr="00D457FF" w:rsidRDefault="001D563B" w:rsidP="00D457FF">
      <w:pPr>
        <w:spacing w:before="200"/>
        <w:rPr>
          <w:b/>
          <w:sz w:val="20"/>
        </w:rPr>
      </w:pPr>
      <w:r w:rsidRPr="00D457FF">
        <w:rPr>
          <w:b/>
          <w:sz w:val="20"/>
        </w:rPr>
        <w:br w:type="page"/>
      </w:r>
    </w:p>
    <w:p w14:paraId="0AF12010" w14:textId="21E5165C" w:rsidR="00E63255" w:rsidRPr="00EE471A" w:rsidRDefault="00CF2AA9" w:rsidP="00EE471A">
      <w:pPr>
        <w:pStyle w:val="Heading2"/>
      </w:pPr>
      <w:r w:rsidRPr="00EE471A">
        <w:lastRenderedPageBreak/>
        <w:t>Table 6</w:t>
      </w:r>
      <w:r w:rsidR="00B15A60" w:rsidRPr="00EE471A">
        <w:t xml:space="preserve">. </w:t>
      </w:r>
      <w:r w:rsidR="00D90CD2" w:rsidRPr="00EE471A">
        <w:t>Detailed Costs</w:t>
      </w:r>
    </w:p>
    <w:tbl>
      <w:tblPr>
        <w:tblStyle w:val="TableGrid"/>
        <w:tblW w:w="10170" w:type="dxa"/>
        <w:tblInd w:w="-105" w:type="dxa"/>
        <w:tblLook w:val="04A0" w:firstRow="1" w:lastRow="0" w:firstColumn="1" w:lastColumn="0" w:noHBand="0" w:noVBand="1"/>
        <w:tblCaption w:val="Detailed Costs"/>
      </w:tblPr>
      <w:tblGrid>
        <w:gridCol w:w="2700"/>
        <w:gridCol w:w="4410"/>
        <w:gridCol w:w="3060"/>
      </w:tblGrid>
      <w:tr w:rsidR="00BD0D79" w:rsidRPr="00D457FF" w14:paraId="5165EFC2" w14:textId="77777777" w:rsidTr="00CD3C2C">
        <w:trPr>
          <w:tblHeader/>
        </w:trPr>
        <w:tc>
          <w:tcPr>
            <w:tcW w:w="2700" w:type="dxa"/>
            <w:tcBorders>
              <w:top w:val="double" w:sz="4" w:space="0" w:color="auto"/>
              <w:left w:val="double" w:sz="4" w:space="0" w:color="auto"/>
            </w:tcBorders>
            <w:shd w:val="clear" w:color="auto" w:fill="D9D9D9" w:themeFill="background1" w:themeFillShade="D9"/>
          </w:tcPr>
          <w:p w14:paraId="5F67C739" w14:textId="77777777" w:rsidR="00E63255" w:rsidRPr="00D457FF" w:rsidRDefault="00E63255" w:rsidP="00D457FF">
            <w:pPr>
              <w:pStyle w:val="ListParagraph"/>
              <w:spacing w:before="200" w:after="200"/>
              <w:ind w:left="0"/>
              <w:contextualSpacing w:val="0"/>
              <w:jc w:val="both"/>
              <w:rPr>
                <w:b/>
                <w:sz w:val="20"/>
                <w:szCs w:val="20"/>
              </w:rPr>
            </w:pPr>
            <w:r w:rsidRPr="00D457FF">
              <w:rPr>
                <w:b/>
                <w:sz w:val="20"/>
                <w:szCs w:val="20"/>
              </w:rPr>
              <w:t>Category</w:t>
            </w:r>
          </w:p>
        </w:tc>
        <w:tc>
          <w:tcPr>
            <w:tcW w:w="4410" w:type="dxa"/>
            <w:tcBorders>
              <w:top w:val="double" w:sz="4" w:space="0" w:color="auto"/>
            </w:tcBorders>
            <w:shd w:val="clear" w:color="auto" w:fill="D9D9D9" w:themeFill="background1" w:themeFillShade="D9"/>
          </w:tcPr>
          <w:p w14:paraId="2B52C580" w14:textId="77777777" w:rsidR="00E63255" w:rsidRPr="00D457FF" w:rsidRDefault="00E63255" w:rsidP="00D457FF">
            <w:pPr>
              <w:pStyle w:val="ListParagraph"/>
              <w:spacing w:before="200" w:after="200"/>
              <w:ind w:left="0"/>
              <w:contextualSpacing w:val="0"/>
              <w:jc w:val="both"/>
              <w:rPr>
                <w:b/>
                <w:sz w:val="20"/>
                <w:szCs w:val="20"/>
              </w:rPr>
            </w:pPr>
            <w:r w:rsidRPr="00D457FF">
              <w:rPr>
                <w:b/>
                <w:sz w:val="20"/>
                <w:szCs w:val="20"/>
              </w:rPr>
              <w:t>Activity (please describe)</w:t>
            </w:r>
          </w:p>
        </w:tc>
        <w:tc>
          <w:tcPr>
            <w:tcW w:w="3060" w:type="dxa"/>
            <w:tcBorders>
              <w:top w:val="double" w:sz="4" w:space="0" w:color="auto"/>
              <w:right w:val="double" w:sz="4" w:space="0" w:color="auto"/>
            </w:tcBorders>
            <w:shd w:val="clear" w:color="auto" w:fill="D9D9D9" w:themeFill="background1" w:themeFillShade="D9"/>
          </w:tcPr>
          <w:p w14:paraId="216F99A4" w14:textId="77777777" w:rsidR="00E63255" w:rsidRPr="00D457FF" w:rsidRDefault="00E63255" w:rsidP="00D457FF">
            <w:pPr>
              <w:pStyle w:val="ListParagraph"/>
              <w:spacing w:before="200" w:after="200"/>
              <w:ind w:left="0"/>
              <w:contextualSpacing w:val="0"/>
              <w:jc w:val="both"/>
              <w:rPr>
                <w:b/>
                <w:sz w:val="20"/>
                <w:szCs w:val="20"/>
              </w:rPr>
            </w:pPr>
            <w:r w:rsidRPr="00D457FF">
              <w:rPr>
                <w:b/>
                <w:sz w:val="20"/>
                <w:szCs w:val="20"/>
              </w:rPr>
              <w:t>Total cost</w:t>
            </w:r>
          </w:p>
        </w:tc>
      </w:tr>
      <w:tr w:rsidR="003E2A3C" w:rsidRPr="00D457FF" w14:paraId="3803DA2D" w14:textId="77777777" w:rsidTr="003E2A3C">
        <w:tc>
          <w:tcPr>
            <w:tcW w:w="2700" w:type="dxa"/>
            <w:tcBorders>
              <w:left w:val="double" w:sz="4" w:space="0" w:color="auto"/>
              <w:bottom w:val="double" w:sz="4" w:space="0" w:color="FFFFFF"/>
            </w:tcBorders>
            <w:shd w:val="clear" w:color="auto" w:fill="FFFFFF" w:themeFill="background1"/>
          </w:tcPr>
          <w:p w14:paraId="4EABD4BF" w14:textId="77777777" w:rsidR="003E2A3C" w:rsidRPr="00D457FF" w:rsidRDefault="003E2A3C" w:rsidP="00D457FF">
            <w:pPr>
              <w:pStyle w:val="ListParagraph"/>
              <w:spacing w:before="200" w:after="200"/>
              <w:ind w:left="0"/>
              <w:contextualSpacing w:val="0"/>
              <w:jc w:val="both"/>
              <w:rPr>
                <w:b/>
                <w:sz w:val="20"/>
                <w:szCs w:val="20"/>
              </w:rPr>
            </w:pPr>
            <w:r w:rsidRPr="00D457FF">
              <w:rPr>
                <w:sz w:val="20"/>
                <w:szCs w:val="20"/>
              </w:rPr>
              <w:t>Inception activities</w:t>
            </w:r>
          </w:p>
        </w:tc>
        <w:tc>
          <w:tcPr>
            <w:tcW w:w="4410" w:type="dxa"/>
            <w:shd w:val="clear" w:color="auto" w:fill="FFFFFF" w:themeFill="background1"/>
          </w:tcPr>
          <w:p w14:paraId="6D4AB27A" w14:textId="77777777" w:rsidR="003E2A3C" w:rsidRPr="00D457FF" w:rsidRDefault="003E2A3C" w:rsidP="00D457FF">
            <w:pPr>
              <w:spacing w:before="200" w:after="200"/>
              <w:rPr>
                <w:b/>
                <w:sz w:val="20"/>
                <w:szCs w:val="20"/>
              </w:rPr>
            </w:pPr>
            <w:r w:rsidRPr="00D457FF">
              <w:rPr>
                <w:b/>
                <w:sz w:val="20"/>
                <w:szCs w:val="20"/>
              </w:rPr>
              <w:t xml:space="preserve">Activity 1 </w:t>
            </w:r>
          </w:p>
          <w:p w14:paraId="310D731D" w14:textId="65ADECC0" w:rsidR="003E2A3C" w:rsidRPr="00D457FF" w:rsidRDefault="003E2A3C" w:rsidP="00D457FF">
            <w:pPr>
              <w:pStyle w:val="ListParagraph"/>
              <w:spacing w:before="200" w:after="200"/>
              <w:ind w:left="0"/>
              <w:contextualSpacing w:val="0"/>
              <w:jc w:val="both"/>
              <w:rPr>
                <w:b/>
                <w:sz w:val="20"/>
                <w:szCs w:val="20"/>
              </w:rPr>
            </w:pPr>
            <w:r w:rsidRPr="00D457FF">
              <w:rPr>
                <w:sz w:val="20"/>
                <w:szCs w:val="20"/>
              </w:rPr>
              <w:t>Develop and conduct survey with UN staff and all partner organizations including DPOs, Government and civil society</w:t>
            </w:r>
          </w:p>
        </w:tc>
        <w:tc>
          <w:tcPr>
            <w:tcW w:w="3060" w:type="dxa"/>
            <w:shd w:val="clear" w:color="auto" w:fill="FFFFFF" w:themeFill="background1"/>
          </w:tcPr>
          <w:p w14:paraId="3AA2C744" w14:textId="77777777" w:rsidR="003E2A3C" w:rsidRPr="00D457FF" w:rsidRDefault="003E2A3C" w:rsidP="00D457FF">
            <w:pPr>
              <w:spacing w:before="200" w:after="200"/>
              <w:rPr>
                <w:b/>
                <w:sz w:val="20"/>
                <w:szCs w:val="20"/>
              </w:rPr>
            </w:pPr>
          </w:p>
          <w:p w14:paraId="6C05DD33" w14:textId="11C34B0E"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5,000</w:t>
            </w:r>
          </w:p>
        </w:tc>
      </w:tr>
      <w:tr w:rsidR="003E2A3C" w:rsidRPr="00D457FF" w14:paraId="21369D34" w14:textId="77777777" w:rsidTr="003E2A3C">
        <w:tc>
          <w:tcPr>
            <w:tcW w:w="2700" w:type="dxa"/>
            <w:tcBorders>
              <w:left w:val="double" w:sz="4" w:space="0" w:color="auto"/>
              <w:bottom w:val="double" w:sz="4" w:space="0" w:color="FFFFFF"/>
            </w:tcBorders>
            <w:shd w:val="clear" w:color="auto" w:fill="FFFFFF" w:themeFill="background1"/>
          </w:tcPr>
          <w:p w14:paraId="45F6F46B" w14:textId="77777777" w:rsidR="003E2A3C" w:rsidRPr="00D457FF" w:rsidRDefault="003E2A3C" w:rsidP="00D457FF">
            <w:pPr>
              <w:pStyle w:val="ListParagraph"/>
              <w:spacing w:before="200" w:after="200"/>
              <w:ind w:left="0"/>
              <w:contextualSpacing w:val="0"/>
              <w:jc w:val="both"/>
              <w:rPr>
                <w:sz w:val="20"/>
                <w:szCs w:val="20"/>
              </w:rPr>
            </w:pPr>
          </w:p>
        </w:tc>
        <w:tc>
          <w:tcPr>
            <w:tcW w:w="4410" w:type="dxa"/>
            <w:shd w:val="clear" w:color="auto" w:fill="FFFFFF" w:themeFill="background1"/>
          </w:tcPr>
          <w:p w14:paraId="5C607A75" w14:textId="77777777" w:rsidR="003E2A3C" w:rsidRPr="00D457FF" w:rsidRDefault="003E2A3C" w:rsidP="00D457FF">
            <w:pPr>
              <w:spacing w:before="200" w:after="200"/>
              <w:ind w:left="165" w:hanging="360"/>
              <w:rPr>
                <w:sz w:val="20"/>
                <w:szCs w:val="20"/>
              </w:rPr>
            </w:pPr>
            <w:r w:rsidRPr="00D457FF">
              <w:rPr>
                <w:b/>
                <w:color w:val="FFFFFF" w:themeColor="background1"/>
                <w:sz w:val="20"/>
                <w:szCs w:val="20"/>
              </w:rPr>
              <w:t>…</w:t>
            </w:r>
            <w:r w:rsidRPr="00D457FF">
              <w:rPr>
                <w:sz w:val="20"/>
                <w:szCs w:val="20"/>
              </w:rPr>
              <w:t xml:space="preserve"> </w:t>
            </w:r>
            <w:r w:rsidRPr="00D457FF">
              <w:rPr>
                <w:b/>
                <w:sz w:val="20"/>
                <w:szCs w:val="20"/>
              </w:rPr>
              <w:t>Activity 2</w:t>
            </w:r>
            <w:r w:rsidRPr="00D457FF">
              <w:rPr>
                <w:sz w:val="20"/>
                <w:szCs w:val="20"/>
              </w:rPr>
              <w:t xml:space="preserve"> </w:t>
            </w:r>
          </w:p>
          <w:p w14:paraId="2E0B7807" w14:textId="7C46CC3E" w:rsidR="003E2A3C" w:rsidRPr="00D457FF" w:rsidRDefault="003E2A3C" w:rsidP="00D457FF">
            <w:pPr>
              <w:pStyle w:val="ListParagraph"/>
              <w:spacing w:before="200" w:after="200"/>
              <w:ind w:left="0"/>
              <w:contextualSpacing w:val="0"/>
              <w:jc w:val="both"/>
              <w:rPr>
                <w:b/>
                <w:sz w:val="20"/>
                <w:szCs w:val="20"/>
              </w:rPr>
            </w:pPr>
            <w:r w:rsidRPr="00D457FF">
              <w:rPr>
                <w:sz w:val="20"/>
                <w:szCs w:val="20"/>
              </w:rPr>
              <w:t>Joint planning of project implementation involving UN, Government, organization DPOs and other partners, validation of draft M&amp;E framework, identification of total number of beneficiaries</w:t>
            </w:r>
          </w:p>
        </w:tc>
        <w:tc>
          <w:tcPr>
            <w:tcW w:w="3060" w:type="dxa"/>
            <w:shd w:val="clear" w:color="auto" w:fill="FFFFFF" w:themeFill="background1"/>
          </w:tcPr>
          <w:p w14:paraId="0C231947" w14:textId="77777777" w:rsidR="003E2A3C" w:rsidRPr="00D457FF" w:rsidRDefault="003E2A3C" w:rsidP="00D457FF">
            <w:pPr>
              <w:spacing w:before="200" w:after="200"/>
              <w:rPr>
                <w:b/>
                <w:sz w:val="20"/>
                <w:szCs w:val="20"/>
              </w:rPr>
            </w:pPr>
          </w:p>
          <w:p w14:paraId="09085F24" w14:textId="27941F32"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br/>
              <w:t>600</w:t>
            </w:r>
          </w:p>
        </w:tc>
      </w:tr>
      <w:tr w:rsidR="003E2A3C" w:rsidRPr="00D457FF" w14:paraId="1DE8F9DA" w14:textId="77777777" w:rsidTr="003E2A3C">
        <w:tc>
          <w:tcPr>
            <w:tcW w:w="2700" w:type="dxa"/>
            <w:tcBorders>
              <w:left w:val="double" w:sz="4" w:space="0" w:color="auto"/>
              <w:bottom w:val="double" w:sz="4" w:space="0" w:color="FFFFFF"/>
            </w:tcBorders>
            <w:shd w:val="clear" w:color="auto" w:fill="FFFFFF" w:themeFill="background1"/>
          </w:tcPr>
          <w:p w14:paraId="55D321F3" w14:textId="77777777" w:rsidR="003E2A3C" w:rsidRPr="00D457FF" w:rsidRDefault="003E2A3C" w:rsidP="00D457FF">
            <w:pPr>
              <w:pStyle w:val="ListParagraph"/>
              <w:spacing w:before="200" w:after="200"/>
              <w:ind w:left="0"/>
              <w:contextualSpacing w:val="0"/>
              <w:jc w:val="both"/>
              <w:rPr>
                <w:sz w:val="20"/>
                <w:szCs w:val="20"/>
              </w:rPr>
            </w:pPr>
          </w:p>
        </w:tc>
        <w:tc>
          <w:tcPr>
            <w:tcW w:w="4410" w:type="dxa"/>
            <w:shd w:val="clear" w:color="auto" w:fill="FFFFFF" w:themeFill="background1"/>
          </w:tcPr>
          <w:p w14:paraId="5F144539" w14:textId="2CFA894E" w:rsidR="00160248" w:rsidRPr="00D457FF" w:rsidRDefault="00160248" w:rsidP="00D457FF">
            <w:pPr>
              <w:spacing w:before="200" w:after="200"/>
              <w:ind w:left="165" w:hanging="360"/>
              <w:rPr>
                <w:sz w:val="20"/>
                <w:szCs w:val="20"/>
              </w:rPr>
            </w:pPr>
            <w:r w:rsidRPr="00D457FF">
              <w:rPr>
                <w:b/>
                <w:color w:val="FFFFFF" w:themeColor="background1"/>
                <w:sz w:val="20"/>
                <w:szCs w:val="20"/>
              </w:rPr>
              <w:t>…</w:t>
            </w:r>
            <w:r w:rsidRPr="00D457FF">
              <w:rPr>
                <w:sz w:val="20"/>
                <w:szCs w:val="20"/>
              </w:rPr>
              <w:t xml:space="preserve"> </w:t>
            </w:r>
            <w:r w:rsidRPr="00D457FF">
              <w:rPr>
                <w:b/>
                <w:sz w:val="20"/>
                <w:szCs w:val="20"/>
              </w:rPr>
              <w:t>Activity 3</w:t>
            </w:r>
          </w:p>
          <w:p w14:paraId="1FCA3B59" w14:textId="43165C63" w:rsidR="003E2A3C" w:rsidRPr="00D457FF" w:rsidRDefault="003E2A3C" w:rsidP="00D457FF">
            <w:pPr>
              <w:pStyle w:val="ListParagraph"/>
              <w:spacing w:before="200" w:after="200"/>
              <w:ind w:left="0"/>
              <w:contextualSpacing w:val="0"/>
              <w:jc w:val="both"/>
              <w:rPr>
                <w:b/>
                <w:sz w:val="20"/>
                <w:szCs w:val="20"/>
              </w:rPr>
            </w:pPr>
            <w:r w:rsidRPr="00D457FF">
              <w:rPr>
                <w:sz w:val="20"/>
                <w:szCs w:val="20"/>
              </w:rPr>
              <w:t>Workshops with UN and partners in collaboration with DPOs on CRPD and the HR approach to disability (including making available the related online-UNITAR course)</w:t>
            </w:r>
          </w:p>
        </w:tc>
        <w:tc>
          <w:tcPr>
            <w:tcW w:w="3060" w:type="dxa"/>
            <w:shd w:val="clear" w:color="auto" w:fill="FFFFFF" w:themeFill="background1"/>
          </w:tcPr>
          <w:p w14:paraId="17224A86" w14:textId="77777777" w:rsidR="003E2A3C" w:rsidRPr="00D457FF" w:rsidRDefault="003E2A3C" w:rsidP="00D457FF">
            <w:pPr>
              <w:spacing w:before="200" w:after="200"/>
              <w:rPr>
                <w:b/>
                <w:sz w:val="20"/>
                <w:szCs w:val="20"/>
              </w:rPr>
            </w:pPr>
          </w:p>
          <w:p w14:paraId="2C539788" w14:textId="1991A3CA"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8,400</w:t>
            </w:r>
          </w:p>
        </w:tc>
      </w:tr>
      <w:tr w:rsidR="003E2A3C" w:rsidRPr="00D457FF" w14:paraId="4DC9991F" w14:textId="77777777" w:rsidTr="003E2A3C">
        <w:tc>
          <w:tcPr>
            <w:tcW w:w="2700" w:type="dxa"/>
            <w:tcBorders>
              <w:left w:val="double" w:sz="4" w:space="0" w:color="auto"/>
              <w:bottom w:val="double" w:sz="4" w:space="0" w:color="FFFFFF"/>
            </w:tcBorders>
            <w:shd w:val="clear" w:color="auto" w:fill="FFFFFF" w:themeFill="background1"/>
          </w:tcPr>
          <w:p w14:paraId="082FCF39" w14:textId="77777777" w:rsidR="003E2A3C" w:rsidRPr="00D457FF" w:rsidRDefault="003E2A3C" w:rsidP="00D457FF">
            <w:pPr>
              <w:pStyle w:val="ListParagraph"/>
              <w:spacing w:before="200" w:after="200"/>
              <w:ind w:left="0"/>
              <w:contextualSpacing w:val="0"/>
              <w:jc w:val="both"/>
              <w:rPr>
                <w:sz w:val="20"/>
                <w:szCs w:val="20"/>
              </w:rPr>
            </w:pPr>
          </w:p>
        </w:tc>
        <w:tc>
          <w:tcPr>
            <w:tcW w:w="4410" w:type="dxa"/>
            <w:shd w:val="clear" w:color="auto" w:fill="FFFFFF" w:themeFill="background1"/>
          </w:tcPr>
          <w:p w14:paraId="4BE3112A" w14:textId="77777777" w:rsidR="003E2A3C" w:rsidRPr="00D457FF" w:rsidRDefault="003E2A3C" w:rsidP="00D457FF">
            <w:pPr>
              <w:spacing w:before="200" w:after="200"/>
              <w:jc w:val="both"/>
              <w:rPr>
                <w:b/>
                <w:sz w:val="20"/>
                <w:szCs w:val="20"/>
              </w:rPr>
            </w:pPr>
            <w:r w:rsidRPr="00D457FF">
              <w:rPr>
                <w:b/>
                <w:sz w:val="20"/>
                <w:szCs w:val="20"/>
              </w:rPr>
              <w:t>Activity 4</w:t>
            </w:r>
          </w:p>
          <w:p w14:paraId="2D2D71A2" w14:textId="611651DF" w:rsidR="003E2A3C" w:rsidRPr="00D457FF" w:rsidRDefault="003E2A3C" w:rsidP="00D457FF">
            <w:pPr>
              <w:pStyle w:val="ListParagraph"/>
              <w:spacing w:before="200" w:after="200"/>
              <w:ind w:left="0"/>
              <w:contextualSpacing w:val="0"/>
              <w:jc w:val="both"/>
              <w:rPr>
                <w:b/>
                <w:sz w:val="20"/>
                <w:szCs w:val="20"/>
              </w:rPr>
            </w:pPr>
            <w:r w:rsidRPr="00D457FF">
              <w:rPr>
                <w:sz w:val="20"/>
                <w:szCs w:val="20"/>
              </w:rPr>
              <w:t>Collection of baselines for project indicators</w:t>
            </w:r>
          </w:p>
        </w:tc>
        <w:tc>
          <w:tcPr>
            <w:tcW w:w="3060" w:type="dxa"/>
            <w:shd w:val="clear" w:color="auto" w:fill="FFFFFF" w:themeFill="background1"/>
          </w:tcPr>
          <w:p w14:paraId="034548B4" w14:textId="77777777" w:rsidR="003E2A3C" w:rsidRPr="00D457FF" w:rsidRDefault="003E2A3C" w:rsidP="00D457FF">
            <w:pPr>
              <w:spacing w:before="200" w:after="200"/>
              <w:rPr>
                <w:b/>
                <w:sz w:val="20"/>
                <w:szCs w:val="20"/>
              </w:rPr>
            </w:pPr>
          </w:p>
          <w:p w14:paraId="436D28F8" w14:textId="1402C1BA"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1,000</w:t>
            </w:r>
          </w:p>
        </w:tc>
      </w:tr>
      <w:tr w:rsidR="003E2A3C" w:rsidRPr="00D457FF" w14:paraId="67360087" w14:textId="77777777" w:rsidTr="003E2A3C">
        <w:tc>
          <w:tcPr>
            <w:tcW w:w="2700" w:type="dxa"/>
            <w:tcBorders>
              <w:left w:val="double" w:sz="4" w:space="0" w:color="auto"/>
              <w:bottom w:val="double" w:sz="4" w:space="0" w:color="FFFFFF"/>
            </w:tcBorders>
            <w:shd w:val="clear" w:color="auto" w:fill="FFFFFF" w:themeFill="background1"/>
          </w:tcPr>
          <w:p w14:paraId="0F05412F" w14:textId="77777777" w:rsidR="003E2A3C" w:rsidRPr="00D457FF" w:rsidRDefault="003E2A3C" w:rsidP="00D457FF">
            <w:pPr>
              <w:pStyle w:val="ListParagraph"/>
              <w:spacing w:before="200" w:after="200"/>
              <w:ind w:left="0"/>
              <w:contextualSpacing w:val="0"/>
              <w:jc w:val="both"/>
              <w:rPr>
                <w:sz w:val="20"/>
                <w:szCs w:val="20"/>
              </w:rPr>
            </w:pPr>
          </w:p>
        </w:tc>
        <w:tc>
          <w:tcPr>
            <w:tcW w:w="4410" w:type="dxa"/>
            <w:shd w:val="clear" w:color="auto" w:fill="FFFFFF" w:themeFill="background1"/>
          </w:tcPr>
          <w:p w14:paraId="304FBB25" w14:textId="77777777" w:rsidR="003E2A3C" w:rsidRPr="00D457FF" w:rsidRDefault="003E2A3C" w:rsidP="00D457FF">
            <w:pPr>
              <w:spacing w:before="200" w:after="200"/>
              <w:jc w:val="both"/>
              <w:rPr>
                <w:sz w:val="20"/>
                <w:szCs w:val="20"/>
              </w:rPr>
            </w:pPr>
            <w:r w:rsidRPr="00D457FF">
              <w:rPr>
                <w:sz w:val="20"/>
                <w:szCs w:val="20"/>
              </w:rPr>
              <w:t>Activity 5</w:t>
            </w:r>
          </w:p>
          <w:p w14:paraId="57A270D4" w14:textId="7DCB39D4" w:rsidR="003E2A3C" w:rsidRPr="00D457FF" w:rsidRDefault="003E2A3C" w:rsidP="00D457FF">
            <w:pPr>
              <w:pStyle w:val="ListParagraph"/>
              <w:spacing w:before="200" w:after="200"/>
              <w:ind w:left="0"/>
              <w:contextualSpacing w:val="0"/>
              <w:jc w:val="both"/>
              <w:rPr>
                <w:sz w:val="20"/>
                <w:szCs w:val="20"/>
              </w:rPr>
            </w:pPr>
            <w:r w:rsidRPr="00D457FF">
              <w:rPr>
                <w:sz w:val="20"/>
                <w:szCs w:val="20"/>
              </w:rPr>
              <w:t>Desk review of rights and the situation of persons with disabilities in Timor-Leste, and globally</w:t>
            </w:r>
          </w:p>
        </w:tc>
        <w:tc>
          <w:tcPr>
            <w:tcW w:w="3060" w:type="dxa"/>
            <w:shd w:val="clear" w:color="auto" w:fill="FFFFFF" w:themeFill="background1"/>
          </w:tcPr>
          <w:p w14:paraId="0DCF5D2B" w14:textId="763DB502"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0</w:t>
            </w:r>
          </w:p>
        </w:tc>
      </w:tr>
      <w:tr w:rsidR="003E2A3C" w:rsidRPr="00D457FF" w14:paraId="51ACAE76" w14:textId="77777777" w:rsidTr="003E2A3C">
        <w:tc>
          <w:tcPr>
            <w:tcW w:w="2700" w:type="dxa"/>
            <w:tcBorders>
              <w:top w:val="double" w:sz="4" w:space="0" w:color="FFFFFF"/>
              <w:left w:val="double" w:sz="4" w:space="0" w:color="auto"/>
              <w:bottom w:val="double" w:sz="4" w:space="0" w:color="FFFFFF"/>
            </w:tcBorders>
            <w:shd w:val="clear" w:color="auto" w:fill="FFFFFF" w:themeFill="background1"/>
          </w:tcPr>
          <w:p w14:paraId="06D5B283"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shd w:val="clear" w:color="auto" w:fill="FFFFFF" w:themeFill="background1"/>
          </w:tcPr>
          <w:p w14:paraId="78766D7A" w14:textId="77777777" w:rsidR="003E2A3C" w:rsidRPr="00D457FF" w:rsidRDefault="003E2A3C" w:rsidP="00D457FF">
            <w:pPr>
              <w:spacing w:before="200" w:after="200"/>
              <w:jc w:val="both"/>
              <w:rPr>
                <w:b/>
                <w:sz w:val="20"/>
                <w:szCs w:val="20"/>
              </w:rPr>
            </w:pPr>
            <w:r w:rsidRPr="00D457FF">
              <w:rPr>
                <w:b/>
                <w:sz w:val="20"/>
                <w:szCs w:val="20"/>
              </w:rPr>
              <w:t>Activity 6</w:t>
            </w:r>
          </w:p>
          <w:p w14:paraId="4F2E0DFA" w14:textId="7252DE13" w:rsidR="003E2A3C" w:rsidRPr="00D457FF" w:rsidRDefault="003E2A3C" w:rsidP="00D457FF">
            <w:pPr>
              <w:pStyle w:val="ListParagraph"/>
              <w:spacing w:before="200" w:after="200"/>
              <w:ind w:left="0"/>
              <w:contextualSpacing w:val="0"/>
              <w:jc w:val="both"/>
              <w:rPr>
                <w:b/>
                <w:sz w:val="20"/>
                <w:szCs w:val="20"/>
              </w:rPr>
            </w:pPr>
            <w:r w:rsidRPr="00D457FF">
              <w:rPr>
                <w:sz w:val="20"/>
                <w:szCs w:val="20"/>
              </w:rPr>
              <w:t>Accessibility audit of UN compound by DPOs</w:t>
            </w:r>
          </w:p>
        </w:tc>
        <w:tc>
          <w:tcPr>
            <w:tcW w:w="3060" w:type="dxa"/>
            <w:shd w:val="clear" w:color="auto" w:fill="FFFFFF" w:themeFill="background1"/>
          </w:tcPr>
          <w:p w14:paraId="48CEAB5D" w14:textId="77777777" w:rsidR="003E2A3C" w:rsidRPr="00D457FF" w:rsidRDefault="003E2A3C" w:rsidP="00D457FF">
            <w:pPr>
              <w:spacing w:before="200" w:after="200"/>
              <w:rPr>
                <w:b/>
                <w:sz w:val="20"/>
                <w:szCs w:val="20"/>
              </w:rPr>
            </w:pPr>
          </w:p>
          <w:p w14:paraId="34DB071D" w14:textId="3B90FD1E"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0</w:t>
            </w:r>
          </w:p>
        </w:tc>
      </w:tr>
      <w:tr w:rsidR="003E2A3C" w:rsidRPr="00D457FF" w14:paraId="13921CDB" w14:textId="77777777" w:rsidTr="00CD3C2C">
        <w:tc>
          <w:tcPr>
            <w:tcW w:w="2700" w:type="dxa"/>
            <w:tcBorders>
              <w:top w:val="double" w:sz="4" w:space="0" w:color="auto"/>
              <w:left w:val="double" w:sz="4" w:space="0" w:color="auto"/>
              <w:bottom w:val="double" w:sz="4" w:space="0" w:color="FFFFFF"/>
            </w:tcBorders>
          </w:tcPr>
          <w:p w14:paraId="251EA45F" w14:textId="77777777" w:rsidR="003E2A3C" w:rsidRPr="00D457FF" w:rsidRDefault="003E2A3C" w:rsidP="00D457FF">
            <w:pPr>
              <w:pStyle w:val="ListParagraph"/>
              <w:spacing w:before="200" w:after="200"/>
              <w:ind w:left="0"/>
              <w:contextualSpacing w:val="0"/>
              <w:rPr>
                <w:sz w:val="20"/>
                <w:szCs w:val="20"/>
              </w:rPr>
            </w:pPr>
            <w:r w:rsidRPr="00D457FF">
              <w:rPr>
                <w:sz w:val="20"/>
                <w:szCs w:val="20"/>
              </w:rPr>
              <w:t>Monitoring and Evaluation</w:t>
            </w:r>
            <w:r w:rsidRPr="00D457FF">
              <w:rPr>
                <w:rStyle w:val="FootnoteReference"/>
                <w:sz w:val="20"/>
                <w:szCs w:val="20"/>
              </w:rPr>
              <w:footnoteReference w:id="32"/>
            </w:r>
            <w:r w:rsidRPr="00D457FF">
              <w:rPr>
                <w:sz w:val="20"/>
                <w:szCs w:val="20"/>
              </w:rPr>
              <w:t xml:space="preserve"> Costs</w:t>
            </w:r>
          </w:p>
          <w:p w14:paraId="239491C7"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top w:val="double" w:sz="4" w:space="0" w:color="auto"/>
            </w:tcBorders>
          </w:tcPr>
          <w:p w14:paraId="15A93ACA" w14:textId="1A199D8D" w:rsidR="003E2A3C" w:rsidRPr="00D457FF" w:rsidRDefault="003E2A3C" w:rsidP="00D457FF">
            <w:pPr>
              <w:pStyle w:val="ListParagraph"/>
              <w:spacing w:before="200" w:after="200"/>
              <w:ind w:left="0"/>
              <w:contextualSpacing w:val="0"/>
              <w:jc w:val="both"/>
              <w:rPr>
                <w:b/>
                <w:sz w:val="20"/>
                <w:szCs w:val="20"/>
              </w:rPr>
            </w:pPr>
            <w:r w:rsidRPr="00D457FF">
              <w:rPr>
                <w:sz w:val="20"/>
                <w:szCs w:val="20"/>
              </w:rPr>
              <w:t>Documentation of good practices</w:t>
            </w:r>
          </w:p>
        </w:tc>
        <w:tc>
          <w:tcPr>
            <w:tcW w:w="3060" w:type="dxa"/>
            <w:tcBorders>
              <w:top w:val="double" w:sz="4" w:space="0" w:color="auto"/>
              <w:right w:val="double" w:sz="4" w:space="0" w:color="auto"/>
            </w:tcBorders>
          </w:tcPr>
          <w:p w14:paraId="18411367" w14:textId="7C501BF1"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$6,300</w:t>
            </w:r>
          </w:p>
        </w:tc>
      </w:tr>
      <w:tr w:rsidR="003E2A3C" w:rsidRPr="00D457FF" w14:paraId="109E5E04" w14:textId="77777777" w:rsidTr="00CD3C2C">
        <w:tc>
          <w:tcPr>
            <w:tcW w:w="2700" w:type="dxa"/>
            <w:tcBorders>
              <w:top w:val="double" w:sz="4" w:space="0" w:color="FFFFFF"/>
              <w:left w:val="double" w:sz="4" w:space="0" w:color="auto"/>
              <w:bottom w:val="double" w:sz="4" w:space="0" w:color="FFFFFF"/>
            </w:tcBorders>
          </w:tcPr>
          <w:p w14:paraId="6769A724"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Pr>
          <w:p w14:paraId="5B3E0903" w14:textId="7E1BEA58" w:rsidR="003E2A3C" w:rsidRPr="00D457FF" w:rsidRDefault="003E2A3C" w:rsidP="00D457FF">
            <w:pPr>
              <w:pStyle w:val="ListParagraph"/>
              <w:spacing w:before="200" w:after="200"/>
              <w:ind w:left="0"/>
              <w:contextualSpacing w:val="0"/>
              <w:jc w:val="both"/>
              <w:rPr>
                <w:b/>
                <w:sz w:val="20"/>
                <w:szCs w:val="20"/>
              </w:rPr>
            </w:pPr>
            <w:r w:rsidRPr="00D457FF">
              <w:rPr>
                <w:sz w:val="20"/>
                <w:szCs w:val="20"/>
              </w:rPr>
              <w:t>Final independent evaluation</w:t>
            </w:r>
          </w:p>
        </w:tc>
        <w:tc>
          <w:tcPr>
            <w:tcW w:w="3060" w:type="dxa"/>
            <w:tcBorders>
              <w:right w:val="double" w:sz="4" w:space="0" w:color="auto"/>
            </w:tcBorders>
          </w:tcPr>
          <w:p w14:paraId="75EC985F" w14:textId="5BBCFD59"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$15,000</w:t>
            </w:r>
          </w:p>
        </w:tc>
      </w:tr>
      <w:tr w:rsidR="003E2A3C" w:rsidRPr="00D457FF" w14:paraId="34A8504C" w14:textId="77777777" w:rsidTr="00CD3C2C">
        <w:tc>
          <w:tcPr>
            <w:tcW w:w="2700" w:type="dxa"/>
            <w:tcBorders>
              <w:top w:val="double" w:sz="4" w:space="0" w:color="FFFFFF"/>
              <w:left w:val="double" w:sz="4" w:space="0" w:color="auto"/>
              <w:bottom w:val="double" w:sz="4" w:space="0" w:color="auto"/>
            </w:tcBorders>
          </w:tcPr>
          <w:p w14:paraId="26896957"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bottom w:val="double" w:sz="4" w:space="0" w:color="auto"/>
            </w:tcBorders>
          </w:tcPr>
          <w:p w14:paraId="009AF6B1" w14:textId="1ED84A1B" w:rsidR="003E2A3C" w:rsidRPr="00D457FF" w:rsidRDefault="003E2A3C" w:rsidP="00D457FF">
            <w:pPr>
              <w:pStyle w:val="ListParagraph"/>
              <w:spacing w:before="200" w:after="200"/>
              <w:ind w:left="0"/>
              <w:contextualSpacing w:val="0"/>
              <w:jc w:val="both"/>
              <w:rPr>
                <w:b/>
                <w:sz w:val="20"/>
                <w:szCs w:val="20"/>
              </w:rPr>
            </w:pPr>
            <w:r w:rsidRPr="00D457FF">
              <w:rPr>
                <w:sz w:val="20"/>
                <w:szCs w:val="20"/>
              </w:rPr>
              <w:t>Quarterly Steering Committee Meetings and Annual stakeholder meetings</w:t>
            </w:r>
          </w:p>
        </w:tc>
        <w:tc>
          <w:tcPr>
            <w:tcW w:w="3060" w:type="dxa"/>
            <w:tcBorders>
              <w:bottom w:val="double" w:sz="4" w:space="0" w:color="auto"/>
              <w:right w:val="double" w:sz="4" w:space="0" w:color="auto"/>
            </w:tcBorders>
          </w:tcPr>
          <w:p w14:paraId="53F68DBC" w14:textId="0DBEB759"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No cost (joint Agency funding)</w:t>
            </w:r>
          </w:p>
        </w:tc>
      </w:tr>
      <w:tr w:rsidR="003E2A3C" w:rsidRPr="00D457FF" w14:paraId="31E0AD70" w14:textId="77777777" w:rsidTr="00CD3C2C">
        <w:trPr>
          <w:trHeight w:val="645"/>
        </w:trPr>
        <w:tc>
          <w:tcPr>
            <w:tcW w:w="2700" w:type="dxa"/>
            <w:tcBorders>
              <w:top w:val="double" w:sz="4" w:space="0" w:color="auto"/>
              <w:left w:val="double" w:sz="4" w:space="0" w:color="auto"/>
              <w:bottom w:val="double" w:sz="4" w:space="0" w:color="FFFFFF"/>
            </w:tcBorders>
          </w:tcPr>
          <w:p w14:paraId="381D413C" w14:textId="77777777" w:rsidR="003E2A3C" w:rsidRPr="00D457FF" w:rsidRDefault="003E2A3C" w:rsidP="00D457FF">
            <w:pPr>
              <w:pStyle w:val="ListParagraph"/>
              <w:spacing w:before="200" w:after="200"/>
              <w:ind w:left="0"/>
              <w:contextualSpacing w:val="0"/>
              <w:rPr>
                <w:sz w:val="20"/>
                <w:szCs w:val="20"/>
              </w:rPr>
            </w:pPr>
            <w:r w:rsidRPr="00D457FF">
              <w:rPr>
                <w:sz w:val="20"/>
                <w:szCs w:val="20"/>
              </w:rPr>
              <w:lastRenderedPageBreak/>
              <w:t xml:space="preserve">Direct impact on empowerment of women and girls with disabilities </w:t>
            </w:r>
          </w:p>
          <w:p w14:paraId="555C7B87"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top w:val="double" w:sz="4" w:space="0" w:color="auto"/>
            </w:tcBorders>
          </w:tcPr>
          <w:p w14:paraId="57FBD6FD" w14:textId="51970198" w:rsidR="003E2A3C" w:rsidRPr="00D457FF" w:rsidRDefault="003E2A3C" w:rsidP="00D457FF">
            <w:pPr>
              <w:pStyle w:val="ListParagraph"/>
              <w:spacing w:before="200" w:after="200"/>
              <w:ind w:left="0"/>
              <w:contextualSpacing w:val="0"/>
              <w:jc w:val="both"/>
              <w:rPr>
                <w:sz w:val="20"/>
                <w:szCs w:val="20"/>
              </w:rPr>
            </w:pPr>
            <w:r w:rsidRPr="00D457FF">
              <w:rPr>
                <w:sz w:val="20"/>
                <w:szCs w:val="20"/>
              </w:rPr>
              <w:t>Capacity building for DPOs of women with disabilities on UN-CRPD and other treaty reporting</w:t>
            </w:r>
          </w:p>
        </w:tc>
        <w:tc>
          <w:tcPr>
            <w:tcW w:w="3060" w:type="dxa"/>
            <w:tcBorders>
              <w:top w:val="double" w:sz="4" w:space="0" w:color="auto"/>
              <w:right w:val="double" w:sz="4" w:space="0" w:color="auto"/>
            </w:tcBorders>
          </w:tcPr>
          <w:p w14:paraId="737385CB" w14:textId="6A35F8A2"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$2,000</w:t>
            </w:r>
          </w:p>
        </w:tc>
      </w:tr>
      <w:tr w:rsidR="003E2A3C" w:rsidRPr="00D457FF" w14:paraId="48A630C7" w14:textId="77777777" w:rsidTr="00CD3C2C">
        <w:tc>
          <w:tcPr>
            <w:tcW w:w="2700" w:type="dxa"/>
            <w:tcBorders>
              <w:top w:val="double" w:sz="4" w:space="0" w:color="FFFFFF"/>
              <w:left w:val="double" w:sz="4" w:space="0" w:color="auto"/>
              <w:bottom w:val="double" w:sz="4" w:space="0" w:color="FFFFFF"/>
            </w:tcBorders>
          </w:tcPr>
          <w:p w14:paraId="136A82B9"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Pr>
          <w:p w14:paraId="7AA99B4C" w14:textId="7E92C308" w:rsidR="003E2A3C" w:rsidRPr="00D457FF" w:rsidRDefault="003E2A3C" w:rsidP="00D457FF">
            <w:pPr>
              <w:pStyle w:val="ListParagraph"/>
              <w:spacing w:before="200" w:after="200"/>
              <w:ind w:left="0"/>
              <w:contextualSpacing w:val="0"/>
              <w:jc w:val="both"/>
              <w:rPr>
                <w:sz w:val="20"/>
                <w:szCs w:val="20"/>
              </w:rPr>
            </w:pPr>
            <w:r w:rsidRPr="00D457FF">
              <w:rPr>
                <w:sz w:val="20"/>
                <w:szCs w:val="20"/>
              </w:rPr>
              <w:t>Capacity building, including training and mentoring of women rights organizations and DPOs of women with disabilities</w:t>
            </w:r>
          </w:p>
          <w:p w14:paraId="7825AF4C" w14:textId="57B7A878" w:rsidR="003E2A3C" w:rsidRPr="00D457FF" w:rsidRDefault="003E2A3C" w:rsidP="00D457FF">
            <w:pPr>
              <w:pStyle w:val="ListParagraph"/>
              <w:spacing w:before="200" w:after="200"/>
              <w:ind w:left="0"/>
              <w:contextualSpacing w:val="0"/>
              <w:jc w:val="both"/>
              <w:rPr>
                <w:b/>
                <w:sz w:val="20"/>
                <w:szCs w:val="20"/>
              </w:rPr>
            </w:pPr>
            <w:r w:rsidRPr="00D457FF">
              <w:rPr>
                <w:sz w:val="20"/>
                <w:szCs w:val="20"/>
              </w:rPr>
              <w:t xml:space="preserve">to document, analyze, report on cases of GBV, and advocate for change. </w:t>
            </w:r>
          </w:p>
        </w:tc>
        <w:tc>
          <w:tcPr>
            <w:tcW w:w="3060" w:type="dxa"/>
            <w:tcBorders>
              <w:right w:val="double" w:sz="4" w:space="0" w:color="auto"/>
            </w:tcBorders>
          </w:tcPr>
          <w:p w14:paraId="58C2EA5F" w14:textId="59096792"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$9,000</w:t>
            </w:r>
          </w:p>
        </w:tc>
      </w:tr>
      <w:tr w:rsidR="003E2A3C" w:rsidRPr="00D457FF" w14:paraId="5CCCA877" w14:textId="77777777" w:rsidTr="00CD3C2C">
        <w:tc>
          <w:tcPr>
            <w:tcW w:w="2700" w:type="dxa"/>
            <w:tcBorders>
              <w:top w:val="double" w:sz="4" w:space="0" w:color="FFFFFF"/>
              <w:left w:val="double" w:sz="4" w:space="0" w:color="auto"/>
            </w:tcBorders>
          </w:tcPr>
          <w:p w14:paraId="2AAA1C35"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bottom w:val="single" w:sz="4" w:space="0" w:color="auto"/>
            </w:tcBorders>
          </w:tcPr>
          <w:p w14:paraId="5B08F5E5" w14:textId="769D7AC0" w:rsidR="003E2A3C" w:rsidRPr="00D457FF" w:rsidRDefault="003E2A3C" w:rsidP="00D457FF">
            <w:pPr>
              <w:pStyle w:val="ListParagraph"/>
              <w:spacing w:before="200" w:after="200"/>
              <w:ind w:left="0"/>
              <w:contextualSpacing w:val="0"/>
              <w:jc w:val="both"/>
              <w:rPr>
                <w:b/>
                <w:sz w:val="20"/>
                <w:szCs w:val="20"/>
              </w:rPr>
            </w:pPr>
            <w:r w:rsidRPr="00D457FF">
              <w:rPr>
                <w:sz w:val="20"/>
                <w:szCs w:val="20"/>
              </w:rPr>
              <w:t xml:space="preserve">Production of GBV toolkit adapting existing materials from other countries globally to be used for DB with CNR, DPOs, when addressing GBV, and Judiciary. </w:t>
            </w:r>
          </w:p>
        </w:tc>
        <w:tc>
          <w:tcPr>
            <w:tcW w:w="3060" w:type="dxa"/>
            <w:tcBorders>
              <w:bottom w:val="single" w:sz="4" w:space="0" w:color="auto"/>
              <w:right w:val="double" w:sz="4" w:space="0" w:color="auto"/>
            </w:tcBorders>
          </w:tcPr>
          <w:p w14:paraId="01CE2777" w14:textId="127AFE68"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$25,000</w:t>
            </w:r>
          </w:p>
        </w:tc>
      </w:tr>
      <w:tr w:rsidR="003E2A3C" w:rsidRPr="00D457FF" w14:paraId="1C425B4F" w14:textId="77777777" w:rsidTr="00CD3C2C">
        <w:tc>
          <w:tcPr>
            <w:tcW w:w="2700" w:type="dxa"/>
            <w:tcBorders>
              <w:left w:val="double" w:sz="4" w:space="0" w:color="auto"/>
            </w:tcBorders>
          </w:tcPr>
          <w:p w14:paraId="0D375D16"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top w:val="single" w:sz="4" w:space="0" w:color="auto"/>
              <w:bottom w:val="single" w:sz="4" w:space="0" w:color="auto"/>
            </w:tcBorders>
          </w:tcPr>
          <w:p w14:paraId="1FFADFA0" w14:textId="16B5E92D" w:rsidR="003E2A3C" w:rsidRPr="00D457FF" w:rsidRDefault="003E2A3C" w:rsidP="00D457FF">
            <w:pPr>
              <w:pStyle w:val="ListParagraph"/>
              <w:spacing w:before="200" w:after="200"/>
              <w:ind w:left="0"/>
              <w:contextualSpacing w:val="0"/>
              <w:jc w:val="both"/>
              <w:rPr>
                <w:sz w:val="20"/>
                <w:szCs w:val="20"/>
              </w:rPr>
            </w:pPr>
            <w:r w:rsidRPr="00D457FF">
              <w:rPr>
                <w:sz w:val="20"/>
                <w:szCs w:val="20"/>
              </w:rPr>
              <w:t>Capacity building of Judiciary working, by women-led DPOs and the UN, on GBV on the rights of persons with disabilities and how to integrate disability in their services.</w:t>
            </w:r>
            <w:r w:rsidR="00656125" w:rsidRPr="00D457FF">
              <w:rPr>
                <w:sz w:val="20"/>
                <w:szCs w:val="20"/>
              </w:rPr>
              <w:t xml:space="preserve"> </w:t>
            </w:r>
          </w:p>
        </w:tc>
        <w:tc>
          <w:tcPr>
            <w:tcW w:w="3060" w:type="dxa"/>
            <w:tcBorders>
              <w:top w:val="single" w:sz="4" w:space="0" w:color="auto"/>
              <w:bottom w:val="single" w:sz="4" w:space="0" w:color="auto"/>
              <w:right w:val="double" w:sz="4" w:space="0" w:color="auto"/>
            </w:tcBorders>
          </w:tcPr>
          <w:p w14:paraId="7661AD4D" w14:textId="78703279"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$16,500</w:t>
            </w:r>
          </w:p>
        </w:tc>
      </w:tr>
      <w:tr w:rsidR="003E2A3C" w:rsidRPr="00D457FF" w14:paraId="2D390280" w14:textId="77777777" w:rsidTr="00CD3C2C">
        <w:tc>
          <w:tcPr>
            <w:tcW w:w="2700" w:type="dxa"/>
            <w:tcBorders>
              <w:left w:val="double" w:sz="4" w:space="0" w:color="auto"/>
            </w:tcBorders>
          </w:tcPr>
          <w:p w14:paraId="73C31640"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top w:val="single" w:sz="4" w:space="0" w:color="auto"/>
              <w:bottom w:val="single" w:sz="4" w:space="0" w:color="auto"/>
            </w:tcBorders>
          </w:tcPr>
          <w:p w14:paraId="1E397E60" w14:textId="034D5202" w:rsidR="003E2A3C" w:rsidRPr="00D457FF" w:rsidRDefault="003E2A3C" w:rsidP="00D457FF">
            <w:pPr>
              <w:pStyle w:val="ListParagraph"/>
              <w:spacing w:before="200" w:after="200"/>
              <w:ind w:left="0"/>
              <w:contextualSpacing w:val="0"/>
              <w:jc w:val="both"/>
              <w:rPr>
                <w:sz w:val="20"/>
                <w:szCs w:val="20"/>
              </w:rPr>
            </w:pPr>
            <w:r w:rsidRPr="00D457FF">
              <w:rPr>
                <w:sz w:val="20"/>
                <w:szCs w:val="20"/>
              </w:rPr>
              <w:t>Public campaign led by DPOs, including of women with disabilities, on rights of PWD and addressing tolerance for violence against women with disabilities</w:t>
            </w:r>
          </w:p>
        </w:tc>
        <w:tc>
          <w:tcPr>
            <w:tcW w:w="3060" w:type="dxa"/>
            <w:tcBorders>
              <w:top w:val="single" w:sz="4" w:space="0" w:color="auto"/>
              <w:bottom w:val="single" w:sz="4" w:space="0" w:color="auto"/>
              <w:right w:val="double" w:sz="4" w:space="0" w:color="auto"/>
            </w:tcBorders>
          </w:tcPr>
          <w:p w14:paraId="1EB1FCB9" w14:textId="484FC88E"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$30,000</w:t>
            </w:r>
          </w:p>
        </w:tc>
      </w:tr>
      <w:tr w:rsidR="003E2A3C" w:rsidRPr="00D457FF" w14:paraId="0F2A15FF" w14:textId="77777777" w:rsidTr="00EC72FE">
        <w:tc>
          <w:tcPr>
            <w:tcW w:w="2700" w:type="dxa"/>
            <w:tcBorders>
              <w:left w:val="double" w:sz="4" w:space="0" w:color="auto"/>
              <w:bottom w:val="single" w:sz="4" w:space="0" w:color="auto"/>
            </w:tcBorders>
          </w:tcPr>
          <w:p w14:paraId="0A1E90DF"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top w:val="single" w:sz="4" w:space="0" w:color="auto"/>
              <w:bottom w:val="single" w:sz="4" w:space="0" w:color="auto"/>
            </w:tcBorders>
          </w:tcPr>
          <w:p w14:paraId="51A876BB" w14:textId="6B81B11C" w:rsidR="003E2A3C" w:rsidRPr="00D457FF" w:rsidRDefault="003E2A3C" w:rsidP="00D457FF">
            <w:pPr>
              <w:pStyle w:val="ListParagraph"/>
              <w:spacing w:before="200" w:after="200"/>
              <w:ind w:left="0"/>
              <w:contextualSpacing w:val="0"/>
              <w:jc w:val="both"/>
              <w:rPr>
                <w:sz w:val="20"/>
                <w:szCs w:val="20"/>
              </w:rPr>
            </w:pPr>
            <w:r w:rsidRPr="00D457FF">
              <w:rPr>
                <w:sz w:val="20"/>
                <w:szCs w:val="20"/>
              </w:rPr>
              <w:t>Capacity building for disability and gender responsive budgeting for institutions and DPOs of women with disabilities</w:t>
            </w:r>
          </w:p>
        </w:tc>
        <w:tc>
          <w:tcPr>
            <w:tcW w:w="3060" w:type="dxa"/>
            <w:tcBorders>
              <w:top w:val="single" w:sz="4" w:space="0" w:color="auto"/>
              <w:bottom w:val="single" w:sz="4" w:space="0" w:color="auto"/>
              <w:right w:val="double" w:sz="4" w:space="0" w:color="auto"/>
            </w:tcBorders>
          </w:tcPr>
          <w:p w14:paraId="46DFB4DB" w14:textId="69746273"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$7,500</w:t>
            </w:r>
          </w:p>
        </w:tc>
      </w:tr>
      <w:tr w:rsidR="003E2A3C" w:rsidRPr="00D457FF" w14:paraId="370C160C" w14:textId="77777777" w:rsidTr="00EC72FE">
        <w:tc>
          <w:tcPr>
            <w:tcW w:w="2700" w:type="dxa"/>
            <w:tcBorders>
              <w:top w:val="single" w:sz="4" w:space="0" w:color="auto"/>
              <w:left w:val="double" w:sz="4" w:space="0" w:color="auto"/>
              <w:bottom w:val="double" w:sz="4" w:space="0" w:color="auto"/>
            </w:tcBorders>
          </w:tcPr>
          <w:p w14:paraId="0C612F68"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top w:val="single" w:sz="4" w:space="0" w:color="auto"/>
              <w:bottom w:val="double" w:sz="4" w:space="0" w:color="auto"/>
            </w:tcBorders>
          </w:tcPr>
          <w:p w14:paraId="07646FE4" w14:textId="4792E4D5" w:rsidR="003E2A3C" w:rsidRPr="00D457FF" w:rsidRDefault="003E2A3C" w:rsidP="00D457FF">
            <w:pPr>
              <w:pStyle w:val="ListParagraph"/>
              <w:spacing w:before="200" w:after="200"/>
              <w:ind w:left="0"/>
              <w:contextualSpacing w:val="0"/>
              <w:jc w:val="both"/>
              <w:rPr>
                <w:sz w:val="20"/>
                <w:szCs w:val="20"/>
              </w:rPr>
            </w:pPr>
            <w:r w:rsidRPr="00D457FF">
              <w:rPr>
                <w:sz w:val="20"/>
                <w:szCs w:val="20"/>
              </w:rPr>
              <w:t>Training of trainers of DPOs, including women with disabilities</w:t>
            </w:r>
          </w:p>
        </w:tc>
        <w:tc>
          <w:tcPr>
            <w:tcW w:w="3060" w:type="dxa"/>
            <w:tcBorders>
              <w:top w:val="single" w:sz="4" w:space="0" w:color="auto"/>
              <w:bottom w:val="double" w:sz="4" w:space="0" w:color="auto"/>
              <w:right w:val="double" w:sz="4" w:space="0" w:color="auto"/>
            </w:tcBorders>
          </w:tcPr>
          <w:p w14:paraId="33253FC4" w14:textId="3FD7F95B"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$ 25,000</w:t>
            </w:r>
          </w:p>
        </w:tc>
      </w:tr>
      <w:tr w:rsidR="003E2A3C" w:rsidRPr="00D457FF" w14:paraId="6513A38D" w14:textId="77777777" w:rsidTr="00CD3C2C">
        <w:tc>
          <w:tcPr>
            <w:tcW w:w="2700" w:type="dxa"/>
            <w:tcBorders>
              <w:top w:val="double" w:sz="4" w:space="0" w:color="auto"/>
              <w:left w:val="double" w:sz="4" w:space="0" w:color="auto"/>
              <w:bottom w:val="double" w:sz="4" w:space="0" w:color="FFFFFF"/>
            </w:tcBorders>
          </w:tcPr>
          <w:p w14:paraId="3267CBD4" w14:textId="77777777" w:rsidR="003E2A3C" w:rsidRPr="00D457FF" w:rsidRDefault="003E2A3C" w:rsidP="00D457FF">
            <w:pPr>
              <w:pStyle w:val="ListParagraph"/>
              <w:spacing w:before="200" w:after="200"/>
              <w:ind w:left="0"/>
              <w:contextualSpacing w:val="0"/>
              <w:jc w:val="both"/>
              <w:rPr>
                <w:b/>
                <w:sz w:val="20"/>
                <w:szCs w:val="20"/>
              </w:rPr>
            </w:pPr>
            <w:r w:rsidRPr="00D457FF">
              <w:rPr>
                <w:sz w:val="20"/>
                <w:szCs w:val="20"/>
              </w:rPr>
              <w:t>Direct Impact on DPOs’ capacity</w:t>
            </w:r>
          </w:p>
        </w:tc>
        <w:tc>
          <w:tcPr>
            <w:tcW w:w="4410" w:type="dxa"/>
            <w:tcBorders>
              <w:top w:val="double" w:sz="4" w:space="0" w:color="auto"/>
            </w:tcBorders>
          </w:tcPr>
          <w:p w14:paraId="53035264" w14:textId="0EFE8ED0" w:rsidR="003E2A3C" w:rsidRPr="00D457FF" w:rsidRDefault="003E2A3C" w:rsidP="00D457FF">
            <w:pPr>
              <w:pStyle w:val="ListParagraph"/>
              <w:spacing w:before="200" w:after="200"/>
              <w:ind w:left="0"/>
              <w:contextualSpacing w:val="0"/>
              <w:jc w:val="both"/>
              <w:rPr>
                <w:b/>
                <w:sz w:val="20"/>
                <w:szCs w:val="20"/>
              </w:rPr>
            </w:pPr>
            <w:r w:rsidRPr="00D457FF">
              <w:rPr>
                <w:sz w:val="20"/>
                <w:szCs w:val="20"/>
              </w:rPr>
              <w:t>Capacity building for DPOs on UN-CRPD and other treaty reporting</w:t>
            </w:r>
          </w:p>
        </w:tc>
        <w:tc>
          <w:tcPr>
            <w:tcW w:w="3060" w:type="dxa"/>
            <w:tcBorders>
              <w:top w:val="double" w:sz="4" w:space="0" w:color="auto"/>
              <w:right w:val="double" w:sz="4" w:space="0" w:color="auto"/>
            </w:tcBorders>
          </w:tcPr>
          <w:p w14:paraId="417CA004" w14:textId="39CF5AB5"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w:t>
            </w:r>
            <w:r w:rsidR="00EC72FE" w:rsidRPr="00D457FF">
              <w:rPr>
                <w:b/>
                <w:sz w:val="20"/>
                <w:szCs w:val="20"/>
              </w:rPr>
              <w:t>2</w:t>
            </w:r>
            <w:r w:rsidRPr="00D457FF">
              <w:rPr>
                <w:b/>
                <w:sz w:val="20"/>
                <w:szCs w:val="20"/>
              </w:rPr>
              <w:t>,000</w:t>
            </w:r>
          </w:p>
        </w:tc>
      </w:tr>
      <w:tr w:rsidR="003E2A3C" w:rsidRPr="00D457FF" w14:paraId="6953E127" w14:textId="77777777" w:rsidTr="00CD3C2C">
        <w:tc>
          <w:tcPr>
            <w:tcW w:w="2700" w:type="dxa"/>
            <w:tcBorders>
              <w:top w:val="double" w:sz="4" w:space="0" w:color="FFFFFF"/>
              <w:left w:val="double" w:sz="4" w:space="0" w:color="auto"/>
              <w:bottom w:val="double" w:sz="4" w:space="0" w:color="FFFFFF"/>
            </w:tcBorders>
          </w:tcPr>
          <w:p w14:paraId="46DADE18"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Pr>
          <w:p w14:paraId="55871D5A" w14:textId="3D83A4E8" w:rsidR="003E2A3C" w:rsidRPr="00D457FF" w:rsidRDefault="003E2A3C" w:rsidP="00D457FF">
            <w:pPr>
              <w:pStyle w:val="ListParagraph"/>
              <w:spacing w:before="200" w:after="200"/>
              <w:ind w:left="0"/>
              <w:contextualSpacing w:val="0"/>
              <w:jc w:val="both"/>
              <w:rPr>
                <w:sz w:val="20"/>
                <w:szCs w:val="20"/>
              </w:rPr>
            </w:pPr>
            <w:r w:rsidRPr="00D457FF">
              <w:rPr>
                <w:sz w:val="20"/>
                <w:szCs w:val="20"/>
              </w:rPr>
              <w:t>Capacity building of legislators and DPOs on tool for legislative and policy review from disability perspective</w:t>
            </w:r>
          </w:p>
        </w:tc>
        <w:tc>
          <w:tcPr>
            <w:tcW w:w="3060" w:type="dxa"/>
            <w:tcBorders>
              <w:right w:val="double" w:sz="4" w:space="0" w:color="auto"/>
            </w:tcBorders>
          </w:tcPr>
          <w:p w14:paraId="3B7DEF58" w14:textId="7E5A3E2E"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$9,000</w:t>
            </w:r>
          </w:p>
        </w:tc>
      </w:tr>
      <w:tr w:rsidR="003E2A3C" w:rsidRPr="00D457FF" w14:paraId="3AC94B13" w14:textId="77777777" w:rsidTr="00CD3C2C">
        <w:tc>
          <w:tcPr>
            <w:tcW w:w="2700" w:type="dxa"/>
            <w:tcBorders>
              <w:top w:val="double" w:sz="4" w:space="0" w:color="FFFFFF"/>
              <w:left w:val="double" w:sz="4" w:space="0" w:color="auto"/>
            </w:tcBorders>
          </w:tcPr>
          <w:p w14:paraId="3D7639DB"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Pr>
          <w:p w14:paraId="7B965408" w14:textId="7C1062AF" w:rsidR="003E2A3C" w:rsidRPr="00D457FF" w:rsidRDefault="003E2A3C" w:rsidP="00D457FF">
            <w:pPr>
              <w:pStyle w:val="ListParagraph"/>
              <w:spacing w:before="200" w:after="200"/>
              <w:ind w:left="0"/>
              <w:contextualSpacing w:val="0"/>
              <w:jc w:val="both"/>
              <w:rPr>
                <w:b/>
                <w:sz w:val="20"/>
                <w:szCs w:val="20"/>
              </w:rPr>
            </w:pPr>
            <w:r w:rsidRPr="00D457FF">
              <w:rPr>
                <w:sz w:val="20"/>
                <w:szCs w:val="20"/>
              </w:rPr>
              <w:t>Workshops on legal analysis and advocacy for DPOs (and other partners)</w:t>
            </w:r>
          </w:p>
        </w:tc>
        <w:tc>
          <w:tcPr>
            <w:tcW w:w="3060" w:type="dxa"/>
            <w:tcBorders>
              <w:right w:val="double" w:sz="4" w:space="0" w:color="auto"/>
            </w:tcBorders>
          </w:tcPr>
          <w:p w14:paraId="5122B011" w14:textId="0B99CFA7"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$2,500</w:t>
            </w:r>
          </w:p>
        </w:tc>
      </w:tr>
      <w:tr w:rsidR="003E2A3C" w:rsidRPr="00D457FF" w14:paraId="62EC38E3" w14:textId="77777777" w:rsidTr="00CD3C2C">
        <w:tc>
          <w:tcPr>
            <w:tcW w:w="2700" w:type="dxa"/>
            <w:tcBorders>
              <w:left w:val="double" w:sz="4" w:space="0" w:color="auto"/>
            </w:tcBorders>
          </w:tcPr>
          <w:p w14:paraId="3D635599"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Pr>
          <w:p w14:paraId="26D7A37A" w14:textId="77E6F49C" w:rsidR="003E2A3C" w:rsidRPr="00D457FF" w:rsidRDefault="003E2A3C" w:rsidP="00D457FF">
            <w:pPr>
              <w:pStyle w:val="ListParagraph"/>
              <w:spacing w:before="200" w:after="200"/>
              <w:ind w:left="0"/>
              <w:contextualSpacing w:val="0"/>
              <w:jc w:val="both"/>
              <w:rPr>
                <w:sz w:val="20"/>
                <w:szCs w:val="20"/>
              </w:rPr>
            </w:pPr>
            <w:r w:rsidRPr="00D457FF">
              <w:rPr>
                <w:sz w:val="20"/>
                <w:szCs w:val="20"/>
              </w:rPr>
              <w:t xml:space="preserve">Production of GBV toolkit with DPOs (and other partners) adapting existing materials from other countries globally to be used for DB with CNR, </w:t>
            </w:r>
            <w:r w:rsidRPr="00D457FF">
              <w:rPr>
                <w:sz w:val="20"/>
                <w:szCs w:val="20"/>
              </w:rPr>
              <w:lastRenderedPageBreak/>
              <w:t xml:space="preserve">DPOs, when addressing GBV, and judiciary. </w:t>
            </w:r>
          </w:p>
        </w:tc>
        <w:tc>
          <w:tcPr>
            <w:tcW w:w="3060" w:type="dxa"/>
            <w:tcBorders>
              <w:right w:val="double" w:sz="4" w:space="0" w:color="auto"/>
            </w:tcBorders>
          </w:tcPr>
          <w:p w14:paraId="39A75171" w14:textId="72430924"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lastRenderedPageBreak/>
              <w:t>$25,000</w:t>
            </w:r>
          </w:p>
        </w:tc>
      </w:tr>
      <w:tr w:rsidR="003E2A3C" w:rsidRPr="00D457FF" w14:paraId="7B14503D" w14:textId="77777777" w:rsidTr="00CD3C2C">
        <w:tc>
          <w:tcPr>
            <w:tcW w:w="2700" w:type="dxa"/>
            <w:tcBorders>
              <w:left w:val="double" w:sz="4" w:space="0" w:color="auto"/>
            </w:tcBorders>
          </w:tcPr>
          <w:p w14:paraId="5751FC01"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bottom w:val="single" w:sz="4" w:space="0" w:color="auto"/>
            </w:tcBorders>
          </w:tcPr>
          <w:p w14:paraId="7F3DA5F9" w14:textId="17DA5498" w:rsidR="003E2A3C" w:rsidRPr="00D457FF" w:rsidRDefault="003E2A3C" w:rsidP="00D457FF">
            <w:pPr>
              <w:pStyle w:val="ListParagraph"/>
              <w:spacing w:before="200" w:after="200"/>
              <w:ind w:left="0"/>
              <w:contextualSpacing w:val="0"/>
              <w:jc w:val="both"/>
              <w:rPr>
                <w:b/>
                <w:sz w:val="20"/>
                <w:szCs w:val="20"/>
              </w:rPr>
            </w:pPr>
            <w:r w:rsidRPr="00D457FF">
              <w:rPr>
                <w:sz w:val="20"/>
                <w:szCs w:val="20"/>
              </w:rPr>
              <w:t>Capacity building, including training and mentoring of DPOs (and other partners) to document, analyze, report on cases of GBV, and advocate for change.</w:t>
            </w:r>
          </w:p>
        </w:tc>
        <w:tc>
          <w:tcPr>
            <w:tcW w:w="3060" w:type="dxa"/>
            <w:tcBorders>
              <w:bottom w:val="single" w:sz="4" w:space="0" w:color="auto"/>
              <w:right w:val="double" w:sz="4" w:space="0" w:color="auto"/>
            </w:tcBorders>
          </w:tcPr>
          <w:p w14:paraId="7B154C12" w14:textId="2DEC0F68"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$9,000</w:t>
            </w:r>
          </w:p>
        </w:tc>
      </w:tr>
      <w:tr w:rsidR="003E2A3C" w:rsidRPr="00D457FF" w14:paraId="156ABC6C" w14:textId="77777777" w:rsidTr="00CD3C2C">
        <w:tc>
          <w:tcPr>
            <w:tcW w:w="2700" w:type="dxa"/>
            <w:tcBorders>
              <w:left w:val="double" w:sz="4" w:space="0" w:color="auto"/>
            </w:tcBorders>
          </w:tcPr>
          <w:p w14:paraId="19DFDAF1"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bottom w:val="single" w:sz="4" w:space="0" w:color="auto"/>
            </w:tcBorders>
          </w:tcPr>
          <w:p w14:paraId="3BDF09D8" w14:textId="4F22F412" w:rsidR="003E2A3C" w:rsidRPr="00D457FF" w:rsidRDefault="003E2A3C" w:rsidP="00D457FF">
            <w:pPr>
              <w:pStyle w:val="ListParagraph"/>
              <w:spacing w:before="200" w:after="200"/>
              <w:ind w:left="0"/>
              <w:contextualSpacing w:val="0"/>
              <w:jc w:val="both"/>
              <w:rPr>
                <w:sz w:val="20"/>
                <w:szCs w:val="20"/>
              </w:rPr>
            </w:pPr>
            <w:r w:rsidRPr="00D457FF">
              <w:rPr>
                <w:sz w:val="20"/>
                <w:szCs w:val="20"/>
              </w:rPr>
              <w:t>Capacity building of Judiciary, jointly with DPOs, on GBV on the rights of persons with disabilities and how to integrate disability in justice services.</w:t>
            </w:r>
            <w:r w:rsidR="00656125" w:rsidRPr="00D457FF">
              <w:rPr>
                <w:sz w:val="20"/>
                <w:szCs w:val="20"/>
              </w:rPr>
              <w:t xml:space="preserve"> </w:t>
            </w:r>
          </w:p>
        </w:tc>
        <w:tc>
          <w:tcPr>
            <w:tcW w:w="3060" w:type="dxa"/>
            <w:tcBorders>
              <w:bottom w:val="single" w:sz="4" w:space="0" w:color="auto"/>
              <w:right w:val="double" w:sz="4" w:space="0" w:color="auto"/>
            </w:tcBorders>
          </w:tcPr>
          <w:p w14:paraId="76898971" w14:textId="2F4D2E40"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$16,500</w:t>
            </w:r>
          </w:p>
        </w:tc>
      </w:tr>
      <w:tr w:rsidR="003E2A3C" w:rsidRPr="00D457FF" w14:paraId="182D6D26" w14:textId="77777777" w:rsidTr="00CD3C2C">
        <w:tc>
          <w:tcPr>
            <w:tcW w:w="2700" w:type="dxa"/>
            <w:tcBorders>
              <w:left w:val="double" w:sz="4" w:space="0" w:color="auto"/>
            </w:tcBorders>
          </w:tcPr>
          <w:p w14:paraId="70BA0EA2"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bottom w:val="single" w:sz="4" w:space="0" w:color="auto"/>
            </w:tcBorders>
          </w:tcPr>
          <w:p w14:paraId="2CD03EB6" w14:textId="3EF4224B" w:rsidR="003E2A3C" w:rsidRPr="00D457FF" w:rsidRDefault="003E2A3C" w:rsidP="00D457FF">
            <w:pPr>
              <w:pStyle w:val="ListParagraph"/>
              <w:spacing w:before="200" w:after="200"/>
              <w:ind w:left="0"/>
              <w:contextualSpacing w:val="0"/>
              <w:jc w:val="both"/>
              <w:rPr>
                <w:sz w:val="20"/>
                <w:szCs w:val="20"/>
              </w:rPr>
            </w:pPr>
            <w:r w:rsidRPr="00D457FF">
              <w:rPr>
                <w:sz w:val="20"/>
                <w:szCs w:val="20"/>
              </w:rPr>
              <w:t>Public campaign – led by DPOs - on rights of PWD and addressing tolerance for violence against women with disabilities</w:t>
            </w:r>
          </w:p>
        </w:tc>
        <w:tc>
          <w:tcPr>
            <w:tcW w:w="3060" w:type="dxa"/>
            <w:tcBorders>
              <w:bottom w:val="single" w:sz="4" w:space="0" w:color="auto"/>
              <w:right w:val="double" w:sz="4" w:space="0" w:color="auto"/>
            </w:tcBorders>
          </w:tcPr>
          <w:p w14:paraId="4C028822" w14:textId="36D4774E"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$30,000</w:t>
            </w:r>
          </w:p>
        </w:tc>
      </w:tr>
      <w:tr w:rsidR="003E2A3C" w:rsidRPr="00D457FF" w14:paraId="60F6B1FC" w14:textId="77777777" w:rsidTr="00CD3C2C">
        <w:tc>
          <w:tcPr>
            <w:tcW w:w="2700" w:type="dxa"/>
            <w:tcBorders>
              <w:left w:val="double" w:sz="4" w:space="0" w:color="auto"/>
            </w:tcBorders>
          </w:tcPr>
          <w:p w14:paraId="76F768AA"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bottom w:val="single" w:sz="4" w:space="0" w:color="auto"/>
            </w:tcBorders>
          </w:tcPr>
          <w:p w14:paraId="0C774137" w14:textId="54C8F068" w:rsidR="003E2A3C" w:rsidRPr="00D457FF" w:rsidRDefault="003E2A3C" w:rsidP="00D457FF">
            <w:pPr>
              <w:pStyle w:val="ListParagraph"/>
              <w:spacing w:before="200" w:after="200"/>
              <w:ind w:left="0"/>
              <w:contextualSpacing w:val="0"/>
              <w:jc w:val="both"/>
              <w:rPr>
                <w:sz w:val="20"/>
                <w:szCs w:val="20"/>
              </w:rPr>
            </w:pPr>
            <w:r w:rsidRPr="00D457FF">
              <w:rPr>
                <w:sz w:val="20"/>
                <w:szCs w:val="20"/>
              </w:rPr>
              <w:t>Advocacy and socialization by DPOs and UN on the rights of persons with disabilities and GBV via the Basic Education Cluster (EBC) schools in Dili, IE Resource Centre, MOE and DPOs</w:t>
            </w:r>
          </w:p>
        </w:tc>
        <w:tc>
          <w:tcPr>
            <w:tcW w:w="3060" w:type="dxa"/>
            <w:tcBorders>
              <w:bottom w:val="single" w:sz="4" w:space="0" w:color="auto"/>
              <w:right w:val="double" w:sz="4" w:space="0" w:color="auto"/>
            </w:tcBorders>
          </w:tcPr>
          <w:p w14:paraId="560D8D68" w14:textId="29A21485"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$15,000</w:t>
            </w:r>
          </w:p>
        </w:tc>
      </w:tr>
      <w:tr w:rsidR="003E2A3C" w:rsidRPr="00D457FF" w14:paraId="1A17C99D" w14:textId="77777777" w:rsidTr="00CD3C2C">
        <w:tc>
          <w:tcPr>
            <w:tcW w:w="2700" w:type="dxa"/>
            <w:tcBorders>
              <w:left w:val="double" w:sz="4" w:space="0" w:color="auto"/>
              <w:bottom w:val="single" w:sz="4" w:space="0" w:color="auto"/>
            </w:tcBorders>
          </w:tcPr>
          <w:p w14:paraId="74A78314"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bottom w:val="single" w:sz="4" w:space="0" w:color="auto"/>
            </w:tcBorders>
          </w:tcPr>
          <w:p w14:paraId="595C82D6" w14:textId="74AC8057" w:rsidR="003E2A3C" w:rsidRPr="00D457FF" w:rsidRDefault="003E2A3C" w:rsidP="00D457FF">
            <w:pPr>
              <w:pStyle w:val="ListParagraph"/>
              <w:spacing w:before="200" w:after="200"/>
              <w:ind w:left="0"/>
              <w:contextualSpacing w:val="0"/>
              <w:jc w:val="both"/>
              <w:rPr>
                <w:sz w:val="20"/>
                <w:szCs w:val="20"/>
              </w:rPr>
            </w:pPr>
            <w:r w:rsidRPr="00D457FF">
              <w:rPr>
                <w:sz w:val="20"/>
                <w:szCs w:val="20"/>
              </w:rPr>
              <w:t>Capacity building with DPOs for disability and gender responsive budgeting for institutions and DPOs</w:t>
            </w:r>
          </w:p>
        </w:tc>
        <w:tc>
          <w:tcPr>
            <w:tcW w:w="3060" w:type="dxa"/>
            <w:tcBorders>
              <w:bottom w:val="single" w:sz="4" w:space="0" w:color="auto"/>
              <w:right w:val="double" w:sz="4" w:space="0" w:color="auto"/>
            </w:tcBorders>
          </w:tcPr>
          <w:p w14:paraId="4D142D39" w14:textId="18C48D8F"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$7,500</w:t>
            </w:r>
          </w:p>
        </w:tc>
      </w:tr>
      <w:tr w:rsidR="003E2A3C" w:rsidRPr="00D457FF" w14:paraId="562BA3C8" w14:textId="77777777" w:rsidTr="00CD3C2C">
        <w:tc>
          <w:tcPr>
            <w:tcW w:w="2700" w:type="dxa"/>
            <w:tcBorders>
              <w:top w:val="single" w:sz="4" w:space="0" w:color="auto"/>
              <w:left w:val="double" w:sz="4" w:space="0" w:color="auto"/>
              <w:bottom w:val="single" w:sz="4" w:space="0" w:color="auto"/>
            </w:tcBorders>
          </w:tcPr>
          <w:p w14:paraId="61505FAC"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top w:val="single" w:sz="4" w:space="0" w:color="auto"/>
              <w:bottom w:val="single" w:sz="4" w:space="0" w:color="auto"/>
            </w:tcBorders>
          </w:tcPr>
          <w:p w14:paraId="63732FD6" w14:textId="77777777" w:rsidR="003E2A3C" w:rsidRPr="00D457FF" w:rsidRDefault="003E2A3C" w:rsidP="00D457FF">
            <w:pPr>
              <w:pStyle w:val="ListParagraph"/>
              <w:spacing w:before="200" w:after="200"/>
              <w:ind w:left="0"/>
              <w:contextualSpacing w:val="0"/>
              <w:jc w:val="both"/>
              <w:rPr>
                <w:sz w:val="20"/>
                <w:szCs w:val="20"/>
              </w:rPr>
            </w:pPr>
            <w:r w:rsidRPr="00D457FF">
              <w:rPr>
                <w:sz w:val="20"/>
                <w:szCs w:val="20"/>
              </w:rPr>
              <w:t>Training of trainers of DPOs, including women with disabilities</w:t>
            </w:r>
          </w:p>
        </w:tc>
        <w:tc>
          <w:tcPr>
            <w:tcW w:w="3060" w:type="dxa"/>
            <w:tcBorders>
              <w:top w:val="single" w:sz="4" w:space="0" w:color="auto"/>
              <w:bottom w:val="single" w:sz="4" w:space="0" w:color="auto"/>
              <w:right w:val="double" w:sz="4" w:space="0" w:color="auto"/>
            </w:tcBorders>
          </w:tcPr>
          <w:p w14:paraId="54FF033A" w14:textId="39BC5677"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$25,000</w:t>
            </w:r>
          </w:p>
        </w:tc>
      </w:tr>
      <w:tr w:rsidR="003E2A3C" w:rsidRPr="00D457FF" w14:paraId="0577B29F" w14:textId="77777777" w:rsidTr="00CD3C2C">
        <w:tc>
          <w:tcPr>
            <w:tcW w:w="2700" w:type="dxa"/>
            <w:tcBorders>
              <w:top w:val="single" w:sz="4" w:space="0" w:color="auto"/>
              <w:left w:val="double" w:sz="4" w:space="0" w:color="auto"/>
              <w:bottom w:val="double" w:sz="4" w:space="0" w:color="auto"/>
            </w:tcBorders>
          </w:tcPr>
          <w:p w14:paraId="54D44E65" w14:textId="77777777" w:rsidR="003E2A3C" w:rsidRPr="00D457FF" w:rsidRDefault="003E2A3C" w:rsidP="00D457FF">
            <w:pPr>
              <w:pStyle w:val="ListParagraph"/>
              <w:spacing w:before="200" w:after="200"/>
              <w:ind w:left="0"/>
              <w:contextualSpacing w:val="0"/>
              <w:jc w:val="both"/>
              <w:rPr>
                <w:b/>
                <w:sz w:val="20"/>
                <w:szCs w:val="20"/>
              </w:rPr>
            </w:pPr>
          </w:p>
        </w:tc>
        <w:tc>
          <w:tcPr>
            <w:tcW w:w="4410" w:type="dxa"/>
            <w:tcBorders>
              <w:top w:val="single" w:sz="4" w:space="0" w:color="auto"/>
              <w:bottom w:val="double" w:sz="4" w:space="0" w:color="auto"/>
            </w:tcBorders>
          </w:tcPr>
          <w:p w14:paraId="6FD04DCF" w14:textId="016BDF79" w:rsidR="003E2A3C" w:rsidRPr="00D457FF" w:rsidRDefault="003E2A3C" w:rsidP="00D457FF">
            <w:pPr>
              <w:pStyle w:val="ListParagraph"/>
              <w:spacing w:before="200" w:after="200"/>
              <w:ind w:left="0"/>
              <w:contextualSpacing w:val="0"/>
              <w:jc w:val="both"/>
              <w:rPr>
                <w:sz w:val="20"/>
                <w:szCs w:val="20"/>
              </w:rPr>
            </w:pPr>
            <w:r w:rsidRPr="00D457FF">
              <w:rPr>
                <w:sz w:val="20"/>
                <w:szCs w:val="20"/>
              </w:rPr>
              <w:t>Technical support and mentoring together with DPOs to the Inclusive Education Resource Centre, Dili and MOE</w:t>
            </w:r>
          </w:p>
        </w:tc>
        <w:tc>
          <w:tcPr>
            <w:tcW w:w="3060" w:type="dxa"/>
            <w:tcBorders>
              <w:top w:val="single" w:sz="4" w:space="0" w:color="auto"/>
              <w:bottom w:val="double" w:sz="4" w:space="0" w:color="auto"/>
              <w:right w:val="double" w:sz="4" w:space="0" w:color="auto"/>
            </w:tcBorders>
          </w:tcPr>
          <w:p w14:paraId="2545E53A" w14:textId="2268D0DE" w:rsidR="003E2A3C" w:rsidRPr="00D457FF" w:rsidRDefault="003E2A3C" w:rsidP="00D457FF">
            <w:pPr>
              <w:pStyle w:val="ListParagraph"/>
              <w:spacing w:before="200" w:after="200"/>
              <w:ind w:left="0"/>
              <w:contextualSpacing w:val="0"/>
              <w:jc w:val="both"/>
              <w:rPr>
                <w:b/>
                <w:sz w:val="20"/>
                <w:szCs w:val="20"/>
              </w:rPr>
            </w:pPr>
            <w:r w:rsidRPr="00D457FF">
              <w:rPr>
                <w:b/>
                <w:sz w:val="20"/>
                <w:szCs w:val="20"/>
              </w:rPr>
              <w:t>$10,000</w:t>
            </w:r>
          </w:p>
        </w:tc>
      </w:tr>
      <w:tr w:rsidR="003E2A3C" w:rsidRPr="00D457FF" w14:paraId="2EA48A52" w14:textId="77777777" w:rsidTr="00CD3C2C">
        <w:tc>
          <w:tcPr>
            <w:tcW w:w="2700" w:type="dxa"/>
            <w:tcBorders>
              <w:left w:val="double" w:sz="4" w:space="0" w:color="auto"/>
              <w:bottom w:val="double" w:sz="4" w:space="0" w:color="auto"/>
            </w:tcBorders>
          </w:tcPr>
          <w:p w14:paraId="6A292F4C" w14:textId="3B1CE41D" w:rsidR="003E2A3C" w:rsidRPr="00D457FF" w:rsidRDefault="003E2A3C" w:rsidP="00D457FF">
            <w:pPr>
              <w:pStyle w:val="ListParagraph"/>
              <w:spacing w:before="200" w:after="200"/>
              <w:ind w:left="0"/>
              <w:contextualSpacing w:val="0"/>
              <w:jc w:val="both"/>
              <w:rPr>
                <w:b/>
                <w:sz w:val="20"/>
                <w:szCs w:val="20"/>
              </w:rPr>
            </w:pPr>
            <w:r w:rsidRPr="00D457FF">
              <w:rPr>
                <w:sz w:val="20"/>
                <w:szCs w:val="20"/>
              </w:rPr>
              <w:t>Accessibility costs</w:t>
            </w:r>
          </w:p>
        </w:tc>
        <w:tc>
          <w:tcPr>
            <w:tcW w:w="4410" w:type="dxa"/>
            <w:tcBorders>
              <w:bottom w:val="double" w:sz="4" w:space="0" w:color="auto"/>
            </w:tcBorders>
          </w:tcPr>
          <w:p w14:paraId="74A82A38" w14:textId="77777777" w:rsidR="003E2A3C" w:rsidRPr="00D457FF" w:rsidRDefault="003E2A3C" w:rsidP="00D457FF">
            <w:pPr>
              <w:pStyle w:val="ListParagraph"/>
              <w:spacing w:before="200" w:after="200"/>
              <w:ind w:left="0"/>
              <w:contextualSpacing w:val="0"/>
              <w:jc w:val="both"/>
              <w:rPr>
                <w:b/>
                <w:sz w:val="20"/>
                <w:szCs w:val="20"/>
              </w:rPr>
            </w:pPr>
            <w:r w:rsidRPr="00D457FF">
              <w:rPr>
                <w:sz w:val="20"/>
                <w:szCs w:val="20"/>
              </w:rPr>
              <w:t>Printing in braille and use of sign language during meetings and events.</w:t>
            </w:r>
          </w:p>
          <w:p w14:paraId="490864E7" w14:textId="4787EA8D" w:rsidR="003E2A3C" w:rsidRPr="00D457FF" w:rsidRDefault="003E2A3C" w:rsidP="00D457FF">
            <w:pPr>
              <w:pStyle w:val="ListParagraph"/>
              <w:spacing w:before="200" w:after="200"/>
              <w:ind w:left="0"/>
              <w:contextualSpacing w:val="0"/>
              <w:jc w:val="both"/>
              <w:rPr>
                <w:sz w:val="20"/>
                <w:szCs w:val="20"/>
              </w:rPr>
            </w:pPr>
          </w:p>
        </w:tc>
        <w:tc>
          <w:tcPr>
            <w:tcW w:w="3060" w:type="dxa"/>
            <w:tcBorders>
              <w:bottom w:val="double" w:sz="4" w:space="0" w:color="auto"/>
              <w:right w:val="double" w:sz="4" w:space="0" w:color="auto"/>
            </w:tcBorders>
          </w:tcPr>
          <w:p w14:paraId="6213DA24" w14:textId="443DF2CC" w:rsidR="003E2A3C" w:rsidRPr="00D457FF" w:rsidRDefault="001D563B" w:rsidP="00D457FF">
            <w:pPr>
              <w:pStyle w:val="ListParagraph"/>
              <w:spacing w:before="200" w:after="200"/>
              <w:ind w:left="0"/>
              <w:contextualSpacing w:val="0"/>
              <w:jc w:val="both"/>
              <w:rPr>
                <w:b/>
                <w:sz w:val="20"/>
                <w:szCs w:val="20"/>
              </w:rPr>
            </w:pPr>
            <w:r w:rsidRPr="00D457FF">
              <w:rPr>
                <w:b/>
                <w:sz w:val="20"/>
                <w:szCs w:val="20"/>
              </w:rPr>
              <w:t>6,000 for contracts with DPOs</w:t>
            </w:r>
          </w:p>
        </w:tc>
      </w:tr>
    </w:tbl>
    <w:p w14:paraId="2F5883B2" w14:textId="2EC14922" w:rsidR="007D3F07" w:rsidRPr="008C6FE3" w:rsidRDefault="007D3F07" w:rsidP="008C6FE3">
      <w:pPr>
        <w:spacing w:before="200" w:line="240" w:lineRule="auto"/>
        <w:jc w:val="both"/>
        <w:rPr>
          <w:sz w:val="20"/>
        </w:rPr>
      </w:pPr>
    </w:p>
    <w:sectPr w:rsidR="007D3F07" w:rsidRPr="008C6FE3" w:rsidSect="005214F1">
      <w:headerReference w:type="even" r:id="rId13"/>
      <w:headerReference w:type="default" r:id="rId14"/>
      <w:footerReference w:type="even" r:id="rId15"/>
      <w:footerReference w:type="default" r:id="rId16"/>
      <w:headerReference w:type="first" r:id="rId17"/>
      <w:footerReference w:type="first" r:id="rId18"/>
      <w:pgSz w:w="11906" w:h="16838" w:code="9"/>
      <w:pgMar w:top="1168" w:right="1134" w:bottom="1304"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5E259" w14:textId="77777777" w:rsidR="009144B0" w:rsidRDefault="009144B0" w:rsidP="00AE5E29">
      <w:pPr>
        <w:spacing w:after="0" w:line="240" w:lineRule="auto"/>
      </w:pPr>
      <w:r>
        <w:separator/>
      </w:r>
    </w:p>
  </w:endnote>
  <w:endnote w:type="continuationSeparator" w:id="0">
    <w:p w14:paraId="71832448" w14:textId="77777777" w:rsidR="009144B0" w:rsidRDefault="009144B0"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CB4E" w14:textId="77777777" w:rsidR="00656125" w:rsidRDefault="00656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77563178"/>
      <w:docPartObj>
        <w:docPartGallery w:val="Page Numbers (Bottom of Page)"/>
        <w:docPartUnique/>
      </w:docPartObj>
    </w:sdtPr>
    <w:sdtContent>
      <w:sdt>
        <w:sdtPr>
          <w:rPr>
            <w:sz w:val="20"/>
          </w:rPr>
          <w:id w:val="98381352"/>
          <w:docPartObj>
            <w:docPartGallery w:val="Page Numbers (Top of Page)"/>
            <w:docPartUnique/>
          </w:docPartObj>
        </w:sdtPr>
        <w:sdtContent>
          <w:p w14:paraId="7ED93B03" w14:textId="16022755" w:rsidR="00656125" w:rsidRPr="00656125" w:rsidRDefault="00656125" w:rsidP="00656125">
            <w:pPr>
              <w:pStyle w:val="Footer"/>
              <w:jc w:val="right"/>
            </w:pPr>
            <w:r w:rsidRPr="00656125">
              <w:rPr>
                <w:sz w:val="20"/>
              </w:rPr>
              <w:t xml:space="preserve">Page </w:t>
            </w:r>
            <w:r w:rsidRPr="00656125">
              <w:rPr>
                <w:b/>
                <w:bCs/>
                <w:sz w:val="20"/>
                <w:szCs w:val="24"/>
              </w:rPr>
              <w:fldChar w:fldCharType="begin"/>
            </w:r>
            <w:r w:rsidRPr="00656125">
              <w:rPr>
                <w:b/>
                <w:bCs/>
                <w:sz w:val="20"/>
              </w:rPr>
              <w:instrText xml:space="preserve"> PAGE </w:instrText>
            </w:r>
            <w:r w:rsidRPr="00656125">
              <w:rPr>
                <w:b/>
                <w:bCs/>
                <w:sz w:val="20"/>
                <w:szCs w:val="24"/>
              </w:rPr>
              <w:fldChar w:fldCharType="separate"/>
            </w:r>
            <w:r w:rsidR="00A33953">
              <w:rPr>
                <w:b/>
                <w:bCs/>
                <w:noProof/>
                <w:sz w:val="20"/>
              </w:rPr>
              <w:t>1</w:t>
            </w:r>
            <w:r w:rsidRPr="00656125">
              <w:rPr>
                <w:b/>
                <w:bCs/>
                <w:sz w:val="20"/>
                <w:szCs w:val="24"/>
              </w:rPr>
              <w:fldChar w:fldCharType="end"/>
            </w:r>
            <w:r w:rsidRPr="00656125">
              <w:rPr>
                <w:sz w:val="20"/>
              </w:rPr>
              <w:t xml:space="preserve"> of </w:t>
            </w:r>
            <w:r w:rsidRPr="00656125">
              <w:rPr>
                <w:b/>
                <w:bCs/>
                <w:sz w:val="20"/>
                <w:szCs w:val="24"/>
              </w:rPr>
              <w:fldChar w:fldCharType="begin"/>
            </w:r>
            <w:r w:rsidRPr="00656125">
              <w:rPr>
                <w:b/>
                <w:bCs/>
                <w:sz w:val="20"/>
              </w:rPr>
              <w:instrText xml:space="preserve"> NUMPAGES  </w:instrText>
            </w:r>
            <w:r w:rsidRPr="00656125">
              <w:rPr>
                <w:b/>
                <w:bCs/>
                <w:sz w:val="20"/>
                <w:szCs w:val="24"/>
              </w:rPr>
              <w:fldChar w:fldCharType="separate"/>
            </w:r>
            <w:r w:rsidR="00A33953">
              <w:rPr>
                <w:b/>
                <w:bCs/>
                <w:noProof/>
                <w:sz w:val="20"/>
              </w:rPr>
              <w:t>23</w:t>
            </w:r>
            <w:r w:rsidRPr="00656125">
              <w:rPr>
                <w:b/>
                <w:bCs/>
                <w:sz w:val="20"/>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D24E" w14:textId="77777777" w:rsidR="00656125" w:rsidRDefault="0065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33944" w14:textId="77777777" w:rsidR="009144B0" w:rsidRDefault="009144B0" w:rsidP="00AE5E29">
      <w:pPr>
        <w:spacing w:after="0" w:line="240" w:lineRule="auto"/>
      </w:pPr>
      <w:r>
        <w:separator/>
      </w:r>
    </w:p>
  </w:footnote>
  <w:footnote w:type="continuationSeparator" w:id="0">
    <w:p w14:paraId="795E272B" w14:textId="77777777" w:rsidR="009144B0" w:rsidRDefault="009144B0" w:rsidP="00AE5E29">
      <w:pPr>
        <w:spacing w:after="0" w:line="240" w:lineRule="auto"/>
      </w:pPr>
      <w:r>
        <w:continuationSeparator/>
      </w:r>
    </w:p>
  </w:footnote>
  <w:footnote w:id="1">
    <w:p w14:paraId="534F5300" w14:textId="68F20010"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The Timor-Leste Ministry of Finance, </w:t>
      </w:r>
      <w:r w:rsidRPr="00C809FB">
        <w:rPr>
          <w:rFonts w:cstheme="minorHAnsi"/>
          <w:i/>
        </w:rPr>
        <w:t>Fragility Assessme</w:t>
      </w:r>
      <w:r w:rsidRPr="00C809FB">
        <w:rPr>
          <w:rFonts w:cstheme="minorHAnsi"/>
        </w:rPr>
        <w:t>nt in Timor-Leste 2013 Summary Report (Ministry of Finance) found that all aspects of the state (from politics, security, justice, economics and revenue and services) have moved from crisis towards recovery and eventual transformation.</w:t>
      </w:r>
    </w:p>
  </w:footnote>
  <w:footnote w:id="2">
    <w:p w14:paraId="3A07EA72" w14:textId="465BA2FB" w:rsidR="00656125" w:rsidRPr="00C809FB" w:rsidRDefault="00656125" w:rsidP="00402846">
      <w:pPr>
        <w:spacing w:after="0" w:line="240" w:lineRule="auto"/>
        <w:jc w:val="both"/>
        <w:rPr>
          <w:rFonts w:cstheme="minorHAnsi"/>
          <w:sz w:val="20"/>
          <w:szCs w:val="20"/>
        </w:rPr>
      </w:pPr>
      <w:r w:rsidRPr="00C809FB">
        <w:rPr>
          <w:rStyle w:val="FootnoteReference"/>
          <w:rFonts w:cstheme="minorHAnsi"/>
          <w:sz w:val="20"/>
          <w:szCs w:val="20"/>
        </w:rPr>
        <w:footnoteRef/>
      </w:r>
      <w:r w:rsidRPr="00C809FB">
        <w:rPr>
          <w:rFonts w:cstheme="minorHAnsi"/>
          <w:sz w:val="20"/>
          <w:szCs w:val="20"/>
        </w:rPr>
        <w:t xml:space="preserve"> Constitution of the Democratic Republic of Timor-Leste of May 20, 2002, Articles 17 and 21.</w:t>
      </w:r>
    </w:p>
  </w:footnote>
  <w:footnote w:id="3">
    <w:p w14:paraId="732A6F12" w14:textId="785A263B"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Human Rights Council, National report submitted in accordance with paragraph 5 of the annex to Human Rights Council resolution 16/21*, Timor-Leste, A/HRC/WG.6/26/TLS/1, August 2016 (hereafter Government report for 2016 UPR). See also Human Rights Council, Report of the Working Group on the Universal Periodic Review</w:t>
      </w:r>
      <w:r w:rsidRPr="00C809FB">
        <w:rPr>
          <w:rStyle w:val="FootnoteReference"/>
          <w:rFonts w:cstheme="minorHAnsi"/>
          <w:b/>
        </w:rPr>
        <w:t>*</w:t>
      </w:r>
      <w:r w:rsidRPr="00C809FB">
        <w:rPr>
          <w:rFonts w:cstheme="minorHAnsi"/>
          <w:b/>
        </w:rPr>
        <w:t xml:space="preserve">, </w:t>
      </w:r>
      <w:r w:rsidRPr="00C809FB">
        <w:rPr>
          <w:rFonts w:cstheme="minorHAnsi"/>
        </w:rPr>
        <w:t>Timor-Leste, Addendum, A/HRC/19/17/Add.1, March 2012.</w:t>
      </w:r>
    </w:p>
  </w:footnote>
  <w:footnote w:id="4">
    <w:p w14:paraId="4FFCF8EF" w14:textId="7CB36F10" w:rsidR="00656125" w:rsidRPr="00C809FB" w:rsidRDefault="00656125" w:rsidP="00402846">
      <w:pPr>
        <w:pStyle w:val="FootnoteText"/>
        <w:jc w:val="both"/>
      </w:pPr>
      <w:r w:rsidRPr="00C809FB">
        <w:rPr>
          <w:rStyle w:val="FootnoteReference"/>
        </w:rPr>
        <w:footnoteRef/>
      </w:r>
      <w:r w:rsidRPr="00C809FB">
        <w:t xml:space="preserve"> Made by 27 States. This was the most made recommendation during the 2016 UPR, see A/HRC/34/11.</w:t>
      </w:r>
    </w:p>
  </w:footnote>
  <w:footnote w:id="5">
    <w:p w14:paraId="72BDBB13" w14:textId="706B8B56"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These include the 2011-2030 Strategic Development Plan, the 2017 Inclusive Education Policy, the 2014-2018 National Strategy for Prevention and Control of Non-Communicable Diseases, Injuries, Disabilities and Care of the Elderly, and the National Action Plan on the Rights of Persons with Disabilities (2014-2018), and the Incheon Strategy to “Make the Right Real” for Persons with Disabilities in Asia and the Pacific, 2012.</w:t>
      </w:r>
    </w:p>
  </w:footnote>
  <w:footnote w:id="6">
    <w:p w14:paraId="677C951A" w14:textId="0CE9C204"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See Government Resolution 34/2015 and Parliament Resolution 19/2015 adopting the SDGs, September and November 2015. Available on http://mj.gov.tl/jornal/?q=node/19.</w:t>
      </w:r>
    </w:p>
  </w:footnote>
  <w:footnote w:id="7">
    <w:p w14:paraId="7371190F" w14:textId="47AC8966" w:rsidR="00656125" w:rsidRPr="004849A5" w:rsidRDefault="00656125" w:rsidP="00402846">
      <w:pPr>
        <w:pStyle w:val="Header"/>
        <w:jc w:val="both"/>
        <w:rPr>
          <w:rFonts w:cstheme="minorHAnsi"/>
          <w:sz w:val="20"/>
          <w:szCs w:val="20"/>
          <w:lang w:val="en-GB"/>
        </w:rPr>
      </w:pPr>
      <w:r w:rsidRPr="00C809FB">
        <w:rPr>
          <w:rStyle w:val="FootnoteReference"/>
          <w:rFonts w:cstheme="minorHAnsi"/>
          <w:sz w:val="20"/>
          <w:szCs w:val="20"/>
        </w:rPr>
        <w:footnoteRef/>
      </w:r>
      <w:r w:rsidRPr="004849A5">
        <w:rPr>
          <w:rFonts w:cstheme="minorHAnsi"/>
          <w:sz w:val="20"/>
          <w:szCs w:val="20"/>
          <w:lang w:val="en-GB"/>
        </w:rPr>
        <w:t xml:space="preserve"> Government of Timor-Leste, Roadmap for the implementation of the 2013 agenda and the SDGs in Timor-Leste, May 2017.</w:t>
      </w:r>
      <w:r>
        <w:rPr>
          <w:rFonts w:cstheme="minorHAnsi"/>
          <w:sz w:val="20"/>
          <w:szCs w:val="20"/>
          <w:lang w:val="en-GB"/>
        </w:rPr>
        <w:t xml:space="preserve"> </w:t>
      </w:r>
      <w:r w:rsidRPr="004849A5">
        <w:rPr>
          <w:rFonts w:cstheme="minorHAnsi"/>
          <w:sz w:val="20"/>
          <w:szCs w:val="20"/>
          <w:lang w:val="en-GB"/>
        </w:rPr>
        <w:t>(Portuguese only)</w:t>
      </w:r>
    </w:p>
  </w:footnote>
  <w:footnote w:id="8">
    <w:p w14:paraId="2862B6F2" w14:textId="0048F09E"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Evaluation Team, Looking at the past, Plan for the Future, Report of Mid-T</w:t>
      </w:r>
      <w:r w:rsidRPr="00C809FB">
        <w:rPr>
          <w:rFonts w:cstheme="minorHAnsi"/>
          <w:lang w:val="en-GB"/>
        </w:rPr>
        <w:t>erm Review of the National Action Plan on Persons with Disabilities, October 2016. (full version in Tetum only)</w:t>
      </w:r>
    </w:p>
  </w:footnote>
  <w:footnote w:id="9">
    <w:p w14:paraId="29D591F2" w14:textId="07D3BC1D" w:rsidR="00656125" w:rsidRPr="00C809FB" w:rsidRDefault="00656125" w:rsidP="00402846">
      <w:pPr>
        <w:spacing w:after="0" w:line="240" w:lineRule="auto"/>
        <w:jc w:val="both"/>
        <w:rPr>
          <w:sz w:val="20"/>
          <w:szCs w:val="20"/>
        </w:rPr>
      </w:pPr>
      <w:r w:rsidRPr="00C809FB">
        <w:rPr>
          <w:rStyle w:val="FootnoteReference"/>
          <w:rFonts w:cstheme="minorHAnsi"/>
        </w:rPr>
        <w:footnoteRef/>
      </w:r>
      <w:r w:rsidRPr="00C809FB">
        <w:rPr>
          <w:rFonts w:cstheme="minorHAnsi"/>
          <w:sz w:val="20"/>
          <w:szCs w:val="20"/>
        </w:rPr>
        <w:t xml:space="preserve"> </w:t>
      </w:r>
      <w:r w:rsidRPr="00C809FB">
        <w:rPr>
          <w:sz w:val="20"/>
          <w:szCs w:val="20"/>
        </w:rPr>
        <w:t>Association for Disability Timor</w:t>
      </w:r>
      <w:r>
        <w:rPr>
          <w:sz w:val="20"/>
          <w:szCs w:val="20"/>
        </w:rPr>
        <w:t>-</w:t>
      </w:r>
      <w:r w:rsidRPr="00C809FB">
        <w:rPr>
          <w:sz w:val="20"/>
          <w:szCs w:val="20"/>
        </w:rPr>
        <w:t>Leste, “Submission from Member Organizations of the Association for Disability Timor</w:t>
      </w:r>
      <w:r>
        <w:rPr>
          <w:sz w:val="20"/>
          <w:szCs w:val="20"/>
        </w:rPr>
        <w:t>-</w:t>
      </w:r>
      <w:r w:rsidRPr="00C809FB">
        <w:rPr>
          <w:sz w:val="20"/>
          <w:szCs w:val="20"/>
        </w:rPr>
        <w:t>Leste to the 26</w:t>
      </w:r>
      <w:r w:rsidRPr="00C809FB">
        <w:rPr>
          <w:sz w:val="20"/>
          <w:szCs w:val="20"/>
          <w:vertAlign w:val="superscript"/>
        </w:rPr>
        <w:t>th</w:t>
      </w:r>
      <w:r w:rsidRPr="00C809FB">
        <w:rPr>
          <w:sz w:val="20"/>
          <w:szCs w:val="20"/>
        </w:rPr>
        <w:t xml:space="preserve"> Session of the Human Rights Council Universal Periodic Review Working Group” April 2016 (hereafter ADTL report to UPR, 2016)</w:t>
      </w:r>
      <w:r w:rsidRPr="00C809FB">
        <w:rPr>
          <w:rFonts w:cstheme="minorHAnsi"/>
          <w:sz w:val="20"/>
          <w:szCs w:val="20"/>
        </w:rPr>
        <w:t xml:space="preserve">. See also BESIK, Disability and Rural Water, Sanitation and Hygiene (RWASH) in Timor-Leste, 2010, and Ministry of Health, WHO, UNICEF, Health in the Family, Part of Comprehensive Primary Healthcare Package, Success Stories from the Field, 2017. </w:t>
      </w:r>
    </w:p>
  </w:footnote>
  <w:footnote w:id="10">
    <w:p w14:paraId="07B9D4E9" w14:textId="6D507B72"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United Nations Integrated Mission in Timor-Leste/Office of the High Commissioner for Human Rights, Of Course we Can, Report on the Rights of Persons with Disabilities in Timor-Leste, 2011 (hereafter UNMIT/OHCHR report, 2011) and Association for Disability Timor-Leste, report to the CEDAW Committee, 2015.</w:t>
      </w:r>
    </w:p>
  </w:footnote>
  <w:footnote w:id="11">
    <w:p w14:paraId="737BC6D8" w14:textId="5B77FEB6" w:rsidR="00656125" w:rsidRPr="00C809FB" w:rsidRDefault="00656125" w:rsidP="00402846">
      <w:pPr>
        <w:spacing w:after="0" w:line="240" w:lineRule="auto"/>
        <w:jc w:val="both"/>
        <w:rPr>
          <w:rFonts w:cstheme="minorHAnsi"/>
          <w:i/>
          <w:sz w:val="20"/>
          <w:szCs w:val="20"/>
          <w:lang w:val="en-GB"/>
        </w:rPr>
      </w:pPr>
      <w:r w:rsidRPr="00C809FB">
        <w:rPr>
          <w:rStyle w:val="FootnoteReference"/>
          <w:rFonts w:cstheme="minorHAnsi"/>
          <w:sz w:val="20"/>
          <w:szCs w:val="20"/>
        </w:rPr>
        <w:footnoteRef/>
      </w:r>
      <w:r w:rsidRPr="00C809FB">
        <w:rPr>
          <w:rFonts w:cstheme="minorHAnsi"/>
          <w:sz w:val="20"/>
          <w:szCs w:val="20"/>
        </w:rPr>
        <w:t xml:space="preserve"> </w:t>
      </w:r>
      <w:r w:rsidRPr="00C809FB">
        <w:rPr>
          <w:rFonts w:cstheme="minorHAnsi"/>
          <w:sz w:val="20"/>
          <w:szCs w:val="20"/>
          <w:lang w:val="en-GB"/>
        </w:rPr>
        <w:t>Ra’es Hadomi Timor Oan (RHTO), Submission of Ra’es Hadomi Timor Oan (RHTO), the national Disabled Person’s Organisation in Timor-Leste to the Pre-Sessional Working Group of the CEDAW Committee, 62</w:t>
      </w:r>
      <w:r w:rsidRPr="00C809FB">
        <w:rPr>
          <w:rFonts w:cstheme="minorHAnsi"/>
          <w:sz w:val="20"/>
          <w:szCs w:val="20"/>
          <w:vertAlign w:val="superscript"/>
          <w:lang w:val="en-GB"/>
        </w:rPr>
        <w:t>nd</w:t>
      </w:r>
      <w:r w:rsidRPr="00C809FB">
        <w:rPr>
          <w:rFonts w:cstheme="minorHAnsi"/>
          <w:sz w:val="20"/>
          <w:szCs w:val="20"/>
          <w:lang w:val="en-GB"/>
        </w:rPr>
        <w:t xml:space="preserve"> session. See also </w:t>
      </w:r>
      <w:r w:rsidRPr="00C809FB">
        <w:rPr>
          <w:rFonts w:cstheme="minorHAnsi"/>
          <w:sz w:val="20"/>
          <w:szCs w:val="20"/>
          <w:shd w:val="clear" w:color="auto" w:fill="FFFFFF"/>
        </w:rPr>
        <w:t>Lucy Ledger, “Access to maternal and newborn health service for women with disabilities in Timor-Leste” August 2016.</w:t>
      </w:r>
    </w:p>
  </w:footnote>
  <w:footnote w:id="12">
    <w:p w14:paraId="61CB782D" w14:textId="62E94060" w:rsidR="00656125" w:rsidRPr="00C809FB" w:rsidRDefault="00656125" w:rsidP="00402846">
      <w:pPr>
        <w:spacing w:after="0" w:line="240" w:lineRule="auto"/>
        <w:jc w:val="both"/>
        <w:rPr>
          <w:rFonts w:cstheme="minorHAnsi"/>
          <w:sz w:val="20"/>
          <w:szCs w:val="20"/>
        </w:rPr>
      </w:pPr>
      <w:r w:rsidRPr="00C809FB">
        <w:rPr>
          <w:rStyle w:val="FootnoteReference"/>
          <w:rFonts w:cstheme="minorHAnsi"/>
          <w:sz w:val="20"/>
          <w:szCs w:val="20"/>
        </w:rPr>
        <w:footnoteRef/>
      </w:r>
      <w:r>
        <w:rPr>
          <w:rFonts w:cstheme="minorHAnsi"/>
          <w:sz w:val="20"/>
          <w:szCs w:val="20"/>
        </w:rPr>
        <w:t xml:space="preserve"> </w:t>
      </w:r>
      <w:r w:rsidRPr="00C809FB">
        <w:rPr>
          <w:rFonts w:cstheme="minorHAnsi"/>
          <w:sz w:val="20"/>
          <w:szCs w:val="20"/>
        </w:rPr>
        <w:t>Government of Timor-Leste, Timor-Leste Population and Housing Census, 2015, Social and Economic Characteristics</w:t>
      </w:r>
      <w:r>
        <w:rPr>
          <w:rFonts w:cstheme="minorHAnsi"/>
          <w:sz w:val="20"/>
          <w:szCs w:val="20"/>
        </w:rPr>
        <w:t xml:space="preserve"> </w:t>
      </w:r>
      <w:r w:rsidRPr="00C809FB">
        <w:rPr>
          <w:rFonts w:cstheme="minorHAnsi"/>
          <w:sz w:val="20"/>
          <w:szCs w:val="20"/>
        </w:rPr>
        <w:t xml:space="preserve">- Volume 3 (Disability). </w:t>
      </w:r>
      <w:r>
        <w:rPr>
          <w:rFonts w:cstheme="minorHAnsi"/>
          <w:sz w:val="20"/>
          <w:szCs w:val="20"/>
          <w:lang w:val="en-GB"/>
        </w:rPr>
        <w:t>Percent</w:t>
      </w:r>
      <w:r w:rsidRPr="00C809FB">
        <w:rPr>
          <w:rFonts w:cstheme="minorHAnsi"/>
          <w:sz w:val="20"/>
          <w:szCs w:val="20"/>
          <w:lang w:val="en-GB"/>
        </w:rPr>
        <w:t xml:space="preserve"> of children over three years old with a disability who have not attended school</w:t>
      </w:r>
      <w:r>
        <w:rPr>
          <w:rFonts w:cstheme="minorHAnsi"/>
          <w:sz w:val="20"/>
          <w:szCs w:val="20"/>
          <w:lang w:val="en-GB"/>
        </w:rPr>
        <w:t>. [Disaggregation for sex not yet available].</w:t>
      </w:r>
    </w:p>
  </w:footnote>
  <w:footnote w:id="13">
    <w:p w14:paraId="5F2C2468" w14:textId="44BE51F0"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This is in line with recommendations by the CRC Committee to Timor-Leste from October 2015 and from the 2016 UPR on inclusive education for specific groups.</w:t>
      </w:r>
    </w:p>
  </w:footnote>
  <w:footnote w:id="14">
    <w:p w14:paraId="02BBD239" w14:textId="04EF9D24"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This in line with various recommendations on prevention and response to GBV made by the CEDAW Committee in 2015 and during the 2016 UPR.</w:t>
      </w:r>
    </w:p>
  </w:footnote>
  <w:footnote w:id="15">
    <w:p w14:paraId="0EFD73A3" w14:textId="3E9F97B1"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w:t>
      </w:r>
      <w:r w:rsidRPr="00C809FB">
        <w:t>The Asia Foundation, Understanding Violence Against Women and Children in Timor-Leste: Findings from the Nabilan Baseline Study – Main report, Dili, 2016.</w:t>
      </w:r>
    </w:p>
  </w:footnote>
  <w:footnote w:id="16">
    <w:p w14:paraId="635829DD" w14:textId="2E08E71F"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United Nations Special Rapporteur on Violence Against Women, Its Causes and Consequences, Report on Violence Against Women with Disabilities, 2012.</w:t>
      </w:r>
    </w:p>
  </w:footnote>
  <w:footnote w:id="17">
    <w:p w14:paraId="60345783" w14:textId="520611B7"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This is the second NAP on GBV with a timeframe of 2017-2021. It was launched in June 2017.</w:t>
      </w:r>
    </w:p>
  </w:footnote>
  <w:footnote w:id="18">
    <w:p w14:paraId="1C78EF03" w14:textId="52BE64B9"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Decree-Law 37/2012 on the National Rehabilitation Centre. (Portuguese only).</w:t>
      </w:r>
    </w:p>
  </w:footnote>
  <w:footnote w:id="19">
    <w:p w14:paraId="7A953A9C" w14:textId="3C2A1EE2"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ADTL report for UPR, 2016. See also UNMIT/OHCHR</w:t>
      </w:r>
      <w:r>
        <w:rPr>
          <w:rFonts w:cstheme="minorHAnsi"/>
        </w:rPr>
        <w:t xml:space="preserve"> </w:t>
      </w:r>
      <w:r w:rsidRPr="00C809FB">
        <w:rPr>
          <w:rFonts w:cstheme="minorHAnsi"/>
        </w:rPr>
        <w:t>report, 2011.</w:t>
      </w:r>
      <w:r>
        <w:rPr>
          <w:rFonts w:cstheme="minorHAnsi"/>
        </w:rPr>
        <w:t xml:space="preserve"> </w:t>
      </w:r>
    </w:p>
  </w:footnote>
  <w:footnote w:id="20">
    <w:p w14:paraId="180B0B20" w14:textId="1EB91770"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Government report for the 2016 UPR.</w:t>
      </w:r>
    </w:p>
  </w:footnote>
  <w:footnote w:id="21">
    <w:p w14:paraId="3BB926B9" w14:textId="469B2F96"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To the CEDAW and CRC Committees and for the UPR submitted between 2015 and 2016. All available on the OHCHR website.</w:t>
      </w:r>
    </w:p>
  </w:footnote>
  <w:footnote w:id="22">
    <w:p w14:paraId="39960ADC" w14:textId="4963ACF2"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As well as provision on equality and non-discrimination in other treaties ratified by Timor-Leste, including ICCPR, ICESCR, CRC, CEDAW.</w:t>
      </w:r>
    </w:p>
  </w:footnote>
  <w:footnote w:id="23">
    <w:p w14:paraId="51C3994F" w14:textId="258D96D2"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Ibid, as above, in particular ICCPR, CEDAW, CRC</w:t>
      </w:r>
    </w:p>
  </w:footnote>
  <w:footnote w:id="24">
    <w:p w14:paraId="7888DE77" w14:textId="6AC1F6DC"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As well as in the ICCPR, ICESCR, CEDAW and CRC.</w:t>
      </w:r>
    </w:p>
  </w:footnote>
  <w:footnote w:id="25">
    <w:p w14:paraId="7C12967B" w14:textId="1C275F50"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These efforts will build on previous efforts to promote CEDAW-compliant legislation.</w:t>
      </w:r>
    </w:p>
  </w:footnote>
  <w:footnote w:id="26">
    <w:p w14:paraId="21E98BA7" w14:textId="6173D82D" w:rsidR="00656125" w:rsidRPr="00C809FB" w:rsidRDefault="00656125" w:rsidP="00402846">
      <w:pPr>
        <w:pStyle w:val="FootnoteText"/>
        <w:jc w:val="both"/>
        <w:rPr>
          <w:rFonts w:cstheme="minorHAnsi"/>
        </w:rPr>
      </w:pPr>
      <w:r w:rsidRPr="00C809FB">
        <w:rPr>
          <w:rStyle w:val="FootnoteReference"/>
          <w:rFonts w:cstheme="minorHAnsi"/>
        </w:rPr>
        <w:footnoteRef/>
      </w:r>
      <w:r w:rsidRPr="00C809FB">
        <w:rPr>
          <w:rFonts w:cstheme="minorHAnsi"/>
        </w:rPr>
        <w:t xml:space="preserve"> In line with article 8 of CRPD. These efforts will be conducted together with Government, recognizing its obligation under art. 8, and in collaboration with DPOs.</w:t>
      </w:r>
    </w:p>
  </w:footnote>
  <w:footnote w:id="27">
    <w:p w14:paraId="05739EA9" w14:textId="2C912C90" w:rsidR="00656125" w:rsidRDefault="00656125">
      <w:pPr>
        <w:pStyle w:val="FootnoteText"/>
      </w:pPr>
      <w:r>
        <w:rPr>
          <w:rStyle w:val="FootnoteReference"/>
        </w:rPr>
        <w:footnoteRef/>
      </w:r>
      <w:r>
        <w:t xml:space="preserve"> European Union Agency for Fundamental Rights, Violence against children with disabilities: legislation, policies and programmes in the European Union, 2015</w:t>
      </w:r>
    </w:p>
  </w:footnote>
  <w:footnote w:id="28">
    <w:p w14:paraId="339F4CB3" w14:textId="77777777" w:rsidR="001C0682" w:rsidRDefault="001C0682" w:rsidP="001C0682">
      <w:pPr>
        <w:pStyle w:val="FootnoteText"/>
      </w:pPr>
      <w:r>
        <w:rPr>
          <w:rStyle w:val="FootnoteReference"/>
        </w:rPr>
        <w:footnoteRef/>
      </w:r>
      <w:r>
        <w:t xml:space="preserve"> Progress is expected on SDGs 4, 5, 10 and 16.</w:t>
      </w:r>
    </w:p>
  </w:footnote>
  <w:footnote w:id="29">
    <w:p w14:paraId="7290DFC5" w14:textId="77777777" w:rsidR="00656125" w:rsidRPr="0077105F" w:rsidRDefault="00656125" w:rsidP="00480612">
      <w:pPr>
        <w:pStyle w:val="FootnoteText"/>
        <w:rPr>
          <w:sz w:val="16"/>
          <w:szCs w:val="16"/>
        </w:rPr>
      </w:pPr>
      <w:r>
        <w:rPr>
          <w:rStyle w:val="FootnoteReference"/>
        </w:rPr>
        <w:footnoteRef/>
      </w:r>
      <w:r>
        <w:t xml:space="preserve"> </w:t>
      </w:r>
      <w:r w:rsidRPr="0077105F">
        <w:rPr>
          <w:sz w:val="16"/>
          <w:szCs w:val="16"/>
        </w:rPr>
        <w:t xml:space="preserve">Please specify here the type of lever of change to which each proposed outcome corresponds. With reference to Table 1, page 33 of the SOF, for each outcome select </w:t>
      </w:r>
      <w:r w:rsidRPr="0077105F">
        <w:rPr>
          <w:sz w:val="16"/>
          <w:szCs w:val="16"/>
          <w:u w:val="single"/>
        </w:rPr>
        <w:t>one</w:t>
      </w:r>
      <w:r w:rsidRPr="0077105F">
        <w:rPr>
          <w:sz w:val="16"/>
          <w:szCs w:val="16"/>
        </w:rPr>
        <w:t xml:space="preserve"> of the following options:</w:t>
      </w:r>
    </w:p>
    <w:p w14:paraId="3AE58BD7" w14:textId="77777777" w:rsidR="00656125" w:rsidRPr="0077105F" w:rsidRDefault="00656125" w:rsidP="00480612">
      <w:pPr>
        <w:pStyle w:val="FootnoteText"/>
        <w:rPr>
          <w:sz w:val="16"/>
          <w:szCs w:val="16"/>
        </w:rPr>
      </w:pPr>
      <w:r>
        <w:rPr>
          <w:sz w:val="16"/>
          <w:szCs w:val="16"/>
        </w:rPr>
        <w:t xml:space="preserve">- LEG: </w:t>
      </w:r>
      <w:r w:rsidRPr="0077105F">
        <w:rPr>
          <w:sz w:val="16"/>
          <w:szCs w:val="16"/>
        </w:rPr>
        <w:t>Legislation and policy</w:t>
      </w:r>
    </w:p>
    <w:p w14:paraId="133299F0" w14:textId="77777777" w:rsidR="00656125" w:rsidRPr="0077105F" w:rsidRDefault="00656125" w:rsidP="00480612">
      <w:pPr>
        <w:pStyle w:val="FootnoteText"/>
        <w:rPr>
          <w:sz w:val="16"/>
          <w:szCs w:val="16"/>
        </w:rPr>
      </w:pPr>
      <w:r>
        <w:rPr>
          <w:sz w:val="16"/>
          <w:szCs w:val="16"/>
        </w:rPr>
        <w:t xml:space="preserve">- CUL: </w:t>
      </w:r>
      <w:r w:rsidRPr="0077105F">
        <w:rPr>
          <w:sz w:val="16"/>
          <w:szCs w:val="16"/>
        </w:rPr>
        <w:t>Cultural norms, beliefs, attitudes and values</w:t>
      </w:r>
    </w:p>
    <w:p w14:paraId="17485612" w14:textId="77777777" w:rsidR="00656125" w:rsidRPr="0077105F" w:rsidRDefault="00656125" w:rsidP="00480612">
      <w:pPr>
        <w:pStyle w:val="FootnoteText"/>
        <w:rPr>
          <w:sz w:val="16"/>
          <w:szCs w:val="16"/>
        </w:rPr>
      </w:pPr>
      <w:r>
        <w:rPr>
          <w:sz w:val="16"/>
          <w:szCs w:val="16"/>
        </w:rPr>
        <w:t xml:space="preserve">- PAR: </w:t>
      </w:r>
      <w:r w:rsidRPr="0077105F">
        <w:rPr>
          <w:sz w:val="16"/>
          <w:szCs w:val="16"/>
        </w:rPr>
        <w:t>Partnership</w:t>
      </w:r>
    </w:p>
    <w:p w14:paraId="4D1AA7C3" w14:textId="77777777" w:rsidR="00656125" w:rsidRPr="0077105F" w:rsidRDefault="00656125" w:rsidP="00480612">
      <w:pPr>
        <w:pStyle w:val="FootnoteText"/>
        <w:rPr>
          <w:sz w:val="16"/>
          <w:szCs w:val="16"/>
        </w:rPr>
      </w:pPr>
      <w:r>
        <w:rPr>
          <w:sz w:val="16"/>
          <w:szCs w:val="16"/>
        </w:rPr>
        <w:t xml:space="preserve">- CAP: </w:t>
      </w:r>
      <w:r w:rsidRPr="0077105F">
        <w:rPr>
          <w:sz w:val="16"/>
          <w:szCs w:val="16"/>
        </w:rPr>
        <w:t>Capacity of key actors (duty bearers or right holders)</w:t>
      </w:r>
    </w:p>
    <w:p w14:paraId="12A2B8A9" w14:textId="77777777" w:rsidR="00656125" w:rsidRDefault="00656125" w:rsidP="00480612">
      <w:pPr>
        <w:pStyle w:val="FootnoteText"/>
      </w:pPr>
    </w:p>
  </w:footnote>
  <w:footnote w:id="30">
    <w:p w14:paraId="0792F68D" w14:textId="77777777" w:rsidR="00656125" w:rsidRPr="0077105F" w:rsidRDefault="00656125" w:rsidP="00480612">
      <w:pPr>
        <w:pStyle w:val="FootnoteText"/>
        <w:rPr>
          <w:sz w:val="16"/>
          <w:szCs w:val="16"/>
        </w:rPr>
      </w:pPr>
      <w:r>
        <w:rPr>
          <w:rStyle w:val="FootnoteReference"/>
        </w:rPr>
        <w:footnoteRef/>
      </w:r>
      <w:r>
        <w:t xml:space="preserve"> </w:t>
      </w:r>
      <w:r w:rsidRPr="0077105F">
        <w:rPr>
          <w:sz w:val="16"/>
          <w:szCs w:val="16"/>
        </w:rPr>
        <w:t xml:space="preserve">Please specify here the type of lever of change to which each proposed outcome corresponds. With reference to Table 1, page 33 of the SOF, for each outcome select </w:t>
      </w:r>
      <w:r w:rsidRPr="0077105F">
        <w:rPr>
          <w:sz w:val="16"/>
          <w:szCs w:val="16"/>
          <w:u w:val="single"/>
        </w:rPr>
        <w:t>one</w:t>
      </w:r>
      <w:r w:rsidRPr="0077105F">
        <w:rPr>
          <w:sz w:val="16"/>
          <w:szCs w:val="16"/>
        </w:rPr>
        <w:t xml:space="preserve"> of the following options:</w:t>
      </w:r>
    </w:p>
    <w:p w14:paraId="2C0939D1" w14:textId="77777777" w:rsidR="00656125" w:rsidRPr="0077105F" w:rsidRDefault="00656125" w:rsidP="00480612">
      <w:pPr>
        <w:pStyle w:val="FootnoteText"/>
        <w:rPr>
          <w:sz w:val="16"/>
          <w:szCs w:val="16"/>
        </w:rPr>
      </w:pPr>
      <w:r>
        <w:rPr>
          <w:sz w:val="16"/>
          <w:szCs w:val="16"/>
        </w:rPr>
        <w:t xml:space="preserve">- LEG: </w:t>
      </w:r>
      <w:r w:rsidRPr="0077105F">
        <w:rPr>
          <w:sz w:val="16"/>
          <w:szCs w:val="16"/>
        </w:rPr>
        <w:t>Legislation and policy</w:t>
      </w:r>
    </w:p>
    <w:p w14:paraId="78FBE269" w14:textId="77777777" w:rsidR="00656125" w:rsidRPr="0077105F" w:rsidRDefault="00656125" w:rsidP="00480612">
      <w:pPr>
        <w:pStyle w:val="FootnoteText"/>
        <w:rPr>
          <w:sz w:val="16"/>
          <w:szCs w:val="16"/>
        </w:rPr>
      </w:pPr>
      <w:r>
        <w:rPr>
          <w:sz w:val="16"/>
          <w:szCs w:val="16"/>
        </w:rPr>
        <w:t xml:space="preserve">- CUL: </w:t>
      </w:r>
      <w:r w:rsidRPr="0077105F">
        <w:rPr>
          <w:sz w:val="16"/>
          <w:szCs w:val="16"/>
        </w:rPr>
        <w:t>Cultural norms, beliefs, attitudes and values</w:t>
      </w:r>
    </w:p>
    <w:p w14:paraId="7229CE07" w14:textId="77777777" w:rsidR="00656125" w:rsidRPr="0077105F" w:rsidRDefault="00656125" w:rsidP="00480612">
      <w:pPr>
        <w:pStyle w:val="FootnoteText"/>
        <w:rPr>
          <w:sz w:val="16"/>
          <w:szCs w:val="16"/>
        </w:rPr>
      </w:pPr>
      <w:r>
        <w:rPr>
          <w:sz w:val="16"/>
          <w:szCs w:val="16"/>
        </w:rPr>
        <w:t xml:space="preserve">- PAR: </w:t>
      </w:r>
      <w:r w:rsidRPr="0077105F">
        <w:rPr>
          <w:sz w:val="16"/>
          <w:szCs w:val="16"/>
        </w:rPr>
        <w:t>Partnership</w:t>
      </w:r>
    </w:p>
    <w:p w14:paraId="48D1D45C" w14:textId="77777777" w:rsidR="00656125" w:rsidRPr="0077105F" w:rsidRDefault="00656125" w:rsidP="00480612">
      <w:pPr>
        <w:pStyle w:val="FootnoteText"/>
        <w:rPr>
          <w:sz w:val="16"/>
          <w:szCs w:val="16"/>
        </w:rPr>
      </w:pPr>
      <w:r>
        <w:rPr>
          <w:sz w:val="16"/>
          <w:szCs w:val="16"/>
        </w:rPr>
        <w:t xml:space="preserve">- CAP: </w:t>
      </w:r>
      <w:r w:rsidRPr="0077105F">
        <w:rPr>
          <w:sz w:val="16"/>
          <w:szCs w:val="16"/>
        </w:rPr>
        <w:t>Capacity of key actors (duty bearers or right holders)</w:t>
      </w:r>
    </w:p>
    <w:p w14:paraId="34CCA3F7" w14:textId="77777777" w:rsidR="00656125" w:rsidRDefault="00656125" w:rsidP="00480612">
      <w:pPr>
        <w:pStyle w:val="FootnoteText"/>
      </w:pPr>
    </w:p>
  </w:footnote>
  <w:footnote w:id="31">
    <w:p w14:paraId="088EAB29" w14:textId="5AC6CB18" w:rsidR="00656125" w:rsidRPr="00C809FB" w:rsidRDefault="00656125" w:rsidP="00402846">
      <w:pPr>
        <w:pStyle w:val="FootnoteText"/>
        <w:jc w:val="both"/>
      </w:pPr>
      <w:r w:rsidRPr="00C809FB">
        <w:rPr>
          <w:rStyle w:val="FootnoteReference"/>
        </w:rPr>
        <w:footnoteRef/>
      </w:r>
      <w:r w:rsidRPr="00C809FB">
        <w:t xml:space="preserve"> This is led by Government, and includes civil society, UN and development partners.</w:t>
      </w:r>
    </w:p>
  </w:footnote>
  <w:footnote w:id="32">
    <w:p w14:paraId="69106D74" w14:textId="77777777" w:rsidR="00656125" w:rsidRDefault="00656125"/>
    <w:p w14:paraId="0A7D661B" w14:textId="6524505B" w:rsidR="00656125" w:rsidRPr="00C809FB" w:rsidRDefault="00656125" w:rsidP="003E2A3C">
      <w:pPr>
        <w:pStyle w:val="FootnoteText"/>
        <w:ind w:right="-514"/>
        <w:jc w:val="both"/>
        <w:rPr>
          <w:rFonts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8048" w14:textId="77777777" w:rsidR="00656125" w:rsidRDefault="00656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7CFA" w14:textId="77777777" w:rsidR="00656125" w:rsidRDefault="00656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AA4A" w14:textId="77777777" w:rsidR="00656125" w:rsidRDefault="00656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36B"/>
    <w:multiLevelType w:val="multilevel"/>
    <w:tmpl w:val="F38CEE30"/>
    <w:lvl w:ilvl="0">
      <w:start w:val="1"/>
      <w:numFmt w:val="decimal"/>
      <w:lvlText w:val="%1."/>
      <w:lvlJc w:val="left"/>
      <w:pPr>
        <w:ind w:left="360" w:hanging="360"/>
      </w:pPr>
      <w:rPr>
        <w:rFonts w:hint="default"/>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FC10D6"/>
    <w:multiLevelType w:val="hybridMultilevel"/>
    <w:tmpl w:val="301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04586"/>
    <w:multiLevelType w:val="hybridMultilevel"/>
    <w:tmpl w:val="57328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BF726C"/>
    <w:multiLevelType w:val="multilevel"/>
    <w:tmpl w:val="BBEA8FD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C75359"/>
    <w:multiLevelType w:val="hybridMultilevel"/>
    <w:tmpl w:val="D020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531EC"/>
    <w:multiLevelType w:val="hybridMultilevel"/>
    <w:tmpl w:val="0BA4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37844"/>
    <w:multiLevelType w:val="multilevel"/>
    <w:tmpl w:val="BBEA8FD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91B5C"/>
    <w:multiLevelType w:val="hybridMultilevel"/>
    <w:tmpl w:val="883E2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E698E"/>
    <w:multiLevelType w:val="hybridMultilevel"/>
    <w:tmpl w:val="22243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673F2"/>
    <w:multiLevelType w:val="hybridMultilevel"/>
    <w:tmpl w:val="C9FED1F0"/>
    <w:lvl w:ilvl="0" w:tplc="7E0AE16C">
      <w:start w:val="1"/>
      <w:numFmt w:val="bullet"/>
      <w:lvlText w:val="•"/>
      <w:lvlJc w:val="left"/>
      <w:pPr>
        <w:tabs>
          <w:tab w:val="num" w:pos="720"/>
        </w:tabs>
        <w:ind w:left="720" w:hanging="360"/>
      </w:pPr>
      <w:rPr>
        <w:rFonts w:ascii="Times New Roman" w:hAnsi="Times New Roman" w:hint="default"/>
      </w:rPr>
    </w:lvl>
    <w:lvl w:ilvl="1" w:tplc="6A9C4D16" w:tentative="1">
      <w:start w:val="1"/>
      <w:numFmt w:val="bullet"/>
      <w:lvlText w:val="•"/>
      <w:lvlJc w:val="left"/>
      <w:pPr>
        <w:tabs>
          <w:tab w:val="num" w:pos="1440"/>
        </w:tabs>
        <w:ind w:left="1440" w:hanging="360"/>
      </w:pPr>
      <w:rPr>
        <w:rFonts w:ascii="Times New Roman" w:hAnsi="Times New Roman" w:hint="default"/>
      </w:rPr>
    </w:lvl>
    <w:lvl w:ilvl="2" w:tplc="D1A66EE4" w:tentative="1">
      <w:start w:val="1"/>
      <w:numFmt w:val="bullet"/>
      <w:lvlText w:val="•"/>
      <w:lvlJc w:val="left"/>
      <w:pPr>
        <w:tabs>
          <w:tab w:val="num" w:pos="2160"/>
        </w:tabs>
        <w:ind w:left="2160" w:hanging="360"/>
      </w:pPr>
      <w:rPr>
        <w:rFonts w:ascii="Times New Roman" w:hAnsi="Times New Roman" w:hint="default"/>
      </w:rPr>
    </w:lvl>
    <w:lvl w:ilvl="3" w:tplc="7EA63A70" w:tentative="1">
      <w:start w:val="1"/>
      <w:numFmt w:val="bullet"/>
      <w:lvlText w:val="•"/>
      <w:lvlJc w:val="left"/>
      <w:pPr>
        <w:tabs>
          <w:tab w:val="num" w:pos="2880"/>
        </w:tabs>
        <w:ind w:left="2880" w:hanging="360"/>
      </w:pPr>
      <w:rPr>
        <w:rFonts w:ascii="Times New Roman" w:hAnsi="Times New Roman" w:hint="default"/>
      </w:rPr>
    </w:lvl>
    <w:lvl w:ilvl="4" w:tplc="56C88FF2" w:tentative="1">
      <w:start w:val="1"/>
      <w:numFmt w:val="bullet"/>
      <w:lvlText w:val="•"/>
      <w:lvlJc w:val="left"/>
      <w:pPr>
        <w:tabs>
          <w:tab w:val="num" w:pos="3600"/>
        </w:tabs>
        <w:ind w:left="3600" w:hanging="360"/>
      </w:pPr>
      <w:rPr>
        <w:rFonts w:ascii="Times New Roman" w:hAnsi="Times New Roman" w:hint="default"/>
      </w:rPr>
    </w:lvl>
    <w:lvl w:ilvl="5" w:tplc="A6E04984" w:tentative="1">
      <w:start w:val="1"/>
      <w:numFmt w:val="bullet"/>
      <w:lvlText w:val="•"/>
      <w:lvlJc w:val="left"/>
      <w:pPr>
        <w:tabs>
          <w:tab w:val="num" w:pos="4320"/>
        </w:tabs>
        <w:ind w:left="4320" w:hanging="360"/>
      </w:pPr>
      <w:rPr>
        <w:rFonts w:ascii="Times New Roman" w:hAnsi="Times New Roman" w:hint="default"/>
      </w:rPr>
    </w:lvl>
    <w:lvl w:ilvl="6" w:tplc="B0C4BD48" w:tentative="1">
      <w:start w:val="1"/>
      <w:numFmt w:val="bullet"/>
      <w:lvlText w:val="•"/>
      <w:lvlJc w:val="left"/>
      <w:pPr>
        <w:tabs>
          <w:tab w:val="num" w:pos="5040"/>
        </w:tabs>
        <w:ind w:left="5040" w:hanging="360"/>
      </w:pPr>
      <w:rPr>
        <w:rFonts w:ascii="Times New Roman" w:hAnsi="Times New Roman" w:hint="default"/>
      </w:rPr>
    </w:lvl>
    <w:lvl w:ilvl="7" w:tplc="03C8717C" w:tentative="1">
      <w:start w:val="1"/>
      <w:numFmt w:val="bullet"/>
      <w:lvlText w:val="•"/>
      <w:lvlJc w:val="left"/>
      <w:pPr>
        <w:tabs>
          <w:tab w:val="num" w:pos="5760"/>
        </w:tabs>
        <w:ind w:left="5760" w:hanging="360"/>
      </w:pPr>
      <w:rPr>
        <w:rFonts w:ascii="Times New Roman" w:hAnsi="Times New Roman" w:hint="default"/>
      </w:rPr>
    </w:lvl>
    <w:lvl w:ilvl="8" w:tplc="1CECCCD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D970A4"/>
    <w:multiLevelType w:val="hybridMultilevel"/>
    <w:tmpl w:val="F288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53D54A89"/>
    <w:multiLevelType w:val="multilevel"/>
    <w:tmpl w:val="5228524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9">
    <w:nsid w:val="567E7A36"/>
    <w:multiLevelType w:val="hybridMultilevel"/>
    <w:tmpl w:val="710C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010B8"/>
    <w:multiLevelType w:val="hybridMultilevel"/>
    <w:tmpl w:val="1122C73A"/>
    <w:lvl w:ilvl="0" w:tplc="7E0CF6AA">
      <w:start w:val="1"/>
      <w:numFmt w:val="bullet"/>
      <w:lvlText w:val="•"/>
      <w:lvlJc w:val="left"/>
      <w:pPr>
        <w:tabs>
          <w:tab w:val="num" w:pos="720"/>
        </w:tabs>
        <w:ind w:left="720" w:hanging="360"/>
      </w:pPr>
      <w:rPr>
        <w:rFonts w:ascii="Times New Roman" w:hAnsi="Times New Roman" w:hint="default"/>
      </w:rPr>
    </w:lvl>
    <w:lvl w:ilvl="1" w:tplc="A3FA5CB6" w:tentative="1">
      <w:start w:val="1"/>
      <w:numFmt w:val="bullet"/>
      <w:lvlText w:val="•"/>
      <w:lvlJc w:val="left"/>
      <w:pPr>
        <w:tabs>
          <w:tab w:val="num" w:pos="1440"/>
        </w:tabs>
        <w:ind w:left="1440" w:hanging="360"/>
      </w:pPr>
      <w:rPr>
        <w:rFonts w:ascii="Times New Roman" w:hAnsi="Times New Roman" w:hint="default"/>
      </w:rPr>
    </w:lvl>
    <w:lvl w:ilvl="2" w:tplc="2CF2BF22" w:tentative="1">
      <w:start w:val="1"/>
      <w:numFmt w:val="bullet"/>
      <w:lvlText w:val="•"/>
      <w:lvlJc w:val="left"/>
      <w:pPr>
        <w:tabs>
          <w:tab w:val="num" w:pos="2160"/>
        </w:tabs>
        <w:ind w:left="2160" w:hanging="360"/>
      </w:pPr>
      <w:rPr>
        <w:rFonts w:ascii="Times New Roman" w:hAnsi="Times New Roman" w:hint="default"/>
      </w:rPr>
    </w:lvl>
    <w:lvl w:ilvl="3" w:tplc="257688D4" w:tentative="1">
      <w:start w:val="1"/>
      <w:numFmt w:val="bullet"/>
      <w:lvlText w:val="•"/>
      <w:lvlJc w:val="left"/>
      <w:pPr>
        <w:tabs>
          <w:tab w:val="num" w:pos="2880"/>
        </w:tabs>
        <w:ind w:left="2880" w:hanging="360"/>
      </w:pPr>
      <w:rPr>
        <w:rFonts w:ascii="Times New Roman" w:hAnsi="Times New Roman" w:hint="default"/>
      </w:rPr>
    </w:lvl>
    <w:lvl w:ilvl="4" w:tplc="B2D66BD2" w:tentative="1">
      <w:start w:val="1"/>
      <w:numFmt w:val="bullet"/>
      <w:lvlText w:val="•"/>
      <w:lvlJc w:val="left"/>
      <w:pPr>
        <w:tabs>
          <w:tab w:val="num" w:pos="3600"/>
        </w:tabs>
        <w:ind w:left="3600" w:hanging="360"/>
      </w:pPr>
      <w:rPr>
        <w:rFonts w:ascii="Times New Roman" w:hAnsi="Times New Roman" w:hint="default"/>
      </w:rPr>
    </w:lvl>
    <w:lvl w:ilvl="5" w:tplc="AEF6C77C" w:tentative="1">
      <w:start w:val="1"/>
      <w:numFmt w:val="bullet"/>
      <w:lvlText w:val="•"/>
      <w:lvlJc w:val="left"/>
      <w:pPr>
        <w:tabs>
          <w:tab w:val="num" w:pos="4320"/>
        </w:tabs>
        <w:ind w:left="4320" w:hanging="360"/>
      </w:pPr>
      <w:rPr>
        <w:rFonts w:ascii="Times New Roman" w:hAnsi="Times New Roman" w:hint="default"/>
      </w:rPr>
    </w:lvl>
    <w:lvl w:ilvl="6" w:tplc="8D242AFC" w:tentative="1">
      <w:start w:val="1"/>
      <w:numFmt w:val="bullet"/>
      <w:lvlText w:val="•"/>
      <w:lvlJc w:val="left"/>
      <w:pPr>
        <w:tabs>
          <w:tab w:val="num" w:pos="5040"/>
        </w:tabs>
        <w:ind w:left="5040" w:hanging="360"/>
      </w:pPr>
      <w:rPr>
        <w:rFonts w:ascii="Times New Roman" w:hAnsi="Times New Roman" w:hint="default"/>
      </w:rPr>
    </w:lvl>
    <w:lvl w:ilvl="7" w:tplc="93E67BBA" w:tentative="1">
      <w:start w:val="1"/>
      <w:numFmt w:val="bullet"/>
      <w:lvlText w:val="•"/>
      <w:lvlJc w:val="left"/>
      <w:pPr>
        <w:tabs>
          <w:tab w:val="num" w:pos="5760"/>
        </w:tabs>
        <w:ind w:left="5760" w:hanging="360"/>
      </w:pPr>
      <w:rPr>
        <w:rFonts w:ascii="Times New Roman" w:hAnsi="Times New Roman" w:hint="default"/>
      </w:rPr>
    </w:lvl>
    <w:lvl w:ilvl="8" w:tplc="2A6822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365F3"/>
    <w:multiLevelType w:val="multilevel"/>
    <w:tmpl w:val="BBEA8FD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138B4"/>
    <w:multiLevelType w:val="hybridMultilevel"/>
    <w:tmpl w:val="4ED84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0056CD"/>
    <w:multiLevelType w:val="hybridMultilevel"/>
    <w:tmpl w:val="8114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01FAD"/>
    <w:multiLevelType w:val="multilevel"/>
    <w:tmpl w:val="BBEA8FD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C1F2479"/>
    <w:multiLevelType w:val="hybridMultilevel"/>
    <w:tmpl w:val="C94C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B543C"/>
    <w:multiLevelType w:val="multilevel"/>
    <w:tmpl w:val="8BDCF83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B912DC8"/>
    <w:multiLevelType w:val="hybridMultilevel"/>
    <w:tmpl w:val="CCE888E4"/>
    <w:lvl w:ilvl="0" w:tplc="ABD8ED5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2"/>
  </w:num>
  <w:num w:numId="5">
    <w:abstractNumId w:val="21"/>
  </w:num>
  <w:num w:numId="6">
    <w:abstractNumId w:val="17"/>
  </w:num>
  <w:num w:numId="7">
    <w:abstractNumId w:val="4"/>
  </w:num>
  <w:num w:numId="8">
    <w:abstractNumId w:val="15"/>
  </w:num>
  <w:num w:numId="9">
    <w:abstractNumId w:val="1"/>
  </w:num>
  <w:num w:numId="10">
    <w:abstractNumId w:val="7"/>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num>
  <w:num w:numId="15">
    <w:abstractNumId w:val="16"/>
  </w:num>
  <w:num w:numId="16">
    <w:abstractNumId w:val="27"/>
  </w:num>
  <w:num w:numId="17">
    <w:abstractNumId w:val="12"/>
  </w:num>
  <w:num w:numId="18">
    <w:abstractNumId w:val="6"/>
  </w:num>
  <w:num w:numId="19">
    <w:abstractNumId w:val="13"/>
  </w:num>
  <w:num w:numId="20">
    <w:abstractNumId w:val="19"/>
  </w:num>
  <w:num w:numId="21">
    <w:abstractNumId w:val="3"/>
  </w:num>
  <w:num w:numId="22">
    <w:abstractNumId w:val="29"/>
  </w:num>
  <w:num w:numId="23">
    <w:abstractNumId w:val="14"/>
  </w:num>
  <w:num w:numId="24">
    <w:abstractNumId w:val="20"/>
  </w:num>
  <w:num w:numId="25">
    <w:abstractNumId w:val="25"/>
  </w:num>
  <w:num w:numId="26">
    <w:abstractNumId w:val="22"/>
  </w:num>
  <w:num w:numId="27">
    <w:abstractNumId w:val="5"/>
  </w:num>
  <w:num w:numId="28">
    <w:abstractNumId w:val="26"/>
  </w:num>
  <w:num w:numId="29">
    <w:abstractNumId w:val="10"/>
  </w:num>
  <w:num w:numId="30">
    <w:abstractNumId w:val="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B"/>
    <w:rsid w:val="00000D4C"/>
    <w:rsid w:val="00002592"/>
    <w:rsid w:val="00002BED"/>
    <w:rsid w:val="0000565C"/>
    <w:rsid w:val="000056E3"/>
    <w:rsid w:val="000066B1"/>
    <w:rsid w:val="00007BE1"/>
    <w:rsid w:val="00013AA6"/>
    <w:rsid w:val="0001505C"/>
    <w:rsid w:val="00021AB0"/>
    <w:rsid w:val="0002245F"/>
    <w:rsid w:val="00025581"/>
    <w:rsid w:val="00025CDC"/>
    <w:rsid w:val="00026C97"/>
    <w:rsid w:val="00027DA4"/>
    <w:rsid w:val="00031A03"/>
    <w:rsid w:val="0003344B"/>
    <w:rsid w:val="00033AE3"/>
    <w:rsid w:val="000370C4"/>
    <w:rsid w:val="000372FE"/>
    <w:rsid w:val="0003783D"/>
    <w:rsid w:val="00040412"/>
    <w:rsid w:val="00042747"/>
    <w:rsid w:val="0004295F"/>
    <w:rsid w:val="00045FE7"/>
    <w:rsid w:val="00050035"/>
    <w:rsid w:val="000537A2"/>
    <w:rsid w:val="000571F8"/>
    <w:rsid w:val="00057EBB"/>
    <w:rsid w:val="000601C7"/>
    <w:rsid w:val="00060897"/>
    <w:rsid w:val="00062609"/>
    <w:rsid w:val="0006288C"/>
    <w:rsid w:val="000628C9"/>
    <w:rsid w:val="00062FD6"/>
    <w:rsid w:val="000679EA"/>
    <w:rsid w:val="00067F62"/>
    <w:rsid w:val="00070430"/>
    <w:rsid w:val="0007129B"/>
    <w:rsid w:val="0007182A"/>
    <w:rsid w:val="00073AD5"/>
    <w:rsid w:val="00074898"/>
    <w:rsid w:val="00074E5C"/>
    <w:rsid w:val="0007537D"/>
    <w:rsid w:val="00075CA5"/>
    <w:rsid w:val="00080098"/>
    <w:rsid w:val="00081042"/>
    <w:rsid w:val="000812D2"/>
    <w:rsid w:val="000818A5"/>
    <w:rsid w:val="000828BE"/>
    <w:rsid w:val="00086EBE"/>
    <w:rsid w:val="00087DF9"/>
    <w:rsid w:val="000901D2"/>
    <w:rsid w:val="00091C53"/>
    <w:rsid w:val="00096769"/>
    <w:rsid w:val="000A171C"/>
    <w:rsid w:val="000A35A3"/>
    <w:rsid w:val="000A6263"/>
    <w:rsid w:val="000A68D7"/>
    <w:rsid w:val="000B0B54"/>
    <w:rsid w:val="000B0FA4"/>
    <w:rsid w:val="000B23CD"/>
    <w:rsid w:val="000B2538"/>
    <w:rsid w:val="000B3408"/>
    <w:rsid w:val="000B49AD"/>
    <w:rsid w:val="000B7AA6"/>
    <w:rsid w:val="000B7FAD"/>
    <w:rsid w:val="000C3038"/>
    <w:rsid w:val="000C3642"/>
    <w:rsid w:val="000C5EA2"/>
    <w:rsid w:val="000C5F16"/>
    <w:rsid w:val="000C6A6F"/>
    <w:rsid w:val="000C6B32"/>
    <w:rsid w:val="000C6DA3"/>
    <w:rsid w:val="000C737F"/>
    <w:rsid w:val="000D18F2"/>
    <w:rsid w:val="000D2EEE"/>
    <w:rsid w:val="000D3D66"/>
    <w:rsid w:val="000D4FE4"/>
    <w:rsid w:val="000D543B"/>
    <w:rsid w:val="000D7878"/>
    <w:rsid w:val="000E1AFB"/>
    <w:rsid w:val="000E1DC2"/>
    <w:rsid w:val="000E316B"/>
    <w:rsid w:val="000F0C3B"/>
    <w:rsid w:val="000F1CB9"/>
    <w:rsid w:val="000F2B35"/>
    <w:rsid w:val="000F3B87"/>
    <w:rsid w:val="000F3C03"/>
    <w:rsid w:val="000F52F3"/>
    <w:rsid w:val="000F5E98"/>
    <w:rsid w:val="001008AB"/>
    <w:rsid w:val="00100AEB"/>
    <w:rsid w:val="00102BBA"/>
    <w:rsid w:val="00105F81"/>
    <w:rsid w:val="00106C5C"/>
    <w:rsid w:val="00106EFA"/>
    <w:rsid w:val="0010725B"/>
    <w:rsid w:val="001076B9"/>
    <w:rsid w:val="00111506"/>
    <w:rsid w:val="00112F25"/>
    <w:rsid w:val="00114670"/>
    <w:rsid w:val="00116372"/>
    <w:rsid w:val="001170EA"/>
    <w:rsid w:val="00121ABE"/>
    <w:rsid w:val="00123FDF"/>
    <w:rsid w:val="00126669"/>
    <w:rsid w:val="00127D40"/>
    <w:rsid w:val="00134F22"/>
    <w:rsid w:val="001361D1"/>
    <w:rsid w:val="001362D2"/>
    <w:rsid w:val="001369B7"/>
    <w:rsid w:val="00137348"/>
    <w:rsid w:val="00137925"/>
    <w:rsid w:val="001402AE"/>
    <w:rsid w:val="00142BE9"/>
    <w:rsid w:val="00145A2A"/>
    <w:rsid w:val="001465B4"/>
    <w:rsid w:val="0014718C"/>
    <w:rsid w:val="001475EE"/>
    <w:rsid w:val="001476AD"/>
    <w:rsid w:val="0015295B"/>
    <w:rsid w:val="00160248"/>
    <w:rsid w:val="00161018"/>
    <w:rsid w:val="00162885"/>
    <w:rsid w:val="00162B64"/>
    <w:rsid w:val="00163954"/>
    <w:rsid w:val="00164D0C"/>
    <w:rsid w:val="00165F0F"/>
    <w:rsid w:val="0016689F"/>
    <w:rsid w:val="00167E31"/>
    <w:rsid w:val="00172896"/>
    <w:rsid w:val="00175FC3"/>
    <w:rsid w:val="001760C6"/>
    <w:rsid w:val="00180138"/>
    <w:rsid w:val="001809D5"/>
    <w:rsid w:val="00181AC7"/>
    <w:rsid w:val="001878D5"/>
    <w:rsid w:val="00192B13"/>
    <w:rsid w:val="001942F0"/>
    <w:rsid w:val="00194CD5"/>
    <w:rsid w:val="001973C7"/>
    <w:rsid w:val="001979AA"/>
    <w:rsid w:val="001A1565"/>
    <w:rsid w:val="001A2A72"/>
    <w:rsid w:val="001A5528"/>
    <w:rsid w:val="001A6C48"/>
    <w:rsid w:val="001B1C2E"/>
    <w:rsid w:val="001B3C67"/>
    <w:rsid w:val="001B5886"/>
    <w:rsid w:val="001C0682"/>
    <w:rsid w:val="001C1B60"/>
    <w:rsid w:val="001C3D1F"/>
    <w:rsid w:val="001C4E9F"/>
    <w:rsid w:val="001C7454"/>
    <w:rsid w:val="001C7B66"/>
    <w:rsid w:val="001D291E"/>
    <w:rsid w:val="001D5477"/>
    <w:rsid w:val="001D563B"/>
    <w:rsid w:val="001E00AB"/>
    <w:rsid w:val="001E0522"/>
    <w:rsid w:val="001E13E1"/>
    <w:rsid w:val="001E3319"/>
    <w:rsid w:val="001E5F27"/>
    <w:rsid w:val="001E7FE7"/>
    <w:rsid w:val="001F2693"/>
    <w:rsid w:val="001F4AAB"/>
    <w:rsid w:val="001F6702"/>
    <w:rsid w:val="001F670B"/>
    <w:rsid w:val="001F7A53"/>
    <w:rsid w:val="00202911"/>
    <w:rsid w:val="002031D0"/>
    <w:rsid w:val="00205A5D"/>
    <w:rsid w:val="002108E5"/>
    <w:rsid w:val="00210AC8"/>
    <w:rsid w:val="0021108C"/>
    <w:rsid w:val="00226D09"/>
    <w:rsid w:val="00226F6D"/>
    <w:rsid w:val="00231377"/>
    <w:rsid w:val="00231A12"/>
    <w:rsid w:val="00232105"/>
    <w:rsid w:val="002333DE"/>
    <w:rsid w:val="00233C8C"/>
    <w:rsid w:val="002348DD"/>
    <w:rsid w:val="00234ED0"/>
    <w:rsid w:val="00235B5A"/>
    <w:rsid w:val="00235E98"/>
    <w:rsid w:val="00237B52"/>
    <w:rsid w:val="00243A93"/>
    <w:rsid w:val="00244129"/>
    <w:rsid w:val="00245209"/>
    <w:rsid w:val="00245A28"/>
    <w:rsid w:val="002526B0"/>
    <w:rsid w:val="00255A89"/>
    <w:rsid w:val="00256412"/>
    <w:rsid w:val="002571BF"/>
    <w:rsid w:val="00261651"/>
    <w:rsid w:val="00261C4C"/>
    <w:rsid w:val="002622AB"/>
    <w:rsid w:val="002623BC"/>
    <w:rsid w:val="0026388E"/>
    <w:rsid w:val="00264AA3"/>
    <w:rsid w:val="002719BB"/>
    <w:rsid w:val="00275241"/>
    <w:rsid w:val="00280461"/>
    <w:rsid w:val="002814D1"/>
    <w:rsid w:val="00282282"/>
    <w:rsid w:val="00282C70"/>
    <w:rsid w:val="002846D7"/>
    <w:rsid w:val="0028762E"/>
    <w:rsid w:val="002879D9"/>
    <w:rsid w:val="00296DCC"/>
    <w:rsid w:val="00297AFD"/>
    <w:rsid w:val="00297AFF"/>
    <w:rsid w:val="002A1811"/>
    <w:rsid w:val="002A1F7D"/>
    <w:rsid w:val="002A42AC"/>
    <w:rsid w:val="002A4920"/>
    <w:rsid w:val="002A56C7"/>
    <w:rsid w:val="002A657C"/>
    <w:rsid w:val="002A6B98"/>
    <w:rsid w:val="002B0B2B"/>
    <w:rsid w:val="002B0B46"/>
    <w:rsid w:val="002B1199"/>
    <w:rsid w:val="002B12B1"/>
    <w:rsid w:val="002B3B12"/>
    <w:rsid w:val="002B6099"/>
    <w:rsid w:val="002B68F0"/>
    <w:rsid w:val="002B6CC0"/>
    <w:rsid w:val="002B6DCF"/>
    <w:rsid w:val="002B6FF2"/>
    <w:rsid w:val="002C076E"/>
    <w:rsid w:val="002C329F"/>
    <w:rsid w:val="002C5B07"/>
    <w:rsid w:val="002C622F"/>
    <w:rsid w:val="002C6420"/>
    <w:rsid w:val="002D0DA0"/>
    <w:rsid w:val="002D118B"/>
    <w:rsid w:val="002D4C99"/>
    <w:rsid w:val="002D545C"/>
    <w:rsid w:val="002E12E8"/>
    <w:rsid w:val="002E2F01"/>
    <w:rsid w:val="002E52DD"/>
    <w:rsid w:val="002E5A2D"/>
    <w:rsid w:val="002E74C3"/>
    <w:rsid w:val="002E74E6"/>
    <w:rsid w:val="002E7A21"/>
    <w:rsid w:val="002F262B"/>
    <w:rsid w:val="002F314F"/>
    <w:rsid w:val="002F565A"/>
    <w:rsid w:val="002F61E2"/>
    <w:rsid w:val="0030288D"/>
    <w:rsid w:val="00302DD0"/>
    <w:rsid w:val="003042F8"/>
    <w:rsid w:val="003053B8"/>
    <w:rsid w:val="00305FA8"/>
    <w:rsid w:val="003118D4"/>
    <w:rsid w:val="00315256"/>
    <w:rsid w:val="0032166D"/>
    <w:rsid w:val="00324DD3"/>
    <w:rsid w:val="0033001B"/>
    <w:rsid w:val="00333258"/>
    <w:rsid w:val="00336721"/>
    <w:rsid w:val="00337E7B"/>
    <w:rsid w:val="00343600"/>
    <w:rsid w:val="00343CC4"/>
    <w:rsid w:val="003456C9"/>
    <w:rsid w:val="00347720"/>
    <w:rsid w:val="00350401"/>
    <w:rsid w:val="00350F63"/>
    <w:rsid w:val="00351B05"/>
    <w:rsid w:val="00351C58"/>
    <w:rsid w:val="00351D99"/>
    <w:rsid w:val="00352D1E"/>
    <w:rsid w:val="00356A15"/>
    <w:rsid w:val="00357C05"/>
    <w:rsid w:val="0036135E"/>
    <w:rsid w:val="00361C73"/>
    <w:rsid w:val="00363036"/>
    <w:rsid w:val="00366872"/>
    <w:rsid w:val="0037310B"/>
    <w:rsid w:val="00375EBE"/>
    <w:rsid w:val="003765C3"/>
    <w:rsid w:val="0038149A"/>
    <w:rsid w:val="00385110"/>
    <w:rsid w:val="00387AAF"/>
    <w:rsid w:val="00390A8F"/>
    <w:rsid w:val="00392AA0"/>
    <w:rsid w:val="00392B4B"/>
    <w:rsid w:val="00393AF5"/>
    <w:rsid w:val="00393E61"/>
    <w:rsid w:val="00394A77"/>
    <w:rsid w:val="00395C9B"/>
    <w:rsid w:val="00397BA5"/>
    <w:rsid w:val="003A02E3"/>
    <w:rsid w:val="003A3EAB"/>
    <w:rsid w:val="003A4197"/>
    <w:rsid w:val="003A515C"/>
    <w:rsid w:val="003A5725"/>
    <w:rsid w:val="003A5B0B"/>
    <w:rsid w:val="003A6668"/>
    <w:rsid w:val="003A73CE"/>
    <w:rsid w:val="003B0626"/>
    <w:rsid w:val="003B0ED4"/>
    <w:rsid w:val="003B2A0E"/>
    <w:rsid w:val="003B5BB1"/>
    <w:rsid w:val="003B626F"/>
    <w:rsid w:val="003B6CC7"/>
    <w:rsid w:val="003C06C7"/>
    <w:rsid w:val="003C0E81"/>
    <w:rsid w:val="003C121A"/>
    <w:rsid w:val="003C5730"/>
    <w:rsid w:val="003C75F3"/>
    <w:rsid w:val="003D02F3"/>
    <w:rsid w:val="003D108E"/>
    <w:rsid w:val="003D16BF"/>
    <w:rsid w:val="003D3012"/>
    <w:rsid w:val="003D37E3"/>
    <w:rsid w:val="003D643B"/>
    <w:rsid w:val="003D71D0"/>
    <w:rsid w:val="003D73C8"/>
    <w:rsid w:val="003E1148"/>
    <w:rsid w:val="003E2472"/>
    <w:rsid w:val="003E2A3C"/>
    <w:rsid w:val="003E3DFB"/>
    <w:rsid w:val="003E3E24"/>
    <w:rsid w:val="003E4D45"/>
    <w:rsid w:val="003E5A54"/>
    <w:rsid w:val="003E5B8D"/>
    <w:rsid w:val="003E5C82"/>
    <w:rsid w:val="003E72A3"/>
    <w:rsid w:val="003F11A6"/>
    <w:rsid w:val="003F1692"/>
    <w:rsid w:val="003F2479"/>
    <w:rsid w:val="003F340F"/>
    <w:rsid w:val="003F4808"/>
    <w:rsid w:val="003F4F5A"/>
    <w:rsid w:val="003F59D8"/>
    <w:rsid w:val="003F5DDE"/>
    <w:rsid w:val="00401CDD"/>
    <w:rsid w:val="00402846"/>
    <w:rsid w:val="00405A9B"/>
    <w:rsid w:val="00406A5F"/>
    <w:rsid w:val="00406FFC"/>
    <w:rsid w:val="00411BB7"/>
    <w:rsid w:val="00412DCC"/>
    <w:rsid w:val="004218AF"/>
    <w:rsid w:val="00421DF3"/>
    <w:rsid w:val="0042280E"/>
    <w:rsid w:val="00424C75"/>
    <w:rsid w:val="00424E97"/>
    <w:rsid w:val="00430F6C"/>
    <w:rsid w:val="00432FAF"/>
    <w:rsid w:val="004337FF"/>
    <w:rsid w:val="004338D3"/>
    <w:rsid w:val="00433C42"/>
    <w:rsid w:val="004345EA"/>
    <w:rsid w:val="00435DF3"/>
    <w:rsid w:val="0043678F"/>
    <w:rsid w:val="00437588"/>
    <w:rsid w:val="00440A75"/>
    <w:rsid w:val="00440D4A"/>
    <w:rsid w:val="00440FBC"/>
    <w:rsid w:val="00446581"/>
    <w:rsid w:val="004501F8"/>
    <w:rsid w:val="00450E2E"/>
    <w:rsid w:val="00453FE8"/>
    <w:rsid w:val="00454DA4"/>
    <w:rsid w:val="00456CC0"/>
    <w:rsid w:val="00457042"/>
    <w:rsid w:val="00457D9F"/>
    <w:rsid w:val="00460DBD"/>
    <w:rsid w:val="00460E86"/>
    <w:rsid w:val="00464E2C"/>
    <w:rsid w:val="004663B5"/>
    <w:rsid w:val="004679B0"/>
    <w:rsid w:val="00467F33"/>
    <w:rsid w:val="00470B8C"/>
    <w:rsid w:val="004712B2"/>
    <w:rsid w:val="00471817"/>
    <w:rsid w:val="00471AEE"/>
    <w:rsid w:val="00472203"/>
    <w:rsid w:val="0047354A"/>
    <w:rsid w:val="004735E4"/>
    <w:rsid w:val="0047378F"/>
    <w:rsid w:val="00473ACB"/>
    <w:rsid w:val="00473E0A"/>
    <w:rsid w:val="0047456D"/>
    <w:rsid w:val="00475DB9"/>
    <w:rsid w:val="00475DFE"/>
    <w:rsid w:val="004770B3"/>
    <w:rsid w:val="00480612"/>
    <w:rsid w:val="004814E2"/>
    <w:rsid w:val="00481AFE"/>
    <w:rsid w:val="00482AE5"/>
    <w:rsid w:val="00483295"/>
    <w:rsid w:val="004849A5"/>
    <w:rsid w:val="00485E8C"/>
    <w:rsid w:val="004871CC"/>
    <w:rsid w:val="0049086C"/>
    <w:rsid w:val="004925BF"/>
    <w:rsid w:val="00495D12"/>
    <w:rsid w:val="00497310"/>
    <w:rsid w:val="00497D86"/>
    <w:rsid w:val="004A0141"/>
    <w:rsid w:val="004A043B"/>
    <w:rsid w:val="004A2C3D"/>
    <w:rsid w:val="004A3A92"/>
    <w:rsid w:val="004A4936"/>
    <w:rsid w:val="004A7A5C"/>
    <w:rsid w:val="004B1F12"/>
    <w:rsid w:val="004B624B"/>
    <w:rsid w:val="004B7EEA"/>
    <w:rsid w:val="004C3327"/>
    <w:rsid w:val="004C434C"/>
    <w:rsid w:val="004D0739"/>
    <w:rsid w:val="004D202B"/>
    <w:rsid w:val="004D21DC"/>
    <w:rsid w:val="004D35FA"/>
    <w:rsid w:val="004D3E7F"/>
    <w:rsid w:val="004D4112"/>
    <w:rsid w:val="004D455D"/>
    <w:rsid w:val="004D56B9"/>
    <w:rsid w:val="004D5A82"/>
    <w:rsid w:val="004D6394"/>
    <w:rsid w:val="004D6490"/>
    <w:rsid w:val="004D649A"/>
    <w:rsid w:val="004E0F7E"/>
    <w:rsid w:val="004E1D3D"/>
    <w:rsid w:val="004E2779"/>
    <w:rsid w:val="004E391F"/>
    <w:rsid w:val="004E43FD"/>
    <w:rsid w:val="004F1E69"/>
    <w:rsid w:val="004F3562"/>
    <w:rsid w:val="004F60D1"/>
    <w:rsid w:val="005002C5"/>
    <w:rsid w:val="00500650"/>
    <w:rsid w:val="00500E7A"/>
    <w:rsid w:val="00502C46"/>
    <w:rsid w:val="00502FA2"/>
    <w:rsid w:val="00503E62"/>
    <w:rsid w:val="00506108"/>
    <w:rsid w:val="00506974"/>
    <w:rsid w:val="00511157"/>
    <w:rsid w:val="00511812"/>
    <w:rsid w:val="00511929"/>
    <w:rsid w:val="00513DF0"/>
    <w:rsid w:val="00514FB8"/>
    <w:rsid w:val="00515F02"/>
    <w:rsid w:val="005214F1"/>
    <w:rsid w:val="005218E2"/>
    <w:rsid w:val="00522E03"/>
    <w:rsid w:val="00525BBA"/>
    <w:rsid w:val="005266DE"/>
    <w:rsid w:val="005270E2"/>
    <w:rsid w:val="00527464"/>
    <w:rsid w:val="0053035F"/>
    <w:rsid w:val="005334CD"/>
    <w:rsid w:val="0053478B"/>
    <w:rsid w:val="00534E3F"/>
    <w:rsid w:val="005361FC"/>
    <w:rsid w:val="005410B9"/>
    <w:rsid w:val="00543938"/>
    <w:rsid w:val="00543E6B"/>
    <w:rsid w:val="005444CD"/>
    <w:rsid w:val="00545F46"/>
    <w:rsid w:val="005550B8"/>
    <w:rsid w:val="0055732E"/>
    <w:rsid w:val="00560F54"/>
    <w:rsid w:val="005620EE"/>
    <w:rsid w:val="005633C5"/>
    <w:rsid w:val="00563B14"/>
    <w:rsid w:val="00576A64"/>
    <w:rsid w:val="00582196"/>
    <w:rsid w:val="00583731"/>
    <w:rsid w:val="005856F7"/>
    <w:rsid w:val="00586EED"/>
    <w:rsid w:val="0058788C"/>
    <w:rsid w:val="00590277"/>
    <w:rsid w:val="00594292"/>
    <w:rsid w:val="00597EC4"/>
    <w:rsid w:val="005A00A9"/>
    <w:rsid w:val="005A0197"/>
    <w:rsid w:val="005A5ABF"/>
    <w:rsid w:val="005A6016"/>
    <w:rsid w:val="005A699E"/>
    <w:rsid w:val="005A6A85"/>
    <w:rsid w:val="005B0433"/>
    <w:rsid w:val="005B0C6E"/>
    <w:rsid w:val="005B0F3A"/>
    <w:rsid w:val="005B1157"/>
    <w:rsid w:val="005B1EB7"/>
    <w:rsid w:val="005B288B"/>
    <w:rsid w:val="005B38A4"/>
    <w:rsid w:val="005C028A"/>
    <w:rsid w:val="005C0FDE"/>
    <w:rsid w:val="005C52C0"/>
    <w:rsid w:val="005C7781"/>
    <w:rsid w:val="005D0604"/>
    <w:rsid w:val="005D0F02"/>
    <w:rsid w:val="005E350F"/>
    <w:rsid w:val="005E430B"/>
    <w:rsid w:val="005E49B1"/>
    <w:rsid w:val="005E5D67"/>
    <w:rsid w:val="005E61EE"/>
    <w:rsid w:val="005E78F1"/>
    <w:rsid w:val="005F6651"/>
    <w:rsid w:val="005F68B1"/>
    <w:rsid w:val="005F6974"/>
    <w:rsid w:val="005F7712"/>
    <w:rsid w:val="005F7C1B"/>
    <w:rsid w:val="00602507"/>
    <w:rsid w:val="006031D4"/>
    <w:rsid w:val="006063A9"/>
    <w:rsid w:val="00606BB5"/>
    <w:rsid w:val="00606C12"/>
    <w:rsid w:val="00606CC5"/>
    <w:rsid w:val="00607D21"/>
    <w:rsid w:val="00610B41"/>
    <w:rsid w:val="0061267E"/>
    <w:rsid w:val="00616879"/>
    <w:rsid w:val="006169CD"/>
    <w:rsid w:val="00616A43"/>
    <w:rsid w:val="00616E41"/>
    <w:rsid w:val="00625D1E"/>
    <w:rsid w:val="00631979"/>
    <w:rsid w:val="00632559"/>
    <w:rsid w:val="00635769"/>
    <w:rsid w:val="006372E8"/>
    <w:rsid w:val="00641E43"/>
    <w:rsid w:val="00642CA9"/>
    <w:rsid w:val="0064310D"/>
    <w:rsid w:val="00644DDB"/>
    <w:rsid w:val="00645248"/>
    <w:rsid w:val="00647908"/>
    <w:rsid w:val="00650AD3"/>
    <w:rsid w:val="00651128"/>
    <w:rsid w:val="00651132"/>
    <w:rsid w:val="00654AFD"/>
    <w:rsid w:val="00654D60"/>
    <w:rsid w:val="00655CFE"/>
    <w:rsid w:val="00656125"/>
    <w:rsid w:val="006603FA"/>
    <w:rsid w:val="00660796"/>
    <w:rsid w:val="00660D6F"/>
    <w:rsid w:val="0066723E"/>
    <w:rsid w:val="00672B07"/>
    <w:rsid w:val="0067325A"/>
    <w:rsid w:val="00677A63"/>
    <w:rsid w:val="00677B01"/>
    <w:rsid w:val="006812FF"/>
    <w:rsid w:val="006816BC"/>
    <w:rsid w:val="00681806"/>
    <w:rsid w:val="006833F0"/>
    <w:rsid w:val="006833F5"/>
    <w:rsid w:val="0068507C"/>
    <w:rsid w:val="00685A94"/>
    <w:rsid w:val="006872A5"/>
    <w:rsid w:val="00690916"/>
    <w:rsid w:val="006912CE"/>
    <w:rsid w:val="0069197D"/>
    <w:rsid w:val="00696B9D"/>
    <w:rsid w:val="006A0E6A"/>
    <w:rsid w:val="006A5682"/>
    <w:rsid w:val="006A5A4D"/>
    <w:rsid w:val="006A6C99"/>
    <w:rsid w:val="006B19BB"/>
    <w:rsid w:val="006B23CD"/>
    <w:rsid w:val="006B2E36"/>
    <w:rsid w:val="006B798B"/>
    <w:rsid w:val="006C05EA"/>
    <w:rsid w:val="006C1726"/>
    <w:rsid w:val="006C208C"/>
    <w:rsid w:val="006C2137"/>
    <w:rsid w:val="006C45BC"/>
    <w:rsid w:val="006C69B2"/>
    <w:rsid w:val="006C7592"/>
    <w:rsid w:val="006D1E82"/>
    <w:rsid w:val="006D1FD4"/>
    <w:rsid w:val="006D42B9"/>
    <w:rsid w:val="006D480C"/>
    <w:rsid w:val="006E4EB7"/>
    <w:rsid w:val="006E798C"/>
    <w:rsid w:val="006F0854"/>
    <w:rsid w:val="006F2195"/>
    <w:rsid w:val="006F277F"/>
    <w:rsid w:val="006F2823"/>
    <w:rsid w:val="006F62FC"/>
    <w:rsid w:val="00701078"/>
    <w:rsid w:val="0070160D"/>
    <w:rsid w:val="00702287"/>
    <w:rsid w:val="00703F49"/>
    <w:rsid w:val="0070507E"/>
    <w:rsid w:val="007059FA"/>
    <w:rsid w:val="00706CDE"/>
    <w:rsid w:val="00707E1A"/>
    <w:rsid w:val="00710681"/>
    <w:rsid w:val="0071111D"/>
    <w:rsid w:val="0071124D"/>
    <w:rsid w:val="0071576C"/>
    <w:rsid w:val="0071647E"/>
    <w:rsid w:val="007200B1"/>
    <w:rsid w:val="00722162"/>
    <w:rsid w:val="00724DE5"/>
    <w:rsid w:val="007250DF"/>
    <w:rsid w:val="0072698F"/>
    <w:rsid w:val="00727CD3"/>
    <w:rsid w:val="00730032"/>
    <w:rsid w:val="00730B7A"/>
    <w:rsid w:val="007353C9"/>
    <w:rsid w:val="007363C1"/>
    <w:rsid w:val="00745215"/>
    <w:rsid w:val="0074533C"/>
    <w:rsid w:val="00746291"/>
    <w:rsid w:val="00750B13"/>
    <w:rsid w:val="007513DC"/>
    <w:rsid w:val="00753C26"/>
    <w:rsid w:val="00756A4A"/>
    <w:rsid w:val="00757125"/>
    <w:rsid w:val="00757B1B"/>
    <w:rsid w:val="00761580"/>
    <w:rsid w:val="00761F61"/>
    <w:rsid w:val="0076322B"/>
    <w:rsid w:val="00763761"/>
    <w:rsid w:val="007655CD"/>
    <w:rsid w:val="00766605"/>
    <w:rsid w:val="00767D3C"/>
    <w:rsid w:val="007712B3"/>
    <w:rsid w:val="007742F4"/>
    <w:rsid w:val="007746F4"/>
    <w:rsid w:val="007750B7"/>
    <w:rsid w:val="00776870"/>
    <w:rsid w:val="00780AA7"/>
    <w:rsid w:val="007818CD"/>
    <w:rsid w:val="007845D1"/>
    <w:rsid w:val="00784D3E"/>
    <w:rsid w:val="00786160"/>
    <w:rsid w:val="00787F35"/>
    <w:rsid w:val="00790D80"/>
    <w:rsid w:val="00791071"/>
    <w:rsid w:val="00791BEF"/>
    <w:rsid w:val="0079231A"/>
    <w:rsid w:val="007964CC"/>
    <w:rsid w:val="007A0C21"/>
    <w:rsid w:val="007A231D"/>
    <w:rsid w:val="007B06BC"/>
    <w:rsid w:val="007B1263"/>
    <w:rsid w:val="007B1C8A"/>
    <w:rsid w:val="007B3B48"/>
    <w:rsid w:val="007B3FE3"/>
    <w:rsid w:val="007B4F7B"/>
    <w:rsid w:val="007C2D17"/>
    <w:rsid w:val="007C3067"/>
    <w:rsid w:val="007C3B2D"/>
    <w:rsid w:val="007C4218"/>
    <w:rsid w:val="007C4C39"/>
    <w:rsid w:val="007C560C"/>
    <w:rsid w:val="007C5A00"/>
    <w:rsid w:val="007C690A"/>
    <w:rsid w:val="007D2568"/>
    <w:rsid w:val="007D2D0D"/>
    <w:rsid w:val="007D3F07"/>
    <w:rsid w:val="007D4C4C"/>
    <w:rsid w:val="007D5318"/>
    <w:rsid w:val="007D75CD"/>
    <w:rsid w:val="007E01AF"/>
    <w:rsid w:val="007E18B3"/>
    <w:rsid w:val="007F0756"/>
    <w:rsid w:val="007F1CCD"/>
    <w:rsid w:val="007F45FE"/>
    <w:rsid w:val="007F5958"/>
    <w:rsid w:val="007F6099"/>
    <w:rsid w:val="008020BB"/>
    <w:rsid w:val="00803916"/>
    <w:rsid w:val="00805C29"/>
    <w:rsid w:val="00812A72"/>
    <w:rsid w:val="008142D9"/>
    <w:rsid w:val="0081441D"/>
    <w:rsid w:val="00816F47"/>
    <w:rsid w:val="00820D2B"/>
    <w:rsid w:val="00830179"/>
    <w:rsid w:val="00830DD0"/>
    <w:rsid w:val="008328F8"/>
    <w:rsid w:val="008331E5"/>
    <w:rsid w:val="008336B4"/>
    <w:rsid w:val="008342A9"/>
    <w:rsid w:val="00835660"/>
    <w:rsid w:val="0083617E"/>
    <w:rsid w:val="00836B94"/>
    <w:rsid w:val="008439AD"/>
    <w:rsid w:val="008446EA"/>
    <w:rsid w:val="008448A3"/>
    <w:rsid w:val="00844C49"/>
    <w:rsid w:val="0084782C"/>
    <w:rsid w:val="008517C6"/>
    <w:rsid w:val="00851C95"/>
    <w:rsid w:val="008521F8"/>
    <w:rsid w:val="0085343D"/>
    <w:rsid w:val="00853DE8"/>
    <w:rsid w:val="00854DD8"/>
    <w:rsid w:val="00855FB0"/>
    <w:rsid w:val="00866FA3"/>
    <w:rsid w:val="00867B0C"/>
    <w:rsid w:val="0087292F"/>
    <w:rsid w:val="0087308E"/>
    <w:rsid w:val="008740BB"/>
    <w:rsid w:val="00875C25"/>
    <w:rsid w:val="00881622"/>
    <w:rsid w:val="00885DF6"/>
    <w:rsid w:val="00886087"/>
    <w:rsid w:val="0089178C"/>
    <w:rsid w:val="00891BD6"/>
    <w:rsid w:val="00893E90"/>
    <w:rsid w:val="008961B5"/>
    <w:rsid w:val="0089705C"/>
    <w:rsid w:val="008A1472"/>
    <w:rsid w:val="008A1500"/>
    <w:rsid w:val="008A3BE0"/>
    <w:rsid w:val="008B16BC"/>
    <w:rsid w:val="008B45C1"/>
    <w:rsid w:val="008B5748"/>
    <w:rsid w:val="008B5880"/>
    <w:rsid w:val="008B6444"/>
    <w:rsid w:val="008C09F1"/>
    <w:rsid w:val="008C46FA"/>
    <w:rsid w:val="008C4F0B"/>
    <w:rsid w:val="008C5D3D"/>
    <w:rsid w:val="008C6738"/>
    <w:rsid w:val="008C6FE3"/>
    <w:rsid w:val="008C75A8"/>
    <w:rsid w:val="008D1072"/>
    <w:rsid w:val="008D1705"/>
    <w:rsid w:val="008D6872"/>
    <w:rsid w:val="008E2D66"/>
    <w:rsid w:val="008E30FC"/>
    <w:rsid w:val="008E418C"/>
    <w:rsid w:val="008E6CF0"/>
    <w:rsid w:val="008E71D9"/>
    <w:rsid w:val="008E743C"/>
    <w:rsid w:val="008E79DC"/>
    <w:rsid w:val="008F04F3"/>
    <w:rsid w:val="008F211A"/>
    <w:rsid w:val="008F31EE"/>
    <w:rsid w:val="008F4438"/>
    <w:rsid w:val="008F48F7"/>
    <w:rsid w:val="008F4E60"/>
    <w:rsid w:val="008F680C"/>
    <w:rsid w:val="008F7DEB"/>
    <w:rsid w:val="00901656"/>
    <w:rsid w:val="00901FF5"/>
    <w:rsid w:val="00902FE9"/>
    <w:rsid w:val="0090659D"/>
    <w:rsid w:val="009109E5"/>
    <w:rsid w:val="00910C39"/>
    <w:rsid w:val="009144B0"/>
    <w:rsid w:val="00914BB3"/>
    <w:rsid w:val="0091629F"/>
    <w:rsid w:val="00917208"/>
    <w:rsid w:val="009174BC"/>
    <w:rsid w:val="00920488"/>
    <w:rsid w:val="00920FA3"/>
    <w:rsid w:val="00922D8D"/>
    <w:rsid w:val="00924049"/>
    <w:rsid w:val="00925837"/>
    <w:rsid w:val="00931A73"/>
    <w:rsid w:val="00932E24"/>
    <w:rsid w:val="00933C73"/>
    <w:rsid w:val="009346FA"/>
    <w:rsid w:val="00937042"/>
    <w:rsid w:val="00937873"/>
    <w:rsid w:val="00940A26"/>
    <w:rsid w:val="009414CF"/>
    <w:rsid w:val="009418B8"/>
    <w:rsid w:val="0094353D"/>
    <w:rsid w:val="00943BE7"/>
    <w:rsid w:val="0094411F"/>
    <w:rsid w:val="009459A6"/>
    <w:rsid w:val="00947FA2"/>
    <w:rsid w:val="00951AB5"/>
    <w:rsid w:val="0095286E"/>
    <w:rsid w:val="00953F63"/>
    <w:rsid w:val="00960954"/>
    <w:rsid w:val="00963876"/>
    <w:rsid w:val="00963B42"/>
    <w:rsid w:val="00963D20"/>
    <w:rsid w:val="00971806"/>
    <w:rsid w:val="00972046"/>
    <w:rsid w:val="009724B3"/>
    <w:rsid w:val="009729C5"/>
    <w:rsid w:val="00974DF2"/>
    <w:rsid w:val="00981E7E"/>
    <w:rsid w:val="00982219"/>
    <w:rsid w:val="00983DAD"/>
    <w:rsid w:val="0098493E"/>
    <w:rsid w:val="009850E7"/>
    <w:rsid w:val="00991779"/>
    <w:rsid w:val="00991FCF"/>
    <w:rsid w:val="009A1476"/>
    <w:rsid w:val="009A2D14"/>
    <w:rsid w:val="009A32A0"/>
    <w:rsid w:val="009A3A29"/>
    <w:rsid w:val="009A59A4"/>
    <w:rsid w:val="009A655A"/>
    <w:rsid w:val="009A733B"/>
    <w:rsid w:val="009B0952"/>
    <w:rsid w:val="009B0EEA"/>
    <w:rsid w:val="009B24EB"/>
    <w:rsid w:val="009B31DE"/>
    <w:rsid w:val="009B373D"/>
    <w:rsid w:val="009B400B"/>
    <w:rsid w:val="009B7A16"/>
    <w:rsid w:val="009C0311"/>
    <w:rsid w:val="009C0B85"/>
    <w:rsid w:val="009C1D3D"/>
    <w:rsid w:val="009C315C"/>
    <w:rsid w:val="009C3620"/>
    <w:rsid w:val="009C4E28"/>
    <w:rsid w:val="009D1B99"/>
    <w:rsid w:val="009D2377"/>
    <w:rsid w:val="009D2CBC"/>
    <w:rsid w:val="009D37CE"/>
    <w:rsid w:val="009D4360"/>
    <w:rsid w:val="009D67BF"/>
    <w:rsid w:val="009D6C2A"/>
    <w:rsid w:val="009E0045"/>
    <w:rsid w:val="009E0428"/>
    <w:rsid w:val="009E190C"/>
    <w:rsid w:val="009E48B5"/>
    <w:rsid w:val="009E5917"/>
    <w:rsid w:val="009E5D19"/>
    <w:rsid w:val="009E7522"/>
    <w:rsid w:val="009E7A93"/>
    <w:rsid w:val="009F2692"/>
    <w:rsid w:val="009F2DDB"/>
    <w:rsid w:val="009F3281"/>
    <w:rsid w:val="009F33B2"/>
    <w:rsid w:val="009F532A"/>
    <w:rsid w:val="009F536E"/>
    <w:rsid w:val="009F5FFC"/>
    <w:rsid w:val="00A0173A"/>
    <w:rsid w:val="00A02C7C"/>
    <w:rsid w:val="00A041B5"/>
    <w:rsid w:val="00A1504C"/>
    <w:rsid w:val="00A17588"/>
    <w:rsid w:val="00A17B74"/>
    <w:rsid w:val="00A23A14"/>
    <w:rsid w:val="00A26150"/>
    <w:rsid w:val="00A30101"/>
    <w:rsid w:val="00A3140F"/>
    <w:rsid w:val="00A31AD6"/>
    <w:rsid w:val="00A33953"/>
    <w:rsid w:val="00A3481C"/>
    <w:rsid w:val="00A40CA7"/>
    <w:rsid w:val="00A410AF"/>
    <w:rsid w:val="00A412F7"/>
    <w:rsid w:val="00A41965"/>
    <w:rsid w:val="00A449AF"/>
    <w:rsid w:val="00A44FF0"/>
    <w:rsid w:val="00A45864"/>
    <w:rsid w:val="00A45DDC"/>
    <w:rsid w:val="00A50E2D"/>
    <w:rsid w:val="00A51AF6"/>
    <w:rsid w:val="00A605F8"/>
    <w:rsid w:val="00A66A21"/>
    <w:rsid w:val="00A70076"/>
    <w:rsid w:val="00A72984"/>
    <w:rsid w:val="00A84194"/>
    <w:rsid w:val="00A86250"/>
    <w:rsid w:val="00A865C6"/>
    <w:rsid w:val="00A8670E"/>
    <w:rsid w:val="00A86B00"/>
    <w:rsid w:val="00A9070C"/>
    <w:rsid w:val="00A91EB3"/>
    <w:rsid w:val="00A9299D"/>
    <w:rsid w:val="00A95571"/>
    <w:rsid w:val="00A9742E"/>
    <w:rsid w:val="00A9761A"/>
    <w:rsid w:val="00AA1385"/>
    <w:rsid w:val="00AA1458"/>
    <w:rsid w:val="00AA149D"/>
    <w:rsid w:val="00AA2FFD"/>
    <w:rsid w:val="00AA4CAF"/>
    <w:rsid w:val="00AA5587"/>
    <w:rsid w:val="00AA64E8"/>
    <w:rsid w:val="00AA713E"/>
    <w:rsid w:val="00AA7D06"/>
    <w:rsid w:val="00AB1F9C"/>
    <w:rsid w:val="00AB5B9C"/>
    <w:rsid w:val="00AB63BC"/>
    <w:rsid w:val="00AC1064"/>
    <w:rsid w:val="00AC21E7"/>
    <w:rsid w:val="00AC52EB"/>
    <w:rsid w:val="00AC68C2"/>
    <w:rsid w:val="00AD0DF3"/>
    <w:rsid w:val="00AD1BA7"/>
    <w:rsid w:val="00AD27D5"/>
    <w:rsid w:val="00AD2AA9"/>
    <w:rsid w:val="00AD4D30"/>
    <w:rsid w:val="00AD4D4A"/>
    <w:rsid w:val="00AD5E56"/>
    <w:rsid w:val="00AE1D83"/>
    <w:rsid w:val="00AE2197"/>
    <w:rsid w:val="00AE27F4"/>
    <w:rsid w:val="00AE2B4A"/>
    <w:rsid w:val="00AE3B1A"/>
    <w:rsid w:val="00AE5C0D"/>
    <w:rsid w:val="00AE5E29"/>
    <w:rsid w:val="00AE6DBA"/>
    <w:rsid w:val="00AF29F4"/>
    <w:rsid w:val="00AF2BE9"/>
    <w:rsid w:val="00AF51BC"/>
    <w:rsid w:val="00AF6822"/>
    <w:rsid w:val="00B011E4"/>
    <w:rsid w:val="00B0177A"/>
    <w:rsid w:val="00B04725"/>
    <w:rsid w:val="00B04B84"/>
    <w:rsid w:val="00B052F1"/>
    <w:rsid w:val="00B11B52"/>
    <w:rsid w:val="00B128E5"/>
    <w:rsid w:val="00B129A5"/>
    <w:rsid w:val="00B1358A"/>
    <w:rsid w:val="00B13F01"/>
    <w:rsid w:val="00B145E4"/>
    <w:rsid w:val="00B15421"/>
    <w:rsid w:val="00B15A60"/>
    <w:rsid w:val="00B22896"/>
    <w:rsid w:val="00B246C2"/>
    <w:rsid w:val="00B25333"/>
    <w:rsid w:val="00B26FA3"/>
    <w:rsid w:val="00B27E17"/>
    <w:rsid w:val="00B30AE6"/>
    <w:rsid w:val="00B415D6"/>
    <w:rsid w:val="00B415E4"/>
    <w:rsid w:val="00B41613"/>
    <w:rsid w:val="00B429D0"/>
    <w:rsid w:val="00B4344B"/>
    <w:rsid w:val="00B43F7C"/>
    <w:rsid w:val="00B44456"/>
    <w:rsid w:val="00B45227"/>
    <w:rsid w:val="00B530AC"/>
    <w:rsid w:val="00B556C5"/>
    <w:rsid w:val="00B57E64"/>
    <w:rsid w:val="00B600CB"/>
    <w:rsid w:val="00B6105E"/>
    <w:rsid w:val="00B636D3"/>
    <w:rsid w:val="00B666AD"/>
    <w:rsid w:val="00B66AE1"/>
    <w:rsid w:val="00B67B84"/>
    <w:rsid w:val="00B70A6A"/>
    <w:rsid w:val="00B74782"/>
    <w:rsid w:val="00B77545"/>
    <w:rsid w:val="00B81760"/>
    <w:rsid w:val="00B81DA1"/>
    <w:rsid w:val="00B81DB1"/>
    <w:rsid w:val="00B82334"/>
    <w:rsid w:val="00B84919"/>
    <w:rsid w:val="00B861D5"/>
    <w:rsid w:val="00B87205"/>
    <w:rsid w:val="00B91B49"/>
    <w:rsid w:val="00B93A2F"/>
    <w:rsid w:val="00B95318"/>
    <w:rsid w:val="00B954BA"/>
    <w:rsid w:val="00B97344"/>
    <w:rsid w:val="00BA0B84"/>
    <w:rsid w:val="00BA11AF"/>
    <w:rsid w:val="00BA1386"/>
    <w:rsid w:val="00BA2D16"/>
    <w:rsid w:val="00BA349B"/>
    <w:rsid w:val="00BA5C76"/>
    <w:rsid w:val="00BA67EA"/>
    <w:rsid w:val="00BA6938"/>
    <w:rsid w:val="00BA79DC"/>
    <w:rsid w:val="00BB033A"/>
    <w:rsid w:val="00BB0AE2"/>
    <w:rsid w:val="00BB1104"/>
    <w:rsid w:val="00BB2D1A"/>
    <w:rsid w:val="00BB41D5"/>
    <w:rsid w:val="00BB6DD3"/>
    <w:rsid w:val="00BB6E96"/>
    <w:rsid w:val="00BC3E9C"/>
    <w:rsid w:val="00BC5693"/>
    <w:rsid w:val="00BD0D79"/>
    <w:rsid w:val="00BD1C8B"/>
    <w:rsid w:val="00BD2401"/>
    <w:rsid w:val="00BD4663"/>
    <w:rsid w:val="00BD7926"/>
    <w:rsid w:val="00BD7F9A"/>
    <w:rsid w:val="00BE1A64"/>
    <w:rsid w:val="00BE233F"/>
    <w:rsid w:val="00BE3DCB"/>
    <w:rsid w:val="00BE4D5D"/>
    <w:rsid w:val="00BE5226"/>
    <w:rsid w:val="00BE60CE"/>
    <w:rsid w:val="00BE6E98"/>
    <w:rsid w:val="00BE7792"/>
    <w:rsid w:val="00BF0262"/>
    <w:rsid w:val="00BF4515"/>
    <w:rsid w:val="00C021E9"/>
    <w:rsid w:val="00C02CBE"/>
    <w:rsid w:val="00C03B0F"/>
    <w:rsid w:val="00C04868"/>
    <w:rsid w:val="00C04990"/>
    <w:rsid w:val="00C057AB"/>
    <w:rsid w:val="00C05C5C"/>
    <w:rsid w:val="00C07CFA"/>
    <w:rsid w:val="00C11271"/>
    <w:rsid w:val="00C11EE6"/>
    <w:rsid w:val="00C13785"/>
    <w:rsid w:val="00C220CF"/>
    <w:rsid w:val="00C22849"/>
    <w:rsid w:val="00C23534"/>
    <w:rsid w:val="00C23814"/>
    <w:rsid w:val="00C25C7E"/>
    <w:rsid w:val="00C27C47"/>
    <w:rsid w:val="00C3271F"/>
    <w:rsid w:val="00C32941"/>
    <w:rsid w:val="00C33125"/>
    <w:rsid w:val="00C33654"/>
    <w:rsid w:val="00C34431"/>
    <w:rsid w:val="00C3491E"/>
    <w:rsid w:val="00C35DCE"/>
    <w:rsid w:val="00C36FB5"/>
    <w:rsid w:val="00C36FBB"/>
    <w:rsid w:val="00C40CD5"/>
    <w:rsid w:val="00C44CEF"/>
    <w:rsid w:val="00C50F11"/>
    <w:rsid w:val="00C51126"/>
    <w:rsid w:val="00C56D84"/>
    <w:rsid w:val="00C630E0"/>
    <w:rsid w:val="00C63996"/>
    <w:rsid w:val="00C64B1F"/>
    <w:rsid w:val="00C64E40"/>
    <w:rsid w:val="00C65266"/>
    <w:rsid w:val="00C65760"/>
    <w:rsid w:val="00C658B7"/>
    <w:rsid w:val="00C67090"/>
    <w:rsid w:val="00C7074F"/>
    <w:rsid w:val="00C7552C"/>
    <w:rsid w:val="00C761E8"/>
    <w:rsid w:val="00C7761D"/>
    <w:rsid w:val="00C77CA3"/>
    <w:rsid w:val="00C809FB"/>
    <w:rsid w:val="00C840A6"/>
    <w:rsid w:val="00C84BF8"/>
    <w:rsid w:val="00C91100"/>
    <w:rsid w:val="00C91910"/>
    <w:rsid w:val="00C963D8"/>
    <w:rsid w:val="00CA0EA1"/>
    <w:rsid w:val="00CA4023"/>
    <w:rsid w:val="00CA7FB4"/>
    <w:rsid w:val="00CB1EAE"/>
    <w:rsid w:val="00CB1FE5"/>
    <w:rsid w:val="00CB3BA4"/>
    <w:rsid w:val="00CB7667"/>
    <w:rsid w:val="00CC0711"/>
    <w:rsid w:val="00CC16E6"/>
    <w:rsid w:val="00CC2F55"/>
    <w:rsid w:val="00CC36E5"/>
    <w:rsid w:val="00CC3793"/>
    <w:rsid w:val="00CC5C56"/>
    <w:rsid w:val="00CD08FA"/>
    <w:rsid w:val="00CD200D"/>
    <w:rsid w:val="00CD29C6"/>
    <w:rsid w:val="00CD3C2C"/>
    <w:rsid w:val="00CD426F"/>
    <w:rsid w:val="00CD6388"/>
    <w:rsid w:val="00CE1852"/>
    <w:rsid w:val="00CE44A4"/>
    <w:rsid w:val="00CE6B7C"/>
    <w:rsid w:val="00CE6C9A"/>
    <w:rsid w:val="00CE6F0C"/>
    <w:rsid w:val="00CF2486"/>
    <w:rsid w:val="00CF2AA9"/>
    <w:rsid w:val="00CF41C0"/>
    <w:rsid w:val="00CF4656"/>
    <w:rsid w:val="00CF674F"/>
    <w:rsid w:val="00CF770B"/>
    <w:rsid w:val="00D000F9"/>
    <w:rsid w:val="00D00F1B"/>
    <w:rsid w:val="00D02708"/>
    <w:rsid w:val="00D04D1C"/>
    <w:rsid w:val="00D075E0"/>
    <w:rsid w:val="00D10C62"/>
    <w:rsid w:val="00D12780"/>
    <w:rsid w:val="00D12D8C"/>
    <w:rsid w:val="00D1556C"/>
    <w:rsid w:val="00D172E3"/>
    <w:rsid w:val="00D200AB"/>
    <w:rsid w:val="00D20C76"/>
    <w:rsid w:val="00D20E67"/>
    <w:rsid w:val="00D214D5"/>
    <w:rsid w:val="00D21B48"/>
    <w:rsid w:val="00D238D1"/>
    <w:rsid w:val="00D254CB"/>
    <w:rsid w:val="00D27475"/>
    <w:rsid w:val="00D31469"/>
    <w:rsid w:val="00D33126"/>
    <w:rsid w:val="00D41C61"/>
    <w:rsid w:val="00D457FF"/>
    <w:rsid w:val="00D45B01"/>
    <w:rsid w:val="00D50E68"/>
    <w:rsid w:val="00D53AD9"/>
    <w:rsid w:val="00D602FD"/>
    <w:rsid w:val="00D61F26"/>
    <w:rsid w:val="00D621AF"/>
    <w:rsid w:val="00D62367"/>
    <w:rsid w:val="00D64945"/>
    <w:rsid w:val="00D65049"/>
    <w:rsid w:val="00D6558E"/>
    <w:rsid w:val="00D6561A"/>
    <w:rsid w:val="00D663BA"/>
    <w:rsid w:val="00D6663D"/>
    <w:rsid w:val="00D67862"/>
    <w:rsid w:val="00D70AC3"/>
    <w:rsid w:val="00D71BF2"/>
    <w:rsid w:val="00D74842"/>
    <w:rsid w:val="00D755FE"/>
    <w:rsid w:val="00D800DF"/>
    <w:rsid w:val="00D804CA"/>
    <w:rsid w:val="00D832B2"/>
    <w:rsid w:val="00D86431"/>
    <w:rsid w:val="00D908CC"/>
    <w:rsid w:val="00D90CD2"/>
    <w:rsid w:val="00D9184A"/>
    <w:rsid w:val="00D92A0E"/>
    <w:rsid w:val="00D96584"/>
    <w:rsid w:val="00D96D90"/>
    <w:rsid w:val="00D979DF"/>
    <w:rsid w:val="00DA1A1D"/>
    <w:rsid w:val="00DA23CC"/>
    <w:rsid w:val="00DA644A"/>
    <w:rsid w:val="00DB33B3"/>
    <w:rsid w:val="00DB4996"/>
    <w:rsid w:val="00DB621C"/>
    <w:rsid w:val="00DB663E"/>
    <w:rsid w:val="00DB72A2"/>
    <w:rsid w:val="00DC0AFC"/>
    <w:rsid w:val="00DC0E21"/>
    <w:rsid w:val="00DC12E2"/>
    <w:rsid w:val="00DC167B"/>
    <w:rsid w:val="00DC2A8E"/>
    <w:rsid w:val="00DC2BCB"/>
    <w:rsid w:val="00DC7BFE"/>
    <w:rsid w:val="00DD2480"/>
    <w:rsid w:val="00DD2A47"/>
    <w:rsid w:val="00DD46D1"/>
    <w:rsid w:val="00DD65D0"/>
    <w:rsid w:val="00DD72CB"/>
    <w:rsid w:val="00DD7709"/>
    <w:rsid w:val="00DE10D9"/>
    <w:rsid w:val="00DE1835"/>
    <w:rsid w:val="00DE23F2"/>
    <w:rsid w:val="00DE3462"/>
    <w:rsid w:val="00DF0DE8"/>
    <w:rsid w:val="00DF32D3"/>
    <w:rsid w:val="00DF528F"/>
    <w:rsid w:val="00E00A84"/>
    <w:rsid w:val="00E03080"/>
    <w:rsid w:val="00E07A47"/>
    <w:rsid w:val="00E1062B"/>
    <w:rsid w:val="00E10670"/>
    <w:rsid w:val="00E12DF4"/>
    <w:rsid w:val="00E132FE"/>
    <w:rsid w:val="00E1343D"/>
    <w:rsid w:val="00E14FD7"/>
    <w:rsid w:val="00E17A14"/>
    <w:rsid w:val="00E211ED"/>
    <w:rsid w:val="00E22318"/>
    <w:rsid w:val="00E22A45"/>
    <w:rsid w:val="00E23D67"/>
    <w:rsid w:val="00E24C43"/>
    <w:rsid w:val="00E26C6D"/>
    <w:rsid w:val="00E3155F"/>
    <w:rsid w:val="00E31A55"/>
    <w:rsid w:val="00E32767"/>
    <w:rsid w:val="00E33D15"/>
    <w:rsid w:val="00E33E1E"/>
    <w:rsid w:val="00E36514"/>
    <w:rsid w:val="00E373E3"/>
    <w:rsid w:val="00E37AC2"/>
    <w:rsid w:val="00E42F08"/>
    <w:rsid w:val="00E443E8"/>
    <w:rsid w:val="00E4443E"/>
    <w:rsid w:val="00E456E5"/>
    <w:rsid w:val="00E524B6"/>
    <w:rsid w:val="00E52509"/>
    <w:rsid w:val="00E5368C"/>
    <w:rsid w:val="00E53BAD"/>
    <w:rsid w:val="00E54D86"/>
    <w:rsid w:val="00E54F45"/>
    <w:rsid w:val="00E573FD"/>
    <w:rsid w:val="00E57846"/>
    <w:rsid w:val="00E60117"/>
    <w:rsid w:val="00E605BB"/>
    <w:rsid w:val="00E60C86"/>
    <w:rsid w:val="00E61B2F"/>
    <w:rsid w:val="00E62AAE"/>
    <w:rsid w:val="00E63255"/>
    <w:rsid w:val="00E64AFB"/>
    <w:rsid w:val="00E71BCA"/>
    <w:rsid w:val="00E739F5"/>
    <w:rsid w:val="00E80645"/>
    <w:rsid w:val="00E81775"/>
    <w:rsid w:val="00E82291"/>
    <w:rsid w:val="00E84B5F"/>
    <w:rsid w:val="00E871A2"/>
    <w:rsid w:val="00E876CC"/>
    <w:rsid w:val="00E9264A"/>
    <w:rsid w:val="00E9333B"/>
    <w:rsid w:val="00E93E5A"/>
    <w:rsid w:val="00E95A9D"/>
    <w:rsid w:val="00E95F2F"/>
    <w:rsid w:val="00E962B4"/>
    <w:rsid w:val="00E96FDA"/>
    <w:rsid w:val="00E96FFA"/>
    <w:rsid w:val="00E9787E"/>
    <w:rsid w:val="00EA135C"/>
    <w:rsid w:val="00EA620A"/>
    <w:rsid w:val="00EA7E66"/>
    <w:rsid w:val="00EB3164"/>
    <w:rsid w:val="00EB474B"/>
    <w:rsid w:val="00EB62F0"/>
    <w:rsid w:val="00EB672E"/>
    <w:rsid w:val="00EC1DC5"/>
    <w:rsid w:val="00EC55BA"/>
    <w:rsid w:val="00EC72FE"/>
    <w:rsid w:val="00EC7A79"/>
    <w:rsid w:val="00ED184F"/>
    <w:rsid w:val="00ED2843"/>
    <w:rsid w:val="00ED2EB0"/>
    <w:rsid w:val="00ED53A5"/>
    <w:rsid w:val="00ED5BE5"/>
    <w:rsid w:val="00ED6756"/>
    <w:rsid w:val="00ED7D8C"/>
    <w:rsid w:val="00EE382C"/>
    <w:rsid w:val="00EE471A"/>
    <w:rsid w:val="00EE6AC9"/>
    <w:rsid w:val="00EF13FF"/>
    <w:rsid w:val="00EF5F40"/>
    <w:rsid w:val="00EF7C4D"/>
    <w:rsid w:val="00F020F8"/>
    <w:rsid w:val="00F0233C"/>
    <w:rsid w:val="00F05926"/>
    <w:rsid w:val="00F067E4"/>
    <w:rsid w:val="00F0682A"/>
    <w:rsid w:val="00F07847"/>
    <w:rsid w:val="00F128F3"/>
    <w:rsid w:val="00F17BBA"/>
    <w:rsid w:val="00F21983"/>
    <w:rsid w:val="00F22019"/>
    <w:rsid w:val="00F258C9"/>
    <w:rsid w:val="00F30014"/>
    <w:rsid w:val="00F300E3"/>
    <w:rsid w:val="00F31287"/>
    <w:rsid w:val="00F31BDA"/>
    <w:rsid w:val="00F322ED"/>
    <w:rsid w:val="00F3601B"/>
    <w:rsid w:val="00F36F7E"/>
    <w:rsid w:val="00F4124B"/>
    <w:rsid w:val="00F421FB"/>
    <w:rsid w:val="00F42CFD"/>
    <w:rsid w:val="00F43D48"/>
    <w:rsid w:val="00F44DD1"/>
    <w:rsid w:val="00F45078"/>
    <w:rsid w:val="00F45704"/>
    <w:rsid w:val="00F50D60"/>
    <w:rsid w:val="00F54911"/>
    <w:rsid w:val="00F56726"/>
    <w:rsid w:val="00F57232"/>
    <w:rsid w:val="00F6138E"/>
    <w:rsid w:val="00F61992"/>
    <w:rsid w:val="00F61FF5"/>
    <w:rsid w:val="00F65DEB"/>
    <w:rsid w:val="00F725B2"/>
    <w:rsid w:val="00F737D8"/>
    <w:rsid w:val="00F73C8C"/>
    <w:rsid w:val="00F73D01"/>
    <w:rsid w:val="00F74589"/>
    <w:rsid w:val="00F75C45"/>
    <w:rsid w:val="00F75F28"/>
    <w:rsid w:val="00F76397"/>
    <w:rsid w:val="00F77C4B"/>
    <w:rsid w:val="00F8389A"/>
    <w:rsid w:val="00F83EE0"/>
    <w:rsid w:val="00F84310"/>
    <w:rsid w:val="00F84D07"/>
    <w:rsid w:val="00F90324"/>
    <w:rsid w:val="00F91B16"/>
    <w:rsid w:val="00F94407"/>
    <w:rsid w:val="00F94AE1"/>
    <w:rsid w:val="00F973A1"/>
    <w:rsid w:val="00FA027B"/>
    <w:rsid w:val="00FA02F6"/>
    <w:rsid w:val="00FA5973"/>
    <w:rsid w:val="00FA6094"/>
    <w:rsid w:val="00FA77B4"/>
    <w:rsid w:val="00FB31EC"/>
    <w:rsid w:val="00FC15E5"/>
    <w:rsid w:val="00FC1BED"/>
    <w:rsid w:val="00FC206A"/>
    <w:rsid w:val="00FC52B8"/>
    <w:rsid w:val="00FC6CD9"/>
    <w:rsid w:val="00FC7D7F"/>
    <w:rsid w:val="00FC7E75"/>
    <w:rsid w:val="00FD4FDE"/>
    <w:rsid w:val="00FD74F4"/>
    <w:rsid w:val="00FE3990"/>
    <w:rsid w:val="00FE4E1A"/>
    <w:rsid w:val="00FE66E9"/>
    <w:rsid w:val="00FF1581"/>
    <w:rsid w:val="00FF198A"/>
    <w:rsid w:val="00FF1C68"/>
    <w:rsid w:val="00FF4C4A"/>
    <w:rsid w:val="00FF6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1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CB"/>
  </w:style>
  <w:style w:type="paragraph" w:styleId="Heading1">
    <w:name w:val="heading 1"/>
    <w:basedOn w:val="Normal"/>
    <w:next w:val="Normal"/>
    <w:link w:val="Heading1Char"/>
    <w:uiPriority w:val="9"/>
    <w:qFormat/>
    <w:rsid w:val="008C6FE3"/>
    <w:pPr>
      <w:keepNext/>
      <w:keepLines/>
      <w:spacing w:before="360"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8C6FE3"/>
    <w:pPr>
      <w:keepNext/>
      <w:keepLines/>
      <w:spacing w:before="240" w:after="240"/>
      <w:outlineLvl w:val="1"/>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8C6FE3"/>
    <w:pPr>
      <w:keepNext/>
      <w:keepLines/>
      <w:spacing w:before="24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E5D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paragraph,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rsid w:val="00AE5E29"/>
    <w:rPr>
      <w:sz w:val="20"/>
      <w:szCs w:val="20"/>
    </w:rPr>
  </w:style>
  <w:style w:type="character" w:styleId="FootnoteReference">
    <w:name w:val="footnote reference"/>
    <w:aliases w:val="16 Point,Superscript 6 Point,ftref,(NECG) Footnote Reference,Fußnotenzeichen DISS,Superscript 6 Point + 11 pt,Normal + Font:9 Point,Superscript 3 Point Times,Ref,de nota al pie,Footnote,Footnote symbol,fr,Footnote Reference Number,4_G"/>
    <w:basedOn w:val="DefaultParagraphFont"/>
    <w:link w:val="footnotenumberCharChar"/>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paragraph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5B38A4"/>
  </w:style>
  <w:style w:type="character" w:customStyle="1" w:styleId="Heading1Char">
    <w:name w:val="Heading 1 Char"/>
    <w:basedOn w:val="DefaultParagraphFont"/>
    <w:link w:val="Heading1"/>
    <w:uiPriority w:val="9"/>
    <w:rsid w:val="008C6FE3"/>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8C6FE3"/>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4F1E69"/>
    <w:rPr>
      <w:color w:val="0000FF" w:themeColor="hyperlink"/>
      <w:u w:val="single"/>
    </w:rPr>
  </w:style>
  <w:style w:type="paragraph" w:styleId="NoSpacing">
    <w:name w:val="No Spacing"/>
    <w:uiPriority w:val="1"/>
    <w:qFormat/>
    <w:rsid w:val="004F1E69"/>
    <w:pPr>
      <w:spacing w:after="0" w:line="240" w:lineRule="auto"/>
    </w:pPr>
  </w:style>
  <w:style w:type="character" w:customStyle="1" w:styleId="st">
    <w:name w:val="st"/>
    <w:basedOn w:val="DefaultParagraphFont"/>
    <w:rsid w:val="0085343D"/>
  </w:style>
  <w:style w:type="character" w:styleId="Emphasis">
    <w:name w:val="Emphasis"/>
    <w:basedOn w:val="DefaultParagraphFont"/>
    <w:uiPriority w:val="20"/>
    <w:qFormat/>
    <w:rsid w:val="0085343D"/>
    <w:rPr>
      <w:i/>
      <w:iCs/>
    </w:rPr>
  </w:style>
  <w:style w:type="paragraph" w:styleId="Revision">
    <w:name w:val="Revision"/>
    <w:hidden/>
    <w:uiPriority w:val="99"/>
    <w:semiHidden/>
    <w:rsid w:val="009D6C2A"/>
    <w:pPr>
      <w:spacing w:after="0" w:line="240" w:lineRule="auto"/>
    </w:p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C03B0F"/>
    <w:pPr>
      <w:spacing w:after="160" w:line="240" w:lineRule="exact"/>
    </w:pPr>
    <w:rPr>
      <w:vertAlign w:val="superscript"/>
    </w:rPr>
  </w:style>
  <w:style w:type="character" w:customStyle="1" w:styleId="Heading4Char">
    <w:name w:val="Heading 4 Char"/>
    <w:basedOn w:val="DefaultParagraphFont"/>
    <w:link w:val="Heading4"/>
    <w:uiPriority w:val="9"/>
    <w:rsid w:val="009E5D19"/>
    <w:rPr>
      <w:rFonts w:asciiTheme="majorHAnsi" w:eastAsiaTheme="majorEastAsia" w:hAnsiTheme="majorHAnsi" w:cstheme="majorBidi"/>
      <w:i/>
      <w:iCs/>
      <w:color w:val="365F91" w:themeColor="accent1" w:themeShade="BF"/>
    </w:rPr>
  </w:style>
  <w:style w:type="paragraph" w:styleId="Quote">
    <w:name w:val="Quote"/>
    <w:basedOn w:val="Normal"/>
    <w:next w:val="Normal"/>
    <w:link w:val="QuoteChar"/>
    <w:uiPriority w:val="29"/>
    <w:qFormat/>
    <w:rsid w:val="00A17588"/>
    <w:pPr>
      <w:spacing w:line="252" w:lineRule="auto"/>
    </w:pPr>
    <w:rPr>
      <w:rFonts w:asciiTheme="majorHAnsi" w:eastAsiaTheme="majorEastAsia" w:hAnsiTheme="majorHAnsi" w:cstheme="majorBidi"/>
      <w:i/>
      <w:iCs/>
      <w:lang w:eastAsia="ja-JP"/>
    </w:rPr>
  </w:style>
  <w:style w:type="character" w:customStyle="1" w:styleId="QuoteChar">
    <w:name w:val="Quote Char"/>
    <w:basedOn w:val="DefaultParagraphFont"/>
    <w:link w:val="Quote"/>
    <w:uiPriority w:val="29"/>
    <w:rsid w:val="00A17588"/>
    <w:rPr>
      <w:rFonts w:asciiTheme="majorHAnsi" w:eastAsiaTheme="majorEastAsia" w:hAnsiTheme="majorHAnsi" w:cstheme="majorBidi"/>
      <w:i/>
      <w:iCs/>
      <w:lang w:eastAsia="ja-JP"/>
    </w:rPr>
  </w:style>
  <w:style w:type="table" w:customStyle="1" w:styleId="TableGrid1">
    <w:name w:val="Table Grid1"/>
    <w:basedOn w:val="TableNormal"/>
    <w:next w:val="TableGrid"/>
    <w:uiPriority w:val="59"/>
    <w:rsid w:val="0063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A5AB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A5ABF"/>
    <w:rPr>
      <w:rFonts w:ascii="Times New Roman" w:hAnsi="Times New Roman" w:cs="Times New Roman"/>
      <w:sz w:val="24"/>
      <w:szCs w:val="24"/>
    </w:rPr>
  </w:style>
  <w:style w:type="paragraph" w:customStyle="1" w:styleId="HChG">
    <w:name w:val="_ H _Ch_G"/>
    <w:basedOn w:val="Normal"/>
    <w:next w:val="Normal"/>
    <w:rsid w:val="004F60D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4F60D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4F60D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eading3Char">
    <w:name w:val="Heading 3 Char"/>
    <w:basedOn w:val="DefaultParagraphFont"/>
    <w:link w:val="Heading3"/>
    <w:uiPriority w:val="9"/>
    <w:rsid w:val="008C6FE3"/>
    <w:rPr>
      <w:rFonts w:asciiTheme="majorHAnsi" w:eastAsiaTheme="majorEastAsia" w:hAnsiTheme="majorHAnsi" w:cstheme="majorBid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CB"/>
  </w:style>
  <w:style w:type="paragraph" w:styleId="Heading1">
    <w:name w:val="heading 1"/>
    <w:basedOn w:val="Normal"/>
    <w:next w:val="Normal"/>
    <w:link w:val="Heading1Char"/>
    <w:uiPriority w:val="9"/>
    <w:qFormat/>
    <w:rsid w:val="008C6FE3"/>
    <w:pPr>
      <w:keepNext/>
      <w:keepLines/>
      <w:spacing w:before="360"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8C6FE3"/>
    <w:pPr>
      <w:keepNext/>
      <w:keepLines/>
      <w:spacing w:before="240" w:after="240"/>
      <w:outlineLvl w:val="1"/>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8C6FE3"/>
    <w:pPr>
      <w:keepNext/>
      <w:keepLines/>
      <w:spacing w:before="24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E5D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paragraph,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rsid w:val="00AE5E29"/>
    <w:rPr>
      <w:sz w:val="20"/>
      <w:szCs w:val="20"/>
    </w:rPr>
  </w:style>
  <w:style w:type="character" w:styleId="FootnoteReference">
    <w:name w:val="footnote reference"/>
    <w:aliases w:val="16 Point,Superscript 6 Point,ftref,(NECG) Footnote Reference,Fußnotenzeichen DISS,Superscript 6 Point + 11 pt,Normal + Font:9 Point,Superscript 3 Point Times,Ref,de nota al pie,Footnote,Footnote symbol,fr,Footnote Reference Number,4_G"/>
    <w:basedOn w:val="DefaultParagraphFont"/>
    <w:link w:val="footnotenumberCharChar"/>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paragraph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5B38A4"/>
  </w:style>
  <w:style w:type="character" w:customStyle="1" w:styleId="Heading1Char">
    <w:name w:val="Heading 1 Char"/>
    <w:basedOn w:val="DefaultParagraphFont"/>
    <w:link w:val="Heading1"/>
    <w:uiPriority w:val="9"/>
    <w:rsid w:val="008C6FE3"/>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8C6FE3"/>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4F1E69"/>
    <w:rPr>
      <w:color w:val="0000FF" w:themeColor="hyperlink"/>
      <w:u w:val="single"/>
    </w:rPr>
  </w:style>
  <w:style w:type="paragraph" w:styleId="NoSpacing">
    <w:name w:val="No Spacing"/>
    <w:uiPriority w:val="1"/>
    <w:qFormat/>
    <w:rsid w:val="004F1E69"/>
    <w:pPr>
      <w:spacing w:after="0" w:line="240" w:lineRule="auto"/>
    </w:pPr>
  </w:style>
  <w:style w:type="character" w:customStyle="1" w:styleId="st">
    <w:name w:val="st"/>
    <w:basedOn w:val="DefaultParagraphFont"/>
    <w:rsid w:val="0085343D"/>
  </w:style>
  <w:style w:type="character" w:styleId="Emphasis">
    <w:name w:val="Emphasis"/>
    <w:basedOn w:val="DefaultParagraphFont"/>
    <w:uiPriority w:val="20"/>
    <w:qFormat/>
    <w:rsid w:val="0085343D"/>
    <w:rPr>
      <w:i/>
      <w:iCs/>
    </w:rPr>
  </w:style>
  <w:style w:type="paragraph" w:styleId="Revision">
    <w:name w:val="Revision"/>
    <w:hidden/>
    <w:uiPriority w:val="99"/>
    <w:semiHidden/>
    <w:rsid w:val="009D6C2A"/>
    <w:pPr>
      <w:spacing w:after="0" w:line="240" w:lineRule="auto"/>
    </w:p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C03B0F"/>
    <w:pPr>
      <w:spacing w:after="160" w:line="240" w:lineRule="exact"/>
    </w:pPr>
    <w:rPr>
      <w:vertAlign w:val="superscript"/>
    </w:rPr>
  </w:style>
  <w:style w:type="character" w:customStyle="1" w:styleId="Heading4Char">
    <w:name w:val="Heading 4 Char"/>
    <w:basedOn w:val="DefaultParagraphFont"/>
    <w:link w:val="Heading4"/>
    <w:uiPriority w:val="9"/>
    <w:rsid w:val="009E5D19"/>
    <w:rPr>
      <w:rFonts w:asciiTheme="majorHAnsi" w:eastAsiaTheme="majorEastAsia" w:hAnsiTheme="majorHAnsi" w:cstheme="majorBidi"/>
      <w:i/>
      <w:iCs/>
      <w:color w:val="365F91" w:themeColor="accent1" w:themeShade="BF"/>
    </w:rPr>
  </w:style>
  <w:style w:type="paragraph" w:styleId="Quote">
    <w:name w:val="Quote"/>
    <w:basedOn w:val="Normal"/>
    <w:next w:val="Normal"/>
    <w:link w:val="QuoteChar"/>
    <w:uiPriority w:val="29"/>
    <w:qFormat/>
    <w:rsid w:val="00A17588"/>
    <w:pPr>
      <w:spacing w:line="252" w:lineRule="auto"/>
    </w:pPr>
    <w:rPr>
      <w:rFonts w:asciiTheme="majorHAnsi" w:eastAsiaTheme="majorEastAsia" w:hAnsiTheme="majorHAnsi" w:cstheme="majorBidi"/>
      <w:i/>
      <w:iCs/>
      <w:lang w:eastAsia="ja-JP"/>
    </w:rPr>
  </w:style>
  <w:style w:type="character" w:customStyle="1" w:styleId="QuoteChar">
    <w:name w:val="Quote Char"/>
    <w:basedOn w:val="DefaultParagraphFont"/>
    <w:link w:val="Quote"/>
    <w:uiPriority w:val="29"/>
    <w:rsid w:val="00A17588"/>
    <w:rPr>
      <w:rFonts w:asciiTheme="majorHAnsi" w:eastAsiaTheme="majorEastAsia" w:hAnsiTheme="majorHAnsi" w:cstheme="majorBidi"/>
      <w:i/>
      <w:iCs/>
      <w:lang w:eastAsia="ja-JP"/>
    </w:rPr>
  </w:style>
  <w:style w:type="table" w:customStyle="1" w:styleId="TableGrid1">
    <w:name w:val="Table Grid1"/>
    <w:basedOn w:val="TableNormal"/>
    <w:next w:val="TableGrid"/>
    <w:uiPriority w:val="59"/>
    <w:rsid w:val="0063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A5AB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A5ABF"/>
    <w:rPr>
      <w:rFonts w:ascii="Times New Roman" w:hAnsi="Times New Roman" w:cs="Times New Roman"/>
      <w:sz w:val="24"/>
      <w:szCs w:val="24"/>
    </w:rPr>
  </w:style>
  <w:style w:type="paragraph" w:customStyle="1" w:styleId="HChG">
    <w:name w:val="_ H _Ch_G"/>
    <w:basedOn w:val="Normal"/>
    <w:next w:val="Normal"/>
    <w:rsid w:val="004F60D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4F60D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4F60D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eading3Char">
    <w:name w:val="Heading 3 Char"/>
    <w:basedOn w:val="DefaultParagraphFont"/>
    <w:link w:val="Heading3"/>
    <w:uiPriority w:val="9"/>
    <w:rsid w:val="008C6FE3"/>
    <w:rPr>
      <w:rFonts w:asciiTheme="majorHAnsi" w:eastAsiaTheme="majorEastAsia" w:hAnsiTheme="majorHAnsi"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712">
      <w:bodyDiv w:val="1"/>
      <w:marLeft w:val="0"/>
      <w:marRight w:val="0"/>
      <w:marTop w:val="0"/>
      <w:marBottom w:val="0"/>
      <w:divBdr>
        <w:top w:val="none" w:sz="0" w:space="0" w:color="auto"/>
        <w:left w:val="none" w:sz="0" w:space="0" w:color="auto"/>
        <w:bottom w:val="none" w:sz="0" w:space="0" w:color="auto"/>
        <w:right w:val="none" w:sz="0" w:space="0" w:color="auto"/>
      </w:divBdr>
    </w:div>
    <w:div w:id="140198915">
      <w:bodyDiv w:val="1"/>
      <w:marLeft w:val="0"/>
      <w:marRight w:val="0"/>
      <w:marTop w:val="0"/>
      <w:marBottom w:val="0"/>
      <w:divBdr>
        <w:top w:val="none" w:sz="0" w:space="0" w:color="auto"/>
        <w:left w:val="none" w:sz="0" w:space="0" w:color="auto"/>
        <w:bottom w:val="none" w:sz="0" w:space="0" w:color="auto"/>
        <w:right w:val="none" w:sz="0" w:space="0" w:color="auto"/>
      </w:divBdr>
    </w:div>
    <w:div w:id="164823991">
      <w:bodyDiv w:val="1"/>
      <w:marLeft w:val="0"/>
      <w:marRight w:val="0"/>
      <w:marTop w:val="0"/>
      <w:marBottom w:val="0"/>
      <w:divBdr>
        <w:top w:val="none" w:sz="0" w:space="0" w:color="auto"/>
        <w:left w:val="none" w:sz="0" w:space="0" w:color="auto"/>
        <w:bottom w:val="none" w:sz="0" w:space="0" w:color="auto"/>
        <w:right w:val="none" w:sz="0" w:space="0" w:color="auto"/>
      </w:divBdr>
    </w:div>
    <w:div w:id="176505761">
      <w:bodyDiv w:val="1"/>
      <w:marLeft w:val="0"/>
      <w:marRight w:val="0"/>
      <w:marTop w:val="0"/>
      <w:marBottom w:val="0"/>
      <w:divBdr>
        <w:top w:val="none" w:sz="0" w:space="0" w:color="auto"/>
        <w:left w:val="none" w:sz="0" w:space="0" w:color="auto"/>
        <w:bottom w:val="none" w:sz="0" w:space="0" w:color="auto"/>
        <w:right w:val="none" w:sz="0" w:space="0" w:color="auto"/>
      </w:divBdr>
    </w:div>
    <w:div w:id="215052689">
      <w:bodyDiv w:val="1"/>
      <w:marLeft w:val="0"/>
      <w:marRight w:val="0"/>
      <w:marTop w:val="0"/>
      <w:marBottom w:val="0"/>
      <w:divBdr>
        <w:top w:val="none" w:sz="0" w:space="0" w:color="auto"/>
        <w:left w:val="none" w:sz="0" w:space="0" w:color="auto"/>
        <w:bottom w:val="none" w:sz="0" w:space="0" w:color="auto"/>
        <w:right w:val="none" w:sz="0" w:space="0" w:color="auto"/>
      </w:divBdr>
    </w:div>
    <w:div w:id="222722957">
      <w:bodyDiv w:val="1"/>
      <w:marLeft w:val="0"/>
      <w:marRight w:val="0"/>
      <w:marTop w:val="0"/>
      <w:marBottom w:val="0"/>
      <w:divBdr>
        <w:top w:val="none" w:sz="0" w:space="0" w:color="auto"/>
        <w:left w:val="none" w:sz="0" w:space="0" w:color="auto"/>
        <w:bottom w:val="none" w:sz="0" w:space="0" w:color="auto"/>
        <w:right w:val="none" w:sz="0" w:space="0" w:color="auto"/>
      </w:divBdr>
    </w:div>
    <w:div w:id="306667622">
      <w:bodyDiv w:val="1"/>
      <w:marLeft w:val="0"/>
      <w:marRight w:val="0"/>
      <w:marTop w:val="0"/>
      <w:marBottom w:val="0"/>
      <w:divBdr>
        <w:top w:val="none" w:sz="0" w:space="0" w:color="auto"/>
        <w:left w:val="none" w:sz="0" w:space="0" w:color="auto"/>
        <w:bottom w:val="none" w:sz="0" w:space="0" w:color="auto"/>
        <w:right w:val="none" w:sz="0" w:space="0" w:color="auto"/>
      </w:divBdr>
    </w:div>
    <w:div w:id="482046051">
      <w:bodyDiv w:val="1"/>
      <w:marLeft w:val="0"/>
      <w:marRight w:val="0"/>
      <w:marTop w:val="0"/>
      <w:marBottom w:val="0"/>
      <w:divBdr>
        <w:top w:val="none" w:sz="0" w:space="0" w:color="auto"/>
        <w:left w:val="none" w:sz="0" w:space="0" w:color="auto"/>
        <w:bottom w:val="none" w:sz="0" w:space="0" w:color="auto"/>
        <w:right w:val="none" w:sz="0" w:space="0" w:color="auto"/>
      </w:divBdr>
    </w:div>
    <w:div w:id="513882510">
      <w:bodyDiv w:val="1"/>
      <w:marLeft w:val="0"/>
      <w:marRight w:val="0"/>
      <w:marTop w:val="0"/>
      <w:marBottom w:val="0"/>
      <w:divBdr>
        <w:top w:val="none" w:sz="0" w:space="0" w:color="auto"/>
        <w:left w:val="none" w:sz="0" w:space="0" w:color="auto"/>
        <w:bottom w:val="none" w:sz="0" w:space="0" w:color="auto"/>
        <w:right w:val="none" w:sz="0" w:space="0" w:color="auto"/>
      </w:divBdr>
    </w:div>
    <w:div w:id="529689602">
      <w:bodyDiv w:val="1"/>
      <w:marLeft w:val="0"/>
      <w:marRight w:val="0"/>
      <w:marTop w:val="0"/>
      <w:marBottom w:val="0"/>
      <w:divBdr>
        <w:top w:val="none" w:sz="0" w:space="0" w:color="auto"/>
        <w:left w:val="none" w:sz="0" w:space="0" w:color="auto"/>
        <w:bottom w:val="none" w:sz="0" w:space="0" w:color="auto"/>
        <w:right w:val="none" w:sz="0" w:space="0" w:color="auto"/>
      </w:divBdr>
      <w:divsChild>
        <w:div w:id="1818760708">
          <w:marLeft w:val="547"/>
          <w:marRight w:val="0"/>
          <w:marTop w:val="0"/>
          <w:marBottom w:val="0"/>
          <w:divBdr>
            <w:top w:val="none" w:sz="0" w:space="0" w:color="auto"/>
            <w:left w:val="none" w:sz="0" w:space="0" w:color="auto"/>
            <w:bottom w:val="none" w:sz="0" w:space="0" w:color="auto"/>
            <w:right w:val="none" w:sz="0" w:space="0" w:color="auto"/>
          </w:divBdr>
        </w:div>
      </w:divsChild>
    </w:div>
    <w:div w:id="561523038">
      <w:bodyDiv w:val="1"/>
      <w:marLeft w:val="0"/>
      <w:marRight w:val="0"/>
      <w:marTop w:val="0"/>
      <w:marBottom w:val="0"/>
      <w:divBdr>
        <w:top w:val="none" w:sz="0" w:space="0" w:color="auto"/>
        <w:left w:val="none" w:sz="0" w:space="0" w:color="auto"/>
        <w:bottom w:val="none" w:sz="0" w:space="0" w:color="auto"/>
        <w:right w:val="none" w:sz="0" w:space="0" w:color="auto"/>
      </w:divBdr>
    </w:div>
    <w:div w:id="630474088">
      <w:bodyDiv w:val="1"/>
      <w:marLeft w:val="0"/>
      <w:marRight w:val="0"/>
      <w:marTop w:val="0"/>
      <w:marBottom w:val="0"/>
      <w:divBdr>
        <w:top w:val="none" w:sz="0" w:space="0" w:color="auto"/>
        <w:left w:val="none" w:sz="0" w:space="0" w:color="auto"/>
        <w:bottom w:val="none" w:sz="0" w:space="0" w:color="auto"/>
        <w:right w:val="none" w:sz="0" w:space="0" w:color="auto"/>
      </w:divBdr>
    </w:div>
    <w:div w:id="664624776">
      <w:bodyDiv w:val="1"/>
      <w:marLeft w:val="0"/>
      <w:marRight w:val="0"/>
      <w:marTop w:val="0"/>
      <w:marBottom w:val="0"/>
      <w:divBdr>
        <w:top w:val="none" w:sz="0" w:space="0" w:color="auto"/>
        <w:left w:val="none" w:sz="0" w:space="0" w:color="auto"/>
        <w:bottom w:val="none" w:sz="0" w:space="0" w:color="auto"/>
        <w:right w:val="none" w:sz="0" w:space="0" w:color="auto"/>
      </w:divBdr>
    </w:div>
    <w:div w:id="794828929">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31143020">
      <w:bodyDiv w:val="1"/>
      <w:marLeft w:val="0"/>
      <w:marRight w:val="0"/>
      <w:marTop w:val="0"/>
      <w:marBottom w:val="0"/>
      <w:divBdr>
        <w:top w:val="none" w:sz="0" w:space="0" w:color="auto"/>
        <w:left w:val="none" w:sz="0" w:space="0" w:color="auto"/>
        <w:bottom w:val="none" w:sz="0" w:space="0" w:color="auto"/>
        <w:right w:val="none" w:sz="0" w:space="0" w:color="auto"/>
      </w:divBdr>
    </w:div>
    <w:div w:id="868375950">
      <w:bodyDiv w:val="1"/>
      <w:marLeft w:val="0"/>
      <w:marRight w:val="0"/>
      <w:marTop w:val="0"/>
      <w:marBottom w:val="0"/>
      <w:divBdr>
        <w:top w:val="none" w:sz="0" w:space="0" w:color="auto"/>
        <w:left w:val="none" w:sz="0" w:space="0" w:color="auto"/>
        <w:bottom w:val="none" w:sz="0" w:space="0" w:color="auto"/>
        <w:right w:val="none" w:sz="0" w:space="0" w:color="auto"/>
      </w:divBdr>
    </w:div>
    <w:div w:id="902569469">
      <w:bodyDiv w:val="1"/>
      <w:marLeft w:val="0"/>
      <w:marRight w:val="0"/>
      <w:marTop w:val="0"/>
      <w:marBottom w:val="0"/>
      <w:divBdr>
        <w:top w:val="none" w:sz="0" w:space="0" w:color="auto"/>
        <w:left w:val="none" w:sz="0" w:space="0" w:color="auto"/>
        <w:bottom w:val="none" w:sz="0" w:space="0" w:color="auto"/>
        <w:right w:val="none" w:sz="0" w:space="0" w:color="auto"/>
      </w:divBdr>
      <w:divsChild>
        <w:div w:id="1868592438">
          <w:marLeft w:val="547"/>
          <w:marRight w:val="0"/>
          <w:marTop w:val="0"/>
          <w:marBottom w:val="0"/>
          <w:divBdr>
            <w:top w:val="none" w:sz="0" w:space="0" w:color="auto"/>
            <w:left w:val="none" w:sz="0" w:space="0" w:color="auto"/>
            <w:bottom w:val="none" w:sz="0" w:space="0" w:color="auto"/>
            <w:right w:val="none" w:sz="0" w:space="0" w:color="auto"/>
          </w:divBdr>
        </w:div>
      </w:divsChild>
    </w:div>
    <w:div w:id="1297298342">
      <w:bodyDiv w:val="1"/>
      <w:marLeft w:val="0"/>
      <w:marRight w:val="0"/>
      <w:marTop w:val="0"/>
      <w:marBottom w:val="0"/>
      <w:divBdr>
        <w:top w:val="none" w:sz="0" w:space="0" w:color="auto"/>
        <w:left w:val="none" w:sz="0" w:space="0" w:color="auto"/>
        <w:bottom w:val="none" w:sz="0" w:space="0" w:color="auto"/>
        <w:right w:val="none" w:sz="0" w:space="0" w:color="auto"/>
      </w:divBdr>
    </w:div>
    <w:div w:id="1385175480">
      <w:bodyDiv w:val="1"/>
      <w:marLeft w:val="0"/>
      <w:marRight w:val="0"/>
      <w:marTop w:val="0"/>
      <w:marBottom w:val="0"/>
      <w:divBdr>
        <w:top w:val="none" w:sz="0" w:space="0" w:color="auto"/>
        <w:left w:val="none" w:sz="0" w:space="0" w:color="auto"/>
        <w:bottom w:val="none" w:sz="0" w:space="0" w:color="auto"/>
        <w:right w:val="none" w:sz="0" w:space="0" w:color="auto"/>
      </w:divBdr>
    </w:div>
    <w:div w:id="1415396792">
      <w:bodyDiv w:val="1"/>
      <w:marLeft w:val="0"/>
      <w:marRight w:val="0"/>
      <w:marTop w:val="0"/>
      <w:marBottom w:val="0"/>
      <w:divBdr>
        <w:top w:val="none" w:sz="0" w:space="0" w:color="auto"/>
        <w:left w:val="none" w:sz="0" w:space="0" w:color="auto"/>
        <w:bottom w:val="none" w:sz="0" w:space="0" w:color="auto"/>
        <w:right w:val="none" w:sz="0" w:space="0" w:color="auto"/>
      </w:divBdr>
    </w:div>
    <w:div w:id="1416319672">
      <w:bodyDiv w:val="1"/>
      <w:marLeft w:val="0"/>
      <w:marRight w:val="0"/>
      <w:marTop w:val="0"/>
      <w:marBottom w:val="0"/>
      <w:divBdr>
        <w:top w:val="none" w:sz="0" w:space="0" w:color="auto"/>
        <w:left w:val="none" w:sz="0" w:space="0" w:color="auto"/>
        <w:bottom w:val="none" w:sz="0" w:space="0" w:color="auto"/>
        <w:right w:val="none" w:sz="0" w:space="0" w:color="auto"/>
      </w:divBdr>
    </w:div>
    <w:div w:id="1472669850">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85188398">
      <w:bodyDiv w:val="1"/>
      <w:marLeft w:val="0"/>
      <w:marRight w:val="0"/>
      <w:marTop w:val="0"/>
      <w:marBottom w:val="0"/>
      <w:divBdr>
        <w:top w:val="none" w:sz="0" w:space="0" w:color="auto"/>
        <w:left w:val="none" w:sz="0" w:space="0" w:color="auto"/>
        <w:bottom w:val="none" w:sz="0" w:space="0" w:color="auto"/>
        <w:right w:val="none" w:sz="0" w:space="0" w:color="auto"/>
      </w:divBdr>
    </w:div>
    <w:div w:id="1585455139">
      <w:bodyDiv w:val="1"/>
      <w:marLeft w:val="0"/>
      <w:marRight w:val="0"/>
      <w:marTop w:val="0"/>
      <w:marBottom w:val="0"/>
      <w:divBdr>
        <w:top w:val="none" w:sz="0" w:space="0" w:color="auto"/>
        <w:left w:val="none" w:sz="0" w:space="0" w:color="auto"/>
        <w:bottom w:val="none" w:sz="0" w:space="0" w:color="auto"/>
        <w:right w:val="none" w:sz="0" w:space="0" w:color="auto"/>
      </w:divBdr>
    </w:div>
    <w:div w:id="1606158454">
      <w:bodyDiv w:val="1"/>
      <w:marLeft w:val="0"/>
      <w:marRight w:val="0"/>
      <w:marTop w:val="0"/>
      <w:marBottom w:val="0"/>
      <w:divBdr>
        <w:top w:val="none" w:sz="0" w:space="0" w:color="auto"/>
        <w:left w:val="none" w:sz="0" w:space="0" w:color="auto"/>
        <w:bottom w:val="none" w:sz="0" w:space="0" w:color="auto"/>
        <w:right w:val="none" w:sz="0" w:space="0" w:color="auto"/>
      </w:divBdr>
    </w:div>
    <w:div w:id="1634168298">
      <w:bodyDiv w:val="1"/>
      <w:marLeft w:val="0"/>
      <w:marRight w:val="0"/>
      <w:marTop w:val="0"/>
      <w:marBottom w:val="0"/>
      <w:divBdr>
        <w:top w:val="none" w:sz="0" w:space="0" w:color="auto"/>
        <w:left w:val="none" w:sz="0" w:space="0" w:color="auto"/>
        <w:bottom w:val="none" w:sz="0" w:space="0" w:color="auto"/>
        <w:right w:val="none" w:sz="0" w:space="0" w:color="auto"/>
      </w:divBdr>
    </w:div>
    <w:div w:id="1667636705">
      <w:bodyDiv w:val="1"/>
      <w:marLeft w:val="0"/>
      <w:marRight w:val="0"/>
      <w:marTop w:val="0"/>
      <w:marBottom w:val="0"/>
      <w:divBdr>
        <w:top w:val="none" w:sz="0" w:space="0" w:color="auto"/>
        <w:left w:val="none" w:sz="0" w:space="0" w:color="auto"/>
        <w:bottom w:val="none" w:sz="0" w:space="0" w:color="auto"/>
        <w:right w:val="none" w:sz="0" w:space="0" w:color="auto"/>
      </w:divBdr>
    </w:div>
    <w:div w:id="1747150290">
      <w:bodyDiv w:val="1"/>
      <w:marLeft w:val="0"/>
      <w:marRight w:val="0"/>
      <w:marTop w:val="0"/>
      <w:marBottom w:val="0"/>
      <w:divBdr>
        <w:top w:val="none" w:sz="0" w:space="0" w:color="auto"/>
        <w:left w:val="none" w:sz="0" w:space="0" w:color="auto"/>
        <w:bottom w:val="none" w:sz="0" w:space="0" w:color="auto"/>
        <w:right w:val="none" w:sz="0" w:space="0" w:color="auto"/>
      </w:divBdr>
    </w:div>
    <w:div w:id="1825781389">
      <w:bodyDiv w:val="1"/>
      <w:marLeft w:val="0"/>
      <w:marRight w:val="0"/>
      <w:marTop w:val="0"/>
      <w:marBottom w:val="0"/>
      <w:divBdr>
        <w:top w:val="none" w:sz="0" w:space="0" w:color="auto"/>
        <w:left w:val="none" w:sz="0" w:space="0" w:color="auto"/>
        <w:bottom w:val="none" w:sz="0" w:space="0" w:color="auto"/>
        <w:right w:val="none" w:sz="0" w:space="0" w:color="auto"/>
      </w:divBdr>
    </w:div>
    <w:div w:id="1835804203">
      <w:bodyDiv w:val="1"/>
      <w:marLeft w:val="0"/>
      <w:marRight w:val="0"/>
      <w:marTop w:val="0"/>
      <w:marBottom w:val="0"/>
      <w:divBdr>
        <w:top w:val="none" w:sz="0" w:space="0" w:color="auto"/>
        <w:left w:val="none" w:sz="0" w:space="0" w:color="auto"/>
        <w:bottom w:val="none" w:sz="0" w:space="0" w:color="auto"/>
        <w:right w:val="none" w:sz="0" w:space="0" w:color="auto"/>
      </w:divBdr>
    </w:div>
    <w:div w:id="1993605400">
      <w:bodyDiv w:val="1"/>
      <w:marLeft w:val="0"/>
      <w:marRight w:val="0"/>
      <w:marTop w:val="0"/>
      <w:marBottom w:val="0"/>
      <w:divBdr>
        <w:top w:val="none" w:sz="0" w:space="0" w:color="auto"/>
        <w:left w:val="none" w:sz="0" w:space="0" w:color="auto"/>
        <w:bottom w:val="none" w:sz="0" w:space="0" w:color="auto"/>
        <w:right w:val="none" w:sz="0" w:space="0" w:color="auto"/>
      </w:divBdr>
    </w:div>
    <w:div w:id="2038776586">
      <w:bodyDiv w:val="1"/>
      <w:marLeft w:val="0"/>
      <w:marRight w:val="0"/>
      <w:marTop w:val="0"/>
      <w:marBottom w:val="0"/>
      <w:divBdr>
        <w:top w:val="none" w:sz="0" w:space="0" w:color="auto"/>
        <w:left w:val="none" w:sz="0" w:space="0" w:color="auto"/>
        <w:bottom w:val="none" w:sz="0" w:space="0" w:color="auto"/>
        <w:right w:val="none" w:sz="0" w:space="0" w:color="auto"/>
      </w:divBdr>
    </w:div>
    <w:div w:id="20723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8C31-0C20-4BA6-B23A-7B5276C0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23</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emanuele.sapienza</dc:creator>
  <cp:keywords/>
  <dc:description/>
  <cp:lastModifiedBy>Windows User</cp:lastModifiedBy>
  <cp:revision>21</cp:revision>
  <cp:lastPrinted>2018-01-25T01:23:00Z</cp:lastPrinted>
  <dcterms:created xsi:type="dcterms:W3CDTF">2018-01-19T05:46:00Z</dcterms:created>
  <dcterms:modified xsi:type="dcterms:W3CDTF">2018-02-06T13:01:00Z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