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3553"/>
        <w:gridCol w:w="5105"/>
        <w:gridCol w:w="1710"/>
      </w:tblGrid>
      <w:tr w:rsidR="001114B2" w:rsidRPr="00C5660F" w14:paraId="6878E9BD" w14:textId="77777777" w:rsidTr="00C5660F">
        <w:trPr>
          <w:trHeight w:val="1745"/>
        </w:trPr>
        <w:tc>
          <w:tcPr>
            <w:tcW w:w="3553" w:type="dxa"/>
            <w:shd w:val="clear" w:color="auto" w:fill="auto"/>
          </w:tcPr>
          <w:p w14:paraId="778B761C" w14:textId="1B735DF3" w:rsidR="001114B2" w:rsidRPr="00C5660F" w:rsidRDefault="00D542AE" w:rsidP="00C5660F">
            <w:pPr>
              <w:jc w:val="right"/>
              <w:rPr>
                <w:sz w:val="28"/>
                <w:szCs w:val="28"/>
              </w:rPr>
            </w:pPr>
            <w:r>
              <w:rPr>
                <w:noProof/>
              </w:rPr>
              <mc:AlternateContent>
                <mc:Choice Requires="wps">
                  <w:drawing>
                    <wp:anchor distT="0" distB="0" distL="114300" distR="114300" simplePos="0" relativeHeight="251658752" behindDoc="0" locked="0" layoutInCell="1" allowOverlap="1" wp14:anchorId="6A414EDA" wp14:editId="666EDF09">
                      <wp:simplePos x="0" y="0"/>
                      <wp:positionH relativeFrom="column">
                        <wp:posOffset>-40005</wp:posOffset>
                      </wp:positionH>
                      <wp:positionV relativeFrom="paragraph">
                        <wp:posOffset>-1905</wp:posOffset>
                      </wp:positionV>
                      <wp:extent cx="562610" cy="1059815"/>
                      <wp:effectExtent l="0" t="0" r="0" b="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2610" cy="105981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C3C62" id="AutoShape 6" o:spid="_x0000_s1026" style="position:absolute;margin-left:-3.15pt;margin-top:-.15pt;width:44.3pt;height:8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" filled="f" stroked="f"/>
                  </w:pict>
                </mc:Fallback>
              </mc:AlternateContent>
            </w:r>
          </w:p>
          <w:p w14:paraId="3C3F0CC7" w14:textId="23EEEF3F" w:rsidR="001114B2" w:rsidRPr="00C5660F" w:rsidRDefault="00CB2D6C" w:rsidP="001114B2">
            <w:pPr>
              <w:rPr>
                <w:sz w:val="28"/>
                <w:szCs w:val="28"/>
              </w:rPr>
            </w:pPr>
            <w:r>
              <w:rPr>
                <w:noProof/>
              </w:rPr>
              <w:drawing>
                <wp:anchor distT="0" distB="0" distL="114300" distR="114300" simplePos="0" relativeHeight="251657728" behindDoc="0" locked="0" layoutInCell="1" allowOverlap="1" wp14:anchorId="17A99AF6" wp14:editId="2C64A420">
                  <wp:simplePos x="0" y="0"/>
                  <wp:positionH relativeFrom="column">
                    <wp:posOffset>221615</wp:posOffset>
                  </wp:positionH>
                  <wp:positionV relativeFrom="paragraph">
                    <wp:posOffset>128270</wp:posOffset>
                  </wp:positionV>
                  <wp:extent cx="1495425" cy="540385"/>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5403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05" w:type="dxa"/>
            <w:shd w:val="clear" w:color="auto" w:fill="auto"/>
          </w:tcPr>
          <w:p w14:paraId="59DA0AD4" w14:textId="42006351" w:rsidR="001114B2" w:rsidRDefault="001114B2" w:rsidP="00C5660F">
            <w:pPr>
              <w:jc w:val="right"/>
              <w:rPr>
                <w:noProof/>
              </w:rPr>
            </w:pPr>
          </w:p>
          <w:p w14:paraId="1CDE4D5F" w14:textId="063B0DD6" w:rsidR="001114B2" w:rsidRDefault="001114B2" w:rsidP="00C5660F">
            <w:pPr>
              <w:jc w:val="right"/>
              <w:rPr>
                <w:noProof/>
              </w:rPr>
            </w:pPr>
          </w:p>
          <w:p w14:paraId="174AEDA3" w14:textId="77777777" w:rsidR="001114B2" w:rsidRPr="00C5660F" w:rsidRDefault="001114B2" w:rsidP="00C5660F">
            <w:pPr>
              <w:jc w:val="right"/>
              <w:rPr>
                <w:b/>
                <w:sz w:val="28"/>
                <w:szCs w:val="28"/>
                <w:u w:val="single"/>
              </w:rPr>
            </w:pPr>
          </w:p>
        </w:tc>
        <w:tc>
          <w:tcPr>
            <w:tcW w:w="1710" w:type="dxa"/>
            <w:shd w:val="clear" w:color="auto" w:fill="auto"/>
          </w:tcPr>
          <w:p w14:paraId="1DBC9416" w14:textId="66FB79D8" w:rsidR="00CB2D6C" w:rsidRDefault="00CB2D6C" w:rsidP="00C5660F">
            <w:pPr>
              <w:jc w:val="right"/>
              <w:rPr>
                <w:b/>
                <w:sz w:val="28"/>
                <w:szCs w:val="28"/>
                <w:u w:val="single"/>
              </w:rPr>
            </w:pPr>
            <w:r w:rsidRPr="00165286">
              <w:rPr>
                <w:b/>
                <w:noProof/>
                <w:sz w:val="28"/>
                <w:szCs w:val="28"/>
              </w:rPr>
              <w:drawing>
                <wp:anchor distT="0" distB="0" distL="114300" distR="114300" simplePos="0" relativeHeight="251661824" behindDoc="0" locked="0" layoutInCell="1" allowOverlap="1" wp14:anchorId="09775CFF" wp14:editId="41F67C80">
                  <wp:simplePos x="0" y="0"/>
                  <wp:positionH relativeFrom="column">
                    <wp:posOffset>-1271</wp:posOffset>
                  </wp:positionH>
                  <wp:positionV relativeFrom="paragraph">
                    <wp:posOffset>-19196</wp:posOffset>
                  </wp:positionV>
                  <wp:extent cx="619125" cy="1000124"/>
                  <wp:effectExtent l="0" t="0" r="0" b="0"/>
                  <wp:wrapNone/>
                  <wp:docPr id="9" name="Picture 9" descr="UNDP_Logo-Blue hos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_Logo-Blue hos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0999" cy="100315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8B3B91" w14:textId="4371273F" w:rsidR="001114B2" w:rsidRPr="00C5660F" w:rsidRDefault="00D542AE" w:rsidP="00C5660F">
            <w:pPr>
              <w:jc w:val="right"/>
              <w:rPr>
                <w:b/>
                <w:sz w:val="28"/>
                <w:szCs w:val="28"/>
                <w:u w:val="single"/>
              </w:rPr>
            </w:pPr>
            <w:r w:rsidRPr="00C5660F">
              <w:rPr>
                <w:b/>
                <w:iCs/>
                <w:noProof/>
                <w:color w:val="333399"/>
              </w:rPr>
              <mc:AlternateContent>
                <mc:Choice Requires="wps">
                  <w:drawing>
                    <wp:inline distT="0" distB="0" distL="0" distR="0" wp14:anchorId="0C4A1D87" wp14:editId="125B74C0">
                      <wp:extent cx="355600" cy="677545"/>
                      <wp:effectExtent l="0" t="0" r="0" b="0"/>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0" cy="677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4BECA0" id="AutoShape 1" o:spid="_x0000_s1026" style="width:28pt;height:5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" filled="f" stroked="f">
                      <v:path arrowok="t"/>
                      <w10:anchorlock/>
                    </v:rect>
                  </w:pict>
                </mc:Fallback>
              </mc:AlternateContent>
            </w:r>
          </w:p>
        </w:tc>
      </w:tr>
    </w:tbl>
    <w:p w14:paraId="01ABDD1E" w14:textId="77777777" w:rsidR="00DC2125" w:rsidRPr="00DC2125" w:rsidRDefault="00DC2125" w:rsidP="006D60B5">
      <w:pPr>
        <w:jc w:val="center"/>
        <w:rPr>
          <w:b/>
          <w:bCs/>
          <w:iCs/>
        </w:rPr>
      </w:pPr>
      <w:r w:rsidRPr="00DC2125">
        <w:rPr>
          <w:b/>
          <w:bCs/>
          <w:iCs/>
        </w:rPr>
        <w:t>Enhancing the IMDFF-DR Secretariat Support Capacity for Post-Disaster Recovery Governance</w:t>
      </w:r>
    </w:p>
    <w:p w14:paraId="394E7921" w14:textId="68CD5D8B" w:rsidR="00875706" w:rsidRDefault="00875706" w:rsidP="00875706">
      <w:pPr>
        <w:jc w:val="center"/>
        <w:rPr>
          <w:b/>
          <w:bCs/>
          <w:caps/>
        </w:rPr>
      </w:pPr>
      <w:r w:rsidRPr="00675DCC">
        <w:rPr>
          <w:b/>
          <w:bCs/>
          <w:caps/>
        </w:rPr>
        <w:t>ANNUAL</w:t>
      </w:r>
      <w:r>
        <w:rPr>
          <w:b/>
          <w:bCs/>
          <w:caps/>
        </w:rPr>
        <w:t xml:space="preserve"> programme</w:t>
      </w:r>
      <w:r>
        <w:rPr>
          <w:rStyle w:val="FootnoteReference"/>
          <w:b/>
          <w:bCs/>
          <w:caps/>
        </w:rPr>
        <w:footnoteReference w:id="1"/>
      </w:r>
      <w:r w:rsidRPr="00675DCC">
        <w:rPr>
          <w:b/>
          <w:bCs/>
          <w:caps/>
        </w:rPr>
        <w:t xml:space="preserve"> NARRATIVE progress report </w:t>
      </w:r>
    </w:p>
    <w:p w14:paraId="1289A76F" w14:textId="77777777" w:rsidR="00875706" w:rsidRDefault="00875706" w:rsidP="00875706">
      <w:pPr>
        <w:jc w:val="center"/>
        <w:rPr>
          <w:b/>
          <w:bCs/>
          <w:caps/>
        </w:rPr>
      </w:pPr>
      <w:r>
        <w:rPr>
          <w:b/>
          <w:bCs/>
          <w:caps/>
        </w:rPr>
        <w:t>REPORTING PERI</w:t>
      </w:r>
      <w:r w:rsidR="00E93034">
        <w:rPr>
          <w:b/>
          <w:bCs/>
          <w:caps/>
        </w:rPr>
        <w:t>OD: 1 january – 31 December 201</w:t>
      </w:r>
      <w:r w:rsidR="00322B8A">
        <w:rPr>
          <w:b/>
          <w:bCs/>
          <w:caps/>
        </w:rPr>
        <w:t>9</w:t>
      </w:r>
    </w:p>
    <w:p w14:paraId="45E8F988" w14:textId="77777777" w:rsidR="00B533B9" w:rsidRDefault="00B533B9" w:rsidP="00875706">
      <w:pPr>
        <w:jc w:val="center"/>
        <w:rPr>
          <w:b/>
          <w:bCs/>
          <w:caps/>
        </w:rPr>
      </w:pPr>
    </w:p>
    <w:p w14:paraId="15B9B6B1" w14:textId="77777777" w:rsidR="00B533B9" w:rsidRDefault="00B533B9" w:rsidP="00875706">
      <w:pPr>
        <w:jc w:val="center"/>
        <w:rPr>
          <w:b/>
          <w:bCs/>
          <w:caps/>
        </w:rPr>
      </w:pPr>
    </w:p>
    <w:tbl>
      <w:tblPr>
        <w:tblW w:w="10386" w:type="dxa"/>
        <w:jc w:val="center"/>
        <w:tblLayout w:type="fixed"/>
        <w:tblLook w:val="01E0" w:firstRow="1" w:lastRow="1" w:firstColumn="1" w:lastColumn="1" w:noHBand="0" w:noVBand="0"/>
      </w:tblPr>
      <w:tblGrid>
        <w:gridCol w:w="2970"/>
        <w:gridCol w:w="2172"/>
        <w:gridCol w:w="258"/>
        <w:gridCol w:w="3002"/>
        <w:gridCol w:w="1984"/>
      </w:tblGrid>
      <w:tr w:rsidR="00875706" w:rsidRPr="00B533B9" w14:paraId="5C3EE4DD" w14:textId="77777777" w:rsidTr="008B5E99">
        <w:trPr>
          <w:trHeight w:val="206"/>
          <w:jc w:val="center"/>
        </w:trPr>
        <w:tc>
          <w:tcPr>
            <w:tcW w:w="5142" w:type="dxa"/>
            <w:gridSpan w:val="2"/>
            <w:tcBorders>
              <w:top w:val="single" w:sz="4" w:space="0" w:color="auto"/>
              <w:left w:val="single" w:sz="4" w:space="0" w:color="auto"/>
              <w:right w:val="single" w:sz="4" w:space="0" w:color="auto"/>
            </w:tcBorders>
            <w:shd w:val="clear" w:color="auto" w:fill="F3F3F3"/>
            <w:vAlign w:val="center"/>
          </w:tcPr>
          <w:p w14:paraId="10A26771" w14:textId="77777777" w:rsidR="00875706" w:rsidRPr="00B533B9" w:rsidRDefault="00875706" w:rsidP="00C5660F">
            <w:pPr>
              <w:pStyle w:val="H1"/>
              <w:jc w:val="center"/>
              <w:rPr>
                <w:rFonts w:cs="Times New Roman"/>
                <w:szCs w:val="24"/>
              </w:rPr>
            </w:pPr>
            <w:r w:rsidRPr="00B533B9">
              <w:rPr>
                <w:rFonts w:cs="Times New Roman"/>
                <w:szCs w:val="24"/>
              </w:rPr>
              <w:t>Programme Title &amp; Project Number</w:t>
            </w:r>
          </w:p>
        </w:tc>
        <w:tc>
          <w:tcPr>
            <w:tcW w:w="258" w:type="dxa"/>
            <w:vMerge w:val="restart"/>
            <w:tcBorders>
              <w:left w:val="single" w:sz="4" w:space="0" w:color="auto"/>
              <w:right w:val="single" w:sz="4" w:space="0" w:color="auto"/>
            </w:tcBorders>
            <w:vAlign w:val="center"/>
          </w:tcPr>
          <w:p w14:paraId="416703F0" w14:textId="77777777" w:rsidR="00875706" w:rsidRPr="00B533B9" w:rsidRDefault="00875706" w:rsidP="00C5660F">
            <w:pPr>
              <w:jc w:val="center"/>
            </w:pPr>
          </w:p>
        </w:tc>
        <w:tc>
          <w:tcPr>
            <w:tcW w:w="4986" w:type="dxa"/>
            <w:gridSpan w:val="2"/>
            <w:tcBorders>
              <w:top w:val="single" w:sz="4" w:space="0" w:color="auto"/>
              <w:left w:val="single" w:sz="4" w:space="0" w:color="auto"/>
              <w:right w:val="single" w:sz="4" w:space="0" w:color="auto"/>
            </w:tcBorders>
            <w:shd w:val="clear" w:color="auto" w:fill="F3F3F3"/>
            <w:vAlign w:val="center"/>
          </w:tcPr>
          <w:p w14:paraId="280ED645" w14:textId="77777777" w:rsidR="00875706" w:rsidRPr="00B533B9" w:rsidRDefault="00875706" w:rsidP="00C5660F">
            <w:pPr>
              <w:pStyle w:val="H1"/>
              <w:jc w:val="center"/>
              <w:rPr>
                <w:rFonts w:cs="Times New Roman"/>
                <w:szCs w:val="24"/>
              </w:rPr>
            </w:pPr>
            <w:r w:rsidRPr="00B533B9">
              <w:rPr>
                <w:rFonts w:cs="Times New Roman"/>
                <w:szCs w:val="24"/>
              </w:rPr>
              <w:t>Country, Locality(s), Priority Area(s) / Strategic Results</w:t>
            </w:r>
            <w:r w:rsidRPr="00B533B9">
              <w:rPr>
                <w:rStyle w:val="FootnoteReference"/>
                <w:rFonts w:cs="Times New Roman"/>
                <w:szCs w:val="24"/>
              </w:rPr>
              <w:footnoteReference w:id="2"/>
            </w:r>
          </w:p>
        </w:tc>
      </w:tr>
      <w:tr w:rsidR="00875706" w:rsidRPr="00B533B9" w14:paraId="67289617" w14:textId="77777777" w:rsidTr="008B5E99">
        <w:trPr>
          <w:trHeight w:val="300"/>
          <w:jc w:val="center"/>
        </w:trPr>
        <w:tc>
          <w:tcPr>
            <w:tcW w:w="5142" w:type="dxa"/>
            <w:gridSpan w:val="2"/>
            <w:vMerge w:val="restart"/>
            <w:tcBorders>
              <w:left w:val="single" w:sz="4" w:space="0" w:color="auto"/>
              <w:right w:val="single" w:sz="4" w:space="0" w:color="auto"/>
            </w:tcBorders>
          </w:tcPr>
          <w:p w14:paraId="73DEDD48" w14:textId="77777777" w:rsidR="00DC2125" w:rsidRPr="00B533B9" w:rsidRDefault="00875706" w:rsidP="005E6A31">
            <w:pPr>
              <w:pStyle w:val="BodyText"/>
              <w:numPr>
                <w:ilvl w:val="0"/>
                <w:numId w:val="2"/>
              </w:numPr>
              <w:spacing w:before="60" w:after="60"/>
              <w:ind w:left="342"/>
              <w:jc w:val="both"/>
              <w:rPr>
                <w:rFonts w:ascii="Times New Roman" w:hAnsi="Times New Roman" w:cs="Times New Roman"/>
                <w:bCs/>
                <w:iCs/>
                <w:snapToGrid w:val="0"/>
                <w:sz w:val="24"/>
                <w:szCs w:val="24"/>
              </w:rPr>
            </w:pPr>
            <w:r w:rsidRPr="00B533B9">
              <w:rPr>
                <w:rFonts w:ascii="Times New Roman" w:hAnsi="Times New Roman" w:cs="Times New Roman"/>
                <w:bCs/>
                <w:iCs/>
                <w:snapToGrid w:val="0"/>
                <w:sz w:val="24"/>
                <w:szCs w:val="24"/>
              </w:rPr>
              <w:t>Programme Title:</w:t>
            </w:r>
            <w:r w:rsidR="00DC2125" w:rsidRPr="005C2D50">
              <w:rPr>
                <w:rFonts w:ascii="Times New Roman" w:hAnsi="Times New Roman" w:cs="Times New Roman"/>
                <w:sz w:val="24"/>
                <w:szCs w:val="24"/>
              </w:rPr>
              <w:t xml:space="preserve"> </w:t>
            </w:r>
          </w:p>
          <w:p w14:paraId="47DBFBAE" w14:textId="77777777" w:rsidR="00875706" w:rsidRPr="00B533B9" w:rsidRDefault="00DC2125" w:rsidP="00DC2125">
            <w:pPr>
              <w:pStyle w:val="BodyText"/>
              <w:spacing w:before="60" w:after="60"/>
              <w:ind w:left="342"/>
              <w:jc w:val="both"/>
              <w:rPr>
                <w:rFonts w:ascii="Times New Roman" w:hAnsi="Times New Roman" w:cs="Times New Roman"/>
                <w:b/>
                <w:iCs/>
                <w:snapToGrid w:val="0"/>
                <w:sz w:val="24"/>
                <w:szCs w:val="24"/>
              </w:rPr>
            </w:pPr>
            <w:r w:rsidRPr="00B533B9">
              <w:rPr>
                <w:rFonts w:ascii="Times New Roman" w:hAnsi="Times New Roman" w:cs="Times New Roman"/>
                <w:b/>
                <w:iCs/>
                <w:snapToGrid w:val="0"/>
                <w:sz w:val="24"/>
                <w:szCs w:val="24"/>
              </w:rPr>
              <w:t>Enhancing the IMDFF-DR Secretariat Support Capacity for Post-Disaster Recovery Governance</w:t>
            </w:r>
          </w:p>
          <w:p w14:paraId="5D532B09" w14:textId="77777777" w:rsidR="00875706" w:rsidRPr="00B533B9" w:rsidRDefault="00875706" w:rsidP="005E6A31">
            <w:pPr>
              <w:pStyle w:val="BodyText"/>
              <w:numPr>
                <w:ilvl w:val="0"/>
                <w:numId w:val="2"/>
              </w:numPr>
              <w:spacing w:before="60" w:after="60"/>
              <w:ind w:left="342"/>
              <w:jc w:val="both"/>
              <w:rPr>
                <w:rFonts w:ascii="Times New Roman" w:hAnsi="Times New Roman" w:cs="Times New Roman"/>
                <w:bCs/>
                <w:i/>
                <w:iCs/>
                <w:snapToGrid w:val="0"/>
                <w:sz w:val="24"/>
                <w:szCs w:val="24"/>
                <w:lang w:val="en-GB"/>
              </w:rPr>
            </w:pPr>
            <w:r w:rsidRPr="00B533B9">
              <w:rPr>
                <w:rFonts w:ascii="Times New Roman" w:hAnsi="Times New Roman" w:cs="Times New Roman"/>
                <w:bCs/>
                <w:iCs/>
                <w:snapToGrid w:val="0"/>
                <w:sz w:val="24"/>
                <w:szCs w:val="24"/>
              </w:rPr>
              <w:t xml:space="preserve">Programme Number </w:t>
            </w:r>
            <w:r w:rsidRPr="00B533B9">
              <w:rPr>
                <w:rFonts w:ascii="Times New Roman" w:hAnsi="Times New Roman" w:cs="Times New Roman"/>
                <w:bCs/>
                <w:i/>
                <w:iCs/>
                <w:snapToGrid w:val="0"/>
                <w:sz w:val="24"/>
                <w:szCs w:val="24"/>
                <w:lang w:val="en-GB"/>
              </w:rPr>
              <w:t xml:space="preserve">(if applicable)  </w:t>
            </w:r>
          </w:p>
          <w:p w14:paraId="5AA6D687" w14:textId="77777777" w:rsidR="00875706" w:rsidRPr="00AB019C" w:rsidRDefault="00875706" w:rsidP="005E6A31">
            <w:pPr>
              <w:pStyle w:val="BodyText"/>
              <w:numPr>
                <w:ilvl w:val="0"/>
                <w:numId w:val="2"/>
              </w:numPr>
              <w:spacing w:before="60" w:after="60"/>
              <w:ind w:left="342"/>
              <w:jc w:val="both"/>
              <w:rPr>
                <w:rFonts w:ascii="Times New Roman" w:hAnsi="Times New Roman" w:cs="Times New Roman"/>
                <w:iCs/>
                <w:sz w:val="24"/>
                <w:szCs w:val="24"/>
                <w:lang w:val="en-ID"/>
              </w:rPr>
            </w:pPr>
            <w:r w:rsidRPr="00B533B9">
              <w:rPr>
                <w:rFonts w:ascii="Times New Roman" w:hAnsi="Times New Roman" w:cs="Times New Roman"/>
                <w:bCs/>
                <w:iCs/>
                <w:snapToGrid w:val="0"/>
                <w:sz w:val="24"/>
                <w:szCs w:val="24"/>
              </w:rPr>
              <w:t>MPTF Office Project Reference Number:</w:t>
            </w:r>
            <w:r w:rsidRPr="00B533B9">
              <w:rPr>
                <w:rStyle w:val="FootnoteReference"/>
                <w:rFonts w:ascii="Times New Roman" w:hAnsi="Times New Roman" w:cs="Times New Roman"/>
                <w:bCs/>
                <w:iCs/>
                <w:snapToGrid w:val="0"/>
                <w:sz w:val="24"/>
                <w:szCs w:val="24"/>
              </w:rPr>
              <w:footnoteReference w:id="3"/>
            </w:r>
            <w:r w:rsidRPr="00B533B9">
              <w:rPr>
                <w:rFonts w:ascii="Times New Roman" w:hAnsi="Times New Roman" w:cs="Times New Roman"/>
                <w:i/>
                <w:sz w:val="24"/>
                <w:szCs w:val="24"/>
              </w:rPr>
              <w:t xml:space="preserve"> </w:t>
            </w:r>
            <w:r w:rsidR="00DC2125" w:rsidRPr="00B533B9">
              <w:rPr>
                <w:rFonts w:ascii="Times New Roman" w:hAnsi="Times New Roman" w:cs="Times New Roman"/>
                <w:b/>
                <w:bCs/>
                <w:iCs/>
                <w:sz w:val="24"/>
                <w:szCs w:val="24"/>
                <w:lang w:val="en-ID"/>
              </w:rPr>
              <w:t>00114934</w:t>
            </w:r>
          </w:p>
          <w:p w14:paraId="4D80E637" w14:textId="77777777" w:rsidR="00AB019C" w:rsidRPr="00B533B9" w:rsidRDefault="00AB019C" w:rsidP="00AB019C">
            <w:pPr>
              <w:pStyle w:val="BodyText"/>
              <w:spacing w:before="60" w:after="60"/>
              <w:ind w:left="342"/>
              <w:jc w:val="both"/>
              <w:rPr>
                <w:rFonts w:ascii="Times New Roman" w:hAnsi="Times New Roman" w:cs="Times New Roman"/>
                <w:iCs/>
                <w:sz w:val="24"/>
                <w:szCs w:val="24"/>
                <w:lang w:val="en-ID"/>
              </w:rPr>
            </w:pPr>
          </w:p>
        </w:tc>
        <w:tc>
          <w:tcPr>
            <w:tcW w:w="258" w:type="dxa"/>
            <w:vMerge/>
            <w:tcBorders>
              <w:left w:val="single" w:sz="4" w:space="0" w:color="auto"/>
              <w:right w:val="single" w:sz="4" w:space="0" w:color="auto"/>
            </w:tcBorders>
          </w:tcPr>
          <w:p w14:paraId="650C9868" w14:textId="77777777" w:rsidR="00875706" w:rsidRPr="00B533B9" w:rsidRDefault="00875706" w:rsidP="00C5660F">
            <w:pPr>
              <w:pStyle w:val="BodyText"/>
              <w:rPr>
                <w:rFonts w:ascii="Times New Roman" w:hAnsi="Times New Roman" w:cs="Times New Roman"/>
                <w:sz w:val="24"/>
                <w:szCs w:val="24"/>
              </w:rPr>
            </w:pPr>
          </w:p>
        </w:tc>
        <w:tc>
          <w:tcPr>
            <w:tcW w:w="4986" w:type="dxa"/>
            <w:gridSpan w:val="2"/>
            <w:tcBorders>
              <w:left w:val="single" w:sz="4" w:space="0" w:color="auto"/>
              <w:bottom w:val="single" w:sz="4" w:space="0" w:color="auto"/>
              <w:right w:val="single" w:sz="4" w:space="0" w:color="auto"/>
            </w:tcBorders>
          </w:tcPr>
          <w:p w14:paraId="2F3FB21D" w14:textId="77777777" w:rsidR="00875706" w:rsidRPr="00B533B9" w:rsidRDefault="00875706" w:rsidP="00C5660F">
            <w:pPr>
              <w:pStyle w:val="BodyText"/>
              <w:rPr>
                <w:rFonts w:ascii="Times New Roman" w:hAnsi="Times New Roman" w:cs="Times New Roman"/>
                <w:bCs/>
                <w:i/>
                <w:iCs/>
                <w:snapToGrid w:val="0"/>
                <w:sz w:val="24"/>
                <w:szCs w:val="24"/>
              </w:rPr>
            </w:pPr>
            <w:r w:rsidRPr="00B533B9">
              <w:rPr>
                <w:rFonts w:ascii="Times New Roman" w:hAnsi="Times New Roman" w:cs="Times New Roman"/>
                <w:bCs/>
                <w:i/>
                <w:iCs/>
                <w:snapToGrid w:val="0"/>
                <w:sz w:val="24"/>
                <w:szCs w:val="24"/>
              </w:rPr>
              <w:t>(if applicable)</w:t>
            </w:r>
          </w:p>
          <w:p w14:paraId="39A0BE54" w14:textId="77777777" w:rsidR="00875706" w:rsidRPr="00B533B9" w:rsidRDefault="00875706" w:rsidP="00C5660F">
            <w:pPr>
              <w:pStyle w:val="BodyText"/>
              <w:rPr>
                <w:rFonts w:ascii="Times New Roman" w:hAnsi="Times New Roman" w:cs="Times New Roman"/>
                <w:bCs/>
                <w:i/>
                <w:iCs/>
                <w:snapToGrid w:val="0"/>
                <w:sz w:val="24"/>
                <w:szCs w:val="24"/>
              </w:rPr>
            </w:pPr>
            <w:r w:rsidRPr="00B533B9">
              <w:rPr>
                <w:rFonts w:ascii="Times New Roman" w:hAnsi="Times New Roman" w:cs="Times New Roman"/>
                <w:bCs/>
                <w:i/>
                <w:iCs/>
                <w:snapToGrid w:val="0"/>
                <w:sz w:val="24"/>
                <w:szCs w:val="24"/>
              </w:rPr>
              <w:t>Country/Region</w:t>
            </w:r>
          </w:p>
          <w:p w14:paraId="66B27468" w14:textId="77777777" w:rsidR="00875706" w:rsidRPr="00B533B9" w:rsidRDefault="00DC2125" w:rsidP="00C5660F">
            <w:pPr>
              <w:pStyle w:val="BodyText"/>
              <w:rPr>
                <w:rFonts w:ascii="Times New Roman" w:hAnsi="Times New Roman" w:cs="Times New Roman"/>
                <w:b/>
                <w:bCs/>
                <w:sz w:val="24"/>
                <w:szCs w:val="24"/>
              </w:rPr>
            </w:pPr>
            <w:r w:rsidRPr="00B533B9">
              <w:rPr>
                <w:rFonts w:ascii="Times New Roman" w:hAnsi="Times New Roman" w:cs="Times New Roman"/>
                <w:b/>
                <w:bCs/>
                <w:sz w:val="24"/>
                <w:szCs w:val="24"/>
              </w:rPr>
              <w:t>Indonesia</w:t>
            </w:r>
          </w:p>
        </w:tc>
      </w:tr>
      <w:tr w:rsidR="00875706" w:rsidRPr="00B533B9" w14:paraId="7A0267DE" w14:textId="77777777" w:rsidTr="008B5E99">
        <w:trPr>
          <w:trHeight w:val="426"/>
          <w:jc w:val="center"/>
        </w:trPr>
        <w:tc>
          <w:tcPr>
            <w:tcW w:w="5142" w:type="dxa"/>
            <w:gridSpan w:val="2"/>
            <w:vMerge/>
            <w:tcBorders>
              <w:left w:val="single" w:sz="4" w:space="0" w:color="auto"/>
              <w:bottom w:val="single" w:sz="4" w:space="0" w:color="auto"/>
              <w:right w:val="single" w:sz="4" w:space="0" w:color="auto"/>
            </w:tcBorders>
          </w:tcPr>
          <w:p w14:paraId="1B12E82B" w14:textId="77777777" w:rsidR="00875706" w:rsidRPr="00B533B9" w:rsidRDefault="00875706" w:rsidP="005E6A31">
            <w:pPr>
              <w:pStyle w:val="BodyText"/>
              <w:numPr>
                <w:ilvl w:val="0"/>
                <w:numId w:val="2"/>
              </w:numPr>
              <w:spacing w:before="60" w:after="60"/>
              <w:ind w:left="342"/>
              <w:jc w:val="both"/>
              <w:rPr>
                <w:rFonts w:ascii="Times New Roman" w:hAnsi="Times New Roman" w:cs="Times New Roman"/>
                <w:bCs/>
                <w:iCs/>
                <w:snapToGrid w:val="0"/>
                <w:sz w:val="24"/>
                <w:szCs w:val="24"/>
              </w:rPr>
            </w:pPr>
          </w:p>
        </w:tc>
        <w:tc>
          <w:tcPr>
            <w:tcW w:w="258" w:type="dxa"/>
            <w:vMerge/>
            <w:tcBorders>
              <w:left w:val="single" w:sz="4" w:space="0" w:color="auto"/>
              <w:right w:val="single" w:sz="4" w:space="0" w:color="auto"/>
            </w:tcBorders>
          </w:tcPr>
          <w:p w14:paraId="3F617E1B" w14:textId="77777777" w:rsidR="00875706" w:rsidRPr="00B533B9" w:rsidRDefault="00875706" w:rsidP="00C5660F">
            <w:pPr>
              <w:pStyle w:val="BodyText"/>
              <w:rPr>
                <w:rFonts w:ascii="Times New Roman" w:hAnsi="Times New Roman" w:cs="Times New Roman"/>
                <w:sz w:val="24"/>
                <w:szCs w:val="24"/>
              </w:rPr>
            </w:pPr>
          </w:p>
        </w:tc>
        <w:tc>
          <w:tcPr>
            <w:tcW w:w="4986" w:type="dxa"/>
            <w:gridSpan w:val="2"/>
            <w:tcBorders>
              <w:top w:val="single" w:sz="4" w:space="0" w:color="auto"/>
              <w:left w:val="single" w:sz="4" w:space="0" w:color="auto"/>
              <w:bottom w:val="single" w:sz="4" w:space="0" w:color="auto"/>
              <w:right w:val="single" w:sz="4" w:space="0" w:color="auto"/>
            </w:tcBorders>
          </w:tcPr>
          <w:p w14:paraId="1A2FAC66" w14:textId="77777777" w:rsidR="00875706" w:rsidRPr="00B533B9" w:rsidRDefault="00875706" w:rsidP="00C5660F">
            <w:pPr>
              <w:pStyle w:val="BodyText"/>
              <w:rPr>
                <w:rFonts w:ascii="Times New Roman" w:hAnsi="Times New Roman" w:cs="Times New Roman"/>
                <w:bCs/>
                <w:i/>
                <w:iCs/>
                <w:snapToGrid w:val="0"/>
                <w:sz w:val="24"/>
                <w:szCs w:val="24"/>
              </w:rPr>
            </w:pPr>
            <w:r w:rsidRPr="00B533B9">
              <w:rPr>
                <w:rFonts w:ascii="Times New Roman" w:hAnsi="Times New Roman" w:cs="Times New Roman"/>
                <w:bCs/>
                <w:i/>
                <w:iCs/>
                <w:snapToGrid w:val="0"/>
                <w:sz w:val="24"/>
                <w:szCs w:val="24"/>
              </w:rPr>
              <w:t xml:space="preserve">Priority area/ strategic results </w:t>
            </w:r>
          </w:p>
          <w:p w14:paraId="31F58FAF" w14:textId="77777777" w:rsidR="00DC2125" w:rsidRPr="00B533B9" w:rsidRDefault="00DC2125" w:rsidP="00C5660F">
            <w:pPr>
              <w:pStyle w:val="BodyText"/>
              <w:rPr>
                <w:rFonts w:ascii="Times New Roman" w:hAnsi="Times New Roman" w:cs="Times New Roman"/>
                <w:bCs/>
                <w:i/>
                <w:iCs/>
                <w:snapToGrid w:val="0"/>
                <w:sz w:val="24"/>
                <w:szCs w:val="24"/>
              </w:rPr>
            </w:pPr>
          </w:p>
          <w:p w14:paraId="3496031E" w14:textId="77777777" w:rsidR="00DC2125" w:rsidRPr="00B533B9" w:rsidRDefault="00E30502" w:rsidP="00C5660F">
            <w:pPr>
              <w:pStyle w:val="BodyText"/>
              <w:rPr>
                <w:rFonts w:ascii="Times New Roman" w:hAnsi="Times New Roman" w:cs="Times New Roman"/>
                <w:b/>
                <w:snapToGrid w:val="0"/>
                <w:sz w:val="24"/>
                <w:szCs w:val="24"/>
              </w:rPr>
            </w:pPr>
            <w:r w:rsidRPr="00B533B9">
              <w:rPr>
                <w:rFonts w:ascii="Times New Roman" w:hAnsi="Times New Roman" w:cs="Times New Roman"/>
                <w:b/>
                <w:snapToGrid w:val="0"/>
                <w:sz w:val="24"/>
                <w:szCs w:val="24"/>
              </w:rPr>
              <w:t>Post-disaster Recovery Governance</w:t>
            </w:r>
          </w:p>
        </w:tc>
      </w:tr>
      <w:tr w:rsidR="00875706" w:rsidRPr="00B533B9" w14:paraId="7BB4A724" w14:textId="77777777" w:rsidTr="008B5E99">
        <w:trPr>
          <w:trHeight w:val="206"/>
          <w:jc w:val="center"/>
        </w:trPr>
        <w:tc>
          <w:tcPr>
            <w:tcW w:w="5142" w:type="dxa"/>
            <w:gridSpan w:val="2"/>
            <w:tcBorders>
              <w:top w:val="single" w:sz="4" w:space="0" w:color="auto"/>
              <w:left w:val="single" w:sz="4" w:space="0" w:color="auto"/>
              <w:right w:val="single" w:sz="4" w:space="0" w:color="auto"/>
            </w:tcBorders>
            <w:shd w:val="clear" w:color="auto" w:fill="F3F3F3"/>
            <w:vAlign w:val="center"/>
          </w:tcPr>
          <w:p w14:paraId="4957A4E9" w14:textId="77777777" w:rsidR="00875706" w:rsidRPr="00B533B9" w:rsidRDefault="00875706" w:rsidP="00C5660F">
            <w:pPr>
              <w:pStyle w:val="H1"/>
              <w:jc w:val="center"/>
              <w:rPr>
                <w:rFonts w:cs="Times New Roman"/>
                <w:szCs w:val="24"/>
              </w:rPr>
            </w:pPr>
            <w:r w:rsidRPr="00B533B9">
              <w:rPr>
                <w:rFonts w:cs="Times New Roman"/>
                <w:szCs w:val="24"/>
              </w:rPr>
              <w:t>Participating Organization(s)</w:t>
            </w:r>
          </w:p>
        </w:tc>
        <w:tc>
          <w:tcPr>
            <w:tcW w:w="258" w:type="dxa"/>
            <w:vMerge w:val="restart"/>
            <w:tcBorders>
              <w:left w:val="single" w:sz="4" w:space="0" w:color="auto"/>
              <w:right w:val="single" w:sz="4" w:space="0" w:color="auto"/>
            </w:tcBorders>
            <w:vAlign w:val="center"/>
          </w:tcPr>
          <w:p w14:paraId="425E62D3" w14:textId="77777777" w:rsidR="00875706" w:rsidRPr="00B533B9" w:rsidRDefault="00875706" w:rsidP="00C5660F">
            <w:pPr>
              <w:jc w:val="center"/>
            </w:pPr>
          </w:p>
        </w:tc>
        <w:tc>
          <w:tcPr>
            <w:tcW w:w="4986" w:type="dxa"/>
            <w:gridSpan w:val="2"/>
            <w:tcBorders>
              <w:top w:val="single" w:sz="4" w:space="0" w:color="auto"/>
              <w:left w:val="single" w:sz="4" w:space="0" w:color="auto"/>
              <w:right w:val="single" w:sz="4" w:space="0" w:color="auto"/>
            </w:tcBorders>
            <w:shd w:val="clear" w:color="auto" w:fill="F3F3F3"/>
            <w:vAlign w:val="center"/>
          </w:tcPr>
          <w:p w14:paraId="3A020CDF" w14:textId="77777777" w:rsidR="00875706" w:rsidRPr="00B533B9" w:rsidRDefault="00875706" w:rsidP="00C5660F">
            <w:pPr>
              <w:pStyle w:val="H1"/>
              <w:jc w:val="center"/>
              <w:rPr>
                <w:rFonts w:cs="Times New Roman"/>
                <w:szCs w:val="24"/>
              </w:rPr>
            </w:pPr>
            <w:r w:rsidRPr="00B533B9">
              <w:rPr>
                <w:rFonts w:cs="Times New Roman"/>
                <w:szCs w:val="24"/>
              </w:rPr>
              <w:t>Implementing Partners</w:t>
            </w:r>
          </w:p>
        </w:tc>
      </w:tr>
      <w:tr w:rsidR="00875706" w:rsidRPr="00B533B9" w14:paraId="47F9E95D" w14:textId="77777777" w:rsidTr="008B5E99">
        <w:trPr>
          <w:trHeight w:val="495"/>
          <w:jc w:val="center"/>
        </w:trPr>
        <w:tc>
          <w:tcPr>
            <w:tcW w:w="5142" w:type="dxa"/>
            <w:gridSpan w:val="2"/>
            <w:tcBorders>
              <w:left w:val="single" w:sz="4" w:space="0" w:color="auto"/>
              <w:bottom w:val="single" w:sz="4" w:space="0" w:color="auto"/>
              <w:right w:val="single" w:sz="4" w:space="0" w:color="auto"/>
            </w:tcBorders>
          </w:tcPr>
          <w:p w14:paraId="5C7D1201" w14:textId="77777777" w:rsidR="00875706" w:rsidRPr="00B533B9" w:rsidRDefault="00E30502" w:rsidP="005E6A31">
            <w:pPr>
              <w:pStyle w:val="BodyText"/>
              <w:numPr>
                <w:ilvl w:val="0"/>
                <w:numId w:val="5"/>
              </w:numPr>
              <w:ind w:left="359" w:hanging="359"/>
              <w:rPr>
                <w:rFonts w:ascii="Times New Roman" w:hAnsi="Times New Roman" w:cs="Times New Roman"/>
                <w:sz w:val="24"/>
                <w:szCs w:val="24"/>
              </w:rPr>
            </w:pPr>
            <w:r w:rsidRPr="00B533B9">
              <w:rPr>
                <w:rFonts w:ascii="Times New Roman" w:hAnsi="Times New Roman" w:cs="Times New Roman"/>
                <w:sz w:val="24"/>
                <w:szCs w:val="24"/>
              </w:rPr>
              <w:t>United Nations Development Programme</w:t>
            </w:r>
          </w:p>
          <w:p w14:paraId="45288901" w14:textId="77777777" w:rsidR="00875706" w:rsidRPr="00B533B9" w:rsidRDefault="00875706" w:rsidP="00C5660F">
            <w:pPr>
              <w:pStyle w:val="BodyText"/>
              <w:rPr>
                <w:rFonts w:ascii="Times New Roman" w:hAnsi="Times New Roman" w:cs="Times New Roman"/>
                <w:i/>
                <w:sz w:val="24"/>
                <w:szCs w:val="24"/>
              </w:rPr>
            </w:pPr>
          </w:p>
          <w:p w14:paraId="3F1CC0A2" w14:textId="77777777" w:rsidR="00875706" w:rsidRPr="00B533B9" w:rsidRDefault="00875706" w:rsidP="00C5660F">
            <w:pPr>
              <w:pStyle w:val="BodyText"/>
              <w:rPr>
                <w:rFonts w:ascii="Times New Roman" w:hAnsi="Times New Roman" w:cs="Times New Roman"/>
                <w:i/>
                <w:sz w:val="24"/>
                <w:szCs w:val="24"/>
              </w:rPr>
            </w:pPr>
          </w:p>
        </w:tc>
        <w:tc>
          <w:tcPr>
            <w:tcW w:w="258" w:type="dxa"/>
            <w:vMerge/>
            <w:tcBorders>
              <w:left w:val="single" w:sz="4" w:space="0" w:color="auto"/>
              <w:right w:val="single" w:sz="4" w:space="0" w:color="auto"/>
            </w:tcBorders>
          </w:tcPr>
          <w:p w14:paraId="4D16D573" w14:textId="77777777" w:rsidR="00875706" w:rsidRPr="00B533B9" w:rsidRDefault="00875706" w:rsidP="00C5660F">
            <w:pPr>
              <w:pStyle w:val="BodyText"/>
              <w:rPr>
                <w:rFonts w:ascii="Times New Roman" w:hAnsi="Times New Roman" w:cs="Times New Roman"/>
                <w:sz w:val="24"/>
                <w:szCs w:val="24"/>
              </w:rPr>
            </w:pPr>
          </w:p>
        </w:tc>
        <w:tc>
          <w:tcPr>
            <w:tcW w:w="4986" w:type="dxa"/>
            <w:gridSpan w:val="2"/>
            <w:tcBorders>
              <w:left w:val="single" w:sz="4" w:space="0" w:color="auto"/>
              <w:bottom w:val="single" w:sz="4" w:space="0" w:color="auto"/>
              <w:right w:val="single" w:sz="4" w:space="0" w:color="auto"/>
            </w:tcBorders>
          </w:tcPr>
          <w:p w14:paraId="00078B60" w14:textId="77777777" w:rsidR="00E30502" w:rsidRPr="00B533B9" w:rsidRDefault="00E30502" w:rsidP="005E6A31">
            <w:pPr>
              <w:pStyle w:val="BodyText"/>
              <w:numPr>
                <w:ilvl w:val="0"/>
                <w:numId w:val="3"/>
              </w:numPr>
              <w:spacing w:before="60" w:after="60"/>
              <w:jc w:val="both"/>
              <w:rPr>
                <w:rFonts w:ascii="Times New Roman" w:hAnsi="Times New Roman" w:cs="Times New Roman"/>
                <w:bCs/>
                <w:iCs/>
                <w:snapToGrid w:val="0"/>
                <w:color w:val="000000"/>
                <w:sz w:val="24"/>
                <w:szCs w:val="24"/>
              </w:rPr>
            </w:pPr>
            <w:r w:rsidRPr="00B533B9">
              <w:rPr>
                <w:rFonts w:ascii="Times New Roman" w:hAnsi="Times New Roman" w:cs="Times New Roman"/>
                <w:bCs/>
                <w:iCs/>
                <w:snapToGrid w:val="0"/>
                <w:color w:val="000000"/>
                <w:sz w:val="24"/>
                <w:szCs w:val="24"/>
              </w:rPr>
              <w:t>National Disaster Management Authority – BNPB</w:t>
            </w:r>
          </w:p>
          <w:p w14:paraId="3C7A993F" w14:textId="77777777" w:rsidR="00875706" w:rsidRDefault="00E30502" w:rsidP="005E6A31">
            <w:pPr>
              <w:pStyle w:val="BodyText"/>
              <w:numPr>
                <w:ilvl w:val="0"/>
                <w:numId w:val="3"/>
              </w:numPr>
              <w:spacing w:before="60" w:after="60"/>
              <w:jc w:val="both"/>
              <w:rPr>
                <w:rFonts w:ascii="Times New Roman" w:hAnsi="Times New Roman" w:cs="Times New Roman"/>
                <w:bCs/>
                <w:iCs/>
                <w:snapToGrid w:val="0"/>
                <w:color w:val="000000"/>
                <w:sz w:val="24"/>
                <w:szCs w:val="24"/>
              </w:rPr>
            </w:pPr>
            <w:r w:rsidRPr="00B533B9">
              <w:rPr>
                <w:rFonts w:ascii="Times New Roman" w:hAnsi="Times New Roman" w:cs="Times New Roman"/>
                <w:bCs/>
                <w:iCs/>
                <w:snapToGrid w:val="0"/>
                <w:color w:val="000000"/>
                <w:sz w:val="24"/>
                <w:szCs w:val="24"/>
              </w:rPr>
              <w:t xml:space="preserve">Ministry of Development Planning </w:t>
            </w:r>
            <w:r w:rsidR="00B533B9">
              <w:rPr>
                <w:rFonts w:ascii="Times New Roman" w:hAnsi="Times New Roman" w:cs="Times New Roman"/>
                <w:bCs/>
                <w:iCs/>
                <w:snapToGrid w:val="0"/>
                <w:color w:val="000000"/>
                <w:sz w:val="24"/>
                <w:szCs w:val="24"/>
              </w:rPr>
              <w:t>–</w:t>
            </w:r>
            <w:r w:rsidRPr="00B533B9">
              <w:rPr>
                <w:rFonts w:ascii="Times New Roman" w:hAnsi="Times New Roman" w:cs="Times New Roman"/>
                <w:bCs/>
                <w:iCs/>
                <w:snapToGrid w:val="0"/>
                <w:color w:val="000000"/>
                <w:sz w:val="24"/>
                <w:szCs w:val="24"/>
              </w:rPr>
              <w:t xml:space="preserve"> </w:t>
            </w:r>
            <w:proofErr w:type="spellStart"/>
            <w:r w:rsidRPr="00B533B9">
              <w:rPr>
                <w:rFonts w:ascii="Times New Roman" w:hAnsi="Times New Roman" w:cs="Times New Roman"/>
                <w:bCs/>
                <w:iCs/>
                <w:snapToGrid w:val="0"/>
                <w:color w:val="000000"/>
                <w:sz w:val="24"/>
                <w:szCs w:val="24"/>
              </w:rPr>
              <w:t>Bappenas</w:t>
            </w:r>
            <w:proofErr w:type="spellEnd"/>
          </w:p>
          <w:p w14:paraId="4655E8A5" w14:textId="77777777" w:rsidR="00B533B9" w:rsidRDefault="00B533B9" w:rsidP="00B533B9">
            <w:pPr>
              <w:pStyle w:val="BodyText"/>
              <w:spacing w:before="60" w:after="60"/>
              <w:ind w:left="720"/>
              <w:jc w:val="both"/>
              <w:rPr>
                <w:rFonts w:ascii="Times New Roman" w:hAnsi="Times New Roman" w:cs="Times New Roman"/>
                <w:bCs/>
                <w:iCs/>
                <w:snapToGrid w:val="0"/>
                <w:color w:val="000000"/>
                <w:sz w:val="24"/>
                <w:szCs w:val="24"/>
              </w:rPr>
            </w:pPr>
          </w:p>
          <w:p w14:paraId="68CAD27D" w14:textId="77777777" w:rsidR="00AB019C" w:rsidRPr="00B533B9" w:rsidRDefault="00AB019C" w:rsidP="00B533B9">
            <w:pPr>
              <w:pStyle w:val="BodyText"/>
              <w:spacing w:before="60" w:after="60"/>
              <w:ind w:left="720"/>
              <w:jc w:val="both"/>
              <w:rPr>
                <w:rFonts w:ascii="Times New Roman" w:hAnsi="Times New Roman" w:cs="Times New Roman"/>
                <w:bCs/>
                <w:iCs/>
                <w:snapToGrid w:val="0"/>
                <w:color w:val="000000"/>
                <w:sz w:val="24"/>
                <w:szCs w:val="24"/>
              </w:rPr>
            </w:pPr>
          </w:p>
        </w:tc>
      </w:tr>
      <w:tr w:rsidR="00875706" w:rsidRPr="00B533B9" w14:paraId="72F7E4C2" w14:textId="77777777" w:rsidTr="008B5E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jc w:val="center"/>
        </w:trPr>
        <w:tc>
          <w:tcPr>
            <w:tcW w:w="5142" w:type="dxa"/>
            <w:gridSpan w:val="2"/>
            <w:tcBorders>
              <w:top w:val="single" w:sz="4" w:space="0" w:color="auto"/>
              <w:left w:val="single" w:sz="4" w:space="0" w:color="auto"/>
              <w:bottom w:val="nil"/>
              <w:right w:val="single" w:sz="4" w:space="0" w:color="auto"/>
            </w:tcBorders>
            <w:shd w:val="clear" w:color="auto" w:fill="F2F2F2"/>
            <w:vAlign w:val="center"/>
          </w:tcPr>
          <w:p w14:paraId="597A7A76" w14:textId="77777777" w:rsidR="00875706" w:rsidRPr="00B533B9" w:rsidRDefault="00875706" w:rsidP="00C5660F">
            <w:pPr>
              <w:pStyle w:val="H1"/>
              <w:jc w:val="center"/>
              <w:rPr>
                <w:rFonts w:cs="Times New Roman"/>
                <w:szCs w:val="24"/>
              </w:rPr>
            </w:pPr>
            <w:r w:rsidRPr="00B533B9">
              <w:rPr>
                <w:rFonts w:cs="Times New Roman"/>
                <w:szCs w:val="24"/>
              </w:rPr>
              <w:t>Programme/Project Cost (US$)</w:t>
            </w:r>
          </w:p>
        </w:tc>
        <w:tc>
          <w:tcPr>
            <w:tcW w:w="258" w:type="dxa"/>
            <w:tcBorders>
              <w:top w:val="nil"/>
              <w:left w:val="single" w:sz="4" w:space="0" w:color="auto"/>
              <w:bottom w:val="nil"/>
              <w:right w:val="single" w:sz="4" w:space="0" w:color="auto"/>
            </w:tcBorders>
            <w:shd w:val="clear" w:color="auto" w:fill="auto"/>
            <w:vAlign w:val="center"/>
          </w:tcPr>
          <w:p w14:paraId="4AB8ED5D" w14:textId="77777777" w:rsidR="00875706" w:rsidRPr="00B533B9" w:rsidRDefault="00875706" w:rsidP="00C5660F">
            <w:pPr>
              <w:pStyle w:val="H1"/>
              <w:jc w:val="center"/>
              <w:rPr>
                <w:rFonts w:cs="Times New Roman"/>
                <w:szCs w:val="24"/>
              </w:rPr>
            </w:pPr>
          </w:p>
        </w:tc>
        <w:tc>
          <w:tcPr>
            <w:tcW w:w="4986" w:type="dxa"/>
            <w:gridSpan w:val="2"/>
            <w:tcBorders>
              <w:top w:val="single" w:sz="4" w:space="0" w:color="auto"/>
              <w:left w:val="single" w:sz="4" w:space="0" w:color="auto"/>
              <w:bottom w:val="nil"/>
              <w:right w:val="single" w:sz="4" w:space="0" w:color="auto"/>
            </w:tcBorders>
            <w:shd w:val="clear" w:color="auto" w:fill="F2F2F2"/>
            <w:vAlign w:val="center"/>
          </w:tcPr>
          <w:p w14:paraId="3376E33A" w14:textId="77777777" w:rsidR="00875706" w:rsidRPr="00B533B9" w:rsidRDefault="00875706" w:rsidP="00C5660F">
            <w:pPr>
              <w:pStyle w:val="H1"/>
              <w:jc w:val="center"/>
              <w:rPr>
                <w:rFonts w:cs="Times New Roman"/>
                <w:szCs w:val="24"/>
              </w:rPr>
            </w:pPr>
            <w:r w:rsidRPr="00B533B9">
              <w:rPr>
                <w:rFonts w:cs="Times New Roman"/>
                <w:szCs w:val="24"/>
              </w:rPr>
              <w:t>Programme Duration</w:t>
            </w:r>
          </w:p>
        </w:tc>
      </w:tr>
      <w:tr w:rsidR="00875706" w:rsidRPr="00B533B9" w14:paraId="452E936F" w14:textId="77777777" w:rsidTr="008B5E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jc w:val="center"/>
        </w:trPr>
        <w:tc>
          <w:tcPr>
            <w:tcW w:w="2970" w:type="dxa"/>
            <w:tcBorders>
              <w:top w:val="nil"/>
              <w:left w:val="single" w:sz="4" w:space="0" w:color="auto"/>
              <w:bottom w:val="nil"/>
              <w:right w:val="nil"/>
            </w:tcBorders>
            <w:shd w:val="clear" w:color="auto" w:fill="auto"/>
            <w:vAlign w:val="center"/>
          </w:tcPr>
          <w:p w14:paraId="2B0FEBA0" w14:textId="77777777" w:rsidR="00875706" w:rsidRPr="00B533B9" w:rsidRDefault="00875706" w:rsidP="00C5660F">
            <w:pPr>
              <w:pStyle w:val="H2"/>
              <w:rPr>
                <w:rFonts w:cs="Times New Roman"/>
                <w:b w:val="0"/>
                <w:sz w:val="24"/>
                <w:szCs w:val="24"/>
              </w:rPr>
            </w:pPr>
            <w:r w:rsidRPr="00B533B9">
              <w:rPr>
                <w:rFonts w:cs="Times New Roman"/>
                <w:b w:val="0"/>
                <w:sz w:val="24"/>
                <w:szCs w:val="24"/>
              </w:rPr>
              <w:t xml:space="preserve">Total approved budget as per project document: </w:t>
            </w:r>
          </w:p>
          <w:p w14:paraId="1CCF2A6D" w14:textId="77777777" w:rsidR="00AB019C" w:rsidRDefault="00AB019C" w:rsidP="00C5660F">
            <w:pPr>
              <w:pStyle w:val="H2"/>
              <w:rPr>
                <w:rFonts w:cs="Times New Roman"/>
                <w:b w:val="0"/>
                <w:sz w:val="24"/>
                <w:szCs w:val="24"/>
              </w:rPr>
            </w:pPr>
          </w:p>
          <w:p w14:paraId="529B4E25" w14:textId="77777777" w:rsidR="00875706" w:rsidRPr="00B533B9" w:rsidRDefault="00875706" w:rsidP="00C5660F">
            <w:pPr>
              <w:pStyle w:val="H2"/>
              <w:rPr>
                <w:rFonts w:cs="Times New Roman"/>
                <w:b w:val="0"/>
                <w:sz w:val="24"/>
                <w:szCs w:val="24"/>
              </w:rPr>
            </w:pPr>
            <w:r w:rsidRPr="00B533B9">
              <w:rPr>
                <w:rFonts w:cs="Times New Roman"/>
                <w:b w:val="0"/>
                <w:sz w:val="24"/>
                <w:szCs w:val="24"/>
              </w:rPr>
              <w:t>MPTF /JP Contribution</w:t>
            </w:r>
            <w:r w:rsidRPr="00B533B9">
              <w:rPr>
                <w:rStyle w:val="FootnoteReference"/>
                <w:rFonts w:cs="Times New Roman"/>
                <w:b w:val="0"/>
                <w:sz w:val="24"/>
                <w:szCs w:val="24"/>
              </w:rPr>
              <w:footnoteReference w:id="4"/>
            </w:r>
            <w:r w:rsidRPr="00B533B9">
              <w:rPr>
                <w:rFonts w:cs="Times New Roman"/>
                <w:b w:val="0"/>
                <w:sz w:val="24"/>
                <w:szCs w:val="24"/>
              </w:rPr>
              <w:t xml:space="preserve">:  </w:t>
            </w:r>
          </w:p>
          <w:p w14:paraId="2B11C446" w14:textId="77777777" w:rsidR="00875706" w:rsidRPr="00B533B9" w:rsidRDefault="00E30502" w:rsidP="00AB019C">
            <w:pPr>
              <w:pStyle w:val="H2"/>
              <w:rPr>
                <w:rFonts w:cs="Times New Roman"/>
                <w:i/>
                <w:sz w:val="24"/>
                <w:szCs w:val="24"/>
              </w:rPr>
            </w:pPr>
            <w:r w:rsidRPr="00B533B9">
              <w:rPr>
                <w:rFonts w:cs="Times New Roman"/>
                <w:b w:val="0"/>
                <w:iCs w:val="0"/>
                <w:sz w:val="24"/>
                <w:szCs w:val="24"/>
              </w:rPr>
              <w:t>USD 112,000</w:t>
            </w:r>
          </w:p>
        </w:tc>
        <w:tc>
          <w:tcPr>
            <w:tcW w:w="2172" w:type="dxa"/>
            <w:tcBorders>
              <w:top w:val="nil"/>
              <w:left w:val="nil"/>
              <w:bottom w:val="nil"/>
              <w:right w:val="single" w:sz="4" w:space="0" w:color="auto"/>
            </w:tcBorders>
            <w:shd w:val="clear" w:color="auto" w:fill="auto"/>
            <w:vAlign w:val="center"/>
          </w:tcPr>
          <w:p w14:paraId="63A37B4F" w14:textId="77777777" w:rsidR="00875706" w:rsidRPr="00B533B9" w:rsidRDefault="00875706" w:rsidP="00C5660F">
            <w:pPr>
              <w:pStyle w:val="BodyText"/>
              <w:rPr>
                <w:rFonts w:ascii="Times New Roman" w:hAnsi="Times New Roman" w:cs="Times New Roman"/>
                <w:color w:val="000000"/>
                <w:sz w:val="24"/>
                <w:szCs w:val="24"/>
              </w:rPr>
            </w:pPr>
          </w:p>
        </w:tc>
        <w:tc>
          <w:tcPr>
            <w:tcW w:w="258" w:type="dxa"/>
            <w:tcBorders>
              <w:top w:val="nil"/>
              <w:left w:val="single" w:sz="4" w:space="0" w:color="auto"/>
              <w:bottom w:val="nil"/>
              <w:right w:val="single" w:sz="4" w:space="0" w:color="auto"/>
            </w:tcBorders>
            <w:shd w:val="clear" w:color="auto" w:fill="auto"/>
            <w:vAlign w:val="center"/>
          </w:tcPr>
          <w:p w14:paraId="11BE634A" w14:textId="77777777" w:rsidR="00875706" w:rsidRPr="00B533B9" w:rsidRDefault="00875706" w:rsidP="00C5660F">
            <w:pPr>
              <w:pStyle w:val="BodyText"/>
              <w:rPr>
                <w:rFonts w:ascii="Times New Roman" w:hAnsi="Times New Roman" w:cs="Times New Roman"/>
                <w:sz w:val="24"/>
                <w:szCs w:val="24"/>
              </w:rPr>
            </w:pPr>
          </w:p>
        </w:tc>
        <w:tc>
          <w:tcPr>
            <w:tcW w:w="3002" w:type="dxa"/>
            <w:tcBorders>
              <w:top w:val="nil"/>
              <w:left w:val="single" w:sz="4" w:space="0" w:color="auto"/>
              <w:bottom w:val="nil"/>
              <w:right w:val="nil"/>
            </w:tcBorders>
            <w:shd w:val="clear" w:color="auto" w:fill="auto"/>
            <w:vAlign w:val="center"/>
          </w:tcPr>
          <w:p w14:paraId="4FF3BC56" w14:textId="77777777" w:rsidR="00875706" w:rsidRPr="00B533B9" w:rsidRDefault="00875706" w:rsidP="00C5660F">
            <w:pPr>
              <w:pStyle w:val="BodyText"/>
              <w:rPr>
                <w:rFonts w:ascii="Times New Roman" w:hAnsi="Times New Roman" w:cs="Times New Roman"/>
                <w:sz w:val="24"/>
                <w:szCs w:val="24"/>
              </w:rPr>
            </w:pPr>
            <w:r w:rsidRPr="00B533B9">
              <w:rPr>
                <w:rFonts w:ascii="Times New Roman" w:hAnsi="Times New Roman" w:cs="Times New Roman"/>
                <w:sz w:val="24"/>
                <w:szCs w:val="24"/>
              </w:rPr>
              <w:t>Overall Duratio</w:t>
            </w:r>
            <w:r w:rsidR="00E30502" w:rsidRPr="00B533B9">
              <w:rPr>
                <w:rFonts w:ascii="Times New Roman" w:hAnsi="Times New Roman" w:cs="Times New Roman"/>
                <w:sz w:val="24"/>
                <w:szCs w:val="24"/>
              </w:rPr>
              <w:t>n: 12 Months</w:t>
            </w:r>
          </w:p>
        </w:tc>
        <w:tc>
          <w:tcPr>
            <w:tcW w:w="1984" w:type="dxa"/>
            <w:tcBorders>
              <w:top w:val="nil"/>
              <w:left w:val="nil"/>
              <w:bottom w:val="nil"/>
              <w:right w:val="single" w:sz="4" w:space="0" w:color="auto"/>
            </w:tcBorders>
            <w:shd w:val="clear" w:color="auto" w:fill="auto"/>
            <w:vAlign w:val="center"/>
          </w:tcPr>
          <w:p w14:paraId="548D20C2" w14:textId="77777777" w:rsidR="00875706" w:rsidRPr="00B533B9" w:rsidRDefault="00875706" w:rsidP="00C5660F">
            <w:pPr>
              <w:pStyle w:val="BodyText"/>
              <w:widowControl w:val="0"/>
              <w:rPr>
                <w:rFonts w:ascii="Times New Roman" w:hAnsi="Times New Roman" w:cs="Times New Roman"/>
                <w:sz w:val="24"/>
                <w:szCs w:val="24"/>
              </w:rPr>
            </w:pPr>
          </w:p>
        </w:tc>
      </w:tr>
      <w:tr w:rsidR="00AB019C" w:rsidRPr="00B533B9" w14:paraId="5857A229" w14:textId="77777777" w:rsidTr="008B5E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jc w:val="center"/>
        </w:trPr>
        <w:tc>
          <w:tcPr>
            <w:tcW w:w="2970" w:type="dxa"/>
            <w:tcBorders>
              <w:top w:val="nil"/>
              <w:left w:val="single" w:sz="4" w:space="0" w:color="auto"/>
              <w:bottom w:val="nil"/>
              <w:right w:val="nil"/>
            </w:tcBorders>
            <w:shd w:val="clear" w:color="auto" w:fill="auto"/>
            <w:vAlign w:val="center"/>
          </w:tcPr>
          <w:p w14:paraId="26DAE4D0" w14:textId="77777777" w:rsidR="00AB019C" w:rsidRDefault="00AB019C" w:rsidP="00C5660F">
            <w:pPr>
              <w:pStyle w:val="H2"/>
              <w:rPr>
                <w:rFonts w:cs="Times New Roman"/>
                <w:b w:val="0"/>
                <w:sz w:val="24"/>
                <w:szCs w:val="24"/>
              </w:rPr>
            </w:pPr>
          </w:p>
          <w:p w14:paraId="3688D116" w14:textId="77777777" w:rsidR="00AB019C" w:rsidRPr="00B533B9" w:rsidRDefault="00AB019C" w:rsidP="00C5660F">
            <w:pPr>
              <w:pStyle w:val="H2"/>
              <w:rPr>
                <w:rFonts w:cs="Times New Roman"/>
                <w:b w:val="0"/>
                <w:sz w:val="24"/>
                <w:szCs w:val="24"/>
              </w:rPr>
            </w:pPr>
            <w:r w:rsidRPr="00B533B9">
              <w:rPr>
                <w:rFonts w:cs="Times New Roman"/>
                <w:b w:val="0"/>
                <w:sz w:val="24"/>
                <w:szCs w:val="24"/>
              </w:rPr>
              <w:t>Agency Contribution:</w:t>
            </w:r>
          </w:p>
          <w:p w14:paraId="39CA0472" w14:textId="77777777" w:rsidR="00AB019C" w:rsidRDefault="00AB019C" w:rsidP="00E30502">
            <w:pPr>
              <w:pStyle w:val="H2"/>
              <w:rPr>
                <w:rFonts w:cs="Times New Roman"/>
                <w:sz w:val="24"/>
                <w:szCs w:val="24"/>
              </w:rPr>
            </w:pPr>
          </w:p>
          <w:p w14:paraId="16195FE2" w14:textId="77777777" w:rsidR="00AB019C" w:rsidRPr="00B533B9" w:rsidRDefault="00AB019C" w:rsidP="00E30502">
            <w:pPr>
              <w:pStyle w:val="H2"/>
              <w:rPr>
                <w:rFonts w:cs="Times New Roman"/>
                <w:sz w:val="24"/>
                <w:szCs w:val="24"/>
              </w:rPr>
            </w:pPr>
          </w:p>
        </w:tc>
        <w:tc>
          <w:tcPr>
            <w:tcW w:w="2172" w:type="dxa"/>
            <w:tcBorders>
              <w:top w:val="nil"/>
              <w:left w:val="nil"/>
              <w:bottom w:val="nil"/>
              <w:right w:val="single" w:sz="4" w:space="0" w:color="auto"/>
            </w:tcBorders>
            <w:shd w:val="clear" w:color="auto" w:fill="auto"/>
            <w:vAlign w:val="center"/>
          </w:tcPr>
          <w:p w14:paraId="66802C1A" w14:textId="77777777" w:rsidR="00AB019C" w:rsidRPr="00B533B9" w:rsidRDefault="00AB019C" w:rsidP="00C5660F">
            <w:pPr>
              <w:pStyle w:val="BodyText"/>
              <w:rPr>
                <w:rFonts w:ascii="Times New Roman" w:hAnsi="Times New Roman" w:cs="Times New Roman"/>
                <w:color w:val="000000"/>
                <w:sz w:val="24"/>
                <w:szCs w:val="24"/>
              </w:rPr>
            </w:pPr>
          </w:p>
        </w:tc>
        <w:tc>
          <w:tcPr>
            <w:tcW w:w="258" w:type="dxa"/>
            <w:tcBorders>
              <w:top w:val="nil"/>
              <w:left w:val="single" w:sz="4" w:space="0" w:color="auto"/>
              <w:bottom w:val="nil"/>
              <w:right w:val="single" w:sz="4" w:space="0" w:color="auto"/>
            </w:tcBorders>
            <w:shd w:val="clear" w:color="auto" w:fill="auto"/>
            <w:vAlign w:val="center"/>
          </w:tcPr>
          <w:p w14:paraId="5E28DAD4" w14:textId="77777777" w:rsidR="00AB019C" w:rsidRPr="00B533B9" w:rsidRDefault="00AB019C" w:rsidP="00C5660F">
            <w:pPr>
              <w:pStyle w:val="BodyText"/>
              <w:rPr>
                <w:rFonts w:ascii="Times New Roman" w:hAnsi="Times New Roman" w:cs="Times New Roman"/>
                <w:sz w:val="24"/>
                <w:szCs w:val="24"/>
              </w:rPr>
            </w:pPr>
          </w:p>
        </w:tc>
        <w:tc>
          <w:tcPr>
            <w:tcW w:w="4986" w:type="dxa"/>
            <w:gridSpan w:val="2"/>
            <w:tcBorders>
              <w:top w:val="nil"/>
              <w:left w:val="single" w:sz="4" w:space="0" w:color="auto"/>
              <w:bottom w:val="nil"/>
              <w:right w:val="single" w:sz="4" w:space="0" w:color="auto"/>
            </w:tcBorders>
            <w:shd w:val="clear" w:color="auto" w:fill="auto"/>
            <w:vAlign w:val="center"/>
          </w:tcPr>
          <w:p w14:paraId="605FDABE" w14:textId="77777777" w:rsidR="00AB019C" w:rsidRPr="00B533B9" w:rsidRDefault="00AB019C" w:rsidP="00C5660F">
            <w:pPr>
              <w:pStyle w:val="BodyText"/>
              <w:rPr>
                <w:rFonts w:ascii="Times New Roman" w:hAnsi="Times New Roman" w:cs="Times New Roman"/>
                <w:sz w:val="24"/>
                <w:szCs w:val="24"/>
              </w:rPr>
            </w:pPr>
            <w:r w:rsidRPr="00B533B9">
              <w:rPr>
                <w:rFonts w:ascii="Times New Roman" w:hAnsi="Times New Roman" w:cs="Times New Roman"/>
                <w:sz w:val="24"/>
                <w:szCs w:val="24"/>
              </w:rPr>
              <w:t>Start Date</w:t>
            </w:r>
            <w:r w:rsidRPr="00B533B9">
              <w:rPr>
                <w:rStyle w:val="FootnoteReference"/>
                <w:rFonts w:ascii="Times New Roman" w:hAnsi="Times New Roman" w:cs="Times New Roman"/>
                <w:sz w:val="24"/>
                <w:szCs w:val="24"/>
              </w:rPr>
              <w:footnoteReference w:id="5"/>
            </w:r>
            <w:r w:rsidRPr="00B533B9">
              <w:rPr>
                <w:rFonts w:ascii="Times New Roman" w:hAnsi="Times New Roman" w:cs="Times New Roman"/>
                <w:sz w:val="24"/>
                <w:szCs w:val="24"/>
              </w:rPr>
              <w:t xml:space="preserve"> : 25 February 2019</w:t>
            </w:r>
          </w:p>
        </w:tc>
      </w:tr>
      <w:tr w:rsidR="00E30502" w:rsidRPr="00B533B9" w14:paraId="138F6379" w14:textId="77777777" w:rsidTr="008B5E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jc w:val="center"/>
        </w:trPr>
        <w:tc>
          <w:tcPr>
            <w:tcW w:w="2970" w:type="dxa"/>
            <w:tcBorders>
              <w:top w:val="nil"/>
              <w:left w:val="single" w:sz="4" w:space="0" w:color="auto"/>
              <w:bottom w:val="nil"/>
              <w:right w:val="nil"/>
            </w:tcBorders>
            <w:shd w:val="clear" w:color="auto" w:fill="D9D9D9"/>
            <w:vAlign w:val="center"/>
          </w:tcPr>
          <w:p w14:paraId="34F4D164" w14:textId="77777777" w:rsidR="00E30502" w:rsidRPr="00B533B9" w:rsidRDefault="00E30502" w:rsidP="00C5660F">
            <w:pPr>
              <w:pStyle w:val="H2"/>
              <w:rPr>
                <w:rFonts w:cs="Times New Roman"/>
                <w:b w:val="0"/>
                <w:sz w:val="24"/>
                <w:szCs w:val="24"/>
              </w:rPr>
            </w:pPr>
            <w:r w:rsidRPr="00B533B9">
              <w:rPr>
                <w:rFonts w:cs="Times New Roman"/>
                <w:b w:val="0"/>
                <w:sz w:val="24"/>
                <w:szCs w:val="24"/>
              </w:rPr>
              <w:t>Government Contribution:</w:t>
            </w:r>
          </w:p>
          <w:p w14:paraId="2F11C2A5" w14:textId="77777777" w:rsidR="00E30502" w:rsidRDefault="00E30502" w:rsidP="00C5660F">
            <w:pPr>
              <w:pStyle w:val="H2"/>
              <w:rPr>
                <w:rFonts w:cs="Times New Roman"/>
                <w:sz w:val="24"/>
                <w:szCs w:val="24"/>
              </w:rPr>
            </w:pPr>
          </w:p>
          <w:p w14:paraId="5764FB32" w14:textId="77777777" w:rsidR="00AB019C" w:rsidRPr="00B533B9" w:rsidRDefault="00AB019C" w:rsidP="00C5660F">
            <w:pPr>
              <w:pStyle w:val="H2"/>
              <w:rPr>
                <w:rFonts w:cs="Times New Roman"/>
                <w:sz w:val="24"/>
                <w:szCs w:val="24"/>
              </w:rPr>
            </w:pPr>
          </w:p>
        </w:tc>
        <w:tc>
          <w:tcPr>
            <w:tcW w:w="2172" w:type="dxa"/>
            <w:tcBorders>
              <w:top w:val="nil"/>
              <w:left w:val="nil"/>
              <w:bottom w:val="nil"/>
              <w:right w:val="single" w:sz="4" w:space="0" w:color="auto"/>
            </w:tcBorders>
            <w:shd w:val="clear" w:color="auto" w:fill="D9D9D9"/>
            <w:vAlign w:val="center"/>
          </w:tcPr>
          <w:p w14:paraId="5805A366" w14:textId="77777777" w:rsidR="00E30502" w:rsidRPr="00B533B9" w:rsidRDefault="00E30502" w:rsidP="00C5660F">
            <w:pPr>
              <w:pStyle w:val="BodyText"/>
              <w:rPr>
                <w:rFonts w:ascii="Times New Roman" w:hAnsi="Times New Roman" w:cs="Times New Roman"/>
                <w:color w:val="000000"/>
                <w:sz w:val="24"/>
                <w:szCs w:val="24"/>
              </w:rPr>
            </w:pPr>
          </w:p>
        </w:tc>
        <w:tc>
          <w:tcPr>
            <w:tcW w:w="258" w:type="dxa"/>
            <w:tcBorders>
              <w:top w:val="nil"/>
              <w:left w:val="single" w:sz="4" w:space="0" w:color="auto"/>
              <w:bottom w:val="nil"/>
              <w:right w:val="single" w:sz="4" w:space="0" w:color="auto"/>
            </w:tcBorders>
            <w:shd w:val="clear" w:color="auto" w:fill="auto"/>
            <w:vAlign w:val="center"/>
          </w:tcPr>
          <w:p w14:paraId="6B5A7205" w14:textId="77777777" w:rsidR="00E30502" w:rsidRPr="00B533B9" w:rsidRDefault="00E30502" w:rsidP="00C5660F">
            <w:pPr>
              <w:pStyle w:val="BodyText"/>
              <w:rPr>
                <w:rFonts w:ascii="Times New Roman" w:hAnsi="Times New Roman" w:cs="Times New Roman"/>
                <w:sz w:val="24"/>
                <w:szCs w:val="24"/>
              </w:rPr>
            </w:pPr>
          </w:p>
        </w:tc>
        <w:tc>
          <w:tcPr>
            <w:tcW w:w="4986" w:type="dxa"/>
            <w:gridSpan w:val="2"/>
            <w:tcBorders>
              <w:top w:val="nil"/>
              <w:left w:val="single" w:sz="4" w:space="0" w:color="auto"/>
              <w:bottom w:val="nil"/>
              <w:right w:val="single" w:sz="4" w:space="0" w:color="auto"/>
            </w:tcBorders>
            <w:shd w:val="clear" w:color="auto" w:fill="auto"/>
            <w:vAlign w:val="center"/>
          </w:tcPr>
          <w:p w14:paraId="07D50E39" w14:textId="77777777" w:rsidR="00E30502" w:rsidRPr="00B533B9" w:rsidRDefault="00E30502" w:rsidP="00C5660F">
            <w:pPr>
              <w:pStyle w:val="BodyText"/>
              <w:rPr>
                <w:rFonts w:ascii="Times New Roman" w:hAnsi="Times New Roman" w:cs="Times New Roman"/>
                <w:sz w:val="24"/>
                <w:szCs w:val="24"/>
              </w:rPr>
            </w:pPr>
            <w:r w:rsidRPr="00B533B9">
              <w:rPr>
                <w:rFonts w:ascii="Times New Roman" w:hAnsi="Times New Roman" w:cs="Times New Roman"/>
                <w:sz w:val="24"/>
                <w:szCs w:val="24"/>
              </w:rPr>
              <w:t>Original End Date</w:t>
            </w:r>
            <w:r w:rsidRPr="00B533B9">
              <w:rPr>
                <w:rStyle w:val="FootnoteReference"/>
                <w:rFonts w:ascii="Times New Roman" w:hAnsi="Times New Roman" w:cs="Times New Roman"/>
                <w:bCs/>
                <w:i/>
                <w:iCs/>
                <w:snapToGrid w:val="0"/>
                <w:sz w:val="24"/>
                <w:szCs w:val="24"/>
              </w:rPr>
              <w:footnoteReference w:id="6"/>
            </w:r>
            <w:r w:rsidRPr="00B533B9">
              <w:rPr>
                <w:rFonts w:ascii="Times New Roman" w:hAnsi="Times New Roman" w:cs="Times New Roman"/>
                <w:sz w:val="24"/>
                <w:szCs w:val="24"/>
              </w:rPr>
              <w:t>: 31 December 2020</w:t>
            </w:r>
          </w:p>
        </w:tc>
      </w:tr>
      <w:tr w:rsidR="00AB019C" w:rsidRPr="00B533B9" w14:paraId="5178E08C" w14:textId="77777777" w:rsidTr="008B5E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jc w:val="center"/>
        </w:trPr>
        <w:tc>
          <w:tcPr>
            <w:tcW w:w="5142" w:type="dxa"/>
            <w:gridSpan w:val="2"/>
            <w:tcBorders>
              <w:top w:val="nil"/>
              <w:left w:val="single" w:sz="4" w:space="0" w:color="auto"/>
              <w:bottom w:val="nil"/>
              <w:right w:val="single" w:sz="4" w:space="0" w:color="auto"/>
            </w:tcBorders>
            <w:shd w:val="clear" w:color="auto" w:fill="D9D9D9"/>
            <w:vAlign w:val="center"/>
          </w:tcPr>
          <w:p w14:paraId="7EE7C65C" w14:textId="77777777" w:rsidR="00AB019C" w:rsidRDefault="00AB019C" w:rsidP="00C5660F">
            <w:pPr>
              <w:pStyle w:val="H2"/>
              <w:rPr>
                <w:rFonts w:cs="Times New Roman"/>
                <w:b w:val="0"/>
                <w:sz w:val="24"/>
                <w:szCs w:val="24"/>
              </w:rPr>
            </w:pPr>
          </w:p>
          <w:p w14:paraId="1CB1BA79" w14:textId="77777777" w:rsidR="00AB019C" w:rsidRPr="00AB019C" w:rsidRDefault="00AB019C" w:rsidP="00C5660F">
            <w:pPr>
              <w:pStyle w:val="H2"/>
              <w:rPr>
                <w:rFonts w:cs="Times New Roman"/>
                <w:b w:val="0"/>
                <w:sz w:val="24"/>
                <w:szCs w:val="24"/>
              </w:rPr>
            </w:pPr>
            <w:r w:rsidRPr="00AB019C">
              <w:rPr>
                <w:rFonts w:cs="Times New Roman"/>
                <w:b w:val="0"/>
                <w:sz w:val="24"/>
                <w:szCs w:val="24"/>
              </w:rPr>
              <w:t>Other Contributions (donors):</w:t>
            </w:r>
          </w:p>
          <w:p w14:paraId="694B81F5" w14:textId="77777777" w:rsidR="00AB019C" w:rsidRPr="00AB019C" w:rsidRDefault="00AB019C" w:rsidP="00C5660F">
            <w:pPr>
              <w:pStyle w:val="BodyText"/>
              <w:rPr>
                <w:rFonts w:ascii="Times New Roman" w:hAnsi="Times New Roman" w:cs="Times New Roman"/>
                <w:bCs/>
                <w:color w:val="000000"/>
                <w:sz w:val="24"/>
                <w:szCs w:val="24"/>
              </w:rPr>
            </w:pPr>
            <w:r w:rsidRPr="00AB019C">
              <w:rPr>
                <w:rFonts w:ascii="Times New Roman" w:hAnsi="Times New Roman" w:cs="Times New Roman"/>
                <w:bCs/>
                <w:sz w:val="24"/>
                <w:szCs w:val="24"/>
              </w:rPr>
              <w:t>USD 90,000 - Government of New Zealand</w:t>
            </w:r>
          </w:p>
        </w:tc>
        <w:tc>
          <w:tcPr>
            <w:tcW w:w="258" w:type="dxa"/>
            <w:tcBorders>
              <w:top w:val="nil"/>
              <w:left w:val="single" w:sz="4" w:space="0" w:color="auto"/>
              <w:bottom w:val="nil"/>
              <w:right w:val="single" w:sz="4" w:space="0" w:color="auto"/>
            </w:tcBorders>
            <w:shd w:val="clear" w:color="auto" w:fill="auto"/>
            <w:vAlign w:val="center"/>
          </w:tcPr>
          <w:p w14:paraId="10C57138" w14:textId="77777777" w:rsidR="00AB019C" w:rsidRPr="00B533B9" w:rsidRDefault="00AB019C" w:rsidP="00C5660F">
            <w:pPr>
              <w:pStyle w:val="BodyText"/>
              <w:rPr>
                <w:rFonts w:ascii="Times New Roman" w:hAnsi="Times New Roman" w:cs="Times New Roman"/>
                <w:sz w:val="24"/>
                <w:szCs w:val="24"/>
              </w:rPr>
            </w:pPr>
          </w:p>
        </w:tc>
        <w:tc>
          <w:tcPr>
            <w:tcW w:w="4986" w:type="dxa"/>
            <w:gridSpan w:val="2"/>
            <w:tcBorders>
              <w:top w:val="nil"/>
              <w:left w:val="single" w:sz="4" w:space="0" w:color="auto"/>
              <w:bottom w:val="nil"/>
              <w:right w:val="single" w:sz="4" w:space="0" w:color="auto"/>
            </w:tcBorders>
            <w:shd w:val="clear" w:color="auto" w:fill="auto"/>
            <w:vAlign w:val="center"/>
          </w:tcPr>
          <w:p w14:paraId="01952353" w14:textId="77777777" w:rsidR="00AB019C" w:rsidRPr="00B533B9" w:rsidRDefault="00AB019C" w:rsidP="00C5660F">
            <w:pPr>
              <w:pStyle w:val="BodyText"/>
              <w:rPr>
                <w:rFonts w:ascii="Times New Roman" w:hAnsi="Times New Roman" w:cs="Times New Roman"/>
                <w:sz w:val="24"/>
                <w:szCs w:val="24"/>
              </w:rPr>
            </w:pPr>
            <w:r w:rsidRPr="00B533B9">
              <w:rPr>
                <w:rFonts w:ascii="Times New Roman" w:hAnsi="Times New Roman" w:cs="Times New Roman"/>
                <w:sz w:val="24"/>
                <w:szCs w:val="24"/>
              </w:rPr>
              <w:t>Current End date</w:t>
            </w:r>
            <w:r w:rsidRPr="00B533B9">
              <w:rPr>
                <w:rStyle w:val="FootnoteReference"/>
                <w:rFonts w:ascii="Times New Roman" w:hAnsi="Times New Roman" w:cs="Times New Roman"/>
                <w:sz w:val="24"/>
                <w:szCs w:val="24"/>
              </w:rPr>
              <w:footnoteReference w:id="7"/>
            </w:r>
            <w:r w:rsidRPr="00B533B9">
              <w:rPr>
                <w:rFonts w:ascii="Times New Roman" w:hAnsi="Times New Roman" w:cs="Times New Roman"/>
                <w:sz w:val="24"/>
                <w:szCs w:val="24"/>
              </w:rPr>
              <w:t>: 31 December 2020 (in process for extension)</w:t>
            </w:r>
          </w:p>
        </w:tc>
      </w:tr>
      <w:tr w:rsidR="00875706" w:rsidRPr="00B533B9" w14:paraId="151BB11F" w14:textId="77777777" w:rsidTr="008B5E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jc w:val="center"/>
        </w:trPr>
        <w:tc>
          <w:tcPr>
            <w:tcW w:w="2970" w:type="dxa"/>
            <w:tcBorders>
              <w:top w:val="nil"/>
              <w:left w:val="single" w:sz="4" w:space="0" w:color="auto"/>
              <w:bottom w:val="single" w:sz="4" w:space="0" w:color="auto"/>
              <w:right w:val="nil"/>
            </w:tcBorders>
            <w:shd w:val="clear" w:color="auto" w:fill="auto"/>
            <w:vAlign w:val="center"/>
          </w:tcPr>
          <w:p w14:paraId="254B39F2" w14:textId="77777777" w:rsidR="00AB019C" w:rsidRDefault="00AB019C" w:rsidP="00C5660F">
            <w:pPr>
              <w:pStyle w:val="H2"/>
              <w:rPr>
                <w:rFonts w:cs="Times New Roman"/>
                <w:sz w:val="24"/>
                <w:szCs w:val="24"/>
              </w:rPr>
            </w:pPr>
          </w:p>
          <w:p w14:paraId="51FACB1C" w14:textId="77777777" w:rsidR="00875706" w:rsidRDefault="00875706" w:rsidP="00C5660F">
            <w:pPr>
              <w:pStyle w:val="H2"/>
              <w:rPr>
                <w:rFonts w:cs="Times New Roman"/>
                <w:sz w:val="24"/>
                <w:szCs w:val="24"/>
              </w:rPr>
            </w:pPr>
            <w:r w:rsidRPr="00B533B9">
              <w:rPr>
                <w:rFonts w:cs="Times New Roman"/>
                <w:sz w:val="24"/>
                <w:szCs w:val="24"/>
              </w:rPr>
              <w:t>TOTAL:</w:t>
            </w:r>
            <w:r w:rsidR="00E30502" w:rsidRPr="00B533B9">
              <w:rPr>
                <w:rFonts w:cs="Times New Roman"/>
                <w:sz w:val="24"/>
                <w:szCs w:val="24"/>
              </w:rPr>
              <w:t xml:space="preserve"> USD 202,000</w:t>
            </w:r>
          </w:p>
          <w:p w14:paraId="1D4ED4FB" w14:textId="77777777" w:rsidR="00AB019C" w:rsidRPr="00B533B9" w:rsidRDefault="00AB019C" w:rsidP="00C5660F">
            <w:pPr>
              <w:pStyle w:val="H2"/>
              <w:rPr>
                <w:rFonts w:cs="Times New Roman"/>
                <w:sz w:val="24"/>
                <w:szCs w:val="24"/>
              </w:rPr>
            </w:pPr>
          </w:p>
        </w:tc>
        <w:tc>
          <w:tcPr>
            <w:tcW w:w="2172" w:type="dxa"/>
            <w:tcBorders>
              <w:top w:val="nil"/>
              <w:left w:val="nil"/>
              <w:bottom w:val="single" w:sz="4" w:space="0" w:color="auto"/>
              <w:right w:val="single" w:sz="4" w:space="0" w:color="auto"/>
            </w:tcBorders>
            <w:shd w:val="clear" w:color="auto" w:fill="auto"/>
            <w:vAlign w:val="center"/>
          </w:tcPr>
          <w:p w14:paraId="744D528F" w14:textId="77777777" w:rsidR="00875706" w:rsidRPr="00B533B9" w:rsidRDefault="00875706" w:rsidP="00C5660F">
            <w:pPr>
              <w:pStyle w:val="BodyText"/>
              <w:rPr>
                <w:rFonts w:ascii="Times New Roman" w:hAnsi="Times New Roman" w:cs="Times New Roman"/>
                <w:color w:val="000000"/>
                <w:sz w:val="24"/>
                <w:szCs w:val="24"/>
              </w:rPr>
            </w:pPr>
          </w:p>
        </w:tc>
        <w:tc>
          <w:tcPr>
            <w:tcW w:w="258" w:type="dxa"/>
            <w:tcBorders>
              <w:top w:val="nil"/>
              <w:left w:val="single" w:sz="4" w:space="0" w:color="auto"/>
              <w:bottom w:val="nil"/>
              <w:right w:val="single" w:sz="4" w:space="0" w:color="auto"/>
            </w:tcBorders>
            <w:shd w:val="clear" w:color="auto" w:fill="auto"/>
            <w:vAlign w:val="center"/>
          </w:tcPr>
          <w:p w14:paraId="55652CB0" w14:textId="77777777" w:rsidR="00875706" w:rsidRPr="00B533B9" w:rsidRDefault="00875706" w:rsidP="00C5660F">
            <w:pPr>
              <w:pStyle w:val="BodyText"/>
              <w:rPr>
                <w:rFonts w:ascii="Times New Roman" w:hAnsi="Times New Roman" w:cs="Times New Roman"/>
                <w:sz w:val="24"/>
                <w:szCs w:val="24"/>
              </w:rPr>
            </w:pPr>
          </w:p>
        </w:tc>
        <w:tc>
          <w:tcPr>
            <w:tcW w:w="3002" w:type="dxa"/>
            <w:tcBorders>
              <w:top w:val="nil"/>
              <w:left w:val="single" w:sz="4" w:space="0" w:color="auto"/>
              <w:bottom w:val="single" w:sz="4" w:space="0" w:color="auto"/>
              <w:right w:val="nil"/>
            </w:tcBorders>
            <w:shd w:val="clear" w:color="auto" w:fill="auto"/>
            <w:vAlign w:val="center"/>
          </w:tcPr>
          <w:p w14:paraId="257035C7" w14:textId="77777777" w:rsidR="00875706" w:rsidRPr="00B533B9" w:rsidRDefault="00875706" w:rsidP="00C5660F">
            <w:pPr>
              <w:pStyle w:val="BodyText"/>
              <w:rPr>
                <w:rFonts w:ascii="Times New Roman" w:hAnsi="Times New Roman" w:cs="Times New Roman"/>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tcPr>
          <w:p w14:paraId="5CCBE4F7" w14:textId="77777777" w:rsidR="00875706" w:rsidRPr="00B533B9" w:rsidRDefault="00875706" w:rsidP="00C5660F">
            <w:pPr>
              <w:pStyle w:val="BodyText"/>
              <w:rPr>
                <w:rFonts w:ascii="Times New Roman" w:hAnsi="Times New Roman" w:cs="Times New Roman"/>
                <w:sz w:val="24"/>
                <w:szCs w:val="24"/>
              </w:rPr>
            </w:pPr>
          </w:p>
        </w:tc>
      </w:tr>
      <w:tr w:rsidR="00875706" w:rsidRPr="00B533B9" w14:paraId="03DCF8AF" w14:textId="77777777" w:rsidTr="008B5E99">
        <w:trPr>
          <w:trHeight w:val="206"/>
          <w:jc w:val="center"/>
        </w:trPr>
        <w:tc>
          <w:tcPr>
            <w:tcW w:w="5142" w:type="dxa"/>
            <w:gridSpan w:val="2"/>
            <w:tcBorders>
              <w:top w:val="single" w:sz="4" w:space="0" w:color="auto"/>
              <w:left w:val="single" w:sz="4" w:space="0" w:color="auto"/>
              <w:right w:val="single" w:sz="4" w:space="0" w:color="auto"/>
            </w:tcBorders>
            <w:shd w:val="clear" w:color="auto" w:fill="F3F3F3"/>
          </w:tcPr>
          <w:p w14:paraId="6266C07C" w14:textId="77777777" w:rsidR="00875706" w:rsidRPr="00B533B9" w:rsidRDefault="00875706" w:rsidP="00C5660F">
            <w:pPr>
              <w:pStyle w:val="H1"/>
              <w:ind w:right="-120" w:hanging="70"/>
              <w:jc w:val="center"/>
              <w:rPr>
                <w:rFonts w:cs="Times New Roman"/>
                <w:szCs w:val="24"/>
              </w:rPr>
            </w:pPr>
            <w:r w:rsidRPr="00B533B9">
              <w:rPr>
                <w:rFonts w:cs="Times New Roman"/>
                <w:szCs w:val="24"/>
              </w:rPr>
              <w:t>Programme Assessment/Review/Mid-Term Eval.</w:t>
            </w:r>
          </w:p>
        </w:tc>
        <w:tc>
          <w:tcPr>
            <w:tcW w:w="258" w:type="dxa"/>
            <w:vMerge w:val="restart"/>
            <w:tcBorders>
              <w:left w:val="single" w:sz="4" w:space="0" w:color="auto"/>
              <w:right w:val="single" w:sz="4" w:space="0" w:color="auto"/>
            </w:tcBorders>
          </w:tcPr>
          <w:p w14:paraId="1AF3472A" w14:textId="77777777" w:rsidR="00875706" w:rsidRPr="00B533B9" w:rsidRDefault="00875706" w:rsidP="00C5660F"/>
        </w:tc>
        <w:tc>
          <w:tcPr>
            <w:tcW w:w="4986" w:type="dxa"/>
            <w:gridSpan w:val="2"/>
            <w:tcBorders>
              <w:top w:val="single" w:sz="4" w:space="0" w:color="auto"/>
              <w:left w:val="single" w:sz="4" w:space="0" w:color="auto"/>
              <w:right w:val="single" w:sz="4" w:space="0" w:color="auto"/>
            </w:tcBorders>
            <w:shd w:val="clear" w:color="auto" w:fill="F3F3F3"/>
          </w:tcPr>
          <w:p w14:paraId="01FDE23D" w14:textId="77777777" w:rsidR="00875706" w:rsidRPr="00B533B9" w:rsidRDefault="00875706" w:rsidP="00C5660F">
            <w:pPr>
              <w:pStyle w:val="H1"/>
              <w:jc w:val="center"/>
              <w:rPr>
                <w:rFonts w:cs="Times New Roman"/>
                <w:szCs w:val="24"/>
              </w:rPr>
            </w:pPr>
            <w:r w:rsidRPr="00B533B9">
              <w:rPr>
                <w:rFonts w:cs="Times New Roman"/>
                <w:bCs w:val="0"/>
                <w:szCs w:val="24"/>
              </w:rPr>
              <w:t>Report Submitted By</w:t>
            </w:r>
          </w:p>
        </w:tc>
      </w:tr>
      <w:tr w:rsidR="00875706" w:rsidRPr="00B533B9" w14:paraId="318DA4CA" w14:textId="77777777" w:rsidTr="008B5E99">
        <w:trPr>
          <w:trHeight w:val="285"/>
          <w:jc w:val="center"/>
        </w:trPr>
        <w:tc>
          <w:tcPr>
            <w:tcW w:w="5142" w:type="dxa"/>
            <w:gridSpan w:val="2"/>
            <w:tcBorders>
              <w:left w:val="single" w:sz="4" w:space="0" w:color="auto"/>
              <w:right w:val="single" w:sz="4" w:space="0" w:color="auto"/>
            </w:tcBorders>
          </w:tcPr>
          <w:p w14:paraId="4F3CFFBB" w14:textId="77777777" w:rsidR="00875706" w:rsidRPr="00B533B9" w:rsidRDefault="00875706" w:rsidP="00C5660F">
            <w:pPr>
              <w:pStyle w:val="BodyText"/>
              <w:rPr>
                <w:rFonts w:ascii="Times New Roman" w:hAnsi="Times New Roman" w:cs="Times New Roman"/>
                <w:bCs/>
                <w:i/>
                <w:iCs/>
                <w:snapToGrid w:val="0"/>
                <w:sz w:val="24"/>
                <w:szCs w:val="24"/>
                <w:lang w:val="en-GB"/>
              </w:rPr>
            </w:pPr>
            <w:r w:rsidRPr="00B533B9">
              <w:rPr>
                <w:rFonts w:ascii="Times New Roman" w:hAnsi="Times New Roman" w:cs="Times New Roman"/>
                <w:sz w:val="24"/>
                <w:szCs w:val="24"/>
              </w:rPr>
              <w:t>Assessment/</w:t>
            </w:r>
            <w:proofErr w:type="gramStart"/>
            <w:r w:rsidRPr="00B533B9">
              <w:rPr>
                <w:rFonts w:ascii="Times New Roman" w:hAnsi="Times New Roman" w:cs="Times New Roman"/>
                <w:sz w:val="24"/>
                <w:szCs w:val="24"/>
              </w:rPr>
              <w:t>Review  -</w:t>
            </w:r>
            <w:proofErr w:type="gramEnd"/>
            <w:r w:rsidRPr="00B533B9">
              <w:rPr>
                <w:rFonts w:ascii="Times New Roman" w:hAnsi="Times New Roman" w:cs="Times New Roman"/>
                <w:sz w:val="24"/>
                <w:szCs w:val="24"/>
              </w:rPr>
              <w:t xml:space="preserve"> if applicable </w:t>
            </w:r>
            <w:r w:rsidRPr="00B533B9">
              <w:rPr>
                <w:rFonts w:ascii="Times New Roman" w:hAnsi="Times New Roman" w:cs="Times New Roman"/>
                <w:bCs/>
                <w:i/>
                <w:iCs/>
                <w:snapToGrid w:val="0"/>
                <w:sz w:val="24"/>
                <w:szCs w:val="24"/>
                <w:lang w:val="en-GB"/>
              </w:rPr>
              <w:t>please attach</w:t>
            </w:r>
          </w:p>
          <w:p w14:paraId="722B9591" w14:textId="77777777" w:rsidR="00875706" w:rsidRPr="00B533B9" w:rsidRDefault="00D542AE" w:rsidP="00C5660F">
            <w:pPr>
              <w:pStyle w:val="BodyText"/>
              <w:rPr>
                <w:rFonts w:ascii="Times New Roman" w:hAnsi="Times New Roman" w:cs="Times New Roman"/>
                <w:sz w:val="24"/>
                <w:szCs w:val="24"/>
              </w:rPr>
            </w:pPr>
            <w:r>
              <w:rPr>
                <w:rFonts w:ascii="Times New Roman" w:hAnsi="Times New Roman"/>
                <w:i/>
                <w:noProof/>
              </w:rPr>
              <mc:AlternateContent>
                <mc:Choice Requires="wps">
                  <w:drawing>
                    <wp:anchor distT="0" distB="0" distL="114300" distR="114300" simplePos="0" relativeHeight="251656704" behindDoc="0" locked="0" layoutInCell="1" allowOverlap="1" wp14:anchorId="599A9FC6" wp14:editId="1BF04759">
                      <wp:simplePos x="0" y="0"/>
                      <wp:positionH relativeFrom="column">
                        <wp:posOffset>-8890</wp:posOffset>
                      </wp:positionH>
                      <wp:positionV relativeFrom="paragraph">
                        <wp:posOffset>17145</wp:posOffset>
                      </wp:positionV>
                      <wp:extent cx="90805" cy="9080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9A2D9" id="Rectangle 4" o:spid="_x0000_s1026" style="position:absolute;margin-left:-.7pt;margin-top:1.35pt;width:7.15pt;height: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">
                      <v:path arrowok="t"/>
                    </v:rect>
                  </w:pict>
                </mc:Fallback>
              </mc:AlternateContent>
            </w:r>
            <w:r w:rsidR="00875706" w:rsidRPr="00B533B9">
              <w:rPr>
                <w:rFonts w:ascii="Times New Roman" w:hAnsi="Times New Roman" w:cs="Times New Roman"/>
                <w:sz w:val="24"/>
                <w:szCs w:val="24"/>
              </w:rPr>
              <w:t xml:space="preserve">     Yes        </w:t>
            </w:r>
            <w:r w:rsidR="00814ADF" w:rsidRPr="00B533B9">
              <w:rPr>
                <w:rFonts w:ascii="Times New Roman" w:hAnsi="Times New Roman" w:cs="Times New Roman"/>
                <w:sz w:val="24"/>
                <w:szCs w:val="24"/>
              </w:rPr>
              <w:fldChar w:fldCharType="begin">
                <w:ffData>
                  <w:name w:val="Check1"/>
                  <w:enabled/>
                  <w:calcOnExit w:val="0"/>
                  <w:checkBox>
                    <w:sizeAuto/>
                    <w:default w:val="1"/>
                  </w:checkBox>
                </w:ffData>
              </w:fldChar>
            </w:r>
            <w:bookmarkStart w:id="0" w:name="Check1"/>
            <w:r w:rsidR="00814ADF" w:rsidRPr="00B533B9">
              <w:rPr>
                <w:rFonts w:ascii="Times New Roman" w:hAnsi="Times New Roman" w:cs="Times New Roman"/>
                <w:sz w:val="24"/>
                <w:szCs w:val="24"/>
              </w:rPr>
              <w:instrText xml:space="preserve"> FORMCHECKBOX </w:instrText>
            </w:r>
            <w:r w:rsidR="0057347B">
              <w:rPr>
                <w:rFonts w:ascii="Times New Roman" w:hAnsi="Times New Roman" w:cs="Times New Roman"/>
                <w:sz w:val="24"/>
                <w:szCs w:val="24"/>
              </w:rPr>
            </w:r>
            <w:r w:rsidR="0057347B">
              <w:rPr>
                <w:rFonts w:ascii="Times New Roman" w:hAnsi="Times New Roman" w:cs="Times New Roman"/>
                <w:sz w:val="24"/>
                <w:szCs w:val="24"/>
              </w:rPr>
              <w:fldChar w:fldCharType="separate"/>
            </w:r>
            <w:r w:rsidR="00814ADF" w:rsidRPr="00B533B9">
              <w:rPr>
                <w:rFonts w:ascii="Times New Roman" w:hAnsi="Times New Roman" w:cs="Times New Roman"/>
                <w:sz w:val="24"/>
                <w:szCs w:val="24"/>
              </w:rPr>
              <w:fldChar w:fldCharType="end"/>
            </w:r>
            <w:bookmarkEnd w:id="0"/>
            <w:r w:rsidR="00875706" w:rsidRPr="00B533B9">
              <w:rPr>
                <w:rFonts w:ascii="Times New Roman" w:hAnsi="Times New Roman" w:cs="Times New Roman"/>
                <w:sz w:val="24"/>
                <w:szCs w:val="24"/>
              </w:rPr>
              <w:t xml:space="preserve">  No    Date: </w:t>
            </w:r>
            <w:proofErr w:type="spellStart"/>
            <w:proofErr w:type="gramStart"/>
            <w:r w:rsidR="00875706" w:rsidRPr="00B533B9">
              <w:rPr>
                <w:rFonts w:ascii="Times New Roman" w:hAnsi="Times New Roman" w:cs="Times New Roman"/>
                <w:i/>
                <w:sz w:val="24"/>
                <w:szCs w:val="24"/>
              </w:rPr>
              <w:t>dd.mm.yyyy</w:t>
            </w:r>
            <w:proofErr w:type="spellEnd"/>
            <w:proofErr w:type="gramEnd"/>
          </w:p>
          <w:p w14:paraId="0D15DB22" w14:textId="77777777" w:rsidR="00875706" w:rsidRPr="00B533B9" w:rsidRDefault="00875706" w:rsidP="00C5660F">
            <w:pPr>
              <w:pStyle w:val="BodyText"/>
              <w:rPr>
                <w:rFonts w:ascii="Times New Roman" w:hAnsi="Times New Roman" w:cs="Times New Roman"/>
                <w:sz w:val="24"/>
                <w:szCs w:val="24"/>
              </w:rPr>
            </w:pPr>
            <w:r w:rsidRPr="00B533B9">
              <w:rPr>
                <w:rFonts w:ascii="Times New Roman" w:hAnsi="Times New Roman" w:cs="Times New Roman"/>
                <w:sz w:val="24"/>
                <w:szCs w:val="24"/>
              </w:rPr>
              <w:t xml:space="preserve">Mid-Term Evaluation Report </w:t>
            </w:r>
            <w:r w:rsidRPr="00B533B9">
              <w:rPr>
                <w:rFonts w:ascii="Times New Roman" w:hAnsi="Times New Roman" w:cs="Times New Roman"/>
                <w:bCs/>
                <w:i/>
                <w:iCs/>
                <w:snapToGrid w:val="0"/>
                <w:sz w:val="24"/>
                <w:szCs w:val="24"/>
                <w:lang w:val="en-GB"/>
              </w:rPr>
              <w:t>– if applicable please attach</w:t>
            </w:r>
            <w:r w:rsidRPr="00B533B9">
              <w:rPr>
                <w:rFonts w:ascii="Times New Roman" w:hAnsi="Times New Roman" w:cs="Times New Roman"/>
                <w:b/>
                <w:sz w:val="24"/>
                <w:szCs w:val="24"/>
              </w:rPr>
              <w:t xml:space="preserve">          </w:t>
            </w:r>
          </w:p>
          <w:p w14:paraId="1A8459C8" w14:textId="77777777" w:rsidR="00875706" w:rsidRPr="00B533B9" w:rsidRDefault="00D542AE" w:rsidP="00C5660F">
            <w:pPr>
              <w:pStyle w:val="BodyText"/>
              <w:rPr>
                <w:rFonts w:ascii="Times New Roman" w:hAnsi="Times New Roman" w:cs="Times New Roman"/>
                <w:sz w:val="24"/>
                <w:szCs w:val="24"/>
              </w:rPr>
            </w:pPr>
            <w:r w:rsidRPr="00084444">
              <w:rPr>
                <w:rFonts w:ascii="Times New Roman" w:hAnsi="Times New Roman"/>
                <w:i/>
                <w:noProof/>
              </w:rPr>
              <mc:AlternateContent>
                <mc:Choice Requires="wps">
                  <w:drawing>
                    <wp:anchor distT="0" distB="0" distL="114300" distR="114300" simplePos="0" relativeHeight="251655680" behindDoc="0" locked="0" layoutInCell="1" allowOverlap="1" wp14:anchorId="6BEDE1B1" wp14:editId="1FF844A1">
                      <wp:simplePos x="0" y="0"/>
                      <wp:positionH relativeFrom="column">
                        <wp:posOffset>-8890</wp:posOffset>
                      </wp:positionH>
                      <wp:positionV relativeFrom="paragraph">
                        <wp:posOffset>20955</wp:posOffset>
                      </wp:positionV>
                      <wp:extent cx="90805" cy="9080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2B80B" id="Rectangle 3" o:spid="_x0000_s1026" style="position:absolute;margin-left:-.7pt;margin-top:1.65pt;width:7.15pt;height: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">
                      <v:path arrowok="t"/>
                    </v:rect>
                  </w:pict>
                </mc:Fallback>
              </mc:AlternateContent>
            </w:r>
            <w:r w:rsidR="00875706" w:rsidRPr="00B533B9">
              <w:rPr>
                <w:rFonts w:ascii="Times New Roman" w:hAnsi="Times New Roman" w:cs="Times New Roman"/>
                <w:sz w:val="24"/>
                <w:szCs w:val="24"/>
              </w:rPr>
              <w:t xml:space="preserve">      Yes       </w:t>
            </w:r>
            <w:r w:rsidR="00814ADF" w:rsidRPr="00B533B9">
              <w:rPr>
                <w:rFonts w:ascii="Times New Roman" w:hAnsi="Times New Roman" w:cs="Times New Roman"/>
                <w:sz w:val="24"/>
                <w:szCs w:val="24"/>
              </w:rPr>
              <w:fldChar w:fldCharType="begin">
                <w:ffData>
                  <w:name w:val="Check2"/>
                  <w:enabled/>
                  <w:calcOnExit w:val="0"/>
                  <w:checkBox>
                    <w:sizeAuto/>
                    <w:default w:val="1"/>
                  </w:checkBox>
                </w:ffData>
              </w:fldChar>
            </w:r>
            <w:bookmarkStart w:id="1" w:name="Check2"/>
            <w:r w:rsidR="00814ADF" w:rsidRPr="00B533B9">
              <w:rPr>
                <w:rFonts w:ascii="Times New Roman" w:hAnsi="Times New Roman" w:cs="Times New Roman"/>
                <w:sz w:val="24"/>
                <w:szCs w:val="24"/>
              </w:rPr>
              <w:instrText xml:space="preserve"> FORMCHECKBOX </w:instrText>
            </w:r>
            <w:r w:rsidR="0057347B">
              <w:rPr>
                <w:rFonts w:ascii="Times New Roman" w:hAnsi="Times New Roman" w:cs="Times New Roman"/>
                <w:sz w:val="24"/>
                <w:szCs w:val="24"/>
              </w:rPr>
            </w:r>
            <w:r w:rsidR="0057347B">
              <w:rPr>
                <w:rFonts w:ascii="Times New Roman" w:hAnsi="Times New Roman" w:cs="Times New Roman"/>
                <w:sz w:val="24"/>
                <w:szCs w:val="24"/>
              </w:rPr>
              <w:fldChar w:fldCharType="separate"/>
            </w:r>
            <w:r w:rsidR="00814ADF" w:rsidRPr="00B533B9">
              <w:rPr>
                <w:rFonts w:ascii="Times New Roman" w:hAnsi="Times New Roman" w:cs="Times New Roman"/>
                <w:sz w:val="24"/>
                <w:szCs w:val="24"/>
              </w:rPr>
              <w:fldChar w:fldCharType="end"/>
            </w:r>
            <w:bookmarkEnd w:id="1"/>
            <w:r w:rsidR="00875706" w:rsidRPr="00B533B9">
              <w:rPr>
                <w:rFonts w:ascii="Times New Roman" w:hAnsi="Times New Roman" w:cs="Times New Roman"/>
                <w:sz w:val="24"/>
                <w:szCs w:val="24"/>
              </w:rPr>
              <w:t xml:space="preserve"> No    Date: </w:t>
            </w:r>
            <w:proofErr w:type="spellStart"/>
            <w:proofErr w:type="gramStart"/>
            <w:r w:rsidR="00875706" w:rsidRPr="00B533B9">
              <w:rPr>
                <w:rFonts w:ascii="Times New Roman" w:hAnsi="Times New Roman" w:cs="Times New Roman"/>
                <w:i/>
                <w:sz w:val="24"/>
                <w:szCs w:val="24"/>
              </w:rPr>
              <w:t>dd.mm.yyyy</w:t>
            </w:r>
            <w:proofErr w:type="spellEnd"/>
            <w:proofErr w:type="gramEnd"/>
          </w:p>
        </w:tc>
        <w:tc>
          <w:tcPr>
            <w:tcW w:w="258" w:type="dxa"/>
            <w:vMerge/>
            <w:tcBorders>
              <w:left w:val="single" w:sz="4" w:space="0" w:color="auto"/>
              <w:right w:val="single" w:sz="4" w:space="0" w:color="auto"/>
            </w:tcBorders>
          </w:tcPr>
          <w:p w14:paraId="62750A7F" w14:textId="77777777" w:rsidR="00875706" w:rsidRPr="00B533B9" w:rsidRDefault="00875706" w:rsidP="00C5660F">
            <w:pPr>
              <w:pStyle w:val="BodyText"/>
              <w:rPr>
                <w:rFonts w:ascii="Times New Roman" w:hAnsi="Times New Roman" w:cs="Times New Roman"/>
                <w:sz w:val="24"/>
                <w:szCs w:val="24"/>
              </w:rPr>
            </w:pPr>
          </w:p>
        </w:tc>
        <w:tc>
          <w:tcPr>
            <w:tcW w:w="4986" w:type="dxa"/>
            <w:gridSpan w:val="2"/>
            <w:tcBorders>
              <w:left w:val="single" w:sz="4" w:space="0" w:color="auto"/>
              <w:right w:val="single" w:sz="4" w:space="0" w:color="auto"/>
            </w:tcBorders>
          </w:tcPr>
          <w:p w14:paraId="3F2096DC" w14:textId="77777777" w:rsidR="00875706" w:rsidRPr="00B533B9" w:rsidRDefault="00875706" w:rsidP="005E6A31">
            <w:pPr>
              <w:numPr>
                <w:ilvl w:val="0"/>
                <w:numId w:val="4"/>
              </w:numPr>
              <w:ind w:left="342"/>
              <w:rPr>
                <w:lang w:val="en-GB"/>
              </w:rPr>
            </w:pPr>
            <w:r w:rsidRPr="00B533B9">
              <w:rPr>
                <w:lang w:val="en-GB"/>
              </w:rPr>
              <w:t>Name:</w:t>
            </w:r>
            <w:r w:rsidR="00814ADF" w:rsidRPr="00B533B9">
              <w:rPr>
                <w:lang w:val="en-GB"/>
              </w:rPr>
              <w:t xml:space="preserve"> Christian Usfinit</w:t>
            </w:r>
          </w:p>
          <w:p w14:paraId="60483EE6" w14:textId="77777777" w:rsidR="00875706" w:rsidRPr="00B533B9" w:rsidRDefault="00875706" w:rsidP="005E6A31">
            <w:pPr>
              <w:numPr>
                <w:ilvl w:val="0"/>
                <w:numId w:val="4"/>
              </w:numPr>
              <w:ind w:left="342"/>
              <w:rPr>
                <w:lang w:val="en-GB"/>
              </w:rPr>
            </w:pPr>
            <w:r w:rsidRPr="00B533B9">
              <w:rPr>
                <w:lang w:val="en-GB"/>
              </w:rPr>
              <w:t>Title:</w:t>
            </w:r>
            <w:r w:rsidR="00814ADF" w:rsidRPr="00B533B9">
              <w:rPr>
                <w:lang w:val="en-GB"/>
              </w:rPr>
              <w:t xml:space="preserve"> Team Leader Resilience and Reconstruction Unit</w:t>
            </w:r>
          </w:p>
          <w:p w14:paraId="4EA1FA9C" w14:textId="77777777" w:rsidR="00875706" w:rsidRPr="00B533B9" w:rsidRDefault="00875706" w:rsidP="005E6A31">
            <w:pPr>
              <w:numPr>
                <w:ilvl w:val="0"/>
                <w:numId w:val="4"/>
              </w:numPr>
              <w:ind w:left="342"/>
              <w:rPr>
                <w:lang w:val="en-GB"/>
              </w:rPr>
            </w:pPr>
            <w:r w:rsidRPr="00B533B9">
              <w:rPr>
                <w:lang w:val="en-GB"/>
              </w:rPr>
              <w:t>Participating Organization (Lead):</w:t>
            </w:r>
            <w:r w:rsidR="00814ADF" w:rsidRPr="00B533B9">
              <w:rPr>
                <w:lang w:val="en-GB"/>
              </w:rPr>
              <w:t xml:space="preserve"> United </w:t>
            </w:r>
            <w:r w:rsidR="006D60B5" w:rsidRPr="00B533B9">
              <w:rPr>
                <w:lang w:val="en-GB"/>
              </w:rPr>
              <w:t>Nations Development Programme</w:t>
            </w:r>
          </w:p>
          <w:p w14:paraId="37181295" w14:textId="77777777" w:rsidR="00875706" w:rsidRPr="00B533B9" w:rsidRDefault="00875706" w:rsidP="005E6A31">
            <w:pPr>
              <w:pStyle w:val="BodyText"/>
              <w:numPr>
                <w:ilvl w:val="0"/>
                <w:numId w:val="4"/>
              </w:numPr>
              <w:spacing w:after="120"/>
              <w:ind w:left="342"/>
              <w:jc w:val="both"/>
              <w:rPr>
                <w:rFonts w:ascii="Times New Roman" w:hAnsi="Times New Roman" w:cs="Times New Roman"/>
                <w:b/>
                <w:bCs/>
                <w:snapToGrid w:val="0"/>
                <w:kern w:val="32"/>
                <w:sz w:val="24"/>
                <w:szCs w:val="24"/>
              </w:rPr>
            </w:pPr>
            <w:r w:rsidRPr="00B533B9">
              <w:rPr>
                <w:rFonts w:ascii="Times New Roman" w:hAnsi="Times New Roman" w:cs="Times New Roman"/>
                <w:sz w:val="24"/>
                <w:szCs w:val="24"/>
              </w:rPr>
              <w:t>Email address:</w:t>
            </w:r>
            <w:r w:rsidR="006D60B5" w:rsidRPr="00B533B9">
              <w:rPr>
                <w:rFonts w:ascii="Times New Roman" w:hAnsi="Times New Roman" w:cs="Times New Roman"/>
                <w:sz w:val="24"/>
                <w:szCs w:val="24"/>
              </w:rPr>
              <w:t xml:space="preserve"> </w:t>
            </w:r>
            <w:hyperlink r:id="rId10" w:history="1">
              <w:r w:rsidR="006D60B5" w:rsidRPr="00B533B9">
                <w:rPr>
                  <w:rStyle w:val="Hyperlink"/>
                  <w:rFonts w:ascii="Times New Roman" w:hAnsi="Times New Roman" w:cs="Times New Roman"/>
                  <w:sz w:val="24"/>
                  <w:szCs w:val="24"/>
                </w:rPr>
                <w:t>christian.usfinit@undp.org</w:t>
              </w:r>
            </w:hyperlink>
          </w:p>
        </w:tc>
      </w:tr>
      <w:tr w:rsidR="00814ADF" w:rsidRPr="00B533B9" w14:paraId="3434E9B4" w14:textId="77777777" w:rsidTr="008B5E99">
        <w:trPr>
          <w:trHeight w:val="285"/>
          <w:jc w:val="center"/>
        </w:trPr>
        <w:tc>
          <w:tcPr>
            <w:tcW w:w="5142" w:type="dxa"/>
            <w:gridSpan w:val="2"/>
            <w:tcBorders>
              <w:left w:val="single" w:sz="4" w:space="0" w:color="auto"/>
              <w:bottom w:val="single" w:sz="4" w:space="0" w:color="auto"/>
              <w:right w:val="single" w:sz="4" w:space="0" w:color="auto"/>
            </w:tcBorders>
          </w:tcPr>
          <w:p w14:paraId="21F797E0" w14:textId="77777777" w:rsidR="00814ADF" w:rsidRPr="00B533B9" w:rsidRDefault="00814ADF" w:rsidP="00C5660F">
            <w:pPr>
              <w:pStyle w:val="BodyText"/>
              <w:rPr>
                <w:rFonts w:ascii="Times New Roman" w:hAnsi="Times New Roman" w:cs="Times New Roman"/>
                <w:sz w:val="24"/>
                <w:szCs w:val="24"/>
              </w:rPr>
            </w:pPr>
          </w:p>
        </w:tc>
        <w:tc>
          <w:tcPr>
            <w:tcW w:w="258" w:type="dxa"/>
            <w:tcBorders>
              <w:left w:val="single" w:sz="4" w:space="0" w:color="auto"/>
              <w:right w:val="single" w:sz="4" w:space="0" w:color="auto"/>
            </w:tcBorders>
          </w:tcPr>
          <w:p w14:paraId="328A3295" w14:textId="77777777" w:rsidR="00814ADF" w:rsidRPr="00B533B9" w:rsidRDefault="00814ADF" w:rsidP="00C5660F">
            <w:pPr>
              <w:pStyle w:val="BodyText"/>
              <w:rPr>
                <w:rFonts w:ascii="Times New Roman" w:hAnsi="Times New Roman" w:cs="Times New Roman"/>
                <w:sz w:val="24"/>
                <w:szCs w:val="24"/>
              </w:rPr>
            </w:pPr>
          </w:p>
        </w:tc>
        <w:tc>
          <w:tcPr>
            <w:tcW w:w="4986" w:type="dxa"/>
            <w:gridSpan w:val="2"/>
            <w:tcBorders>
              <w:left w:val="single" w:sz="4" w:space="0" w:color="auto"/>
              <w:bottom w:val="single" w:sz="4" w:space="0" w:color="auto"/>
              <w:right w:val="single" w:sz="4" w:space="0" w:color="auto"/>
            </w:tcBorders>
          </w:tcPr>
          <w:p w14:paraId="7AC35F88" w14:textId="77777777" w:rsidR="00814ADF" w:rsidRPr="00B533B9" w:rsidRDefault="00814ADF" w:rsidP="006D60B5">
            <w:pPr>
              <w:rPr>
                <w:lang w:val="en-GB"/>
              </w:rPr>
            </w:pPr>
          </w:p>
        </w:tc>
      </w:tr>
    </w:tbl>
    <w:p w14:paraId="6CF67D9F" w14:textId="77777777" w:rsidR="00AB019C" w:rsidRDefault="00AB019C" w:rsidP="00B533B9">
      <w:pPr>
        <w:pStyle w:val="Heading1"/>
        <w:tabs>
          <w:tab w:val="left" w:pos="360"/>
        </w:tabs>
        <w:ind w:left="0"/>
        <w:jc w:val="center"/>
        <w:rPr>
          <w:rFonts w:ascii="Times New Roman" w:hAnsi="Times New Roman"/>
          <w:sz w:val="24"/>
          <w:szCs w:val="24"/>
          <w:u w:val="single"/>
        </w:rPr>
      </w:pPr>
      <w:bookmarkStart w:id="2" w:name="_Toc249364482"/>
    </w:p>
    <w:p w14:paraId="473E37CB" w14:textId="0C011635" w:rsidR="00AB019C" w:rsidRDefault="00AB019C" w:rsidP="00376BA8">
      <w:pPr>
        <w:pStyle w:val="Heading1"/>
        <w:tabs>
          <w:tab w:val="left" w:pos="360"/>
        </w:tabs>
        <w:ind w:left="0"/>
        <w:rPr>
          <w:rFonts w:ascii="Times New Roman" w:hAnsi="Times New Roman"/>
          <w:sz w:val="24"/>
          <w:szCs w:val="24"/>
          <w:u w:val="single"/>
        </w:rPr>
      </w:pPr>
    </w:p>
    <w:p w14:paraId="20BDAF3F" w14:textId="27F8BC03" w:rsidR="00376BA8" w:rsidRDefault="00376BA8" w:rsidP="00376BA8">
      <w:pPr>
        <w:rPr>
          <w:lang w:val="x-none" w:eastAsia="x-none"/>
        </w:rPr>
      </w:pPr>
    </w:p>
    <w:p w14:paraId="46FA5AB7" w14:textId="53D51945" w:rsidR="00C264D8" w:rsidRDefault="00A7374C" w:rsidP="00C264D8">
      <w:pPr>
        <w:jc w:val="both"/>
        <w:rPr>
          <w:lang w:eastAsia="x-none"/>
        </w:rPr>
      </w:pPr>
      <w:r>
        <w:rPr>
          <w:lang w:eastAsia="x-none"/>
        </w:rPr>
        <w:t xml:space="preserve">This annual report </w:t>
      </w:r>
      <w:r w:rsidR="00F32AC7">
        <w:rPr>
          <w:lang w:eastAsia="x-none"/>
        </w:rPr>
        <w:t xml:space="preserve">for the </w:t>
      </w:r>
      <w:r w:rsidR="00C264D8">
        <w:rPr>
          <w:lang w:eastAsia="x-none"/>
        </w:rPr>
        <w:t>Programme entitled “</w:t>
      </w:r>
      <w:r w:rsidR="00C264D8" w:rsidRPr="00B533B9">
        <w:rPr>
          <w:b/>
          <w:iCs/>
          <w:snapToGrid w:val="0"/>
        </w:rPr>
        <w:t xml:space="preserve">Enhancing the IMDFF-DR Secretariat Support Capacity for Post-Disaster Recovery </w:t>
      </w:r>
      <w:proofErr w:type="gramStart"/>
      <w:r w:rsidR="00C264D8" w:rsidRPr="00B533B9">
        <w:rPr>
          <w:b/>
          <w:iCs/>
          <w:snapToGrid w:val="0"/>
        </w:rPr>
        <w:t>Governance</w:t>
      </w:r>
      <w:r w:rsidR="00C264D8">
        <w:rPr>
          <w:b/>
          <w:iCs/>
          <w:snapToGrid w:val="0"/>
        </w:rPr>
        <w:t xml:space="preserve">” </w:t>
      </w:r>
      <w:r w:rsidR="00C264D8">
        <w:rPr>
          <w:lang w:eastAsia="x-none"/>
        </w:rPr>
        <w:t xml:space="preserve"> </w:t>
      </w:r>
      <w:r w:rsidR="00F32AC7">
        <w:rPr>
          <w:lang w:eastAsia="x-none"/>
        </w:rPr>
        <w:t>contains</w:t>
      </w:r>
      <w:proofErr w:type="gramEnd"/>
      <w:r w:rsidR="00F32AC7">
        <w:rPr>
          <w:lang w:eastAsia="x-none"/>
        </w:rPr>
        <w:t xml:space="preserve"> results and progress of the Fund since it was the only programme funded by the Indonesia Disaster Recovery Trust Fund in 2019.</w:t>
      </w:r>
      <w:r w:rsidR="00C264D8">
        <w:rPr>
          <w:lang w:eastAsia="x-none"/>
        </w:rPr>
        <w:t xml:space="preserve"> </w:t>
      </w:r>
    </w:p>
    <w:p w14:paraId="37536FDE" w14:textId="77777777" w:rsidR="00E954F7" w:rsidRDefault="00E954F7" w:rsidP="003B1DFF">
      <w:pPr>
        <w:pStyle w:val="Heading1"/>
        <w:tabs>
          <w:tab w:val="left" w:pos="360"/>
        </w:tabs>
        <w:ind w:left="0"/>
        <w:jc w:val="left"/>
        <w:rPr>
          <w:rFonts w:ascii="Times New Roman" w:hAnsi="Times New Roman"/>
          <w:sz w:val="24"/>
          <w:szCs w:val="24"/>
          <w:lang w:val="en-US"/>
        </w:rPr>
      </w:pPr>
      <w:bookmarkStart w:id="3" w:name="_Toc249364483"/>
      <w:bookmarkEnd w:id="2"/>
    </w:p>
    <w:p w14:paraId="16F76786" w14:textId="77777777" w:rsidR="003B1DFF" w:rsidRDefault="000803A0" w:rsidP="003B1DFF">
      <w:pPr>
        <w:pStyle w:val="Heading1"/>
        <w:tabs>
          <w:tab w:val="left" w:pos="360"/>
        </w:tabs>
        <w:ind w:left="0"/>
        <w:jc w:val="left"/>
        <w:rPr>
          <w:rFonts w:ascii="Times New Roman" w:hAnsi="Times New Roman"/>
          <w:sz w:val="24"/>
          <w:szCs w:val="24"/>
          <w:lang w:val="en-US"/>
        </w:rPr>
      </w:pPr>
      <w:r>
        <w:rPr>
          <w:rFonts w:ascii="Times New Roman" w:hAnsi="Times New Roman"/>
          <w:sz w:val="24"/>
          <w:szCs w:val="24"/>
          <w:lang w:val="en-US"/>
        </w:rPr>
        <w:t xml:space="preserve">EXECUTIVE </w:t>
      </w:r>
      <w:r w:rsidR="003B1DFF">
        <w:rPr>
          <w:rFonts w:ascii="Times New Roman" w:hAnsi="Times New Roman"/>
          <w:sz w:val="24"/>
          <w:szCs w:val="24"/>
          <w:lang w:val="en-US"/>
        </w:rPr>
        <w:t xml:space="preserve">SUMMARY </w:t>
      </w:r>
    </w:p>
    <w:p w14:paraId="2C4B4B49" w14:textId="77777777" w:rsidR="005D407E" w:rsidRDefault="005D407E" w:rsidP="005D407E">
      <w:pPr>
        <w:jc w:val="both"/>
        <w:rPr>
          <w:lang w:eastAsia="x-none"/>
        </w:rPr>
      </w:pPr>
    </w:p>
    <w:p w14:paraId="5F93ED8F" w14:textId="77777777" w:rsidR="005D407E" w:rsidRDefault="005D407E" w:rsidP="002928BD">
      <w:pPr>
        <w:pStyle w:val="BodyText"/>
        <w:ind w:left="284"/>
        <w:jc w:val="both"/>
        <w:rPr>
          <w:rFonts w:ascii="Times New Roman" w:hAnsi="Times New Roman" w:cs="Times New Roman"/>
          <w:bCs/>
          <w:sz w:val="24"/>
          <w:szCs w:val="24"/>
        </w:rPr>
      </w:pPr>
      <w:r w:rsidRPr="000401B7">
        <w:rPr>
          <w:rFonts w:ascii="Times New Roman" w:hAnsi="Times New Roman" w:cs="Times New Roman"/>
          <w:bCs/>
          <w:sz w:val="24"/>
          <w:szCs w:val="24"/>
        </w:rPr>
        <w:t>In 2018 Indonesia was struck by two particularly severe natural disasters: a 7.0 magnitude earthquake in West Nusa Tenggara (NTB</w:t>
      </w:r>
      <w:r w:rsidR="00B533B9">
        <w:rPr>
          <w:rStyle w:val="FootnoteReference"/>
          <w:rFonts w:ascii="Times New Roman" w:hAnsi="Times New Roman" w:cs="Times New Roman"/>
          <w:bCs/>
          <w:sz w:val="24"/>
          <w:szCs w:val="24"/>
        </w:rPr>
        <w:footnoteReference w:id="8"/>
      </w:r>
      <w:r w:rsidRPr="000401B7">
        <w:rPr>
          <w:rFonts w:ascii="Times New Roman" w:hAnsi="Times New Roman" w:cs="Times New Roman"/>
          <w:bCs/>
          <w:sz w:val="24"/>
          <w:szCs w:val="24"/>
        </w:rPr>
        <w:t>) on 5 August and, less than 8 weeks later - on 28th September - a 7.4 magnitude earthquake, followed by a tsunami and a rare phenomenon known as ‘soil liquefaction’, in Central Sulawesi.</w:t>
      </w:r>
      <w:r>
        <w:rPr>
          <w:rFonts w:ascii="Times New Roman" w:hAnsi="Times New Roman" w:cs="Times New Roman"/>
          <w:bCs/>
          <w:sz w:val="24"/>
          <w:szCs w:val="24"/>
        </w:rPr>
        <w:t xml:space="preserve"> </w:t>
      </w:r>
      <w:r w:rsidRPr="000401B7">
        <w:rPr>
          <w:rFonts w:ascii="Times New Roman" w:hAnsi="Times New Roman" w:cs="Times New Roman"/>
          <w:bCs/>
          <w:sz w:val="24"/>
          <w:szCs w:val="24"/>
        </w:rPr>
        <w:t>On 1</w:t>
      </w:r>
      <w:r w:rsidRPr="000401B7">
        <w:rPr>
          <w:rFonts w:ascii="Times New Roman" w:hAnsi="Times New Roman" w:cs="Times New Roman"/>
          <w:bCs/>
          <w:sz w:val="24"/>
          <w:szCs w:val="24"/>
          <w:vertAlign w:val="superscript"/>
        </w:rPr>
        <w:t>st</w:t>
      </w:r>
      <w:r w:rsidRPr="000401B7">
        <w:rPr>
          <w:rFonts w:ascii="Times New Roman" w:hAnsi="Times New Roman" w:cs="Times New Roman"/>
          <w:bCs/>
          <w:sz w:val="24"/>
          <w:szCs w:val="24"/>
        </w:rPr>
        <w:t xml:space="preserve"> October, The Government of Indonesia (</w:t>
      </w:r>
      <w:proofErr w:type="spellStart"/>
      <w:r w:rsidRPr="000401B7">
        <w:rPr>
          <w:rFonts w:ascii="Times New Roman" w:hAnsi="Times New Roman" w:cs="Times New Roman"/>
          <w:bCs/>
          <w:sz w:val="24"/>
          <w:szCs w:val="24"/>
        </w:rPr>
        <w:t>GoI</w:t>
      </w:r>
      <w:proofErr w:type="spellEnd"/>
      <w:r w:rsidRPr="000401B7">
        <w:rPr>
          <w:rFonts w:ascii="Times New Roman" w:hAnsi="Times New Roman" w:cs="Times New Roman"/>
          <w:bCs/>
          <w:sz w:val="24"/>
          <w:szCs w:val="24"/>
        </w:rPr>
        <w:t>) welcomed international assistance with specific conditions for Central Sulawesi and concurrently for</w:t>
      </w:r>
      <w:r w:rsidR="00000881">
        <w:rPr>
          <w:rFonts w:ascii="Times New Roman" w:hAnsi="Times New Roman" w:cs="Times New Roman"/>
          <w:bCs/>
          <w:sz w:val="24"/>
          <w:szCs w:val="24"/>
        </w:rPr>
        <w:t xml:space="preserve"> West Nusa Tenggara (Nusa Tenggara Barat-NTB)</w:t>
      </w:r>
      <w:r w:rsidRPr="000401B7">
        <w:rPr>
          <w:rFonts w:ascii="Times New Roman" w:hAnsi="Times New Roman" w:cs="Times New Roman"/>
          <w:bCs/>
          <w:sz w:val="24"/>
          <w:szCs w:val="24"/>
        </w:rPr>
        <w:t xml:space="preserve">. In November, the </w:t>
      </w:r>
      <w:proofErr w:type="spellStart"/>
      <w:r w:rsidRPr="000401B7">
        <w:rPr>
          <w:rFonts w:ascii="Times New Roman" w:hAnsi="Times New Roman" w:cs="Times New Roman"/>
          <w:bCs/>
          <w:sz w:val="24"/>
          <w:szCs w:val="24"/>
        </w:rPr>
        <w:t>GoI</w:t>
      </w:r>
      <w:proofErr w:type="spellEnd"/>
      <w:r w:rsidRPr="000401B7">
        <w:rPr>
          <w:rFonts w:ascii="Times New Roman" w:hAnsi="Times New Roman" w:cs="Times New Roman"/>
          <w:bCs/>
          <w:sz w:val="24"/>
          <w:szCs w:val="24"/>
        </w:rPr>
        <w:t xml:space="preserve"> announced</w:t>
      </w:r>
      <w:r>
        <w:rPr>
          <w:rFonts w:ascii="Times New Roman" w:hAnsi="Times New Roman" w:cs="Times New Roman"/>
          <w:bCs/>
          <w:sz w:val="24"/>
          <w:szCs w:val="24"/>
        </w:rPr>
        <w:t xml:space="preserve"> </w:t>
      </w:r>
      <w:r w:rsidRPr="000401B7">
        <w:rPr>
          <w:rFonts w:ascii="Times New Roman" w:hAnsi="Times New Roman" w:cs="Times New Roman"/>
          <w:bCs/>
          <w:sz w:val="24"/>
          <w:szCs w:val="24"/>
        </w:rPr>
        <w:t>the provisional need for post-disaster recovery financing in Central Sulawesi and NTB is approaching IDR 35 trillion (USD 2.4 billion) and current indication of funding capacity under government budget is around IDR 30 trillion (USD 2.2 billion).</w:t>
      </w:r>
      <w:r>
        <w:rPr>
          <w:rFonts w:ascii="Times New Roman" w:hAnsi="Times New Roman" w:cs="Times New Roman"/>
          <w:bCs/>
          <w:sz w:val="24"/>
          <w:szCs w:val="24"/>
        </w:rPr>
        <w:t xml:space="preserve"> </w:t>
      </w:r>
      <w:r w:rsidRPr="000401B7">
        <w:rPr>
          <w:rFonts w:ascii="Times New Roman" w:hAnsi="Times New Roman" w:cs="Times New Roman"/>
          <w:bCs/>
          <w:sz w:val="24"/>
          <w:szCs w:val="24"/>
        </w:rPr>
        <w:t xml:space="preserve">The gap is expected to be fulfilled from other respective bilateral and multilateral partners grant financing contribution to support the post-disaster recovery in Central Sulawesi and NTB based on the Rehabilitation and Reconstruction Action Plan (RENAKSI RR) for each province. </w:t>
      </w:r>
    </w:p>
    <w:p w14:paraId="490D7013" w14:textId="77777777" w:rsidR="005D407E" w:rsidRDefault="005D407E" w:rsidP="002928BD">
      <w:pPr>
        <w:pStyle w:val="BodyText"/>
        <w:ind w:left="284"/>
        <w:jc w:val="both"/>
        <w:rPr>
          <w:rFonts w:ascii="Times New Roman" w:hAnsi="Times New Roman" w:cs="Times New Roman"/>
          <w:bCs/>
          <w:sz w:val="24"/>
          <w:szCs w:val="24"/>
        </w:rPr>
      </w:pPr>
    </w:p>
    <w:p w14:paraId="23915CAD" w14:textId="77777777" w:rsidR="005D407E" w:rsidRDefault="005D407E" w:rsidP="002928BD">
      <w:pPr>
        <w:pStyle w:val="BodyText"/>
        <w:ind w:left="284"/>
        <w:jc w:val="both"/>
        <w:rPr>
          <w:rFonts w:ascii="Times New Roman" w:hAnsi="Times New Roman" w:cs="Times New Roman"/>
          <w:bCs/>
          <w:sz w:val="24"/>
          <w:szCs w:val="24"/>
        </w:rPr>
      </w:pPr>
      <w:proofErr w:type="gramStart"/>
      <w:r w:rsidRPr="000401B7">
        <w:rPr>
          <w:rFonts w:ascii="Times New Roman" w:hAnsi="Times New Roman" w:cs="Times New Roman"/>
          <w:bCs/>
          <w:sz w:val="24"/>
          <w:szCs w:val="24"/>
        </w:rPr>
        <w:t>Taking into account</w:t>
      </w:r>
      <w:proofErr w:type="gramEnd"/>
      <w:r w:rsidRPr="000401B7">
        <w:rPr>
          <w:rFonts w:ascii="Times New Roman" w:hAnsi="Times New Roman" w:cs="Times New Roman"/>
          <w:bCs/>
          <w:sz w:val="24"/>
          <w:szCs w:val="24"/>
        </w:rPr>
        <w:t xml:space="preserve"> the above situation, </w:t>
      </w:r>
      <w:r w:rsidRPr="000401B7">
        <w:rPr>
          <w:rFonts w:ascii="Times New Roman" w:hAnsi="Times New Roman" w:cs="Times New Roman"/>
          <w:b/>
          <w:sz w:val="24"/>
          <w:szCs w:val="24"/>
        </w:rPr>
        <w:t>the Government of Indonesia (</w:t>
      </w:r>
      <w:proofErr w:type="spellStart"/>
      <w:r w:rsidRPr="000401B7">
        <w:rPr>
          <w:rFonts w:ascii="Times New Roman" w:hAnsi="Times New Roman" w:cs="Times New Roman"/>
          <w:b/>
          <w:sz w:val="24"/>
          <w:szCs w:val="24"/>
        </w:rPr>
        <w:t>GoI</w:t>
      </w:r>
      <w:proofErr w:type="spellEnd"/>
      <w:r w:rsidRPr="000401B7">
        <w:rPr>
          <w:rFonts w:ascii="Times New Roman" w:hAnsi="Times New Roman" w:cs="Times New Roman"/>
          <w:b/>
          <w:sz w:val="24"/>
          <w:szCs w:val="24"/>
        </w:rPr>
        <w:t>) decided to activate the IMDFF-DR as a financing facility to facilitate and coordinate the utilization grant funding contribution</w:t>
      </w:r>
      <w:r w:rsidRPr="000401B7">
        <w:rPr>
          <w:rFonts w:ascii="Times New Roman" w:hAnsi="Times New Roman" w:cs="Times New Roman"/>
          <w:bCs/>
          <w:sz w:val="24"/>
          <w:szCs w:val="24"/>
        </w:rPr>
        <w:t xml:space="preserve">. The IMDFF-DR </w:t>
      </w:r>
      <w:r>
        <w:rPr>
          <w:rFonts w:ascii="Times New Roman" w:hAnsi="Times New Roman" w:cs="Times New Roman"/>
          <w:bCs/>
          <w:sz w:val="24"/>
          <w:szCs w:val="24"/>
        </w:rPr>
        <w:t>f</w:t>
      </w:r>
      <w:r w:rsidRPr="000401B7">
        <w:rPr>
          <w:rFonts w:ascii="Times New Roman" w:hAnsi="Times New Roman" w:cs="Times New Roman"/>
          <w:bCs/>
          <w:sz w:val="24"/>
          <w:szCs w:val="24"/>
        </w:rPr>
        <w:t>acility</w:t>
      </w:r>
      <w:r>
        <w:rPr>
          <w:rFonts w:ascii="Times New Roman" w:hAnsi="Times New Roman" w:cs="Times New Roman"/>
          <w:bCs/>
          <w:sz w:val="24"/>
          <w:szCs w:val="24"/>
        </w:rPr>
        <w:t xml:space="preserve"> main role is t</w:t>
      </w:r>
      <w:r w:rsidRPr="000401B7">
        <w:rPr>
          <w:rFonts w:ascii="Times New Roman" w:hAnsi="Times New Roman" w:cs="Times New Roman"/>
          <w:bCs/>
          <w:sz w:val="24"/>
          <w:szCs w:val="24"/>
        </w:rPr>
        <w:t xml:space="preserve">o ensure national ownership, all projects funded and/or coordinated by the Facility would be in support of, and strictly aligned with the </w:t>
      </w:r>
      <w:proofErr w:type="spellStart"/>
      <w:r w:rsidRPr="000401B7">
        <w:rPr>
          <w:rFonts w:ascii="Times New Roman" w:hAnsi="Times New Roman" w:cs="Times New Roman"/>
          <w:bCs/>
          <w:sz w:val="24"/>
          <w:szCs w:val="24"/>
        </w:rPr>
        <w:t>GoI</w:t>
      </w:r>
      <w:r>
        <w:rPr>
          <w:rFonts w:ascii="Times New Roman" w:hAnsi="Times New Roman" w:cs="Times New Roman"/>
          <w:bCs/>
          <w:sz w:val="24"/>
          <w:szCs w:val="24"/>
        </w:rPr>
        <w:t>’s</w:t>
      </w:r>
      <w:proofErr w:type="spellEnd"/>
      <w:r>
        <w:rPr>
          <w:rFonts w:ascii="Times New Roman" w:hAnsi="Times New Roman" w:cs="Times New Roman"/>
          <w:bCs/>
          <w:sz w:val="24"/>
          <w:szCs w:val="24"/>
        </w:rPr>
        <w:t xml:space="preserve"> </w:t>
      </w:r>
      <w:r w:rsidRPr="000401B7">
        <w:rPr>
          <w:rFonts w:ascii="Times New Roman" w:hAnsi="Times New Roman" w:cs="Times New Roman"/>
          <w:bCs/>
          <w:sz w:val="24"/>
          <w:szCs w:val="24"/>
        </w:rPr>
        <w:t>RENAKSI RR. The Facility is intended to complement government-funded recovery activities and bring strategic value in developing capacity and promoting sustainability.</w:t>
      </w:r>
      <w:r>
        <w:rPr>
          <w:rFonts w:ascii="Times New Roman" w:hAnsi="Times New Roman" w:cs="Times New Roman"/>
          <w:bCs/>
          <w:sz w:val="24"/>
          <w:szCs w:val="24"/>
        </w:rPr>
        <w:t xml:space="preserve"> </w:t>
      </w:r>
    </w:p>
    <w:p w14:paraId="1A9D0F2C" w14:textId="77777777" w:rsidR="005D407E" w:rsidRDefault="005D407E" w:rsidP="002928BD">
      <w:pPr>
        <w:ind w:left="284"/>
        <w:jc w:val="both"/>
        <w:rPr>
          <w:lang w:eastAsia="x-none"/>
        </w:rPr>
      </w:pPr>
    </w:p>
    <w:p w14:paraId="165BD8EA" w14:textId="77777777" w:rsidR="005D407E" w:rsidRDefault="005D407E" w:rsidP="002928BD">
      <w:pPr>
        <w:ind w:left="284"/>
        <w:jc w:val="both"/>
        <w:rPr>
          <w:lang w:eastAsia="x-none"/>
        </w:rPr>
      </w:pPr>
      <w:r>
        <w:rPr>
          <w:lang w:eastAsia="x-none"/>
        </w:rPr>
        <w:t xml:space="preserve">The Secretariat of the IMDFF-DR Technical Team provides consultancy services on plans for receiving grants in the form of Goods / Services (in-kind) and provides recommendations on how to manage good grants according to applicable regulations. The mechanism for managing direct grants in the form of goods / services is also known as the Single Project mechanism, which is a project implemented by the Implementing Agency appointed by the Donor. The scope of receipt of grants using the Single Project mechanism is pre-disaster activities, support for the implementation of emergency response and post-disaster activities. The IMDFF-DR facilitate coordination of recovery programme interventions funded by grand funding with Ministries / Institutions, development partners and local governments to discuss problems faced and solutions to their solutions. The IMDFF-DR </w:t>
      </w:r>
      <w:r w:rsidR="009145A7">
        <w:rPr>
          <w:lang w:eastAsia="x-none"/>
        </w:rPr>
        <w:t>secretariat management</w:t>
      </w:r>
      <w:r>
        <w:rPr>
          <w:lang w:eastAsia="x-none"/>
        </w:rPr>
        <w:t xml:space="preserve"> capacity has been improved through provision of operational support</w:t>
      </w:r>
      <w:r w:rsidR="009145A7">
        <w:rPr>
          <w:lang w:eastAsia="x-none"/>
        </w:rPr>
        <w:t>, office space, equipment and personnel.</w:t>
      </w:r>
    </w:p>
    <w:p w14:paraId="5C9D38E3" w14:textId="77777777" w:rsidR="005D407E" w:rsidRDefault="005D407E" w:rsidP="005D407E">
      <w:pPr>
        <w:pStyle w:val="Heading1"/>
        <w:tabs>
          <w:tab w:val="left" w:pos="360"/>
        </w:tabs>
        <w:ind w:left="0"/>
        <w:jc w:val="left"/>
        <w:rPr>
          <w:rFonts w:ascii="Times New Roman" w:hAnsi="Times New Roman"/>
          <w:sz w:val="24"/>
          <w:szCs w:val="24"/>
        </w:rPr>
      </w:pPr>
    </w:p>
    <w:p w14:paraId="169C38EE" w14:textId="77777777" w:rsidR="002928BD" w:rsidRPr="002928BD" w:rsidRDefault="002928BD" w:rsidP="002928BD">
      <w:pPr>
        <w:rPr>
          <w:lang w:val="x-none" w:eastAsia="x-none"/>
        </w:rPr>
      </w:pPr>
    </w:p>
    <w:p w14:paraId="0240BB7C" w14:textId="77777777" w:rsidR="00AB0274" w:rsidRDefault="00AB0274" w:rsidP="005E6A31">
      <w:pPr>
        <w:pStyle w:val="Heading1"/>
        <w:numPr>
          <w:ilvl w:val="0"/>
          <w:numId w:val="1"/>
        </w:numPr>
        <w:tabs>
          <w:tab w:val="clear" w:pos="1080"/>
          <w:tab w:val="left" w:pos="360"/>
        </w:tabs>
        <w:ind w:left="360" w:hanging="360"/>
        <w:jc w:val="left"/>
        <w:rPr>
          <w:rFonts w:ascii="Times New Roman" w:hAnsi="Times New Roman"/>
          <w:sz w:val="24"/>
          <w:szCs w:val="24"/>
        </w:rPr>
      </w:pPr>
      <w:r w:rsidRPr="00234CC4">
        <w:rPr>
          <w:rFonts w:ascii="Times New Roman" w:hAnsi="Times New Roman"/>
          <w:sz w:val="24"/>
          <w:szCs w:val="24"/>
        </w:rPr>
        <w:t>Purpose</w:t>
      </w:r>
      <w:bookmarkEnd w:id="3"/>
    </w:p>
    <w:p w14:paraId="0865404B" w14:textId="77777777" w:rsidR="000675E3" w:rsidRDefault="000675E3" w:rsidP="005D407E">
      <w:pPr>
        <w:pStyle w:val="BodyText"/>
        <w:jc w:val="both"/>
        <w:rPr>
          <w:rFonts w:ascii="Times New Roman" w:hAnsi="Times New Roman" w:cs="Times New Roman"/>
          <w:bCs/>
          <w:sz w:val="24"/>
          <w:szCs w:val="24"/>
        </w:rPr>
      </w:pPr>
    </w:p>
    <w:p w14:paraId="2F603239" w14:textId="77777777" w:rsidR="000401B7" w:rsidRDefault="000675E3" w:rsidP="00E954F7">
      <w:pPr>
        <w:pStyle w:val="BodyText"/>
        <w:ind w:left="284"/>
        <w:jc w:val="both"/>
        <w:rPr>
          <w:rFonts w:ascii="Times New Roman" w:hAnsi="Times New Roman" w:cs="Times New Roman"/>
          <w:bCs/>
          <w:sz w:val="24"/>
          <w:szCs w:val="24"/>
        </w:rPr>
      </w:pPr>
      <w:r w:rsidRPr="000401B7">
        <w:rPr>
          <w:rFonts w:ascii="Times New Roman" w:hAnsi="Times New Roman" w:cs="Times New Roman"/>
          <w:bCs/>
          <w:sz w:val="24"/>
          <w:szCs w:val="24"/>
        </w:rPr>
        <w:t xml:space="preserve">The IMDFF-DR </w:t>
      </w:r>
      <w:r w:rsidR="002928BD" w:rsidRPr="002928BD">
        <w:rPr>
          <w:rFonts w:ascii="Times New Roman" w:hAnsi="Times New Roman" w:cs="Times New Roman"/>
          <w:bCs/>
          <w:sz w:val="24"/>
          <w:szCs w:val="24"/>
        </w:rPr>
        <w:t>as a financing facility</w:t>
      </w:r>
      <w:r w:rsidR="002928BD" w:rsidRPr="000401B7">
        <w:rPr>
          <w:rFonts w:ascii="Times New Roman" w:hAnsi="Times New Roman" w:cs="Times New Roman"/>
          <w:b/>
          <w:sz w:val="24"/>
          <w:szCs w:val="24"/>
        </w:rPr>
        <w:t xml:space="preserve"> </w:t>
      </w:r>
      <w:r>
        <w:rPr>
          <w:rFonts w:ascii="Times New Roman" w:hAnsi="Times New Roman" w:cs="Times New Roman"/>
          <w:bCs/>
          <w:sz w:val="24"/>
          <w:szCs w:val="24"/>
        </w:rPr>
        <w:t>has experience in managing</w:t>
      </w:r>
      <w:r w:rsidRPr="000401B7">
        <w:rPr>
          <w:rFonts w:ascii="Times New Roman" w:hAnsi="Times New Roman" w:cs="Times New Roman"/>
          <w:bCs/>
          <w:sz w:val="24"/>
          <w:szCs w:val="24"/>
        </w:rPr>
        <w:t xml:space="preserve"> grant funds following its experience in managing bilateral/multilateral grant funding contribution for post-disaster recovery interventions in Mentawai Island, Yogyakarta, Central Java, Mt, Kelud and Mt. Sinabung with grant contribution from the Government of New Zealand (</w:t>
      </w:r>
      <w:proofErr w:type="spellStart"/>
      <w:r w:rsidRPr="000401B7">
        <w:rPr>
          <w:rFonts w:ascii="Times New Roman" w:hAnsi="Times New Roman" w:cs="Times New Roman"/>
          <w:bCs/>
          <w:sz w:val="24"/>
          <w:szCs w:val="24"/>
        </w:rPr>
        <w:t>GoN</w:t>
      </w:r>
      <w:proofErr w:type="spellEnd"/>
      <w:r w:rsidRPr="000401B7">
        <w:rPr>
          <w:rFonts w:ascii="Times New Roman" w:hAnsi="Times New Roman" w:cs="Times New Roman"/>
          <w:bCs/>
          <w:sz w:val="24"/>
          <w:szCs w:val="24"/>
        </w:rPr>
        <w:t>).</w:t>
      </w:r>
      <w:r w:rsidR="0081615F">
        <w:rPr>
          <w:rFonts w:ascii="Times New Roman" w:hAnsi="Times New Roman" w:cs="Times New Roman"/>
          <w:bCs/>
          <w:sz w:val="24"/>
          <w:szCs w:val="24"/>
        </w:rPr>
        <w:t xml:space="preserve"> Following its activation, The IMDFF-DR faced challenge in re-establishing its operational capacity due to the minimum budget allocation and turnover of personnel. The latest operationalization period of this facility was concluded in </w:t>
      </w:r>
      <w:proofErr w:type="spellStart"/>
      <w:r w:rsidR="0081615F">
        <w:rPr>
          <w:rFonts w:ascii="Times New Roman" w:hAnsi="Times New Roman" w:cs="Times New Roman"/>
          <w:bCs/>
          <w:sz w:val="24"/>
          <w:szCs w:val="24"/>
        </w:rPr>
        <w:t>mid 2018</w:t>
      </w:r>
      <w:proofErr w:type="spellEnd"/>
      <w:r w:rsidR="0081615F">
        <w:rPr>
          <w:rFonts w:ascii="Times New Roman" w:hAnsi="Times New Roman" w:cs="Times New Roman"/>
          <w:bCs/>
          <w:sz w:val="24"/>
          <w:szCs w:val="24"/>
        </w:rPr>
        <w:t>. T</w:t>
      </w:r>
      <w:r w:rsidRPr="000401B7">
        <w:rPr>
          <w:rFonts w:ascii="Times New Roman" w:hAnsi="Times New Roman" w:cs="Times New Roman"/>
          <w:bCs/>
          <w:sz w:val="24"/>
          <w:szCs w:val="24"/>
        </w:rPr>
        <w:t xml:space="preserve">he project is designed to </w:t>
      </w:r>
      <w:r w:rsidRPr="000675E3">
        <w:rPr>
          <w:rFonts w:ascii="Times New Roman" w:hAnsi="Times New Roman" w:cs="Times New Roman"/>
          <w:b/>
          <w:sz w:val="24"/>
          <w:szCs w:val="24"/>
        </w:rPr>
        <w:t xml:space="preserve">strengthen the </w:t>
      </w:r>
      <w:r w:rsidR="009145A7">
        <w:rPr>
          <w:rFonts w:ascii="Times New Roman" w:hAnsi="Times New Roman" w:cs="Times New Roman"/>
          <w:b/>
          <w:sz w:val="24"/>
          <w:szCs w:val="24"/>
        </w:rPr>
        <w:t>IMDFF-DR</w:t>
      </w:r>
      <w:r w:rsidRPr="000675E3">
        <w:rPr>
          <w:rFonts w:ascii="Times New Roman" w:hAnsi="Times New Roman" w:cs="Times New Roman"/>
          <w:b/>
          <w:sz w:val="24"/>
          <w:szCs w:val="24"/>
        </w:rPr>
        <w:t xml:space="preserve"> secretariat to facilitate and lend support for addressing the issues of recovery institutional arrangement and funding scheme within the overall recovery framework for Central Sulawesi </w:t>
      </w:r>
      <w:r w:rsidR="00000881">
        <w:rPr>
          <w:rFonts w:ascii="Times New Roman" w:hAnsi="Times New Roman" w:cs="Times New Roman"/>
          <w:b/>
          <w:sz w:val="24"/>
          <w:szCs w:val="24"/>
        </w:rPr>
        <w:t xml:space="preserve">(i.e. </w:t>
      </w:r>
      <w:proofErr w:type="spellStart"/>
      <w:r w:rsidR="00000881">
        <w:rPr>
          <w:rFonts w:ascii="Times New Roman" w:hAnsi="Times New Roman" w:cs="Times New Roman"/>
          <w:b/>
          <w:sz w:val="24"/>
          <w:szCs w:val="24"/>
        </w:rPr>
        <w:t>Palu</w:t>
      </w:r>
      <w:proofErr w:type="spellEnd"/>
      <w:r w:rsidR="00000881">
        <w:rPr>
          <w:rFonts w:ascii="Times New Roman" w:hAnsi="Times New Roman" w:cs="Times New Roman"/>
          <w:b/>
          <w:sz w:val="24"/>
          <w:szCs w:val="24"/>
        </w:rPr>
        <w:t xml:space="preserve">) </w:t>
      </w:r>
      <w:r w:rsidRPr="000675E3">
        <w:rPr>
          <w:rFonts w:ascii="Times New Roman" w:hAnsi="Times New Roman" w:cs="Times New Roman"/>
          <w:b/>
          <w:sz w:val="24"/>
          <w:szCs w:val="24"/>
        </w:rPr>
        <w:t xml:space="preserve">and </w:t>
      </w:r>
      <w:r w:rsidR="00000881">
        <w:rPr>
          <w:rFonts w:ascii="Times New Roman" w:hAnsi="Times New Roman" w:cs="Times New Roman"/>
          <w:b/>
          <w:sz w:val="24"/>
          <w:szCs w:val="24"/>
        </w:rPr>
        <w:t>West Nusa Tenggara (i.e. Lombok)</w:t>
      </w:r>
      <w:r>
        <w:rPr>
          <w:rFonts w:ascii="Times New Roman" w:hAnsi="Times New Roman" w:cs="Times New Roman"/>
          <w:bCs/>
          <w:sz w:val="24"/>
          <w:szCs w:val="24"/>
        </w:rPr>
        <w:t xml:space="preserve">. </w:t>
      </w:r>
    </w:p>
    <w:p w14:paraId="18738F4A" w14:textId="77777777" w:rsidR="000401B7" w:rsidRDefault="000401B7" w:rsidP="000401B7">
      <w:pPr>
        <w:pStyle w:val="BodyText"/>
        <w:ind w:left="360"/>
        <w:jc w:val="both"/>
        <w:rPr>
          <w:rFonts w:ascii="Times New Roman" w:hAnsi="Times New Roman" w:cs="Times New Roman"/>
          <w:bCs/>
          <w:sz w:val="24"/>
          <w:szCs w:val="24"/>
        </w:rPr>
      </w:pPr>
    </w:p>
    <w:p w14:paraId="244CC544" w14:textId="77777777" w:rsidR="00DE6E89" w:rsidRDefault="00DE6E89" w:rsidP="000675E3">
      <w:pPr>
        <w:pStyle w:val="BodyText"/>
        <w:jc w:val="both"/>
        <w:rPr>
          <w:rFonts w:ascii="Times New Roman" w:hAnsi="Times New Roman"/>
          <w:sz w:val="16"/>
        </w:rPr>
      </w:pPr>
    </w:p>
    <w:p w14:paraId="30388673" w14:textId="77777777" w:rsidR="00E954F7" w:rsidRDefault="00E954F7" w:rsidP="000675E3">
      <w:pPr>
        <w:pStyle w:val="BodyText"/>
        <w:jc w:val="both"/>
        <w:rPr>
          <w:rFonts w:ascii="Times New Roman" w:hAnsi="Times New Roman"/>
          <w:sz w:val="16"/>
        </w:rPr>
      </w:pPr>
    </w:p>
    <w:p w14:paraId="038AC994" w14:textId="77777777" w:rsidR="00E954F7" w:rsidRPr="00954264" w:rsidRDefault="00E954F7" w:rsidP="000675E3">
      <w:pPr>
        <w:pStyle w:val="BodyText"/>
        <w:jc w:val="both"/>
        <w:rPr>
          <w:rFonts w:ascii="Times New Roman" w:hAnsi="Times New Roman"/>
          <w:sz w:val="16"/>
        </w:rPr>
      </w:pPr>
    </w:p>
    <w:p w14:paraId="7E63DBC9" w14:textId="77777777" w:rsidR="00AB0274" w:rsidRDefault="00AB0274" w:rsidP="005E6A31">
      <w:pPr>
        <w:pStyle w:val="Heading1"/>
        <w:numPr>
          <w:ilvl w:val="0"/>
          <w:numId w:val="1"/>
        </w:numPr>
        <w:tabs>
          <w:tab w:val="clear" w:pos="1080"/>
          <w:tab w:val="left" w:pos="360"/>
        </w:tabs>
        <w:ind w:left="360" w:hanging="360"/>
        <w:jc w:val="left"/>
        <w:rPr>
          <w:rFonts w:ascii="Times New Roman" w:hAnsi="Times New Roman"/>
          <w:sz w:val="24"/>
          <w:szCs w:val="24"/>
        </w:rPr>
      </w:pPr>
      <w:bookmarkStart w:id="4" w:name="_Toc249364486"/>
      <w:r w:rsidRPr="007C14A5">
        <w:rPr>
          <w:rFonts w:ascii="Times New Roman" w:hAnsi="Times New Roman"/>
          <w:sz w:val="24"/>
          <w:szCs w:val="24"/>
        </w:rPr>
        <w:t>Results</w:t>
      </w:r>
      <w:bookmarkEnd w:id="4"/>
      <w:r w:rsidRPr="007C14A5">
        <w:rPr>
          <w:rFonts w:ascii="Times New Roman" w:hAnsi="Times New Roman"/>
          <w:sz w:val="24"/>
          <w:szCs w:val="24"/>
        </w:rPr>
        <w:t xml:space="preserve"> </w:t>
      </w:r>
    </w:p>
    <w:p w14:paraId="57F3AC3C" w14:textId="77777777" w:rsidR="00E954F7" w:rsidRDefault="00E954F7" w:rsidP="00E954F7">
      <w:pPr>
        <w:rPr>
          <w:lang w:val="x-none" w:eastAsia="x-none"/>
        </w:rPr>
      </w:pPr>
    </w:p>
    <w:p w14:paraId="3A2365EB" w14:textId="77777777" w:rsidR="00EF1F75" w:rsidRDefault="00E954F7" w:rsidP="00E954F7">
      <w:pPr>
        <w:ind w:left="284"/>
        <w:jc w:val="both"/>
        <w:rPr>
          <w:b/>
          <w:lang w:eastAsia="x-none"/>
        </w:rPr>
      </w:pPr>
      <w:r w:rsidRPr="00E954F7">
        <w:rPr>
          <w:b/>
          <w:lang w:eastAsia="x-none"/>
        </w:rPr>
        <w:t xml:space="preserve">Outcome: </w:t>
      </w:r>
    </w:p>
    <w:p w14:paraId="7B09C654" w14:textId="77777777" w:rsidR="00E954F7" w:rsidRDefault="00E954F7" w:rsidP="00E954F7">
      <w:pPr>
        <w:ind w:left="284"/>
        <w:jc w:val="both"/>
        <w:rPr>
          <w:b/>
          <w:lang w:eastAsia="x-none"/>
        </w:rPr>
      </w:pPr>
      <w:r w:rsidRPr="00E954F7">
        <w:rPr>
          <w:b/>
          <w:lang w:eastAsia="x-none"/>
        </w:rPr>
        <w:t>The Government of Indonesia is capacitated to manage grant funding contribution from bilateral/multilateral donors and implementation of efficient and effective recovery measures in Central Sulawesi and NTB.</w:t>
      </w:r>
    </w:p>
    <w:p w14:paraId="410A7C2D" w14:textId="77777777" w:rsidR="00B0683D" w:rsidRDefault="00B0683D" w:rsidP="00E954F7">
      <w:pPr>
        <w:ind w:left="284"/>
        <w:jc w:val="both"/>
        <w:rPr>
          <w:b/>
          <w:lang w:eastAsia="x-none"/>
        </w:rPr>
      </w:pPr>
    </w:p>
    <w:p w14:paraId="4A4AA755" w14:textId="77777777" w:rsidR="007E5DBA" w:rsidRDefault="00B0683D" w:rsidP="00B0683D">
      <w:pPr>
        <w:ind w:left="284"/>
        <w:jc w:val="both"/>
        <w:rPr>
          <w:bCs/>
          <w:lang w:val="en" w:eastAsia="x-none"/>
        </w:rPr>
      </w:pPr>
      <w:r>
        <w:rPr>
          <w:bCs/>
          <w:lang w:val="en" w:eastAsia="x-none"/>
        </w:rPr>
        <w:t xml:space="preserve">The IMDFF-DR represent the </w:t>
      </w:r>
      <w:proofErr w:type="spellStart"/>
      <w:r>
        <w:rPr>
          <w:bCs/>
          <w:lang w:val="en" w:eastAsia="x-none"/>
        </w:rPr>
        <w:t>GoI</w:t>
      </w:r>
      <w:proofErr w:type="spellEnd"/>
      <w:r>
        <w:rPr>
          <w:bCs/>
          <w:lang w:val="en" w:eastAsia="x-none"/>
        </w:rPr>
        <w:t xml:space="preserve"> in leading recovery programme intervention for Central Sulawesi </w:t>
      </w:r>
      <w:r w:rsidR="00A30B18">
        <w:rPr>
          <w:bCs/>
          <w:lang w:val="en" w:eastAsia="x-none"/>
        </w:rPr>
        <w:t xml:space="preserve">(CS) </w:t>
      </w:r>
      <w:r>
        <w:rPr>
          <w:bCs/>
          <w:lang w:val="en" w:eastAsia="x-none"/>
        </w:rPr>
        <w:t xml:space="preserve">and West Nusa Tenggara </w:t>
      </w:r>
      <w:r w:rsidR="00A30B18">
        <w:rPr>
          <w:bCs/>
          <w:lang w:val="en" w:eastAsia="x-none"/>
        </w:rPr>
        <w:t xml:space="preserve">(WNT) </w:t>
      </w:r>
      <w:r>
        <w:rPr>
          <w:bCs/>
          <w:lang w:val="en" w:eastAsia="x-none"/>
        </w:rPr>
        <w:t xml:space="preserve">funded by grant contribution from Donor Countries. Currently, the IMDFF-DR has been coordinating the grant contribution from </w:t>
      </w:r>
      <w:proofErr w:type="spellStart"/>
      <w:r>
        <w:rPr>
          <w:bCs/>
          <w:lang w:val="en" w:eastAsia="x-none"/>
        </w:rPr>
        <w:t>KfW</w:t>
      </w:r>
      <w:proofErr w:type="spellEnd"/>
      <w:r>
        <w:rPr>
          <w:bCs/>
          <w:lang w:val="en" w:eastAsia="x-none"/>
        </w:rPr>
        <w:t>, Government of Qatar</w:t>
      </w:r>
      <w:r w:rsidR="00EA0B2A">
        <w:rPr>
          <w:bCs/>
          <w:lang w:val="en" w:eastAsia="x-none"/>
        </w:rPr>
        <w:t>, JICA,</w:t>
      </w:r>
      <w:r>
        <w:rPr>
          <w:bCs/>
          <w:lang w:val="en" w:eastAsia="x-none"/>
        </w:rPr>
        <w:t xml:space="preserve"> and Government of New Zealand. The c</w:t>
      </w:r>
      <w:r w:rsidRPr="00B0683D">
        <w:rPr>
          <w:bCs/>
          <w:lang w:val="en" w:eastAsia="x-none"/>
        </w:rPr>
        <w:t xml:space="preserve">oordination </w:t>
      </w:r>
      <w:r>
        <w:rPr>
          <w:bCs/>
          <w:lang w:val="en" w:eastAsia="x-none"/>
        </w:rPr>
        <w:t xml:space="preserve">involved Line </w:t>
      </w:r>
      <w:r w:rsidRPr="00B0683D">
        <w:rPr>
          <w:bCs/>
          <w:lang w:val="en" w:eastAsia="x-none"/>
        </w:rPr>
        <w:t>Ministries/</w:t>
      </w:r>
      <w:r>
        <w:rPr>
          <w:bCs/>
          <w:lang w:val="en" w:eastAsia="x-none"/>
        </w:rPr>
        <w:t>Agencies</w:t>
      </w:r>
      <w:r w:rsidRPr="00B0683D">
        <w:rPr>
          <w:bCs/>
          <w:lang w:val="en" w:eastAsia="x-none"/>
        </w:rPr>
        <w:t xml:space="preserve">, </w:t>
      </w:r>
      <w:r>
        <w:rPr>
          <w:bCs/>
          <w:lang w:val="en" w:eastAsia="x-none"/>
        </w:rPr>
        <w:t>D</w:t>
      </w:r>
      <w:r w:rsidRPr="00B0683D">
        <w:rPr>
          <w:bCs/>
          <w:lang w:val="en" w:eastAsia="x-none"/>
        </w:rPr>
        <w:t xml:space="preserve">evelopment </w:t>
      </w:r>
      <w:r>
        <w:rPr>
          <w:bCs/>
          <w:lang w:val="en" w:eastAsia="x-none"/>
        </w:rPr>
        <w:t>P</w:t>
      </w:r>
      <w:r w:rsidRPr="00B0683D">
        <w:rPr>
          <w:bCs/>
          <w:lang w:val="en" w:eastAsia="x-none"/>
        </w:rPr>
        <w:t>artners</w:t>
      </w:r>
      <w:r>
        <w:rPr>
          <w:bCs/>
          <w:lang w:val="en" w:eastAsia="x-none"/>
        </w:rPr>
        <w:t>, Donors</w:t>
      </w:r>
      <w:r w:rsidRPr="00B0683D">
        <w:rPr>
          <w:bCs/>
          <w:lang w:val="en" w:eastAsia="x-none"/>
        </w:rPr>
        <w:t xml:space="preserve"> and </w:t>
      </w:r>
      <w:r>
        <w:rPr>
          <w:bCs/>
          <w:lang w:val="en" w:eastAsia="x-none"/>
        </w:rPr>
        <w:t>L</w:t>
      </w:r>
      <w:r w:rsidRPr="00B0683D">
        <w:rPr>
          <w:bCs/>
          <w:lang w:val="en" w:eastAsia="x-none"/>
        </w:rPr>
        <w:t xml:space="preserve">ocal </w:t>
      </w:r>
      <w:r>
        <w:rPr>
          <w:bCs/>
          <w:lang w:val="en" w:eastAsia="x-none"/>
        </w:rPr>
        <w:t>G</w:t>
      </w:r>
      <w:r w:rsidRPr="00B0683D">
        <w:rPr>
          <w:bCs/>
          <w:lang w:val="en" w:eastAsia="x-none"/>
        </w:rPr>
        <w:t xml:space="preserve">overnments to </w:t>
      </w:r>
      <w:r w:rsidR="007E5DBA">
        <w:rPr>
          <w:bCs/>
          <w:lang w:val="en" w:eastAsia="x-none"/>
        </w:rPr>
        <w:t>ensure the following key priorities are well addressed:</w:t>
      </w:r>
    </w:p>
    <w:p w14:paraId="2D0251AE" w14:textId="77777777" w:rsidR="00163333" w:rsidRDefault="007E5DBA" w:rsidP="005E6A31">
      <w:pPr>
        <w:numPr>
          <w:ilvl w:val="0"/>
          <w:numId w:val="7"/>
        </w:numPr>
        <w:jc w:val="both"/>
        <w:rPr>
          <w:bCs/>
          <w:lang w:val="en" w:eastAsia="x-none"/>
        </w:rPr>
      </w:pPr>
      <w:r>
        <w:rPr>
          <w:bCs/>
          <w:lang w:val="en" w:eastAsia="x-none"/>
        </w:rPr>
        <w:t>Synchronize recovery programme</w:t>
      </w:r>
      <w:r w:rsidR="00B0683D" w:rsidRPr="00B0683D">
        <w:rPr>
          <w:bCs/>
          <w:lang w:val="en" w:eastAsia="x-none"/>
        </w:rPr>
        <w:t xml:space="preserve"> </w:t>
      </w:r>
      <w:r>
        <w:rPr>
          <w:bCs/>
          <w:lang w:val="en" w:eastAsia="x-none"/>
        </w:rPr>
        <w:t>intervention funded by grant contribution with other recovery interventions funded from National Budget (APBN</w:t>
      </w:r>
      <w:r>
        <w:rPr>
          <w:rStyle w:val="FootnoteReference"/>
          <w:bCs/>
          <w:lang w:val="en" w:eastAsia="x-none"/>
        </w:rPr>
        <w:footnoteReference w:id="9"/>
      </w:r>
      <w:r>
        <w:rPr>
          <w:bCs/>
          <w:lang w:val="en" w:eastAsia="x-none"/>
        </w:rPr>
        <w:t>), Local Government (APBD</w:t>
      </w:r>
      <w:r>
        <w:rPr>
          <w:rStyle w:val="FootnoteReference"/>
          <w:bCs/>
          <w:lang w:val="en" w:eastAsia="x-none"/>
        </w:rPr>
        <w:footnoteReference w:id="10"/>
      </w:r>
      <w:r>
        <w:rPr>
          <w:bCs/>
          <w:lang w:val="en" w:eastAsia="x-none"/>
        </w:rPr>
        <w:t>)</w:t>
      </w:r>
      <w:r w:rsidR="00B0683D" w:rsidRPr="00B0683D">
        <w:rPr>
          <w:bCs/>
          <w:lang w:val="en" w:eastAsia="x-none"/>
        </w:rPr>
        <w:t xml:space="preserve">, </w:t>
      </w:r>
      <w:r w:rsidR="0020642A">
        <w:rPr>
          <w:bCs/>
          <w:lang w:val="en" w:eastAsia="x-none"/>
        </w:rPr>
        <w:t xml:space="preserve">and </w:t>
      </w:r>
      <w:r w:rsidR="00B0683D" w:rsidRPr="00B0683D">
        <w:rPr>
          <w:bCs/>
          <w:lang w:val="en" w:eastAsia="x-none"/>
        </w:rPr>
        <w:t>Loan</w:t>
      </w:r>
      <w:r>
        <w:rPr>
          <w:bCs/>
          <w:lang w:val="en" w:eastAsia="x-none"/>
        </w:rPr>
        <w:t xml:space="preserve"> </w:t>
      </w:r>
      <w:r w:rsidR="0020642A">
        <w:rPr>
          <w:bCs/>
          <w:lang w:val="en" w:eastAsia="x-none"/>
        </w:rPr>
        <w:t>provision</w:t>
      </w:r>
      <w:r w:rsidR="00B0683D" w:rsidRPr="00B0683D">
        <w:rPr>
          <w:bCs/>
          <w:lang w:val="en" w:eastAsia="x-none"/>
        </w:rPr>
        <w:t xml:space="preserve"> </w:t>
      </w:r>
      <w:r w:rsidR="0020642A">
        <w:rPr>
          <w:bCs/>
          <w:lang w:val="en" w:eastAsia="x-none"/>
        </w:rPr>
        <w:t xml:space="preserve">for CS and WNT. </w:t>
      </w:r>
    </w:p>
    <w:p w14:paraId="4D0445F8" w14:textId="77777777" w:rsidR="00E954F7" w:rsidRPr="00163333" w:rsidRDefault="00163333" w:rsidP="005E6A31">
      <w:pPr>
        <w:numPr>
          <w:ilvl w:val="0"/>
          <w:numId w:val="7"/>
        </w:numPr>
        <w:jc w:val="both"/>
        <w:rPr>
          <w:bCs/>
          <w:lang w:val="en" w:eastAsia="x-none"/>
        </w:rPr>
      </w:pPr>
      <w:r w:rsidRPr="00163333">
        <w:rPr>
          <w:bCs/>
          <w:lang w:val="en" w:eastAsia="x-none"/>
        </w:rPr>
        <w:t xml:space="preserve">Secure confirmation from the Local Governments (LG) on the detail recovery support </w:t>
      </w:r>
      <w:r w:rsidR="00B0683D" w:rsidRPr="00B0683D">
        <w:rPr>
          <w:bCs/>
          <w:lang w:val="en" w:eastAsia="x-none"/>
        </w:rPr>
        <w:t>activities fund</w:t>
      </w:r>
      <w:r w:rsidRPr="00163333">
        <w:rPr>
          <w:bCs/>
          <w:lang w:val="en" w:eastAsia="x-none"/>
        </w:rPr>
        <w:t>ed</w:t>
      </w:r>
      <w:r w:rsidR="00B0683D" w:rsidRPr="00B0683D">
        <w:rPr>
          <w:bCs/>
          <w:lang w:val="en" w:eastAsia="x-none"/>
        </w:rPr>
        <w:t xml:space="preserve"> from verified grant sources</w:t>
      </w:r>
      <w:r w:rsidRPr="00163333">
        <w:rPr>
          <w:bCs/>
          <w:lang w:val="en" w:eastAsia="x-none"/>
        </w:rPr>
        <w:t>.</w:t>
      </w:r>
    </w:p>
    <w:p w14:paraId="37FD190E" w14:textId="77777777" w:rsidR="00163333" w:rsidRDefault="00163333" w:rsidP="00E954F7">
      <w:pPr>
        <w:ind w:left="284"/>
        <w:jc w:val="both"/>
        <w:rPr>
          <w:lang w:eastAsia="x-none"/>
        </w:rPr>
      </w:pPr>
    </w:p>
    <w:p w14:paraId="03B6FF63" w14:textId="77777777" w:rsidR="00E954F7" w:rsidRDefault="00E954F7" w:rsidP="00E954F7">
      <w:pPr>
        <w:ind w:left="284"/>
        <w:jc w:val="both"/>
        <w:rPr>
          <w:b/>
          <w:bCs/>
          <w:lang w:eastAsia="x-none"/>
        </w:rPr>
      </w:pPr>
      <w:r w:rsidRPr="00EF1F75">
        <w:rPr>
          <w:b/>
          <w:bCs/>
          <w:lang w:eastAsia="x-none"/>
        </w:rPr>
        <w:t xml:space="preserve">Outputs:   </w:t>
      </w:r>
    </w:p>
    <w:p w14:paraId="1E702F84" w14:textId="77777777" w:rsidR="00055BD8" w:rsidRPr="00EF1F75" w:rsidRDefault="00055BD8" w:rsidP="00E954F7">
      <w:pPr>
        <w:ind w:left="284"/>
        <w:jc w:val="both"/>
        <w:rPr>
          <w:b/>
          <w:bCs/>
          <w:lang w:eastAsia="x-none"/>
        </w:rPr>
      </w:pPr>
    </w:p>
    <w:p w14:paraId="50DB976B" w14:textId="77777777" w:rsidR="00EA0B2A" w:rsidRPr="00055BD8" w:rsidRDefault="00E954F7" w:rsidP="005E6A31">
      <w:pPr>
        <w:numPr>
          <w:ilvl w:val="3"/>
          <w:numId w:val="6"/>
        </w:numPr>
        <w:ind w:left="709"/>
        <w:jc w:val="both"/>
        <w:rPr>
          <w:b/>
          <w:bCs/>
          <w:lang w:eastAsia="x-none"/>
        </w:rPr>
      </w:pPr>
      <w:r w:rsidRPr="00055BD8">
        <w:rPr>
          <w:b/>
          <w:bCs/>
          <w:lang w:eastAsia="x-none"/>
        </w:rPr>
        <w:t xml:space="preserve">Support provided to IMDFF-DR Secretariat in developing institutional structure and operational guidelines renewal for the implementation of activities under the coordination of BNPB and </w:t>
      </w:r>
      <w:proofErr w:type="spellStart"/>
      <w:r w:rsidRPr="00055BD8">
        <w:rPr>
          <w:b/>
          <w:bCs/>
          <w:lang w:eastAsia="x-none"/>
        </w:rPr>
        <w:t>Bappenas</w:t>
      </w:r>
      <w:proofErr w:type="spellEnd"/>
      <w:r w:rsidRPr="00055BD8">
        <w:rPr>
          <w:b/>
          <w:bCs/>
          <w:lang w:eastAsia="x-none"/>
        </w:rPr>
        <w:t>;</w:t>
      </w:r>
    </w:p>
    <w:p w14:paraId="134CD41E" w14:textId="77777777" w:rsidR="00EF1F75" w:rsidRDefault="00EF1F75" w:rsidP="00EF1F75">
      <w:pPr>
        <w:ind w:left="709"/>
        <w:jc w:val="both"/>
        <w:rPr>
          <w:lang w:eastAsia="x-none"/>
        </w:rPr>
      </w:pPr>
    </w:p>
    <w:p w14:paraId="05723A20" w14:textId="77777777" w:rsidR="008F17CF" w:rsidRPr="008F17CF" w:rsidRDefault="00EF1F75" w:rsidP="00A67F84">
      <w:pPr>
        <w:ind w:left="709"/>
        <w:jc w:val="both"/>
        <w:rPr>
          <w:lang w:val="en" w:eastAsia="x-none"/>
        </w:rPr>
      </w:pPr>
      <w:r w:rsidRPr="00EA0B2A">
        <w:rPr>
          <w:lang w:eastAsia="x-none"/>
        </w:rPr>
        <w:t xml:space="preserve">Two technical support </w:t>
      </w:r>
      <w:r>
        <w:rPr>
          <w:lang w:eastAsia="x-none"/>
        </w:rPr>
        <w:t xml:space="preserve">personnel hired and </w:t>
      </w:r>
      <w:r w:rsidRPr="00EA0B2A">
        <w:rPr>
          <w:lang w:eastAsia="x-none"/>
        </w:rPr>
        <w:t>based in the secretariat office</w:t>
      </w:r>
      <w:r>
        <w:rPr>
          <w:lang w:eastAsia="x-none"/>
        </w:rPr>
        <w:t xml:space="preserve"> to support coordination activities, </w:t>
      </w:r>
      <w:r w:rsidR="00AD406A">
        <w:rPr>
          <w:lang w:eastAsia="x-none"/>
        </w:rPr>
        <w:t>administrative work on grant registration</w:t>
      </w:r>
      <w:r>
        <w:rPr>
          <w:lang w:eastAsia="x-none"/>
        </w:rPr>
        <w:t xml:space="preserve"> and monitoring</w:t>
      </w:r>
      <w:r w:rsidR="00AD406A">
        <w:rPr>
          <w:lang w:eastAsia="x-none"/>
        </w:rPr>
        <w:t>/reporting</w:t>
      </w:r>
      <w:r>
        <w:rPr>
          <w:lang w:eastAsia="x-none"/>
        </w:rPr>
        <w:t xml:space="preserve"> of </w:t>
      </w:r>
      <w:r w:rsidR="00AD406A">
        <w:rPr>
          <w:lang w:eastAsia="x-none"/>
        </w:rPr>
        <w:t xml:space="preserve">the </w:t>
      </w:r>
      <w:r>
        <w:rPr>
          <w:lang w:eastAsia="x-none"/>
        </w:rPr>
        <w:t>recovery programme implementation</w:t>
      </w:r>
      <w:r w:rsidR="00AD406A">
        <w:rPr>
          <w:lang w:eastAsia="x-none"/>
        </w:rPr>
        <w:t xml:space="preserve"> coordinated under the secretariat.</w:t>
      </w:r>
      <w:r>
        <w:rPr>
          <w:lang w:eastAsia="x-none"/>
        </w:rPr>
        <w:t xml:space="preserve"> </w:t>
      </w:r>
      <w:r w:rsidRPr="00EA0B2A">
        <w:rPr>
          <w:lang w:eastAsia="x-none"/>
        </w:rPr>
        <w:t>This output</w:t>
      </w:r>
      <w:r w:rsidR="00AD406A">
        <w:rPr>
          <w:lang w:eastAsia="x-none"/>
        </w:rPr>
        <w:t xml:space="preserve"> </w:t>
      </w:r>
      <w:r w:rsidRPr="00EA0B2A">
        <w:rPr>
          <w:lang w:eastAsia="x-none"/>
        </w:rPr>
        <w:t>includes establishment of secretariat office</w:t>
      </w:r>
      <w:r w:rsidR="00AD406A">
        <w:rPr>
          <w:lang w:eastAsia="x-none"/>
        </w:rPr>
        <w:t xml:space="preserve">, for which has been established </w:t>
      </w:r>
      <w:r w:rsidR="00AD406A" w:rsidRPr="00000881">
        <w:rPr>
          <w:lang w:eastAsia="x-none"/>
        </w:rPr>
        <w:t>in BNPB</w:t>
      </w:r>
      <w:r w:rsidR="00AD406A">
        <w:rPr>
          <w:lang w:eastAsia="x-none"/>
        </w:rPr>
        <w:t xml:space="preserve"> office building (16</w:t>
      </w:r>
      <w:r w:rsidR="00AD406A" w:rsidRPr="00AD406A">
        <w:rPr>
          <w:vertAlign w:val="superscript"/>
          <w:lang w:eastAsia="x-none"/>
        </w:rPr>
        <w:t>th</w:t>
      </w:r>
      <w:r w:rsidR="00AD406A">
        <w:rPr>
          <w:lang w:eastAsia="x-none"/>
        </w:rPr>
        <w:t xml:space="preserve"> floor). Office </w:t>
      </w:r>
      <w:r w:rsidR="00AD406A" w:rsidRPr="00EA0B2A">
        <w:rPr>
          <w:lang w:eastAsia="x-none"/>
        </w:rPr>
        <w:t>supplies</w:t>
      </w:r>
      <w:r w:rsidR="00AD406A">
        <w:rPr>
          <w:lang w:eastAsia="x-none"/>
        </w:rPr>
        <w:t xml:space="preserve">, </w:t>
      </w:r>
      <w:r w:rsidR="00AD406A" w:rsidRPr="00EA0B2A">
        <w:rPr>
          <w:lang w:eastAsia="x-none"/>
        </w:rPr>
        <w:t>equipment</w:t>
      </w:r>
      <w:r w:rsidR="00AD406A">
        <w:rPr>
          <w:lang w:eastAsia="x-none"/>
        </w:rPr>
        <w:t xml:space="preserve"> and furniture have been procured and delivered</w:t>
      </w:r>
      <w:r w:rsidR="00AD406A" w:rsidRPr="00EA0B2A">
        <w:rPr>
          <w:lang w:eastAsia="x-none"/>
        </w:rPr>
        <w:t xml:space="preserve"> to enable the </w:t>
      </w:r>
      <w:r w:rsidR="00AD406A">
        <w:rPr>
          <w:lang w:eastAsia="x-none"/>
        </w:rPr>
        <w:t>secretariat office function properly.</w:t>
      </w:r>
      <w:r w:rsidR="008F17CF">
        <w:rPr>
          <w:lang w:eastAsia="x-none"/>
        </w:rPr>
        <w:t xml:space="preserve"> In addition to the above, BNPB and </w:t>
      </w:r>
      <w:proofErr w:type="spellStart"/>
      <w:r w:rsidR="008F17CF">
        <w:rPr>
          <w:lang w:eastAsia="x-none"/>
        </w:rPr>
        <w:t>Bappenas</w:t>
      </w:r>
      <w:proofErr w:type="spellEnd"/>
      <w:r w:rsidR="008F17CF">
        <w:rPr>
          <w:lang w:eastAsia="x-none"/>
        </w:rPr>
        <w:t xml:space="preserve"> also assigned their Civil Apparatus </w:t>
      </w:r>
      <w:r w:rsidR="008F17CF">
        <w:rPr>
          <w:lang w:val="en" w:eastAsia="x-none"/>
        </w:rPr>
        <w:t xml:space="preserve">to </w:t>
      </w:r>
      <w:r w:rsidR="008F17CF" w:rsidRPr="00EA0B2A">
        <w:rPr>
          <w:lang w:val="en" w:eastAsia="x-none"/>
        </w:rPr>
        <w:t>strengthen</w:t>
      </w:r>
      <w:r w:rsidR="008F17CF">
        <w:rPr>
          <w:lang w:val="en" w:eastAsia="x-none"/>
        </w:rPr>
        <w:t xml:space="preserve"> the inter-unit coordination within the ministry and inter-sectoral coordination with other relevant line ministry. This assignment is regulated by the issuance</w:t>
      </w:r>
      <w:r w:rsidR="00A67F84">
        <w:rPr>
          <w:lang w:val="en" w:eastAsia="x-none"/>
        </w:rPr>
        <w:t xml:space="preserve"> </w:t>
      </w:r>
      <w:r w:rsidR="008F17CF" w:rsidRPr="008F17CF">
        <w:rPr>
          <w:lang w:val="en" w:eastAsia="x-none"/>
        </w:rPr>
        <w:t>of BNPB First</w:t>
      </w:r>
      <w:r w:rsidR="00A67F84">
        <w:rPr>
          <w:lang w:val="en" w:eastAsia="x-none"/>
        </w:rPr>
        <w:t xml:space="preserve"> Secretary</w:t>
      </w:r>
      <w:r w:rsidR="008F17CF" w:rsidRPr="008F17CF">
        <w:rPr>
          <w:lang w:val="en" w:eastAsia="x-none"/>
        </w:rPr>
        <w:t xml:space="preserve"> Decree (Number 99.A / 2019; 99.b / 2019; and 165.A / 2019) concerning the </w:t>
      </w:r>
      <w:r w:rsidR="00A67F84">
        <w:rPr>
          <w:lang w:val="en" w:eastAsia="x-none"/>
        </w:rPr>
        <w:t>Establishment</w:t>
      </w:r>
      <w:r w:rsidR="008F17CF" w:rsidRPr="008F17CF">
        <w:rPr>
          <w:lang w:val="en" w:eastAsia="x-none"/>
        </w:rPr>
        <w:t xml:space="preserve"> of the IMDFF-DR Secretariat at BNPB and the </w:t>
      </w:r>
      <w:r w:rsidR="00A67F84">
        <w:rPr>
          <w:lang w:val="en" w:eastAsia="x-none"/>
        </w:rPr>
        <w:t xml:space="preserve">Assignment </w:t>
      </w:r>
      <w:r w:rsidR="008F17CF" w:rsidRPr="008F17CF">
        <w:rPr>
          <w:lang w:val="en" w:eastAsia="x-none"/>
        </w:rPr>
        <w:t xml:space="preserve">of </w:t>
      </w:r>
      <w:r w:rsidR="00A67F84">
        <w:rPr>
          <w:lang w:val="en" w:eastAsia="x-none"/>
        </w:rPr>
        <w:t xml:space="preserve">Executing </w:t>
      </w:r>
      <w:r w:rsidR="008F17CF" w:rsidRPr="008F17CF">
        <w:rPr>
          <w:lang w:val="en" w:eastAsia="x-none"/>
        </w:rPr>
        <w:t xml:space="preserve">Personnel </w:t>
      </w:r>
      <w:r w:rsidR="00A67F84">
        <w:rPr>
          <w:lang w:val="en" w:eastAsia="x-none"/>
        </w:rPr>
        <w:t xml:space="preserve">for </w:t>
      </w:r>
      <w:r w:rsidR="008F17CF" w:rsidRPr="008F17CF">
        <w:rPr>
          <w:lang w:val="en" w:eastAsia="x-none"/>
        </w:rPr>
        <w:t>IMDFF-DR Secretariat.</w:t>
      </w:r>
    </w:p>
    <w:p w14:paraId="0A2C8C16" w14:textId="77777777" w:rsidR="008F17CF" w:rsidRPr="008F17CF" w:rsidRDefault="008F17CF" w:rsidP="00A67F84">
      <w:pPr>
        <w:jc w:val="both"/>
        <w:rPr>
          <w:lang w:val="en" w:eastAsia="x-none"/>
        </w:rPr>
      </w:pPr>
    </w:p>
    <w:p w14:paraId="6A06CCC8" w14:textId="77777777" w:rsidR="00EA0B2A" w:rsidRDefault="00A67F84" w:rsidP="00F95111">
      <w:pPr>
        <w:ind w:left="709"/>
        <w:jc w:val="both"/>
        <w:rPr>
          <w:lang w:eastAsia="x-none"/>
        </w:rPr>
      </w:pPr>
      <w:r>
        <w:rPr>
          <w:lang w:eastAsia="x-none"/>
        </w:rPr>
        <w:t xml:space="preserve">The preparation of IMDFF-DR operational guideline or SOP is underway and simultaneously with the formulation </w:t>
      </w:r>
      <w:r w:rsidR="00F95111">
        <w:rPr>
          <w:lang w:eastAsia="x-none"/>
        </w:rPr>
        <w:t xml:space="preserve">way forward strategy for </w:t>
      </w:r>
      <w:r>
        <w:rPr>
          <w:lang w:eastAsia="x-none"/>
        </w:rPr>
        <w:t>IMDFF-DR</w:t>
      </w:r>
      <w:r w:rsidR="00F95111">
        <w:rPr>
          <w:lang w:eastAsia="x-none"/>
        </w:rPr>
        <w:t xml:space="preserve">. </w:t>
      </w:r>
      <w:r w:rsidR="001F7D7E">
        <w:rPr>
          <w:lang w:eastAsia="x-none"/>
        </w:rPr>
        <w:t xml:space="preserve">The SOP renewal process was delayed due to the renewal of </w:t>
      </w:r>
      <w:proofErr w:type="spellStart"/>
      <w:r w:rsidR="001F7D7E">
        <w:rPr>
          <w:lang w:eastAsia="x-none"/>
        </w:rPr>
        <w:t>Bappenas’s</w:t>
      </w:r>
      <w:proofErr w:type="spellEnd"/>
      <w:r w:rsidR="001F7D7E">
        <w:rPr>
          <w:lang w:eastAsia="x-none"/>
        </w:rPr>
        <w:t xml:space="preserve"> decree for </w:t>
      </w:r>
      <w:r w:rsidR="00962246">
        <w:rPr>
          <w:lang w:eastAsia="x-none"/>
        </w:rPr>
        <w:t xml:space="preserve">the Structure of </w:t>
      </w:r>
      <w:r w:rsidR="001F7D7E">
        <w:rPr>
          <w:lang w:eastAsia="x-none"/>
        </w:rPr>
        <w:t xml:space="preserve">Steering and Technical Committee </w:t>
      </w:r>
      <w:r w:rsidR="00962246">
        <w:rPr>
          <w:lang w:eastAsia="x-none"/>
        </w:rPr>
        <w:t>of IMDFF-DR. Further adjustment in the SOP is needed to align with the new structure. T</w:t>
      </w:r>
      <w:r w:rsidR="00F95111">
        <w:rPr>
          <w:lang w:eastAsia="x-none"/>
        </w:rPr>
        <w:t>he strategy is emphasizing on two key areas i.e. 1) IMDFF-DR</w:t>
      </w:r>
      <w:r>
        <w:rPr>
          <w:lang w:eastAsia="x-none"/>
        </w:rPr>
        <w:t xml:space="preserve"> </w:t>
      </w:r>
      <w:r w:rsidR="00F95111">
        <w:rPr>
          <w:lang w:eastAsia="x-none"/>
        </w:rPr>
        <w:t>to be more self-sufficient for its operation (reduce dependency to donor’s contribution for its operational support) and 2) Improve its strategic roles as a multi-partner coordination platform for non-government funded recovery support intervention. Overall, the summary of ongoing activities managed by the secretariat are as follow:</w:t>
      </w:r>
    </w:p>
    <w:p w14:paraId="21EAF59E" w14:textId="77777777" w:rsidR="00055BD8" w:rsidRDefault="00055BD8" w:rsidP="00F95111">
      <w:pPr>
        <w:ind w:left="709"/>
        <w:jc w:val="both"/>
        <w:rPr>
          <w:lang w:eastAsia="x-none"/>
        </w:rPr>
      </w:pPr>
    </w:p>
    <w:p w14:paraId="4DDD6386" w14:textId="77777777" w:rsidR="00F95111" w:rsidRDefault="00EA0B2A" w:rsidP="005E6A31">
      <w:pPr>
        <w:numPr>
          <w:ilvl w:val="0"/>
          <w:numId w:val="8"/>
        </w:numPr>
        <w:jc w:val="both"/>
        <w:rPr>
          <w:lang w:eastAsia="x-none"/>
        </w:rPr>
      </w:pPr>
      <w:r w:rsidRPr="00EA0B2A">
        <w:rPr>
          <w:lang w:val="en" w:eastAsia="x-none"/>
        </w:rPr>
        <w:t>Preparation of IMDFF-DR SOP</w:t>
      </w:r>
      <w:r w:rsidR="00F95111">
        <w:rPr>
          <w:lang w:eastAsia="x-none"/>
        </w:rPr>
        <w:t xml:space="preserve"> and</w:t>
      </w:r>
      <w:r w:rsidRPr="00EA0B2A">
        <w:rPr>
          <w:lang w:val="en" w:eastAsia="x-none"/>
        </w:rPr>
        <w:t xml:space="preserve"> Strategy</w:t>
      </w:r>
    </w:p>
    <w:p w14:paraId="413FDD34" w14:textId="46488D00" w:rsidR="00000110" w:rsidRPr="00000110" w:rsidRDefault="00EA0B2A" w:rsidP="005E6A31">
      <w:pPr>
        <w:numPr>
          <w:ilvl w:val="0"/>
          <w:numId w:val="8"/>
        </w:numPr>
        <w:jc w:val="both"/>
        <w:rPr>
          <w:lang w:eastAsia="x-none"/>
        </w:rPr>
      </w:pPr>
      <w:r w:rsidRPr="00EA0B2A">
        <w:rPr>
          <w:lang w:val="en" w:eastAsia="x-none"/>
        </w:rPr>
        <w:t>Discussion on the plan for receiving Grants</w:t>
      </w:r>
      <w:r w:rsidR="00987011">
        <w:rPr>
          <w:lang w:val="en" w:eastAsia="x-none"/>
        </w:rPr>
        <w:t xml:space="preserve"> from Government of New Zealand and Government of Qatar</w:t>
      </w:r>
    </w:p>
    <w:p w14:paraId="4A15DF58" w14:textId="77777777" w:rsidR="00055BD8" w:rsidRDefault="00000110" w:rsidP="005E6A31">
      <w:pPr>
        <w:numPr>
          <w:ilvl w:val="0"/>
          <w:numId w:val="8"/>
        </w:numPr>
        <w:jc w:val="both"/>
        <w:rPr>
          <w:lang w:eastAsia="x-none"/>
        </w:rPr>
      </w:pPr>
      <w:r>
        <w:rPr>
          <w:lang w:val="en" w:eastAsia="x-none"/>
        </w:rPr>
        <w:t>F</w:t>
      </w:r>
      <w:r w:rsidR="00055BD8">
        <w:rPr>
          <w:lang w:val="en" w:eastAsia="x-none"/>
        </w:rPr>
        <w:t>acilitate g</w:t>
      </w:r>
      <w:r w:rsidR="00EA0B2A" w:rsidRPr="00EA0B2A">
        <w:rPr>
          <w:lang w:val="en" w:eastAsia="x-none"/>
        </w:rPr>
        <w:t xml:space="preserve">overnance </w:t>
      </w:r>
      <w:r w:rsidR="00055BD8">
        <w:rPr>
          <w:lang w:val="en" w:eastAsia="x-none"/>
        </w:rPr>
        <w:t xml:space="preserve">of grant contribution </w:t>
      </w:r>
      <w:r w:rsidR="00055BD8" w:rsidRPr="00EA0B2A">
        <w:rPr>
          <w:lang w:val="en" w:eastAsia="x-none"/>
        </w:rPr>
        <w:t xml:space="preserve">from the Government of Qatar and the Government of New Zealand </w:t>
      </w:r>
      <w:r w:rsidR="00EA0B2A" w:rsidRPr="00EA0B2A">
        <w:rPr>
          <w:lang w:val="en" w:eastAsia="x-none"/>
        </w:rPr>
        <w:t>for BNPB</w:t>
      </w:r>
      <w:r w:rsidR="00055BD8">
        <w:rPr>
          <w:lang w:eastAsia="x-none"/>
        </w:rPr>
        <w:t>.</w:t>
      </w:r>
    </w:p>
    <w:p w14:paraId="44260970" w14:textId="77777777" w:rsidR="00EF1F75" w:rsidRPr="00055BD8" w:rsidRDefault="00EA0B2A" w:rsidP="005E6A31">
      <w:pPr>
        <w:numPr>
          <w:ilvl w:val="0"/>
          <w:numId w:val="8"/>
        </w:numPr>
        <w:jc w:val="both"/>
        <w:rPr>
          <w:lang w:eastAsia="x-none"/>
        </w:rPr>
      </w:pPr>
      <w:r w:rsidRPr="00EA0B2A">
        <w:rPr>
          <w:lang w:val="en" w:eastAsia="x-none"/>
        </w:rPr>
        <w:t>Carry out regular coordination of the Secretariat and the Technical Team</w:t>
      </w:r>
    </w:p>
    <w:p w14:paraId="0244D8B2" w14:textId="77777777" w:rsidR="00AD406A" w:rsidRDefault="00AD406A" w:rsidP="00055BD8">
      <w:pPr>
        <w:jc w:val="both"/>
        <w:rPr>
          <w:lang w:eastAsia="x-none"/>
        </w:rPr>
      </w:pPr>
    </w:p>
    <w:p w14:paraId="2639D153" w14:textId="77777777" w:rsidR="00AB019C" w:rsidRDefault="00AB019C" w:rsidP="00055BD8">
      <w:pPr>
        <w:jc w:val="both"/>
        <w:rPr>
          <w:lang w:eastAsia="x-none"/>
        </w:rPr>
      </w:pPr>
    </w:p>
    <w:p w14:paraId="13201A86" w14:textId="77777777" w:rsidR="00E954F7" w:rsidRPr="00055BD8" w:rsidRDefault="00E954F7" w:rsidP="005E6A31">
      <w:pPr>
        <w:numPr>
          <w:ilvl w:val="3"/>
          <w:numId w:val="6"/>
        </w:numPr>
        <w:ind w:left="709"/>
        <w:jc w:val="both"/>
        <w:rPr>
          <w:b/>
          <w:lang w:eastAsia="x-none"/>
        </w:rPr>
      </w:pPr>
      <w:r w:rsidRPr="00055BD8">
        <w:rPr>
          <w:b/>
          <w:lang w:eastAsia="x-none"/>
        </w:rPr>
        <w:t>Management Information System (MIS) for monitoring and evaluation of foreign grant management in disaster management is developed and preliminary operationalized by the Secretariat;</w:t>
      </w:r>
    </w:p>
    <w:p w14:paraId="51A64817" w14:textId="77777777" w:rsidR="00FA14BE" w:rsidRDefault="00FA14BE" w:rsidP="00EF1F75">
      <w:pPr>
        <w:ind w:left="709"/>
        <w:jc w:val="both"/>
        <w:rPr>
          <w:lang w:eastAsia="x-none"/>
        </w:rPr>
      </w:pPr>
    </w:p>
    <w:p w14:paraId="73288A25" w14:textId="168BF698" w:rsidR="00EF1F75" w:rsidRPr="00EF1F75" w:rsidRDefault="00FA14BE" w:rsidP="001F7D7E">
      <w:pPr>
        <w:ind w:left="709"/>
        <w:jc w:val="both"/>
        <w:rPr>
          <w:lang w:eastAsia="x-none"/>
        </w:rPr>
      </w:pPr>
      <w:r w:rsidRPr="00EA0B2A">
        <w:rPr>
          <w:lang w:eastAsia="x-none"/>
        </w:rPr>
        <w:t xml:space="preserve">This output intends to support the </w:t>
      </w:r>
      <w:proofErr w:type="spellStart"/>
      <w:r w:rsidRPr="00EA0B2A">
        <w:rPr>
          <w:lang w:eastAsia="x-none"/>
        </w:rPr>
        <w:t>GoI</w:t>
      </w:r>
      <w:proofErr w:type="spellEnd"/>
      <w:r w:rsidRPr="00EA0B2A">
        <w:rPr>
          <w:lang w:eastAsia="x-none"/>
        </w:rPr>
        <w:t xml:space="preserve"> monitoring and evaluation system. </w:t>
      </w:r>
      <w:r>
        <w:rPr>
          <w:lang w:eastAsia="x-none"/>
        </w:rPr>
        <w:t xml:space="preserve">The Secretariat is planning to develop a </w:t>
      </w:r>
      <w:r w:rsidRPr="00EA0B2A">
        <w:rPr>
          <w:lang w:eastAsia="x-none"/>
        </w:rPr>
        <w:t>M</w:t>
      </w:r>
      <w:r>
        <w:rPr>
          <w:lang w:eastAsia="x-none"/>
        </w:rPr>
        <w:t>anagement Information System (M</w:t>
      </w:r>
      <w:r w:rsidRPr="00EA0B2A">
        <w:rPr>
          <w:lang w:eastAsia="x-none"/>
        </w:rPr>
        <w:t>IS</w:t>
      </w:r>
      <w:r>
        <w:rPr>
          <w:lang w:eastAsia="x-none"/>
        </w:rPr>
        <w:t>)</w:t>
      </w:r>
      <w:r w:rsidRPr="00EA0B2A">
        <w:rPr>
          <w:lang w:eastAsia="x-none"/>
        </w:rPr>
        <w:t xml:space="preserve"> system for monitoring and evaluation of foreign grant implementation for Central Sulawesi and NTB. </w:t>
      </w:r>
      <w:r w:rsidR="006E689C">
        <w:rPr>
          <w:lang w:eastAsia="x-none"/>
        </w:rPr>
        <w:t>The MIS scheme has been developed using web-based platform yet still require further technical process to be fully operational</w:t>
      </w:r>
      <w:r w:rsidR="006E689C" w:rsidRPr="00EF1F75">
        <w:rPr>
          <w:lang w:val="en" w:eastAsia="x-none"/>
        </w:rPr>
        <w:t xml:space="preserve">. </w:t>
      </w:r>
      <w:r w:rsidR="006E689C">
        <w:rPr>
          <w:lang w:val="en" w:eastAsia="x-none"/>
        </w:rPr>
        <w:t xml:space="preserve">The </w:t>
      </w:r>
      <w:r w:rsidR="006E689C" w:rsidRPr="00EF1F75">
        <w:rPr>
          <w:lang w:val="en" w:eastAsia="x-none"/>
        </w:rPr>
        <w:t>website requires host</w:t>
      </w:r>
      <w:r w:rsidR="006E689C">
        <w:rPr>
          <w:lang w:val="en" w:eastAsia="x-none"/>
        </w:rPr>
        <w:t xml:space="preserve">ing service </w:t>
      </w:r>
      <w:r w:rsidR="006E689C" w:rsidRPr="00EF1F75">
        <w:rPr>
          <w:lang w:val="en" w:eastAsia="x-none"/>
        </w:rPr>
        <w:t>and additional equipment</w:t>
      </w:r>
      <w:r w:rsidR="00987011">
        <w:rPr>
          <w:lang w:val="en" w:eastAsia="x-none"/>
        </w:rPr>
        <w:t>. To solve this, t</w:t>
      </w:r>
      <w:r w:rsidR="006E689C">
        <w:rPr>
          <w:lang w:val="en" w:eastAsia="x-none"/>
        </w:rPr>
        <w:t xml:space="preserve">he </w:t>
      </w:r>
      <w:r w:rsidR="00987011">
        <w:rPr>
          <w:lang w:val="en" w:eastAsia="x-none"/>
        </w:rPr>
        <w:t>S</w:t>
      </w:r>
      <w:r w:rsidR="006E689C">
        <w:rPr>
          <w:lang w:val="en" w:eastAsia="x-none"/>
        </w:rPr>
        <w:t xml:space="preserve">ecretariat </w:t>
      </w:r>
      <w:r w:rsidR="006E689C" w:rsidRPr="00EF1F75">
        <w:rPr>
          <w:lang w:val="en" w:eastAsia="x-none"/>
        </w:rPr>
        <w:t>has been</w:t>
      </w:r>
      <w:r w:rsidR="006E689C">
        <w:rPr>
          <w:lang w:val="en" w:eastAsia="x-none"/>
        </w:rPr>
        <w:t xml:space="preserve"> </w:t>
      </w:r>
      <w:r w:rsidR="001F7D7E">
        <w:rPr>
          <w:lang w:val="en" w:eastAsia="x-none"/>
        </w:rPr>
        <w:t xml:space="preserve">in </w:t>
      </w:r>
      <w:r w:rsidR="001F7D7E" w:rsidRPr="00EF1F75">
        <w:rPr>
          <w:lang w:val="en" w:eastAsia="x-none"/>
        </w:rPr>
        <w:t>coordination</w:t>
      </w:r>
      <w:r w:rsidR="006E689C">
        <w:rPr>
          <w:lang w:val="en" w:eastAsia="x-none"/>
        </w:rPr>
        <w:t xml:space="preserve"> </w:t>
      </w:r>
      <w:r w:rsidR="006E689C" w:rsidRPr="00EF1F75">
        <w:rPr>
          <w:lang w:val="en" w:eastAsia="x-none"/>
        </w:rPr>
        <w:t xml:space="preserve">with </w:t>
      </w:r>
      <w:r w:rsidR="006E689C">
        <w:rPr>
          <w:lang w:val="en" w:eastAsia="x-none"/>
        </w:rPr>
        <w:t>the Centre for Data, Information and Communication of BNPB (</w:t>
      </w:r>
      <w:r w:rsidR="00987011">
        <w:rPr>
          <w:lang w:val="en" w:eastAsia="x-none"/>
        </w:rPr>
        <w:t>PUSDATINKOM</w:t>
      </w:r>
      <w:r w:rsidR="006E689C">
        <w:rPr>
          <w:lang w:val="en" w:eastAsia="x-none"/>
        </w:rPr>
        <w:t>) to find the best solutions</w:t>
      </w:r>
      <w:r w:rsidR="00987011">
        <w:rPr>
          <w:lang w:val="en" w:eastAsia="x-none"/>
        </w:rPr>
        <w:t>, including possibility of hosting</w:t>
      </w:r>
      <w:r w:rsidR="006E689C">
        <w:rPr>
          <w:lang w:val="en" w:eastAsia="x-none"/>
        </w:rPr>
        <w:t>.</w:t>
      </w:r>
      <w:r w:rsidR="001F7D7E">
        <w:rPr>
          <w:lang w:eastAsia="x-none"/>
        </w:rPr>
        <w:t xml:space="preserve"> In the meantime, the </w:t>
      </w:r>
      <w:r w:rsidR="00987011">
        <w:rPr>
          <w:lang w:eastAsia="x-none"/>
        </w:rPr>
        <w:t>S</w:t>
      </w:r>
      <w:r w:rsidR="001F7D7E">
        <w:rPr>
          <w:lang w:eastAsia="x-none"/>
        </w:rPr>
        <w:t xml:space="preserve">ecretariat continues to prepare and produce </w:t>
      </w:r>
      <w:r w:rsidR="00EF1F75" w:rsidRPr="00EF1F75">
        <w:rPr>
          <w:lang w:val="en" w:eastAsia="x-none"/>
        </w:rPr>
        <w:t>publication materials</w:t>
      </w:r>
      <w:r w:rsidR="001F7D7E">
        <w:rPr>
          <w:lang w:val="en" w:eastAsia="x-none"/>
        </w:rPr>
        <w:t xml:space="preserve"> for visibility purpose</w:t>
      </w:r>
      <w:r w:rsidR="00EF1F75" w:rsidRPr="00EF1F75">
        <w:rPr>
          <w:lang w:val="en" w:eastAsia="x-none"/>
        </w:rPr>
        <w:t xml:space="preserve">. </w:t>
      </w:r>
      <w:r w:rsidR="001F7D7E">
        <w:rPr>
          <w:lang w:val="en" w:eastAsia="x-none"/>
        </w:rPr>
        <w:t>The p</w:t>
      </w:r>
      <w:r w:rsidR="00EF1F75" w:rsidRPr="00EF1F75">
        <w:rPr>
          <w:lang w:val="en" w:eastAsia="x-none"/>
        </w:rPr>
        <w:t>ublication material about IMDFF-DR</w:t>
      </w:r>
      <w:r w:rsidR="001F7D7E">
        <w:rPr>
          <w:lang w:val="en" w:eastAsia="x-none"/>
        </w:rPr>
        <w:t xml:space="preserve"> and its recovery coordination support</w:t>
      </w:r>
      <w:r w:rsidR="00EF1F75" w:rsidRPr="00EF1F75">
        <w:rPr>
          <w:lang w:val="en" w:eastAsia="x-none"/>
        </w:rPr>
        <w:t xml:space="preserve"> ha</w:t>
      </w:r>
      <w:r w:rsidR="001F7D7E">
        <w:rPr>
          <w:lang w:val="en" w:eastAsia="x-none"/>
        </w:rPr>
        <w:t>ve</w:t>
      </w:r>
      <w:r w:rsidR="00EF1F75" w:rsidRPr="00EF1F75">
        <w:rPr>
          <w:lang w:val="en" w:eastAsia="x-none"/>
        </w:rPr>
        <w:t xml:space="preserve"> been compiled</w:t>
      </w:r>
      <w:r w:rsidR="00987011">
        <w:rPr>
          <w:lang w:val="en" w:eastAsia="x-none"/>
        </w:rPr>
        <w:t xml:space="preserve"> and stored in cloud</w:t>
      </w:r>
      <w:r w:rsidR="00987011">
        <w:rPr>
          <w:rStyle w:val="FootnoteReference"/>
          <w:lang w:val="en" w:eastAsia="x-none"/>
        </w:rPr>
        <w:footnoteReference w:id="11"/>
      </w:r>
      <w:r w:rsidR="00987011">
        <w:rPr>
          <w:lang w:val="en" w:eastAsia="x-none"/>
        </w:rPr>
        <w:t xml:space="preserve">  </w:t>
      </w:r>
      <w:r w:rsidR="001C6D4D">
        <w:rPr>
          <w:lang w:val="en" w:eastAsia="x-none"/>
        </w:rPr>
        <w:t xml:space="preserve">. </w:t>
      </w:r>
    </w:p>
    <w:p w14:paraId="7548ADF1" w14:textId="77777777" w:rsidR="00EA0B2A" w:rsidRPr="00EA0B2A" w:rsidRDefault="00EA0B2A" w:rsidP="006E689C">
      <w:pPr>
        <w:ind w:left="709"/>
        <w:jc w:val="both"/>
        <w:rPr>
          <w:lang w:eastAsia="x-none"/>
        </w:rPr>
      </w:pPr>
      <w:r w:rsidRPr="00EA0B2A">
        <w:rPr>
          <w:lang w:eastAsia="x-none"/>
        </w:rPr>
        <w:t xml:space="preserve"> </w:t>
      </w:r>
    </w:p>
    <w:p w14:paraId="0045E42D" w14:textId="4499D901" w:rsidR="00EA0B2A" w:rsidRDefault="006E689C" w:rsidP="00EA0B2A">
      <w:pPr>
        <w:ind w:left="709"/>
        <w:jc w:val="both"/>
        <w:rPr>
          <w:lang w:eastAsia="x-none"/>
        </w:rPr>
      </w:pPr>
      <w:r>
        <w:rPr>
          <w:lang w:eastAsia="x-none"/>
        </w:rPr>
        <w:t>As mentioned in output 1, a c</w:t>
      </w:r>
      <w:r w:rsidR="00EA0B2A" w:rsidRPr="00EA0B2A">
        <w:rPr>
          <w:lang w:eastAsia="x-none"/>
        </w:rPr>
        <w:t xml:space="preserve">ompetent national consultant for </w:t>
      </w:r>
      <w:r w:rsidR="0038085B">
        <w:rPr>
          <w:lang w:eastAsia="x-none"/>
        </w:rPr>
        <w:t xml:space="preserve">Monitoring, Evaluation </w:t>
      </w:r>
      <w:r w:rsidR="0060161D">
        <w:rPr>
          <w:lang w:eastAsia="x-none"/>
        </w:rPr>
        <w:t xml:space="preserve">and </w:t>
      </w:r>
      <w:r>
        <w:rPr>
          <w:lang w:eastAsia="x-none"/>
        </w:rPr>
        <w:t xml:space="preserve">data management has been </w:t>
      </w:r>
      <w:r w:rsidR="00EA0B2A" w:rsidRPr="00EA0B2A">
        <w:rPr>
          <w:lang w:eastAsia="x-none"/>
        </w:rPr>
        <w:t xml:space="preserve">hired to </w:t>
      </w:r>
      <w:r>
        <w:rPr>
          <w:lang w:eastAsia="x-none"/>
        </w:rPr>
        <w:t>improve</w:t>
      </w:r>
      <w:r w:rsidR="00EA0B2A" w:rsidRPr="00EA0B2A">
        <w:rPr>
          <w:lang w:eastAsia="x-none"/>
        </w:rPr>
        <w:t xml:space="preserve"> </w:t>
      </w:r>
      <w:r w:rsidR="0060161D">
        <w:rPr>
          <w:lang w:eastAsia="x-none"/>
        </w:rPr>
        <w:t>M</w:t>
      </w:r>
      <w:r w:rsidR="0038085B">
        <w:rPr>
          <w:lang w:eastAsia="x-none"/>
        </w:rPr>
        <w:t xml:space="preserve">&amp;E and Reporting </w:t>
      </w:r>
      <w:r w:rsidR="00EA0B2A" w:rsidRPr="00EA0B2A">
        <w:rPr>
          <w:lang w:eastAsia="x-none"/>
        </w:rPr>
        <w:t>framework of IMMDF-DR</w:t>
      </w:r>
      <w:r w:rsidR="007B100A">
        <w:rPr>
          <w:lang w:eastAsia="x-none"/>
        </w:rPr>
        <w:t xml:space="preserve"> particularly to ensure reporting from implementing partners are submitted to the Secretariat and formulate regular reporting to internal BNPB and </w:t>
      </w:r>
      <w:proofErr w:type="spellStart"/>
      <w:r w:rsidR="007B100A">
        <w:rPr>
          <w:lang w:eastAsia="x-none"/>
        </w:rPr>
        <w:t>Bappenas</w:t>
      </w:r>
      <w:proofErr w:type="spellEnd"/>
      <w:r w:rsidR="007B100A">
        <w:rPr>
          <w:lang w:eastAsia="x-none"/>
        </w:rPr>
        <w:t>.</w:t>
      </w:r>
      <w:r>
        <w:rPr>
          <w:lang w:eastAsia="x-none"/>
        </w:rPr>
        <w:t xml:space="preserve"> as well as extending </w:t>
      </w:r>
      <w:r w:rsidR="00EA0B2A" w:rsidRPr="00EA0B2A">
        <w:rPr>
          <w:lang w:eastAsia="x-none"/>
        </w:rPr>
        <w:t xml:space="preserve">support to </w:t>
      </w:r>
      <w:r w:rsidR="001F7D7E">
        <w:rPr>
          <w:lang w:eastAsia="x-none"/>
        </w:rPr>
        <w:t xml:space="preserve">ensure </w:t>
      </w:r>
      <w:r w:rsidR="00BD15E8">
        <w:rPr>
          <w:lang w:eastAsia="x-none"/>
        </w:rPr>
        <w:t xml:space="preserve">alignment of </w:t>
      </w:r>
      <w:r w:rsidR="001F7D7E">
        <w:rPr>
          <w:lang w:eastAsia="x-none"/>
        </w:rPr>
        <w:t xml:space="preserve">information with </w:t>
      </w:r>
      <w:proofErr w:type="spellStart"/>
      <w:r w:rsidR="00EA0B2A" w:rsidRPr="00EA0B2A">
        <w:rPr>
          <w:lang w:eastAsia="x-none"/>
        </w:rPr>
        <w:t>Bappenas</w:t>
      </w:r>
      <w:proofErr w:type="spellEnd"/>
      <w:r w:rsidR="00EA0B2A" w:rsidRPr="00EA0B2A">
        <w:rPr>
          <w:lang w:eastAsia="x-none"/>
        </w:rPr>
        <w:t xml:space="preserve"> and BNPB. </w:t>
      </w:r>
    </w:p>
    <w:p w14:paraId="144F3BF0" w14:textId="77777777" w:rsidR="001F7D7E" w:rsidRPr="00EA0B2A" w:rsidRDefault="001F7D7E" w:rsidP="00EA0B2A">
      <w:pPr>
        <w:ind w:left="709"/>
        <w:jc w:val="both"/>
        <w:rPr>
          <w:lang w:eastAsia="x-none"/>
        </w:rPr>
      </w:pPr>
    </w:p>
    <w:p w14:paraId="3EBB1266" w14:textId="77777777" w:rsidR="00EA0B2A" w:rsidRDefault="00EA0B2A" w:rsidP="00EA0B2A">
      <w:pPr>
        <w:ind w:left="709"/>
        <w:jc w:val="both"/>
        <w:rPr>
          <w:lang w:eastAsia="x-none"/>
        </w:rPr>
      </w:pPr>
    </w:p>
    <w:p w14:paraId="29BD9B58" w14:textId="77777777" w:rsidR="00E954F7" w:rsidRPr="00C524EF" w:rsidRDefault="00E954F7" w:rsidP="005E6A31">
      <w:pPr>
        <w:numPr>
          <w:ilvl w:val="3"/>
          <w:numId w:val="6"/>
        </w:numPr>
        <w:ind w:left="709"/>
        <w:jc w:val="both"/>
        <w:rPr>
          <w:b/>
          <w:lang w:eastAsia="x-none"/>
        </w:rPr>
      </w:pPr>
      <w:r w:rsidRPr="00C524EF">
        <w:rPr>
          <w:b/>
          <w:lang w:eastAsia="x-none"/>
        </w:rPr>
        <w:t xml:space="preserve">Operational assistance provided to the Secretariat in coordinating the implementation of Rehabilitation and </w:t>
      </w:r>
      <w:r w:rsidR="00B1382D" w:rsidRPr="00C524EF">
        <w:rPr>
          <w:b/>
          <w:lang w:eastAsia="x-none"/>
        </w:rPr>
        <w:t>Reconstruction interventions</w:t>
      </w:r>
      <w:r w:rsidRPr="00C524EF">
        <w:rPr>
          <w:b/>
          <w:lang w:eastAsia="x-none"/>
        </w:rPr>
        <w:t xml:space="preserve"> funded by foreign grant funding in Central Sulawesi Province and West Nusa Tenggara Province.</w:t>
      </w:r>
    </w:p>
    <w:p w14:paraId="69FD452D" w14:textId="77777777" w:rsidR="00EA0B2A" w:rsidRDefault="00EA0B2A" w:rsidP="00EA0B2A">
      <w:pPr>
        <w:ind w:left="709"/>
        <w:jc w:val="both"/>
        <w:rPr>
          <w:lang w:eastAsia="x-none"/>
        </w:rPr>
      </w:pPr>
    </w:p>
    <w:p w14:paraId="3453B0C1" w14:textId="77777777" w:rsidR="00055BD8" w:rsidRDefault="00726AE9" w:rsidP="005808AF">
      <w:pPr>
        <w:ind w:left="709"/>
        <w:jc w:val="both"/>
        <w:rPr>
          <w:lang w:eastAsia="x-none"/>
        </w:rPr>
      </w:pPr>
      <w:r>
        <w:rPr>
          <w:lang w:eastAsia="x-none"/>
        </w:rPr>
        <w:t>The project is implement</w:t>
      </w:r>
      <w:r w:rsidR="00767A96">
        <w:rPr>
          <w:lang w:eastAsia="x-none"/>
        </w:rPr>
        <w:t>ed</w:t>
      </w:r>
      <w:r>
        <w:rPr>
          <w:lang w:eastAsia="x-none"/>
        </w:rPr>
        <w:t xml:space="preserve"> with Direct Implementation Modality (DIM) whereby </w:t>
      </w:r>
      <w:r w:rsidRPr="00726AE9">
        <w:rPr>
          <w:lang w:val="en-ID" w:eastAsia="x-none"/>
        </w:rPr>
        <w:t xml:space="preserve">UNDP </w:t>
      </w:r>
      <w:r w:rsidR="00767A96">
        <w:rPr>
          <w:lang w:val="en-ID" w:eastAsia="x-none"/>
        </w:rPr>
        <w:t xml:space="preserve">provide </w:t>
      </w:r>
      <w:r w:rsidR="00767A96" w:rsidRPr="00726AE9">
        <w:rPr>
          <w:lang w:val="en-ID" w:eastAsia="x-none"/>
        </w:rPr>
        <w:t>operational</w:t>
      </w:r>
      <w:r w:rsidRPr="00726AE9">
        <w:rPr>
          <w:lang w:val="en-ID" w:eastAsia="x-none"/>
        </w:rPr>
        <w:t xml:space="preserve"> </w:t>
      </w:r>
      <w:r w:rsidR="00767A96">
        <w:rPr>
          <w:lang w:val="en-ID" w:eastAsia="x-none"/>
        </w:rPr>
        <w:t xml:space="preserve">support services for human resource, procurement, </w:t>
      </w:r>
      <w:r w:rsidRPr="00726AE9">
        <w:rPr>
          <w:lang w:val="en-ID" w:eastAsia="x-none"/>
        </w:rPr>
        <w:t>administrative</w:t>
      </w:r>
      <w:r w:rsidR="00767A96">
        <w:rPr>
          <w:lang w:val="en-ID" w:eastAsia="x-none"/>
        </w:rPr>
        <w:t xml:space="preserve">, finance and event organising to the secretariat </w:t>
      </w:r>
      <w:r w:rsidRPr="00726AE9">
        <w:rPr>
          <w:lang w:val="en-ID" w:eastAsia="x-none"/>
        </w:rPr>
        <w:t xml:space="preserve">in order to </w:t>
      </w:r>
      <w:r w:rsidR="00767A96">
        <w:rPr>
          <w:lang w:val="en-ID" w:eastAsia="x-none"/>
        </w:rPr>
        <w:t>deliver</w:t>
      </w:r>
      <w:r w:rsidRPr="00726AE9">
        <w:rPr>
          <w:lang w:val="en-ID" w:eastAsia="x-none"/>
        </w:rPr>
        <w:t xml:space="preserve"> the</w:t>
      </w:r>
      <w:r w:rsidR="00767A96">
        <w:rPr>
          <w:lang w:val="en-ID" w:eastAsia="x-none"/>
        </w:rPr>
        <w:t>ir functions</w:t>
      </w:r>
      <w:r w:rsidRPr="00726AE9">
        <w:rPr>
          <w:lang w:val="en-ID" w:eastAsia="x-none"/>
        </w:rPr>
        <w:t xml:space="preserve">. </w:t>
      </w:r>
      <w:r w:rsidR="00055BD8" w:rsidRPr="00EA0B2A">
        <w:rPr>
          <w:lang w:eastAsia="x-none"/>
        </w:rPr>
        <w:t xml:space="preserve">Two </w:t>
      </w:r>
      <w:r w:rsidR="00767A96">
        <w:rPr>
          <w:lang w:eastAsia="x-none"/>
        </w:rPr>
        <w:t xml:space="preserve">UNDP’s </w:t>
      </w:r>
      <w:r w:rsidR="00055BD8" w:rsidRPr="00EA0B2A">
        <w:rPr>
          <w:lang w:eastAsia="x-none"/>
        </w:rPr>
        <w:t xml:space="preserve">operational support </w:t>
      </w:r>
      <w:r w:rsidR="00767A96">
        <w:rPr>
          <w:lang w:eastAsia="x-none"/>
        </w:rPr>
        <w:t xml:space="preserve">personnel are providing direct operational support services for the </w:t>
      </w:r>
      <w:r w:rsidR="00055BD8" w:rsidRPr="00EA0B2A">
        <w:rPr>
          <w:lang w:eastAsia="x-none"/>
        </w:rPr>
        <w:t>IMDFF-DR secretariat</w:t>
      </w:r>
      <w:r w:rsidR="005808AF" w:rsidRPr="005808AF">
        <w:rPr>
          <w:lang w:eastAsia="x-none"/>
        </w:rPr>
        <w:t xml:space="preserve"> </w:t>
      </w:r>
      <w:r w:rsidR="005808AF">
        <w:rPr>
          <w:lang w:eastAsia="x-none"/>
        </w:rPr>
        <w:t xml:space="preserve">to </w:t>
      </w:r>
      <w:r w:rsidR="005808AF" w:rsidRPr="00EA0B2A">
        <w:rPr>
          <w:lang w:eastAsia="x-none"/>
        </w:rPr>
        <w:t xml:space="preserve">ensure timely delivery of operational inputs required by the secretariat.  </w:t>
      </w:r>
      <w:r w:rsidR="005808AF">
        <w:rPr>
          <w:lang w:val="en-ID" w:eastAsia="x-none"/>
        </w:rPr>
        <w:t xml:space="preserve">The personnel are </w:t>
      </w:r>
      <w:r w:rsidR="005808AF">
        <w:rPr>
          <w:lang w:eastAsia="x-none"/>
        </w:rPr>
        <w:t xml:space="preserve">working closely with </w:t>
      </w:r>
      <w:r w:rsidR="00767A96">
        <w:rPr>
          <w:lang w:eastAsia="x-none"/>
        </w:rPr>
        <w:t xml:space="preserve">the Country Office Operation Unit </w:t>
      </w:r>
      <w:r w:rsidR="005808AF">
        <w:rPr>
          <w:lang w:eastAsia="x-none"/>
        </w:rPr>
        <w:t xml:space="preserve">that responsible to manage the operation business </w:t>
      </w:r>
      <w:proofErr w:type="gramStart"/>
      <w:r w:rsidR="005808AF">
        <w:rPr>
          <w:lang w:eastAsia="x-none"/>
        </w:rPr>
        <w:t xml:space="preserve">processes </w:t>
      </w:r>
      <w:r w:rsidR="00055BD8" w:rsidRPr="00EA0B2A">
        <w:rPr>
          <w:lang w:eastAsia="x-none"/>
        </w:rPr>
        <w:t xml:space="preserve"> </w:t>
      </w:r>
      <w:r w:rsidR="005808AF">
        <w:rPr>
          <w:lang w:eastAsia="x-none"/>
        </w:rPr>
        <w:t>in</w:t>
      </w:r>
      <w:proofErr w:type="gramEnd"/>
      <w:r w:rsidR="005808AF">
        <w:rPr>
          <w:lang w:eastAsia="x-none"/>
        </w:rPr>
        <w:t xml:space="preserve"> accordance to UNDP regulations and </w:t>
      </w:r>
      <w:r w:rsidR="00055BD8" w:rsidRPr="00EA0B2A">
        <w:rPr>
          <w:lang w:eastAsia="x-none"/>
        </w:rPr>
        <w:t>procedures.</w:t>
      </w:r>
      <w:r w:rsidR="00055BD8">
        <w:rPr>
          <w:lang w:eastAsia="x-none"/>
        </w:rPr>
        <w:t xml:space="preserve"> </w:t>
      </w:r>
    </w:p>
    <w:p w14:paraId="09B0BB0D" w14:textId="77777777" w:rsidR="005808AF" w:rsidRDefault="005808AF" w:rsidP="00FC693D">
      <w:pPr>
        <w:jc w:val="both"/>
        <w:rPr>
          <w:lang w:eastAsia="x-none"/>
        </w:rPr>
      </w:pPr>
    </w:p>
    <w:p w14:paraId="5C049A84" w14:textId="77777777" w:rsidR="009708FE" w:rsidRDefault="005808AF" w:rsidP="009708FE">
      <w:pPr>
        <w:ind w:left="709"/>
        <w:jc w:val="both"/>
        <w:rPr>
          <w:lang w:val="en-ID" w:eastAsia="x-none"/>
        </w:rPr>
      </w:pPr>
      <w:r>
        <w:rPr>
          <w:lang w:eastAsia="x-none"/>
        </w:rPr>
        <w:t xml:space="preserve">In general, the operational activities often faced challenges due to the different </w:t>
      </w:r>
      <w:r w:rsidR="009708FE">
        <w:rPr>
          <w:lang w:eastAsia="x-none"/>
        </w:rPr>
        <w:t xml:space="preserve">cost items reference and operating standard </w:t>
      </w:r>
      <w:r>
        <w:rPr>
          <w:lang w:eastAsia="x-none"/>
        </w:rPr>
        <w:t>between UNDP and Government</w:t>
      </w:r>
      <w:r w:rsidR="007751CA">
        <w:rPr>
          <w:lang w:eastAsia="x-none"/>
        </w:rPr>
        <w:t xml:space="preserve"> e.g. </w:t>
      </w:r>
      <w:r w:rsidR="009708FE">
        <w:rPr>
          <w:lang w:eastAsia="x-none"/>
        </w:rPr>
        <w:t xml:space="preserve">cost for </w:t>
      </w:r>
      <w:r w:rsidR="007751CA">
        <w:rPr>
          <w:lang w:eastAsia="x-none"/>
        </w:rPr>
        <w:t>allowance for speaker, eligibility for business class ticketing,</w:t>
      </w:r>
      <w:r w:rsidR="00F160AE">
        <w:rPr>
          <w:lang w:eastAsia="x-none"/>
        </w:rPr>
        <w:t xml:space="preserve"> </w:t>
      </w:r>
      <w:r w:rsidR="00FC693D">
        <w:rPr>
          <w:lang w:eastAsia="x-none"/>
        </w:rPr>
        <w:t>etc. The UN Country Team in Indonesia has established</w:t>
      </w:r>
      <w:r w:rsidR="00F160AE">
        <w:rPr>
          <w:lang w:eastAsia="x-none"/>
        </w:rPr>
        <w:t xml:space="preserve"> policy on</w:t>
      </w:r>
      <w:r w:rsidR="00FC693D">
        <w:rPr>
          <w:lang w:eastAsia="x-none"/>
        </w:rPr>
        <w:t xml:space="preserve"> </w:t>
      </w:r>
      <w:r w:rsidR="00FC693D" w:rsidRPr="00FC693D">
        <w:rPr>
          <w:lang w:val="en-ID" w:eastAsia="x-none"/>
        </w:rPr>
        <w:t xml:space="preserve">UN Indonesia </w:t>
      </w:r>
      <w:r w:rsidR="009708FE">
        <w:rPr>
          <w:lang w:val="en-ID" w:eastAsia="x-none"/>
        </w:rPr>
        <w:t xml:space="preserve">harmonised </w:t>
      </w:r>
      <w:r w:rsidR="00FC693D" w:rsidRPr="00FC693D">
        <w:rPr>
          <w:lang w:val="en-ID" w:eastAsia="x-none"/>
        </w:rPr>
        <w:t>cost parameters for Government Officials</w:t>
      </w:r>
      <w:r w:rsidR="00F160AE">
        <w:rPr>
          <w:lang w:val="en-ID" w:eastAsia="x-none"/>
        </w:rPr>
        <w:t xml:space="preserve"> since 2009</w:t>
      </w:r>
      <w:r w:rsidR="00FC693D">
        <w:rPr>
          <w:lang w:val="en-ID" w:eastAsia="x-none"/>
        </w:rPr>
        <w:t xml:space="preserve"> and</w:t>
      </w:r>
      <w:r w:rsidR="00F160AE">
        <w:rPr>
          <w:lang w:val="en-ID" w:eastAsia="x-none"/>
        </w:rPr>
        <w:t xml:space="preserve"> frequently updated to follow unit cost exchange in country</w:t>
      </w:r>
      <w:r w:rsidR="009708FE">
        <w:rPr>
          <w:lang w:val="en-ID" w:eastAsia="x-none"/>
        </w:rPr>
        <w:t xml:space="preserve">. However, this update is not at the same </w:t>
      </w:r>
      <w:r w:rsidR="007F4F81">
        <w:rPr>
          <w:lang w:val="en-ID" w:eastAsia="x-none"/>
        </w:rPr>
        <w:t>cycle of government’s unit rate updat</w:t>
      </w:r>
      <w:r w:rsidR="009708FE">
        <w:rPr>
          <w:lang w:val="en-ID" w:eastAsia="x-none"/>
        </w:rPr>
        <w:t>e, i.e. on annual basis</w:t>
      </w:r>
      <w:r w:rsidR="00F160AE">
        <w:rPr>
          <w:lang w:val="en-ID" w:eastAsia="x-none"/>
        </w:rPr>
        <w:t>.</w:t>
      </w:r>
      <w:r w:rsidR="00FC693D">
        <w:rPr>
          <w:lang w:val="en-ID" w:eastAsia="x-none"/>
        </w:rPr>
        <w:t xml:space="preserve"> </w:t>
      </w:r>
    </w:p>
    <w:p w14:paraId="37A8AE05" w14:textId="77777777" w:rsidR="009708FE" w:rsidRDefault="009708FE" w:rsidP="009708FE">
      <w:pPr>
        <w:ind w:left="709"/>
        <w:jc w:val="both"/>
        <w:rPr>
          <w:lang w:val="en-ID" w:eastAsia="x-none"/>
        </w:rPr>
      </w:pPr>
    </w:p>
    <w:p w14:paraId="5D28B727" w14:textId="77777777" w:rsidR="005808AF" w:rsidRPr="009708FE" w:rsidRDefault="007751CA" w:rsidP="009708FE">
      <w:pPr>
        <w:ind w:left="709"/>
        <w:jc w:val="both"/>
        <w:rPr>
          <w:lang w:eastAsia="x-none"/>
        </w:rPr>
      </w:pPr>
      <w:r>
        <w:rPr>
          <w:lang w:eastAsia="x-none"/>
        </w:rPr>
        <w:t>UNDP</w:t>
      </w:r>
      <w:r w:rsidR="00FC693D">
        <w:rPr>
          <w:lang w:eastAsia="x-none"/>
        </w:rPr>
        <w:t xml:space="preserve"> obliged to follow th</w:t>
      </w:r>
      <w:r w:rsidR="009708FE">
        <w:rPr>
          <w:lang w:eastAsia="x-none"/>
        </w:rPr>
        <w:t>ese</w:t>
      </w:r>
      <w:r w:rsidR="00FC693D">
        <w:rPr>
          <w:lang w:eastAsia="x-none"/>
        </w:rPr>
        <w:t xml:space="preserve"> </w:t>
      </w:r>
      <w:r w:rsidR="009708FE">
        <w:rPr>
          <w:lang w:eastAsia="x-none"/>
        </w:rPr>
        <w:t xml:space="preserve">harmonized parameters </w:t>
      </w:r>
      <w:r w:rsidR="00FC693D">
        <w:rPr>
          <w:lang w:eastAsia="x-none"/>
        </w:rPr>
        <w:t>for any activities that constitute provision of allowance</w:t>
      </w:r>
      <w:r w:rsidR="009708FE">
        <w:rPr>
          <w:lang w:eastAsia="x-none"/>
        </w:rPr>
        <w:t>s</w:t>
      </w:r>
      <w:r w:rsidR="00FC693D">
        <w:rPr>
          <w:lang w:eastAsia="x-none"/>
        </w:rPr>
        <w:t xml:space="preserve"> for government off</w:t>
      </w:r>
      <w:r w:rsidR="00F160AE">
        <w:rPr>
          <w:lang w:eastAsia="x-none"/>
        </w:rPr>
        <w:t xml:space="preserve">icials. </w:t>
      </w:r>
      <w:r w:rsidR="009708FE">
        <w:rPr>
          <w:lang w:eastAsia="x-none"/>
        </w:rPr>
        <w:t xml:space="preserve">Nevertheless, challenge </w:t>
      </w:r>
      <w:proofErr w:type="gramStart"/>
      <w:r w:rsidR="009708FE">
        <w:rPr>
          <w:lang w:eastAsia="x-none"/>
        </w:rPr>
        <w:t>still remains</w:t>
      </w:r>
      <w:proofErr w:type="gramEnd"/>
      <w:r w:rsidR="009708FE">
        <w:rPr>
          <w:lang w:eastAsia="x-none"/>
        </w:rPr>
        <w:t xml:space="preserve"> on different understanding from government officials about the parameters </w:t>
      </w:r>
      <w:r>
        <w:rPr>
          <w:lang w:eastAsia="x-none"/>
        </w:rPr>
        <w:t>and</w:t>
      </w:r>
      <w:r w:rsidR="00F160AE">
        <w:rPr>
          <w:lang w:eastAsia="x-none"/>
        </w:rPr>
        <w:t xml:space="preserve"> UNDP operation policies.</w:t>
      </w:r>
      <w:r w:rsidR="0083676B">
        <w:rPr>
          <w:lang w:eastAsia="x-none"/>
        </w:rPr>
        <w:t xml:space="preserve"> </w:t>
      </w:r>
      <w:r w:rsidR="009708FE">
        <w:rPr>
          <w:lang w:eastAsia="x-none"/>
        </w:rPr>
        <w:t xml:space="preserve">To solve this, </w:t>
      </w:r>
      <w:r w:rsidR="0083676B">
        <w:rPr>
          <w:lang w:eastAsia="x-none"/>
        </w:rPr>
        <w:t>UNDP provide</w:t>
      </w:r>
      <w:r w:rsidR="009708FE">
        <w:rPr>
          <w:lang w:eastAsia="x-none"/>
        </w:rPr>
        <w:t>d</w:t>
      </w:r>
      <w:r w:rsidR="0083676B">
        <w:rPr>
          <w:lang w:eastAsia="x-none"/>
        </w:rPr>
        <w:t xml:space="preserve"> </w:t>
      </w:r>
      <w:r w:rsidR="00F160AE">
        <w:rPr>
          <w:lang w:eastAsia="x-none"/>
        </w:rPr>
        <w:t xml:space="preserve">explanation </w:t>
      </w:r>
      <w:r w:rsidR="009708FE">
        <w:rPr>
          <w:lang w:eastAsia="x-none"/>
        </w:rPr>
        <w:t xml:space="preserve">in advance </w:t>
      </w:r>
      <w:r w:rsidR="00F160AE">
        <w:rPr>
          <w:lang w:eastAsia="x-none"/>
        </w:rPr>
        <w:t>of the</w:t>
      </w:r>
      <w:r w:rsidR="0083676B">
        <w:rPr>
          <w:lang w:eastAsia="x-none"/>
        </w:rPr>
        <w:t xml:space="preserve"> relevant </w:t>
      </w:r>
      <w:r w:rsidR="00F160AE">
        <w:rPr>
          <w:lang w:eastAsia="x-none"/>
        </w:rPr>
        <w:t>policies</w:t>
      </w:r>
      <w:r w:rsidR="0083676B">
        <w:rPr>
          <w:lang w:eastAsia="x-none"/>
        </w:rPr>
        <w:t xml:space="preserve"> e.g. travel allowance, per diem, ticket booking, to all government officials and obtain</w:t>
      </w:r>
      <w:r w:rsidR="009708FE">
        <w:rPr>
          <w:lang w:eastAsia="x-none"/>
        </w:rPr>
        <w:t>ed</w:t>
      </w:r>
      <w:r w:rsidR="0083676B">
        <w:rPr>
          <w:lang w:eastAsia="x-none"/>
        </w:rPr>
        <w:t xml:space="preserve"> their </w:t>
      </w:r>
      <w:r w:rsidR="009708FE">
        <w:rPr>
          <w:lang w:eastAsia="x-none"/>
        </w:rPr>
        <w:t xml:space="preserve">prior </w:t>
      </w:r>
      <w:r w:rsidR="0083676B">
        <w:rPr>
          <w:lang w:eastAsia="x-none"/>
        </w:rPr>
        <w:t>consent to accept the policy.</w:t>
      </w:r>
    </w:p>
    <w:p w14:paraId="7E073BFD" w14:textId="77777777" w:rsidR="00E954F7" w:rsidRPr="00E954F7" w:rsidRDefault="00E954F7" w:rsidP="00E954F7">
      <w:pPr>
        <w:jc w:val="both"/>
        <w:rPr>
          <w:lang w:eastAsia="x-none"/>
        </w:rPr>
      </w:pPr>
    </w:p>
    <w:p w14:paraId="76955D88" w14:textId="77777777" w:rsidR="00E954F7" w:rsidRPr="00E954F7" w:rsidRDefault="00E954F7" w:rsidP="00E954F7">
      <w:pPr>
        <w:ind w:left="284"/>
        <w:jc w:val="both"/>
        <w:rPr>
          <w:lang w:val="x-none" w:eastAsia="x-none"/>
        </w:rPr>
      </w:pPr>
    </w:p>
    <w:p w14:paraId="5B3217BA" w14:textId="77777777" w:rsidR="00C416C0" w:rsidRDefault="00C416C0" w:rsidP="00C416C0">
      <w:pPr>
        <w:pStyle w:val="BodyText"/>
        <w:tabs>
          <w:tab w:val="left" w:pos="360"/>
        </w:tabs>
        <w:ind w:left="720"/>
        <w:jc w:val="both"/>
        <w:rPr>
          <w:rFonts w:ascii="Times New Roman" w:hAnsi="Times New Roman"/>
          <w:bCs/>
          <w:sz w:val="24"/>
        </w:rPr>
        <w:sectPr w:rsidR="00C416C0" w:rsidSect="001114B2">
          <w:footerReference w:type="default" r:id="rId11"/>
          <w:footerReference w:type="first" r:id="rId12"/>
          <w:pgSz w:w="12240" w:h="15840" w:code="1"/>
          <w:pgMar w:top="540" w:right="990" w:bottom="851" w:left="806" w:header="720" w:footer="418" w:gutter="0"/>
          <w:cols w:space="720"/>
          <w:docGrid w:linePitch="360"/>
        </w:sectPr>
      </w:pPr>
    </w:p>
    <w:p w14:paraId="2BC51503" w14:textId="77777777" w:rsidR="0075020C" w:rsidRDefault="0075020C" w:rsidP="00C416C0">
      <w:pPr>
        <w:pStyle w:val="BodyText"/>
        <w:tabs>
          <w:tab w:val="left" w:pos="360"/>
        </w:tabs>
        <w:ind w:left="720"/>
        <w:jc w:val="both"/>
        <w:rPr>
          <w:rFonts w:ascii="Times New Roman" w:hAnsi="Times New Roman"/>
          <w:bCs/>
          <w:sz w:val="24"/>
        </w:rPr>
      </w:pPr>
    </w:p>
    <w:p w14:paraId="42C3D0C8" w14:textId="77777777" w:rsidR="0075020C" w:rsidRPr="00C416C0" w:rsidRDefault="00D542AE" w:rsidP="0075020C">
      <w:pPr>
        <w:pStyle w:val="BodyText"/>
        <w:tabs>
          <w:tab w:val="left" w:pos="360"/>
        </w:tabs>
        <w:jc w:val="both"/>
        <w:rPr>
          <w:rFonts w:ascii="Times New Roman" w:hAnsi="Times New Roman"/>
          <w:bCs/>
          <w:sz w:val="24"/>
        </w:rPr>
      </w:pPr>
      <w:r>
        <w:rPr>
          <w:noProof/>
        </w:rPr>
        <mc:AlternateContent>
          <mc:Choice Requires="wps">
            <w:drawing>
              <wp:anchor distT="0" distB="0" distL="114300" distR="114300" simplePos="0" relativeHeight="251659776" behindDoc="0" locked="0" layoutInCell="1" allowOverlap="1" wp14:anchorId="126D9BC0" wp14:editId="11FCBE43">
                <wp:simplePos x="0" y="0"/>
                <wp:positionH relativeFrom="column">
                  <wp:posOffset>-518160</wp:posOffset>
                </wp:positionH>
                <wp:positionV relativeFrom="paragraph">
                  <wp:posOffset>-178435</wp:posOffset>
                </wp:positionV>
                <wp:extent cx="9446260" cy="291465"/>
                <wp:effectExtent l="0" t="0" r="2540" b="63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446260" cy="291465"/>
                        </a:xfrm>
                        <a:prstGeom prst="rect">
                          <a:avLst/>
                        </a:prstGeom>
                        <a:solidFill>
                          <a:srgbClr val="F2F2F2"/>
                        </a:solidFill>
                        <a:ln w="9525">
                          <a:solidFill>
                            <a:srgbClr val="D8D8D8"/>
                          </a:solidFill>
                          <a:miter lim="800000"/>
                          <a:headEnd/>
                          <a:tailEnd/>
                        </a:ln>
                      </wps:spPr>
                      <wps:txbx>
                        <w:txbxContent>
                          <w:p w14:paraId="22181A61" w14:textId="77777777" w:rsidR="0075020C" w:rsidRPr="001613F4" w:rsidRDefault="0075020C" w:rsidP="0075020C">
                            <w:pPr>
                              <w:jc w:val="center"/>
                              <w:rPr>
                                <w:b/>
                              </w:rPr>
                            </w:pPr>
                            <w:r>
                              <w:rPr>
                                <w:b/>
                              </w:rPr>
                              <w:t>ii) Indicator Based Performance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D9BC0" id="_x0000_t202" coordsize="21600,21600" o:spt="202" path="m,l,21600r21600,l21600,xe">
                <v:stroke joinstyle="miter"/>
                <v:path gradientshapeok="t" o:connecttype="rect"/>
              </v:shapetype>
              <v:shape id="Text Box 6" o:spid="_x0000_s1026" type="#_x0000_t202" style="position:absolute;left:0;text-align:left;margin-left:-40.8pt;margin-top:-14.05pt;width:743.8pt;height:2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" fillcolor="#f2f2f2" strokecolor="#d8d8d8">
                <v:path arrowok="t"/>
                <v:textbox>
                  <w:txbxContent>
                    <w:p w14:paraId="22181A61" w14:textId="77777777" w:rsidR="0075020C" w:rsidRPr="001613F4" w:rsidRDefault="0075020C" w:rsidP="0075020C">
                      <w:pPr>
                        <w:jc w:val="center"/>
                        <w:rPr>
                          <w:b/>
                        </w:rPr>
                      </w:pPr>
                      <w:r>
                        <w:rPr>
                          <w:b/>
                        </w:rPr>
                        <w:t>ii) Indicator Based Performance Assessment:</w:t>
                      </w:r>
                    </w:p>
                  </w:txbxContent>
                </v:textbox>
              </v:shape>
            </w:pict>
          </mc:Fallback>
        </mc:AlternateContent>
      </w:r>
    </w:p>
    <w:p w14:paraId="6D2D6770" w14:textId="32430090" w:rsidR="0075020C" w:rsidRDefault="0075020C" w:rsidP="0075020C">
      <w:pPr>
        <w:pStyle w:val="BodyText"/>
        <w:jc w:val="both"/>
        <w:rPr>
          <w:rFonts w:ascii="Times New Roman" w:hAnsi="Times New Roman"/>
          <w:bCs/>
          <w:sz w:val="24"/>
        </w:rPr>
      </w:pPr>
      <w:r w:rsidRPr="007C14A5">
        <w:rPr>
          <w:rFonts w:ascii="Times New Roman" w:hAnsi="Times New Roman"/>
          <w:bCs/>
          <w:sz w:val="24"/>
        </w:rPr>
        <w:t>.</w:t>
      </w:r>
      <w:r>
        <w:rPr>
          <w:rFonts w:ascii="Times New Roman" w:hAnsi="Times New Roman"/>
          <w:bCs/>
          <w:sz w:val="24"/>
        </w:rPr>
        <w:t xml:space="preserve"> </w:t>
      </w:r>
    </w:p>
    <w:p w14:paraId="01E62B47" w14:textId="77777777" w:rsidR="0075020C" w:rsidRDefault="0075020C" w:rsidP="0075020C">
      <w:pPr>
        <w:pStyle w:val="BodyText"/>
        <w:jc w:val="both"/>
        <w:rPr>
          <w:rFonts w:ascii="Times New Roman" w:hAnsi="Times New Roman"/>
          <w:bCs/>
          <w:sz w:val="24"/>
        </w:rPr>
      </w:pPr>
    </w:p>
    <w:tbl>
      <w:tblPr>
        <w:tblW w:w="148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5"/>
        <w:gridCol w:w="3745"/>
        <w:gridCol w:w="3960"/>
        <w:gridCol w:w="2857"/>
      </w:tblGrid>
      <w:tr w:rsidR="0075020C" w:rsidRPr="008B5E99" w14:paraId="7D54C72A" w14:textId="77777777" w:rsidTr="0075020C">
        <w:trPr>
          <w:tblHeader/>
          <w:jc w:val="center"/>
        </w:trPr>
        <w:tc>
          <w:tcPr>
            <w:tcW w:w="4265" w:type="dxa"/>
            <w:tcBorders>
              <w:bottom w:val="single" w:sz="4" w:space="0" w:color="000000"/>
            </w:tcBorders>
            <w:shd w:val="clear" w:color="auto" w:fill="auto"/>
          </w:tcPr>
          <w:p w14:paraId="7616F25F" w14:textId="77777777" w:rsidR="0075020C" w:rsidRPr="008B5E99" w:rsidRDefault="0075020C" w:rsidP="005E6A31">
            <w:pPr>
              <w:pStyle w:val="BodyText"/>
              <w:jc w:val="both"/>
              <w:rPr>
                <w:rFonts w:ascii="Times New Roman" w:hAnsi="Times New Roman" w:cs="Times New Roman"/>
                <w:bCs/>
                <w:sz w:val="24"/>
                <w:szCs w:val="24"/>
              </w:rPr>
            </w:pPr>
          </w:p>
        </w:tc>
        <w:tc>
          <w:tcPr>
            <w:tcW w:w="3745" w:type="dxa"/>
            <w:tcBorders>
              <w:bottom w:val="single" w:sz="4" w:space="0" w:color="000000"/>
            </w:tcBorders>
            <w:shd w:val="clear" w:color="auto" w:fill="auto"/>
          </w:tcPr>
          <w:p w14:paraId="695D0D77" w14:textId="77777777" w:rsidR="0075020C" w:rsidRPr="008B5E99" w:rsidRDefault="0075020C" w:rsidP="005E6A31">
            <w:pPr>
              <w:jc w:val="center"/>
              <w:rPr>
                <w:b/>
              </w:rPr>
            </w:pPr>
            <w:r w:rsidRPr="008B5E99">
              <w:rPr>
                <w:b/>
                <w:u w:val="single"/>
              </w:rPr>
              <w:t>Achieved</w:t>
            </w:r>
            <w:r w:rsidRPr="008B5E99">
              <w:rPr>
                <w:b/>
              </w:rPr>
              <w:t xml:space="preserve"> Indicator Targets</w:t>
            </w:r>
          </w:p>
        </w:tc>
        <w:tc>
          <w:tcPr>
            <w:tcW w:w="3960" w:type="dxa"/>
            <w:tcBorders>
              <w:bottom w:val="single" w:sz="4" w:space="0" w:color="000000"/>
            </w:tcBorders>
            <w:shd w:val="clear" w:color="auto" w:fill="auto"/>
          </w:tcPr>
          <w:p w14:paraId="31DA6ED0" w14:textId="77777777" w:rsidR="0075020C" w:rsidRPr="008B5E99" w:rsidRDefault="0075020C" w:rsidP="005E6A31">
            <w:pPr>
              <w:jc w:val="center"/>
              <w:rPr>
                <w:b/>
              </w:rPr>
            </w:pPr>
            <w:r w:rsidRPr="008B5E99">
              <w:rPr>
                <w:b/>
              </w:rPr>
              <w:t>Reasons for Variance with Planned Target (if any)</w:t>
            </w:r>
          </w:p>
        </w:tc>
        <w:tc>
          <w:tcPr>
            <w:tcW w:w="2857" w:type="dxa"/>
            <w:tcBorders>
              <w:bottom w:val="single" w:sz="4" w:space="0" w:color="000000"/>
            </w:tcBorders>
            <w:shd w:val="clear" w:color="auto" w:fill="auto"/>
          </w:tcPr>
          <w:p w14:paraId="23DA0093" w14:textId="77777777" w:rsidR="0075020C" w:rsidRPr="008B5E99" w:rsidRDefault="0075020C" w:rsidP="005E6A31">
            <w:pPr>
              <w:jc w:val="center"/>
              <w:rPr>
                <w:b/>
              </w:rPr>
            </w:pPr>
            <w:r w:rsidRPr="008B5E99">
              <w:rPr>
                <w:b/>
              </w:rPr>
              <w:t>Source of Verification</w:t>
            </w:r>
          </w:p>
        </w:tc>
      </w:tr>
      <w:tr w:rsidR="0075020C" w:rsidRPr="008B5E99" w14:paraId="1D1B122A" w14:textId="77777777" w:rsidTr="0075020C">
        <w:trPr>
          <w:jc w:val="center"/>
        </w:trPr>
        <w:tc>
          <w:tcPr>
            <w:tcW w:w="4265" w:type="dxa"/>
            <w:shd w:val="pct15" w:color="auto" w:fill="auto"/>
          </w:tcPr>
          <w:p w14:paraId="38698634" w14:textId="77777777" w:rsidR="0075020C" w:rsidRPr="008B5E99" w:rsidRDefault="0075020C" w:rsidP="005E6A31">
            <w:pPr>
              <w:rPr>
                <w:b/>
              </w:rPr>
            </w:pPr>
            <w:r w:rsidRPr="008B5E99">
              <w:rPr>
                <w:b/>
              </w:rPr>
              <w:t>Outcome 1</w:t>
            </w:r>
            <w:r w:rsidRPr="008B5E99">
              <w:rPr>
                <w:rStyle w:val="FootnoteReference"/>
                <w:b/>
              </w:rPr>
              <w:footnoteReference w:id="12"/>
            </w:r>
          </w:p>
          <w:p w14:paraId="434E3AC1" w14:textId="77777777" w:rsidR="0075020C" w:rsidRPr="008B5E99" w:rsidRDefault="0075020C" w:rsidP="005E6A31">
            <w:pPr>
              <w:rPr>
                <w:b/>
                <w:lang w:eastAsia="x-none"/>
              </w:rPr>
            </w:pPr>
            <w:r w:rsidRPr="008B5E99">
              <w:rPr>
                <w:b/>
                <w:lang w:eastAsia="x-none"/>
              </w:rPr>
              <w:t>The Government of Indonesia is capacitated to manage grant funding contribution from bilateral/multilateral donors and implementation of efficient and effective recovery measures in Central Sulawesi and NTB.</w:t>
            </w:r>
          </w:p>
          <w:p w14:paraId="2B30CAFE" w14:textId="77777777" w:rsidR="0075020C" w:rsidRPr="008B5E99" w:rsidRDefault="0075020C" w:rsidP="005E6A31">
            <w:pPr>
              <w:rPr>
                <w:b/>
              </w:rPr>
            </w:pPr>
          </w:p>
          <w:p w14:paraId="09E833B1" w14:textId="77777777" w:rsidR="0075020C" w:rsidRPr="008B5E99" w:rsidRDefault="0075020C" w:rsidP="005E6A31">
            <w:pPr>
              <w:rPr>
                <w:b/>
              </w:rPr>
            </w:pPr>
            <w:r w:rsidRPr="008B5E99">
              <w:rPr>
                <w:b/>
              </w:rPr>
              <w:t xml:space="preserve">Indicator: </w:t>
            </w:r>
          </w:p>
          <w:p w14:paraId="2C13B05E" w14:textId="77777777" w:rsidR="0075020C" w:rsidRPr="008B5E99" w:rsidRDefault="008B5E99" w:rsidP="005E6A31">
            <w:pPr>
              <w:pStyle w:val="ListParagraph"/>
              <w:numPr>
                <w:ilvl w:val="0"/>
                <w:numId w:val="10"/>
              </w:numPr>
              <w:rPr>
                <w:bCs/>
              </w:rPr>
            </w:pPr>
            <w:r>
              <w:rPr>
                <w:bCs/>
              </w:rPr>
              <w:t>I</w:t>
            </w:r>
            <w:r w:rsidR="0075020C" w:rsidRPr="008B5E99">
              <w:rPr>
                <w:bCs/>
              </w:rPr>
              <w:t>nstitutional arrangement and governance of IMDFF-DR implementation is formulated and endorsed by Technical Committee.</w:t>
            </w:r>
          </w:p>
          <w:p w14:paraId="0A61E04A" w14:textId="77777777" w:rsidR="00A80283" w:rsidRPr="008B5E99" w:rsidRDefault="00A80283" w:rsidP="008B5E99">
            <w:pPr>
              <w:pStyle w:val="ListParagraph"/>
              <w:ind w:left="612" w:hanging="612"/>
              <w:rPr>
                <w:bCs/>
              </w:rPr>
            </w:pPr>
          </w:p>
          <w:p w14:paraId="67E63E10" w14:textId="77777777" w:rsidR="00BD35CF" w:rsidRPr="008B5E99" w:rsidRDefault="00BD35CF" w:rsidP="005E6A31">
            <w:pPr>
              <w:pStyle w:val="ListParagraph"/>
              <w:numPr>
                <w:ilvl w:val="0"/>
                <w:numId w:val="10"/>
              </w:numPr>
              <w:rPr>
                <w:bCs/>
              </w:rPr>
            </w:pPr>
            <w:r w:rsidRPr="008B5E99">
              <w:rPr>
                <w:bCs/>
              </w:rPr>
              <w:t xml:space="preserve">Extend to which the IMDFF-DR is fully </w:t>
            </w:r>
            <w:proofErr w:type="gramStart"/>
            <w:r w:rsidRPr="008B5E99">
              <w:rPr>
                <w:bCs/>
              </w:rPr>
              <w:t>sufficient</w:t>
            </w:r>
            <w:proofErr w:type="gramEnd"/>
            <w:r w:rsidRPr="008B5E99">
              <w:rPr>
                <w:bCs/>
              </w:rPr>
              <w:t xml:space="preserve"> to continue undertaking its roles.</w:t>
            </w:r>
          </w:p>
          <w:p w14:paraId="06E7DB16" w14:textId="77777777" w:rsidR="0075020C" w:rsidRPr="008B5E99" w:rsidRDefault="0075020C" w:rsidP="005E6A31">
            <w:pPr>
              <w:rPr>
                <w:b/>
              </w:rPr>
            </w:pPr>
          </w:p>
          <w:p w14:paraId="07CC845B" w14:textId="77777777" w:rsidR="0075020C" w:rsidRPr="008B5E99" w:rsidRDefault="0075020C" w:rsidP="005E6A31">
            <w:pPr>
              <w:rPr>
                <w:b/>
              </w:rPr>
            </w:pPr>
            <w:r w:rsidRPr="008B5E99">
              <w:rPr>
                <w:b/>
              </w:rPr>
              <w:t>Baseline:</w:t>
            </w:r>
          </w:p>
          <w:p w14:paraId="4BFE54B9" w14:textId="77777777" w:rsidR="008B5E99" w:rsidRDefault="00A80283" w:rsidP="005E6A31">
            <w:pPr>
              <w:numPr>
                <w:ilvl w:val="0"/>
                <w:numId w:val="29"/>
              </w:numPr>
              <w:ind w:left="328"/>
              <w:rPr>
                <w:bCs/>
              </w:rPr>
            </w:pPr>
            <w:r w:rsidRPr="008B5E99">
              <w:rPr>
                <w:bCs/>
              </w:rPr>
              <w:t xml:space="preserve">Restructuration of organization in </w:t>
            </w:r>
            <w:proofErr w:type="spellStart"/>
            <w:r w:rsidRPr="008B5E99">
              <w:rPr>
                <w:bCs/>
              </w:rPr>
              <w:t>Bappenas</w:t>
            </w:r>
            <w:proofErr w:type="spellEnd"/>
            <w:r w:rsidRPr="008B5E99">
              <w:rPr>
                <w:bCs/>
              </w:rPr>
              <w:t>, BNPB, and other line ministry following the new cabinet structure.</w:t>
            </w:r>
          </w:p>
          <w:p w14:paraId="770529DA" w14:textId="77777777" w:rsidR="008B5E99" w:rsidRDefault="008B5E99" w:rsidP="008B5E99">
            <w:pPr>
              <w:ind w:left="328"/>
              <w:rPr>
                <w:bCs/>
              </w:rPr>
            </w:pPr>
          </w:p>
          <w:p w14:paraId="1C237893" w14:textId="77777777" w:rsidR="0075020C" w:rsidRPr="001B5C4F" w:rsidRDefault="00A80283" w:rsidP="003A145D">
            <w:pPr>
              <w:numPr>
                <w:ilvl w:val="0"/>
                <w:numId w:val="29"/>
              </w:numPr>
              <w:ind w:left="328"/>
              <w:rPr>
                <w:b/>
              </w:rPr>
            </w:pPr>
            <w:r w:rsidRPr="001B5C4F">
              <w:rPr>
                <w:bCs/>
              </w:rPr>
              <w:t xml:space="preserve">The </w:t>
            </w:r>
            <w:proofErr w:type="spellStart"/>
            <w:r w:rsidRPr="001B5C4F">
              <w:rPr>
                <w:bCs/>
              </w:rPr>
              <w:t>GoI</w:t>
            </w:r>
            <w:proofErr w:type="spellEnd"/>
            <w:r w:rsidRPr="001B5C4F">
              <w:rPr>
                <w:bCs/>
              </w:rPr>
              <w:t xml:space="preserve"> activated the IMDFF-DR as a financing facility to facilitate and coordinate the utilization grant funding contribution</w:t>
            </w:r>
          </w:p>
          <w:p w14:paraId="17D553EE" w14:textId="77777777" w:rsidR="001B5C4F" w:rsidRDefault="001B5C4F" w:rsidP="001B5C4F">
            <w:pPr>
              <w:pStyle w:val="ListParagraph"/>
              <w:rPr>
                <w:b/>
              </w:rPr>
            </w:pPr>
          </w:p>
          <w:p w14:paraId="6E019199" w14:textId="77777777" w:rsidR="001B5C4F" w:rsidRPr="001B5C4F" w:rsidRDefault="001B5C4F" w:rsidP="001B5C4F">
            <w:pPr>
              <w:ind w:left="328"/>
              <w:rPr>
                <w:b/>
              </w:rPr>
            </w:pPr>
          </w:p>
          <w:p w14:paraId="4D3B8701" w14:textId="77777777" w:rsidR="0075020C" w:rsidRPr="008B5E99" w:rsidRDefault="0075020C" w:rsidP="005E6A31">
            <w:pPr>
              <w:rPr>
                <w:b/>
              </w:rPr>
            </w:pPr>
            <w:r w:rsidRPr="008B5E99">
              <w:rPr>
                <w:b/>
              </w:rPr>
              <w:t xml:space="preserve">Planned Target: </w:t>
            </w:r>
          </w:p>
          <w:p w14:paraId="7FB704E8" w14:textId="77777777" w:rsidR="00501B14" w:rsidRPr="008B5E99" w:rsidRDefault="00501B14" w:rsidP="005E6A31">
            <w:pPr>
              <w:pStyle w:val="BodyText"/>
              <w:numPr>
                <w:ilvl w:val="0"/>
                <w:numId w:val="12"/>
              </w:numPr>
              <w:ind w:left="315"/>
              <w:rPr>
                <w:rFonts w:ascii="Times New Roman" w:hAnsi="Times New Roman" w:cs="Times New Roman"/>
                <w:bCs/>
                <w:sz w:val="24"/>
                <w:szCs w:val="24"/>
              </w:rPr>
            </w:pPr>
            <w:r w:rsidRPr="00501B14">
              <w:rPr>
                <w:rFonts w:ascii="Times New Roman" w:hAnsi="Times New Roman" w:cs="Times New Roman"/>
                <w:bCs/>
                <w:sz w:val="24"/>
                <w:szCs w:val="24"/>
              </w:rPr>
              <w:t xml:space="preserve">Coordinate with Legal Bureau </w:t>
            </w:r>
            <w:proofErr w:type="spellStart"/>
            <w:r w:rsidRPr="00501B14">
              <w:rPr>
                <w:rFonts w:ascii="Times New Roman" w:hAnsi="Times New Roman" w:cs="Times New Roman"/>
                <w:bCs/>
                <w:sz w:val="24"/>
                <w:szCs w:val="24"/>
              </w:rPr>
              <w:t>Bappenas</w:t>
            </w:r>
            <w:proofErr w:type="spellEnd"/>
            <w:r w:rsidRPr="00501B14">
              <w:rPr>
                <w:rFonts w:ascii="Times New Roman" w:hAnsi="Times New Roman" w:cs="Times New Roman"/>
                <w:bCs/>
                <w:sz w:val="24"/>
                <w:szCs w:val="24"/>
              </w:rPr>
              <w:t xml:space="preserve"> to accelerate the issuance of the Decree of Minister for National Development Planning on Institutional Structure of IMDFF-DR.</w:t>
            </w:r>
          </w:p>
          <w:p w14:paraId="2B44266D" w14:textId="77777777" w:rsidR="00A80283" w:rsidRPr="008B5E99" w:rsidRDefault="00A80283" w:rsidP="00A80283">
            <w:pPr>
              <w:pStyle w:val="BodyText"/>
              <w:ind w:left="315"/>
              <w:rPr>
                <w:rFonts w:ascii="Times New Roman" w:hAnsi="Times New Roman" w:cs="Times New Roman"/>
                <w:bCs/>
                <w:sz w:val="24"/>
                <w:szCs w:val="24"/>
              </w:rPr>
            </w:pPr>
          </w:p>
          <w:p w14:paraId="7082FE09" w14:textId="77777777" w:rsidR="00A80283" w:rsidRPr="00501B14" w:rsidRDefault="00A80283" w:rsidP="005E6A31">
            <w:pPr>
              <w:pStyle w:val="BodyText"/>
              <w:numPr>
                <w:ilvl w:val="0"/>
                <w:numId w:val="12"/>
              </w:numPr>
              <w:ind w:left="315"/>
              <w:rPr>
                <w:rFonts w:ascii="Times New Roman" w:hAnsi="Times New Roman" w:cs="Times New Roman"/>
                <w:bCs/>
                <w:sz w:val="24"/>
                <w:szCs w:val="24"/>
              </w:rPr>
            </w:pPr>
            <w:r w:rsidRPr="008B5E99">
              <w:rPr>
                <w:rFonts w:ascii="Times New Roman" w:hAnsi="Times New Roman" w:cs="Times New Roman"/>
                <w:bCs/>
                <w:sz w:val="24"/>
                <w:szCs w:val="24"/>
              </w:rPr>
              <w:t xml:space="preserve">Facilitate BNPB and </w:t>
            </w:r>
            <w:proofErr w:type="spellStart"/>
            <w:r w:rsidRPr="008B5E99">
              <w:rPr>
                <w:rFonts w:ascii="Times New Roman" w:hAnsi="Times New Roman" w:cs="Times New Roman"/>
                <w:bCs/>
                <w:sz w:val="24"/>
                <w:szCs w:val="24"/>
              </w:rPr>
              <w:t>Bappenas</w:t>
            </w:r>
            <w:proofErr w:type="spellEnd"/>
            <w:r w:rsidRPr="008B5E99">
              <w:rPr>
                <w:rFonts w:ascii="Times New Roman" w:hAnsi="Times New Roman" w:cs="Times New Roman"/>
                <w:bCs/>
                <w:sz w:val="24"/>
                <w:szCs w:val="24"/>
              </w:rPr>
              <w:t xml:space="preserve"> to secure operational allocation from national budget.</w:t>
            </w:r>
          </w:p>
          <w:p w14:paraId="6C588253" w14:textId="77777777" w:rsidR="0075020C" w:rsidRPr="008B5E99" w:rsidRDefault="0075020C" w:rsidP="00207165">
            <w:pPr>
              <w:pStyle w:val="BodyText"/>
              <w:rPr>
                <w:rFonts w:ascii="Times New Roman" w:hAnsi="Times New Roman" w:cs="Times New Roman"/>
                <w:bCs/>
                <w:sz w:val="24"/>
                <w:szCs w:val="24"/>
              </w:rPr>
            </w:pPr>
          </w:p>
        </w:tc>
        <w:tc>
          <w:tcPr>
            <w:tcW w:w="3745" w:type="dxa"/>
            <w:shd w:val="pct15" w:color="auto" w:fill="auto"/>
          </w:tcPr>
          <w:p w14:paraId="1A8C8917" w14:textId="77777777" w:rsidR="0075020C" w:rsidRPr="008B5E99" w:rsidRDefault="0075020C" w:rsidP="005E6A31">
            <w:pPr>
              <w:pStyle w:val="BodyText"/>
              <w:rPr>
                <w:rFonts w:ascii="Times New Roman" w:hAnsi="Times New Roman" w:cs="Times New Roman"/>
                <w:bCs/>
                <w:sz w:val="24"/>
                <w:szCs w:val="24"/>
              </w:rPr>
            </w:pPr>
          </w:p>
          <w:p w14:paraId="1C73F03B" w14:textId="77777777" w:rsidR="0075020C" w:rsidRPr="008B5E99" w:rsidRDefault="0075020C" w:rsidP="005E6A31">
            <w:pPr>
              <w:pStyle w:val="BodyText"/>
              <w:rPr>
                <w:rFonts w:ascii="Times New Roman" w:hAnsi="Times New Roman" w:cs="Times New Roman"/>
                <w:bCs/>
                <w:sz w:val="24"/>
                <w:szCs w:val="24"/>
              </w:rPr>
            </w:pPr>
          </w:p>
          <w:p w14:paraId="26D3B5BE" w14:textId="77777777" w:rsidR="0075020C" w:rsidRPr="008B5E99" w:rsidRDefault="0075020C" w:rsidP="005E6A31">
            <w:pPr>
              <w:pStyle w:val="BodyText"/>
              <w:rPr>
                <w:rFonts w:ascii="Times New Roman" w:hAnsi="Times New Roman" w:cs="Times New Roman"/>
                <w:bCs/>
                <w:sz w:val="24"/>
                <w:szCs w:val="24"/>
              </w:rPr>
            </w:pPr>
          </w:p>
          <w:p w14:paraId="22EFF73E" w14:textId="77777777" w:rsidR="0075020C" w:rsidRPr="008B5E99" w:rsidRDefault="0075020C" w:rsidP="005E6A31">
            <w:pPr>
              <w:pStyle w:val="BodyText"/>
              <w:rPr>
                <w:rFonts w:ascii="Times New Roman" w:hAnsi="Times New Roman" w:cs="Times New Roman"/>
                <w:bCs/>
                <w:sz w:val="24"/>
                <w:szCs w:val="24"/>
              </w:rPr>
            </w:pPr>
          </w:p>
          <w:p w14:paraId="6AECC85B" w14:textId="77777777" w:rsidR="0075020C" w:rsidRPr="008B5E99" w:rsidRDefault="0075020C" w:rsidP="005E6A31">
            <w:pPr>
              <w:pStyle w:val="BodyText"/>
              <w:rPr>
                <w:rFonts w:ascii="Times New Roman" w:hAnsi="Times New Roman" w:cs="Times New Roman"/>
                <w:bCs/>
                <w:sz w:val="24"/>
                <w:szCs w:val="24"/>
              </w:rPr>
            </w:pPr>
          </w:p>
          <w:p w14:paraId="18CF4C2A" w14:textId="77777777" w:rsidR="0075020C" w:rsidRPr="008B5E99" w:rsidRDefault="0075020C" w:rsidP="005E6A31">
            <w:pPr>
              <w:pStyle w:val="BodyText"/>
              <w:rPr>
                <w:rFonts w:ascii="Times New Roman" w:hAnsi="Times New Roman" w:cs="Times New Roman"/>
                <w:bCs/>
                <w:sz w:val="24"/>
                <w:szCs w:val="24"/>
              </w:rPr>
            </w:pPr>
          </w:p>
          <w:p w14:paraId="63A99988" w14:textId="77777777" w:rsidR="0075020C" w:rsidRPr="008B5E99" w:rsidRDefault="0075020C" w:rsidP="005E6A31">
            <w:pPr>
              <w:pStyle w:val="BodyText"/>
              <w:rPr>
                <w:rFonts w:ascii="Times New Roman" w:hAnsi="Times New Roman" w:cs="Times New Roman"/>
                <w:bCs/>
                <w:sz w:val="24"/>
                <w:szCs w:val="24"/>
              </w:rPr>
            </w:pPr>
          </w:p>
          <w:p w14:paraId="7C73F209" w14:textId="77777777" w:rsidR="0075020C" w:rsidRPr="008B5E99" w:rsidRDefault="0075020C" w:rsidP="005E6A31">
            <w:pPr>
              <w:pStyle w:val="BodyText"/>
              <w:rPr>
                <w:rFonts w:ascii="Times New Roman" w:hAnsi="Times New Roman" w:cs="Times New Roman"/>
                <w:bCs/>
                <w:sz w:val="24"/>
                <w:szCs w:val="24"/>
              </w:rPr>
            </w:pPr>
          </w:p>
          <w:p w14:paraId="0719383D" w14:textId="77777777" w:rsidR="002F05F2" w:rsidRPr="008B5E99" w:rsidRDefault="002F05F2" w:rsidP="005E6A31">
            <w:pPr>
              <w:pStyle w:val="BodyText"/>
              <w:rPr>
                <w:rFonts w:ascii="Times New Roman" w:hAnsi="Times New Roman" w:cs="Times New Roman"/>
                <w:bCs/>
                <w:sz w:val="24"/>
                <w:szCs w:val="24"/>
              </w:rPr>
            </w:pPr>
          </w:p>
          <w:p w14:paraId="6D8F1E1A" w14:textId="77777777" w:rsidR="0075020C" w:rsidRPr="008B5E99" w:rsidRDefault="0075020C" w:rsidP="005E6A31">
            <w:pPr>
              <w:pStyle w:val="BodyText"/>
              <w:rPr>
                <w:rFonts w:ascii="Times New Roman" w:hAnsi="Times New Roman" w:cs="Times New Roman"/>
                <w:bCs/>
                <w:sz w:val="24"/>
                <w:szCs w:val="24"/>
              </w:rPr>
            </w:pPr>
          </w:p>
          <w:p w14:paraId="2682B027" w14:textId="77777777" w:rsidR="0075020C" w:rsidRPr="008B5E99" w:rsidRDefault="0075020C" w:rsidP="005E6A31">
            <w:pPr>
              <w:pStyle w:val="BodyText"/>
              <w:numPr>
                <w:ilvl w:val="1"/>
                <w:numId w:val="11"/>
              </w:numPr>
              <w:rPr>
                <w:rFonts w:ascii="Times New Roman" w:hAnsi="Times New Roman" w:cs="Times New Roman"/>
                <w:bCs/>
                <w:sz w:val="24"/>
                <w:szCs w:val="24"/>
              </w:rPr>
            </w:pPr>
            <w:r w:rsidRPr="008B5E99">
              <w:rPr>
                <w:rFonts w:ascii="Times New Roman" w:hAnsi="Times New Roman" w:cs="Times New Roman"/>
                <w:bCs/>
                <w:sz w:val="24"/>
                <w:szCs w:val="24"/>
              </w:rPr>
              <w:t xml:space="preserve">Document draft decree of Minister for National Development Planning on Institutional structure of IMDFF-DR already consulted with Legal Bureau of </w:t>
            </w:r>
            <w:proofErr w:type="spellStart"/>
            <w:r w:rsidRPr="008B5E99">
              <w:rPr>
                <w:rFonts w:ascii="Times New Roman" w:hAnsi="Times New Roman" w:cs="Times New Roman"/>
                <w:bCs/>
                <w:sz w:val="24"/>
                <w:szCs w:val="24"/>
              </w:rPr>
              <w:t>Bappenas</w:t>
            </w:r>
            <w:proofErr w:type="spellEnd"/>
            <w:r w:rsidRPr="008B5E99">
              <w:rPr>
                <w:rFonts w:ascii="Times New Roman" w:hAnsi="Times New Roman" w:cs="Times New Roman"/>
                <w:bCs/>
                <w:sz w:val="24"/>
                <w:szCs w:val="24"/>
              </w:rPr>
              <w:t xml:space="preserve"> for further proceed and Renewal draft of SOP IMDFF-DR is formulated for further endorsed by technical committee.</w:t>
            </w:r>
          </w:p>
          <w:p w14:paraId="7EAC8070" w14:textId="77777777" w:rsidR="00A80283" w:rsidRPr="008B5E99" w:rsidRDefault="00A80283" w:rsidP="00A80283">
            <w:pPr>
              <w:pStyle w:val="BodyText"/>
              <w:ind w:left="360"/>
              <w:rPr>
                <w:rFonts w:ascii="Times New Roman" w:hAnsi="Times New Roman" w:cs="Times New Roman"/>
                <w:bCs/>
                <w:sz w:val="24"/>
                <w:szCs w:val="24"/>
              </w:rPr>
            </w:pPr>
          </w:p>
          <w:p w14:paraId="3AC83256" w14:textId="77777777" w:rsidR="00BD35CF" w:rsidRPr="008B5E99" w:rsidRDefault="00BD35CF" w:rsidP="005E6A31">
            <w:pPr>
              <w:pStyle w:val="BodyText"/>
              <w:numPr>
                <w:ilvl w:val="1"/>
                <w:numId w:val="11"/>
              </w:numPr>
              <w:rPr>
                <w:rFonts w:ascii="Times New Roman" w:hAnsi="Times New Roman" w:cs="Times New Roman"/>
                <w:bCs/>
                <w:sz w:val="24"/>
                <w:szCs w:val="24"/>
              </w:rPr>
            </w:pPr>
            <w:r w:rsidRPr="008B5E99">
              <w:rPr>
                <w:rFonts w:ascii="Times New Roman" w:hAnsi="Times New Roman" w:cs="Times New Roman"/>
                <w:bCs/>
                <w:sz w:val="24"/>
                <w:szCs w:val="24"/>
              </w:rPr>
              <w:t xml:space="preserve">Discussion to secure budget allocation from Government budget is ongoing </w:t>
            </w:r>
            <w:r w:rsidR="00A80283" w:rsidRPr="008B5E99">
              <w:rPr>
                <w:rFonts w:ascii="Times New Roman" w:hAnsi="Times New Roman" w:cs="Times New Roman"/>
                <w:bCs/>
                <w:sz w:val="24"/>
                <w:szCs w:val="24"/>
              </w:rPr>
              <w:t>simultaneously with the formulation of new governance structure and SOP.</w:t>
            </w:r>
          </w:p>
          <w:p w14:paraId="2D3FEB94" w14:textId="77777777" w:rsidR="0075020C" w:rsidRPr="008B5E99" w:rsidRDefault="0075020C" w:rsidP="00083CD0">
            <w:pPr>
              <w:pStyle w:val="BodyText"/>
              <w:rPr>
                <w:rFonts w:ascii="Times New Roman" w:hAnsi="Times New Roman" w:cs="Times New Roman"/>
                <w:bCs/>
                <w:sz w:val="24"/>
                <w:szCs w:val="24"/>
              </w:rPr>
            </w:pPr>
          </w:p>
        </w:tc>
        <w:tc>
          <w:tcPr>
            <w:tcW w:w="3960" w:type="dxa"/>
            <w:shd w:val="pct15" w:color="auto" w:fill="auto"/>
          </w:tcPr>
          <w:p w14:paraId="083D5A8C" w14:textId="77777777" w:rsidR="0075020C" w:rsidRPr="008B5E99" w:rsidRDefault="0075020C" w:rsidP="005E6A31">
            <w:pPr>
              <w:pStyle w:val="BodyText"/>
              <w:rPr>
                <w:rFonts w:ascii="Times New Roman" w:hAnsi="Times New Roman" w:cs="Times New Roman"/>
                <w:bCs/>
                <w:sz w:val="24"/>
                <w:szCs w:val="24"/>
              </w:rPr>
            </w:pPr>
          </w:p>
        </w:tc>
        <w:tc>
          <w:tcPr>
            <w:tcW w:w="2857" w:type="dxa"/>
            <w:shd w:val="pct15" w:color="auto" w:fill="auto"/>
          </w:tcPr>
          <w:p w14:paraId="34C74ECE" w14:textId="77777777" w:rsidR="0075020C" w:rsidRPr="008B5E99" w:rsidRDefault="0075020C" w:rsidP="005E6A31">
            <w:pPr>
              <w:pStyle w:val="BodyText"/>
              <w:rPr>
                <w:rFonts w:ascii="Times New Roman" w:hAnsi="Times New Roman" w:cs="Times New Roman"/>
                <w:bCs/>
                <w:sz w:val="24"/>
                <w:szCs w:val="24"/>
              </w:rPr>
            </w:pPr>
          </w:p>
          <w:p w14:paraId="5D26F32D" w14:textId="77777777" w:rsidR="0075020C" w:rsidRPr="008B5E99" w:rsidRDefault="0075020C" w:rsidP="005E6A31">
            <w:pPr>
              <w:pStyle w:val="BodyText"/>
              <w:rPr>
                <w:rFonts w:ascii="Times New Roman" w:hAnsi="Times New Roman" w:cs="Times New Roman"/>
                <w:bCs/>
                <w:sz w:val="24"/>
                <w:szCs w:val="24"/>
              </w:rPr>
            </w:pPr>
          </w:p>
          <w:p w14:paraId="3A4BE3FC" w14:textId="77777777" w:rsidR="0075020C" w:rsidRPr="008B5E99" w:rsidRDefault="0075020C" w:rsidP="005E6A31">
            <w:pPr>
              <w:pStyle w:val="BodyText"/>
              <w:rPr>
                <w:rFonts w:ascii="Times New Roman" w:hAnsi="Times New Roman" w:cs="Times New Roman"/>
                <w:bCs/>
                <w:sz w:val="24"/>
                <w:szCs w:val="24"/>
              </w:rPr>
            </w:pPr>
          </w:p>
          <w:p w14:paraId="0C75FDD6" w14:textId="77777777" w:rsidR="0075020C" w:rsidRPr="008B5E99" w:rsidRDefault="0075020C" w:rsidP="005E6A31">
            <w:pPr>
              <w:pStyle w:val="BodyText"/>
              <w:rPr>
                <w:rFonts w:ascii="Times New Roman" w:hAnsi="Times New Roman" w:cs="Times New Roman"/>
                <w:bCs/>
                <w:sz w:val="24"/>
                <w:szCs w:val="24"/>
              </w:rPr>
            </w:pPr>
          </w:p>
          <w:p w14:paraId="2597B291" w14:textId="77777777" w:rsidR="0075020C" w:rsidRPr="008B5E99" w:rsidRDefault="0075020C" w:rsidP="005E6A31">
            <w:pPr>
              <w:pStyle w:val="BodyText"/>
              <w:rPr>
                <w:rFonts w:ascii="Times New Roman" w:hAnsi="Times New Roman" w:cs="Times New Roman"/>
                <w:bCs/>
                <w:sz w:val="24"/>
                <w:szCs w:val="24"/>
              </w:rPr>
            </w:pPr>
          </w:p>
          <w:p w14:paraId="47AA2484" w14:textId="77777777" w:rsidR="0075020C" w:rsidRPr="008B5E99" w:rsidRDefault="0075020C" w:rsidP="005E6A31">
            <w:pPr>
              <w:pStyle w:val="BodyText"/>
              <w:rPr>
                <w:rFonts w:ascii="Times New Roman" w:hAnsi="Times New Roman" w:cs="Times New Roman"/>
                <w:bCs/>
                <w:sz w:val="24"/>
                <w:szCs w:val="24"/>
              </w:rPr>
            </w:pPr>
          </w:p>
          <w:p w14:paraId="6547AC80" w14:textId="77777777" w:rsidR="0075020C" w:rsidRPr="008B5E99" w:rsidRDefault="0075020C" w:rsidP="005E6A31">
            <w:pPr>
              <w:pStyle w:val="BodyText"/>
              <w:rPr>
                <w:rFonts w:ascii="Times New Roman" w:hAnsi="Times New Roman" w:cs="Times New Roman"/>
                <w:bCs/>
                <w:sz w:val="24"/>
                <w:szCs w:val="24"/>
              </w:rPr>
            </w:pPr>
          </w:p>
          <w:p w14:paraId="09B18E75" w14:textId="77777777" w:rsidR="0075020C" w:rsidRPr="008B5E99" w:rsidRDefault="0075020C" w:rsidP="005E6A31">
            <w:pPr>
              <w:pStyle w:val="BodyText"/>
              <w:rPr>
                <w:rFonts w:ascii="Times New Roman" w:hAnsi="Times New Roman" w:cs="Times New Roman"/>
                <w:bCs/>
                <w:sz w:val="24"/>
                <w:szCs w:val="24"/>
              </w:rPr>
            </w:pPr>
          </w:p>
          <w:p w14:paraId="7BB2DDD1" w14:textId="77777777" w:rsidR="002F05F2" w:rsidRPr="008B5E99" w:rsidRDefault="002F05F2" w:rsidP="005E6A31">
            <w:pPr>
              <w:pStyle w:val="BodyText"/>
              <w:rPr>
                <w:rFonts w:ascii="Times New Roman" w:hAnsi="Times New Roman" w:cs="Times New Roman"/>
                <w:bCs/>
                <w:sz w:val="24"/>
                <w:szCs w:val="24"/>
              </w:rPr>
            </w:pPr>
          </w:p>
          <w:p w14:paraId="17F4876D" w14:textId="77777777" w:rsidR="0075020C" w:rsidRPr="008B5E99" w:rsidRDefault="0075020C" w:rsidP="005E6A31">
            <w:pPr>
              <w:pStyle w:val="BodyText"/>
              <w:rPr>
                <w:rFonts w:ascii="Times New Roman" w:hAnsi="Times New Roman" w:cs="Times New Roman"/>
                <w:bCs/>
                <w:sz w:val="24"/>
                <w:szCs w:val="24"/>
              </w:rPr>
            </w:pPr>
          </w:p>
          <w:p w14:paraId="1AFC14AD" w14:textId="77777777" w:rsidR="00A80283" w:rsidRPr="008B5E99" w:rsidRDefault="0075020C" w:rsidP="005E6A31">
            <w:pPr>
              <w:pStyle w:val="BodyText"/>
              <w:numPr>
                <w:ilvl w:val="0"/>
                <w:numId w:val="13"/>
              </w:numPr>
              <w:ind w:left="316"/>
              <w:rPr>
                <w:rFonts w:ascii="Times New Roman" w:hAnsi="Times New Roman" w:cs="Times New Roman"/>
                <w:bCs/>
                <w:sz w:val="24"/>
                <w:szCs w:val="24"/>
              </w:rPr>
            </w:pPr>
            <w:r w:rsidRPr="008B5E99">
              <w:rPr>
                <w:rFonts w:ascii="Times New Roman" w:hAnsi="Times New Roman" w:cs="Times New Roman"/>
                <w:bCs/>
                <w:sz w:val="24"/>
                <w:szCs w:val="24"/>
              </w:rPr>
              <w:t>Document draft decree of Minister for National Development Planning on Institutional structure of IMDFF-DR</w:t>
            </w:r>
            <w:r w:rsidR="001B5C4F">
              <w:rPr>
                <w:rFonts w:ascii="Times New Roman" w:hAnsi="Times New Roman" w:cs="Times New Roman"/>
                <w:bCs/>
                <w:sz w:val="24"/>
                <w:szCs w:val="24"/>
              </w:rPr>
              <w:t xml:space="preserve"> Secretariat</w:t>
            </w:r>
            <w:r w:rsidR="00A80283" w:rsidRPr="008B5E99">
              <w:rPr>
                <w:rFonts w:ascii="Times New Roman" w:hAnsi="Times New Roman" w:cs="Times New Roman"/>
                <w:bCs/>
                <w:sz w:val="24"/>
                <w:szCs w:val="24"/>
              </w:rPr>
              <w:t>.</w:t>
            </w:r>
          </w:p>
          <w:p w14:paraId="53B1ED8A" w14:textId="77777777" w:rsidR="00A80283" w:rsidRPr="008B5E99" w:rsidRDefault="00A80283" w:rsidP="00A80283">
            <w:pPr>
              <w:pStyle w:val="BodyText"/>
              <w:ind w:left="316"/>
              <w:rPr>
                <w:rFonts w:ascii="Times New Roman" w:hAnsi="Times New Roman" w:cs="Times New Roman"/>
                <w:bCs/>
                <w:sz w:val="24"/>
                <w:szCs w:val="24"/>
              </w:rPr>
            </w:pPr>
          </w:p>
          <w:p w14:paraId="6BF2A5EA" w14:textId="4ED0C437" w:rsidR="00A80283" w:rsidRPr="008B5E99" w:rsidRDefault="00A80283" w:rsidP="005E6A31">
            <w:pPr>
              <w:pStyle w:val="BodyText"/>
              <w:numPr>
                <w:ilvl w:val="0"/>
                <w:numId w:val="13"/>
              </w:numPr>
              <w:ind w:left="316"/>
              <w:rPr>
                <w:rFonts w:ascii="Times New Roman" w:hAnsi="Times New Roman" w:cs="Times New Roman"/>
                <w:bCs/>
                <w:sz w:val="24"/>
                <w:szCs w:val="24"/>
              </w:rPr>
            </w:pPr>
            <w:r w:rsidRPr="008B5E99">
              <w:rPr>
                <w:rFonts w:ascii="Times New Roman" w:hAnsi="Times New Roman" w:cs="Times New Roman"/>
                <w:bCs/>
                <w:sz w:val="24"/>
                <w:szCs w:val="24"/>
              </w:rPr>
              <w:t xml:space="preserve">Draft </w:t>
            </w:r>
            <w:r w:rsidR="00BD15E8">
              <w:rPr>
                <w:rFonts w:ascii="Times New Roman" w:hAnsi="Times New Roman" w:cs="Times New Roman"/>
                <w:bCs/>
                <w:sz w:val="24"/>
                <w:szCs w:val="24"/>
              </w:rPr>
              <w:t>Standard Operating Procedure of IMDFF-DR</w:t>
            </w:r>
          </w:p>
          <w:p w14:paraId="56D3F998" w14:textId="77777777" w:rsidR="0075020C" w:rsidRPr="008B5E99" w:rsidRDefault="0075020C" w:rsidP="00A850A6">
            <w:pPr>
              <w:pStyle w:val="BodyText"/>
              <w:rPr>
                <w:rFonts w:ascii="Times New Roman" w:hAnsi="Times New Roman" w:cs="Times New Roman"/>
                <w:bCs/>
                <w:sz w:val="24"/>
                <w:szCs w:val="24"/>
              </w:rPr>
            </w:pPr>
          </w:p>
        </w:tc>
      </w:tr>
      <w:tr w:rsidR="0075020C" w:rsidRPr="008B5E99" w14:paraId="448ECAE8" w14:textId="77777777" w:rsidTr="0075020C">
        <w:trPr>
          <w:trHeight w:val="3404"/>
          <w:jc w:val="center"/>
        </w:trPr>
        <w:tc>
          <w:tcPr>
            <w:tcW w:w="4265" w:type="dxa"/>
            <w:shd w:val="clear" w:color="auto" w:fill="auto"/>
          </w:tcPr>
          <w:p w14:paraId="329495D9" w14:textId="77777777" w:rsidR="0075020C" w:rsidRPr="008B5E99" w:rsidRDefault="0075020C" w:rsidP="0075020C">
            <w:pPr>
              <w:rPr>
                <w:b/>
              </w:rPr>
            </w:pPr>
            <w:r w:rsidRPr="008B5E99">
              <w:rPr>
                <w:b/>
              </w:rPr>
              <w:t>Output 1.</w:t>
            </w:r>
          </w:p>
          <w:p w14:paraId="09456F57" w14:textId="77777777" w:rsidR="0075020C" w:rsidRPr="008B5E99" w:rsidRDefault="0075020C" w:rsidP="0075020C">
            <w:r w:rsidRPr="008B5E99">
              <w:rPr>
                <w:lang w:eastAsia="x-none"/>
              </w:rPr>
              <w:t xml:space="preserve">Support provided to IMDFF-DR Secretariat in developing institutional structure and operational guidelines renewal for the implementation of activities under the coordination of BNPB and </w:t>
            </w:r>
            <w:proofErr w:type="spellStart"/>
            <w:r w:rsidRPr="008B5E99">
              <w:rPr>
                <w:lang w:eastAsia="x-none"/>
              </w:rPr>
              <w:t>Bappenas</w:t>
            </w:r>
            <w:proofErr w:type="spellEnd"/>
          </w:p>
          <w:p w14:paraId="47CD1759" w14:textId="77777777" w:rsidR="0075020C" w:rsidRPr="008B5E99" w:rsidRDefault="0075020C" w:rsidP="0075020C">
            <w:pPr>
              <w:rPr>
                <w:b/>
              </w:rPr>
            </w:pPr>
          </w:p>
          <w:p w14:paraId="22059AC2" w14:textId="77777777" w:rsidR="00083CD0" w:rsidRPr="008B5E99" w:rsidRDefault="0075020C" w:rsidP="002F05F2">
            <w:pPr>
              <w:rPr>
                <w:b/>
              </w:rPr>
            </w:pPr>
            <w:r w:rsidRPr="008B5E99">
              <w:rPr>
                <w:b/>
              </w:rPr>
              <w:t>Indicator 1.1.1</w:t>
            </w:r>
          </w:p>
          <w:p w14:paraId="4C0ECDC2" w14:textId="77777777" w:rsidR="00083CD0" w:rsidRDefault="002F05F2" w:rsidP="005E6A31">
            <w:pPr>
              <w:pStyle w:val="ListParagraph"/>
              <w:numPr>
                <w:ilvl w:val="0"/>
                <w:numId w:val="14"/>
              </w:numPr>
              <w:ind w:left="328"/>
              <w:rPr>
                <w:bCs/>
              </w:rPr>
            </w:pPr>
            <w:r w:rsidRPr="008B5E99">
              <w:rPr>
                <w:bCs/>
              </w:rPr>
              <w:t># of technical personnel hired to support</w:t>
            </w:r>
            <w:r w:rsidR="00BD35CF" w:rsidRPr="008B5E99">
              <w:rPr>
                <w:bCs/>
              </w:rPr>
              <w:t xml:space="preserve"> coordination functions of secretariat.</w:t>
            </w:r>
          </w:p>
          <w:p w14:paraId="6EF857AD" w14:textId="77777777" w:rsidR="008B5E99" w:rsidRPr="008B5E99" w:rsidRDefault="008B5E99" w:rsidP="008B5E99">
            <w:pPr>
              <w:pStyle w:val="ListParagraph"/>
              <w:ind w:left="328"/>
              <w:rPr>
                <w:bCs/>
              </w:rPr>
            </w:pPr>
          </w:p>
          <w:p w14:paraId="48487DA2" w14:textId="77777777" w:rsidR="002F05F2" w:rsidRDefault="002F05F2" w:rsidP="005E6A31">
            <w:pPr>
              <w:pStyle w:val="ListParagraph"/>
              <w:numPr>
                <w:ilvl w:val="0"/>
                <w:numId w:val="14"/>
              </w:numPr>
              <w:ind w:left="328"/>
            </w:pPr>
            <w:r w:rsidRPr="00083CD0">
              <w:t>Secretariat IMDFF-DR office is established and fully operated in BNPB.</w:t>
            </w:r>
          </w:p>
          <w:p w14:paraId="20089E60" w14:textId="77777777" w:rsidR="008B5E99" w:rsidRPr="008B5E99" w:rsidRDefault="008B5E99" w:rsidP="008B5E99">
            <w:pPr>
              <w:pStyle w:val="ListParagraph"/>
              <w:ind w:left="0"/>
            </w:pPr>
          </w:p>
          <w:p w14:paraId="05B07948" w14:textId="77777777" w:rsidR="0075020C" w:rsidRPr="008B5E99" w:rsidRDefault="0075020C" w:rsidP="005E6A31">
            <w:pPr>
              <w:pStyle w:val="ListParagraph"/>
              <w:numPr>
                <w:ilvl w:val="0"/>
                <w:numId w:val="14"/>
              </w:numPr>
              <w:ind w:left="328"/>
              <w:rPr>
                <w:bCs/>
              </w:rPr>
            </w:pPr>
            <w:r w:rsidRPr="008B5E99">
              <w:rPr>
                <w:bCs/>
              </w:rPr>
              <w:t>Availability document of governance and implementation guidelines of IMDFF-DR that endorsed by Technical Committee.</w:t>
            </w:r>
          </w:p>
          <w:p w14:paraId="5E297FAB" w14:textId="77777777" w:rsidR="0075020C" w:rsidRPr="008B5E99" w:rsidRDefault="0075020C" w:rsidP="0075020C">
            <w:pPr>
              <w:rPr>
                <w:b/>
              </w:rPr>
            </w:pPr>
          </w:p>
          <w:p w14:paraId="7913AC04" w14:textId="77777777" w:rsidR="0075020C" w:rsidRPr="008B5E99" w:rsidRDefault="0075020C" w:rsidP="0075020C">
            <w:pPr>
              <w:rPr>
                <w:b/>
              </w:rPr>
            </w:pPr>
            <w:r w:rsidRPr="008B5E99">
              <w:rPr>
                <w:b/>
              </w:rPr>
              <w:t>Baseline:</w:t>
            </w:r>
          </w:p>
          <w:p w14:paraId="02BB210C" w14:textId="77777777" w:rsidR="00EE7C2E" w:rsidRDefault="00EE7C2E" w:rsidP="005E6A31">
            <w:pPr>
              <w:numPr>
                <w:ilvl w:val="0"/>
                <w:numId w:val="22"/>
              </w:numPr>
              <w:ind w:left="328"/>
              <w:rPr>
                <w:bCs/>
              </w:rPr>
            </w:pPr>
            <w:r w:rsidRPr="008B5E99">
              <w:rPr>
                <w:bCs/>
              </w:rPr>
              <w:t>Departure of technical personnel in Secretariat (contract personnel)</w:t>
            </w:r>
          </w:p>
          <w:p w14:paraId="5FEF8C1E" w14:textId="77777777" w:rsidR="008B5E99" w:rsidRPr="008B5E99" w:rsidRDefault="008B5E99" w:rsidP="008B5E99">
            <w:pPr>
              <w:ind w:left="328"/>
              <w:rPr>
                <w:bCs/>
              </w:rPr>
            </w:pPr>
          </w:p>
          <w:p w14:paraId="03DF550A" w14:textId="77777777" w:rsidR="00EE7C2E" w:rsidRDefault="00EE7C2E" w:rsidP="005E6A31">
            <w:pPr>
              <w:numPr>
                <w:ilvl w:val="0"/>
                <w:numId w:val="22"/>
              </w:numPr>
              <w:ind w:left="328"/>
              <w:rPr>
                <w:bCs/>
              </w:rPr>
            </w:pPr>
            <w:r w:rsidRPr="008B5E99">
              <w:rPr>
                <w:bCs/>
              </w:rPr>
              <w:t>No dedicated venue for the secretariat to manage its operation.</w:t>
            </w:r>
          </w:p>
          <w:p w14:paraId="29CE0799" w14:textId="77777777" w:rsidR="008B5E99" w:rsidRPr="008B5E99" w:rsidRDefault="008B5E99" w:rsidP="008B5E99">
            <w:pPr>
              <w:rPr>
                <w:bCs/>
              </w:rPr>
            </w:pPr>
          </w:p>
          <w:p w14:paraId="60063D71" w14:textId="77777777" w:rsidR="0075020C" w:rsidRPr="008B5E99" w:rsidRDefault="00EE7C2E" w:rsidP="005E6A31">
            <w:pPr>
              <w:numPr>
                <w:ilvl w:val="0"/>
                <w:numId w:val="22"/>
              </w:numPr>
              <w:ind w:left="328"/>
              <w:rPr>
                <w:bCs/>
              </w:rPr>
            </w:pPr>
            <w:r w:rsidRPr="008B5E99">
              <w:rPr>
                <w:bCs/>
              </w:rPr>
              <w:t xml:space="preserve">The need to identify other fund channeling mechanism due to the closure of one funding window account in IMDFF-DR. </w:t>
            </w:r>
          </w:p>
          <w:p w14:paraId="6A6FEF1D" w14:textId="77777777" w:rsidR="0075020C" w:rsidRPr="008B5E99" w:rsidRDefault="0075020C" w:rsidP="0075020C">
            <w:pPr>
              <w:rPr>
                <w:b/>
              </w:rPr>
            </w:pPr>
          </w:p>
          <w:p w14:paraId="63352E48" w14:textId="77777777" w:rsidR="002F05F2" w:rsidRPr="008B5E99" w:rsidRDefault="0075020C" w:rsidP="00EE7C2E">
            <w:pPr>
              <w:rPr>
                <w:b/>
              </w:rPr>
            </w:pPr>
            <w:r w:rsidRPr="008B5E99">
              <w:rPr>
                <w:b/>
              </w:rPr>
              <w:t>Planned Target:</w:t>
            </w:r>
          </w:p>
          <w:p w14:paraId="0A3D7EF0" w14:textId="77777777" w:rsidR="008B5E99" w:rsidRDefault="008B5E99" w:rsidP="005E6A31">
            <w:pPr>
              <w:pStyle w:val="ListParagraph"/>
              <w:numPr>
                <w:ilvl w:val="0"/>
                <w:numId w:val="30"/>
              </w:numPr>
              <w:ind w:left="328"/>
              <w:rPr>
                <w:bCs/>
              </w:rPr>
            </w:pPr>
            <w:r>
              <w:rPr>
                <w:bCs/>
              </w:rPr>
              <w:t>Finalized the distribution of office equipment for Secretariat.</w:t>
            </w:r>
          </w:p>
          <w:p w14:paraId="743B7D8C" w14:textId="77777777" w:rsidR="008B5E99" w:rsidRDefault="008B5E99" w:rsidP="008B5E99">
            <w:pPr>
              <w:pStyle w:val="ListParagraph"/>
              <w:ind w:left="328"/>
              <w:rPr>
                <w:bCs/>
              </w:rPr>
            </w:pPr>
          </w:p>
          <w:p w14:paraId="294C6530" w14:textId="77777777" w:rsidR="00A850A6" w:rsidRPr="008B5E99" w:rsidRDefault="002F05F2" w:rsidP="005E6A31">
            <w:pPr>
              <w:pStyle w:val="ListParagraph"/>
              <w:numPr>
                <w:ilvl w:val="0"/>
                <w:numId w:val="30"/>
              </w:numPr>
              <w:ind w:left="328"/>
              <w:rPr>
                <w:bCs/>
              </w:rPr>
            </w:pPr>
            <w:r w:rsidRPr="008B5E99">
              <w:rPr>
                <w:bCs/>
              </w:rPr>
              <w:t>Provision of technical personnel to support the f</w:t>
            </w:r>
            <w:r w:rsidR="0075020C" w:rsidRPr="008B5E99">
              <w:rPr>
                <w:bCs/>
              </w:rPr>
              <w:t>inaliz</w:t>
            </w:r>
            <w:r w:rsidRPr="008B5E99">
              <w:rPr>
                <w:bCs/>
              </w:rPr>
              <w:t xml:space="preserve">ation </w:t>
            </w:r>
            <w:r w:rsidR="0075020C" w:rsidRPr="008B5E99">
              <w:rPr>
                <w:bCs/>
              </w:rPr>
              <w:t>of renewal</w:t>
            </w:r>
            <w:r w:rsidRPr="008B5E99">
              <w:rPr>
                <w:bCs/>
              </w:rPr>
              <w:t xml:space="preserve"> processes for the G</w:t>
            </w:r>
            <w:r w:rsidR="0075020C" w:rsidRPr="008B5E99">
              <w:rPr>
                <w:bCs/>
              </w:rPr>
              <w:t>overnance and implementation guidelines of IMDFF-DR to be endorsed by technical committee.</w:t>
            </w:r>
          </w:p>
          <w:p w14:paraId="72D2A9B1" w14:textId="77777777" w:rsidR="0075020C" w:rsidRPr="008B5E99" w:rsidRDefault="0075020C" w:rsidP="002F05F2">
            <w:pPr>
              <w:pStyle w:val="ListParagraph"/>
              <w:ind w:left="0"/>
              <w:rPr>
                <w:bCs/>
              </w:rPr>
            </w:pPr>
          </w:p>
        </w:tc>
        <w:tc>
          <w:tcPr>
            <w:tcW w:w="3745" w:type="dxa"/>
            <w:shd w:val="clear" w:color="auto" w:fill="auto"/>
          </w:tcPr>
          <w:p w14:paraId="16C4E18A" w14:textId="77777777" w:rsidR="0075020C" w:rsidRPr="008B5E99" w:rsidRDefault="0075020C" w:rsidP="0075020C">
            <w:pPr>
              <w:rPr>
                <w:bCs/>
              </w:rPr>
            </w:pPr>
          </w:p>
          <w:p w14:paraId="1A0D36E3" w14:textId="77777777" w:rsidR="0075020C" w:rsidRPr="008B5E99" w:rsidRDefault="0075020C" w:rsidP="0075020C">
            <w:pPr>
              <w:rPr>
                <w:bCs/>
              </w:rPr>
            </w:pPr>
          </w:p>
          <w:p w14:paraId="07FF6E72" w14:textId="77777777" w:rsidR="0075020C" w:rsidRPr="008B5E99" w:rsidRDefault="0075020C" w:rsidP="0075020C">
            <w:pPr>
              <w:rPr>
                <w:bCs/>
              </w:rPr>
            </w:pPr>
          </w:p>
          <w:p w14:paraId="6D3CC5EE" w14:textId="77777777" w:rsidR="0075020C" w:rsidRPr="008B5E99" w:rsidRDefault="0075020C" w:rsidP="0075020C">
            <w:pPr>
              <w:rPr>
                <w:bCs/>
              </w:rPr>
            </w:pPr>
          </w:p>
          <w:p w14:paraId="4F823658" w14:textId="77777777" w:rsidR="0075020C" w:rsidRPr="008B5E99" w:rsidRDefault="0075020C" w:rsidP="0075020C">
            <w:pPr>
              <w:rPr>
                <w:bCs/>
              </w:rPr>
            </w:pPr>
          </w:p>
          <w:p w14:paraId="516BA39C" w14:textId="77777777" w:rsidR="0075020C" w:rsidRPr="008B5E99" w:rsidRDefault="0075020C" w:rsidP="0075020C">
            <w:pPr>
              <w:rPr>
                <w:bCs/>
              </w:rPr>
            </w:pPr>
          </w:p>
          <w:p w14:paraId="2970891D" w14:textId="77777777" w:rsidR="0075020C" w:rsidRPr="008B5E99" w:rsidRDefault="0075020C" w:rsidP="0075020C">
            <w:pPr>
              <w:rPr>
                <w:bCs/>
              </w:rPr>
            </w:pPr>
          </w:p>
          <w:p w14:paraId="5D48F786" w14:textId="77777777" w:rsidR="0075020C" w:rsidRPr="008B5E99" w:rsidRDefault="0075020C" w:rsidP="0075020C">
            <w:pPr>
              <w:rPr>
                <w:bCs/>
              </w:rPr>
            </w:pPr>
          </w:p>
          <w:p w14:paraId="534CAF4A" w14:textId="77777777" w:rsidR="00083CD0" w:rsidRPr="008B5E99" w:rsidRDefault="00083CD0" w:rsidP="0075020C">
            <w:pPr>
              <w:rPr>
                <w:bCs/>
              </w:rPr>
            </w:pPr>
          </w:p>
          <w:p w14:paraId="3FED7B08" w14:textId="77777777" w:rsidR="002F05F2" w:rsidRPr="008B5E99" w:rsidRDefault="002F05F2" w:rsidP="005E6A31">
            <w:pPr>
              <w:pStyle w:val="BodyText"/>
              <w:numPr>
                <w:ilvl w:val="0"/>
                <w:numId w:val="15"/>
              </w:numPr>
              <w:ind w:left="461"/>
              <w:rPr>
                <w:rFonts w:ascii="Times New Roman" w:hAnsi="Times New Roman" w:cs="Times New Roman"/>
                <w:bCs/>
                <w:sz w:val="24"/>
                <w:szCs w:val="24"/>
              </w:rPr>
            </w:pPr>
            <w:r w:rsidRPr="008B5E99">
              <w:rPr>
                <w:rFonts w:ascii="Times New Roman" w:hAnsi="Times New Roman" w:cs="Times New Roman"/>
                <w:bCs/>
                <w:sz w:val="24"/>
                <w:szCs w:val="24"/>
              </w:rPr>
              <w:t xml:space="preserve">Two technical personnel hired to support coordination activities, administrative work on grant registration and monitoring/reporting of the recovery programme implementation coordinated under the secretariat </w:t>
            </w:r>
            <w:proofErr w:type="gramStart"/>
            <w:r w:rsidRPr="008B5E99">
              <w:rPr>
                <w:rFonts w:ascii="Times New Roman" w:hAnsi="Times New Roman" w:cs="Times New Roman"/>
                <w:bCs/>
                <w:sz w:val="24"/>
                <w:szCs w:val="24"/>
              </w:rPr>
              <w:t>The</w:t>
            </w:r>
            <w:proofErr w:type="gramEnd"/>
            <w:r w:rsidRPr="008B5E99">
              <w:rPr>
                <w:rFonts w:ascii="Times New Roman" w:hAnsi="Times New Roman" w:cs="Times New Roman"/>
                <w:bCs/>
                <w:sz w:val="24"/>
                <w:szCs w:val="24"/>
              </w:rPr>
              <w:t xml:space="preserve"> IMDFF-DR. One consultant hired to </w:t>
            </w:r>
            <w:r w:rsidR="00BD35CF" w:rsidRPr="008B5E99">
              <w:rPr>
                <w:rFonts w:ascii="Times New Roman" w:hAnsi="Times New Roman" w:cs="Times New Roman"/>
                <w:bCs/>
                <w:sz w:val="24"/>
                <w:szCs w:val="24"/>
              </w:rPr>
              <w:t>facilitate the renewal process of operational guideline.</w:t>
            </w:r>
          </w:p>
          <w:p w14:paraId="1495B0E2" w14:textId="77777777" w:rsidR="00BD35CF" w:rsidRPr="008B5E99" w:rsidRDefault="00BD35CF" w:rsidP="00BD35CF">
            <w:pPr>
              <w:pStyle w:val="BodyText"/>
              <w:ind w:left="461"/>
              <w:rPr>
                <w:rFonts w:ascii="Times New Roman" w:hAnsi="Times New Roman" w:cs="Times New Roman"/>
                <w:bCs/>
                <w:sz w:val="24"/>
                <w:szCs w:val="24"/>
              </w:rPr>
            </w:pPr>
          </w:p>
          <w:p w14:paraId="4DAF92CF" w14:textId="77777777" w:rsidR="002F05F2" w:rsidRPr="008B5E99" w:rsidRDefault="002F05F2" w:rsidP="005E6A31">
            <w:pPr>
              <w:pStyle w:val="BodyText"/>
              <w:numPr>
                <w:ilvl w:val="0"/>
                <w:numId w:val="15"/>
              </w:numPr>
              <w:ind w:left="461"/>
              <w:rPr>
                <w:rFonts w:ascii="Times New Roman" w:hAnsi="Times New Roman" w:cs="Times New Roman"/>
                <w:bCs/>
                <w:sz w:val="24"/>
                <w:szCs w:val="24"/>
              </w:rPr>
            </w:pPr>
            <w:r w:rsidRPr="008B5E99">
              <w:rPr>
                <w:rFonts w:ascii="Times New Roman" w:hAnsi="Times New Roman" w:cs="Times New Roman"/>
                <w:bCs/>
                <w:sz w:val="24"/>
                <w:szCs w:val="24"/>
              </w:rPr>
              <w:t>Secretariat office has been established and operating at BNPB since January 2020.</w:t>
            </w:r>
          </w:p>
          <w:p w14:paraId="639FFEB1" w14:textId="77777777" w:rsidR="002F05F2" w:rsidRPr="008B5E99" w:rsidRDefault="002F05F2" w:rsidP="00BD35CF">
            <w:pPr>
              <w:pStyle w:val="ListParagraph"/>
              <w:ind w:left="461"/>
              <w:rPr>
                <w:bCs/>
                <w:lang w:val="en"/>
              </w:rPr>
            </w:pPr>
          </w:p>
          <w:p w14:paraId="0BFAB0EF" w14:textId="77777777" w:rsidR="00083CD0" w:rsidRPr="008B5E99" w:rsidRDefault="00083CD0" w:rsidP="005E6A31">
            <w:pPr>
              <w:pStyle w:val="ListParagraph"/>
              <w:numPr>
                <w:ilvl w:val="0"/>
                <w:numId w:val="15"/>
              </w:numPr>
              <w:ind w:left="461"/>
              <w:rPr>
                <w:bCs/>
                <w:lang w:val="en"/>
              </w:rPr>
            </w:pPr>
            <w:r w:rsidRPr="008B5E99">
              <w:rPr>
                <w:bCs/>
                <w:lang w:val="en"/>
              </w:rPr>
              <w:t>T</w:t>
            </w:r>
            <w:r w:rsidRPr="00083CD0">
              <w:rPr>
                <w:bCs/>
                <w:lang w:val="en"/>
              </w:rPr>
              <w:t>he issuance of BNPB First Secretary Decree (Number 99.A / 2019; 99.b / 2019; and 165.A / 2019) concerning the Establishment of the IMDFF-DR Secretariat at BNPB and the Assignment of Executing Personnel for IMDFF-DR Secretariat.</w:t>
            </w:r>
            <w:r w:rsidRPr="00083CD0">
              <w:rPr>
                <w:bCs/>
              </w:rPr>
              <w:t xml:space="preserve"> </w:t>
            </w:r>
          </w:p>
          <w:p w14:paraId="2B627221" w14:textId="77777777" w:rsidR="00083CD0" w:rsidRPr="008B5E99" w:rsidRDefault="00083CD0" w:rsidP="002F05F2">
            <w:pPr>
              <w:pStyle w:val="ListParagraph"/>
              <w:ind w:left="461"/>
              <w:rPr>
                <w:bCs/>
              </w:rPr>
            </w:pPr>
          </w:p>
          <w:p w14:paraId="7AC12364" w14:textId="77777777" w:rsidR="0075020C" w:rsidRPr="008B5E99" w:rsidRDefault="0075020C" w:rsidP="005E6A31">
            <w:pPr>
              <w:pStyle w:val="ListParagraph"/>
              <w:numPr>
                <w:ilvl w:val="0"/>
                <w:numId w:val="15"/>
              </w:numPr>
              <w:ind w:left="461"/>
              <w:rPr>
                <w:bCs/>
              </w:rPr>
            </w:pPr>
            <w:r w:rsidRPr="008B5E99">
              <w:rPr>
                <w:bCs/>
              </w:rPr>
              <w:t>Secretariat has conducted series of meetings to discuss and finalize the IMDFF-DR implementation guidelines. Draft renewal of implementation guidelines of IMDFF-DR has been finalized.</w:t>
            </w:r>
          </w:p>
        </w:tc>
        <w:tc>
          <w:tcPr>
            <w:tcW w:w="3960" w:type="dxa"/>
            <w:shd w:val="clear" w:color="auto" w:fill="auto"/>
          </w:tcPr>
          <w:p w14:paraId="5E77B780" w14:textId="77777777" w:rsidR="0075020C" w:rsidRPr="008B5E99" w:rsidRDefault="0075020C" w:rsidP="0075020C">
            <w:pPr>
              <w:pStyle w:val="BodyText"/>
              <w:rPr>
                <w:rFonts w:ascii="Times New Roman" w:hAnsi="Times New Roman" w:cs="Times New Roman"/>
                <w:bCs/>
                <w:sz w:val="24"/>
                <w:szCs w:val="24"/>
              </w:rPr>
            </w:pPr>
          </w:p>
          <w:p w14:paraId="31C7933A" w14:textId="77777777" w:rsidR="00BD35CF" w:rsidRPr="008B5E99" w:rsidRDefault="00BD35CF" w:rsidP="0075020C">
            <w:pPr>
              <w:pStyle w:val="BodyText"/>
              <w:rPr>
                <w:rFonts w:ascii="Times New Roman" w:hAnsi="Times New Roman" w:cs="Times New Roman"/>
                <w:bCs/>
                <w:sz w:val="24"/>
                <w:szCs w:val="24"/>
              </w:rPr>
            </w:pPr>
          </w:p>
          <w:p w14:paraId="5067D6DC" w14:textId="77777777" w:rsidR="00BD35CF" w:rsidRPr="008B5E99" w:rsidRDefault="00BD35CF" w:rsidP="0075020C">
            <w:pPr>
              <w:pStyle w:val="BodyText"/>
              <w:rPr>
                <w:rFonts w:ascii="Times New Roman" w:hAnsi="Times New Roman" w:cs="Times New Roman"/>
                <w:bCs/>
                <w:sz w:val="24"/>
                <w:szCs w:val="24"/>
              </w:rPr>
            </w:pPr>
          </w:p>
          <w:p w14:paraId="3AAA9801" w14:textId="77777777" w:rsidR="00BD35CF" w:rsidRPr="008B5E99" w:rsidRDefault="00BD35CF" w:rsidP="0075020C">
            <w:pPr>
              <w:pStyle w:val="BodyText"/>
              <w:rPr>
                <w:rFonts w:ascii="Times New Roman" w:hAnsi="Times New Roman" w:cs="Times New Roman"/>
                <w:bCs/>
                <w:sz w:val="24"/>
                <w:szCs w:val="24"/>
              </w:rPr>
            </w:pPr>
          </w:p>
          <w:p w14:paraId="3D962F49" w14:textId="77777777" w:rsidR="00BD35CF" w:rsidRPr="008B5E99" w:rsidRDefault="00BD35CF" w:rsidP="0075020C">
            <w:pPr>
              <w:pStyle w:val="BodyText"/>
              <w:rPr>
                <w:rFonts w:ascii="Times New Roman" w:hAnsi="Times New Roman" w:cs="Times New Roman"/>
                <w:bCs/>
                <w:sz w:val="24"/>
                <w:szCs w:val="24"/>
              </w:rPr>
            </w:pPr>
          </w:p>
          <w:p w14:paraId="45A0E3F4" w14:textId="77777777" w:rsidR="00BD35CF" w:rsidRPr="008B5E99" w:rsidRDefault="00BD35CF" w:rsidP="0075020C">
            <w:pPr>
              <w:pStyle w:val="BodyText"/>
              <w:rPr>
                <w:rFonts w:ascii="Times New Roman" w:hAnsi="Times New Roman" w:cs="Times New Roman"/>
                <w:bCs/>
                <w:sz w:val="24"/>
                <w:szCs w:val="24"/>
              </w:rPr>
            </w:pPr>
          </w:p>
          <w:p w14:paraId="4855D8B6" w14:textId="77777777" w:rsidR="00BD35CF" w:rsidRPr="008B5E99" w:rsidRDefault="00BD35CF" w:rsidP="0075020C">
            <w:pPr>
              <w:pStyle w:val="BodyText"/>
              <w:rPr>
                <w:rFonts w:ascii="Times New Roman" w:hAnsi="Times New Roman" w:cs="Times New Roman"/>
                <w:bCs/>
                <w:sz w:val="24"/>
                <w:szCs w:val="24"/>
              </w:rPr>
            </w:pPr>
          </w:p>
          <w:p w14:paraId="2067AC7D" w14:textId="77777777" w:rsidR="00BD35CF" w:rsidRPr="008B5E99" w:rsidRDefault="00BD35CF" w:rsidP="0075020C">
            <w:pPr>
              <w:pStyle w:val="BodyText"/>
              <w:rPr>
                <w:rFonts w:ascii="Times New Roman" w:hAnsi="Times New Roman" w:cs="Times New Roman"/>
                <w:bCs/>
                <w:sz w:val="24"/>
                <w:szCs w:val="24"/>
              </w:rPr>
            </w:pPr>
          </w:p>
          <w:p w14:paraId="4451003E" w14:textId="77777777" w:rsidR="00BD35CF" w:rsidRPr="008B5E99" w:rsidRDefault="00BD35CF" w:rsidP="0075020C">
            <w:pPr>
              <w:pStyle w:val="BodyText"/>
              <w:rPr>
                <w:rFonts w:ascii="Times New Roman" w:hAnsi="Times New Roman" w:cs="Times New Roman"/>
                <w:sz w:val="24"/>
                <w:szCs w:val="24"/>
                <w:lang w:eastAsia="x-none"/>
              </w:rPr>
            </w:pPr>
          </w:p>
          <w:p w14:paraId="72831347" w14:textId="77777777" w:rsidR="00BD35CF" w:rsidRPr="008B5E99" w:rsidRDefault="00BD35CF" w:rsidP="0075020C">
            <w:pPr>
              <w:pStyle w:val="BodyText"/>
              <w:rPr>
                <w:rFonts w:ascii="Times New Roman" w:hAnsi="Times New Roman" w:cs="Times New Roman"/>
                <w:sz w:val="24"/>
                <w:szCs w:val="24"/>
                <w:lang w:eastAsia="x-none"/>
              </w:rPr>
            </w:pPr>
          </w:p>
          <w:p w14:paraId="298772F2" w14:textId="77777777" w:rsidR="00BD35CF" w:rsidRPr="008B5E99" w:rsidRDefault="00BD35CF" w:rsidP="0075020C">
            <w:pPr>
              <w:pStyle w:val="BodyText"/>
              <w:rPr>
                <w:rFonts w:ascii="Times New Roman" w:hAnsi="Times New Roman" w:cs="Times New Roman"/>
                <w:sz w:val="24"/>
                <w:szCs w:val="24"/>
                <w:lang w:eastAsia="x-none"/>
              </w:rPr>
            </w:pPr>
          </w:p>
          <w:p w14:paraId="4C5173F9" w14:textId="77777777" w:rsidR="00BD35CF" w:rsidRPr="008B5E99" w:rsidRDefault="00BD35CF" w:rsidP="0075020C">
            <w:pPr>
              <w:pStyle w:val="BodyText"/>
              <w:rPr>
                <w:rFonts w:ascii="Times New Roman" w:hAnsi="Times New Roman" w:cs="Times New Roman"/>
                <w:sz w:val="24"/>
                <w:szCs w:val="24"/>
                <w:lang w:eastAsia="x-none"/>
              </w:rPr>
            </w:pPr>
          </w:p>
          <w:p w14:paraId="6BDAEAED" w14:textId="77777777" w:rsidR="00BD35CF" w:rsidRPr="008B5E99" w:rsidRDefault="00BD35CF" w:rsidP="0075020C">
            <w:pPr>
              <w:pStyle w:val="BodyText"/>
              <w:rPr>
                <w:rFonts w:ascii="Times New Roman" w:hAnsi="Times New Roman" w:cs="Times New Roman"/>
                <w:sz w:val="24"/>
                <w:szCs w:val="24"/>
                <w:lang w:eastAsia="x-none"/>
              </w:rPr>
            </w:pPr>
          </w:p>
          <w:p w14:paraId="48736D46" w14:textId="77777777" w:rsidR="00BD35CF" w:rsidRPr="008B5E99" w:rsidRDefault="00BD35CF" w:rsidP="0075020C">
            <w:pPr>
              <w:pStyle w:val="BodyText"/>
              <w:rPr>
                <w:rFonts w:ascii="Times New Roman" w:hAnsi="Times New Roman" w:cs="Times New Roman"/>
                <w:sz w:val="24"/>
                <w:szCs w:val="24"/>
                <w:lang w:eastAsia="x-none"/>
              </w:rPr>
            </w:pPr>
          </w:p>
          <w:p w14:paraId="0F33F4EB" w14:textId="77777777" w:rsidR="00BD35CF" w:rsidRPr="008B5E99" w:rsidRDefault="00BD35CF" w:rsidP="0075020C">
            <w:pPr>
              <w:pStyle w:val="BodyText"/>
              <w:rPr>
                <w:rFonts w:ascii="Times New Roman" w:hAnsi="Times New Roman" w:cs="Times New Roman"/>
                <w:sz w:val="24"/>
                <w:szCs w:val="24"/>
                <w:lang w:eastAsia="x-none"/>
              </w:rPr>
            </w:pPr>
          </w:p>
          <w:p w14:paraId="574790B8" w14:textId="77777777" w:rsidR="00BD35CF" w:rsidRPr="008B5E99" w:rsidRDefault="00BD35CF" w:rsidP="0075020C">
            <w:pPr>
              <w:pStyle w:val="BodyText"/>
              <w:rPr>
                <w:rFonts w:ascii="Times New Roman" w:hAnsi="Times New Roman" w:cs="Times New Roman"/>
                <w:sz w:val="24"/>
                <w:szCs w:val="24"/>
                <w:lang w:eastAsia="x-none"/>
              </w:rPr>
            </w:pPr>
          </w:p>
          <w:p w14:paraId="6F87C945" w14:textId="77777777" w:rsidR="00BD35CF" w:rsidRPr="008B5E99" w:rsidRDefault="00BD35CF" w:rsidP="0075020C">
            <w:pPr>
              <w:pStyle w:val="BodyText"/>
              <w:rPr>
                <w:rFonts w:ascii="Times New Roman" w:hAnsi="Times New Roman" w:cs="Times New Roman"/>
                <w:sz w:val="24"/>
                <w:szCs w:val="24"/>
                <w:lang w:eastAsia="x-none"/>
              </w:rPr>
            </w:pPr>
          </w:p>
          <w:p w14:paraId="47414185" w14:textId="77777777" w:rsidR="00BD35CF" w:rsidRPr="008B5E99" w:rsidRDefault="00BD35CF" w:rsidP="0075020C">
            <w:pPr>
              <w:pStyle w:val="BodyText"/>
              <w:rPr>
                <w:rFonts w:ascii="Times New Roman" w:hAnsi="Times New Roman" w:cs="Times New Roman"/>
                <w:sz w:val="24"/>
                <w:szCs w:val="24"/>
                <w:lang w:eastAsia="x-none"/>
              </w:rPr>
            </w:pPr>
          </w:p>
          <w:p w14:paraId="2D7B630F" w14:textId="77777777" w:rsidR="00BD35CF" w:rsidRPr="008B5E99" w:rsidRDefault="00BD35CF" w:rsidP="0075020C">
            <w:pPr>
              <w:pStyle w:val="BodyText"/>
              <w:rPr>
                <w:rFonts w:ascii="Times New Roman" w:hAnsi="Times New Roman" w:cs="Times New Roman"/>
                <w:sz w:val="24"/>
                <w:szCs w:val="24"/>
                <w:lang w:eastAsia="x-none"/>
              </w:rPr>
            </w:pPr>
          </w:p>
          <w:p w14:paraId="719404D2" w14:textId="77777777" w:rsidR="00BD35CF" w:rsidRPr="008B5E99" w:rsidRDefault="00BD35CF" w:rsidP="0075020C">
            <w:pPr>
              <w:pStyle w:val="BodyText"/>
              <w:rPr>
                <w:rFonts w:ascii="Times New Roman" w:hAnsi="Times New Roman" w:cs="Times New Roman"/>
                <w:sz w:val="24"/>
                <w:szCs w:val="24"/>
                <w:lang w:eastAsia="x-none"/>
              </w:rPr>
            </w:pPr>
          </w:p>
          <w:p w14:paraId="5689EC57" w14:textId="77777777" w:rsidR="00BD35CF" w:rsidRPr="008B5E99" w:rsidRDefault="00BD35CF" w:rsidP="0075020C">
            <w:pPr>
              <w:pStyle w:val="BodyText"/>
              <w:rPr>
                <w:rFonts w:ascii="Times New Roman" w:hAnsi="Times New Roman" w:cs="Times New Roman"/>
                <w:sz w:val="24"/>
                <w:szCs w:val="24"/>
                <w:lang w:eastAsia="x-none"/>
              </w:rPr>
            </w:pPr>
          </w:p>
          <w:p w14:paraId="043CAFC8" w14:textId="77777777" w:rsidR="00BD35CF" w:rsidRPr="008B5E99" w:rsidRDefault="00BD35CF" w:rsidP="0075020C">
            <w:pPr>
              <w:pStyle w:val="BodyText"/>
              <w:rPr>
                <w:rFonts w:ascii="Times New Roman" w:hAnsi="Times New Roman" w:cs="Times New Roman"/>
                <w:sz w:val="24"/>
                <w:szCs w:val="24"/>
                <w:lang w:eastAsia="x-none"/>
              </w:rPr>
            </w:pPr>
          </w:p>
          <w:p w14:paraId="27304DE5" w14:textId="77777777" w:rsidR="00BD35CF" w:rsidRPr="008B5E99" w:rsidRDefault="00BD35CF" w:rsidP="0075020C">
            <w:pPr>
              <w:pStyle w:val="BodyText"/>
              <w:rPr>
                <w:rFonts w:ascii="Times New Roman" w:hAnsi="Times New Roman" w:cs="Times New Roman"/>
                <w:sz w:val="24"/>
                <w:szCs w:val="24"/>
                <w:lang w:eastAsia="x-none"/>
              </w:rPr>
            </w:pPr>
          </w:p>
          <w:p w14:paraId="0329138D" w14:textId="77777777" w:rsidR="00BD35CF" w:rsidRPr="008B5E99" w:rsidRDefault="00BD35CF" w:rsidP="0075020C">
            <w:pPr>
              <w:pStyle w:val="BodyText"/>
              <w:rPr>
                <w:rFonts w:ascii="Times New Roman" w:hAnsi="Times New Roman" w:cs="Times New Roman"/>
                <w:bCs/>
                <w:sz w:val="24"/>
                <w:szCs w:val="24"/>
              </w:rPr>
            </w:pPr>
            <w:r w:rsidRPr="008B5E99">
              <w:rPr>
                <w:rFonts w:ascii="Times New Roman" w:hAnsi="Times New Roman" w:cs="Times New Roman"/>
                <w:sz w:val="24"/>
                <w:szCs w:val="24"/>
                <w:lang w:eastAsia="x-none"/>
              </w:rPr>
              <w:t xml:space="preserve">BNPB and </w:t>
            </w:r>
            <w:proofErr w:type="spellStart"/>
            <w:r w:rsidRPr="008B5E99">
              <w:rPr>
                <w:rFonts w:ascii="Times New Roman" w:hAnsi="Times New Roman" w:cs="Times New Roman"/>
                <w:sz w:val="24"/>
                <w:szCs w:val="24"/>
                <w:lang w:eastAsia="x-none"/>
              </w:rPr>
              <w:t>Bappenas</w:t>
            </w:r>
            <w:proofErr w:type="spellEnd"/>
            <w:r w:rsidRPr="008B5E99">
              <w:rPr>
                <w:rFonts w:ascii="Times New Roman" w:hAnsi="Times New Roman" w:cs="Times New Roman"/>
                <w:sz w:val="24"/>
                <w:szCs w:val="24"/>
                <w:lang w:eastAsia="x-none"/>
              </w:rPr>
              <w:t xml:space="preserve"> also assigned their Civil Apparatus </w:t>
            </w:r>
            <w:r w:rsidRPr="008B5E99">
              <w:rPr>
                <w:rFonts w:ascii="Times New Roman" w:hAnsi="Times New Roman" w:cs="Times New Roman"/>
                <w:sz w:val="24"/>
                <w:szCs w:val="24"/>
                <w:lang w:val="en" w:eastAsia="x-none"/>
              </w:rPr>
              <w:t>to strengthen the inter-unit coordination within the ministry and inter-sectoral coordination with other relevant line ministry.</w:t>
            </w:r>
          </w:p>
        </w:tc>
        <w:tc>
          <w:tcPr>
            <w:tcW w:w="2857" w:type="dxa"/>
            <w:shd w:val="clear" w:color="auto" w:fill="auto"/>
          </w:tcPr>
          <w:p w14:paraId="59DFB507" w14:textId="77777777" w:rsidR="0075020C" w:rsidRPr="008B5E99" w:rsidRDefault="0075020C" w:rsidP="0075020C">
            <w:pPr>
              <w:pStyle w:val="BodyText"/>
              <w:rPr>
                <w:rFonts w:ascii="Times New Roman" w:hAnsi="Times New Roman" w:cs="Times New Roman"/>
                <w:bCs/>
                <w:sz w:val="24"/>
                <w:szCs w:val="24"/>
              </w:rPr>
            </w:pPr>
          </w:p>
          <w:p w14:paraId="7630BF35" w14:textId="77777777" w:rsidR="0075020C" w:rsidRPr="008B5E99" w:rsidRDefault="0075020C" w:rsidP="0075020C">
            <w:pPr>
              <w:pStyle w:val="BodyText"/>
              <w:rPr>
                <w:rFonts w:ascii="Times New Roman" w:hAnsi="Times New Roman" w:cs="Times New Roman"/>
                <w:bCs/>
                <w:sz w:val="24"/>
                <w:szCs w:val="24"/>
              </w:rPr>
            </w:pPr>
          </w:p>
          <w:p w14:paraId="47245A27" w14:textId="77777777" w:rsidR="0075020C" w:rsidRPr="008B5E99" w:rsidRDefault="0075020C" w:rsidP="0075020C">
            <w:pPr>
              <w:pStyle w:val="BodyText"/>
              <w:rPr>
                <w:rFonts w:ascii="Times New Roman" w:hAnsi="Times New Roman" w:cs="Times New Roman"/>
                <w:bCs/>
                <w:sz w:val="24"/>
                <w:szCs w:val="24"/>
              </w:rPr>
            </w:pPr>
          </w:p>
          <w:p w14:paraId="58A3546C" w14:textId="77777777" w:rsidR="0075020C" w:rsidRPr="008B5E99" w:rsidRDefault="0075020C" w:rsidP="0075020C">
            <w:pPr>
              <w:pStyle w:val="BodyText"/>
              <w:rPr>
                <w:rFonts w:ascii="Times New Roman" w:hAnsi="Times New Roman" w:cs="Times New Roman"/>
                <w:bCs/>
                <w:sz w:val="24"/>
                <w:szCs w:val="24"/>
              </w:rPr>
            </w:pPr>
          </w:p>
          <w:p w14:paraId="0CEA8D4D" w14:textId="77777777" w:rsidR="0075020C" w:rsidRPr="008B5E99" w:rsidRDefault="0075020C" w:rsidP="0075020C">
            <w:pPr>
              <w:pStyle w:val="BodyText"/>
              <w:rPr>
                <w:rFonts w:ascii="Times New Roman" w:hAnsi="Times New Roman" w:cs="Times New Roman"/>
                <w:bCs/>
                <w:sz w:val="24"/>
                <w:szCs w:val="24"/>
              </w:rPr>
            </w:pPr>
          </w:p>
          <w:p w14:paraId="1D3B8330" w14:textId="77777777" w:rsidR="0075020C" w:rsidRPr="008B5E99" w:rsidRDefault="0075020C" w:rsidP="0075020C">
            <w:pPr>
              <w:pStyle w:val="BodyText"/>
              <w:rPr>
                <w:rFonts w:ascii="Times New Roman" w:hAnsi="Times New Roman" w:cs="Times New Roman"/>
                <w:bCs/>
                <w:sz w:val="24"/>
                <w:szCs w:val="24"/>
              </w:rPr>
            </w:pPr>
          </w:p>
          <w:p w14:paraId="0F249578" w14:textId="77777777" w:rsidR="00083CD0" w:rsidRPr="008B5E99" w:rsidRDefault="00083CD0" w:rsidP="0075020C">
            <w:pPr>
              <w:pStyle w:val="BodyText"/>
              <w:rPr>
                <w:rFonts w:ascii="Times New Roman" w:hAnsi="Times New Roman" w:cs="Times New Roman"/>
                <w:bCs/>
                <w:sz w:val="24"/>
                <w:szCs w:val="24"/>
              </w:rPr>
            </w:pPr>
          </w:p>
          <w:p w14:paraId="0986C595" w14:textId="77777777" w:rsidR="0075020C" w:rsidRPr="008B5E99" w:rsidRDefault="0075020C" w:rsidP="0075020C">
            <w:pPr>
              <w:pStyle w:val="BodyText"/>
              <w:rPr>
                <w:rFonts w:ascii="Times New Roman" w:hAnsi="Times New Roman" w:cs="Times New Roman"/>
                <w:bCs/>
                <w:sz w:val="24"/>
                <w:szCs w:val="24"/>
              </w:rPr>
            </w:pPr>
          </w:p>
          <w:p w14:paraId="1256A652" w14:textId="77777777" w:rsidR="00083CD0" w:rsidRPr="008B5E99" w:rsidRDefault="00083CD0" w:rsidP="005E6A31">
            <w:pPr>
              <w:pStyle w:val="BodyText"/>
              <w:numPr>
                <w:ilvl w:val="0"/>
                <w:numId w:val="16"/>
              </w:numPr>
              <w:ind w:left="316"/>
              <w:rPr>
                <w:rFonts w:ascii="Times New Roman" w:hAnsi="Times New Roman" w:cs="Times New Roman"/>
                <w:bCs/>
                <w:sz w:val="24"/>
                <w:szCs w:val="24"/>
              </w:rPr>
            </w:pPr>
            <w:r w:rsidRPr="00083CD0">
              <w:rPr>
                <w:rFonts w:ascii="Times New Roman" w:hAnsi="Times New Roman" w:cs="Times New Roman"/>
                <w:bCs/>
                <w:sz w:val="24"/>
                <w:szCs w:val="24"/>
                <w:lang w:val="en"/>
              </w:rPr>
              <w:t xml:space="preserve">BNPB First </w:t>
            </w:r>
            <w:proofErr w:type="gramStart"/>
            <w:r w:rsidRPr="00083CD0">
              <w:rPr>
                <w:rFonts w:ascii="Times New Roman" w:hAnsi="Times New Roman" w:cs="Times New Roman"/>
                <w:bCs/>
                <w:sz w:val="24"/>
                <w:szCs w:val="24"/>
                <w:lang w:val="en"/>
              </w:rPr>
              <w:t>Secretary  Decree</w:t>
            </w:r>
            <w:proofErr w:type="gramEnd"/>
            <w:r w:rsidRPr="00083CD0">
              <w:rPr>
                <w:rFonts w:ascii="Times New Roman" w:hAnsi="Times New Roman" w:cs="Times New Roman"/>
                <w:bCs/>
                <w:sz w:val="24"/>
                <w:szCs w:val="24"/>
                <w:lang w:val="en"/>
              </w:rPr>
              <w:t xml:space="preserve"> (Number 99.A / 2019; 99.b / 2019; and 165.A / 2019)</w:t>
            </w:r>
          </w:p>
          <w:p w14:paraId="21374C51" w14:textId="77777777" w:rsidR="0075020C" w:rsidRPr="008B5E99" w:rsidRDefault="0075020C" w:rsidP="00A850A6">
            <w:pPr>
              <w:pStyle w:val="BodyText"/>
              <w:rPr>
                <w:rFonts w:ascii="Times New Roman" w:hAnsi="Times New Roman" w:cs="Times New Roman"/>
                <w:bCs/>
                <w:sz w:val="24"/>
                <w:szCs w:val="24"/>
              </w:rPr>
            </w:pPr>
          </w:p>
          <w:p w14:paraId="61777F90" w14:textId="77777777" w:rsidR="00BD35CF" w:rsidRPr="008B5E99" w:rsidRDefault="00BD35CF" w:rsidP="005E6A31">
            <w:pPr>
              <w:pStyle w:val="BodyText"/>
              <w:numPr>
                <w:ilvl w:val="0"/>
                <w:numId w:val="16"/>
              </w:numPr>
              <w:ind w:left="316"/>
              <w:rPr>
                <w:rFonts w:ascii="Times New Roman" w:hAnsi="Times New Roman" w:cs="Times New Roman"/>
                <w:bCs/>
                <w:sz w:val="24"/>
                <w:szCs w:val="24"/>
              </w:rPr>
            </w:pPr>
            <w:r w:rsidRPr="008B5E99">
              <w:rPr>
                <w:rFonts w:ascii="Times New Roman" w:hAnsi="Times New Roman" w:cs="Times New Roman"/>
                <w:bCs/>
                <w:sz w:val="24"/>
                <w:szCs w:val="24"/>
              </w:rPr>
              <w:t xml:space="preserve">Draft </w:t>
            </w:r>
            <w:r w:rsidR="0075020C" w:rsidRPr="008B5E99">
              <w:rPr>
                <w:rFonts w:ascii="Times New Roman" w:hAnsi="Times New Roman" w:cs="Times New Roman"/>
                <w:bCs/>
                <w:sz w:val="24"/>
                <w:szCs w:val="24"/>
              </w:rPr>
              <w:t>Document of renewal IMDFF-DR implementation guidelines.</w:t>
            </w:r>
          </w:p>
          <w:p w14:paraId="4065A3BC" w14:textId="77777777" w:rsidR="00BD35CF" w:rsidRPr="008B5E99" w:rsidRDefault="00BD35CF" w:rsidP="00BD35CF">
            <w:pPr>
              <w:pStyle w:val="ListParagraph"/>
              <w:rPr>
                <w:bCs/>
              </w:rPr>
            </w:pPr>
          </w:p>
          <w:p w14:paraId="164736C5" w14:textId="77777777" w:rsidR="00BD35CF" w:rsidRPr="008B5E99" w:rsidRDefault="00BD35CF" w:rsidP="005E6A31">
            <w:pPr>
              <w:pStyle w:val="BodyText"/>
              <w:numPr>
                <w:ilvl w:val="0"/>
                <w:numId w:val="16"/>
              </w:numPr>
              <w:ind w:left="316"/>
              <w:rPr>
                <w:rFonts w:ascii="Times New Roman" w:hAnsi="Times New Roman" w:cs="Times New Roman"/>
                <w:bCs/>
                <w:sz w:val="24"/>
                <w:szCs w:val="24"/>
              </w:rPr>
            </w:pPr>
            <w:r w:rsidRPr="008B5E99">
              <w:rPr>
                <w:rFonts w:ascii="Times New Roman" w:hAnsi="Times New Roman" w:cs="Times New Roman"/>
                <w:bCs/>
                <w:sz w:val="24"/>
                <w:szCs w:val="24"/>
              </w:rPr>
              <w:t>The availability of Secretariat IMDFF-DR fully operating in BNPB.</w:t>
            </w:r>
          </w:p>
          <w:p w14:paraId="450CE461" w14:textId="77777777" w:rsidR="0075020C" w:rsidRPr="008B5E99" w:rsidRDefault="0075020C" w:rsidP="0075020C">
            <w:pPr>
              <w:pStyle w:val="BodyText"/>
              <w:rPr>
                <w:rFonts w:ascii="Times New Roman" w:hAnsi="Times New Roman" w:cs="Times New Roman"/>
                <w:bCs/>
                <w:sz w:val="24"/>
                <w:szCs w:val="24"/>
              </w:rPr>
            </w:pPr>
          </w:p>
          <w:p w14:paraId="1AA23BA7" w14:textId="77777777" w:rsidR="0075020C" w:rsidRPr="008B5E99" w:rsidRDefault="0075020C" w:rsidP="0075020C">
            <w:pPr>
              <w:pStyle w:val="BodyText"/>
              <w:rPr>
                <w:rFonts w:ascii="Times New Roman" w:hAnsi="Times New Roman" w:cs="Times New Roman"/>
                <w:bCs/>
                <w:sz w:val="24"/>
                <w:szCs w:val="24"/>
              </w:rPr>
            </w:pPr>
          </w:p>
          <w:p w14:paraId="5CD7240C" w14:textId="77777777" w:rsidR="0075020C" w:rsidRPr="008B5E99" w:rsidRDefault="0075020C" w:rsidP="0075020C">
            <w:pPr>
              <w:pStyle w:val="BodyText"/>
              <w:rPr>
                <w:rFonts w:ascii="Times New Roman" w:hAnsi="Times New Roman" w:cs="Times New Roman"/>
                <w:bCs/>
                <w:sz w:val="24"/>
                <w:szCs w:val="24"/>
              </w:rPr>
            </w:pPr>
          </w:p>
        </w:tc>
      </w:tr>
      <w:tr w:rsidR="0075020C" w:rsidRPr="008B5E99" w14:paraId="1CAEEA2C" w14:textId="77777777" w:rsidTr="0075020C">
        <w:trPr>
          <w:trHeight w:val="1353"/>
          <w:jc w:val="center"/>
        </w:trPr>
        <w:tc>
          <w:tcPr>
            <w:tcW w:w="4265" w:type="dxa"/>
            <w:shd w:val="clear" w:color="auto" w:fill="auto"/>
          </w:tcPr>
          <w:p w14:paraId="350B0B5C" w14:textId="77777777" w:rsidR="0075020C" w:rsidRPr="008B5E99" w:rsidRDefault="0075020C" w:rsidP="0075020C">
            <w:r w:rsidRPr="008B5E99">
              <w:rPr>
                <w:b/>
              </w:rPr>
              <w:t>Output 2</w:t>
            </w:r>
            <w:r w:rsidRPr="008B5E99">
              <w:t xml:space="preserve"> </w:t>
            </w:r>
          </w:p>
          <w:p w14:paraId="03BFA38A" w14:textId="77777777" w:rsidR="0075020C" w:rsidRPr="008B5E99" w:rsidRDefault="0075020C" w:rsidP="0075020C">
            <w:pPr>
              <w:rPr>
                <w:bCs/>
                <w:lang w:eastAsia="x-none"/>
              </w:rPr>
            </w:pPr>
            <w:r w:rsidRPr="008B5E99">
              <w:rPr>
                <w:bCs/>
                <w:lang w:eastAsia="x-none"/>
              </w:rPr>
              <w:t>Management Information System (MIS) for monitoring and evaluation of foreign grant management in disaster management is developed and preliminary operationalized by the Secretariat;</w:t>
            </w:r>
          </w:p>
          <w:p w14:paraId="69F193D0" w14:textId="77777777" w:rsidR="0075020C" w:rsidRPr="008B5E99" w:rsidRDefault="0075020C" w:rsidP="0075020C"/>
          <w:p w14:paraId="73C0729E" w14:textId="77777777" w:rsidR="0075020C" w:rsidRPr="008B5E99" w:rsidRDefault="0075020C" w:rsidP="0075020C">
            <w:pPr>
              <w:rPr>
                <w:b/>
              </w:rPr>
            </w:pPr>
            <w:r w:rsidRPr="008B5E99">
              <w:rPr>
                <w:b/>
              </w:rPr>
              <w:t>Indicator 1.1.2</w:t>
            </w:r>
          </w:p>
          <w:p w14:paraId="38FA125B" w14:textId="77777777" w:rsidR="0075020C" w:rsidRPr="008B5E99" w:rsidRDefault="0075020C" w:rsidP="005E6A31">
            <w:pPr>
              <w:pStyle w:val="ListParagraph"/>
              <w:numPr>
                <w:ilvl w:val="0"/>
                <w:numId w:val="17"/>
              </w:numPr>
              <w:ind w:left="315"/>
              <w:rPr>
                <w:bCs/>
              </w:rPr>
            </w:pPr>
            <w:r w:rsidRPr="008B5E99">
              <w:rPr>
                <w:bCs/>
              </w:rPr>
              <w:t xml:space="preserve">Mechanism for monitoring and evaluation the implementation of program/project funded by foreign grant is developed. </w:t>
            </w:r>
          </w:p>
          <w:p w14:paraId="6C9F09BE" w14:textId="77777777" w:rsidR="00053587" w:rsidRPr="008B5E99" w:rsidRDefault="00053587" w:rsidP="00053587">
            <w:pPr>
              <w:pStyle w:val="ListParagraph"/>
              <w:ind w:left="315"/>
              <w:rPr>
                <w:bCs/>
              </w:rPr>
            </w:pPr>
          </w:p>
          <w:p w14:paraId="2C45B250" w14:textId="77777777" w:rsidR="008C3C86" w:rsidRPr="008B5E99" w:rsidRDefault="008C3C86" w:rsidP="005E6A31">
            <w:pPr>
              <w:pStyle w:val="ListParagraph"/>
              <w:numPr>
                <w:ilvl w:val="0"/>
                <w:numId w:val="17"/>
              </w:numPr>
              <w:ind w:left="315"/>
              <w:rPr>
                <w:bCs/>
              </w:rPr>
            </w:pPr>
            <w:r w:rsidRPr="008B5E99">
              <w:rPr>
                <w:bCs/>
              </w:rPr>
              <w:t>A web-based platform of the MIS established to provide public information.</w:t>
            </w:r>
          </w:p>
          <w:p w14:paraId="08D67D4F" w14:textId="77777777" w:rsidR="0075020C" w:rsidRPr="008B5E99" w:rsidRDefault="0075020C" w:rsidP="0075020C">
            <w:pPr>
              <w:rPr>
                <w:b/>
              </w:rPr>
            </w:pPr>
          </w:p>
          <w:p w14:paraId="2791F5CD" w14:textId="77777777" w:rsidR="0075020C" w:rsidRPr="008B5E99" w:rsidRDefault="0075020C" w:rsidP="0075020C">
            <w:pPr>
              <w:rPr>
                <w:b/>
              </w:rPr>
            </w:pPr>
          </w:p>
          <w:p w14:paraId="258F727F" w14:textId="77777777" w:rsidR="0075020C" w:rsidRPr="008B5E99" w:rsidRDefault="0075020C" w:rsidP="0075020C">
            <w:pPr>
              <w:rPr>
                <w:b/>
              </w:rPr>
            </w:pPr>
            <w:r w:rsidRPr="008B5E99">
              <w:rPr>
                <w:b/>
              </w:rPr>
              <w:t>Baseline:</w:t>
            </w:r>
          </w:p>
          <w:p w14:paraId="0B282E62" w14:textId="77777777" w:rsidR="0075020C" w:rsidRPr="008B5E99" w:rsidRDefault="00EB5B92" w:rsidP="005E6A31">
            <w:pPr>
              <w:numPr>
                <w:ilvl w:val="0"/>
                <w:numId w:val="23"/>
              </w:numPr>
              <w:ind w:left="328" w:hanging="328"/>
              <w:rPr>
                <w:bCs/>
              </w:rPr>
            </w:pPr>
            <w:r w:rsidRPr="008B5E99">
              <w:rPr>
                <w:bCs/>
              </w:rPr>
              <w:t>The new governance structure of IMDFF-DR which constitute the need to adjust its MIS.</w:t>
            </w:r>
          </w:p>
          <w:p w14:paraId="1F881A94" w14:textId="77777777" w:rsidR="00053587" w:rsidRPr="008B5E99" w:rsidRDefault="00053587" w:rsidP="00053587">
            <w:pPr>
              <w:ind w:left="328"/>
              <w:rPr>
                <w:bCs/>
              </w:rPr>
            </w:pPr>
          </w:p>
          <w:p w14:paraId="4370635A" w14:textId="77777777" w:rsidR="00EB5B92" w:rsidRPr="008B5E99" w:rsidRDefault="00EB5B92" w:rsidP="005E6A31">
            <w:pPr>
              <w:numPr>
                <w:ilvl w:val="0"/>
                <w:numId w:val="23"/>
              </w:numPr>
              <w:ind w:left="328" w:hanging="328"/>
              <w:rPr>
                <w:bCs/>
              </w:rPr>
            </w:pPr>
            <w:r w:rsidRPr="008B5E99">
              <w:rPr>
                <w:bCs/>
              </w:rPr>
              <w:t>The web-based platform of IMDFF-DR is inactive since the closure of funding contribution from NZ in May 2018.</w:t>
            </w:r>
          </w:p>
          <w:p w14:paraId="49A04764" w14:textId="77777777" w:rsidR="00EB5B92" w:rsidRPr="008B5E99" w:rsidRDefault="00EB5B92" w:rsidP="0075020C">
            <w:pPr>
              <w:rPr>
                <w:bCs/>
              </w:rPr>
            </w:pPr>
          </w:p>
          <w:p w14:paraId="24DF9D0C" w14:textId="77777777" w:rsidR="0075020C" w:rsidRPr="008B5E99" w:rsidRDefault="0075020C" w:rsidP="0075020C">
            <w:pPr>
              <w:rPr>
                <w:b/>
              </w:rPr>
            </w:pPr>
            <w:r w:rsidRPr="008B5E99">
              <w:rPr>
                <w:b/>
              </w:rPr>
              <w:t>Planned Target:</w:t>
            </w:r>
          </w:p>
          <w:p w14:paraId="3198A768" w14:textId="77777777" w:rsidR="0075020C" w:rsidRPr="008B5E99" w:rsidRDefault="00053587" w:rsidP="005E6A31">
            <w:pPr>
              <w:pStyle w:val="BodyText"/>
              <w:numPr>
                <w:ilvl w:val="0"/>
                <w:numId w:val="24"/>
              </w:numPr>
              <w:ind w:left="328"/>
              <w:rPr>
                <w:rFonts w:ascii="Times New Roman" w:hAnsi="Times New Roman" w:cs="Times New Roman"/>
                <w:bCs/>
                <w:sz w:val="24"/>
                <w:szCs w:val="24"/>
              </w:rPr>
            </w:pPr>
            <w:r w:rsidRPr="008B5E99">
              <w:rPr>
                <w:rFonts w:ascii="Times New Roman" w:hAnsi="Times New Roman" w:cs="Times New Roman"/>
                <w:bCs/>
                <w:sz w:val="24"/>
                <w:szCs w:val="24"/>
              </w:rPr>
              <w:t>Enable the secretariat to u</w:t>
            </w:r>
            <w:r w:rsidR="0075020C" w:rsidRPr="008B5E99">
              <w:rPr>
                <w:rFonts w:ascii="Times New Roman" w:hAnsi="Times New Roman" w:cs="Times New Roman"/>
                <w:bCs/>
                <w:sz w:val="24"/>
                <w:szCs w:val="24"/>
              </w:rPr>
              <w:t>ndertake regular coordination meeting and monitoring to update the progress of project implementation funded by foreign grants under the coordination of IMDFF-DR.</w:t>
            </w:r>
          </w:p>
          <w:p w14:paraId="485B16A6" w14:textId="77777777" w:rsidR="00053587" w:rsidRPr="008B5E99" w:rsidRDefault="00053587" w:rsidP="00053587">
            <w:pPr>
              <w:pStyle w:val="BodyText"/>
              <w:ind w:left="328"/>
              <w:rPr>
                <w:rFonts w:ascii="Times New Roman" w:hAnsi="Times New Roman" w:cs="Times New Roman"/>
                <w:bCs/>
                <w:sz w:val="24"/>
                <w:szCs w:val="24"/>
              </w:rPr>
            </w:pPr>
          </w:p>
          <w:p w14:paraId="6980BE49" w14:textId="77777777" w:rsidR="00053587" w:rsidRDefault="00053587" w:rsidP="005E6A31">
            <w:pPr>
              <w:pStyle w:val="BodyText"/>
              <w:numPr>
                <w:ilvl w:val="0"/>
                <w:numId w:val="24"/>
              </w:numPr>
              <w:ind w:left="328"/>
              <w:rPr>
                <w:rFonts w:ascii="Times New Roman" w:hAnsi="Times New Roman" w:cs="Times New Roman"/>
                <w:bCs/>
                <w:sz w:val="24"/>
                <w:szCs w:val="24"/>
              </w:rPr>
            </w:pPr>
            <w:r w:rsidRPr="008B5E99">
              <w:rPr>
                <w:rFonts w:ascii="Times New Roman" w:hAnsi="Times New Roman" w:cs="Times New Roman"/>
                <w:bCs/>
                <w:sz w:val="24"/>
                <w:szCs w:val="24"/>
              </w:rPr>
              <w:t>Facilitate the follow up actions needed with the PUSDATINKOM in BNPB to reactiv</w:t>
            </w:r>
            <w:r w:rsidR="00106A99">
              <w:rPr>
                <w:rFonts w:ascii="Times New Roman" w:hAnsi="Times New Roman" w:cs="Times New Roman"/>
                <w:bCs/>
                <w:sz w:val="24"/>
                <w:szCs w:val="24"/>
              </w:rPr>
              <w:t>ate</w:t>
            </w:r>
            <w:r w:rsidRPr="008B5E99">
              <w:rPr>
                <w:rFonts w:ascii="Times New Roman" w:hAnsi="Times New Roman" w:cs="Times New Roman"/>
                <w:bCs/>
                <w:sz w:val="24"/>
                <w:szCs w:val="24"/>
              </w:rPr>
              <w:t xml:space="preserve"> the website.</w:t>
            </w:r>
          </w:p>
          <w:p w14:paraId="0B10EA83" w14:textId="77777777" w:rsidR="008B5E99" w:rsidRPr="008B5E99" w:rsidRDefault="008B5E99" w:rsidP="008B5E99">
            <w:pPr>
              <w:pStyle w:val="BodyText"/>
              <w:rPr>
                <w:rFonts w:ascii="Times New Roman" w:hAnsi="Times New Roman" w:cs="Times New Roman"/>
                <w:bCs/>
                <w:sz w:val="24"/>
                <w:szCs w:val="24"/>
              </w:rPr>
            </w:pPr>
          </w:p>
        </w:tc>
        <w:tc>
          <w:tcPr>
            <w:tcW w:w="3745" w:type="dxa"/>
            <w:shd w:val="clear" w:color="auto" w:fill="auto"/>
          </w:tcPr>
          <w:p w14:paraId="23015DF6" w14:textId="77777777" w:rsidR="0075020C" w:rsidRPr="008B5E99" w:rsidRDefault="0075020C" w:rsidP="0075020C">
            <w:pPr>
              <w:pStyle w:val="BodyText"/>
              <w:rPr>
                <w:rFonts w:ascii="Times New Roman" w:hAnsi="Times New Roman" w:cs="Times New Roman"/>
                <w:bCs/>
                <w:sz w:val="24"/>
                <w:szCs w:val="24"/>
              </w:rPr>
            </w:pPr>
          </w:p>
          <w:p w14:paraId="067E6CF4" w14:textId="77777777" w:rsidR="0075020C" w:rsidRPr="008B5E99" w:rsidRDefault="0075020C" w:rsidP="0075020C">
            <w:pPr>
              <w:pStyle w:val="BodyText"/>
              <w:rPr>
                <w:rFonts w:ascii="Times New Roman" w:hAnsi="Times New Roman" w:cs="Times New Roman"/>
                <w:bCs/>
                <w:sz w:val="24"/>
                <w:szCs w:val="24"/>
              </w:rPr>
            </w:pPr>
          </w:p>
          <w:p w14:paraId="3B26842A" w14:textId="77777777" w:rsidR="0075020C" w:rsidRPr="008B5E99" w:rsidRDefault="0075020C" w:rsidP="0075020C">
            <w:pPr>
              <w:pStyle w:val="BodyText"/>
              <w:rPr>
                <w:rFonts w:ascii="Times New Roman" w:hAnsi="Times New Roman" w:cs="Times New Roman"/>
                <w:bCs/>
                <w:sz w:val="24"/>
                <w:szCs w:val="24"/>
              </w:rPr>
            </w:pPr>
          </w:p>
          <w:p w14:paraId="4FA90996" w14:textId="77777777" w:rsidR="0075020C" w:rsidRPr="008B5E99" w:rsidRDefault="0075020C" w:rsidP="0075020C">
            <w:pPr>
              <w:pStyle w:val="BodyText"/>
              <w:rPr>
                <w:rFonts w:ascii="Times New Roman" w:hAnsi="Times New Roman" w:cs="Times New Roman"/>
                <w:bCs/>
                <w:sz w:val="24"/>
                <w:szCs w:val="24"/>
              </w:rPr>
            </w:pPr>
          </w:p>
          <w:p w14:paraId="22E1A087" w14:textId="77777777" w:rsidR="0075020C" w:rsidRPr="008B5E99" w:rsidRDefault="0075020C" w:rsidP="0075020C">
            <w:pPr>
              <w:pStyle w:val="BodyText"/>
              <w:rPr>
                <w:rFonts w:ascii="Times New Roman" w:hAnsi="Times New Roman" w:cs="Times New Roman"/>
                <w:bCs/>
                <w:sz w:val="24"/>
                <w:szCs w:val="24"/>
              </w:rPr>
            </w:pPr>
          </w:p>
          <w:p w14:paraId="44D81723" w14:textId="77777777" w:rsidR="0075020C" w:rsidRPr="008B5E99" w:rsidRDefault="0075020C" w:rsidP="0075020C">
            <w:pPr>
              <w:pStyle w:val="BodyText"/>
              <w:rPr>
                <w:rFonts w:ascii="Times New Roman" w:hAnsi="Times New Roman" w:cs="Times New Roman"/>
                <w:bCs/>
                <w:sz w:val="24"/>
                <w:szCs w:val="24"/>
              </w:rPr>
            </w:pPr>
          </w:p>
          <w:p w14:paraId="30FC671E" w14:textId="77777777" w:rsidR="0075020C" w:rsidRPr="008B5E99" w:rsidRDefault="0075020C" w:rsidP="0075020C">
            <w:pPr>
              <w:pStyle w:val="BodyText"/>
              <w:rPr>
                <w:rFonts w:ascii="Times New Roman" w:hAnsi="Times New Roman" w:cs="Times New Roman"/>
                <w:bCs/>
                <w:sz w:val="24"/>
                <w:szCs w:val="24"/>
              </w:rPr>
            </w:pPr>
          </w:p>
          <w:p w14:paraId="5E0CB5B9" w14:textId="77777777" w:rsidR="0075020C" w:rsidRPr="008B5E99" w:rsidRDefault="0075020C" w:rsidP="0075020C">
            <w:pPr>
              <w:pStyle w:val="BodyText"/>
              <w:rPr>
                <w:rFonts w:ascii="Times New Roman" w:hAnsi="Times New Roman" w:cs="Times New Roman"/>
                <w:bCs/>
                <w:sz w:val="24"/>
                <w:szCs w:val="24"/>
              </w:rPr>
            </w:pPr>
          </w:p>
          <w:p w14:paraId="28A47385" w14:textId="77777777" w:rsidR="0075020C" w:rsidRPr="008B5E99" w:rsidRDefault="0075020C" w:rsidP="0075020C">
            <w:pPr>
              <w:pStyle w:val="BodyText"/>
              <w:rPr>
                <w:rFonts w:ascii="Times New Roman" w:hAnsi="Times New Roman" w:cs="Times New Roman"/>
                <w:bCs/>
                <w:sz w:val="24"/>
                <w:szCs w:val="24"/>
              </w:rPr>
            </w:pPr>
          </w:p>
          <w:p w14:paraId="47F06BB7" w14:textId="77777777" w:rsidR="0075020C" w:rsidRPr="008B5E99" w:rsidRDefault="0075020C" w:rsidP="005E6A31">
            <w:pPr>
              <w:pStyle w:val="BodyText"/>
              <w:numPr>
                <w:ilvl w:val="0"/>
                <w:numId w:val="18"/>
              </w:numPr>
              <w:ind w:left="286"/>
              <w:rPr>
                <w:rFonts w:ascii="Times New Roman" w:hAnsi="Times New Roman" w:cs="Times New Roman"/>
                <w:bCs/>
                <w:sz w:val="24"/>
                <w:szCs w:val="24"/>
              </w:rPr>
            </w:pPr>
            <w:r w:rsidRPr="008B5E99">
              <w:rPr>
                <w:rFonts w:ascii="Times New Roman" w:hAnsi="Times New Roman" w:cs="Times New Roman"/>
                <w:bCs/>
                <w:sz w:val="24"/>
                <w:szCs w:val="24"/>
              </w:rPr>
              <w:t xml:space="preserve">Secretariat IMDFF-DR has developed mechanism for monitoring and evaluate of the project funded by foreign grants   as a part of IMDFF-DR implementation guidelines. </w:t>
            </w:r>
          </w:p>
          <w:p w14:paraId="6D61205F" w14:textId="77777777" w:rsidR="00207165" w:rsidRPr="008B5E99" w:rsidRDefault="00207165" w:rsidP="00207165">
            <w:pPr>
              <w:pStyle w:val="BodyText"/>
              <w:ind w:left="286"/>
              <w:rPr>
                <w:rFonts w:ascii="Times New Roman" w:hAnsi="Times New Roman" w:cs="Times New Roman"/>
                <w:bCs/>
                <w:sz w:val="24"/>
                <w:szCs w:val="24"/>
              </w:rPr>
            </w:pPr>
          </w:p>
          <w:p w14:paraId="4223D4FF" w14:textId="77777777" w:rsidR="008C3C86" w:rsidRPr="008B5E99" w:rsidRDefault="008C3C86" w:rsidP="005E6A31">
            <w:pPr>
              <w:pStyle w:val="BodyText"/>
              <w:numPr>
                <w:ilvl w:val="0"/>
                <w:numId w:val="18"/>
              </w:numPr>
              <w:ind w:left="286"/>
              <w:rPr>
                <w:rFonts w:ascii="Times New Roman" w:hAnsi="Times New Roman" w:cs="Times New Roman"/>
                <w:bCs/>
                <w:sz w:val="24"/>
                <w:szCs w:val="24"/>
              </w:rPr>
            </w:pPr>
            <w:r w:rsidRPr="008B5E99">
              <w:rPr>
                <w:rFonts w:ascii="Times New Roman" w:hAnsi="Times New Roman" w:cs="Times New Roman"/>
                <w:bCs/>
                <w:sz w:val="24"/>
                <w:szCs w:val="24"/>
              </w:rPr>
              <w:t>Implementing agency regularly submitted quarter and annual report to IMDFF-DR Secretariat in timely manner.</w:t>
            </w:r>
          </w:p>
          <w:p w14:paraId="73AF1778" w14:textId="77777777" w:rsidR="008C3C86" w:rsidRPr="008B5E99" w:rsidRDefault="008C3C86" w:rsidP="008C3C86">
            <w:pPr>
              <w:pStyle w:val="ListParagraph"/>
              <w:rPr>
                <w:bCs/>
              </w:rPr>
            </w:pPr>
          </w:p>
          <w:p w14:paraId="1F2458D2" w14:textId="77777777" w:rsidR="0075020C" w:rsidRPr="008B5E99" w:rsidRDefault="0075020C" w:rsidP="005E6A31">
            <w:pPr>
              <w:pStyle w:val="BodyText"/>
              <w:numPr>
                <w:ilvl w:val="0"/>
                <w:numId w:val="18"/>
              </w:numPr>
              <w:ind w:left="286"/>
              <w:rPr>
                <w:rFonts w:ascii="Times New Roman" w:hAnsi="Times New Roman" w:cs="Times New Roman"/>
                <w:bCs/>
                <w:sz w:val="24"/>
                <w:szCs w:val="24"/>
              </w:rPr>
            </w:pPr>
            <w:r w:rsidRPr="008B5E99">
              <w:rPr>
                <w:rFonts w:ascii="Times New Roman" w:hAnsi="Times New Roman" w:cs="Times New Roman"/>
                <w:bCs/>
                <w:sz w:val="24"/>
                <w:szCs w:val="24"/>
              </w:rPr>
              <w:t>Secretariat has facilitated regular coordination meeting with implementation agency, line ministries, executing agency and local government to monitor the progress of the project implementation and identify the pending issues that may arise during the project implementation. Coordination meeting and monitoring the implementation of PETRA Project in West Nusa Tenggara and were took placed on 18-19 December 2019 and Central Sulawesi on 28-30 October 2019.</w:t>
            </w:r>
          </w:p>
        </w:tc>
        <w:tc>
          <w:tcPr>
            <w:tcW w:w="3960" w:type="dxa"/>
            <w:shd w:val="clear" w:color="auto" w:fill="auto"/>
          </w:tcPr>
          <w:p w14:paraId="50703E70" w14:textId="77777777" w:rsidR="0075020C" w:rsidRPr="008B5E99" w:rsidRDefault="0075020C" w:rsidP="0075020C">
            <w:pPr>
              <w:pStyle w:val="BodyText"/>
              <w:rPr>
                <w:rFonts w:ascii="Times New Roman" w:hAnsi="Times New Roman" w:cs="Times New Roman"/>
                <w:bCs/>
                <w:sz w:val="24"/>
                <w:szCs w:val="24"/>
              </w:rPr>
            </w:pPr>
          </w:p>
        </w:tc>
        <w:tc>
          <w:tcPr>
            <w:tcW w:w="2857" w:type="dxa"/>
            <w:shd w:val="clear" w:color="auto" w:fill="auto"/>
          </w:tcPr>
          <w:p w14:paraId="7D1839D5" w14:textId="77777777" w:rsidR="0075020C" w:rsidRPr="008B5E99" w:rsidRDefault="0075020C" w:rsidP="0075020C">
            <w:pPr>
              <w:pStyle w:val="BodyText"/>
              <w:rPr>
                <w:rFonts w:ascii="Times New Roman" w:hAnsi="Times New Roman" w:cs="Times New Roman"/>
                <w:bCs/>
                <w:sz w:val="24"/>
                <w:szCs w:val="24"/>
              </w:rPr>
            </w:pPr>
          </w:p>
          <w:p w14:paraId="256F96D8" w14:textId="77777777" w:rsidR="0075020C" w:rsidRPr="008B5E99" w:rsidRDefault="0075020C" w:rsidP="0075020C">
            <w:pPr>
              <w:pStyle w:val="BodyText"/>
              <w:rPr>
                <w:rFonts w:ascii="Times New Roman" w:hAnsi="Times New Roman" w:cs="Times New Roman"/>
                <w:bCs/>
                <w:sz w:val="24"/>
                <w:szCs w:val="24"/>
              </w:rPr>
            </w:pPr>
          </w:p>
          <w:p w14:paraId="44FA96B0" w14:textId="77777777" w:rsidR="0075020C" w:rsidRPr="008B5E99" w:rsidRDefault="0075020C" w:rsidP="0075020C">
            <w:pPr>
              <w:pStyle w:val="BodyText"/>
              <w:rPr>
                <w:rFonts w:ascii="Times New Roman" w:hAnsi="Times New Roman" w:cs="Times New Roman"/>
                <w:bCs/>
                <w:sz w:val="24"/>
                <w:szCs w:val="24"/>
              </w:rPr>
            </w:pPr>
          </w:p>
          <w:p w14:paraId="5C73BCF2" w14:textId="77777777" w:rsidR="0075020C" w:rsidRPr="008B5E99" w:rsidRDefault="0075020C" w:rsidP="0075020C">
            <w:pPr>
              <w:pStyle w:val="BodyText"/>
              <w:rPr>
                <w:rFonts w:ascii="Times New Roman" w:hAnsi="Times New Roman" w:cs="Times New Roman"/>
                <w:bCs/>
                <w:sz w:val="24"/>
                <w:szCs w:val="24"/>
              </w:rPr>
            </w:pPr>
          </w:p>
          <w:p w14:paraId="5F24760A" w14:textId="77777777" w:rsidR="0075020C" w:rsidRPr="008B5E99" w:rsidRDefault="0075020C" w:rsidP="0075020C">
            <w:pPr>
              <w:pStyle w:val="BodyText"/>
              <w:rPr>
                <w:rFonts w:ascii="Times New Roman" w:hAnsi="Times New Roman" w:cs="Times New Roman"/>
                <w:bCs/>
                <w:sz w:val="24"/>
                <w:szCs w:val="24"/>
              </w:rPr>
            </w:pPr>
          </w:p>
          <w:p w14:paraId="14D14D94" w14:textId="77777777" w:rsidR="0075020C" w:rsidRPr="008B5E99" w:rsidRDefault="0075020C" w:rsidP="0075020C">
            <w:pPr>
              <w:pStyle w:val="BodyText"/>
              <w:rPr>
                <w:rFonts w:ascii="Times New Roman" w:hAnsi="Times New Roman" w:cs="Times New Roman"/>
                <w:bCs/>
                <w:sz w:val="24"/>
                <w:szCs w:val="24"/>
              </w:rPr>
            </w:pPr>
          </w:p>
          <w:p w14:paraId="3C99E87A" w14:textId="77777777" w:rsidR="0075020C" w:rsidRPr="008B5E99" w:rsidRDefault="0075020C" w:rsidP="0075020C">
            <w:pPr>
              <w:pStyle w:val="BodyText"/>
              <w:rPr>
                <w:rFonts w:ascii="Times New Roman" w:hAnsi="Times New Roman" w:cs="Times New Roman"/>
                <w:bCs/>
                <w:sz w:val="24"/>
                <w:szCs w:val="24"/>
              </w:rPr>
            </w:pPr>
          </w:p>
          <w:p w14:paraId="7778759F" w14:textId="77777777" w:rsidR="0075020C" w:rsidRPr="008B5E99" w:rsidRDefault="0075020C" w:rsidP="0075020C">
            <w:pPr>
              <w:pStyle w:val="BodyText"/>
              <w:rPr>
                <w:rFonts w:ascii="Times New Roman" w:hAnsi="Times New Roman" w:cs="Times New Roman"/>
                <w:bCs/>
                <w:sz w:val="24"/>
                <w:szCs w:val="24"/>
              </w:rPr>
            </w:pPr>
          </w:p>
          <w:p w14:paraId="634544C7" w14:textId="77777777" w:rsidR="0075020C" w:rsidRPr="008B5E99" w:rsidRDefault="0075020C" w:rsidP="0075020C">
            <w:pPr>
              <w:pStyle w:val="BodyText"/>
              <w:rPr>
                <w:rFonts w:ascii="Times New Roman" w:hAnsi="Times New Roman" w:cs="Times New Roman"/>
                <w:bCs/>
                <w:sz w:val="24"/>
                <w:szCs w:val="24"/>
              </w:rPr>
            </w:pPr>
          </w:p>
          <w:p w14:paraId="736C7569" w14:textId="77777777" w:rsidR="008C3C86" w:rsidRPr="008B5E99" w:rsidRDefault="00207165" w:rsidP="005E6A31">
            <w:pPr>
              <w:pStyle w:val="ListParagraph"/>
              <w:numPr>
                <w:ilvl w:val="0"/>
                <w:numId w:val="19"/>
              </w:numPr>
              <w:ind w:left="402"/>
              <w:rPr>
                <w:bCs/>
              </w:rPr>
            </w:pPr>
            <w:r w:rsidRPr="008B5E99">
              <w:rPr>
                <w:bCs/>
              </w:rPr>
              <w:t>Quarterly and annual reports of IMDFF-DR implementation</w:t>
            </w:r>
            <w:r w:rsidR="008C3C86" w:rsidRPr="008B5E99">
              <w:rPr>
                <w:bCs/>
              </w:rPr>
              <w:t xml:space="preserve"> – Submitted</w:t>
            </w:r>
            <w:r w:rsidRPr="008B5E99">
              <w:rPr>
                <w:bCs/>
              </w:rPr>
              <w:t xml:space="preserve"> to the Technical Committee and Steering Committee. </w:t>
            </w:r>
          </w:p>
          <w:p w14:paraId="22E1254C" w14:textId="77777777" w:rsidR="00053587" w:rsidRPr="008B5E99" w:rsidRDefault="00053587" w:rsidP="00053587">
            <w:pPr>
              <w:pStyle w:val="ListParagraph"/>
              <w:ind w:left="402"/>
              <w:rPr>
                <w:bCs/>
              </w:rPr>
            </w:pPr>
          </w:p>
          <w:p w14:paraId="32609AAB" w14:textId="77777777" w:rsidR="008C3C86" w:rsidRPr="008B5E99" w:rsidRDefault="0075020C" w:rsidP="005E6A31">
            <w:pPr>
              <w:pStyle w:val="ListParagraph"/>
              <w:numPr>
                <w:ilvl w:val="0"/>
                <w:numId w:val="19"/>
              </w:numPr>
              <w:ind w:left="402"/>
              <w:rPr>
                <w:bCs/>
              </w:rPr>
            </w:pPr>
            <w:r w:rsidRPr="008B5E99">
              <w:rPr>
                <w:bCs/>
              </w:rPr>
              <w:t xml:space="preserve">Monitoring and evaluation mechanism </w:t>
            </w:r>
            <w:proofErr w:type="gramStart"/>
            <w:r w:rsidRPr="008B5E99">
              <w:rPr>
                <w:bCs/>
              </w:rPr>
              <w:t>is</w:t>
            </w:r>
            <w:proofErr w:type="gramEnd"/>
            <w:r w:rsidRPr="008B5E99">
              <w:rPr>
                <w:bCs/>
              </w:rPr>
              <w:t xml:space="preserve"> listed in the IMDFF-DR</w:t>
            </w:r>
            <w:r w:rsidR="00053587" w:rsidRPr="008B5E99">
              <w:rPr>
                <w:bCs/>
              </w:rPr>
              <w:t xml:space="preserve"> </w:t>
            </w:r>
            <w:r w:rsidRPr="008B5E99">
              <w:rPr>
                <w:bCs/>
              </w:rPr>
              <w:t>implementation guidelines.</w:t>
            </w:r>
          </w:p>
          <w:p w14:paraId="3F1A6597" w14:textId="77777777" w:rsidR="00053587" w:rsidRPr="008B5E99" w:rsidRDefault="00053587" w:rsidP="00053587">
            <w:pPr>
              <w:pStyle w:val="ListParagraph"/>
              <w:ind w:left="0"/>
              <w:rPr>
                <w:bCs/>
              </w:rPr>
            </w:pPr>
          </w:p>
          <w:p w14:paraId="72B83907" w14:textId="77777777" w:rsidR="008C3C86" w:rsidRPr="008B5E99" w:rsidRDefault="0075020C" w:rsidP="005E6A31">
            <w:pPr>
              <w:pStyle w:val="ListParagraph"/>
              <w:numPr>
                <w:ilvl w:val="0"/>
                <w:numId w:val="19"/>
              </w:numPr>
              <w:ind w:left="402"/>
              <w:rPr>
                <w:bCs/>
              </w:rPr>
            </w:pPr>
            <w:r w:rsidRPr="008B5E99">
              <w:rPr>
                <w:bCs/>
              </w:rPr>
              <w:t>Reporting document of coordination meeting and monitoring</w:t>
            </w:r>
            <w:r w:rsidR="00053587" w:rsidRPr="008B5E99">
              <w:rPr>
                <w:bCs/>
              </w:rPr>
              <w:t>.</w:t>
            </w:r>
          </w:p>
          <w:p w14:paraId="2070C651" w14:textId="77777777" w:rsidR="00053587" w:rsidRPr="008B5E99" w:rsidRDefault="00053587" w:rsidP="00053587">
            <w:pPr>
              <w:pStyle w:val="ListParagraph"/>
              <w:ind w:left="0"/>
              <w:rPr>
                <w:bCs/>
              </w:rPr>
            </w:pPr>
          </w:p>
          <w:p w14:paraId="2174E62C" w14:textId="77777777" w:rsidR="0075020C" w:rsidRPr="008B5E99" w:rsidRDefault="00053587" w:rsidP="005E6A31">
            <w:pPr>
              <w:pStyle w:val="ListParagraph"/>
              <w:numPr>
                <w:ilvl w:val="0"/>
                <w:numId w:val="19"/>
              </w:numPr>
              <w:ind w:left="402"/>
              <w:rPr>
                <w:bCs/>
              </w:rPr>
            </w:pPr>
            <w:r w:rsidRPr="008B5E99">
              <w:rPr>
                <w:bCs/>
              </w:rPr>
              <w:t>Dummy of IMDFF-DR Website</w:t>
            </w:r>
            <w:r w:rsidR="0075020C" w:rsidRPr="008B5E99">
              <w:rPr>
                <w:bCs/>
              </w:rPr>
              <w:t>.</w:t>
            </w:r>
          </w:p>
        </w:tc>
      </w:tr>
      <w:tr w:rsidR="0075020C" w:rsidRPr="008B5E99" w14:paraId="3E86E8C1" w14:textId="77777777" w:rsidTr="008040BC">
        <w:trPr>
          <w:trHeight w:val="2116"/>
          <w:jc w:val="center"/>
        </w:trPr>
        <w:tc>
          <w:tcPr>
            <w:tcW w:w="4265" w:type="dxa"/>
            <w:shd w:val="clear" w:color="auto" w:fill="auto"/>
          </w:tcPr>
          <w:p w14:paraId="7D5A58B2" w14:textId="77777777" w:rsidR="0075020C" w:rsidRPr="008B5E99" w:rsidRDefault="0075020C" w:rsidP="0075020C">
            <w:r w:rsidRPr="008B5E99">
              <w:rPr>
                <w:b/>
              </w:rPr>
              <w:t>Output 3</w:t>
            </w:r>
          </w:p>
          <w:p w14:paraId="0E09A625" w14:textId="77777777" w:rsidR="0075020C" w:rsidRPr="008B5E99" w:rsidRDefault="0075020C" w:rsidP="0075020C">
            <w:pPr>
              <w:rPr>
                <w:bCs/>
                <w:lang w:eastAsia="x-none"/>
              </w:rPr>
            </w:pPr>
            <w:r w:rsidRPr="008B5E99">
              <w:rPr>
                <w:bCs/>
                <w:lang w:eastAsia="x-none"/>
              </w:rPr>
              <w:t>Operational assistance provided to the Secretariat in coordinating the implementation of Rehabilitation and Reconstruction interventions funded by foreign grant funding in Central Sulawesi Province and West Nusa Tenggara Province.</w:t>
            </w:r>
          </w:p>
          <w:p w14:paraId="23378820" w14:textId="77777777" w:rsidR="0075020C" w:rsidRPr="008B5E99" w:rsidRDefault="0075020C" w:rsidP="0075020C"/>
          <w:p w14:paraId="246DED52" w14:textId="77777777" w:rsidR="0075020C" w:rsidRPr="008B5E99" w:rsidRDefault="0075020C" w:rsidP="0075020C">
            <w:pPr>
              <w:rPr>
                <w:b/>
              </w:rPr>
            </w:pPr>
            <w:proofErr w:type="gramStart"/>
            <w:r w:rsidRPr="008B5E99">
              <w:rPr>
                <w:b/>
              </w:rPr>
              <w:t>Indicator  1.1.3</w:t>
            </w:r>
            <w:proofErr w:type="gramEnd"/>
          </w:p>
          <w:p w14:paraId="28363763" w14:textId="77777777" w:rsidR="00083CD0" w:rsidRPr="008B5E99" w:rsidRDefault="00083CD0" w:rsidP="002F05F2">
            <w:pPr>
              <w:pStyle w:val="ListParagraph"/>
              <w:ind w:left="0"/>
            </w:pPr>
          </w:p>
          <w:p w14:paraId="42F78737" w14:textId="77777777" w:rsidR="00207165" w:rsidRPr="008B5E99" w:rsidRDefault="00207165" w:rsidP="005E6A31">
            <w:pPr>
              <w:pStyle w:val="ListParagraph"/>
              <w:numPr>
                <w:ilvl w:val="0"/>
                <w:numId w:val="9"/>
              </w:numPr>
              <w:ind w:left="328"/>
              <w:rPr>
                <w:bCs/>
              </w:rPr>
            </w:pPr>
            <w:r w:rsidRPr="008B5E99">
              <w:rPr>
                <w:bCs/>
              </w:rPr>
              <w:t># of multilateral/bilateral partners are facilitated by Secretariat IMDFF-DR to manage their contributions in post-disaster recovery efforts.</w:t>
            </w:r>
          </w:p>
          <w:p w14:paraId="2D0B0FF0" w14:textId="77777777" w:rsidR="00207165" w:rsidRPr="008B5E99" w:rsidRDefault="00207165" w:rsidP="00207165">
            <w:pPr>
              <w:pStyle w:val="ListParagraph"/>
              <w:ind w:left="328"/>
              <w:rPr>
                <w:bCs/>
              </w:rPr>
            </w:pPr>
          </w:p>
          <w:p w14:paraId="1C6F448E" w14:textId="77777777" w:rsidR="00207165" w:rsidRPr="008B5E99" w:rsidRDefault="00207165" w:rsidP="005E6A31">
            <w:pPr>
              <w:pStyle w:val="ListParagraph"/>
              <w:numPr>
                <w:ilvl w:val="0"/>
                <w:numId w:val="9"/>
              </w:numPr>
              <w:ind w:left="328"/>
              <w:rPr>
                <w:bCs/>
              </w:rPr>
            </w:pPr>
            <w:r w:rsidRPr="008B5E99">
              <w:rPr>
                <w:bCs/>
              </w:rPr>
              <w:t>Multi-stakeholder coordination meeting and monitoring of the implementation program/project funded by foreign grants is facilitated and reports available.</w:t>
            </w:r>
          </w:p>
          <w:p w14:paraId="73A5B14F" w14:textId="77777777" w:rsidR="0075020C" w:rsidRPr="008B5E99" w:rsidRDefault="0075020C" w:rsidP="00207165">
            <w:pPr>
              <w:pStyle w:val="ListParagraph"/>
              <w:ind w:left="0"/>
              <w:rPr>
                <w:b/>
              </w:rPr>
            </w:pPr>
          </w:p>
          <w:p w14:paraId="3690069B" w14:textId="77777777" w:rsidR="0075020C" w:rsidRPr="008B5E99" w:rsidRDefault="0075020C" w:rsidP="0075020C">
            <w:pPr>
              <w:rPr>
                <w:b/>
              </w:rPr>
            </w:pPr>
          </w:p>
          <w:p w14:paraId="4E5A3928" w14:textId="77777777" w:rsidR="0075020C" w:rsidRPr="008B5E99" w:rsidRDefault="0075020C" w:rsidP="0075020C">
            <w:pPr>
              <w:rPr>
                <w:b/>
              </w:rPr>
            </w:pPr>
            <w:r w:rsidRPr="008B5E99">
              <w:rPr>
                <w:b/>
              </w:rPr>
              <w:t>Baseline:</w:t>
            </w:r>
          </w:p>
          <w:p w14:paraId="764F8CFE" w14:textId="77777777" w:rsidR="00053587" w:rsidRPr="008B5E99" w:rsidRDefault="00053587" w:rsidP="005E6A31">
            <w:pPr>
              <w:numPr>
                <w:ilvl w:val="0"/>
                <w:numId w:val="25"/>
              </w:numPr>
              <w:ind w:left="328"/>
              <w:rPr>
                <w:bCs/>
              </w:rPr>
            </w:pPr>
            <w:r w:rsidRPr="008B5E99">
              <w:rPr>
                <w:bCs/>
              </w:rPr>
              <w:t>Inability of IMDFF-DR secretariat to maintain its coordination support due to the lack of operational resources.</w:t>
            </w:r>
          </w:p>
          <w:p w14:paraId="64E0E7D4" w14:textId="77777777" w:rsidR="00053587" w:rsidRPr="008B5E99" w:rsidRDefault="00053587" w:rsidP="00053587">
            <w:pPr>
              <w:ind w:left="328"/>
              <w:rPr>
                <w:bCs/>
              </w:rPr>
            </w:pPr>
          </w:p>
          <w:p w14:paraId="232A9E16" w14:textId="77777777" w:rsidR="00053587" w:rsidRPr="008B5E99" w:rsidRDefault="00053587" w:rsidP="005E6A31">
            <w:pPr>
              <w:numPr>
                <w:ilvl w:val="0"/>
                <w:numId w:val="25"/>
              </w:numPr>
              <w:ind w:left="328"/>
              <w:rPr>
                <w:bCs/>
              </w:rPr>
            </w:pPr>
            <w:r w:rsidRPr="008B5E99">
              <w:rPr>
                <w:bCs/>
              </w:rPr>
              <w:t>Discussion over funding contribution happened bilaterally within donors and line ministry that cause many duplications of interventions.</w:t>
            </w:r>
          </w:p>
          <w:p w14:paraId="34FF8550" w14:textId="77777777" w:rsidR="0075020C" w:rsidRPr="008B5E99" w:rsidRDefault="0075020C" w:rsidP="0075020C">
            <w:pPr>
              <w:rPr>
                <w:b/>
              </w:rPr>
            </w:pPr>
          </w:p>
          <w:p w14:paraId="49AA274D" w14:textId="77777777" w:rsidR="008C3C86" w:rsidRPr="008B5E99" w:rsidRDefault="0075020C" w:rsidP="0075020C">
            <w:pPr>
              <w:rPr>
                <w:b/>
              </w:rPr>
            </w:pPr>
            <w:r w:rsidRPr="008B5E99">
              <w:rPr>
                <w:b/>
              </w:rPr>
              <w:t>Planned Target:</w:t>
            </w:r>
          </w:p>
          <w:p w14:paraId="1FB29BA0" w14:textId="77777777" w:rsidR="008C3C86" w:rsidRPr="008B5E99" w:rsidRDefault="008C3C86" w:rsidP="005E6A31">
            <w:pPr>
              <w:pStyle w:val="BodyText"/>
              <w:numPr>
                <w:ilvl w:val="0"/>
                <w:numId w:val="21"/>
              </w:numPr>
              <w:ind w:left="328"/>
              <w:rPr>
                <w:rFonts w:ascii="Times New Roman" w:hAnsi="Times New Roman" w:cs="Times New Roman"/>
                <w:bCs/>
                <w:sz w:val="24"/>
                <w:szCs w:val="24"/>
              </w:rPr>
            </w:pPr>
            <w:r w:rsidRPr="008B5E99">
              <w:rPr>
                <w:rFonts w:ascii="Times New Roman" w:hAnsi="Times New Roman" w:cs="Times New Roman"/>
                <w:bCs/>
                <w:sz w:val="24"/>
                <w:szCs w:val="24"/>
              </w:rPr>
              <w:t>Provision of operational assistance for the Secretariat to:</w:t>
            </w:r>
          </w:p>
          <w:p w14:paraId="22091D1F" w14:textId="77777777" w:rsidR="008C3C86" w:rsidRPr="008B5E99" w:rsidRDefault="0075020C" w:rsidP="005E6A31">
            <w:pPr>
              <w:pStyle w:val="BodyText"/>
              <w:numPr>
                <w:ilvl w:val="1"/>
                <w:numId w:val="21"/>
              </w:numPr>
              <w:ind w:left="612"/>
              <w:rPr>
                <w:rFonts w:ascii="Times New Roman" w:hAnsi="Times New Roman" w:cs="Times New Roman"/>
                <w:bCs/>
                <w:sz w:val="24"/>
                <w:szCs w:val="24"/>
              </w:rPr>
            </w:pPr>
            <w:r w:rsidRPr="008B5E99">
              <w:rPr>
                <w:rFonts w:ascii="Times New Roman" w:hAnsi="Times New Roman" w:cs="Times New Roman"/>
                <w:bCs/>
                <w:sz w:val="24"/>
                <w:szCs w:val="24"/>
              </w:rPr>
              <w:t>Undertake regular coordination meeting with implementation agency, executing agency, local government regarding to the implementation of the project funded by foreign grant under the coordination of IMDFF-DR</w:t>
            </w:r>
            <w:r w:rsidR="008C3C86" w:rsidRPr="008B5E99">
              <w:rPr>
                <w:rFonts w:ascii="Times New Roman" w:hAnsi="Times New Roman" w:cs="Times New Roman"/>
                <w:bCs/>
                <w:sz w:val="24"/>
                <w:szCs w:val="24"/>
              </w:rPr>
              <w:t>.</w:t>
            </w:r>
          </w:p>
          <w:p w14:paraId="52AEF97D" w14:textId="77777777" w:rsidR="00207165" w:rsidRPr="008B5E99" w:rsidRDefault="00207165" w:rsidP="005E6A31">
            <w:pPr>
              <w:pStyle w:val="BodyText"/>
              <w:numPr>
                <w:ilvl w:val="1"/>
                <w:numId w:val="21"/>
              </w:numPr>
              <w:ind w:left="612"/>
              <w:rPr>
                <w:rFonts w:ascii="Times New Roman" w:hAnsi="Times New Roman" w:cs="Times New Roman"/>
                <w:bCs/>
                <w:sz w:val="24"/>
                <w:szCs w:val="24"/>
              </w:rPr>
            </w:pPr>
            <w:r w:rsidRPr="008B5E99">
              <w:rPr>
                <w:rFonts w:ascii="Times New Roman" w:hAnsi="Times New Roman" w:cs="Times New Roman"/>
                <w:bCs/>
                <w:sz w:val="24"/>
                <w:szCs w:val="24"/>
              </w:rPr>
              <w:t>Undertake monitoring and evaluation of the project implementation under the coordination of IMDFF-DR and provide reports to the Technical Committee and Steering Committee.</w:t>
            </w:r>
          </w:p>
          <w:p w14:paraId="1DA61857" w14:textId="77777777" w:rsidR="00207165" w:rsidRPr="008B5E99" w:rsidRDefault="00207165" w:rsidP="00207165">
            <w:pPr>
              <w:pStyle w:val="ListParagraph"/>
              <w:ind w:left="328"/>
              <w:rPr>
                <w:bCs/>
              </w:rPr>
            </w:pPr>
          </w:p>
          <w:p w14:paraId="0800729D" w14:textId="77777777" w:rsidR="0075020C" w:rsidRPr="008B5E99" w:rsidRDefault="008C3C86" w:rsidP="005E6A31">
            <w:pPr>
              <w:pStyle w:val="BodyText"/>
              <w:numPr>
                <w:ilvl w:val="0"/>
                <w:numId w:val="21"/>
              </w:numPr>
              <w:ind w:left="328"/>
              <w:rPr>
                <w:rFonts w:ascii="Times New Roman" w:hAnsi="Times New Roman" w:cs="Times New Roman"/>
                <w:bCs/>
                <w:sz w:val="24"/>
                <w:szCs w:val="24"/>
              </w:rPr>
            </w:pPr>
            <w:r w:rsidRPr="008B5E99">
              <w:rPr>
                <w:rFonts w:ascii="Times New Roman" w:hAnsi="Times New Roman" w:cs="Times New Roman"/>
                <w:bCs/>
                <w:sz w:val="24"/>
                <w:szCs w:val="24"/>
              </w:rPr>
              <w:t>Provision of s</w:t>
            </w:r>
            <w:r w:rsidR="00207165" w:rsidRPr="008B5E99">
              <w:rPr>
                <w:rFonts w:ascii="Times New Roman" w:hAnsi="Times New Roman" w:cs="Times New Roman"/>
                <w:bCs/>
                <w:sz w:val="24"/>
                <w:szCs w:val="24"/>
              </w:rPr>
              <w:t>upport</w:t>
            </w:r>
            <w:r w:rsidRPr="008B5E99">
              <w:rPr>
                <w:rFonts w:ascii="Times New Roman" w:hAnsi="Times New Roman" w:cs="Times New Roman"/>
                <w:bCs/>
                <w:sz w:val="24"/>
                <w:szCs w:val="24"/>
              </w:rPr>
              <w:t xml:space="preserve"> personnel</w:t>
            </w:r>
            <w:r w:rsidR="00207165" w:rsidRPr="008B5E99">
              <w:rPr>
                <w:rFonts w:ascii="Times New Roman" w:hAnsi="Times New Roman" w:cs="Times New Roman"/>
                <w:bCs/>
                <w:sz w:val="24"/>
                <w:szCs w:val="24"/>
              </w:rPr>
              <w:t xml:space="preserve"> to strengthen </w:t>
            </w:r>
            <w:r w:rsidRPr="008B5E99">
              <w:rPr>
                <w:rFonts w:ascii="Times New Roman" w:hAnsi="Times New Roman" w:cs="Times New Roman"/>
                <w:bCs/>
                <w:sz w:val="24"/>
                <w:szCs w:val="24"/>
              </w:rPr>
              <w:t xml:space="preserve">operational capacity of </w:t>
            </w:r>
            <w:r w:rsidR="00F15466">
              <w:rPr>
                <w:rFonts w:ascii="Times New Roman" w:hAnsi="Times New Roman" w:cs="Times New Roman"/>
                <w:bCs/>
                <w:sz w:val="24"/>
                <w:szCs w:val="24"/>
              </w:rPr>
              <w:t>t</w:t>
            </w:r>
            <w:r w:rsidRPr="008B5E99">
              <w:rPr>
                <w:rFonts w:ascii="Times New Roman" w:hAnsi="Times New Roman" w:cs="Times New Roman"/>
                <w:bCs/>
                <w:sz w:val="24"/>
                <w:szCs w:val="24"/>
              </w:rPr>
              <w:t xml:space="preserve">he </w:t>
            </w:r>
            <w:r w:rsidR="00207165" w:rsidRPr="008B5E99">
              <w:rPr>
                <w:rFonts w:ascii="Times New Roman" w:hAnsi="Times New Roman" w:cs="Times New Roman"/>
                <w:bCs/>
                <w:sz w:val="24"/>
                <w:szCs w:val="24"/>
              </w:rPr>
              <w:t>MDFF-DR</w:t>
            </w:r>
            <w:r w:rsidR="001B5C4F">
              <w:rPr>
                <w:rFonts w:ascii="Times New Roman" w:hAnsi="Times New Roman" w:cs="Times New Roman"/>
                <w:bCs/>
                <w:sz w:val="24"/>
                <w:szCs w:val="24"/>
              </w:rPr>
              <w:t xml:space="preserve"> </w:t>
            </w:r>
            <w:r w:rsidRPr="008B5E99">
              <w:rPr>
                <w:rFonts w:ascii="Times New Roman" w:hAnsi="Times New Roman" w:cs="Times New Roman"/>
                <w:bCs/>
                <w:sz w:val="24"/>
                <w:szCs w:val="24"/>
              </w:rPr>
              <w:t xml:space="preserve">secretariat </w:t>
            </w:r>
            <w:r w:rsidR="00207165" w:rsidRPr="008B5E99">
              <w:rPr>
                <w:rFonts w:ascii="Times New Roman" w:hAnsi="Times New Roman" w:cs="Times New Roman"/>
                <w:bCs/>
                <w:sz w:val="24"/>
                <w:szCs w:val="24"/>
              </w:rPr>
              <w:t>in BNPB.</w:t>
            </w:r>
          </w:p>
        </w:tc>
        <w:tc>
          <w:tcPr>
            <w:tcW w:w="3745" w:type="dxa"/>
            <w:shd w:val="clear" w:color="auto" w:fill="auto"/>
          </w:tcPr>
          <w:p w14:paraId="14399C92" w14:textId="77777777" w:rsidR="0075020C" w:rsidRPr="008B5E99" w:rsidRDefault="0075020C" w:rsidP="0075020C">
            <w:pPr>
              <w:pStyle w:val="BodyText"/>
              <w:rPr>
                <w:rFonts w:ascii="Times New Roman" w:hAnsi="Times New Roman" w:cs="Times New Roman"/>
                <w:bCs/>
                <w:sz w:val="24"/>
                <w:szCs w:val="24"/>
              </w:rPr>
            </w:pPr>
          </w:p>
          <w:p w14:paraId="013854F9" w14:textId="77777777" w:rsidR="0075020C" w:rsidRPr="008B5E99" w:rsidRDefault="0075020C" w:rsidP="0075020C">
            <w:pPr>
              <w:pStyle w:val="BodyText"/>
              <w:rPr>
                <w:rFonts w:ascii="Times New Roman" w:hAnsi="Times New Roman" w:cs="Times New Roman"/>
                <w:bCs/>
                <w:sz w:val="24"/>
                <w:szCs w:val="24"/>
              </w:rPr>
            </w:pPr>
          </w:p>
          <w:p w14:paraId="69209651" w14:textId="77777777" w:rsidR="00207165" w:rsidRPr="008B5E99" w:rsidRDefault="00207165" w:rsidP="0075020C">
            <w:pPr>
              <w:pStyle w:val="BodyText"/>
              <w:rPr>
                <w:rFonts w:ascii="Times New Roman" w:hAnsi="Times New Roman" w:cs="Times New Roman"/>
                <w:bCs/>
                <w:sz w:val="24"/>
                <w:szCs w:val="24"/>
              </w:rPr>
            </w:pPr>
          </w:p>
          <w:p w14:paraId="223394AB" w14:textId="77777777" w:rsidR="00207165" w:rsidRPr="008B5E99" w:rsidRDefault="00207165" w:rsidP="0075020C">
            <w:pPr>
              <w:pStyle w:val="BodyText"/>
              <w:rPr>
                <w:rFonts w:ascii="Times New Roman" w:hAnsi="Times New Roman" w:cs="Times New Roman"/>
                <w:bCs/>
                <w:sz w:val="24"/>
                <w:szCs w:val="24"/>
              </w:rPr>
            </w:pPr>
          </w:p>
          <w:p w14:paraId="2FDB3100" w14:textId="77777777" w:rsidR="00207165" w:rsidRPr="008B5E99" w:rsidRDefault="00207165" w:rsidP="0075020C">
            <w:pPr>
              <w:pStyle w:val="BodyText"/>
              <w:rPr>
                <w:rFonts w:ascii="Times New Roman" w:hAnsi="Times New Roman" w:cs="Times New Roman"/>
                <w:bCs/>
                <w:sz w:val="24"/>
                <w:szCs w:val="24"/>
              </w:rPr>
            </w:pPr>
          </w:p>
          <w:p w14:paraId="06F38E6B" w14:textId="77777777" w:rsidR="0075020C" w:rsidRPr="008B5E99" w:rsidRDefault="0075020C" w:rsidP="0075020C">
            <w:pPr>
              <w:pStyle w:val="BodyText"/>
              <w:rPr>
                <w:rFonts w:ascii="Times New Roman" w:hAnsi="Times New Roman" w:cs="Times New Roman"/>
                <w:bCs/>
                <w:sz w:val="24"/>
                <w:szCs w:val="24"/>
              </w:rPr>
            </w:pPr>
          </w:p>
          <w:p w14:paraId="48AB41F0" w14:textId="77777777" w:rsidR="0075020C" w:rsidRPr="008B5E99" w:rsidRDefault="0075020C" w:rsidP="0075020C">
            <w:pPr>
              <w:pStyle w:val="BodyText"/>
              <w:rPr>
                <w:rFonts w:ascii="Times New Roman" w:hAnsi="Times New Roman" w:cs="Times New Roman"/>
                <w:bCs/>
                <w:sz w:val="24"/>
                <w:szCs w:val="24"/>
              </w:rPr>
            </w:pPr>
          </w:p>
          <w:p w14:paraId="6D0D6E53" w14:textId="77777777" w:rsidR="0075020C" w:rsidRPr="008B5E99" w:rsidRDefault="0075020C" w:rsidP="0075020C">
            <w:pPr>
              <w:pStyle w:val="BodyText"/>
              <w:rPr>
                <w:rFonts w:ascii="Times New Roman" w:hAnsi="Times New Roman" w:cs="Times New Roman"/>
                <w:bCs/>
                <w:sz w:val="24"/>
                <w:szCs w:val="24"/>
              </w:rPr>
            </w:pPr>
          </w:p>
          <w:p w14:paraId="374E53B3" w14:textId="77777777" w:rsidR="0075020C" w:rsidRPr="008B5E99" w:rsidRDefault="0075020C" w:rsidP="0075020C">
            <w:pPr>
              <w:pStyle w:val="BodyText"/>
              <w:rPr>
                <w:rFonts w:ascii="Times New Roman" w:hAnsi="Times New Roman" w:cs="Times New Roman"/>
                <w:bCs/>
                <w:sz w:val="24"/>
                <w:szCs w:val="24"/>
              </w:rPr>
            </w:pPr>
          </w:p>
          <w:p w14:paraId="52EDC315" w14:textId="77777777" w:rsidR="00083CD0" w:rsidRPr="008B5E99" w:rsidRDefault="00083CD0" w:rsidP="002F05F2">
            <w:pPr>
              <w:pStyle w:val="BodyText"/>
              <w:rPr>
                <w:rFonts w:ascii="Times New Roman" w:hAnsi="Times New Roman" w:cs="Times New Roman"/>
                <w:bCs/>
                <w:sz w:val="24"/>
                <w:szCs w:val="24"/>
              </w:rPr>
            </w:pPr>
          </w:p>
          <w:p w14:paraId="0661DA4B" w14:textId="304CC3C7" w:rsidR="00207165" w:rsidRPr="008B5E99" w:rsidRDefault="00207165" w:rsidP="005E6A31">
            <w:pPr>
              <w:pStyle w:val="BodyText"/>
              <w:numPr>
                <w:ilvl w:val="0"/>
                <w:numId w:val="20"/>
              </w:numPr>
              <w:ind w:left="286"/>
              <w:rPr>
                <w:rFonts w:ascii="Times New Roman" w:hAnsi="Times New Roman" w:cs="Times New Roman"/>
                <w:bCs/>
                <w:sz w:val="24"/>
                <w:szCs w:val="24"/>
              </w:rPr>
            </w:pPr>
            <w:r w:rsidRPr="001B5C4F">
              <w:rPr>
                <w:rFonts w:ascii="Times New Roman" w:hAnsi="Times New Roman" w:cs="Times New Roman"/>
                <w:bCs/>
                <w:sz w:val="24"/>
                <w:szCs w:val="24"/>
              </w:rPr>
              <w:t xml:space="preserve">Secretariat IMDFF-DR has facilitated coordination meetings for </w:t>
            </w:r>
            <w:r w:rsidR="00D763D8">
              <w:rPr>
                <w:rFonts w:ascii="Times New Roman" w:hAnsi="Times New Roman" w:cs="Times New Roman"/>
                <w:bCs/>
                <w:sz w:val="24"/>
                <w:szCs w:val="24"/>
              </w:rPr>
              <w:t xml:space="preserve">grant </w:t>
            </w:r>
            <w:r w:rsidRPr="001B5C4F">
              <w:rPr>
                <w:rFonts w:ascii="Times New Roman" w:hAnsi="Times New Roman" w:cs="Times New Roman"/>
                <w:bCs/>
                <w:sz w:val="24"/>
                <w:szCs w:val="24"/>
              </w:rPr>
              <w:t xml:space="preserve">contributions from </w:t>
            </w:r>
            <w:proofErr w:type="spellStart"/>
            <w:r w:rsidRPr="001B5C4F">
              <w:rPr>
                <w:rFonts w:ascii="Times New Roman" w:hAnsi="Times New Roman" w:cs="Times New Roman"/>
                <w:bCs/>
                <w:sz w:val="24"/>
                <w:szCs w:val="24"/>
                <w:lang w:val="en"/>
              </w:rPr>
              <w:t>KfW</w:t>
            </w:r>
            <w:proofErr w:type="spellEnd"/>
            <w:r w:rsidRPr="001B5C4F">
              <w:rPr>
                <w:rFonts w:ascii="Times New Roman" w:hAnsi="Times New Roman" w:cs="Times New Roman"/>
                <w:bCs/>
                <w:sz w:val="24"/>
                <w:szCs w:val="24"/>
                <w:lang w:val="en"/>
              </w:rPr>
              <w:t xml:space="preserve">, Government of Qatar, JICA, and Government of New Zealand and continue </w:t>
            </w:r>
            <w:r w:rsidR="00BD15E8">
              <w:rPr>
                <w:rFonts w:ascii="Times New Roman" w:hAnsi="Times New Roman" w:cs="Times New Roman"/>
                <w:bCs/>
                <w:sz w:val="24"/>
                <w:szCs w:val="24"/>
                <w:lang w:val="en"/>
              </w:rPr>
              <w:t xml:space="preserve">exploring </w:t>
            </w:r>
            <w:r w:rsidRPr="001B5C4F">
              <w:rPr>
                <w:rFonts w:ascii="Times New Roman" w:hAnsi="Times New Roman" w:cs="Times New Roman"/>
                <w:bCs/>
                <w:sz w:val="24"/>
                <w:szCs w:val="24"/>
              </w:rPr>
              <w:t>other multilateral/bilateral partners to identify potential contribution for post-disaster recovery.</w:t>
            </w:r>
            <w:r w:rsidRPr="008B5E99">
              <w:rPr>
                <w:rFonts w:ascii="Times New Roman" w:hAnsi="Times New Roman" w:cs="Times New Roman"/>
                <w:bCs/>
                <w:sz w:val="24"/>
                <w:szCs w:val="24"/>
              </w:rPr>
              <w:t xml:space="preserve"> These grants will be allocated to support post-disaster recovery in West Nusa Tenggara and Central Sulawesi. Several coordination meetings with relevant stakeholder in BNPB, </w:t>
            </w:r>
            <w:proofErr w:type="spellStart"/>
            <w:r w:rsidRPr="008B5E99">
              <w:rPr>
                <w:rFonts w:ascii="Times New Roman" w:hAnsi="Times New Roman" w:cs="Times New Roman"/>
                <w:bCs/>
                <w:sz w:val="24"/>
                <w:szCs w:val="24"/>
              </w:rPr>
              <w:t>Bappenas</w:t>
            </w:r>
            <w:proofErr w:type="spellEnd"/>
            <w:r w:rsidRPr="008B5E99">
              <w:rPr>
                <w:rFonts w:ascii="Times New Roman" w:hAnsi="Times New Roman" w:cs="Times New Roman"/>
                <w:bCs/>
                <w:sz w:val="24"/>
                <w:szCs w:val="24"/>
              </w:rPr>
              <w:t xml:space="preserve"> and Ministry of Foreign Affairs</w:t>
            </w:r>
            <w:r w:rsidR="008C3C86" w:rsidRPr="008B5E99">
              <w:rPr>
                <w:rFonts w:ascii="Times New Roman" w:hAnsi="Times New Roman" w:cs="Times New Roman"/>
                <w:bCs/>
                <w:sz w:val="24"/>
                <w:szCs w:val="24"/>
              </w:rPr>
              <w:t xml:space="preserve"> conducted</w:t>
            </w:r>
            <w:r w:rsidRPr="008B5E99">
              <w:rPr>
                <w:rFonts w:ascii="Times New Roman" w:hAnsi="Times New Roman" w:cs="Times New Roman"/>
                <w:bCs/>
                <w:sz w:val="24"/>
                <w:szCs w:val="24"/>
              </w:rPr>
              <w:t xml:space="preserve"> to discuss the draft of grant agreement (partnership arrangement or MoU) and the utilization of grants in accordance with Action Plan for Rehabilitation and Reconstruction in both Province West Nusa Tenggara and Central Sulawesi</w:t>
            </w:r>
            <w:r w:rsidR="008C3C86" w:rsidRPr="008B5E99">
              <w:rPr>
                <w:rFonts w:ascii="Times New Roman" w:hAnsi="Times New Roman" w:cs="Times New Roman"/>
                <w:bCs/>
                <w:sz w:val="24"/>
                <w:szCs w:val="24"/>
              </w:rPr>
              <w:t>.</w:t>
            </w:r>
          </w:p>
          <w:p w14:paraId="730024AB" w14:textId="77777777" w:rsidR="008C3C86" w:rsidRPr="008B5E99" w:rsidRDefault="008C3C86" w:rsidP="008C3C86">
            <w:pPr>
              <w:pStyle w:val="BodyText"/>
              <w:rPr>
                <w:rFonts w:ascii="Times New Roman" w:hAnsi="Times New Roman" w:cs="Times New Roman"/>
                <w:bCs/>
                <w:sz w:val="24"/>
                <w:szCs w:val="24"/>
              </w:rPr>
            </w:pPr>
          </w:p>
          <w:p w14:paraId="678BA184" w14:textId="77777777" w:rsidR="0075020C" w:rsidRPr="008B5E99" w:rsidRDefault="0075020C" w:rsidP="005E6A31">
            <w:pPr>
              <w:pStyle w:val="BodyText"/>
              <w:numPr>
                <w:ilvl w:val="0"/>
                <w:numId w:val="20"/>
              </w:numPr>
              <w:ind w:left="286"/>
              <w:rPr>
                <w:rFonts w:ascii="Times New Roman" w:hAnsi="Times New Roman" w:cs="Times New Roman"/>
                <w:bCs/>
                <w:sz w:val="24"/>
                <w:szCs w:val="24"/>
              </w:rPr>
            </w:pPr>
            <w:r w:rsidRPr="008B5E99">
              <w:rPr>
                <w:rFonts w:ascii="Times New Roman" w:hAnsi="Times New Roman" w:cs="Times New Roman"/>
                <w:bCs/>
                <w:sz w:val="24"/>
                <w:szCs w:val="24"/>
              </w:rPr>
              <w:t xml:space="preserve">Secretariat IMDFF-DR has facilitated series of coordination meeting among </w:t>
            </w:r>
            <w:proofErr w:type="spellStart"/>
            <w:r w:rsidRPr="008B5E99">
              <w:rPr>
                <w:rFonts w:ascii="Times New Roman" w:hAnsi="Times New Roman" w:cs="Times New Roman"/>
                <w:bCs/>
                <w:sz w:val="24"/>
                <w:szCs w:val="24"/>
              </w:rPr>
              <w:t>Bappenas</w:t>
            </w:r>
            <w:proofErr w:type="spellEnd"/>
            <w:r w:rsidRPr="008B5E99">
              <w:rPr>
                <w:rFonts w:ascii="Times New Roman" w:hAnsi="Times New Roman" w:cs="Times New Roman"/>
                <w:bCs/>
                <w:sz w:val="24"/>
                <w:szCs w:val="24"/>
              </w:rPr>
              <w:t>, BNPB, UNDP, and local government at provincial and district level in West Nusa Tenggara and Central Sulawesi to identify the potential public infrastructure that eligible to be funded by grant from Government of Germany</w:t>
            </w:r>
            <w:r w:rsidR="008C3C86" w:rsidRPr="008B5E99">
              <w:rPr>
                <w:rFonts w:ascii="Times New Roman" w:hAnsi="Times New Roman" w:cs="Times New Roman"/>
                <w:bCs/>
                <w:sz w:val="24"/>
                <w:szCs w:val="24"/>
              </w:rPr>
              <w:t xml:space="preserve"> (</w:t>
            </w:r>
            <w:proofErr w:type="spellStart"/>
            <w:r w:rsidR="008C3C86" w:rsidRPr="008B5E99">
              <w:rPr>
                <w:rFonts w:ascii="Times New Roman" w:hAnsi="Times New Roman" w:cs="Times New Roman"/>
                <w:bCs/>
                <w:sz w:val="24"/>
                <w:szCs w:val="24"/>
              </w:rPr>
              <w:t>KfW</w:t>
            </w:r>
            <w:proofErr w:type="spellEnd"/>
            <w:r w:rsidR="008C3C86" w:rsidRPr="008B5E99">
              <w:rPr>
                <w:rFonts w:ascii="Times New Roman" w:hAnsi="Times New Roman" w:cs="Times New Roman"/>
                <w:bCs/>
                <w:sz w:val="24"/>
                <w:szCs w:val="24"/>
              </w:rPr>
              <w:t>)</w:t>
            </w:r>
            <w:r w:rsidRPr="008B5E99">
              <w:rPr>
                <w:rFonts w:ascii="Times New Roman" w:hAnsi="Times New Roman" w:cs="Times New Roman"/>
                <w:bCs/>
                <w:sz w:val="24"/>
                <w:szCs w:val="24"/>
              </w:rPr>
              <w:t xml:space="preserve"> base on readiness criteria has been agreed.</w:t>
            </w:r>
            <w:r w:rsidR="008C3C86" w:rsidRPr="008B5E99">
              <w:rPr>
                <w:rFonts w:ascii="Times New Roman" w:hAnsi="Times New Roman" w:cs="Times New Roman"/>
                <w:bCs/>
                <w:sz w:val="24"/>
                <w:szCs w:val="24"/>
              </w:rPr>
              <w:t xml:space="preserve"> This include </w:t>
            </w:r>
            <w:r w:rsidRPr="008B5E99">
              <w:rPr>
                <w:rFonts w:ascii="Times New Roman" w:hAnsi="Times New Roman" w:cs="Times New Roman"/>
                <w:bCs/>
                <w:sz w:val="24"/>
                <w:szCs w:val="24"/>
              </w:rPr>
              <w:t>coordinati</w:t>
            </w:r>
            <w:r w:rsidR="008C3C86" w:rsidRPr="008B5E99">
              <w:rPr>
                <w:rFonts w:ascii="Times New Roman" w:hAnsi="Times New Roman" w:cs="Times New Roman"/>
                <w:bCs/>
                <w:sz w:val="24"/>
                <w:szCs w:val="24"/>
              </w:rPr>
              <w:t xml:space="preserve">ng the fund </w:t>
            </w:r>
            <w:r w:rsidRPr="008B5E99">
              <w:rPr>
                <w:rFonts w:ascii="Times New Roman" w:hAnsi="Times New Roman" w:cs="Times New Roman"/>
                <w:bCs/>
                <w:sz w:val="24"/>
                <w:szCs w:val="24"/>
              </w:rPr>
              <w:t>with related line ministries and multilateral/bilateral development partners to avoid funding duplication.</w:t>
            </w:r>
          </w:p>
          <w:p w14:paraId="72C02648" w14:textId="77777777" w:rsidR="00207165" w:rsidRPr="008B5E99" w:rsidRDefault="00207165" w:rsidP="00207165">
            <w:pPr>
              <w:pStyle w:val="BodyText"/>
              <w:rPr>
                <w:rFonts w:ascii="Times New Roman" w:hAnsi="Times New Roman" w:cs="Times New Roman"/>
                <w:bCs/>
                <w:sz w:val="24"/>
                <w:szCs w:val="24"/>
              </w:rPr>
            </w:pPr>
          </w:p>
          <w:p w14:paraId="5089967C" w14:textId="77777777" w:rsidR="0075020C" w:rsidRPr="008B5E99" w:rsidRDefault="0075020C" w:rsidP="005E6A31">
            <w:pPr>
              <w:pStyle w:val="BodyText"/>
              <w:numPr>
                <w:ilvl w:val="0"/>
                <w:numId w:val="20"/>
              </w:numPr>
              <w:ind w:left="286"/>
              <w:rPr>
                <w:rFonts w:ascii="Times New Roman" w:hAnsi="Times New Roman" w:cs="Times New Roman"/>
                <w:bCs/>
                <w:sz w:val="24"/>
                <w:szCs w:val="24"/>
              </w:rPr>
            </w:pPr>
            <w:r w:rsidRPr="008B5E99">
              <w:rPr>
                <w:rFonts w:ascii="Times New Roman" w:hAnsi="Times New Roman" w:cs="Times New Roman"/>
                <w:bCs/>
                <w:sz w:val="24"/>
                <w:szCs w:val="24"/>
              </w:rPr>
              <w:t xml:space="preserve">Secretariat IMDFF-DR is also facilitating the preparation of grants from Government of New Zealand and Qatar Development Fund. </w:t>
            </w:r>
          </w:p>
        </w:tc>
        <w:tc>
          <w:tcPr>
            <w:tcW w:w="3960" w:type="dxa"/>
            <w:shd w:val="clear" w:color="auto" w:fill="auto"/>
          </w:tcPr>
          <w:p w14:paraId="495EF67A" w14:textId="77777777" w:rsidR="0075020C" w:rsidRPr="008B5E99" w:rsidRDefault="0075020C" w:rsidP="0075020C">
            <w:pPr>
              <w:pStyle w:val="BodyText"/>
              <w:rPr>
                <w:rFonts w:ascii="Times New Roman" w:hAnsi="Times New Roman" w:cs="Times New Roman"/>
                <w:bCs/>
                <w:sz w:val="24"/>
                <w:szCs w:val="24"/>
              </w:rPr>
            </w:pPr>
          </w:p>
        </w:tc>
        <w:tc>
          <w:tcPr>
            <w:tcW w:w="2857" w:type="dxa"/>
            <w:shd w:val="clear" w:color="auto" w:fill="auto"/>
          </w:tcPr>
          <w:p w14:paraId="5B228195" w14:textId="77777777" w:rsidR="0075020C" w:rsidRPr="008B5E99" w:rsidRDefault="0075020C" w:rsidP="0075020C">
            <w:pPr>
              <w:pStyle w:val="BodyText"/>
              <w:rPr>
                <w:rFonts w:ascii="Times New Roman" w:hAnsi="Times New Roman" w:cs="Times New Roman"/>
                <w:bCs/>
                <w:sz w:val="24"/>
                <w:szCs w:val="24"/>
              </w:rPr>
            </w:pPr>
          </w:p>
          <w:p w14:paraId="55D2141C" w14:textId="77777777" w:rsidR="0075020C" w:rsidRPr="008B5E99" w:rsidRDefault="0075020C" w:rsidP="0075020C">
            <w:pPr>
              <w:pStyle w:val="BodyText"/>
              <w:rPr>
                <w:rFonts w:ascii="Times New Roman" w:hAnsi="Times New Roman" w:cs="Times New Roman"/>
                <w:bCs/>
                <w:sz w:val="24"/>
                <w:szCs w:val="24"/>
              </w:rPr>
            </w:pPr>
          </w:p>
          <w:p w14:paraId="775A4DFC" w14:textId="77777777" w:rsidR="0075020C" w:rsidRPr="008B5E99" w:rsidRDefault="0075020C" w:rsidP="0075020C">
            <w:pPr>
              <w:pStyle w:val="BodyText"/>
              <w:rPr>
                <w:rFonts w:ascii="Times New Roman" w:hAnsi="Times New Roman" w:cs="Times New Roman"/>
                <w:bCs/>
                <w:sz w:val="24"/>
                <w:szCs w:val="24"/>
              </w:rPr>
            </w:pPr>
          </w:p>
          <w:p w14:paraId="5E6EB841" w14:textId="77777777" w:rsidR="0075020C" w:rsidRPr="008B5E99" w:rsidRDefault="0075020C" w:rsidP="0075020C">
            <w:pPr>
              <w:pStyle w:val="BodyText"/>
              <w:rPr>
                <w:rFonts w:ascii="Times New Roman" w:hAnsi="Times New Roman" w:cs="Times New Roman"/>
                <w:bCs/>
                <w:sz w:val="24"/>
                <w:szCs w:val="24"/>
              </w:rPr>
            </w:pPr>
          </w:p>
          <w:p w14:paraId="589F6B41" w14:textId="77777777" w:rsidR="0075020C" w:rsidRPr="008B5E99" w:rsidRDefault="0075020C" w:rsidP="0075020C">
            <w:pPr>
              <w:pStyle w:val="BodyText"/>
              <w:rPr>
                <w:rFonts w:ascii="Times New Roman" w:hAnsi="Times New Roman" w:cs="Times New Roman"/>
                <w:bCs/>
                <w:sz w:val="24"/>
                <w:szCs w:val="24"/>
              </w:rPr>
            </w:pPr>
          </w:p>
          <w:p w14:paraId="76E28E0D" w14:textId="77777777" w:rsidR="0075020C" w:rsidRPr="008B5E99" w:rsidRDefault="0075020C" w:rsidP="0075020C">
            <w:pPr>
              <w:pStyle w:val="BodyText"/>
              <w:rPr>
                <w:rFonts w:ascii="Times New Roman" w:hAnsi="Times New Roman" w:cs="Times New Roman"/>
                <w:bCs/>
                <w:sz w:val="24"/>
                <w:szCs w:val="24"/>
              </w:rPr>
            </w:pPr>
          </w:p>
          <w:p w14:paraId="6C708913" w14:textId="77777777" w:rsidR="0075020C" w:rsidRPr="008B5E99" w:rsidRDefault="0075020C" w:rsidP="0075020C">
            <w:pPr>
              <w:pStyle w:val="BodyText"/>
              <w:rPr>
                <w:rFonts w:ascii="Times New Roman" w:hAnsi="Times New Roman" w:cs="Times New Roman"/>
                <w:bCs/>
                <w:sz w:val="24"/>
                <w:szCs w:val="24"/>
              </w:rPr>
            </w:pPr>
          </w:p>
          <w:p w14:paraId="34477D96" w14:textId="77777777" w:rsidR="0075020C" w:rsidRPr="008B5E99" w:rsidRDefault="0075020C" w:rsidP="0075020C">
            <w:pPr>
              <w:pStyle w:val="BodyText"/>
              <w:rPr>
                <w:rFonts w:ascii="Times New Roman" w:hAnsi="Times New Roman" w:cs="Times New Roman"/>
                <w:bCs/>
                <w:sz w:val="24"/>
                <w:szCs w:val="24"/>
              </w:rPr>
            </w:pPr>
          </w:p>
          <w:p w14:paraId="35A9BBAF" w14:textId="77777777" w:rsidR="00053587" w:rsidRPr="008B5E99" w:rsidRDefault="0075020C" w:rsidP="005E6A31">
            <w:pPr>
              <w:pStyle w:val="BodyText"/>
              <w:numPr>
                <w:ilvl w:val="0"/>
                <w:numId w:val="26"/>
              </w:numPr>
              <w:ind w:left="402"/>
              <w:rPr>
                <w:rFonts w:ascii="Times New Roman" w:hAnsi="Times New Roman" w:cs="Times New Roman"/>
                <w:bCs/>
                <w:sz w:val="24"/>
                <w:szCs w:val="24"/>
              </w:rPr>
            </w:pPr>
            <w:r w:rsidRPr="008B5E99">
              <w:rPr>
                <w:rFonts w:ascii="Times New Roman" w:hAnsi="Times New Roman" w:cs="Times New Roman"/>
                <w:bCs/>
                <w:sz w:val="24"/>
                <w:szCs w:val="24"/>
              </w:rPr>
              <w:t>List of agreed public infrastructures to be funded by grant is contain in minutes of meeting of the coordination meeting.</w:t>
            </w:r>
          </w:p>
          <w:p w14:paraId="4B91FA65" w14:textId="77777777" w:rsidR="00053587" w:rsidRPr="008B5E99" w:rsidRDefault="00053587" w:rsidP="00053587">
            <w:pPr>
              <w:pStyle w:val="BodyText"/>
              <w:ind w:left="402"/>
              <w:rPr>
                <w:rFonts w:ascii="Times New Roman" w:hAnsi="Times New Roman" w:cs="Times New Roman"/>
                <w:bCs/>
                <w:sz w:val="24"/>
                <w:szCs w:val="24"/>
              </w:rPr>
            </w:pPr>
          </w:p>
          <w:p w14:paraId="3A3FDC05" w14:textId="77777777" w:rsidR="0075020C" w:rsidRPr="001B5C4F" w:rsidRDefault="0075020C" w:rsidP="005E6A31">
            <w:pPr>
              <w:pStyle w:val="BodyText"/>
              <w:numPr>
                <w:ilvl w:val="0"/>
                <w:numId w:val="26"/>
              </w:numPr>
              <w:ind w:left="402"/>
              <w:rPr>
                <w:rFonts w:ascii="Times New Roman" w:hAnsi="Times New Roman" w:cs="Times New Roman"/>
                <w:bCs/>
                <w:sz w:val="24"/>
                <w:szCs w:val="24"/>
              </w:rPr>
            </w:pPr>
            <w:r w:rsidRPr="001B5C4F">
              <w:rPr>
                <w:rFonts w:ascii="Times New Roman" w:hAnsi="Times New Roman" w:cs="Times New Roman"/>
                <w:bCs/>
                <w:sz w:val="24"/>
                <w:szCs w:val="24"/>
              </w:rPr>
              <w:t>Draft of grant agreement (partnership arrangement or MoU)</w:t>
            </w:r>
            <w:r w:rsidR="00D763D8">
              <w:rPr>
                <w:rFonts w:ascii="Times New Roman" w:hAnsi="Times New Roman" w:cs="Times New Roman"/>
                <w:bCs/>
                <w:sz w:val="24"/>
                <w:szCs w:val="24"/>
              </w:rPr>
              <w:t xml:space="preserve"> with Government of Qatar and New Zealand</w:t>
            </w:r>
            <w:r w:rsidRPr="001B5C4F">
              <w:rPr>
                <w:rFonts w:ascii="Times New Roman" w:hAnsi="Times New Roman" w:cs="Times New Roman"/>
                <w:bCs/>
                <w:sz w:val="24"/>
                <w:szCs w:val="24"/>
              </w:rPr>
              <w:t>.</w:t>
            </w:r>
          </w:p>
          <w:p w14:paraId="3EE871CD" w14:textId="77777777" w:rsidR="008040BC" w:rsidRPr="008B5E99" w:rsidRDefault="008040BC" w:rsidP="008040BC">
            <w:pPr>
              <w:pStyle w:val="ListParagraph"/>
              <w:rPr>
                <w:bCs/>
              </w:rPr>
            </w:pPr>
          </w:p>
          <w:p w14:paraId="766291F9" w14:textId="77777777" w:rsidR="008040BC" w:rsidRPr="008B5E99" w:rsidRDefault="008040BC" w:rsidP="005E6A31">
            <w:pPr>
              <w:pStyle w:val="BodyText"/>
              <w:numPr>
                <w:ilvl w:val="0"/>
                <w:numId w:val="26"/>
              </w:numPr>
              <w:ind w:left="402"/>
              <w:rPr>
                <w:rFonts w:ascii="Times New Roman" w:hAnsi="Times New Roman" w:cs="Times New Roman"/>
                <w:bCs/>
                <w:sz w:val="24"/>
                <w:szCs w:val="24"/>
              </w:rPr>
            </w:pPr>
            <w:r w:rsidRPr="008B5E99">
              <w:rPr>
                <w:rFonts w:ascii="Times New Roman" w:hAnsi="Times New Roman" w:cs="Times New Roman"/>
                <w:bCs/>
                <w:sz w:val="24"/>
                <w:szCs w:val="24"/>
              </w:rPr>
              <w:t>Minutes of coordination meetings and verification processes.</w:t>
            </w:r>
          </w:p>
        </w:tc>
      </w:tr>
    </w:tbl>
    <w:p w14:paraId="589C1226" w14:textId="77777777" w:rsidR="0075020C" w:rsidRDefault="0075020C" w:rsidP="0075020C">
      <w:pPr>
        <w:pStyle w:val="BodyText"/>
        <w:tabs>
          <w:tab w:val="left" w:pos="360"/>
        </w:tabs>
        <w:ind w:left="720"/>
        <w:jc w:val="both"/>
        <w:rPr>
          <w:rFonts w:ascii="Times New Roman" w:hAnsi="Times New Roman"/>
          <w:sz w:val="24"/>
        </w:rPr>
      </w:pPr>
    </w:p>
    <w:p w14:paraId="76711411" w14:textId="77777777" w:rsidR="0075020C" w:rsidRDefault="0075020C" w:rsidP="0075020C">
      <w:pPr>
        <w:pStyle w:val="BodyText"/>
        <w:jc w:val="both"/>
        <w:rPr>
          <w:rFonts w:ascii="Times New Roman" w:hAnsi="Times New Roman"/>
          <w:sz w:val="24"/>
        </w:rPr>
      </w:pPr>
    </w:p>
    <w:p w14:paraId="6B1BCF54" w14:textId="77777777" w:rsidR="0075020C" w:rsidRDefault="0075020C" w:rsidP="0075020C">
      <w:pPr>
        <w:pStyle w:val="BodyText"/>
        <w:jc w:val="both"/>
        <w:rPr>
          <w:rFonts w:ascii="Times New Roman" w:hAnsi="Times New Roman"/>
          <w:sz w:val="24"/>
        </w:rPr>
        <w:sectPr w:rsidR="0075020C" w:rsidSect="005E6A31">
          <w:pgSz w:w="15840" w:h="12240" w:orient="landscape" w:code="1"/>
          <w:pgMar w:top="806" w:right="810" w:bottom="810" w:left="1354" w:header="720" w:footer="418" w:gutter="0"/>
          <w:cols w:space="720"/>
          <w:docGrid w:linePitch="360"/>
        </w:sectPr>
      </w:pPr>
    </w:p>
    <w:p w14:paraId="24EDACCC" w14:textId="4F7970C6" w:rsidR="0075020C" w:rsidRPr="007C14A5" w:rsidRDefault="0075020C" w:rsidP="0075020C">
      <w:pPr>
        <w:pStyle w:val="BodyText"/>
        <w:jc w:val="both"/>
        <w:rPr>
          <w:rFonts w:ascii="Times New Roman" w:hAnsi="Times New Roman"/>
          <w:b/>
          <w:sz w:val="24"/>
        </w:rPr>
      </w:pPr>
      <w:r w:rsidRPr="00DF4C99">
        <w:rPr>
          <w:rFonts w:ascii="Times New Roman" w:hAnsi="Times New Roman"/>
          <w:b/>
          <w:sz w:val="24"/>
        </w:rPr>
        <w:t xml:space="preserve">iii) </w:t>
      </w:r>
      <w:r>
        <w:rPr>
          <w:rFonts w:ascii="Times New Roman" w:hAnsi="Times New Roman"/>
          <w:b/>
          <w:sz w:val="24"/>
        </w:rPr>
        <w:t>A</w:t>
      </w:r>
      <w:r w:rsidRPr="007C14A5">
        <w:rPr>
          <w:rFonts w:ascii="Times New Roman" w:hAnsi="Times New Roman"/>
          <w:b/>
          <w:sz w:val="24"/>
        </w:rPr>
        <w:t xml:space="preserve"> </w:t>
      </w:r>
      <w:r>
        <w:rPr>
          <w:rFonts w:ascii="Times New Roman" w:hAnsi="Times New Roman"/>
          <w:b/>
          <w:sz w:val="24"/>
        </w:rPr>
        <w:t xml:space="preserve">Specific </w:t>
      </w:r>
      <w:r w:rsidRPr="007C14A5">
        <w:rPr>
          <w:rFonts w:ascii="Times New Roman" w:hAnsi="Times New Roman"/>
          <w:b/>
          <w:sz w:val="24"/>
        </w:rPr>
        <w:t>Story</w:t>
      </w:r>
      <w:r>
        <w:rPr>
          <w:rFonts w:ascii="Times New Roman" w:hAnsi="Times New Roman"/>
          <w:b/>
          <w:sz w:val="24"/>
        </w:rPr>
        <w:t xml:space="preserve"> </w:t>
      </w:r>
    </w:p>
    <w:p w14:paraId="4D0ADB83" w14:textId="77777777" w:rsidR="0075020C" w:rsidRPr="007C14A5" w:rsidRDefault="0075020C" w:rsidP="0075020C">
      <w:pPr>
        <w:pStyle w:val="BodyText"/>
        <w:jc w:val="both"/>
        <w:rPr>
          <w:rFonts w:ascii="Times New Roman" w:hAnsi="Times New Roman"/>
          <w:sz w:val="24"/>
        </w:rPr>
      </w:pPr>
    </w:p>
    <w:p w14:paraId="3493FC6B" w14:textId="77777777" w:rsidR="0075020C" w:rsidRDefault="0075020C" w:rsidP="0075020C">
      <w:pPr>
        <w:pStyle w:val="BodyText"/>
        <w:jc w:val="both"/>
        <w:rPr>
          <w:rFonts w:ascii="Times New Roman" w:hAnsi="Times New Roman"/>
          <w:sz w:val="24"/>
        </w:rPr>
      </w:pPr>
      <w:r w:rsidRPr="007F4F81">
        <w:rPr>
          <w:rFonts w:ascii="Times New Roman" w:hAnsi="Times New Roman"/>
          <w:sz w:val="24"/>
        </w:rPr>
        <w:t>IMDFF-DR</w:t>
      </w:r>
      <w:r w:rsidR="001B5C4F">
        <w:rPr>
          <w:rFonts w:ascii="Times New Roman" w:hAnsi="Times New Roman"/>
          <w:sz w:val="24"/>
        </w:rPr>
        <w:t xml:space="preserve"> </w:t>
      </w:r>
      <w:r w:rsidRPr="007F4F81">
        <w:rPr>
          <w:rFonts w:ascii="Times New Roman" w:hAnsi="Times New Roman"/>
          <w:sz w:val="24"/>
        </w:rPr>
        <w:t>as funding facility is aims to manage the utilization of foreign grants for disaster management to be more effective with broader flexibility in use. The strategy for utilizing foreign grant managed by IMDFF-DR is as a complement, catalytic support and gap filler in supporting government efforts to restore post-disaster areas. IMDFF-DR has carried out its role through facilitate coordination meeting with related line ministries and bilateral/multilateral development partners to identify list of public infrastructures that have potential funding duplication with other sources of funding from the APBN as well as loans from bilateral/multilateral development partners. Several list of infrastructures that will be funded by PETRA Project has been identified duplicate of funding with the list of infrastructures of that will be constructed by Ministry of Public Work. IMDFF-DR have encouraged all parties to agreed that all infrastructures identified duplicate of funding is prioritized funded and implemented through PETRA Project due to readiness for implementation.</w:t>
      </w:r>
    </w:p>
    <w:p w14:paraId="2C4767D1" w14:textId="77777777" w:rsidR="0075020C" w:rsidRDefault="0075020C" w:rsidP="0075020C">
      <w:pPr>
        <w:pStyle w:val="BodyText"/>
        <w:jc w:val="both"/>
        <w:rPr>
          <w:rFonts w:ascii="Times New Roman" w:hAnsi="Times New Roman"/>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10"/>
      </w:tblGrid>
      <w:tr w:rsidR="0075020C" w:rsidRPr="007C14A5" w14:paraId="4D0948CC" w14:textId="77777777" w:rsidTr="007F4F81">
        <w:tc>
          <w:tcPr>
            <w:tcW w:w="10632" w:type="dxa"/>
            <w:shd w:val="clear" w:color="auto" w:fill="auto"/>
          </w:tcPr>
          <w:p w14:paraId="4A6699B0" w14:textId="77777777" w:rsidR="0075020C" w:rsidRPr="007C14A5" w:rsidRDefault="0075020C" w:rsidP="005E6A31">
            <w:pPr>
              <w:pStyle w:val="BodyText"/>
              <w:rPr>
                <w:rFonts w:ascii="Times New Roman" w:hAnsi="Times New Roman"/>
                <w:sz w:val="24"/>
              </w:rPr>
            </w:pPr>
          </w:p>
          <w:p w14:paraId="5D22C9D4" w14:textId="00E83B51" w:rsidR="0075020C" w:rsidRDefault="0075020C" w:rsidP="005E6A31">
            <w:pPr>
              <w:pStyle w:val="BodyText"/>
              <w:jc w:val="both"/>
              <w:rPr>
                <w:rFonts w:ascii="Times New Roman" w:hAnsi="Times New Roman"/>
                <w:sz w:val="24"/>
              </w:rPr>
            </w:pPr>
            <w:r>
              <w:rPr>
                <w:rFonts w:ascii="Times New Roman" w:hAnsi="Times New Roman"/>
                <w:b/>
                <w:sz w:val="24"/>
              </w:rPr>
              <w:t>Problem / Challenge faced</w:t>
            </w:r>
            <w:r w:rsidRPr="007C14A5">
              <w:rPr>
                <w:rFonts w:ascii="Times New Roman" w:hAnsi="Times New Roman"/>
                <w:b/>
                <w:sz w:val="24"/>
              </w:rPr>
              <w:t>:</w:t>
            </w:r>
            <w:r w:rsidRPr="007C14A5">
              <w:rPr>
                <w:rFonts w:ascii="Times New Roman" w:hAnsi="Times New Roman"/>
                <w:sz w:val="24"/>
              </w:rPr>
              <w:t xml:space="preserve"> Describe the specific problem or challenge faced by the subject of your story</w:t>
            </w:r>
            <w:r>
              <w:rPr>
                <w:rFonts w:ascii="Times New Roman" w:hAnsi="Times New Roman"/>
                <w:sz w:val="24"/>
              </w:rPr>
              <w:t>.</w:t>
            </w:r>
          </w:p>
          <w:p w14:paraId="1AA5C281" w14:textId="77777777" w:rsidR="007F4F81" w:rsidRPr="007F4F81" w:rsidRDefault="0075020C" w:rsidP="005E6A31">
            <w:pPr>
              <w:pStyle w:val="BodyText"/>
              <w:numPr>
                <w:ilvl w:val="0"/>
                <w:numId w:val="27"/>
              </w:numPr>
              <w:ind w:left="312"/>
              <w:jc w:val="both"/>
              <w:rPr>
                <w:rFonts w:ascii="Times New Roman" w:hAnsi="Times New Roman"/>
                <w:sz w:val="24"/>
              </w:rPr>
            </w:pPr>
            <w:r w:rsidRPr="007F4F81">
              <w:rPr>
                <w:rFonts w:ascii="Times New Roman" w:hAnsi="Times New Roman"/>
                <w:sz w:val="24"/>
              </w:rPr>
              <w:t xml:space="preserve">Dynamic interaction </w:t>
            </w:r>
            <w:r w:rsidR="007F4F81" w:rsidRPr="007F4F81">
              <w:rPr>
                <w:rFonts w:ascii="Times New Roman" w:hAnsi="Times New Roman"/>
                <w:sz w:val="24"/>
              </w:rPr>
              <w:t xml:space="preserve">and different layer of bureaucracy </w:t>
            </w:r>
            <w:r w:rsidRPr="007F4F81">
              <w:rPr>
                <w:rFonts w:ascii="Times New Roman" w:hAnsi="Times New Roman"/>
                <w:sz w:val="24"/>
              </w:rPr>
              <w:t>in decision making of the project implementation at national level, local government level and implementing agency led to delay implementation of the project activities.</w:t>
            </w:r>
          </w:p>
          <w:p w14:paraId="64238556" w14:textId="77777777" w:rsidR="007F4F81" w:rsidRPr="007F4F81" w:rsidRDefault="007F4F81" w:rsidP="005E6A31">
            <w:pPr>
              <w:pStyle w:val="BodyText"/>
              <w:numPr>
                <w:ilvl w:val="0"/>
                <w:numId w:val="27"/>
              </w:numPr>
              <w:ind w:left="312"/>
              <w:jc w:val="both"/>
              <w:rPr>
                <w:rFonts w:ascii="Times New Roman" w:hAnsi="Times New Roman" w:cs="Times New Roman"/>
                <w:sz w:val="24"/>
                <w:szCs w:val="24"/>
              </w:rPr>
            </w:pPr>
            <w:r w:rsidRPr="007F4F81">
              <w:rPr>
                <w:rFonts w:ascii="Times New Roman" w:hAnsi="Times New Roman" w:cs="Times New Roman"/>
                <w:sz w:val="24"/>
                <w:szCs w:val="24"/>
                <w:lang w:eastAsia="x-none"/>
              </w:rPr>
              <w:t xml:space="preserve">Different understanding of government official about the harmonized rate and UNDP operation policies of which in many cases reduced the interest several officials to participate in Secretariat activities.  </w:t>
            </w:r>
          </w:p>
          <w:p w14:paraId="41BF101B" w14:textId="77777777" w:rsidR="0075020C" w:rsidRPr="007F4F81" w:rsidRDefault="0075020C" w:rsidP="005E6A31">
            <w:pPr>
              <w:pStyle w:val="BodyText"/>
              <w:jc w:val="both"/>
              <w:rPr>
                <w:rFonts w:ascii="Times New Roman" w:hAnsi="Times New Roman"/>
                <w:sz w:val="24"/>
              </w:rPr>
            </w:pPr>
          </w:p>
          <w:p w14:paraId="59D9A9CF" w14:textId="532ED176" w:rsidR="0075020C" w:rsidRPr="007F4F81" w:rsidRDefault="0075020C" w:rsidP="005E6A31">
            <w:pPr>
              <w:pStyle w:val="BodyText"/>
              <w:jc w:val="both"/>
              <w:rPr>
                <w:rFonts w:ascii="Times New Roman" w:hAnsi="Times New Roman"/>
                <w:sz w:val="24"/>
              </w:rPr>
            </w:pPr>
            <w:r w:rsidRPr="007F4F81">
              <w:rPr>
                <w:rFonts w:ascii="Times New Roman" w:hAnsi="Times New Roman"/>
                <w:b/>
                <w:sz w:val="24"/>
              </w:rPr>
              <w:t>Programme Interventions:</w:t>
            </w:r>
            <w:r w:rsidRPr="007F4F81">
              <w:rPr>
                <w:rFonts w:ascii="Times New Roman" w:hAnsi="Times New Roman"/>
                <w:sz w:val="24"/>
              </w:rPr>
              <w:t xml:space="preserve">  </w:t>
            </w:r>
          </w:p>
          <w:p w14:paraId="0E54476A" w14:textId="77777777" w:rsidR="007F4F81" w:rsidRPr="007F4F81" w:rsidRDefault="0075020C" w:rsidP="005E6A31">
            <w:pPr>
              <w:pStyle w:val="BodyText"/>
              <w:numPr>
                <w:ilvl w:val="0"/>
                <w:numId w:val="28"/>
              </w:numPr>
              <w:ind w:left="312"/>
              <w:jc w:val="both"/>
              <w:rPr>
                <w:rFonts w:ascii="Times New Roman" w:hAnsi="Times New Roman"/>
                <w:sz w:val="24"/>
              </w:rPr>
            </w:pPr>
            <w:r w:rsidRPr="007F4F81">
              <w:rPr>
                <w:rFonts w:ascii="Times New Roman" w:hAnsi="Times New Roman"/>
                <w:sz w:val="24"/>
              </w:rPr>
              <w:t>Conducting regular coordination and communication among Secretariat, executing agency, implementing agency and local government.</w:t>
            </w:r>
          </w:p>
          <w:p w14:paraId="52445F7C" w14:textId="77777777" w:rsidR="0075020C" w:rsidRPr="007F4F81" w:rsidRDefault="007F4F81" w:rsidP="005E6A31">
            <w:pPr>
              <w:pStyle w:val="BodyText"/>
              <w:numPr>
                <w:ilvl w:val="0"/>
                <w:numId w:val="28"/>
              </w:numPr>
              <w:ind w:left="312"/>
              <w:jc w:val="both"/>
              <w:rPr>
                <w:rFonts w:ascii="Times New Roman" w:hAnsi="Times New Roman"/>
                <w:sz w:val="24"/>
              </w:rPr>
            </w:pPr>
            <w:r>
              <w:rPr>
                <w:rFonts w:ascii="Times New Roman" w:hAnsi="Times New Roman" w:cs="Times New Roman"/>
                <w:sz w:val="24"/>
                <w:szCs w:val="24"/>
                <w:lang w:eastAsia="x-none"/>
              </w:rPr>
              <w:t xml:space="preserve">UNDP and Secretariat team continuously </w:t>
            </w:r>
            <w:r w:rsidRPr="007F4F81">
              <w:rPr>
                <w:rFonts w:ascii="Times New Roman" w:hAnsi="Times New Roman" w:cs="Times New Roman"/>
                <w:sz w:val="24"/>
                <w:szCs w:val="24"/>
                <w:lang w:eastAsia="x-none"/>
              </w:rPr>
              <w:t>provide explanation of the relevant policies e.g. travel allowance, per diem, ticket booking, to all government officials and obtain their consent to accept the policy prior to undertaking operation actions.</w:t>
            </w:r>
          </w:p>
          <w:p w14:paraId="240FF7CF" w14:textId="77777777" w:rsidR="0075020C" w:rsidRDefault="0075020C" w:rsidP="005E6A31">
            <w:pPr>
              <w:pStyle w:val="BodyText"/>
              <w:jc w:val="both"/>
              <w:rPr>
                <w:rFonts w:ascii="Times New Roman" w:hAnsi="Times New Roman"/>
                <w:sz w:val="24"/>
              </w:rPr>
            </w:pPr>
          </w:p>
          <w:p w14:paraId="13A278EC" w14:textId="46266AEB" w:rsidR="0075020C" w:rsidRDefault="0075020C" w:rsidP="005E6A31">
            <w:pPr>
              <w:pStyle w:val="BodyText"/>
              <w:jc w:val="both"/>
              <w:rPr>
                <w:rFonts w:ascii="Times New Roman" w:hAnsi="Times New Roman"/>
                <w:sz w:val="24"/>
              </w:rPr>
            </w:pPr>
            <w:r w:rsidRPr="007C14A5">
              <w:rPr>
                <w:rFonts w:ascii="Times New Roman" w:hAnsi="Times New Roman"/>
                <w:b/>
                <w:sz w:val="24"/>
              </w:rPr>
              <w:t>Result:</w:t>
            </w:r>
            <w:r w:rsidRPr="007C14A5">
              <w:rPr>
                <w:rFonts w:ascii="Times New Roman" w:hAnsi="Times New Roman"/>
                <w:sz w:val="24"/>
              </w:rPr>
              <w:t xml:space="preserve"> Describe the</w:t>
            </w:r>
            <w:r>
              <w:rPr>
                <w:rFonts w:ascii="Times New Roman" w:hAnsi="Times New Roman"/>
                <w:sz w:val="24"/>
              </w:rPr>
              <w:t xml:space="preserve"> observable</w:t>
            </w:r>
            <w:r w:rsidRPr="007C14A5">
              <w:rPr>
                <w:rFonts w:ascii="Times New Roman" w:hAnsi="Times New Roman"/>
                <w:sz w:val="24"/>
              </w:rPr>
              <w:t xml:space="preserve"> </w:t>
            </w:r>
            <w:r w:rsidRPr="007C14A5">
              <w:rPr>
                <w:rFonts w:ascii="Times New Roman" w:hAnsi="Times New Roman"/>
                <w:b/>
                <w:i/>
                <w:sz w:val="24"/>
              </w:rPr>
              <w:t>change</w:t>
            </w:r>
            <w:r w:rsidRPr="007C14A5">
              <w:rPr>
                <w:rFonts w:ascii="Times New Roman" w:hAnsi="Times New Roman"/>
                <w:sz w:val="24"/>
              </w:rPr>
              <w:t xml:space="preserve"> that occurred </w:t>
            </w:r>
            <w:r>
              <w:rPr>
                <w:rFonts w:ascii="Times New Roman" w:hAnsi="Times New Roman"/>
                <w:sz w:val="24"/>
              </w:rPr>
              <w:t xml:space="preserve">so far </w:t>
            </w:r>
            <w:r w:rsidRPr="007C14A5">
              <w:rPr>
                <w:rFonts w:ascii="Times New Roman" w:hAnsi="Times New Roman"/>
                <w:sz w:val="24"/>
              </w:rPr>
              <w:t xml:space="preserve">as a result of the </w:t>
            </w:r>
            <w:r>
              <w:rPr>
                <w:rFonts w:ascii="Times New Roman" w:hAnsi="Times New Roman"/>
                <w:sz w:val="24"/>
              </w:rPr>
              <w:t>Programme</w:t>
            </w:r>
            <w:r w:rsidRPr="007C14A5">
              <w:rPr>
                <w:rFonts w:ascii="Times New Roman" w:hAnsi="Times New Roman"/>
                <w:sz w:val="24"/>
              </w:rPr>
              <w:t xml:space="preserve"> interventions. For example, how did </w:t>
            </w:r>
            <w:r>
              <w:rPr>
                <w:rFonts w:ascii="Times New Roman" w:hAnsi="Times New Roman"/>
                <w:sz w:val="24"/>
              </w:rPr>
              <w:t xml:space="preserve">community </w:t>
            </w:r>
            <w:proofErr w:type="gramStart"/>
            <w:r>
              <w:rPr>
                <w:rFonts w:ascii="Times New Roman" w:hAnsi="Times New Roman"/>
                <w:sz w:val="24"/>
              </w:rPr>
              <w:t>lives</w:t>
            </w:r>
            <w:proofErr w:type="gramEnd"/>
            <w:r>
              <w:rPr>
                <w:rFonts w:ascii="Times New Roman" w:hAnsi="Times New Roman"/>
                <w:sz w:val="24"/>
              </w:rPr>
              <w:t xml:space="preserve"> change or how was the government better able to deal with the initial problem? </w:t>
            </w:r>
          </w:p>
          <w:p w14:paraId="5B05BC77" w14:textId="77777777" w:rsidR="008B5E99" w:rsidRDefault="008B5E99" w:rsidP="005E6A31">
            <w:pPr>
              <w:pStyle w:val="BodyText"/>
              <w:jc w:val="both"/>
              <w:rPr>
                <w:rFonts w:ascii="Times New Roman" w:hAnsi="Times New Roman"/>
                <w:sz w:val="24"/>
              </w:rPr>
            </w:pPr>
          </w:p>
          <w:p w14:paraId="061C0D0E" w14:textId="77777777" w:rsidR="0075020C" w:rsidRDefault="007F4F81" w:rsidP="005E6A31">
            <w:pPr>
              <w:pStyle w:val="BodyText"/>
              <w:jc w:val="both"/>
              <w:rPr>
                <w:rFonts w:ascii="Times New Roman" w:hAnsi="Times New Roman"/>
                <w:sz w:val="24"/>
              </w:rPr>
            </w:pPr>
            <w:r>
              <w:rPr>
                <w:rFonts w:ascii="Times New Roman" w:hAnsi="Times New Roman"/>
                <w:sz w:val="24"/>
              </w:rPr>
              <w:t>The government has the capacity to align contribution from donors and</w:t>
            </w:r>
            <w:r w:rsidR="008B5E99">
              <w:rPr>
                <w:rFonts w:ascii="Times New Roman" w:hAnsi="Times New Roman"/>
                <w:sz w:val="24"/>
              </w:rPr>
              <w:t xml:space="preserve"> better manage the allocation to avoid duplication as well as encourage collaboration to deliver more effective/comprehensive recovery interventions.</w:t>
            </w:r>
          </w:p>
          <w:p w14:paraId="7D2D942B" w14:textId="77777777" w:rsidR="0075020C" w:rsidRPr="00725252" w:rsidRDefault="0075020C" w:rsidP="005E6A31">
            <w:pPr>
              <w:pStyle w:val="BodyText"/>
              <w:jc w:val="both"/>
              <w:rPr>
                <w:rFonts w:ascii="Times New Roman" w:hAnsi="Times New Roman"/>
                <w:sz w:val="24"/>
              </w:rPr>
            </w:pPr>
          </w:p>
          <w:p w14:paraId="589A3DC4" w14:textId="2DBD1555" w:rsidR="0075020C" w:rsidRDefault="0075020C" w:rsidP="005E6A31">
            <w:pPr>
              <w:pStyle w:val="BodyText"/>
              <w:jc w:val="both"/>
              <w:rPr>
                <w:rFonts w:ascii="Times New Roman" w:hAnsi="Times New Roman"/>
                <w:sz w:val="24"/>
              </w:rPr>
            </w:pPr>
            <w:r>
              <w:rPr>
                <w:rFonts w:ascii="Times New Roman" w:hAnsi="Times New Roman"/>
                <w:b/>
                <w:sz w:val="24"/>
              </w:rPr>
              <w:t xml:space="preserve">Lessons Learned: </w:t>
            </w:r>
          </w:p>
          <w:p w14:paraId="304063B1" w14:textId="77777777" w:rsidR="008B5E99" w:rsidRDefault="008B5E99" w:rsidP="005E6A31">
            <w:pPr>
              <w:pStyle w:val="BodyText"/>
              <w:jc w:val="both"/>
              <w:rPr>
                <w:rFonts w:ascii="Times New Roman" w:hAnsi="Times New Roman"/>
                <w:sz w:val="24"/>
              </w:rPr>
            </w:pPr>
          </w:p>
          <w:p w14:paraId="313D4ED3" w14:textId="77777777" w:rsidR="0075020C" w:rsidRDefault="0075020C" w:rsidP="005E6A31">
            <w:pPr>
              <w:pStyle w:val="BodyText"/>
              <w:jc w:val="both"/>
              <w:rPr>
                <w:rFonts w:ascii="Times New Roman" w:hAnsi="Times New Roman"/>
                <w:sz w:val="24"/>
              </w:rPr>
            </w:pPr>
            <w:r w:rsidRPr="008B5E99">
              <w:rPr>
                <w:rFonts w:ascii="Times New Roman" w:hAnsi="Times New Roman"/>
                <w:sz w:val="24"/>
              </w:rPr>
              <w:t>Strengthening coordination and communication among all stakeholders will be contributed to smoothen the project implementation and sustainability of the project.</w:t>
            </w:r>
          </w:p>
          <w:p w14:paraId="1805C01C" w14:textId="77777777" w:rsidR="0075020C" w:rsidRDefault="0075020C" w:rsidP="005E6A31">
            <w:pPr>
              <w:pStyle w:val="BodyText"/>
              <w:jc w:val="both"/>
              <w:rPr>
                <w:rFonts w:ascii="Times New Roman" w:hAnsi="Times New Roman"/>
                <w:b/>
                <w:sz w:val="24"/>
              </w:rPr>
            </w:pPr>
          </w:p>
          <w:p w14:paraId="2FA7A247" w14:textId="77777777" w:rsidR="0075020C" w:rsidRPr="007C14A5" w:rsidRDefault="0075020C" w:rsidP="005E6A31">
            <w:pPr>
              <w:pStyle w:val="BodyText"/>
              <w:rPr>
                <w:rFonts w:ascii="Times New Roman" w:hAnsi="Times New Roman"/>
                <w:sz w:val="24"/>
              </w:rPr>
            </w:pPr>
          </w:p>
        </w:tc>
      </w:tr>
    </w:tbl>
    <w:p w14:paraId="783A8D20" w14:textId="77777777" w:rsidR="0075020C" w:rsidRDefault="0075020C" w:rsidP="0075020C">
      <w:pPr>
        <w:pStyle w:val="BodyText"/>
        <w:rPr>
          <w:rFonts w:ascii="Times New Roman" w:hAnsi="Times New Roman"/>
          <w:b/>
          <w:sz w:val="24"/>
        </w:rPr>
      </w:pPr>
    </w:p>
    <w:p w14:paraId="79450EB7" w14:textId="49E8370B" w:rsidR="0075020C" w:rsidRPr="00DF4C99" w:rsidRDefault="0075020C" w:rsidP="0075020C">
      <w:pPr>
        <w:pStyle w:val="BodyText"/>
        <w:rPr>
          <w:rFonts w:ascii="Times New Roman" w:hAnsi="Times New Roman"/>
          <w:b/>
          <w:sz w:val="24"/>
        </w:rPr>
      </w:pPr>
      <w:r w:rsidRPr="00DF4C99">
        <w:rPr>
          <w:rFonts w:ascii="Times New Roman" w:hAnsi="Times New Roman"/>
          <w:b/>
          <w:sz w:val="24"/>
        </w:rPr>
        <w:t>III.</w:t>
      </w:r>
      <w:r w:rsidRPr="00DF4C99">
        <w:rPr>
          <w:rFonts w:ascii="Times New Roman" w:hAnsi="Times New Roman"/>
          <w:b/>
          <w:sz w:val="24"/>
        </w:rPr>
        <w:tab/>
      </w:r>
      <w:r>
        <w:rPr>
          <w:rFonts w:ascii="Times New Roman" w:hAnsi="Times New Roman"/>
          <w:b/>
          <w:sz w:val="24"/>
        </w:rPr>
        <w:t xml:space="preserve">Other Assessments or Evaluations </w:t>
      </w:r>
    </w:p>
    <w:p w14:paraId="695279B0" w14:textId="77777777" w:rsidR="0075020C" w:rsidRDefault="0075020C" w:rsidP="0075020C">
      <w:pPr>
        <w:pStyle w:val="BodyText"/>
        <w:ind w:left="720" w:hanging="360"/>
        <w:jc w:val="both"/>
        <w:rPr>
          <w:rFonts w:ascii="Times New Roman" w:hAnsi="Times New Roman"/>
          <w:sz w:val="24"/>
        </w:rPr>
      </w:pPr>
      <w:r w:rsidRPr="00FA6787">
        <w:rPr>
          <w:rFonts w:ascii="Times New Roman" w:hAnsi="Times New Roman"/>
          <w:sz w:val="24"/>
        </w:rPr>
        <w:t>•</w:t>
      </w:r>
      <w:r w:rsidRPr="00FA6787">
        <w:rPr>
          <w:rFonts w:ascii="Times New Roman" w:hAnsi="Times New Roman"/>
          <w:sz w:val="24"/>
        </w:rPr>
        <w:tab/>
        <w:t>Report on any assessments, evaluations or studies undertaken.</w:t>
      </w:r>
    </w:p>
    <w:p w14:paraId="1C1354D8" w14:textId="77777777" w:rsidR="0075020C" w:rsidRDefault="0075020C" w:rsidP="0075020C">
      <w:pPr>
        <w:pStyle w:val="BodyText"/>
        <w:jc w:val="both"/>
        <w:rPr>
          <w:rFonts w:ascii="Times New Roman" w:hAnsi="Times New Roman"/>
          <w:sz w:val="24"/>
        </w:rPr>
      </w:pPr>
    </w:p>
    <w:p w14:paraId="2CAA9845" w14:textId="605F77D2" w:rsidR="0075020C" w:rsidRPr="00DF4C99" w:rsidRDefault="0075020C" w:rsidP="0075020C">
      <w:pPr>
        <w:pStyle w:val="BodyText"/>
        <w:jc w:val="both"/>
        <w:rPr>
          <w:rFonts w:ascii="Times New Roman" w:hAnsi="Times New Roman"/>
          <w:b/>
          <w:sz w:val="24"/>
        </w:rPr>
      </w:pPr>
      <w:r w:rsidRPr="00DF4C99">
        <w:rPr>
          <w:rFonts w:ascii="Times New Roman" w:hAnsi="Times New Roman"/>
          <w:b/>
          <w:sz w:val="24"/>
        </w:rPr>
        <w:t>IV.</w:t>
      </w:r>
      <w:r w:rsidRPr="00DF4C99">
        <w:rPr>
          <w:rFonts w:ascii="Times New Roman" w:hAnsi="Times New Roman"/>
          <w:b/>
          <w:sz w:val="24"/>
        </w:rPr>
        <w:tab/>
      </w:r>
      <w:r>
        <w:rPr>
          <w:rFonts w:ascii="Times New Roman" w:hAnsi="Times New Roman"/>
          <w:b/>
          <w:sz w:val="24"/>
        </w:rPr>
        <w:t xml:space="preserve">Programmatic Revisions </w:t>
      </w:r>
    </w:p>
    <w:p w14:paraId="27A05294" w14:textId="515B78B7" w:rsidR="0075020C" w:rsidRDefault="0075020C" w:rsidP="0075020C">
      <w:pPr>
        <w:pStyle w:val="BodyText"/>
        <w:ind w:firstLine="360"/>
        <w:jc w:val="both"/>
        <w:rPr>
          <w:rFonts w:ascii="Times New Roman" w:hAnsi="Times New Roman"/>
          <w:sz w:val="24"/>
        </w:rPr>
      </w:pPr>
      <w:r w:rsidRPr="00FA6787">
        <w:rPr>
          <w:rFonts w:ascii="Times New Roman" w:hAnsi="Times New Roman"/>
          <w:sz w:val="24"/>
        </w:rPr>
        <w:t>•</w:t>
      </w:r>
      <w:r w:rsidRPr="00FA6787">
        <w:rPr>
          <w:rFonts w:ascii="Times New Roman" w:hAnsi="Times New Roman"/>
          <w:sz w:val="24"/>
        </w:rPr>
        <w:tab/>
      </w:r>
      <w:r>
        <w:rPr>
          <w:rFonts w:ascii="Times New Roman" w:hAnsi="Times New Roman"/>
          <w:sz w:val="24"/>
        </w:rPr>
        <w:t xml:space="preserve"> </w:t>
      </w:r>
    </w:p>
    <w:p w14:paraId="4C8CC47E" w14:textId="77777777" w:rsidR="008B5E99" w:rsidRDefault="008B5E99" w:rsidP="008B5E99">
      <w:pPr>
        <w:pStyle w:val="BodyText"/>
        <w:ind w:left="709"/>
        <w:rPr>
          <w:rFonts w:ascii="Times New Roman" w:hAnsi="Times New Roman"/>
          <w:sz w:val="24"/>
        </w:rPr>
      </w:pPr>
    </w:p>
    <w:p w14:paraId="4F5AEF9D" w14:textId="77777777" w:rsidR="008B5E99" w:rsidRDefault="008B5E99" w:rsidP="008362ED">
      <w:pPr>
        <w:pStyle w:val="BodyText"/>
        <w:ind w:left="709"/>
        <w:jc w:val="both"/>
        <w:rPr>
          <w:rFonts w:ascii="Times New Roman" w:hAnsi="Times New Roman"/>
          <w:sz w:val="24"/>
        </w:rPr>
      </w:pPr>
      <w:r>
        <w:rPr>
          <w:rFonts w:ascii="Times New Roman" w:hAnsi="Times New Roman"/>
          <w:sz w:val="24"/>
        </w:rPr>
        <w:t>Adjustment of the project implementation timeline is needed following the delayed in formalizing the governance structure and procedures of IMDFF-DR. The Secretariat and UNDP is in process to extend the project document until end of December 2020.</w:t>
      </w:r>
    </w:p>
    <w:p w14:paraId="6EA72BB4" w14:textId="77777777" w:rsidR="0075020C" w:rsidRDefault="0075020C" w:rsidP="0075020C">
      <w:pPr>
        <w:pStyle w:val="BodyText"/>
        <w:rPr>
          <w:rFonts w:ascii="Times New Roman" w:hAnsi="Times New Roman"/>
          <w:sz w:val="24"/>
        </w:rPr>
      </w:pPr>
    </w:p>
    <w:p w14:paraId="1E449825" w14:textId="77777777" w:rsidR="0075020C" w:rsidRPr="00C41F9C" w:rsidRDefault="0075020C" w:rsidP="0075020C">
      <w:pPr>
        <w:pStyle w:val="BodyText"/>
        <w:rPr>
          <w:rFonts w:ascii="Times New Roman" w:hAnsi="Times New Roman"/>
          <w:b/>
          <w:sz w:val="24"/>
        </w:rPr>
      </w:pPr>
      <w:r w:rsidRPr="00C41F9C">
        <w:rPr>
          <w:rFonts w:ascii="Times New Roman" w:hAnsi="Times New Roman"/>
          <w:b/>
          <w:sz w:val="24"/>
        </w:rPr>
        <w:t xml:space="preserve">V. </w:t>
      </w:r>
      <w:r w:rsidRPr="00C41F9C">
        <w:rPr>
          <w:rFonts w:ascii="Times New Roman" w:hAnsi="Times New Roman"/>
          <w:b/>
          <w:sz w:val="24"/>
        </w:rPr>
        <w:tab/>
        <w:t>Resources (Optional)</w:t>
      </w:r>
    </w:p>
    <w:p w14:paraId="488D91BE" w14:textId="77777777" w:rsidR="0075020C" w:rsidRDefault="0075020C" w:rsidP="0075020C">
      <w:pPr>
        <w:pStyle w:val="BodyText"/>
        <w:ind w:firstLine="360"/>
        <w:rPr>
          <w:rFonts w:ascii="Times New Roman" w:hAnsi="Times New Roman"/>
          <w:sz w:val="24"/>
        </w:rPr>
      </w:pPr>
      <w:r w:rsidRPr="00FA6787">
        <w:rPr>
          <w:rFonts w:ascii="Times New Roman" w:hAnsi="Times New Roman"/>
          <w:sz w:val="24"/>
        </w:rPr>
        <w:t>•</w:t>
      </w:r>
      <w:r w:rsidRPr="00FA6787">
        <w:rPr>
          <w:rFonts w:ascii="Times New Roman" w:hAnsi="Times New Roman"/>
          <w:sz w:val="24"/>
        </w:rPr>
        <w:tab/>
      </w:r>
      <w:r>
        <w:rPr>
          <w:rFonts w:ascii="Times New Roman" w:hAnsi="Times New Roman"/>
          <w:sz w:val="24"/>
        </w:rPr>
        <w:t xml:space="preserve">Provide any information on financial management, procurement and human resources. </w:t>
      </w:r>
    </w:p>
    <w:p w14:paraId="7A1CF8BE" w14:textId="77777777" w:rsidR="0075020C" w:rsidRDefault="0075020C" w:rsidP="00C416C0">
      <w:pPr>
        <w:pStyle w:val="BodyText"/>
        <w:tabs>
          <w:tab w:val="left" w:pos="360"/>
        </w:tabs>
        <w:ind w:left="720"/>
        <w:jc w:val="both"/>
        <w:rPr>
          <w:rFonts w:ascii="Times New Roman" w:hAnsi="Times New Roman"/>
          <w:bCs/>
          <w:sz w:val="24"/>
        </w:rPr>
      </w:pPr>
    </w:p>
    <w:p w14:paraId="447F7F3E" w14:textId="2A9FF3AD" w:rsidR="00C41F9C" w:rsidRDefault="00C2533A" w:rsidP="00FA51FC">
      <w:pPr>
        <w:pStyle w:val="BodyText"/>
        <w:ind w:firstLine="360"/>
        <w:rPr>
          <w:rFonts w:ascii="Times New Roman" w:hAnsi="Times New Roman"/>
          <w:sz w:val="24"/>
        </w:rPr>
      </w:pPr>
      <w:r>
        <w:rPr>
          <w:rFonts w:ascii="Times New Roman" w:hAnsi="Times New Roman"/>
          <w:sz w:val="24"/>
        </w:rPr>
        <w:t xml:space="preserve">additional resources or interventions from other partners. </w:t>
      </w:r>
      <w:r w:rsidR="00C41F9C">
        <w:rPr>
          <w:rFonts w:ascii="Times New Roman" w:hAnsi="Times New Roman"/>
          <w:sz w:val="24"/>
        </w:rPr>
        <w:t xml:space="preserve"> </w:t>
      </w:r>
    </w:p>
    <w:sectPr w:rsidR="00C41F9C" w:rsidSect="006F301D">
      <w:pgSz w:w="12240" w:h="15840" w:code="1"/>
      <w:pgMar w:top="806" w:right="806" w:bottom="1354" w:left="806" w:header="720" w:footer="4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9D1A5" w14:textId="77777777" w:rsidR="0057347B" w:rsidRDefault="0057347B">
      <w:r>
        <w:separator/>
      </w:r>
    </w:p>
  </w:endnote>
  <w:endnote w:type="continuationSeparator" w:id="0">
    <w:p w14:paraId="7822348B" w14:textId="77777777" w:rsidR="0057347B" w:rsidRDefault="00573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F4566" w14:textId="77777777" w:rsidR="00F160AE" w:rsidRDefault="00F160AE">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ab/>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noProof/>
        <w:sz w:val="18"/>
        <w:szCs w:val="18"/>
      </w:rPr>
      <w:t>2</w:t>
    </w:r>
    <w:r>
      <w:rPr>
        <w:rFonts w:ascii="Arial" w:hAnsi="Arial" w:cs="Arial"/>
        <w:sz w:val="18"/>
        <w:szCs w:val="18"/>
      </w:rPr>
      <w:fldChar w:fldCharType="end"/>
    </w:r>
    <w:r>
      <w:rPr>
        <w:rFonts w:ascii="Arial" w:hAnsi="Arial" w:cs="Arial"/>
        <w:sz w:val="18"/>
        <w:szCs w:val="18"/>
      </w:rPr>
      <w:t xml:space="preserve"> of </w:t>
    </w:r>
    <w:r w:rsidR="0057347B">
      <w:fldChar w:fldCharType="begin"/>
    </w:r>
    <w:r w:rsidR="0057347B">
      <w:instrText xml:space="preserve"> NUMPAGES   \* MERGEFORMAT </w:instrText>
    </w:r>
    <w:r w:rsidR="0057347B">
      <w:fldChar w:fldCharType="separate"/>
    </w:r>
    <w:r w:rsidRPr="0060180B">
      <w:rPr>
        <w:rFonts w:ascii="Arial" w:hAnsi="Arial" w:cs="Arial"/>
        <w:noProof/>
        <w:sz w:val="18"/>
        <w:szCs w:val="18"/>
      </w:rPr>
      <w:t>5</w:t>
    </w:r>
    <w:r w:rsidR="0057347B">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CD96E" w14:textId="77777777" w:rsidR="00F160AE" w:rsidRDefault="00F160AE">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Sixth Six-Month Progress Report</w:t>
    </w:r>
    <w:r>
      <w:rPr>
        <w:rFonts w:ascii="Arial" w:hAnsi="Arial" w:cs="Arial"/>
        <w:sz w:val="18"/>
        <w:szCs w:val="18"/>
      </w:rPr>
      <w:tab/>
      <w:t>1 January – 30 June 2007</w:t>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noProof/>
        <w:sz w:val="18"/>
        <w:szCs w:val="18"/>
      </w:rPr>
      <w:t>5</w:t>
    </w:r>
    <w:r>
      <w:rPr>
        <w:rFonts w:ascii="Arial" w:hAnsi="Arial" w:cs="Arial"/>
        <w:sz w:val="18"/>
        <w:szCs w:val="18"/>
      </w:rPr>
      <w:fldChar w:fldCharType="end"/>
    </w:r>
    <w:r>
      <w:rPr>
        <w:rFonts w:ascii="Arial" w:hAnsi="Arial" w:cs="Arial"/>
        <w:sz w:val="18"/>
        <w:szCs w:val="18"/>
      </w:rPr>
      <w:t xml:space="preserve"> of </w:t>
    </w:r>
    <w:r w:rsidR="0057347B">
      <w:fldChar w:fldCharType="begin"/>
    </w:r>
    <w:r w:rsidR="0057347B">
      <w:instrText xml:space="preserve"> NUMPAGES   \* MERGEFORMAT </w:instrText>
    </w:r>
    <w:r w:rsidR="0057347B">
      <w:fldChar w:fldCharType="separate"/>
    </w:r>
    <w:r w:rsidRPr="00EC53DC">
      <w:rPr>
        <w:rFonts w:ascii="Arial" w:hAnsi="Arial" w:cs="Arial"/>
        <w:noProof/>
        <w:sz w:val="18"/>
        <w:szCs w:val="18"/>
      </w:rPr>
      <w:t>5</w:t>
    </w:r>
    <w:r w:rsidR="0057347B">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85222" w14:textId="77777777" w:rsidR="0057347B" w:rsidRDefault="0057347B">
      <w:r>
        <w:separator/>
      </w:r>
    </w:p>
  </w:footnote>
  <w:footnote w:type="continuationSeparator" w:id="0">
    <w:p w14:paraId="64831C36" w14:textId="77777777" w:rsidR="0057347B" w:rsidRDefault="0057347B">
      <w:r>
        <w:continuationSeparator/>
      </w:r>
    </w:p>
  </w:footnote>
  <w:footnote w:id="1">
    <w:p w14:paraId="5DBB86BD" w14:textId="77777777" w:rsidR="00F160AE" w:rsidRPr="006D60B5" w:rsidRDefault="00F160AE" w:rsidP="00B533B9">
      <w:pPr>
        <w:pStyle w:val="FootnoteText"/>
        <w:jc w:val="both"/>
        <w:rPr>
          <w:sz w:val="16"/>
          <w:szCs w:val="16"/>
        </w:rPr>
      </w:pPr>
      <w:r w:rsidRPr="006D60B5">
        <w:rPr>
          <w:rStyle w:val="FootnoteReference"/>
          <w:sz w:val="16"/>
          <w:szCs w:val="16"/>
        </w:rPr>
        <w:footnoteRef/>
      </w:r>
      <w:r w:rsidRPr="006D60B5">
        <w:rPr>
          <w:sz w:val="16"/>
          <w:szCs w:val="16"/>
        </w:rPr>
        <w:t xml:space="preserve"> The term “programme” is used for programmes, joint programmes and projects. </w:t>
      </w:r>
    </w:p>
  </w:footnote>
  <w:footnote w:id="2">
    <w:p w14:paraId="7E2CDF97" w14:textId="77777777" w:rsidR="00F160AE" w:rsidRPr="006D60B5" w:rsidRDefault="00F160AE" w:rsidP="00B533B9">
      <w:pPr>
        <w:pStyle w:val="FootnoteText"/>
        <w:jc w:val="both"/>
        <w:rPr>
          <w:sz w:val="16"/>
          <w:szCs w:val="16"/>
        </w:rPr>
      </w:pPr>
      <w:r w:rsidRPr="006D60B5">
        <w:rPr>
          <w:rStyle w:val="FootnoteReference"/>
          <w:sz w:val="16"/>
          <w:szCs w:val="16"/>
        </w:rPr>
        <w:footnoteRef/>
      </w:r>
      <w:r w:rsidRPr="006D60B5">
        <w:rPr>
          <w:sz w:val="16"/>
          <w:szCs w:val="16"/>
        </w:rPr>
        <w:t xml:space="preserve"> Strategic Results, as formulated in the Strategic UN Planning Framework (e.g. UNDAF) or project document; </w:t>
      </w:r>
    </w:p>
  </w:footnote>
  <w:footnote w:id="3">
    <w:p w14:paraId="1A8AA961" w14:textId="77777777" w:rsidR="00F160AE" w:rsidRPr="006D60B5" w:rsidRDefault="00F160AE" w:rsidP="00B533B9">
      <w:pPr>
        <w:pStyle w:val="FootnoteText"/>
        <w:jc w:val="both"/>
        <w:rPr>
          <w:sz w:val="16"/>
          <w:szCs w:val="16"/>
        </w:rPr>
      </w:pPr>
      <w:r w:rsidRPr="006D60B5">
        <w:rPr>
          <w:rStyle w:val="FootnoteReference"/>
          <w:sz w:val="16"/>
          <w:szCs w:val="16"/>
        </w:rPr>
        <w:footnoteRef/>
      </w:r>
      <w:r w:rsidRPr="006D60B5">
        <w:rPr>
          <w:sz w:val="16"/>
          <w:szCs w:val="16"/>
        </w:rPr>
        <w:t xml:space="preserve"> The MPTF Office Project Reference Number is the same number as the one on the Notification message. It is also referred to </w:t>
      </w:r>
      <w:proofErr w:type="gramStart"/>
      <w:r w:rsidRPr="006D60B5">
        <w:rPr>
          <w:sz w:val="16"/>
          <w:szCs w:val="16"/>
        </w:rPr>
        <w:t>as  “</w:t>
      </w:r>
      <w:proofErr w:type="gramEnd"/>
      <w:r w:rsidRPr="006D60B5">
        <w:rPr>
          <w:sz w:val="16"/>
          <w:szCs w:val="16"/>
        </w:rPr>
        <w:t xml:space="preserve">Project ID” on the project’s factsheet page the </w:t>
      </w:r>
      <w:hyperlink r:id="rId1" w:history="1">
        <w:r w:rsidRPr="006D60B5">
          <w:rPr>
            <w:rStyle w:val="Hyperlink"/>
            <w:sz w:val="16"/>
            <w:szCs w:val="16"/>
          </w:rPr>
          <w:t>MPTF Office GATEWAY</w:t>
        </w:r>
      </w:hyperlink>
    </w:p>
  </w:footnote>
  <w:footnote w:id="4">
    <w:p w14:paraId="5490BC16" w14:textId="77777777" w:rsidR="00F160AE" w:rsidRPr="006D60B5" w:rsidRDefault="00F160AE" w:rsidP="00B533B9">
      <w:pPr>
        <w:pStyle w:val="FootnoteText"/>
        <w:jc w:val="both"/>
        <w:rPr>
          <w:sz w:val="16"/>
          <w:szCs w:val="16"/>
        </w:rPr>
      </w:pPr>
      <w:r w:rsidRPr="006D60B5">
        <w:rPr>
          <w:rStyle w:val="FootnoteReference"/>
          <w:sz w:val="16"/>
          <w:szCs w:val="16"/>
        </w:rPr>
        <w:footnoteRef/>
      </w:r>
      <w:r w:rsidRPr="006D60B5">
        <w:rPr>
          <w:sz w:val="16"/>
          <w:szCs w:val="16"/>
        </w:rPr>
        <w:t xml:space="preserve"> The MPTF or JP Contribution, refers to the amount transferred to the Participating UN Organizations, which is available on the </w:t>
      </w:r>
      <w:hyperlink r:id="rId2" w:history="1">
        <w:r w:rsidRPr="006D60B5">
          <w:rPr>
            <w:rStyle w:val="Hyperlink"/>
            <w:sz w:val="16"/>
            <w:szCs w:val="16"/>
          </w:rPr>
          <w:t>MPTF Office GATEWAY</w:t>
        </w:r>
      </w:hyperlink>
      <w:r w:rsidRPr="006D60B5">
        <w:rPr>
          <w:sz w:val="16"/>
          <w:szCs w:val="16"/>
        </w:rPr>
        <w:t xml:space="preserve"> </w:t>
      </w:r>
    </w:p>
  </w:footnote>
  <w:footnote w:id="5">
    <w:p w14:paraId="4F8C8DA1" w14:textId="77777777" w:rsidR="00AB019C" w:rsidRPr="006D60B5" w:rsidRDefault="00AB019C" w:rsidP="00B533B9">
      <w:pPr>
        <w:pStyle w:val="FootnoteText"/>
        <w:jc w:val="both"/>
        <w:rPr>
          <w:sz w:val="16"/>
          <w:szCs w:val="16"/>
        </w:rPr>
      </w:pPr>
      <w:r w:rsidRPr="006D60B5">
        <w:rPr>
          <w:rStyle w:val="FootnoteReference"/>
          <w:sz w:val="16"/>
          <w:szCs w:val="16"/>
        </w:rPr>
        <w:footnoteRef/>
      </w:r>
      <w:r w:rsidRPr="006D60B5">
        <w:rPr>
          <w:sz w:val="16"/>
          <w:szCs w:val="16"/>
        </w:rPr>
        <w:t xml:space="preserve"> The start date is the date of the first transfer of the funds from the MPTF Office as Administrative Agent. Transfer date is available on the </w:t>
      </w:r>
      <w:hyperlink r:id="rId3" w:history="1">
        <w:r w:rsidRPr="006D60B5">
          <w:rPr>
            <w:rStyle w:val="Hyperlink"/>
            <w:sz w:val="16"/>
            <w:szCs w:val="16"/>
          </w:rPr>
          <w:t>MPTF Office GATEWAY</w:t>
        </w:r>
      </w:hyperlink>
    </w:p>
  </w:footnote>
  <w:footnote w:id="6">
    <w:p w14:paraId="5E223A12" w14:textId="77777777" w:rsidR="00F160AE" w:rsidRPr="006D60B5" w:rsidRDefault="00F160AE" w:rsidP="00B533B9">
      <w:pPr>
        <w:pStyle w:val="FootnoteText"/>
        <w:jc w:val="both"/>
        <w:rPr>
          <w:sz w:val="16"/>
          <w:szCs w:val="16"/>
        </w:rPr>
      </w:pPr>
      <w:r w:rsidRPr="006D60B5">
        <w:rPr>
          <w:rStyle w:val="FootnoteReference"/>
          <w:sz w:val="16"/>
          <w:szCs w:val="16"/>
        </w:rPr>
        <w:footnoteRef/>
      </w:r>
      <w:r w:rsidRPr="006D60B5">
        <w:rPr>
          <w:sz w:val="16"/>
          <w:szCs w:val="16"/>
        </w:rPr>
        <w:t xml:space="preserve"> As per approval of the original project document by the relevant decision-making body/Steering Committee.</w:t>
      </w:r>
    </w:p>
  </w:footnote>
  <w:footnote w:id="7">
    <w:p w14:paraId="621AA38C" w14:textId="77777777" w:rsidR="00AB019C" w:rsidRPr="006D60B5" w:rsidRDefault="00AB019C" w:rsidP="00B533B9">
      <w:pPr>
        <w:pStyle w:val="FootnoteText"/>
        <w:jc w:val="both"/>
        <w:rPr>
          <w:sz w:val="16"/>
          <w:szCs w:val="16"/>
        </w:rPr>
      </w:pPr>
      <w:r w:rsidRPr="006D60B5">
        <w:rPr>
          <w:rStyle w:val="FootnoteReference"/>
          <w:sz w:val="16"/>
          <w:szCs w:val="16"/>
        </w:rPr>
        <w:footnoteRef/>
      </w:r>
      <w:r w:rsidRPr="006D60B5">
        <w:rPr>
          <w:sz w:val="16"/>
          <w:szCs w:val="16"/>
        </w:rPr>
        <w:t xml:space="preserve"> If there has been an extension, then the revised, approved end date should be reflected here. If there has been no extension approved, then the current end date is the same as the original end date. The end date is the same as the operational closure date which is when all activities for which a Participating Organization is responsible under an approved MPTF / JP have been completed. As per the MOU, agencies are to notify the MPTF Office when a programme completes its operational activities. </w:t>
      </w:r>
    </w:p>
  </w:footnote>
  <w:footnote w:id="8">
    <w:p w14:paraId="330117FD" w14:textId="77777777" w:rsidR="00B533B9" w:rsidRPr="00B533B9" w:rsidRDefault="00B533B9">
      <w:pPr>
        <w:pStyle w:val="FootnoteText"/>
        <w:rPr>
          <w:sz w:val="16"/>
          <w:szCs w:val="16"/>
        </w:rPr>
      </w:pPr>
      <w:r w:rsidRPr="00B533B9">
        <w:rPr>
          <w:rStyle w:val="FootnoteReference"/>
          <w:sz w:val="16"/>
          <w:szCs w:val="16"/>
        </w:rPr>
        <w:footnoteRef/>
      </w:r>
      <w:r w:rsidRPr="00B533B9">
        <w:rPr>
          <w:sz w:val="16"/>
          <w:szCs w:val="16"/>
        </w:rPr>
        <w:t xml:space="preserve"> NTB – Nusa Tenggara Barat (West Nusa Tenggara)</w:t>
      </w:r>
    </w:p>
  </w:footnote>
  <w:footnote w:id="9">
    <w:p w14:paraId="4C020E7D" w14:textId="77777777" w:rsidR="00F160AE" w:rsidRPr="007E5DBA" w:rsidRDefault="00F160AE">
      <w:pPr>
        <w:pStyle w:val="FootnoteText"/>
        <w:rPr>
          <w:sz w:val="16"/>
          <w:szCs w:val="16"/>
        </w:rPr>
      </w:pPr>
      <w:r w:rsidRPr="007E5DBA">
        <w:rPr>
          <w:rStyle w:val="FootnoteReference"/>
          <w:sz w:val="16"/>
          <w:szCs w:val="16"/>
        </w:rPr>
        <w:footnoteRef/>
      </w:r>
      <w:r w:rsidRPr="007E5DBA">
        <w:rPr>
          <w:sz w:val="16"/>
          <w:szCs w:val="16"/>
        </w:rPr>
        <w:t xml:space="preserve"> </w:t>
      </w:r>
      <w:proofErr w:type="spellStart"/>
      <w:r w:rsidRPr="007E5DBA">
        <w:rPr>
          <w:sz w:val="16"/>
          <w:szCs w:val="16"/>
        </w:rPr>
        <w:t>Anggaran</w:t>
      </w:r>
      <w:proofErr w:type="spellEnd"/>
      <w:r w:rsidRPr="007E5DBA">
        <w:rPr>
          <w:sz w:val="16"/>
          <w:szCs w:val="16"/>
        </w:rPr>
        <w:t xml:space="preserve"> </w:t>
      </w:r>
      <w:proofErr w:type="spellStart"/>
      <w:r w:rsidRPr="007E5DBA">
        <w:rPr>
          <w:sz w:val="16"/>
          <w:szCs w:val="16"/>
        </w:rPr>
        <w:t>Pendapatan</w:t>
      </w:r>
      <w:proofErr w:type="spellEnd"/>
      <w:r w:rsidRPr="007E5DBA">
        <w:rPr>
          <w:sz w:val="16"/>
          <w:szCs w:val="16"/>
        </w:rPr>
        <w:t xml:space="preserve"> dan </w:t>
      </w:r>
      <w:proofErr w:type="spellStart"/>
      <w:r w:rsidRPr="007E5DBA">
        <w:rPr>
          <w:sz w:val="16"/>
          <w:szCs w:val="16"/>
        </w:rPr>
        <w:t>Belanja</w:t>
      </w:r>
      <w:proofErr w:type="spellEnd"/>
      <w:r w:rsidRPr="007E5DBA">
        <w:rPr>
          <w:sz w:val="16"/>
          <w:szCs w:val="16"/>
        </w:rPr>
        <w:t xml:space="preserve"> Nasional – National Fiscal Budget</w:t>
      </w:r>
    </w:p>
  </w:footnote>
  <w:footnote w:id="10">
    <w:p w14:paraId="05F2B97D" w14:textId="77777777" w:rsidR="00F160AE" w:rsidRDefault="00F160AE">
      <w:pPr>
        <w:pStyle w:val="FootnoteText"/>
      </w:pPr>
      <w:r w:rsidRPr="007E5DBA">
        <w:rPr>
          <w:rStyle w:val="FootnoteReference"/>
          <w:sz w:val="16"/>
          <w:szCs w:val="16"/>
        </w:rPr>
        <w:footnoteRef/>
      </w:r>
      <w:r w:rsidRPr="007E5DBA">
        <w:rPr>
          <w:sz w:val="16"/>
          <w:szCs w:val="16"/>
        </w:rPr>
        <w:t xml:space="preserve"> </w:t>
      </w:r>
      <w:proofErr w:type="spellStart"/>
      <w:r w:rsidRPr="007E5DBA">
        <w:rPr>
          <w:sz w:val="16"/>
          <w:szCs w:val="16"/>
        </w:rPr>
        <w:t>Anggaran</w:t>
      </w:r>
      <w:proofErr w:type="spellEnd"/>
      <w:r w:rsidRPr="007E5DBA">
        <w:rPr>
          <w:sz w:val="16"/>
          <w:szCs w:val="16"/>
        </w:rPr>
        <w:t xml:space="preserve"> </w:t>
      </w:r>
      <w:proofErr w:type="spellStart"/>
      <w:r w:rsidRPr="007E5DBA">
        <w:rPr>
          <w:sz w:val="16"/>
          <w:szCs w:val="16"/>
        </w:rPr>
        <w:t>Pendapatan</w:t>
      </w:r>
      <w:proofErr w:type="spellEnd"/>
      <w:r w:rsidRPr="007E5DBA">
        <w:rPr>
          <w:sz w:val="16"/>
          <w:szCs w:val="16"/>
        </w:rPr>
        <w:t xml:space="preserve"> dan </w:t>
      </w:r>
      <w:proofErr w:type="spellStart"/>
      <w:r w:rsidRPr="007E5DBA">
        <w:rPr>
          <w:sz w:val="16"/>
          <w:szCs w:val="16"/>
        </w:rPr>
        <w:t>Belanja</w:t>
      </w:r>
      <w:proofErr w:type="spellEnd"/>
      <w:r w:rsidRPr="007E5DBA">
        <w:rPr>
          <w:sz w:val="16"/>
          <w:szCs w:val="16"/>
        </w:rPr>
        <w:t xml:space="preserve"> Daerah – Subnational Fiscal Budget</w:t>
      </w:r>
    </w:p>
  </w:footnote>
  <w:footnote w:id="11">
    <w:p w14:paraId="77004FF7" w14:textId="77777777" w:rsidR="00987011" w:rsidRPr="00B861FD" w:rsidRDefault="00987011" w:rsidP="00987011">
      <w:pPr>
        <w:pStyle w:val="FootnoteText"/>
        <w:rPr>
          <w:sz w:val="16"/>
          <w:szCs w:val="16"/>
        </w:rPr>
      </w:pPr>
      <w:r w:rsidRPr="00B861FD">
        <w:rPr>
          <w:rStyle w:val="FootnoteReference"/>
          <w:sz w:val="16"/>
          <w:szCs w:val="16"/>
        </w:rPr>
        <w:footnoteRef/>
      </w:r>
      <w:r w:rsidRPr="00B861FD">
        <w:rPr>
          <w:sz w:val="16"/>
          <w:szCs w:val="16"/>
        </w:rPr>
        <w:t xml:space="preserve"> Access to</w:t>
      </w:r>
      <w:r>
        <w:rPr>
          <w:sz w:val="16"/>
          <w:szCs w:val="16"/>
        </w:rPr>
        <w:t xml:space="preserve"> some</w:t>
      </w:r>
      <w:r w:rsidRPr="00B861FD">
        <w:rPr>
          <w:sz w:val="16"/>
          <w:szCs w:val="16"/>
        </w:rPr>
        <w:t xml:space="preserve"> publication materials</w:t>
      </w:r>
      <w:r>
        <w:rPr>
          <w:sz w:val="16"/>
          <w:szCs w:val="16"/>
        </w:rPr>
        <w:t xml:space="preserve"> from IMDFF-DR</w:t>
      </w:r>
      <w:r w:rsidRPr="00B861FD">
        <w:rPr>
          <w:sz w:val="16"/>
          <w:szCs w:val="16"/>
        </w:rPr>
        <w:t xml:space="preserve"> - </w:t>
      </w:r>
      <w:hyperlink r:id="rId4" w:history="1">
        <w:r w:rsidRPr="00B861FD">
          <w:rPr>
            <w:rStyle w:val="Hyperlink"/>
            <w:sz w:val="16"/>
            <w:szCs w:val="16"/>
          </w:rPr>
          <w:t>https://drive.google.com/open?id=1qz0K-jUUj6vBVhE0l9xOnOlkDGMjqNl1</w:t>
        </w:r>
      </w:hyperlink>
      <w:r w:rsidRPr="00B861FD">
        <w:rPr>
          <w:sz w:val="16"/>
          <w:szCs w:val="16"/>
        </w:rPr>
        <w:t xml:space="preserve"> </w:t>
      </w:r>
    </w:p>
  </w:footnote>
  <w:footnote w:id="12">
    <w:p w14:paraId="4BC2AF59" w14:textId="77777777" w:rsidR="0075020C" w:rsidRDefault="0075020C" w:rsidP="0075020C">
      <w:pPr>
        <w:pStyle w:val="FootnoteText"/>
      </w:pPr>
      <w:r>
        <w:rPr>
          <w:rStyle w:val="FootnoteReference"/>
        </w:rPr>
        <w:footnoteRef/>
      </w:r>
      <w:r>
        <w:t xml:space="preserve"> Note: Outcomes, outputs, indicators and targets should be </w:t>
      </w:r>
      <w:r w:rsidRPr="0068496F">
        <w:rPr>
          <w:b/>
        </w:rPr>
        <w:t>as outline</w:t>
      </w:r>
      <w:r>
        <w:rPr>
          <w:b/>
        </w:rPr>
        <w:t>d</w:t>
      </w:r>
      <w:r w:rsidRPr="0068496F">
        <w:rPr>
          <w:b/>
        </w:rPr>
        <w:t xml:space="preserve"> in the Project Document</w:t>
      </w:r>
      <w:r>
        <w:t xml:space="preserve"> so that you report on your </w:t>
      </w:r>
      <w:r w:rsidRPr="0068496F">
        <w:rPr>
          <w:b/>
        </w:rPr>
        <w:t xml:space="preserve">actual achievements against planned </w:t>
      </w:r>
      <w:r>
        <w:rPr>
          <w:b/>
        </w:rPr>
        <w:t>targets</w:t>
      </w:r>
      <w:r>
        <w:t xml:space="preserve">. Add rows as required for Outcome 2, 3 etc.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4.5pt;height:4.5pt" o:bullet="t">
        <v:imagedata r:id="rId1" o:title="bullet"/>
      </v:shape>
    </w:pict>
  </w:numPicBullet>
  <w:numPicBullet w:numPicBulletId="1">
    <w:pict>
      <v:shape id="_x0000_i1102" type="#_x0000_t75" style="width:3in;height:3in" o:bullet="t"/>
    </w:pict>
  </w:numPicBullet>
  <w:numPicBullet w:numPicBulletId="2">
    <w:pict>
      <v:shape id="_x0000_i1103" type="#_x0000_t75" style="width:3in;height:3in" o:bullet="t"/>
    </w:pict>
  </w:numPicBullet>
  <w:numPicBullet w:numPicBulletId="3">
    <w:pict>
      <v:shape id="_x0000_i1104" type="#_x0000_t75" style="width:3in;height:3in" o:bullet="t"/>
    </w:pict>
  </w:numPicBullet>
  <w:numPicBullet w:numPicBulletId="4">
    <w:pict>
      <v:shape id="_x0000_i1105" type="#_x0000_t75" style="width:3in;height:3in" o:bullet="t"/>
    </w:pict>
  </w:numPicBullet>
  <w:numPicBullet w:numPicBulletId="5">
    <w:pict>
      <v:shape id="_x0000_i1106" type="#_x0000_t75" style="width:3in;height:3in" o:bullet="t"/>
    </w:pict>
  </w:numPicBullet>
  <w:numPicBullet w:numPicBulletId="6">
    <w:pict>
      <v:shape id="_x0000_i1107" type="#_x0000_t75" style="width:3in;height:3in" o:bullet="t"/>
    </w:pict>
  </w:numPicBullet>
  <w:numPicBullet w:numPicBulletId="7">
    <w:pict>
      <v:shape id="_x0000_i1108" type="#_x0000_t75" style="width:3in;height:3in" o:bullet="t"/>
    </w:pict>
  </w:numPicBullet>
  <w:numPicBullet w:numPicBulletId="8">
    <w:pict>
      <v:shape id="_x0000_i1109" type="#_x0000_t75" style="width:3in;height:3in" o:bullet="t"/>
    </w:pict>
  </w:numPicBullet>
  <w:numPicBullet w:numPicBulletId="9">
    <w:pict>
      <v:shape id="_x0000_i1110" type="#_x0000_t75" style="width:3in;height:3in" o:bullet="t"/>
    </w:pict>
  </w:numPicBullet>
  <w:numPicBullet w:numPicBulletId="10">
    <w:pict>
      <v:shape id="_x0000_i1111" type="#_x0000_t75" style="width:3in;height:3in" o:bullet="t"/>
    </w:pict>
  </w:numPicBullet>
  <w:numPicBullet w:numPicBulletId="11">
    <w:pict>
      <v:shape id="_x0000_i1112" type="#_x0000_t75" style="width:3in;height:3in" o:bullet="t"/>
    </w:pict>
  </w:numPicBullet>
  <w:numPicBullet w:numPicBulletId="12">
    <w:pict>
      <v:shape id="_x0000_i1113" type="#_x0000_t75" style="width:3in;height:3in" o:bullet="t"/>
    </w:pict>
  </w:numPicBullet>
  <w:numPicBullet w:numPicBulletId="13">
    <w:pict>
      <v:shape id="_x0000_i1114" type="#_x0000_t75" style="width:3in;height:3in" o:bullet="t"/>
    </w:pict>
  </w:numPicBullet>
  <w:numPicBullet w:numPicBulletId="14">
    <w:pict>
      <v:shape id="_x0000_i1115" type="#_x0000_t75" style="width:3in;height:3in" o:bullet="t"/>
    </w:pict>
  </w:numPicBullet>
  <w:abstractNum w:abstractNumId="0" w15:restartNumberingAfterBreak="0">
    <w:nsid w:val="009B6CBD"/>
    <w:multiLevelType w:val="hybridMultilevel"/>
    <w:tmpl w:val="A366EE4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02A81502"/>
    <w:multiLevelType w:val="hybridMultilevel"/>
    <w:tmpl w:val="0D165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30683"/>
    <w:multiLevelType w:val="hybridMultilevel"/>
    <w:tmpl w:val="EF2E4CB2"/>
    <w:lvl w:ilvl="0" w:tplc="E5C2F3AC">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4373D"/>
    <w:multiLevelType w:val="hybridMultilevel"/>
    <w:tmpl w:val="1376E8AE"/>
    <w:lvl w:ilvl="0" w:tplc="E5C2F3AC">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B5570"/>
    <w:multiLevelType w:val="hybridMultilevel"/>
    <w:tmpl w:val="012092BC"/>
    <w:lvl w:ilvl="0" w:tplc="A0624842">
      <w:start w:val="1"/>
      <w:numFmt w:val="upperRoman"/>
      <w:lvlText w:val="%1."/>
      <w:lvlJc w:val="left"/>
      <w:pPr>
        <w:tabs>
          <w:tab w:val="num" w:pos="1080"/>
        </w:tabs>
        <w:ind w:left="1080" w:hanging="720"/>
      </w:pPr>
      <w:rPr>
        <w:rFonts w:hint="default"/>
      </w:rPr>
    </w:lvl>
    <w:lvl w:ilvl="1" w:tplc="862A952A">
      <w:numFmt w:val="none"/>
      <w:lvlText w:val=""/>
      <w:lvlJc w:val="left"/>
      <w:pPr>
        <w:tabs>
          <w:tab w:val="num" w:pos="360"/>
        </w:tabs>
      </w:pPr>
    </w:lvl>
    <w:lvl w:ilvl="2" w:tplc="E7485428">
      <w:numFmt w:val="none"/>
      <w:lvlText w:val=""/>
      <w:lvlJc w:val="left"/>
      <w:pPr>
        <w:tabs>
          <w:tab w:val="num" w:pos="360"/>
        </w:tabs>
      </w:pPr>
    </w:lvl>
    <w:lvl w:ilvl="3" w:tplc="FD789764">
      <w:numFmt w:val="none"/>
      <w:lvlText w:val=""/>
      <w:lvlJc w:val="left"/>
      <w:pPr>
        <w:tabs>
          <w:tab w:val="num" w:pos="360"/>
        </w:tabs>
      </w:pPr>
    </w:lvl>
    <w:lvl w:ilvl="4" w:tplc="5EFA0FBC">
      <w:numFmt w:val="none"/>
      <w:lvlText w:val=""/>
      <w:lvlJc w:val="left"/>
      <w:pPr>
        <w:tabs>
          <w:tab w:val="num" w:pos="360"/>
        </w:tabs>
      </w:pPr>
    </w:lvl>
    <w:lvl w:ilvl="5" w:tplc="1336440C">
      <w:numFmt w:val="none"/>
      <w:lvlText w:val=""/>
      <w:lvlJc w:val="left"/>
      <w:pPr>
        <w:tabs>
          <w:tab w:val="num" w:pos="360"/>
        </w:tabs>
      </w:pPr>
    </w:lvl>
    <w:lvl w:ilvl="6" w:tplc="D87228D2">
      <w:numFmt w:val="none"/>
      <w:lvlText w:val=""/>
      <w:lvlJc w:val="left"/>
      <w:pPr>
        <w:tabs>
          <w:tab w:val="num" w:pos="360"/>
        </w:tabs>
      </w:pPr>
    </w:lvl>
    <w:lvl w:ilvl="7" w:tplc="49E6716E">
      <w:numFmt w:val="none"/>
      <w:lvlText w:val=""/>
      <w:lvlJc w:val="left"/>
      <w:pPr>
        <w:tabs>
          <w:tab w:val="num" w:pos="360"/>
        </w:tabs>
      </w:pPr>
    </w:lvl>
    <w:lvl w:ilvl="8" w:tplc="035EA2D6">
      <w:numFmt w:val="none"/>
      <w:lvlText w:val=""/>
      <w:lvlJc w:val="left"/>
      <w:pPr>
        <w:tabs>
          <w:tab w:val="num" w:pos="360"/>
        </w:tabs>
      </w:pPr>
    </w:lvl>
  </w:abstractNum>
  <w:abstractNum w:abstractNumId="5" w15:restartNumberingAfterBreak="0">
    <w:nsid w:val="1F8020DC"/>
    <w:multiLevelType w:val="hybridMultilevel"/>
    <w:tmpl w:val="BD5A9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DE3DE3"/>
    <w:multiLevelType w:val="hybridMultilevel"/>
    <w:tmpl w:val="F9806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3D53AF"/>
    <w:multiLevelType w:val="hybridMultilevel"/>
    <w:tmpl w:val="E8BC0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D77165"/>
    <w:multiLevelType w:val="hybridMultilevel"/>
    <w:tmpl w:val="0F2EB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8602E2"/>
    <w:multiLevelType w:val="hybridMultilevel"/>
    <w:tmpl w:val="74765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FA38A4"/>
    <w:multiLevelType w:val="hybridMultilevel"/>
    <w:tmpl w:val="0152F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DA027B"/>
    <w:multiLevelType w:val="hybridMultilevel"/>
    <w:tmpl w:val="0262B968"/>
    <w:lvl w:ilvl="0" w:tplc="0409000F">
      <w:start w:val="1"/>
      <w:numFmt w:val="decimal"/>
      <w:lvlText w:val="%1."/>
      <w:lvlJc w:val="left"/>
      <w:pPr>
        <w:ind w:left="2956" w:hanging="360"/>
      </w:pPr>
      <w:rPr>
        <w:rFonts w:hint="default"/>
      </w:rPr>
    </w:lvl>
    <w:lvl w:ilvl="1" w:tplc="04090003">
      <w:start w:val="1"/>
      <w:numFmt w:val="bullet"/>
      <w:lvlText w:val="o"/>
      <w:lvlJc w:val="left"/>
      <w:pPr>
        <w:ind w:left="3676" w:hanging="360"/>
      </w:pPr>
      <w:rPr>
        <w:rFonts w:ascii="Courier New" w:hAnsi="Courier New" w:cs="Courier New" w:hint="default"/>
      </w:rPr>
    </w:lvl>
    <w:lvl w:ilvl="2" w:tplc="04090005">
      <w:start w:val="1"/>
      <w:numFmt w:val="bullet"/>
      <w:lvlText w:val=""/>
      <w:lvlJc w:val="left"/>
      <w:pPr>
        <w:ind w:left="4396" w:hanging="360"/>
      </w:pPr>
      <w:rPr>
        <w:rFonts w:ascii="Wingdings" w:hAnsi="Wingdings" w:hint="default"/>
      </w:rPr>
    </w:lvl>
    <w:lvl w:ilvl="3" w:tplc="0409000F">
      <w:start w:val="1"/>
      <w:numFmt w:val="decimal"/>
      <w:lvlText w:val="%4."/>
      <w:lvlJc w:val="left"/>
      <w:pPr>
        <w:ind w:left="5116" w:hanging="360"/>
      </w:pPr>
      <w:rPr>
        <w:rFonts w:hint="default"/>
      </w:rPr>
    </w:lvl>
    <w:lvl w:ilvl="4" w:tplc="04090003">
      <w:start w:val="1"/>
      <w:numFmt w:val="bullet"/>
      <w:lvlText w:val="o"/>
      <w:lvlJc w:val="left"/>
      <w:pPr>
        <w:ind w:left="5836" w:hanging="360"/>
      </w:pPr>
      <w:rPr>
        <w:rFonts w:ascii="Courier New" w:hAnsi="Courier New" w:cs="Courier New" w:hint="default"/>
      </w:rPr>
    </w:lvl>
    <w:lvl w:ilvl="5" w:tplc="04090005" w:tentative="1">
      <w:start w:val="1"/>
      <w:numFmt w:val="bullet"/>
      <w:lvlText w:val=""/>
      <w:lvlJc w:val="left"/>
      <w:pPr>
        <w:ind w:left="6556" w:hanging="360"/>
      </w:pPr>
      <w:rPr>
        <w:rFonts w:ascii="Wingdings" w:hAnsi="Wingdings" w:hint="default"/>
      </w:rPr>
    </w:lvl>
    <w:lvl w:ilvl="6" w:tplc="04090001" w:tentative="1">
      <w:start w:val="1"/>
      <w:numFmt w:val="bullet"/>
      <w:lvlText w:val=""/>
      <w:lvlJc w:val="left"/>
      <w:pPr>
        <w:ind w:left="7276" w:hanging="360"/>
      </w:pPr>
      <w:rPr>
        <w:rFonts w:ascii="Symbol" w:hAnsi="Symbol" w:hint="default"/>
      </w:rPr>
    </w:lvl>
    <w:lvl w:ilvl="7" w:tplc="04090003" w:tentative="1">
      <w:start w:val="1"/>
      <w:numFmt w:val="bullet"/>
      <w:lvlText w:val="o"/>
      <w:lvlJc w:val="left"/>
      <w:pPr>
        <w:ind w:left="7996" w:hanging="360"/>
      </w:pPr>
      <w:rPr>
        <w:rFonts w:ascii="Courier New" w:hAnsi="Courier New" w:cs="Courier New" w:hint="default"/>
      </w:rPr>
    </w:lvl>
    <w:lvl w:ilvl="8" w:tplc="04090005" w:tentative="1">
      <w:start w:val="1"/>
      <w:numFmt w:val="bullet"/>
      <w:lvlText w:val=""/>
      <w:lvlJc w:val="left"/>
      <w:pPr>
        <w:ind w:left="8716" w:hanging="360"/>
      </w:pPr>
      <w:rPr>
        <w:rFonts w:ascii="Wingdings" w:hAnsi="Wingdings" w:hint="default"/>
      </w:rPr>
    </w:lvl>
  </w:abstractNum>
  <w:abstractNum w:abstractNumId="13" w15:restartNumberingAfterBreak="0">
    <w:nsid w:val="3E9B72B1"/>
    <w:multiLevelType w:val="hybridMultilevel"/>
    <w:tmpl w:val="1376E8AE"/>
    <w:lvl w:ilvl="0" w:tplc="E5C2F3AC">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B82E37"/>
    <w:multiLevelType w:val="hybridMultilevel"/>
    <w:tmpl w:val="61D21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C34231"/>
    <w:multiLevelType w:val="hybridMultilevel"/>
    <w:tmpl w:val="1E4CC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9D72E5"/>
    <w:multiLevelType w:val="hybridMultilevel"/>
    <w:tmpl w:val="704C8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1D1ECD"/>
    <w:multiLevelType w:val="hybridMultilevel"/>
    <w:tmpl w:val="5FF47DF6"/>
    <w:lvl w:ilvl="0" w:tplc="A84CE0EE">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7527AD"/>
    <w:multiLevelType w:val="hybridMultilevel"/>
    <w:tmpl w:val="BC129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0A347F"/>
    <w:multiLevelType w:val="hybridMultilevel"/>
    <w:tmpl w:val="37A635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F245AD"/>
    <w:multiLevelType w:val="multilevel"/>
    <w:tmpl w:val="4C6E6B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sz w:val="20"/>
        <w:szCs w:val="1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B231E5B"/>
    <w:multiLevelType w:val="hybridMultilevel"/>
    <w:tmpl w:val="355A0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CA33B2"/>
    <w:multiLevelType w:val="multilevel"/>
    <w:tmpl w:val="F56A8E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1D3328D"/>
    <w:multiLevelType w:val="hybridMultilevel"/>
    <w:tmpl w:val="633A32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A10713"/>
    <w:multiLevelType w:val="hybridMultilevel"/>
    <w:tmpl w:val="210AE0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64218F"/>
    <w:multiLevelType w:val="hybridMultilevel"/>
    <w:tmpl w:val="4D6EC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F2493B"/>
    <w:multiLevelType w:val="hybridMultilevel"/>
    <w:tmpl w:val="438240D0"/>
    <w:lvl w:ilvl="0" w:tplc="35C8A53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28"/>
  </w:num>
  <w:num w:numId="4">
    <w:abstractNumId w:val="29"/>
  </w:num>
  <w:num w:numId="5">
    <w:abstractNumId w:val="8"/>
  </w:num>
  <w:num w:numId="6">
    <w:abstractNumId w:val="12"/>
  </w:num>
  <w:num w:numId="7">
    <w:abstractNumId w:val="0"/>
  </w:num>
  <w:num w:numId="8">
    <w:abstractNumId w:val="27"/>
  </w:num>
  <w:num w:numId="9">
    <w:abstractNumId w:val="15"/>
  </w:num>
  <w:num w:numId="10">
    <w:abstractNumId w:val="23"/>
  </w:num>
  <w:num w:numId="11">
    <w:abstractNumId w:val="21"/>
  </w:num>
  <w:num w:numId="12">
    <w:abstractNumId w:val="20"/>
  </w:num>
  <w:num w:numId="13">
    <w:abstractNumId w:val="26"/>
  </w:num>
  <w:num w:numId="14">
    <w:abstractNumId w:val="25"/>
  </w:num>
  <w:num w:numId="15">
    <w:abstractNumId w:val="18"/>
  </w:num>
  <w:num w:numId="16">
    <w:abstractNumId w:val="14"/>
  </w:num>
  <w:num w:numId="17">
    <w:abstractNumId w:val="5"/>
  </w:num>
  <w:num w:numId="18">
    <w:abstractNumId w:val="13"/>
  </w:num>
  <w:num w:numId="19">
    <w:abstractNumId w:val="3"/>
  </w:num>
  <w:num w:numId="20">
    <w:abstractNumId w:val="2"/>
  </w:num>
  <w:num w:numId="21">
    <w:abstractNumId w:val="24"/>
  </w:num>
  <w:num w:numId="22">
    <w:abstractNumId w:val="11"/>
  </w:num>
  <w:num w:numId="23">
    <w:abstractNumId w:val="17"/>
  </w:num>
  <w:num w:numId="24">
    <w:abstractNumId w:val="9"/>
  </w:num>
  <w:num w:numId="25">
    <w:abstractNumId w:val="22"/>
  </w:num>
  <w:num w:numId="26">
    <w:abstractNumId w:val="6"/>
  </w:num>
  <w:num w:numId="27">
    <w:abstractNumId w:val="10"/>
  </w:num>
  <w:num w:numId="28">
    <w:abstractNumId w:val="19"/>
  </w:num>
  <w:num w:numId="29">
    <w:abstractNumId w:val="7"/>
  </w:num>
  <w:num w:numId="30">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AC2"/>
    <w:rsid w:val="00000110"/>
    <w:rsid w:val="00000881"/>
    <w:rsid w:val="00003AEB"/>
    <w:rsid w:val="000078BC"/>
    <w:rsid w:val="00007ECE"/>
    <w:rsid w:val="00010617"/>
    <w:rsid w:val="000121B0"/>
    <w:rsid w:val="000134CC"/>
    <w:rsid w:val="000135F4"/>
    <w:rsid w:val="00015168"/>
    <w:rsid w:val="00016418"/>
    <w:rsid w:val="00023835"/>
    <w:rsid w:val="00024F9B"/>
    <w:rsid w:val="000308D4"/>
    <w:rsid w:val="00031DC9"/>
    <w:rsid w:val="000401B7"/>
    <w:rsid w:val="00043245"/>
    <w:rsid w:val="00050FA9"/>
    <w:rsid w:val="00052FF4"/>
    <w:rsid w:val="00053587"/>
    <w:rsid w:val="00055BD8"/>
    <w:rsid w:val="00064352"/>
    <w:rsid w:val="00066978"/>
    <w:rsid w:val="000675E3"/>
    <w:rsid w:val="0007043D"/>
    <w:rsid w:val="000803A0"/>
    <w:rsid w:val="00083CD0"/>
    <w:rsid w:val="00085C04"/>
    <w:rsid w:val="0008651F"/>
    <w:rsid w:val="00090D90"/>
    <w:rsid w:val="00092501"/>
    <w:rsid w:val="00094B2F"/>
    <w:rsid w:val="00096711"/>
    <w:rsid w:val="000968C1"/>
    <w:rsid w:val="000978CA"/>
    <w:rsid w:val="000A126F"/>
    <w:rsid w:val="000A146E"/>
    <w:rsid w:val="000A5536"/>
    <w:rsid w:val="000B09FF"/>
    <w:rsid w:val="000B1228"/>
    <w:rsid w:val="000B599B"/>
    <w:rsid w:val="000B7D96"/>
    <w:rsid w:val="000C0119"/>
    <w:rsid w:val="000C03EE"/>
    <w:rsid w:val="000C0B78"/>
    <w:rsid w:val="000C2557"/>
    <w:rsid w:val="000C2A11"/>
    <w:rsid w:val="000C35B0"/>
    <w:rsid w:val="000C656D"/>
    <w:rsid w:val="000C76C8"/>
    <w:rsid w:val="000D498F"/>
    <w:rsid w:val="000D6D9C"/>
    <w:rsid w:val="000F23F3"/>
    <w:rsid w:val="000F65A4"/>
    <w:rsid w:val="00105897"/>
    <w:rsid w:val="00106A96"/>
    <w:rsid w:val="00106A99"/>
    <w:rsid w:val="00107760"/>
    <w:rsid w:val="001114B2"/>
    <w:rsid w:val="00113168"/>
    <w:rsid w:val="0011469D"/>
    <w:rsid w:val="00114C7D"/>
    <w:rsid w:val="0011699C"/>
    <w:rsid w:val="00122622"/>
    <w:rsid w:val="0012303A"/>
    <w:rsid w:val="00123EC0"/>
    <w:rsid w:val="00124B56"/>
    <w:rsid w:val="00124FA6"/>
    <w:rsid w:val="00126292"/>
    <w:rsid w:val="00132552"/>
    <w:rsid w:val="0013530A"/>
    <w:rsid w:val="0013612C"/>
    <w:rsid w:val="00136A69"/>
    <w:rsid w:val="00144ED5"/>
    <w:rsid w:val="0014549D"/>
    <w:rsid w:val="00145891"/>
    <w:rsid w:val="0015472D"/>
    <w:rsid w:val="0015763B"/>
    <w:rsid w:val="001602DF"/>
    <w:rsid w:val="00160579"/>
    <w:rsid w:val="00163333"/>
    <w:rsid w:val="001649DC"/>
    <w:rsid w:val="00165038"/>
    <w:rsid w:val="00170970"/>
    <w:rsid w:val="00170DD0"/>
    <w:rsid w:val="00171470"/>
    <w:rsid w:val="001737DA"/>
    <w:rsid w:val="001767EF"/>
    <w:rsid w:val="00176A75"/>
    <w:rsid w:val="001854AB"/>
    <w:rsid w:val="00193B41"/>
    <w:rsid w:val="001957DC"/>
    <w:rsid w:val="00197141"/>
    <w:rsid w:val="00197C6B"/>
    <w:rsid w:val="001A2C73"/>
    <w:rsid w:val="001A5801"/>
    <w:rsid w:val="001A6C5F"/>
    <w:rsid w:val="001B1760"/>
    <w:rsid w:val="001B5C4F"/>
    <w:rsid w:val="001C1E68"/>
    <w:rsid w:val="001C209F"/>
    <w:rsid w:val="001C6D4D"/>
    <w:rsid w:val="001D242B"/>
    <w:rsid w:val="001D4CA5"/>
    <w:rsid w:val="001D4F94"/>
    <w:rsid w:val="001D757B"/>
    <w:rsid w:val="001E101F"/>
    <w:rsid w:val="001E21A6"/>
    <w:rsid w:val="001E2946"/>
    <w:rsid w:val="001E5E20"/>
    <w:rsid w:val="001F4683"/>
    <w:rsid w:val="001F4D9E"/>
    <w:rsid w:val="001F58EF"/>
    <w:rsid w:val="001F5F53"/>
    <w:rsid w:val="001F7D7E"/>
    <w:rsid w:val="00204B81"/>
    <w:rsid w:val="00205F81"/>
    <w:rsid w:val="0020642A"/>
    <w:rsid w:val="00206941"/>
    <w:rsid w:val="00207165"/>
    <w:rsid w:val="0021182F"/>
    <w:rsid w:val="00212FEB"/>
    <w:rsid w:val="00213E87"/>
    <w:rsid w:val="00215D1B"/>
    <w:rsid w:val="002179BB"/>
    <w:rsid w:val="00220D29"/>
    <w:rsid w:val="00233E28"/>
    <w:rsid w:val="0023529C"/>
    <w:rsid w:val="00237C2F"/>
    <w:rsid w:val="00241DAA"/>
    <w:rsid w:val="00243F99"/>
    <w:rsid w:val="00246B66"/>
    <w:rsid w:val="00251130"/>
    <w:rsid w:val="00255B0E"/>
    <w:rsid w:val="0025606E"/>
    <w:rsid w:val="002637DC"/>
    <w:rsid w:val="0027001F"/>
    <w:rsid w:val="00270043"/>
    <w:rsid w:val="00274F02"/>
    <w:rsid w:val="00275A4A"/>
    <w:rsid w:val="002801C6"/>
    <w:rsid w:val="002805D4"/>
    <w:rsid w:val="00280FB9"/>
    <w:rsid w:val="00284411"/>
    <w:rsid w:val="002928BD"/>
    <w:rsid w:val="002A02A4"/>
    <w:rsid w:val="002A3031"/>
    <w:rsid w:val="002A340B"/>
    <w:rsid w:val="002A5950"/>
    <w:rsid w:val="002A6952"/>
    <w:rsid w:val="002A7665"/>
    <w:rsid w:val="002B14C9"/>
    <w:rsid w:val="002B2B6B"/>
    <w:rsid w:val="002C126A"/>
    <w:rsid w:val="002C4A03"/>
    <w:rsid w:val="002C690B"/>
    <w:rsid w:val="002C6E2F"/>
    <w:rsid w:val="002D5C59"/>
    <w:rsid w:val="002D632F"/>
    <w:rsid w:val="002E50CF"/>
    <w:rsid w:val="002E77D1"/>
    <w:rsid w:val="002F05F2"/>
    <w:rsid w:val="002F1156"/>
    <w:rsid w:val="002F3EFE"/>
    <w:rsid w:val="002F5953"/>
    <w:rsid w:val="0030509D"/>
    <w:rsid w:val="00310168"/>
    <w:rsid w:val="00310C19"/>
    <w:rsid w:val="00312685"/>
    <w:rsid w:val="00314A5F"/>
    <w:rsid w:val="00320895"/>
    <w:rsid w:val="00322B8A"/>
    <w:rsid w:val="00330077"/>
    <w:rsid w:val="0033662C"/>
    <w:rsid w:val="003369D5"/>
    <w:rsid w:val="0034386B"/>
    <w:rsid w:val="00346939"/>
    <w:rsid w:val="00346CB7"/>
    <w:rsid w:val="00346FFE"/>
    <w:rsid w:val="00351A14"/>
    <w:rsid w:val="00353CD0"/>
    <w:rsid w:val="00356D08"/>
    <w:rsid w:val="00360431"/>
    <w:rsid w:val="00360501"/>
    <w:rsid w:val="00360945"/>
    <w:rsid w:val="0036774E"/>
    <w:rsid w:val="00375FFA"/>
    <w:rsid w:val="00376BA8"/>
    <w:rsid w:val="003806B4"/>
    <w:rsid w:val="0038085B"/>
    <w:rsid w:val="003815EF"/>
    <w:rsid w:val="00382573"/>
    <w:rsid w:val="003879DF"/>
    <w:rsid w:val="00390F98"/>
    <w:rsid w:val="00396D76"/>
    <w:rsid w:val="003A145D"/>
    <w:rsid w:val="003A1AF5"/>
    <w:rsid w:val="003A77A2"/>
    <w:rsid w:val="003B0303"/>
    <w:rsid w:val="003B1DFF"/>
    <w:rsid w:val="003B454A"/>
    <w:rsid w:val="003C1A52"/>
    <w:rsid w:val="003C3941"/>
    <w:rsid w:val="003C3FC0"/>
    <w:rsid w:val="003C4D74"/>
    <w:rsid w:val="003D13A8"/>
    <w:rsid w:val="003D210A"/>
    <w:rsid w:val="003D3325"/>
    <w:rsid w:val="003D4331"/>
    <w:rsid w:val="003E51E4"/>
    <w:rsid w:val="003E62C0"/>
    <w:rsid w:val="003F0C6A"/>
    <w:rsid w:val="003F446E"/>
    <w:rsid w:val="003F480D"/>
    <w:rsid w:val="003F5497"/>
    <w:rsid w:val="003F6918"/>
    <w:rsid w:val="003F6ABC"/>
    <w:rsid w:val="00405A55"/>
    <w:rsid w:val="0041185F"/>
    <w:rsid w:val="004160BF"/>
    <w:rsid w:val="00417B11"/>
    <w:rsid w:val="00422568"/>
    <w:rsid w:val="00422D8B"/>
    <w:rsid w:val="00423E99"/>
    <w:rsid w:val="00427179"/>
    <w:rsid w:val="00432267"/>
    <w:rsid w:val="00432634"/>
    <w:rsid w:val="004344C8"/>
    <w:rsid w:val="00435C09"/>
    <w:rsid w:val="00442C6B"/>
    <w:rsid w:val="00442F4C"/>
    <w:rsid w:val="0044408D"/>
    <w:rsid w:val="00452ED1"/>
    <w:rsid w:val="00453E97"/>
    <w:rsid w:val="00455DEA"/>
    <w:rsid w:val="004600E3"/>
    <w:rsid w:val="004658BE"/>
    <w:rsid w:val="00465B26"/>
    <w:rsid w:val="00466449"/>
    <w:rsid w:val="00466DEB"/>
    <w:rsid w:val="00466E3B"/>
    <w:rsid w:val="00470009"/>
    <w:rsid w:val="00471235"/>
    <w:rsid w:val="0047708F"/>
    <w:rsid w:val="00480C5E"/>
    <w:rsid w:val="00482220"/>
    <w:rsid w:val="004863CF"/>
    <w:rsid w:val="00490F0E"/>
    <w:rsid w:val="0049327D"/>
    <w:rsid w:val="004A0A50"/>
    <w:rsid w:val="004A204B"/>
    <w:rsid w:val="004A3824"/>
    <w:rsid w:val="004A594B"/>
    <w:rsid w:val="004B1BF4"/>
    <w:rsid w:val="004B3940"/>
    <w:rsid w:val="004B5AAB"/>
    <w:rsid w:val="004C62BF"/>
    <w:rsid w:val="004C6C3B"/>
    <w:rsid w:val="004D1571"/>
    <w:rsid w:val="004D52B0"/>
    <w:rsid w:val="004E4B51"/>
    <w:rsid w:val="004E7392"/>
    <w:rsid w:val="004F5F38"/>
    <w:rsid w:val="004F6B31"/>
    <w:rsid w:val="004F71AC"/>
    <w:rsid w:val="005014CA"/>
    <w:rsid w:val="00501B14"/>
    <w:rsid w:val="00510055"/>
    <w:rsid w:val="00510D98"/>
    <w:rsid w:val="00521F30"/>
    <w:rsid w:val="005223E2"/>
    <w:rsid w:val="0052663C"/>
    <w:rsid w:val="005268DC"/>
    <w:rsid w:val="0052760B"/>
    <w:rsid w:val="00532A92"/>
    <w:rsid w:val="0053545E"/>
    <w:rsid w:val="00537107"/>
    <w:rsid w:val="00537CAD"/>
    <w:rsid w:val="00540142"/>
    <w:rsid w:val="00540389"/>
    <w:rsid w:val="00543F0C"/>
    <w:rsid w:val="005473D7"/>
    <w:rsid w:val="00555A12"/>
    <w:rsid w:val="00555F3A"/>
    <w:rsid w:val="005578E7"/>
    <w:rsid w:val="0057347B"/>
    <w:rsid w:val="00573DAD"/>
    <w:rsid w:val="005808AF"/>
    <w:rsid w:val="00581F54"/>
    <w:rsid w:val="0058622B"/>
    <w:rsid w:val="005877C3"/>
    <w:rsid w:val="00591C0B"/>
    <w:rsid w:val="0059646F"/>
    <w:rsid w:val="005A0F3F"/>
    <w:rsid w:val="005B1CBB"/>
    <w:rsid w:val="005B1F46"/>
    <w:rsid w:val="005B4B46"/>
    <w:rsid w:val="005B607F"/>
    <w:rsid w:val="005C0233"/>
    <w:rsid w:val="005C0784"/>
    <w:rsid w:val="005C1731"/>
    <w:rsid w:val="005C2D50"/>
    <w:rsid w:val="005C76B8"/>
    <w:rsid w:val="005D27D4"/>
    <w:rsid w:val="005D3696"/>
    <w:rsid w:val="005D407E"/>
    <w:rsid w:val="005D5D53"/>
    <w:rsid w:val="005D746B"/>
    <w:rsid w:val="005E4EDD"/>
    <w:rsid w:val="005E6A31"/>
    <w:rsid w:val="005F0467"/>
    <w:rsid w:val="006002EE"/>
    <w:rsid w:val="0060161D"/>
    <w:rsid w:val="0060180B"/>
    <w:rsid w:val="00601E0F"/>
    <w:rsid w:val="006020B1"/>
    <w:rsid w:val="006053F9"/>
    <w:rsid w:val="00605707"/>
    <w:rsid w:val="006117B9"/>
    <w:rsid w:val="00615E8B"/>
    <w:rsid w:val="00617CFC"/>
    <w:rsid w:val="00620475"/>
    <w:rsid w:val="00636936"/>
    <w:rsid w:val="00641437"/>
    <w:rsid w:val="006447B1"/>
    <w:rsid w:val="00645E3A"/>
    <w:rsid w:val="00650E20"/>
    <w:rsid w:val="00653248"/>
    <w:rsid w:val="0065590C"/>
    <w:rsid w:val="00655D27"/>
    <w:rsid w:val="00656759"/>
    <w:rsid w:val="006602F1"/>
    <w:rsid w:val="0067315C"/>
    <w:rsid w:val="00673516"/>
    <w:rsid w:val="00675934"/>
    <w:rsid w:val="0068496F"/>
    <w:rsid w:val="00685ABC"/>
    <w:rsid w:val="00693899"/>
    <w:rsid w:val="006A1378"/>
    <w:rsid w:val="006B42EB"/>
    <w:rsid w:val="006B5835"/>
    <w:rsid w:val="006D3D21"/>
    <w:rsid w:val="006D60B5"/>
    <w:rsid w:val="006E3927"/>
    <w:rsid w:val="006E689C"/>
    <w:rsid w:val="006F0970"/>
    <w:rsid w:val="006F1D4C"/>
    <w:rsid w:val="006F301D"/>
    <w:rsid w:val="006F4639"/>
    <w:rsid w:val="006F4E81"/>
    <w:rsid w:val="006F7271"/>
    <w:rsid w:val="0070378C"/>
    <w:rsid w:val="007041E5"/>
    <w:rsid w:val="0070460B"/>
    <w:rsid w:val="0070583F"/>
    <w:rsid w:val="0070645E"/>
    <w:rsid w:val="0071347B"/>
    <w:rsid w:val="0071507D"/>
    <w:rsid w:val="00717598"/>
    <w:rsid w:val="00717C7A"/>
    <w:rsid w:val="00725252"/>
    <w:rsid w:val="00726AE9"/>
    <w:rsid w:val="00730077"/>
    <w:rsid w:val="00733BB2"/>
    <w:rsid w:val="007416AC"/>
    <w:rsid w:val="00744618"/>
    <w:rsid w:val="00747763"/>
    <w:rsid w:val="007501B3"/>
    <w:rsid w:val="0075020C"/>
    <w:rsid w:val="00751E22"/>
    <w:rsid w:val="00756AD4"/>
    <w:rsid w:val="00760206"/>
    <w:rsid w:val="007626D9"/>
    <w:rsid w:val="00764769"/>
    <w:rsid w:val="00766AF4"/>
    <w:rsid w:val="00766B02"/>
    <w:rsid w:val="00767A96"/>
    <w:rsid w:val="00771F7F"/>
    <w:rsid w:val="007723A7"/>
    <w:rsid w:val="0077310A"/>
    <w:rsid w:val="007751CA"/>
    <w:rsid w:val="00782335"/>
    <w:rsid w:val="007A2762"/>
    <w:rsid w:val="007B100A"/>
    <w:rsid w:val="007B44BB"/>
    <w:rsid w:val="007B641A"/>
    <w:rsid w:val="007C14A5"/>
    <w:rsid w:val="007D144D"/>
    <w:rsid w:val="007D2837"/>
    <w:rsid w:val="007D37BA"/>
    <w:rsid w:val="007D76F9"/>
    <w:rsid w:val="007E464F"/>
    <w:rsid w:val="007E4FE2"/>
    <w:rsid w:val="007E5DBA"/>
    <w:rsid w:val="007F1E32"/>
    <w:rsid w:val="007F4F81"/>
    <w:rsid w:val="007F5010"/>
    <w:rsid w:val="0080284B"/>
    <w:rsid w:val="008040BC"/>
    <w:rsid w:val="00811DC6"/>
    <w:rsid w:val="00813AC1"/>
    <w:rsid w:val="00814ADF"/>
    <w:rsid w:val="00814B1B"/>
    <w:rsid w:val="0081615F"/>
    <w:rsid w:val="0082670A"/>
    <w:rsid w:val="00826E75"/>
    <w:rsid w:val="00832740"/>
    <w:rsid w:val="008362ED"/>
    <w:rsid w:val="0083676B"/>
    <w:rsid w:val="0084010D"/>
    <w:rsid w:val="00843477"/>
    <w:rsid w:val="00847324"/>
    <w:rsid w:val="008552F1"/>
    <w:rsid w:val="00857CFA"/>
    <w:rsid w:val="00862256"/>
    <w:rsid w:val="008654FB"/>
    <w:rsid w:val="00865FF9"/>
    <w:rsid w:val="008678FD"/>
    <w:rsid w:val="008679D3"/>
    <w:rsid w:val="00872B6C"/>
    <w:rsid w:val="0087336E"/>
    <w:rsid w:val="00874EAE"/>
    <w:rsid w:val="00875706"/>
    <w:rsid w:val="008809EA"/>
    <w:rsid w:val="00881946"/>
    <w:rsid w:val="0088302C"/>
    <w:rsid w:val="008877E3"/>
    <w:rsid w:val="00892409"/>
    <w:rsid w:val="008926FE"/>
    <w:rsid w:val="008954F8"/>
    <w:rsid w:val="008A295D"/>
    <w:rsid w:val="008B5E99"/>
    <w:rsid w:val="008B609E"/>
    <w:rsid w:val="008C1C25"/>
    <w:rsid w:val="008C224A"/>
    <w:rsid w:val="008C3A05"/>
    <w:rsid w:val="008C3C86"/>
    <w:rsid w:val="008C479C"/>
    <w:rsid w:val="008C493E"/>
    <w:rsid w:val="008C7B0B"/>
    <w:rsid w:val="008D05CD"/>
    <w:rsid w:val="008D49CD"/>
    <w:rsid w:val="008D685F"/>
    <w:rsid w:val="008D76B2"/>
    <w:rsid w:val="008E0959"/>
    <w:rsid w:val="008E5B7B"/>
    <w:rsid w:val="008E5BE7"/>
    <w:rsid w:val="008E650C"/>
    <w:rsid w:val="008F12AC"/>
    <w:rsid w:val="008F17CF"/>
    <w:rsid w:val="008F2AC2"/>
    <w:rsid w:val="008F2BCF"/>
    <w:rsid w:val="00903ED8"/>
    <w:rsid w:val="00906395"/>
    <w:rsid w:val="00910018"/>
    <w:rsid w:val="009145A7"/>
    <w:rsid w:val="00916967"/>
    <w:rsid w:val="0092093C"/>
    <w:rsid w:val="00925EE6"/>
    <w:rsid w:val="009261CF"/>
    <w:rsid w:val="00937093"/>
    <w:rsid w:val="00942A18"/>
    <w:rsid w:val="00953BFD"/>
    <w:rsid w:val="00954264"/>
    <w:rsid w:val="00954AD0"/>
    <w:rsid w:val="00962246"/>
    <w:rsid w:val="00962458"/>
    <w:rsid w:val="00962E51"/>
    <w:rsid w:val="009654E0"/>
    <w:rsid w:val="0096704B"/>
    <w:rsid w:val="00967129"/>
    <w:rsid w:val="009708FE"/>
    <w:rsid w:val="00971F63"/>
    <w:rsid w:val="0097453F"/>
    <w:rsid w:val="00976DCC"/>
    <w:rsid w:val="00976E29"/>
    <w:rsid w:val="00983256"/>
    <w:rsid w:val="00983606"/>
    <w:rsid w:val="009848E7"/>
    <w:rsid w:val="009854A5"/>
    <w:rsid w:val="00986BA5"/>
    <w:rsid w:val="00987011"/>
    <w:rsid w:val="00995566"/>
    <w:rsid w:val="00997B60"/>
    <w:rsid w:val="009B286A"/>
    <w:rsid w:val="009B3EC0"/>
    <w:rsid w:val="009C05C5"/>
    <w:rsid w:val="009C1C57"/>
    <w:rsid w:val="009C5C27"/>
    <w:rsid w:val="009C7423"/>
    <w:rsid w:val="009D0955"/>
    <w:rsid w:val="009D4FB1"/>
    <w:rsid w:val="009D5D55"/>
    <w:rsid w:val="009E1FDA"/>
    <w:rsid w:val="009E3952"/>
    <w:rsid w:val="009F043F"/>
    <w:rsid w:val="009F3E07"/>
    <w:rsid w:val="009F5AF1"/>
    <w:rsid w:val="009F649C"/>
    <w:rsid w:val="00A013D7"/>
    <w:rsid w:val="00A026AF"/>
    <w:rsid w:val="00A03233"/>
    <w:rsid w:val="00A06DA5"/>
    <w:rsid w:val="00A17B13"/>
    <w:rsid w:val="00A23616"/>
    <w:rsid w:val="00A2458B"/>
    <w:rsid w:val="00A30B18"/>
    <w:rsid w:val="00A310A3"/>
    <w:rsid w:val="00A31DD7"/>
    <w:rsid w:val="00A32FDA"/>
    <w:rsid w:val="00A33A02"/>
    <w:rsid w:val="00A359B9"/>
    <w:rsid w:val="00A46E8F"/>
    <w:rsid w:val="00A61216"/>
    <w:rsid w:val="00A65EFC"/>
    <w:rsid w:val="00A67F84"/>
    <w:rsid w:val="00A7197E"/>
    <w:rsid w:val="00A734CD"/>
    <w:rsid w:val="00A7374C"/>
    <w:rsid w:val="00A746DD"/>
    <w:rsid w:val="00A80283"/>
    <w:rsid w:val="00A81AC4"/>
    <w:rsid w:val="00A81EFE"/>
    <w:rsid w:val="00A82D0D"/>
    <w:rsid w:val="00A850A6"/>
    <w:rsid w:val="00A9121A"/>
    <w:rsid w:val="00A91552"/>
    <w:rsid w:val="00A91A74"/>
    <w:rsid w:val="00A93049"/>
    <w:rsid w:val="00A93982"/>
    <w:rsid w:val="00A96288"/>
    <w:rsid w:val="00AA4D9C"/>
    <w:rsid w:val="00AA6424"/>
    <w:rsid w:val="00AB019C"/>
    <w:rsid w:val="00AB0274"/>
    <w:rsid w:val="00AB36A9"/>
    <w:rsid w:val="00AB4503"/>
    <w:rsid w:val="00AC0117"/>
    <w:rsid w:val="00AC0B78"/>
    <w:rsid w:val="00AC2CF0"/>
    <w:rsid w:val="00AC4360"/>
    <w:rsid w:val="00AC5D88"/>
    <w:rsid w:val="00AC6753"/>
    <w:rsid w:val="00AC6E12"/>
    <w:rsid w:val="00AC7FD3"/>
    <w:rsid w:val="00AD1065"/>
    <w:rsid w:val="00AD1CE7"/>
    <w:rsid w:val="00AD3286"/>
    <w:rsid w:val="00AD406A"/>
    <w:rsid w:val="00AD4F41"/>
    <w:rsid w:val="00AD7BFD"/>
    <w:rsid w:val="00AE188B"/>
    <w:rsid w:val="00AE1F6B"/>
    <w:rsid w:val="00AE3237"/>
    <w:rsid w:val="00AE3459"/>
    <w:rsid w:val="00AE4A17"/>
    <w:rsid w:val="00AF6095"/>
    <w:rsid w:val="00AF7B8F"/>
    <w:rsid w:val="00B0683D"/>
    <w:rsid w:val="00B11C4C"/>
    <w:rsid w:val="00B1382D"/>
    <w:rsid w:val="00B21C60"/>
    <w:rsid w:val="00B24CE1"/>
    <w:rsid w:val="00B26E7E"/>
    <w:rsid w:val="00B27172"/>
    <w:rsid w:val="00B30E23"/>
    <w:rsid w:val="00B36B8A"/>
    <w:rsid w:val="00B4116A"/>
    <w:rsid w:val="00B447C7"/>
    <w:rsid w:val="00B460A1"/>
    <w:rsid w:val="00B50BD2"/>
    <w:rsid w:val="00B533B9"/>
    <w:rsid w:val="00B54645"/>
    <w:rsid w:val="00B54704"/>
    <w:rsid w:val="00B67EEC"/>
    <w:rsid w:val="00B72C73"/>
    <w:rsid w:val="00B72F0B"/>
    <w:rsid w:val="00B734EC"/>
    <w:rsid w:val="00B7777C"/>
    <w:rsid w:val="00B84453"/>
    <w:rsid w:val="00B84BA4"/>
    <w:rsid w:val="00B861FD"/>
    <w:rsid w:val="00B912E2"/>
    <w:rsid w:val="00B97FBF"/>
    <w:rsid w:val="00BA3272"/>
    <w:rsid w:val="00BA3663"/>
    <w:rsid w:val="00BA5995"/>
    <w:rsid w:val="00BA7497"/>
    <w:rsid w:val="00BB0A3A"/>
    <w:rsid w:val="00BB17B3"/>
    <w:rsid w:val="00BB1EF4"/>
    <w:rsid w:val="00BB294F"/>
    <w:rsid w:val="00BB3696"/>
    <w:rsid w:val="00BB5A76"/>
    <w:rsid w:val="00BB5AD7"/>
    <w:rsid w:val="00BB7074"/>
    <w:rsid w:val="00BD15E8"/>
    <w:rsid w:val="00BD17AE"/>
    <w:rsid w:val="00BD35CF"/>
    <w:rsid w:val="00BD5831"/>
    <w:rsid w:val="00BE25ED"/>
    <w:rsid w:val="00BE31C8"/>
    <w:rsid w:val="00BE3B0B"/>
    <w:rsid w:val="00BE5B12"/>
    <w:rsid w:val="00BF17C8"/>
    <w:rsid w:val="00BF1CC9"/>
    <w:rsid w:val="00C02CA8"/>
    <w:rsid w:val="00C04E8D"/>
    <w:rsid w:val="00C17F79"/>
    <w:rsid w:val="00C2162B"/>
    <w:rsid w:val="00C21861"/>
    <w:rsid w:val="00C23B8B"/>
    <w:rsid w:val="00C2533A"/>
    <w:rsid w:val="00C264D8"/>
    <w:rsid w:val="00C26EC4"/>
    <w:rsid w:val="00C37214"/>
    <w:rsid w:val="00C416C0"/>
    <w:rsid w:val="00C41F9C"/>
    <w:rsid w:val="00C524EF"/>
    <w:rsid w:val="00C54B7D"/>
    <w:rsid w:val="00C5660F"/>
    <w:rsid w:val="00C5695E"/>
    <w:rsid w:val="00C57AA9"/>
    <w:rsid w:val="00C57C0B"/>
    <w:rsid w:val="00C60354"/>
    <w:rsid w:val="00C74452"/>
    <w:rsid w:val="00C80CE4"/>
    <w:rsid w:val="00C81746"/>
    <w:rsid w:val="00C823DA"/>
    <w:rsid w:val="00C82A2B"/>
    <w:rsid w:val="00C85B34"/>
    <w:rsid w:val="00C87E85"/>
    <w:rsid w:val="00C90289"/>
    <w:rsid w:val="00C915A6"/>
    <w:rsid w:val="00C91B1F"/>
    <w:rsid w:val="00C94870"/>
    <w:rsid w:val="00C9554C"/>
    <w:rsid w:val="00C96F44"/>
    <w:rsid w:val="00CA01FE"/>
    <w:rsid w:val="00CA0DEC"/>
    <w:rsid w:val="00CA33AC"/>
    <w:rsid w:val="00CA38BE"/>
    <w:rsid w:val="00CA38FE"/>
    <w:rsid w:val="00CB2D6C"/>
    <w:rsid w:val="00CC660A"/>
    <w:rsid w:val="00CC6E5F"/>
    <w:rsid w:val="00CD34FE"/>
    <w:rsid w:val="00CD4E4C"/>
    <w:rsid w:val="00CD522D"/>
    <w:rsid w:val="00CD7AF1"/>
    <w:rsid w:val="00CE49E6"/>
    <w:rsid w:val="00CE500A"/>
    <w:rsid w:val="00CE54A7"/>
    <w:rsid w:val="00CE5560"/>
    <w:rsid w:val="00CF40A2"/>
    <w:rsid w:val="00CF414A"/>
    <w:rsid w:val="00CF4774"/>
    <w:rsid w:val="00CF69D4"/>
    <w:rsid w:val="00D00906"/>
    <w:rsid w:val="00D00E18"/>
    <w:rsid w:val="00D02FD3"/>
    <w:rsid w:val="00D05BE4"/>
    <w:rsid w:val="00D10850"/>
    <w:rsid w:val="00D111DE"/>
    <w:rsid w:val="00D139C9"/>
    <w:rsid w:val="00D14F94"/>
    <w:rsid w:val="00D218C2"/>
    <w:rsid w:val="00D2236E"/>
    <w:rsid w:val="00D24A1F"/>
    <w:rsid w:val="00D35F2B"/>
    <w:rsid w:val="00D36941"/>
    <w:rsid w:val="00D369DF"/>
    <w:rsid w:val="00D4003B"/>
    <w:rsid w:val="00D41DC0"/>
    <w:rsid w:val="00D444C1"/>
    <w:rsid w:val="00D5127E"/>
    <w:rsid w:val="00D542AE"/>
    <w:rsid w:val="00D55FE8"/>
    <w:rsid w:val="00D615C3"/>
    <w:rsid w:val="00D6369A"/>
    <w:rsid w:val="00D658DF"/>
    <w:rsid w:val="00D72043"/>
    <w:rsid w:val="00D72415"/>
    <w:rsid w:val="00D72A60"/>
    <w:rsid w:val="00D7553F"/>
    <w:rsid w:val="00D763D8"/>
    <w:rsid w:val="00D86A12"/>
    <w:rsid w:val="00D86C89"/>
    <w:rsid w:val="00D9058B"/>
    <w:rsid w:val="00D92A87"/>
    <w:rsid w:val="00D94E6E"/>
    <w:rsid w:val="00DA3DCF"/>
    <w:rsid w:val="00DB514C"/>
    <w:rsid w:val="00DB6417"/>
    <w:rsid w:val="00DB64B1"/>
    <w:rsid w:val="00DB72BD"/>
    <w:rsid w:val="00DC12DE"/>
    <w:rsid w:val="00DC2125"/>
    <w:rsid w:val="00DC2F33"/>
    <w:rsid w:val="00DD14BB"/>
    <w:rsid w:val="00DD2243"/>
    <w:rsid w:val="00DD2D8F"/>
    <w:rsid w:val="00DD308B"/>
    <w:rsid w:val="00DD3BAE"/>
    <w:rsid w:val="00DD4C1A"/>
    <w:rsid w:val="00DD6EE0"/>
    <w:rsid w:val="00DD736F"/>
    <w:rsid w:val="00DE2EC9"/>
    <w:rsid w:val="00DE47F4"/>
    <w:rsid w:val="00DE6E89"/>
    <w:rsid w:val="00DF0C98"/>
    <w:rsid w:val="00DF1FC2"/>
    <w:rsid w:val="00DF4C99"/>
    <w:rsid w:val="00E10174"/>
    <w:rsid w:val="00E20C3E"/>
    <w:rsid w:val="00E24DE1"/>
    <w:rsid w:val="00E30502"/>
    <w:rsid w:val="00E30984"/>
    <w:rsid w:val="00E35E16"/>
    <w:rsid w:val="00E364B9"/>
    <w:rsid w:val="00E43310"/>
    <w:rsid w:val="00E52100"/>
    <w:rsid w:val="00E527F5"/>
    <w:rsid w:val="00E571C3"/>
    <w:rsid w:val="00E626BD"/>
    <w:rsid w:val="00E64927"/>
    <w:rsid w:val="00E671B4"/>
    <w:rsid w:val="00E7048D"/>
    <w:rsid w:val="00E72340"/>
    <w:rsid w:val="00E8097F"/>
    <w:rsid w:val="00E93034"/>
    <w:rsid w:val="00E954F7"/>
    <w:rsid w:val="00E97F3F"/>
    <w:rsid w:val="00EA0B2A"/>
    <w:rsid w:val="00EA3B64"/>
    <w:rsid w:val="00EA4366"/>
    <w:rsid w:val="00EA795A"/>
    <w:rsid w:val="00EB1471"/>
    <w:rsid w:val="00EB1A36"/>
    <w:rsid w:val="00EB42D7"/>
    <w:rsid w:val="00EB559E"/>
    <w:rsid w:val="00EB580A"/>
    <w:rsid w:val="00EB5B92"/>
    <w:rsid w:val="00EB5ED0"/>
    <w:rsid w:val="00EC2E93"/>
    <w:rsid w:val="00EC53DC"/>
    <w:rsid w:val="00EC7307"/>
    <w:rsid w:val="00ED068F"/>
    <w:rsid w:val="00ED7D51"/>
    <w:rsid w:val="00EE031C"/>
    <w:rsid w:val="00EE045F"/>
    <w:rsid w:val="00EE0977"/>
    <w:rsid w:val="00EE1BD1"/>
    <w:rsid w:val="00EE6C4E"/>
    <w:rsid w:val="00EE7C2E"/>
    <w:rsid w:val="00EF024F"/>
    <w:rsid w:val="00EF101E"/>
    <w:rsid w:val="00EF1F75"/>
    <w:rsid w:val="00EF5825"/>
    <w:rsid w:val="00EF6E14"/>
    <w:rsid w:val="00EF7C96"/>
    <w:rsid w:val="00F000D7"/>
    <w:rsid w:val="00F01182"/>
    <w:rsid w:val="00F0199B"/>
    <w:rsid w:val="00F06ED4"/>
    <w:rsid w:val="00F113CF"/>
    <w:rsid w:val="00F15466"/>
    <w:rsid w:val="00F160AE"/>
    <w:rsid w:val="00F1764E"/>
    <w:rsid w:val="00F207F5"/>
    <w:rsid w:val="00F22A76"/>
    <w:rsid w:val="00F23CD0"/>
    <w:rsid w:val="00F25119"/>
    <w:rsid w:val="00F26045"/>
    <w:rsid w:val="00F316CE"/>
    <w:rsid w:val="00F32AC7"/>
    <w:rsid w:val="00F33E1A"/>
    <w:rsid w:val="00F41298"/>
    <w:rsid w:val="00F41837"/>
    <w:rsid w:val="00F418E8"/>
    <w:rsid w:val="00F46998"/>
    <w:rsid w:val="00F51A19"/>
    <w:rsid w:val="00F604FC"/>
    <w:rsid w:val="00F61F6D"/>
    <w:rsid w:val="00F61F8D"/>
    <w:rsid w:val="00F65954"/>
    <w:rsid w:val="00F66338"/>
    <w:rsid w:val="00F66FD0"/>
    <w:rsid w:val="00F70AB5"/>
    <w:rsid w:val="00F719EA"/>
    <w:rsid w:val="00F751A1"/>
    <w:rsid w:val="00F755E7"/>
    <w:rsid w:val="00F7637C"/>
    <w:rsid w:val="00F77B53"/>
    <w:rsid w:val="00F80140"/>
    <w:rsid w:val="00F80443"/>
    <w:rsid w:val="00F80D48"/>
    <w:rsid w:val="00F81681"/>
    <w:rsid w:val="00F87ACD"/>
    <w:rsid w:val="00F93AF2"/>
    <w:rsid w:val="00F95111"/>
    <w:rsid w:val="00F971C2"/>
    <w:rsid w:val="00FA14BE"/>
    <w:rsid w:val="00FA2EBE"/>
    <w:rsid w:val="00FA51FC"/>
    <w:rsid w:val="00FA6787"/>
    <w:rsid w:val="00FB7ECA"/>
    <w:rsid w:val="00FC36F8"/>
    <w:rsid w:val="00FC693D"/>
    <w:rsid w:val="00FD032B"/>
    <w:rsid w:val="00FD506B"/>
    <w:rsid w:val="00FD5475"/>
    <w:rsid w:val="00FE0753"/>
    <w:rsid w:val="00FE3224"/>
    <w:rsid w:val="00FE7EC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5AB594"/>
  <w15:chartTrackingRefBased/>
  <w15:docId w15:val="{C4A8DAF0-C9CC-AC45-BADF-1D6EE58AE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D"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A5801"/>
    <w:rPr>
      <w:sz w:val="24"/>
      <w:szCs w:val="24"/>
      <w:lang w:val="en-US"/>
    </w:rPr>
  </w:style>
  <w:style w:type="paragraph" w:styleId="Heading1">
    <w:name w:val="heading 1"/>
    <w:basedOn w:val="Normal"/>
    <w:next w:val="Normal"/>
    <w:link w:val="Heading1Char"/>
    <w:qFormat/>
    <w:rsid w:val="001A5801"/>
    <w:pPr>
      <w:keepNext/>
      <w:ind w:left="4320"/>
      <w:jc w:val="both"/>
      <w:outlineLvl w:val="0"/>
    </w:pPr>
    <w:rPr>
      <w:rFonts w:ascii="Arial" w:hAnsi="Arial"/>
      <w:b/>
      <w:bCs/>
      <w:sz w:val="20"/>
      <w:szCs w:val="20"/>
      <w:lang w:val="x-none" w:eastAsia="x-none"/>
    </w:rPr>
  </w:style>
  <w:style w:type="paragraph" w:styleId="Heading2">
    <w:name w:val="heading 2"/>
    <w:basedOn w:val="Normal"/>
    <w:next w:val="Normal"/>
    <w:link w:val="Heading2Char"/>
    <w:qFormat/>
    <w:rsid w:val="00E72340"/>
    <w:pPr>
      <w:keepNext/>
      <w:outlineLvl w:val="1"/>
    </w:pPr>
    <w:rPr>
      <w:b/>
      <w:bCs/>
      <w:sz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5801"/>
    <w:rPr>
      <w:color w:val="0000FF"/>
      <w:u w:val="single"/>
    </w:rPr>
  </w:style>
  <w:style w:type="paragraph" w:styleId="BodyText">
    <w:name w:val="Body Text"/>
    <w:basedOn w:val="Normal"/>
    <w:rsid w:val="001A5801"/>
    <w:rPr>
      <w:rFonts w:ascii="Arial" w:hAnsi="Arial" w:cs="Arial"/>
      <w:sz w:val="20"/>
      <w:szCs w:val="20"/>
    </w:rPr>
  </w:style>
  <w:style w:type="paragraph" w:styleId="Header">
    <w:name w:val="header"/>
    <w:basedOn w:val="Normal"/>
    <w:rsid w:val="001A5801"/>
    <w:pPr>
      <w:tabs>
        <w:tab w:val="center" w:pos="4320"/>
        <w:tab w:val="right" w:pos="8640"/>
      </w:tabs>
    </w:pPr>
  </w:style>
  <w:style w:type="paragraph" w:styleId="Footer">
    <w:name w:val="footer"/>
    <w:basedOn w:val="Normal"/>
    <w:link w:val="FooterChar"/>
    <w:uiPriority w:val="99"/>
    <w:rsid w:val="001A5801"/>
    <w:pPr>
      <w:tabs>
        <w:tab w:val="center" w:pos="4320"/>
        <w:tab w:val="right" w:pos="8640"/>
      </w:tabs>
    </w:pPr>
    <w:rPr>
      <w:lang w:val="x-none" w:eastAsia="x-none"/>
    </w:rPr>
  </w:style>
  <w:style w:type="paragraph" w:styleId="BodyTextIndent">
    <w:name w:val="Body Text Indent"/>
    <w:basedOn w:val="Normal"/>
    <w:rsid w:val="001A5801"/>
    <w:pPr>
      <w:ind w:left="1440" w:hanging="1440"/>
    </w:pPr>
    <w:rPr>
      <w:rFonts w:ascii="Arial" w:hAnsi="Arial" w:cs="Arial"/>
      <w:b/>
      <w:bCs/>
      <w:sz w:val="20"/>
      <w:szCs w:val="20"/>
    </w:rPr>
  </w:style>
  <w:style w:type="paragraph" w:styleId="BodyText2">
    <w:name w:val="Body Text 2"/>
    <w:basedOn w:val="Normal"/>
    <w:rsid w:val="001A5801"/>
    <w:pPr>
      <w:jc w:val="both"/>
    </w:pPr>
    <w:rPr>
      <w:rFonts w:ascii="Arial" w:hAnsi="Arial" w:cs="Arial"/>
      <w:sz w:val="20"/>
      <w:szCs w:val="20"/>
    </w:rPr>
  </w:style>
  <w:style w:type="paragraph" w:styleId="BalloonText">
    <w:name w:val="Balloon Text"/>
    <w:basedOn w:val="Normal"/>
    <w:semiHidden/>
    <w:rsid w:val="001A5801"/>
    <w:rPr>
      <w:rFonts w:ascii="Tahoma" w:hAnsi="Tahoma" w:cs="Tahoma"/>
      <w:sz w:val="16"/>
      <w:szCs w:val="16"/>
    </w:rPr>
  </w:style>
  <w:style w:type="paragraph" w:styleId="DocumentMap">
    <w:name w:val="Document Map"/>
    <w:basedOn w:val="Normal"/>
    <w:semiHidden/>
    <w:rsid w:val="001A5801"/>
    <w:pPr>
      <w:shd w:val="clear" w:color="auto" w:fill="000080"/>
    </w:pPr>
    <w:rPr>
      <w:rFonts w:ascii="Tahoma" w:hAnsi="Tahoma" w:cs="Tahoma"/>
      <w:sz w:val="20"/>
      <w:szCs w:val="20"/>
    </w:rPr>
  </w:style>
  <w:style w:type="paragraph" w:styleId="PlainText">
    <w:name w:val="Plain Text"/>
    <w:basedOn w:val="Normal"/>
    <w:link w:val="PlainTextChar"/>
    <w:uiPriority w:val="99"/>
    <w:rsid w:val="00CC6E5F"/>
    <w:pPr>
      <w:spacing w:before="100" w:beforeAutospacing="1" w:after="100" w:afterAutospacing="1"/>
    </w:pPr>
    <w:rPr>
      <w:lang w:val="x-none" w:eastAsia="x-none"/>
    </w:rPr>
  </w:style>
  <w:style w:type="paragraph" w:styleId="NormalWeb">
    <w:name w:val="Normal (Web)"/>
    <w:basedOn w:val="Normal"/>
    <w:uiPriority w:val="99"/>
    <w:rsid w:val="001854AB"/>
    <w:pPr>
      <w:spacing w:before="100" w:beforeAutospacing="1" w:after="100" w:afterAutospacing="1"/>
    </w:pPr>
  </w:style>
  <w:style w:type="paragraph" w:styleId="ListParagraph">
    <w:name w:val="List Paragraph"/>
    <w:basedOn w:val="Normal"/>
    <w:uiPriority w:val="34"/>
    <w:qFormat/>
    <w:rsid w:val="00396D76"/>
    <w:pPr>
      <w:ind w:left="720"/>
      <w:contextualSpacing/>
    </w:pPr>
  </w:style>
  <w:style w:type="character" w:customStyle="1" w:styleId="PlainTextChar">
    <w:name w:val="Plain Text Char"/>
    <w:link w:val="PlainText"/>
    <w:uiPriority w:val="99"/>
    <w:rsid w:val="003879DF"/>
    <w:rPr>
      <w:sz w:val="24"/>
      <w:szCs w:val="24"/>
    </w:rPr>
  </w:style>
  <w:style w:type="character" w:styleId="CommentReference">
    <w:name w:val="annotation reference"/>
    <w:rsid w:val="00B36B8A"/>
    <w:rPr>
      <w:sz w:val="16"/>
      <w:szCs w:val="16"/>
    </w:rPr>
  </w:style>
  <w:style w:type="paragraph" w:styleId="CommentText">
    <w:name w:val="annotation text"/>
    <w:basedOn w:val="Normal"/>
    <w:link w:val="CommentTextChar"/>
    <w:rsid w:val="00B36B8A"/>
    <w:rPr>
      <w:sz w:val="20"/>
      <w:szCs w:val="20"/>
    </w:rPr>
  </w:style>
  <w:style w:type="character" w:customStyle="1" w:styleId="CommentTextChar">
    <w:name w:val="Comment Text Char"/>
    <w:basedOn w:val="DefaultParagraphFont"/>
    <w:link w:val="CommentText"/>
    <w:rsid w:val="00B36B8A"/>
  </w:style>
  <w:style w:type="paragraph" w:styleId="CommentSubject">
    <w:name w:val="annotation subject"/>
    <w:basedOn w:val="CommentText"/>
    <w:next w:val="CommentText"/>
    <w:link w:val="CommentSubjectChar"/>
    <w:rsid w:val="00B36B8A"/>
    <w:rPr>
      <w:b/>
      <w:bCs/>
      <w:lang w:val="x-none" w:eastAsia="x-none"/>
    </w:rPr>
  </w:style>
  <w:style w:type="character" w:customStyle="1" w:styleId="CommentSubjectChar">
    <w:name w:val="Comment Subject Char"/>
    <w:link w:val="CommentSubject"/>
    <w:rsid w:val="00B36B8A"/>
    <w:rPr>
      <w:b/>
      <w:bCs/>
    </w:rPr>
  </w:style>
  <w:style w:type="paragraph" w:styleId="FootnoteText">
    <w:name w:val="footnote text"/>
    <w:basedOn w:val="Normal"/>
    <w:link w:val="FootnoteTextChar"/>
    <w:rsid w:val="00967129"/>
    <w:rPr>
      <w:sz w:val="20"/>
      <w:szCs w:val="20"/>
    </w:rPr>
  </w:style>
  <w:style w:type="character" w:customStyle="1" w:styleId="FootnoteTextChar">
    <w:name w:val="Footnote Text Char"/>
    <w:basedOn w:val="DefaultParagraphFont"/>
    <w:link w:val="FootnoteText"/>
    <w:rsid w:val="00967129"/>
  </w:style>
  <w:style w:type="character" w:styleId="FootnoteReference">
    <w:name w:val="footnote reference"/>
    <w:rsid w:val="00967129"/>
    <w:rPr>
      <w:vertAlign w:val="superscript"/>
    </w:rPr>
  </w:style>
  <w:style w:type="character" w:styleId="Strong">
    <w:name w:val="Strong"/>
    <w:uiPriority w:val="22"/>
    <w:qFormat/>
    <w:rsid w:val="00092501"/>
    <w:rPr>
      <w:b/>
      <w:bCs/>
    </w:rPr>
  </w:style>
  <w:style w:type="table" w:styleId="TableGrid">
    <w:name w:val="Table Grid"/>
    <w:basedOn w:val="TableNormal"/>
    <w:rsid w:val="00F33E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843477"/>
    <w:rPr>
      <w:sz w:val="24"/>
      <w:szCs w:val="24"/>
    </w:r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hAnsi="Arial" w:cs="Arial"/>
      <w:sz w:val="20"/>
    </w:rPr>
  </w:style>
  <w:style w:type="paragraph" w:styleId="TOCHeading">
    <w:name w:val="TOC Heading"/>
    <w:basedOn w:val="Heading1"/>
    <w:next w:val="Normal"/>
    <w:uiPriority w:val="99"/>
    <w:qFormat/>
    <w:rsid w:val="00312685"/>
    <w:pPr>
      <w:keepLines/>
      <w:spacing w:before="480" w:line="276" w:lineRule="auto"/>
      <w:ind w:left="0"/>
      <w:jc w:val="left"/>
      <w:outlineLvl w:val="9"/>
    </w:pPr>
    <w:rPr>
      <w:rFonts w:ascii="Cambria" w:hAnsi="Cambria"/>
      <w:color w:val="365F91"/>
      <w:sz w:val="28"/>
      <w:szCs w:val="28"/>
    </w:rPr>
  </w:style>
  <w:style w:type="paragraph" w:styleId="TOC2">
    <w:name w:val="toc 2"/>
    <w:basedOn w:val="Normal"/>
    <w:next w:val="Normal"/>
    <w:autoRedefine/>
    <w:uiPriority w:val="39"/>
    <w:rsid w:val="00312685"/>
    <w:pPr>
      <w:tabs>
        <w:tab w:val="left" w:pos="660"/>
        <w:tab w:val="right" w:leader="dot" w:pos="9350"/>
      </w:tabs>
      <w:spacing w:after="240"/>
      <w:ind w:left="200"/>
    </w:pPr>
    <w:rPr>
      <w:b/>
      <w:noProof/>
      <w:sz w:val="20"/>
      <w:szCs w:val="20"/>
    </w:rPr>
  </w:style>
  <w:style w:type="character" w:customStyle="1" w:styleId="Heading1Char">
    <w:name w:val="Heading 1 Char"/>
    <w:link w:val="Heading1"/>
    <w:rsid w:val="00F755E7"/>
    <w:rPr>
      <w:rFonts w:ascii="Arial" w:hAnsi="Arial" w:cs="Arial"/>
      <w:b/>
      <w:bCs/>
    </w:rPr>
  </w:style>
  <w:style w:type="character" w:customStyle="1" w:styleId="Heading2Char">
    <w:name w:val="Heading 2 Char"/>
    <w:link w:val="Heading2"/>
    <w:rsid w:val="00F755E7"/>
    <w:rPr>
      <w:b/>
      <w:bCs/>
      <w:sz w:val="26"/>
      <w:szCs w:val="24"/>
    </w:rPr>
  </w:style>
  <w:style w:type="paragraph" w:styleId="TOC1">
    <w:name w:val="toc 1"/>
    <w:basedOn w:val="Normal"/>
    <w:next w:val="Normal"/>
    <w:autoRedefine/>
    <w:uiPriority w:val="39"/>
    <w:rsid w:val="00DE6E89"/>
  </w:style>
  <w:style w:type="paragraph" w:styleId="EndnoteText">
    <w:name w:val="endnote text"/>
    <w:basedOn w:val="Normal"/>
    <w:link w:val="EndnoteTextChar"/>
    <w:uiPriority w:val="99"/>
    <w:semiHidden/>
    <w:unhideWhenUsed/>
    <w:rsid w:val="00090D90"/>
    <w:rPr>
      <w:sz w:val="20"/>
      <w:szCs w:val="20"/>
    </w:rPr>
  </w:style>
  <w:style w:type="character" w:customStyle="1" w:styleId="EndnoteTextChar">
    <w:name w:val="Endnote Text Char"/>
    <w:basedOn w:val="DefaultParagraphFont"/>
    <w:link w:val="EndnoteText"/>
    <w:uiPriority w:val="99"/>
    <w:semiHidden/>
    <w:rsid w:val="00090D90"/>
  </w:style>
  <w:style w:type="character" w:styleId="EndnoteReference">
    <w:name w:val="endnote reference"/>
    <w:uiPriority w:val="99"/>
    <w:semiHidden/>
    <w:unhideWhenUsed/>
    <w:rsid w:val="00090D90"/>
    <w:rPr>
      <w:vertAlign w:val="superscript"/>
    </w:rPr>
  </w:style>
  <w:style w:type="character" w:styleId="FollowedHyperlink">
    <w:name w:val="FollowedHyperlink"/>
    <w:uiPriority w:val="99"/>
    <w:semiHidden/>
    <w:unhideWhenUsed/>
    <w:rsid w:val="00976E29"/>
    <w:rPr>
      <w:color w:val="800080"/>
      <w:u w:val="single"/>
    </w:rPr>
  </w:style>
  <w:style w:type="paragraph" w:customStyle="1" w:styleId="H1">
    <w:name w:val="H1"/>
    <w:rsid w:val="000134CC"/>
    <w:pPr>
      <w:spacing w:before="60" w:after="60"/>
    </w:pPr>
    <w:rPr>
      <w:rFonts w:cs="Arial"/>
      <w:b/>
      <w:bCs/>
      <w:snapToGrid w:val="0"/>
      <w:kern w:val="32"/>
      <w:sz w:val="24"/>
      <w:szCs w:val="32"/>
      <w:lang w:val="en-GB"/>
    </w:rPr>
  </w:style>
  <w:style w:type="paragraph" w:customStyle="1" w:styleId="H2">
    <w:name w:val="H2"/>
    <w:rsid w:val="000134CC"/>
    <w:rPr>
      <w:rFonts w:cs="Arial"/>
      <w:b/>
      <w:bCs/>
      <w:iCs/>
      <w:snapToGrid w:val="0"/>
      <w:sz w:val="22"/>
      <w:szCs w:val="28"/>
      <w:lang w:val="en-GB"/>
    </w:rPr>
  </w:style>
  <w:style w:type="character" w:styleId="UnresolvedMention">
    <w:name w:val="Unresolved Mention"/>
    <w:uiPriority w:val="99"/>
    <w:semiHidden/>
    <w:unhideWhenUsed/>
    <w:rsid w:val="006D6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099638">
      <w:bodyDiv w:val="1"/>
      <w:marLeft w:val="0"/>
      <w:marRight w:val="0"/>
      <w:marTop w:val="0"/>
      <w:marBottom w:val="0"/>
      <w:divBdr>
        <w:top w:val="none" w:sz="0" w:space="0" w:color="auto"/>
        <w:left w:val="none" w:sz="0" w:space="0" w:color="auto"/>
        <w:bottom w:val="none" w:sz="0" w:space="0" w:color="auto"/>
        <w:right w:val="none" w:sz="0" w:space="0" w:color="auto"/>
      </w:divBdr>
    </w:div>
    <w:div w:id="410277288">
      <w:bodyDiv w:val="1"/>
      <w:marLeft w:val="0"/>
      <w:marRight w:val="0"/>
      <w:marTop w:val="0"/>
      <w:marBottom w:val="0"/>
      <w:divBdr>
        <w:top w:val="none" w:sz="0" w:space="0" w:color="auto"/>
        <w:left w:val="none" w:sz="0" w:space="0" w:color="auto"/>
        <w:bottom w:val="none" w:sz="0" w:space="0" w:color="auto"/>
        <w:right w:val="none" w:sz="0" w:space="0" w:color="auto"/>
      </w:divBdr>
    </w:div>
    <w:div w:id="467279703">
      <w:bodyDiv w:val="1"/>
      <w:marLeft w:val="0"/>
      <w:marRight w:val="0"/>
      <w:marTop w:val="0"/>
      <w:marBottom w:val="0"/>
      <w:divBdr>
        <w:top w:val="none" w:sz="0" w:space="0" w:color="auto"/>
        <w:left w:val="none" w:sz="0" w:space="0" w:color="auto"/>
        <w:bottom w:val="none" w:sz="0" w:space="0" w:color="auto"/>
        <w:right w:val="none" w:sz="0" w:space="0" w:color="auto"/>
      </w:divBdr>
    </w:div>
    <w:div w:id="638191041">
      <w:bodyDiv w:val="1"/>
      <w:marLeft w:val="0"/>
      <w:marRight w:val="0"/>
      <w:marTop w:val="0"/>
      <w:marBottom w:val="0"/>
      <w:divBdr>
        <w:top w:val="none" w:sz="0" w:space="0" w:color="auto"/>
        <w:left w:val="none" w:sz="0" w:space="0" w:color="auto"/>
        <w:bottom w:val="none" w:sz="0" w:space="0" w:color="auto"/>
        <w:right w:val="none" w:sz="0" w:space="0" w:color="auto"/>
      </w:divBdr>
    </w:div>
    <w:div w:id="707682925">
      <w:bodyDiv w:val="1"/>
      <w:marLeft w:val="0"/>
      <w:marRight w:val="0"/>
      <w:marTop w:val="0"/>
      <w:marBottom w:val="0"/>
      <w:divBdr>
        <w:top w:val="none" w:sz="0" w:space="0" w:color="auto"/>
        <w:left w:val="none" w:sz="0" w:space="0" w:color="auto"/>
        <w:bottom w:val="none" w:sz="0" w:space="0" w:color="auto"/>
        <w:right w:val="none" w:sz="0" w:space="0" w:color="auto"/>
      </w:divBdr>
    </w:div>
    <w:div w:id="923337475">
      <w:bodyDiv w:val="1"/>
      <w:marLeft w:val="0"/>
      <w:marRight w:val="0"/>
      <w:marTop w:val="0"/>
      <w:marBottom w:val="0"/>
      <w:divBdr>
        <w:top w:val="none" w:sz="0" w:space="0" w:color="auto"/>
        <w:left w:val="none" w:sz="0" w:space="0" w:color="auto"/>
        <w:bottom w:val="none" w:sz="0" w:space="0" w:color="auto"/>
        <w:right w:val="none" w:sz="0" w:space="0" w:color="auto"/>
      </w:divBdr>
    </w:div>
    <w:div w:id="954752024">
      <w:bodyDiv w:val="1"/>
      <w:marLeft w:val="0"/>
      <w:marRight w:val="0"/>
      <w:marTop w:val="0"/>
      <w:marBottom w:val="0"/>
      <w:divBdr>
        <w:top w:val="none" w:sz="0" w:space="0" w:color="auto"/>
        <w:left w:val="none" w:sz="0" w:space="0" w:color="auto"/>
        <w:bottom w:val="none" w:sz="0" w:space="0" w:color="auto"/>
        <w:right w:val="none" w:sz="0" w:space="0" w:color="auto"/>
      </w:divBdr>
    </w:div>
    <w:div w:id="954823161">
      <w:bodyDiv w:val="1"/>
      <w:marLeft w:val="0"/>
      <w:marRight w:val="0"/>
      <w:marTop w:val="0"/>
      <w:marBottom w:val="0"/>
      <w:divBdr>
        <w:top w:val="none" w:sz="0" w:space="0" w:color="auto"/>
        <w:left w:val="none" w:sz="0" w:space="0" w:color="auto"/>
        <w:bottom w:val="none" w:sz="0" w:space="0" w:color="auto"/>
        <w:right w:val="none" w:sz="0" w:space="0" w:color="auto"/>
      </w:divBdr>
    </w:div>
    <w:div w:id="1048726401">
      <w:bodyDiv w:val="1"/>
      <w:marLeft w:val="0"/>
      <w:marRight w:val="0"/>
      <w:marTop w:val="0"/>
      <w:marBottom w:val="0"/>
      <w:divBdr>
        <w:top w:val="none" w:sz="0" w:space="0" w:color="auto"/>
        <w:left w:val="none" w:sz="0" w:space="0" w:color="auto"/>
        <w:bottom w:val="none" w:sz="0" w:space="0" w:color="auto"/>
        <w:right w:val="none" w:sz="0" w:space="0" w:color="auto"/>
      </w:divBdr>
    </w:div>
    <w:div w:id="1185048805">
      <w:bodyDiv w:val="1"/>
      <w:marLeft w:val="0"/>
      <w:marRight w:val="0"/>
      <w:marTop w:val="0"/>
      <w:marBottom w:val="0"/>
      <w:divBdr>
        <w:top w:val="none" w:sz="0" w:space="0" w:color="auto"/>
        <w:left w:val="none" w:sz="0" w:space="0" w:color="auto"/>
        <w:bottom w:val="none" w:sz="0" w:space="0" w:color="auto"/>
        <w:right w:val="none" w:sz="0" w:space="0" w:color="auto"/>
      </w:divBdr>
    </w:div>
    <w:div w:id="1210385102">
      <w:bodyDiv w:val="1"/>
      <w:marLeft w:val="0"/>
      <w:marRight w:val="0"/>
      <w:marTop w:val="0"/>
      <w:marBottom w:val="0"/>
      <w:divBdr>
        <w:top w:val="none" w:sz="0" w:space="0" w:color="auto"/>
        <w:left w:val="none" w:sz="0" w:space="0" w:color="auto"/>
        <w:bottom w:val="none" w:sz="0" w:space="0" w:color="auto"/>
        <w:right w:val="none" w:sz="0" w:space="0" w:color="auto"/>
      </w:divBdr>
    </w:div>
    <w:div w:id="1291473889">
      <w:bodyDiv w:val="1"/>
      <w:marLeft w:val="0"/>
      <w:marRight w:val="0"/>
      <w:marTop w:val="0"/>
      <w:marBottom w:val="0"/>
      <w:divBdr>
        <w:top w:val="none" w:sz="0" w:space="0" w:color="auto"/>
        <w:left w:val="none" w:sz="0" w:space="0" w:color="auto"/>
        <w:bottom w:val="none" w:sz="0" w:space="0" w:color="auto"/>
        <w:right w:val="none" w:sz="0" w:space="0" w:color="auto"/>
      </w:divBdr>
      <w:divsChild>
        <w:div w:id="1693417213">
          <w:marLeft w:val="0"/>
          <w:marRight w:val="0"/>
          <w:marTop w:val="0"/>
          <w:marBottom w:val="360"/>
          <w:divBdr>
            <w:top w:val="none" w:sz="0" w:space="0" w:color="auto"/>
            <w:left w:val="none" w:sz="0" w:space="0" w:color="auto"/>
            <w:bottom w:val="none" w:sz="0" w:space="0" w:color="auto"/>
            <w:right w:val="none" w:sz="0" w:space="0" w:color="auto"/>
          </w:divBdr>
        </w:div>
      </w:divsChild>
    </w:div>
    <w:div w:id="1487014812">
      <w:bodyDiv w:val="1"/>
      <w:marLeft w:val="0"/>
      <w:marRight w:val="0"/>
      <w:marTop w:val="0"/>
      <w:marBottom w:val="0"/>
      <w:divBdr>
        <w:top w:val="none" w:sz="0" w:space="0" w:color="auto"/>
        <w:left w:val="none" w:sz="0" w:space="0" w:color="auto"/>
        <w:bottom w:val="none" w:sz="0" w:space="0" w:color="auto"/>
        <w:right w:val="none" w:sz="0" w:space="0" w:color="auto"/>
      </w:divBdr>
    </w:div>
    <w:div w:id="1523392710">
      <w:bodyDiv w:val="1"/>
      <w:marLeft w:val="0"/>
      <w:marRight w:val="0"/>
      <w:marTop w:val="0"/>
      <w:marBottom w:val="0"/>
      <w:divBdr>
        <w:top w:val="none" w:sz="0" w:space="0" w:color="auto"/>
        <w:left w:val="none" w:sz="0" w:space="0" w:color="auto"/>
        <w:bottom w:val="none" w:sz="0" w:space="0" w:color="auto"/>
        <w:right w:val="none" w:sz="0" w:space="0" w:color="auto"/>
      </w:divBdr>
    </w:div>
    <w:div w:id="1608392018">
      <w:bodyDiv w:val="1"/>
      <w:marLeft w:val="0"/>
      <w:marRight w:val="0"/>
      <w:marTop w:val="0"/>
      <w:marBottom w:val="0"/>
      <w:divBdr>
        <w:top w:val="none" w:sz="0" w:space="0" w:color="auto"/>
        <w:left w:val="none" w:sz="0" w:space="0" w:color="auto"/>
        <w:bottom w:val="none" w:sz="0" w:space="0" w:color="auto"/>
        <w:right w:val="none" w:sz="0" w:space="0" w:color="auto"/>
      </w:divBdr>
      <w:divsChild>
        <w:div w:id="1654872997">
          <w:marLeft w:val="0"/>
          <w:marRight w:val="0"/>
          <w:marTop w:val="0"/>
          <w:marBottom w:val="360"/>
          <w:divBdr>
            <w:top w:val="none" w:sz="0" w:space="0" w:color="auto"/>
            <w:left w:val="none" w:sz="0" w:space="0" w:color="auto"/>
            <w:bottom w:val="none" w:sz="0" w:space="0" w:color="auto"/>
            <w:right w:val="none" w:sz="0" w:space="0" w:color="auto"/>
          </w:divBdr>
        </w:div>
      </w:divsChild>
    </w:div>
    <w:div w:id="1736777420">
      <w:bodyDiv w:val="1"/>
      <w:marLeft w:val="0"/>
      <w:marRight w:val="0"/>
      <w:marTop w:val="0"/>
      <w:marBottom w:val="0"/>
      <w:divBdr>
        <w:top w:val="none" w:sz="0" w:space="0" w:color="auto"/>
        <w:left w:val="none" w:sz="0" w:space="0" w:color="auto"/>
        <w:bottom w:val="none" w:sz="0" w:space="0" w:color="auto"/>
        <w:right w:val="none" w:sz="0" w:space="0" w:color="auto"/>
      </w:divBdr>
    </w:div>
    <w:div w:id="1751806115">
      <w:bodyDiv w:val="1"/>
      <w:marLeft w:val="0"/>
      <w:marRight w:val="0"/>
      <w:marTop w:val="0"/>
      <w:marBottom w:val="0"/>
      <w:divBdr>
        <w:top w:val="none" w:sz="0" w:space="0" w:color="auto"/>
        <w:left w:val="none" w:sz="0" w:space="0" w:color="auto"/>
        <w:bottom w:val="none" w:sz="0" w:space="0" w:color="auto"/>
        <w:right w:val="none" w:sz="0" w:space="0" w:color="auto"/>
      </w:divBdr>
    </w:div>
    <w:div w:id="1796019748">
      <w:bodyDiv w:val="1"/>
      <w:marLeft w:val="0"/>
      <w:marRight w:val="0"/>
      <w:marTop w:val="0"/>
      <w:marBottom w:val="0"/>
      <w:divBdr>
        <w:top w:val="none" w:sz="0" w:space="0" w:color="auto"/>
        <w:left w:val="none" w:sz="0" w:space="0" w:color="auto"/>
        <w:bottom w:val="none" w:sz="0" w:space="0" w:color="auto"/>
        <w:right w:val="none" w:sz="0" w:space="0" w:color="auto"/>
      </w:divBdr>
      <w:divsChild>
        <w:div w:id="1269388967">
          <w:marLeft w:val="0"/>
          <w:marRight w:val="0"/>
          <w:marTop w:val="0"/>
          <w:marBottom w:val="360"/>
          <w:divBdr>
            <w:top w:val="none" w:sz="0" w:space="0" w:color="auto"/>
            <w:left w:val="none" w:sz="0" w:space="0" w:color="auto"/>
            <w:bottom w:val="none" w:sz="0" w:space="0" w:color="auto"/>
            <w:right w:val="none" w:sz="0" w:space="0" w:color="auto"/>
          </w:divBdr>
        </w:div>
      </w:divsChild>
    </w:div>
    <w:div w:id="1798255927">
      <w:bodyDiv w:val="1"/>
      <w:marLeft w:val="0"/>
      <w:marRight w:val="0"/>
      <w:marTop w:val="0"/>
      <w:marBottom w:val="0"/>
      <w:divBdr>
        <w:top w:val="none" w:sz="0" w:space="0" w:color="auto"/>
        <w:left w:val="none" w:sz="0" w:space="0" w:color="auto"/>
        <w:bottom w:val="none" w:sz="0" w:space="0" w:color="auto"/>
        <w:right w:val="none" w:sz="0" w:space="0" w:color="auto"/>
      </w:divBdr>
      <w:divsChild>
        <w:div w:id="1134103472">
          <w:marLeft w:val="0"/>
          <w:marRight w:val="0"/>
          <w:marTop w:val="0"/>
          <w:marBottom w:val="360"/>
          <w:divBdr>
            <w:top w:val="none" w:sz="0" w:space="0" w:color="auto"/>
            <w:left w:val="none" w:sz="0" w:space="0" w:color="auto"/>
            <w:bottom w:val="none" w:sz="0" w:space="0" w:color="auto"/>
            <w:right w:val="none" w:sz="0" w:space="0" w:color="auto"/>
          </w:divBdr>
        </w:div>
      </w:divsChild>
    </w:div>
    <w:div w:id="1818959356">
      <w:bodyDiv w:val="1"/>
      <w:marLeft w:val="0"/>
      <w:marRight w:val="0"/>
      <w:marTop w:val="0"/>
      <w:marBottom w:val="0"/>
      <w:divBdr>
        <w:top w:val="none" w:sz="0" w:space="0" w:color="auto"/>
        <w:left w:val="none" w:sz="0" w:space="0" w:color="auto"/>
        <w:bottom w:val="none" w:sz="0" w:space="0" w:color="auto"/>
        <w:right w:val="none" w:sz="0" w:space="0" w:color="auto"/>
      </w:divBdr>
      <w:divsChild>
        <w:div w:id="1032455938">
          <w:marLeft w:val="0"/>
          <w:marRight w:val="0"/>
          <w:marTop w:val="0"/>
          <w:marBottom w:val="0"/>
          <w:divBdr>
            <w:top w:val="none" w:sz="0" w:space="0" w:color="auto"/>
            <w:left w:val="none" w:sz="0" w:space="0" w:color="auto"/>
            <w:bottom w:val="none" w:sz="0" w:space="0" w:color="auto"/>
            <w:right w:val="none" w:sz="0" w:space="0" w:color="auto"/>
          </w:divBdr>
        </w:div>
      </w:divsChild>
    </w:div>
    <w:div w:id="1823085371">
      <w:bodyDiv w:val="1"/>
      <w:marLeft w:val="0"/>
      <w:marRight w:val="0"/>
      <w:marTop w:val="0"/>
      <w:marBottom w:val="0"/>
      <w:divBdr>
        <w:top w:val="none" w:sz="0" w:space="0" w:color="auto"/>
        <w:left w:val="none" w:sz="0" w:space="0" w:color="auto"/>
        <w:bottom w:val="none" w:sz="0" w:space="0" w:color="auto"/>
        <w:right w:val="none" w:sz="0" w:space="0" w:color="auto"/>
      </w:divBdr>
    </w:div>
    <w:div w:id="1949772186">
      <w:bodyDiv w:val="1"/>
      <w:marLeft w:val="0"/>
      <w:marRight w:val="0"/>
      <w:marTop w:val="0"/>
      <w:marBottom w:val="0"/>
      <w:divBdr>
        <w:top w:val="none" w:sz="0" w:space="0" w:color="auto"/>
        <w:left w:val="none" w:sz="0" w:space="0" w:color="auto"/>
        <w:bottom w:val="none" w:sz="0" w:space="0" w:color="auto"/>
        <w:right w:val="none" w:sz="0" w:space="0" w:color="auto"/>
      </w:divBdr>
      <w:divsChild>
        <w:div w:id="224611770">
          <w:marLeft w:val="0"/>
          <w:marRight w:val="0"/>
          <w:marTop w:val="0"/>
          <w:marBottom w:val="360"/>
          <w:divBdr>
            <w:top w:val="none" w:sz="0" w:space="0" w:color="auto"/>
            <w:left w:val="none" w:sz="0" w:space="0" w:color="auto"/>
            <w:bottom w:val="none" w:sz="0" w:space="0" w:color="auto"/>
            <w:right w:val="none" w:sz="0" w:space="0" w:color="auto"/>
          </w:divBdr>
        </w:div>
      </w:divsChild>
    </w:div>
    <w:div w:id="213532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hristian.usfinit@undp.org"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mdtf.undp.org/" TargetMode="External"/><Relationship Id="rId2" Type="http://schemas.openxmlformats.org/officeDocument/2006/relationships/hyperlink" Target="http://mdtf.undp.org" TargetMode="External"/><Relationship Id="rId1" Type="http://schemas.openxmlformats.org/officeDocument/2006/relationships/hyperlink" Target="http://mdtf.undp.org" TargetMode="External"/><Relationship Id="rId4" Type="http://schemas.openxmlformats.org/officeDocument/2006/relationships/hyperlink" Target="https://drive.google.com/open?id=1qz0K-jUUj6vBVhE0l9xOnOlkDGMjqNl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5657F-0835-4AF2-A373-9FB7EAF13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3653</Words>
  <Characters>20827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lpstr>
    </vt:vector>
  </TitlesOfParts>
  <Company>UNDP</Company>
  <LinksUpToDate>false</LinksUpToDate>
  <CharactersWithSpaces>24432</CharactersWithSpaces>
  <SharedDoc>false</SharedDoc>
  <HLinks>
    <vt:vector size="24" baseType="variant">
      <vt:variant>
        <vt:i4>4390962</vt:i4>
      </vt:variant>
      <vt:variant>
        <vt:i4>4</vt:i4>
      </vt:variant>
      <vt:variant>
        <vt:i4>0</vt:i4>
      </vt:variant>
      <vt:variant>
        <vt:i4>5</vt:i4>
      </vt:variant>
      <vt:variant>
        <vt:lpwstr>mailto:christian.usfinit@undp.org</vt:lpwstr>
      </vt:variant>
      <vt:variant>
        <vt:lpwstr/>
      </vt:variant>
      <vt:variant>
        <vt:i4>655430</vt:i4>
      </vt:variant>
      <vt:variant>
        <vt:i4>6</vt:i4>
      </vt:variant>
      <vt:variant>
        <vt:i4>0</vt:i4>
      </vt:variant>
      <vt:variant>
        <vt:i4>5</vt:i4>
      </vt:variant>
      <vt:variant>
        <vt:lpwstr>http://mdtf.undp.org/</vt:lpwstr>
      </vt:variant>
      <vt:variant>
        <vt:lpwstr/>
      </vt:variant>
      <vt:variant>
        <vt:i4>655430</vt:i4>
      </vt:variant>
      <vt:variant>
        <vt:i4>3</vt:i4>
      </vt:variant>
      <vt:variant>
        <vt:i4>0</vt:i4>
      </vt:variant>
      <vt:variant>
        <vt:i4>5</vt:i4>
      </vt:variant>
      <vt:variant>
        <vt:lpwstr>http://mdtf.undp.org/</vt:lpwstr>
      </vt:variant>
      <vt:variant>
        <vt:lpwstr/>
      </vt:variant>
      <vt:variant>
        <vt:i4>655430</vt:i4>
      </vt:variant>
      <vt:variant>
        <vt:i4>0</vt:i4>
      </vt:variant>
      <vt:variant>
        <vt:i4>0</vt:i4>
      </vt:variant>
      <vt:variant>
        <vt:i4>5</vt:i4>
      </vt:variant>
      <vt:variant>
        <vt:lpwstr>http://mdtf.undp.org/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Dalia</dc:creator>
  <cp:keywords/>
  <cp:lastModifiedBy>Mari Matsumoto</cp:lastModifiedBy>
  <cp:revision>2</cp:revision>
  <cp:lastPrinted>2012-11-28T10:52:00Z</cp:lastPrinted>
  <dcterms:created xsi:type="dcterms:W3CDTF">2020-04-21T03:11:00Z</dcterms:created>
  <dcterms:modified xsi:type="dcterms:W3CDTF">2020-04-21T03:11:00Z</dcterms:modified>
</cp:coreProperties>
</file>