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B4D3" w14:textId="33BC0FBE" w:rsidR="0004299D" w:rsidRPr="00D32000" w:rsidRDefault="0004299D" w:rsidP="007F7F4D">
      <w:pPr>
        <w:pStyle w:val="IntenseQuote"/>
        <w:rPr>
          <w:lang w:val="en-US"/>
        </w:rPr>
      </w:pPr>
      <w:r>
        <w:rPr>
          <w:lang w:val="en-US"/>
        </w:rPr>
        <w:t>VII</w:t>
      </w:r>
      <w:r w:rsidRPr="00D32000">
        <w:rPr>
          <w:lang w:val="en-US"/>
        </w:rPr>
        <w:t xml:space="preserve">. </w:t>
      </w:r>
      <w:r>
        <w:rPr>
          <w:lang w:val="en-US"/>
        </w:rPr>
        <w:t>Annual working plan</w:t>
      </w:r>
      <w:r w:rsidR="00DB242A">
        <w:rPr>
          <w:lang w:val="en-US"/>
        </w:rPr>
        <w:t xml:space="preserve"> 2019-2020</w:t>
      </w:r>
    </w:p>
    <w:p w14:paraId="375FCEDB" w14:textId="77777777" w:rsidR="0004299D" w:rsidRPr="00D32000" w:rsidRDefault="0004299D" w:rsidP="0004299D">
      <w:pPr>
        <w:rPr>
          <w:b/>
          <w:lang w:val="en-US"/>
        </w:rPr>
      </w:pPr>
      <w:r>
        <w:rPr>
          <w:b/>
          <w:lang w:val="en-US"/>
        </w:rPr>
        <w:t>Year: 2019/2020</w:t>
      </w:r>
    </w:p>
    <w:tbl>
      <w:tblPr>
        <w:tblpPr w:leftFromText="180" w:rightFromText="180" w:vertAnchor="text" w:tblpXSpec="center" w:tblpY="1"/>
        <w:tblOverlap w:val="never"/>
        <w:tblW w:w="5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887"/>
        <w:gridCol w:w="303"/>
        <w:gridCol w:w="303"/>
        <w:gridCol w:w="306"/>
        <w:gridCol w:w="222"/>
        <w:gridCol w:w="82"/>
        <w:gridCol w:w="303"/>
        <w:gridCol w:w="321"/>
        <w:gridCol w:w="1446"/>
        <w:gridCol w:w="814"/>
        <w:gridCol w:w="4315"/>
        <w:gridCol w:w="1350"/>
      </w:tblGrid>
      <w:tr w:rsidR="000F6447" w14:paraId="0387A372" w14:textId="77777777" w:rsidTr="006606D6">
        <w:trPr>
          <w:cantSplit/>
          <w:trHeight w:val="195"/>
          <w:jc w:val="center"/>
        </w:trPr>
        <w:tc>
          <w:tcPr>
            <w:tcW w:w="661" w:type="pct"/>
            <w:vMerge w:val="restart"/>
            <w:shd w:val="clear" w:color="auto" w:fill="FFFF99"/>
          </w:tcPr>
          <w:p w14:paraId="718F76FB" w14:textId="77777777" w:rsidR="000F6447" w:rsidRPr="00882DCA" w:rsidRDefault="000F6447" w:rsidP="00E3051E">
            <w:pPr>
              <w:spacing w:before="60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Expected results</w:t>
            </w:r>
          </w:p>
          <w:p w14:paraId="27D469B4" w14:textId="77777777" w:rsidR="000F6447" w:rsidRPr="00894D47" w:rsidRDefault="000F6447" w:rsidP="00E3051E">
            <w:pPr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990" w:type="pct"/>
            <w:vMerge w:val="restart"/>
            <w:shd w:val="clear" w:color="auto" w:fill="FFFF99"/>
          </w:tcPr>
          <w:p w14:paraId="1AE7F53C" w14:textId="77777777" w:rsidR="000F6447" w:rsidRPr="00882DCA" w:rsidRDefault="000F6447" w:rsidP="00E3051E">
            <w:pPr>
              <w:spacing w:before="60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Planned activities </w:t>
            </w:r>
          </w:p>
        </w:tc>
        <w:tc>
          <w:tcPr>
            <w:tcW w:w="389" w:type="pct"/>
            <w:gridSpan w:val="4"/>
            <w:shd w:val="clear" w:color="auto" w:fill="FFFF99"/>
            <w:vAlign w:val="center"/>
          </w:tcPr>
          <w:p w14:paraId="1AF947E1" w14:textId="5114447B" w:rsidR="000F6447" w:rsidRDefault="000F6447" w:rsidP="00E3051E">
            <w:pPr>
              <w:spacing w:before="60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Timeline </w:t>
            </w:r>
            <w:r w:rsidR="00881F05">
              <w:rPr>
                <w:b/>
                <w:bCs/>
                <w:sz w:val="18"/>
                <w:lang w:val="en-US"/>
              </w:rPr>
              <w:t>2019</w:t>
            </w:r>
          </w:p>
        </w:tc>
        <w:tc>
          <w:tcPr>
            <w:tcW w:w="242" w:type="pct"/>
            <w:gridSpan w:val="3"/>
            <w:shd w:val="clear" w:color="auto" w:fill="FFFF99"/>
            <w:vAlign w:val="center"/>
          </w:tcPr>
          <w:p w14:paraId="583E7692" w14:textId="401DF950" w:rsidR="000F6447" w:rsidRDefault="000F6447" w:rsidP="00E3051E">
            <w:pPr>
              <w:spacing w:before="60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2020</w:t>
            </w:r>
          </w:p>
        </w:tc>
        <w:tc>
          <w:tcPr>
            <w:tcW w:w="496" w:type="pct"/>
            <w:shd w:val="clear" w:color="auto" w:fill="FFFF99"/>
          </w:tcPr>
          <w:p w14:paraId="6F57A4A4" w14:textId="77777777" w:rsidR="000F6447" w:rsidRDefault="000F6447" w:rsidP="00E3051E">
            <w:pPr>
              <w:spacing w:before="60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Implementing partner</w:t>
            </w:r>
          </w:p>
        </w:tc>
        <w:tc>
          <w:tcPr>
            <w:tcW w:w="2222" w:type="pct"/>
            <w:gridSpan w:val="3"/>
            <w:shd w:val="clear" w:color="auto" w:fill="FFFF99"/>
            <w:vAlign w:val="center"/>
          </w:tcPr>
          <w:p w14:paraId="10540D1C" w14:textId="77777777" w:rsidR="000F6447" w:rsidRPr="00041416" w:rsidRDefault="000F6447" w:rsidP="00E3051E">
            <w:pPr>
              <w:spacing w:before="60"/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>Planned budget</w:t>
            </w:r>
          </w:p>
        </w:tc>
      </w:tr>
      <w:tr w:rsidR="00DB76A9" w14:paraId="7221F556" w14:textId="77777777" w:rsidTr="00410516">
        <w:trPr>
          <w:cantSplit/>
          <w:trHeight w:val="555"/>
          <w:jc w:val="center"/>
        </w:trPr>
        <w:tc>
          <w:tcPr>
            <w:tcW w:w="661" w:type="pct"/>
            <w:vMerge/>
            <w:shd w:val="clear" w:color="auto" w:fill="CCCCCC"/>
            <w:vAlign w:val="center"/>
          </w:tcPr>
          <w:p w14:paraId="05960FB4" w14:textId="77777777" w:rsidR="0004299D" w:rsidRDefault="0004299D" w:rsidP="00E3051E">
            <w:pPr>
              <w:jc w:val="center"/>
              <w:rPr>
                <w:sz w:val="18"/>
              </w:rPr>
            </w:pPr>
          </w:p>
        </w:tc>
        <w:tc>
          <w:tcPr>
            <w:tcW w:w="99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8E52436" w14:textId="77777777" w:rsidR="0004299D" w:rsidRDefault="0004299D" w:rsidP="00E3051E">
            <w:pPr>
              <w:jc w:val="center"/>
              <w:rPr>
                <w:sz w:val="18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9AB11D2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  <w:p w14:paraId="72D775D6" w14:textId="561C522B" w:rsidR="0004299D" w:rsidRPr="00DB242A" w:rsidRDefault="0004299D" w:rsidP="00934CD0">
            <w:pPr>
              <w:spacing w:after="0"/>
              <w:jc w:val="center"/>
              <w:rPr>
                <w:b/>
                <w:sz w:val="16"/>
                <w:lang w:val="it-IT"/>
              </w:rPr>
            </w:pPr>
            <w:r w:rsidRPr="00265215">
              <w:rPr>
                <w:b/>
                <w:sz w:val="12"/>
                <w:szCs w:val="12"/>
              </w:rPr>
              <w:t xml:space="preserve">1 </w:t>
            </w: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ED076B2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2E66707E" w14:textId="5B57E5EB" w:rsidR="0004299D" w:rsidRPr="00265215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  <w:r w:rsidRPr="00265215">
              <w:rPr>
                <w:b/>
                <w:sz w:val="12"/>
                <w:szCs w:val="12"/>
                <w:lang w:val="en-US"/>
              </w:rPr>
              <w:t xml:space="preserve">2 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AF665D8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49ADE1AA" w14:textId="684B3BCE" w:rsidR="0004299D" w:rsidRPr="00265215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  <w:r w:rsidRPr="00265215">
              <w:rPr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104" w:type="pct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EB71A90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4182DE0E" w14:textId="641E825B" w:rsidR="0004299D" w:rsidRPr="00265215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  <w:r w:rsidRPr="00265215">
              <w:rPr>
                <w:b/>
                <w:sz w:val="12"/>
                <w:szCs w:val="12"/>
                <w:lang w:val="en-US"/>
              </w:rPr>
              <w:t xml:space="preserve">4 </w:t>
            </w:r>
          </w:p>
        </w:tc>
        <w:tc>
          <w:tcPr>
            <w:tcW w:w="104" w:type="pct"/>
            <w:shd w:val="clear" w:color="auto" w:fill="FFFF99"/>
          </w:tcPr>
          <w:p w14:paraId="548D8D76" w14:textId="77777777" w:rsidR="0004299D" w:rsidRDefault="0004299D" w:rsidP="000F6447">
            <w:pPr>
              <w:spacing w:after="0"/>
              <w:ind w:left="-195" w:firstLine="195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5578C18E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14A64EB0" w14:textId="77777777" w:rsidR="0004299D" w:rsidRPr="00265215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  <w:r w:rsidRPr="00265215">
              <w:rPr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110" w:type="pct"/>
            <w:shd w:val="clear" w:color="auto" w:fill="FFFF99"/>
          </w:tcPr>
          <w:p w14:paraId="4B257135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7674CBBA" w14:textId="77777777" w:rsidR="0004299D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</w:p>
          <w:p w14:paraId="79B897BA" w14:textId="77777777" w:rsidR="0004299D" w:rsidRPr="00265215" w:rsidRDefault="0004299D" w:rsidP="00934CD0">
            <w:pPr>
              <w:spacing w:after="0"/>
              <w:jc w:val="center"/>
              <w:rPr>
                <w:b/>
                <w:sz w:val="12"/>
                <w:szCs w:val="12"/>
                <w:lang w:val="en-US"/>
              </w:rPr>
            </w:pPr>
            <w:r w:rsidRPr="00265215">
              <w:rPr>
                <w:b/>
                <w:sz w:val="12"/>
                <w:szCs w:val="12"/>
                <w:lang w:val="en-US"/>
              </w:rPr>
              <w:t>6</w:t>
            </w:r>
          </w:p>
        </w:tc>
        <w:tc>
          <w:tcPr>
            <w:tcW w:w="496" w:type="pct"/>
            <w:shd w:val="clear" w:color="auto" w:fill="FFFF99"/>
          </w:tcPr>
          <w:p w14:paraId="39A1AFD5" w14:textId="77777777" w:rsidR="0004299D" w:rsidRPr="00265215" w:rsidRDefault="0004299D" w:rsidP="00E3051E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279" w:type="pct"/>
            <w:shd w:val="clear" w:color="auto" w:fill="FFFF99"/>
            <w:vAlign w:val="center"/>
          </w:tcPr>
          <w:p w14:paraId="0AE36290" w14:textId="77777777" w:rsidR="0004299D" w:rsidRPr="00265215" w:rsidRDefault="0004299D" w:rsidP="00E3051E">
            <w:pPr>
              <w:jc w:val="center"/>
              <w:rPr>
                <w:b/>
                <w:sz w:val="16"/>
                <w:lang w:val="en-US"/>
              </w:rPr>
            </w:pPr>
            <w:r w:rsidRPr="00265215">
              <w:rPr>
                <w:b/>
                <w:sz w:val="16"/>
                <w:lang w:val="en-US"/>
              </w:rPr>
              <w:t>Source of funding</w:t>
            </w:r>
          </w:p>
        </w:tc>
        <w:tc>
          <w:tcPr>
            <w:tcW w:w="1480" w:type="pct"/>
            <w:shd w:val="clear" w:color="auto" w:fill="FFFF99"/>
            <w:vAlign w:val="center"/>
          </w:tcPr>
          <w:p w14:paraId="5048DC2B" w14:textId="77777777" w:rsidR="0004299D" w:rsidRPr="00265215" w:rsidRDefault="0004299D" w:rsidP="00E3051E">
            <w:pPr>
              <w:jc w:val="center"/>
              <w:rPr>
                <w:b/>
                <w:sz w:val="16"/>
                <w:lang w:val="en-US"/>
              </w:rPr>
            </w:pPr>
            <w:r w:rsidRPr="00265215">
              <w:rPr>
                <w:b/>
                <w:sz w:val="16"/>
                <w:lang w:val="en-US"/>
              </w:rPr>
              <w:t>Description of budget</w:t>
            </w:r>
          </w:p>
        </w:tc>
        <w:tc>
          <w:tcPr>
            <w:tcW w:w="463" w:type="pct"/>
            <w:shd w:val="clear" w:color="auto" w:fill="FFFF99"/>
            <w:vAlign w:val="center"/>
          </w:tcPr>
          <w:p w14:paraId="16333DC2" w14:textId="77777777" w:rsidR="0004299D" w:rsidRPr="00265215" w:rsidRDefault="0004299D" w:rsidP="00E3051E">
            <w:pPr>
              <w:jc w:val="center"/>
              <w:rPr>
                <w:b/>
                <w:sz w:val="16"/>
                <w:lang w:val="en-US"/>
              </w:rPr>
            </w:pPr>
            <w:r w:rsidRPr="00265215">
              <w:rPr>
                <w:b/>
                <w:sz w:val="16"/>
                <w:lang w:val="en-US"/>
              </w:rPr>
              <w:t>Amount</w:t>
            </w:r>
          </w:p>
          <w:p w14:paraId="46D4F0AD" w14:textId="77777777" w:rsidR="0004299D" w:rsidRPr="00265215" w:rsidRDefault="0004299D" w:rsidP="00E3051E">
            <w:pPr>
              <w:jc w:val="center"/>
              <w:rPr>
                <w:b/>
                <w:sz w:val="16"/>
              </w:rPr>
            </w:pPr>
            <w:r w:rsidRPr="00265215">
              <w:rPr>
                <w:b/>
                <w:sz w:val="16"/>
              </w:rPr>
              <w:t>(</w:t>
            </w:r>
            <w:r w:rsidRPr="00265215">
              <w:rPr>
                <w:b/>
                <w:sz w:val="16"/>
                <w:lang w:val="en-US"/>
              </w:rPr>
              <w:t>USD</w:t>
            </w:r>
            <w:r w:rsidRPr="00265215">
              <w:rPr>
                <w:b/>
                <w:sz w:val="16"/>
              </w:rPr>
              <w:t>)</w:t>
            </w:r>
          </w:p>
        </w:tc>
      </w:tr>
      <w:tr w:rsidR="008F15AF" w:rsidRPr="00F547E2" w14:paraId="2C1651F5" w14:textId="77777777" w:rsidTr="008F15AF">
        <w:trPr>
          <w:cantSplit/>
          <w:trHeight w:val="386"/>
          <w:jc w:val="center"/>
        </w:trPr>
        <w:tc>
          <w:tcPr>
            <w:tcW w:w="661" w:type="pct"/>
            <w:vMerge w:val="restart"/>
          </w:tcPr>
          <w:p w14:paraId="1BCDD1F1" w14:textId="77777777" w:rsidR="008F15AF" w:rsidRDefault="008F15AF" w:rsidP="00341470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  <w:r w:rsidRPr="001700DE"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OP. Result 1.1 (legislative and justice):</w:t>
            </w:r>
            <w:r w:rsidRPr="00940AF6">
              <w:rPr>
                <w:color w:val="000000"/>
                <w:spacing w:val="-9"/>
                <w:sz w:val="18"/>
                <w:szCs w:val="18"/>
                <w:lang w:val="en-US"/>
              </w:rPr>
              <w:t xml:space="preserve"> The national legal framework is updated with a gender sensitive lens, being more adequate to prevent women’s human rights violations and conflicts</w:t>
            </w:r>
            <w:r>
              <w:rPr>
                <w:color w:val="000000"/>
                <w:spacing w:val="-9"/>
                <w:sz w:val="18"/>
                <w:szCs w:val="18"/>
                <w:lang w:val="en-US"/>
              </w:rPr>
              <w:t>.</w:t>
            </w:r>
          </w:p>
          <w:p w14:paraId="41FBBB08" w14:textId="77777777" w:rsidR="008F15AF" w:rsidRDefault="008F15AF" w:rsidP="00341470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</w:p>
          <w:p w14:paraId="7142E963" w14:textId="77777777" w:rsidR="008F15AF" w:rsidRPr="00AF50BB" w:rsidRDefault="008F15AF" w:rsidP="00341470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  <w:r w:rsidRPr="00AF50BB">
              <w:rPr>
                <w:color w:val="000000"/>
                <w:spacing w:val="-9"/>
                <w:sz w:val="18"/>
                <w:szCs w:val="18"/>
                <w:lang w:val="en-US"/>
              </w:rPr>
              <w:t>Target 200 (50% women)</w:t>
            </w:r>
          </w:p>
          <w:p w14:paraId="2F005FBF" w14:textId="77777777" w:rsidR="008F15AF" w:rsidRPr="001700DE" w:rsidRDefault="008F15AF" w:rsidP="00341470">
            <w:pPr>
              <w:spacing w:after="0"/>
              <w:jc w:val="left"/>
              <w:rPr>
                <w:b/>
                <w:color w:val="000000"/>
                <w:spacing w:val="-9"/>
                <w:sz w:val="18"/>
                <w:szCs w:val="18"/>
                <w:lang w:val="en-US"/>
              </w:rPr>
            </w:pPr>
            <w:r w:rsidRPr="00AF50BB">
              <w:rPr>
                <w:color w:val="000000"/>
                <w:spacing w:val="-9"/>
                <w:sz w:val="18"/>
                <w:szCs w:val="18"/>
                <w:lang w:val="en-US"/>
              </w:rPr>
              <w:t>Bissau based</w:t>
            </w:r>
          </w:p>
        </w:tc>
        <w:tc>
          <w:tcPr>
            <w:tcW w:w="990" w:type="pct"/>
            <w:vMerge w:val="restart"/>
          </w:tcPr>
          <w:p w14:paraId="3C65E1B4" w14:textId="77777777" w:rsidR="008F15AF" w:rsidRDefault="008F15AF" w:rsidP="00341470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1.1.1: </w:t>
            </w:r>
            <w:r w:rsidRPr="00DB76A9">
              <w:rPr>
                <w:rFonts w:ascii="Arial" w:hAnsi="Arial" w:cs="Arial"/>
                <w:iCs/>
                <w:sz w:val="16"/>
              </w:rPr>
              <w:t xml:space="preserve">Sensitization of key political stakeholders/ legislators </w:t>
            </w:r>
            <w:bookmarkStart w:id="0" w:name="_Hlk535331364"/>
            <w:r w:rsidRPr="00DB76A9">
              <w:rPr>
                <w:rFonts w:ascii="Arial" w:hAnsi="Arial" w:cs="Arial"/>
                <w:iCs/>
                <w:sz w:val="16"/>
              </w:rPr>
              <w:t>on women’s rights and their contribution to peace and security</w:t>
            </w:r>
            <w:bookmarkEnd w:id="0"/>
            <w:r w:rsidRPr="00DB76A9">
              <w:rPr>
                <w:rFonts w:ascii="Arial" w:hAnsi="Arial" w:cs="Arial"/>
                <w:iCs/>
                <w:sz w:val="16"/>
              </w:rPr>
              <w:t>;</w:t>
            </w:r>
          </w:p>
          <w:p w14:paraId="2B907C86" w14:textId="77777777" w:rsidR="008F15AF" w:rsidRDefault="008F15AF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6105FB1E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D7F90F4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61E8BF6C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auto"/>
            <w:vAlign w:val="center"/>
          </w:tcPr>
          <w:p w14:paraId="390489D2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7E28133A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</w:tcPr>
          <w:p w14:paraId="6276A562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7CB3909E" w14:textId="77777777" w:rsidR="008F15AF" w:rsidRDefault="008F15AF" w:rsidP="00E3051E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</w:tc>
        <w:tc>
          <w:tcPr>
            <w:tcW w:w="279" w:type="pct"/>
          </w:tcPr>
          <w:p w14:paraId="0FBFEC72" w14:textId="77777777" w:rsidR="008F15AF" w:rsidRDefault="008F15AF" w:rsidP="00E3051E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50DE8C62" w14:textId="74EF9D80" w:rsidR="008F15AF" w:rsidRDefault="00D66AAB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</w:t>
            </w:r>
            <w:r w:rsidR="0003482A">
              <w:rPr>
                <w:iCs/>
                <w:sz w:val="16"/>
                <w:lang w:val="en-US"/>
              </w:rPr>
              <w:t>3</w:t>
            </w:r>
            <w:r w:rsidR="008122B9">
              <w:rPr>
                <w:iCs/>
                <w:sz w:val="16"/>
                <w:lang w:val="en-US"/>
              </w:rPr>
              <w:t xml:space="preserve"> workshop</w:t>
            </w:r>
            <w:r w:rsidR="00B1554E">
              <w:rPr>
                <w:iCs/>
                <w:sz w:val="16"/>
                <w:lang w:val="en-US"/>
              </w:rPr>
              <w:t>s</w:t>
            </w:r>
            <w:r w:rsidR="008122B9">
              <w:rPr>
                <w:iCs/>
                <w:sz w:val="16"/>
                <w:lang w:val="en-US"/>
              </w:rPr>
              <w:t xml:space="preserve"> with key stakeholders </w:t>
            </w:r>
            <w:r w:rsidR="00B1554E">
              <w:rPr>
                <w:iCs/>
                <w:sz w:val="16"/>
                <w:lang w:val="en-US"/>
              </w:rPr>
              <w:t>on women’</w:t>
            </w:r>
            <w:r w:rsidR="0003482A">
              <w:rPr>
                <w:iCs/>
                <w:sz w:val="16"/>
                <w:lang w:val="en-US"/>
              </w:rPr>
              <w:t xml:space="preserve">s rights (room, coffee-break, lunch, </w:t>
            </w:r>
            <w:r w:rsidR="00340329">
              <w:rPr>
                <w:iCs/>
                <w:sz w:val="16"/>
                <w:lang w:val="en-US"/>
              </w:rPr>
              <w:t xml:space="preserve">communication and other </w:t>
            </w:r>
            <w:r w:rsidR="0003482A">
              <w:rPr>
                <w:iCs/>
                <w:sz w:val="16"/>
                <w:lang w:val="en-US"/>
              </w:rPr>
              <w:t xml:space="preserve">materials, </w:t>
            </w:r>
            <w:r w:rsidR="00A0669C">
              <w:rPr>
                <w:iCs/>
                <w:sz w:val="16"/>
                <w:lang w:val="en-US"/>
              </w:rPr>
              <w:t>DSA</w:t>
            </w:r>
            <w:r w:rsidR="0003482A">
              <w:rPr>
                <w:iCs/>
                <w:sz w:val="16"/>
                <w:lang w:val="en-US"/>
              </w:rPr>
              <w:t>, etc.)</w:t>
            </w:r>
            <w:r w:rsidR="00142B2F">
              <w:rPr>
                <w:iCs/>
                <w:sz w:val="16"/>
                <w:lang w:val="en-US"/>
              </w:rPr>
              <w:t>;</w:t>
            </w:r>
          </w:p>
          <w:p w14:paraId="04BC6392" w14:textId="2497FA1C" w:rsidR="0003482A" w:rsidRDefault="0003482A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radio-debates between key-stakeholders (broadcasting time, </w:t>
            </w:r>
            <w:r w:rsidR="005F49F6">
              <w:rPr>
                <w:iCs/>
                <w:sz w:val="16"/>
                <w:lang w:val="en-US"/>
              </w:rPr>
              <w:t>DSAs</w:t>
            </w:r>
            <w:r>
              <w:rPr>
                <w:iCs/>
                <w:sz w:val="16"/>
                <w:lang w:val="en-US"/>
              </w:rPr>
              <w:t>, etc.)</w:t>
            </w:r>
            <w:r w:rsidR="00DE15BD">
              <w:rPr>
                <w:iCs/>
                <w:sz w:val="16"/>
                <w:lang w:val="en-US"/>
              </w:rPr>
              <w:t>.</w:t>
            </w:r>
          </w:p>
        </w:tc>
        <w:tc>
          <w:tcPr>
            <w:tcW w:w="463" w:type="pct"/>
            <w:vMerge w:val="restart"/>
          </w:tcPr>
          <w:p w14:paraId="4A4494F5" w14:textId="77777777" w:rsidR="008F15AF" w:rsidRPr="00D66AAB" w:rsidRDefault="008F15AF" w:rsidP="008F15AF">
            <w:pPr>
              <w:jc w:val="center"/>
              <w:rPr>
                <w:iCs/>
                <w:sz w:val="16"/>
                <w:lang w:val="en-US"/>
              </w:rPr>
            </w:pPr>
          </w:p>
          <w:p w14:paraId="44134854" w14:textId="77777777" w:rsidR="008F15AF" w:rsidRPr="00D66AAB" w:rsidRDefault="008F15AF" w:rsidP="008F15AF">
            <w:pPr>
              <w:jc w:val="center"/>
              <w:rPr>
                <w:iCs/>
                <w:sz w:val="16"/>
                <w:lang w:val="en-US"/>
              </w:rPr>
            </w:pPr>
          </w:p>
          <w:p w14:paraId="32CAA9BD" w14:textId="77777777" w:rsidR="00AE7FAB" w:rsidRPr="00EF167C" w:rsidRDefault="00AE7FAB" w:rsidP="008F15AF">
            <w:pPr>
              <w:jc w:val="center"/>
              <w:rPr>
                <w:iCs/>
                <w:sz w:val="16"/>
                <w:lang w:val="en-GB"/>
              </w:rPr>
            </w:pPr>
          </w:p>
          <w:p w14:paraId="23DE8EBB" w14:textId="2C729D13" w:rsidR="008F15AF" w:rsidRPr="00341470" w:rsidRDefault="000D040C" w:rsidP="008F15AF">
            <w:pPr>
              <w:jc w:val="center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pt-PT"/>
              </w:rPr>
              <w:t>95</w:t>
            </w:r>
            <w:r w:rsidR="008F15AF">
              <w:rPr>
                <w:iCs/>
                <w:sz w:val="16"/>
                <w:lang w:val="pt-PT"/>
              </w:rPr>
              <w:t>.000</w:t>
            </w:r>
          </w:p>
        </w:tc>
      </w:tr>
      <w:tr w:rsidR="008F15AF" w:rsidRPr="00F547E2" w14:paraId="0ED5297F" w14:textId="77777777" w:rsidTr="00536F06">
        <w:trPr>
          <w:cantSplit/>
          <w:trHeight w:val="386"/>
          <w:jc w:val="center"/>
        </w:trPr>
        <w:tc>
          <w:tcPr>
            <w:tcW w:w="661" w:type="pct"/>
            <w:vMerge/>
          </w:tcPr>
          <w:p w14:paraId="6F52FC6B" w14:textId="77777777" w:rsidR="008F15AF" w:rsidRPr="001700DE" w:rsidRDefault="008F15AF" w:rsidP="00341470">
            <w:pPr>
              <w:spacing w:after="0"/>
              <w:jc w:val="left"/>
              <w:rPr>
                <w:b/>
                <w:color w:val="000000"/>
                <w:spacing w:val="-9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vMerge/>
          </w:tcPr>
          <w:p w14:paraId="5DAA7B99" w14:textId="77777777" w:rsidR="008F15AF" w:rsidRDefault="008F15AF" w:rsidP="00341470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7054779E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737DDCD6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FFFFF" w:themeFill="background1"/>
            <w:vAlign w:val="center"/>
          </w:tcPr>
          <w:p w14:paraId="3E8DE212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FFFFF" w:themeFill="background1"/>
            <w:vAlign w:val="center"/>
          </w:tcPr>
          <w:p w14:paraId="6426AEC5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3B0B9A6D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14:paraId="47301FCA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1C405A35" w14:textId="77777777" w:rsidR="008F15AF" w:rsidRDefault="008F15AF" w:rsidP="00341470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 WOMEN</w:t>
            </w:r>
          </w:p>
        </w:tc>
        <w:tc>
          <w:tcPr>
            <w:tcW w:w="279" w:type="pct"/>
          </w:tcPr>
          <w:p w14:paraId="6BD16437" w14:textId="77777777" w:rsidR="008F15AF" w:rsidRDefault="008F15AF" w:rsidP="00E3051E">
            <w:pPr>
              <w:rPr>
                <w:iCs/>
                <w:sz w:val="16"/>
                <w:lang w:val="en-US"/>
              </w:rPr>
            </w:pPr>
            <w:r w:rsidRPr="00201E4D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7EA0846B" w14:textId="2121E96E" w:rsidR="00860210" w:rsidRDefault="00340329" w:rsidP="00245461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</w:t>
            </w:r>
            <w:r w:rsidR="00F33747">
              <w:rPr>
                <w:iCs/>
                <w:sz w:val="16"/>
                <w:lang w:val="en-US"/>
              </w:rPr>
              <w:t xml:space="preserve"> </w:t>
            </w:r>
            <w:r w:rsidR="00D16FC1" w:rsidRPr="00F36B52">
              <w:rPr>
                <w:iCs/>
                <w:sz w:val="16"/>
                <w:lang w:val="en-US"/>
              </w:rPr>
              <w:t xml:space="preserve">1 </w:t>
            </w:r>
            <w:r w:rsidR="001F62B5" w:rsidRPr="00F36B52">
              <w:rPr>
                <w:iCs/>
                <w:sz w:val="16"/>
              </w:rPr>
              <w:t xml:space="preserve">Regional workshop (at least 3 countries participating) to exchange experiences and best practices </w:t>
            </w:r>
            <w:r w:rsidR="00860210" w:rsidRPr="006B0377">
              <w:rPr>
                <w:iCs/>
                <w:sz w:val="16"/>
                <w:lang w:val="en-US"/>
              </w:rPr>
              <w:t>on</w:t>
            </w:r>
            <w:r w:rsidR="00860210" w:rsidRPr="00F36B52">
              <w:rPr>
                <w:iCs/>
                <w:sz w:val="16"/>
              </w:rPr>
              <w:t xml:space="preserve"> </w:t>
            </w:r>
            <w:r w:rsidR="00653293" w:rsidRPr="00F36B52">
              <w:rPr>
                <w:iCs/>
                <w:sz w:val="16"/>
              </w:rPr>
              <w:t>women’s</w:t>
            </w:r>
            <w:r w:rsidR="00DA326F" w:rsidRPr="00F36B52">
              <w:rPr>
                <w:iCs/>
                <w:sz w:val="16"/>
              </w:rPr>
              <w:t xml:space="preserve"> </w:t>
            </w:r>
            <w:r w:rsidR="00860210" w:rsidRPr="006B0377">
              <w:rPr>
                <w:iCs/>
                <w:sz w:val="16"/>
                <w:lang w:val="en-US"/>
              </w:rPr>
              <w:t>rights</w:t>
            </w:r>
            <w:r w:rsidR="006B0377" w:rsidRPr="006B0377">
              <w:rPr>
                <w:iCs/>
                <w:sz w:val="16"/>
                <w:lang w:val="en-US"/>
              </w:rPr>
              <w:t xml:space="preserve">, namely their </w:t>
            </w:r>
            <w:r w:rsidR="00DA326F" w:rsidRPr="00F36B52">
              <w:rPr>
                <w:iCs/>
                <w:sz w:val="16"/>
              </w:rPr>
              <w:t>access to justice</w:t>
            </w:r>
            <w:r w:rsidR="006B0377" w:rsidRPr="006B0377">
              <w:rPr>
                <w:iCs/>
                <w:sz w:val="16"/>
                <w:lang w:val="en-US"/>
              </w:rPr>
              <w:t>,</w:t>
            </w:r>
            <w:r w:rsidR="00DA326F" w:rsidRPr="00F36B52">
              <w:rPr>
                <w:iCs/>
                <w:sz w:val="16"/>
              </w:rPr>
              <w:t xml:space="preserve"> </w:t>
            </w:r>
            <w:r w:rsidR="00DA326F" w:rsidRPr="00653293">
              <w:rPr>
                <w:iCs/>
                <w:sz w:val="16"/>
                <w:lang w:val="en-US"/>
              </w:rPr>
              <w:t xml:space="preserve">and </w:t>
            </w:r>
            <w:r w:rsidR="001F62B5" w:rsidRPr="00F36B52">
              <w:rPr>
                <w:iCs/>
                <w:sz w:val="16"/>
              </w:rPr>
              <w:t xml:space="preserve">preventing gender-based violence and enhancing (travel costs, room, </w:t>
            </w:r>
            <w:r w:rsidRPr="00F36B52">
              <w:rPr>
                <w:iCs/>
                <w:sz w:val="16"/>
                <w:lang w:val="en-US"/>
              </w:rPr>
              <w:t>cof</w:t>
            </w:r>
            <w:r>
              <w:rPr>
                <w:iCs/>
                <w:sz w:val="16"/>
                <w:lang w:val="en-US"/>
              </w:rPr>
              <w:t>f</w:t>
            </w:r>
            <w:r w:rsidRPr="00F36B52">
              <w:rPr>
                <w:iCs/>
                <w:sz w:val="16"/>
                <w:lang w:val="en-US"/>
              </w:rPr>
              <w:t xml:space="preserve">ee-break, lunch, </w:t>
            </w:r>
            <w:r w:rsidR="001F62B5" w:rsidRPr="00F36B52">
              <w:rPr>
                <w:iCs/>
                <w:sz w:val="16"/>
              </w:rPr>
              <w:t xml:space="preserve">communication and support materials, </w:t>
            </w:r>
            <w:r w:rsidR="00A226F1" w:rsidRPr="00A226F1">
              <w:rPr>
                <w:iCs/>
                <w:sz w:val="16"/>
                <w:lang w:val="en-US"/>
              </w:rPr>
              <w:t>r</w:t>
            </w:r>
            <w:r w:rsidR="00A226F1">
              <w:rPr>
                <w:iCs/>
                <w:sz w:val="16"/>
                <w:lang w:val="en-US"/>
              </w:rPr>
              <w:t xml:space="preserve">eporting, </w:t>
            </w:r>
            <w:r w:rsidR="001F62B5" w:rsidRPr="00F36B52">
              <w:rPr>
                <w:iCs/>
                <w:sz w:val="16"/>
              </w:rPr>
              <w:t>local transportation</w:t>
            </w:r>
            <w:r w:rsidR="00816E3F" w:rsidRPr="002D6D0B">
              <w:rPr>
                <w:iCs/>
                <w:sz w:val="16"/>
                <w:lang w:val="en-US"/>
              </w:rPr>
              <w:t>, etc.</w:t>
            </w:r>
            <w:r w:rsidRPr="00F36B52">
              <w:rPr>
                <w:iCs/>
                <w:sz w:val="16"/>
                <w:lang w:val="en-US"/>
              </w:rPr>
              <w:t>)</w:t>
            </w:r>
            <w:r w:rsidR="00592D75">
              <w:rPr>
                <w:iCs/>
                <w:sz w:val="16"/>
                <w:lang w:val="en-US"/>
              </w:rPr>
              <w:t>.</w:t>
            </w:r>
          </w:p>
          <w:p w14:paraId="7B0B4C2E" w14:textId="77777777" w:rsidR="00277BC3" w:rsidRDefault="00860210" w:rsidP="00277BC3">
            <w:pPr>
              <w:spacing w:after="0"/>
              <w:rPr>
                <w:iCs/>
                <w:sz w:val="16"/>
                <w:lang w:val="en-US"/>
              </w:rPr>
            </w:pPr>
            <w:r w:rsidRPr="00860210">
              <w:rPr>
                <w:iCs/>
                <w:sz w:val="16"/>
                <w:lang w:val="en-US"/>
              </w:rPr>
              <w:t xml:space="preserve">- 1 national study on </w:t>
            </w:r>
            <w:r w:rsidR="00512235">
              <w:rPr>
                <w:iCs/>
                <w:sz w:val="16"/>
                <w:lang w:val="en-US"/>
              </w:rPr>
              <w:t>women</w:t>
            </w:r>
            <w:r w:rsidR="00512235" w:rsidRPr="00860210">
              <w:rPr>
                <w:iCs/>
                <w:sz w:val="16"/>
                <w:lang w:val="en-US"/>
              </w:rPr>
              <w:t xml:space="preserve"> </w:t>
            </w:r>
            <w:r w:rsidRPr="00860210">
              <w:rPr>
                <w:iCs/>
                <w:sz w:val="16"/>
                <w:lang w:val="en-US"/>
              </w:rPr>
              <w:t>and the</w:t>
            </w:r>
            <w:r w:rsidR="00512235">
              <w:rPr>
                <w:iCs/>
                <w:sz w:val="16"/>
                <w:lang w:val="en-US"/>
              </w:rPr>
              <w:t>ir contribution to peace and</w:t>
            </w:r>
            <w:r w:rsidRPr="00860210">
              <w:rPr>
                <w:iCs/>
                <w:sz w:val="16"/>
                <w:lang w:val="en-US"/>
              </w:rPr>
              <w:t xml:space="preserve"> security in Guinea-Bissau (national technical assistance (Service Contract), edition and printing costs, etc.)</w:t>
            </w:r>
          </w:p>
          <w:p w14:paraId="5AFE7E53" w14:textId="6CC274E4" w:rsidR="00860210" w:rsidRPr="00340329" w:rsidRDefault="00860210" w:rsidP="00277BC3">
            <w:pPr>
              <w:spacing w:after="0"/>
              <w:rPr>
                <w:iCs/>
                <w:sz w:val="16"/>
                <w:lang w:val="en-US"/>
              </w:rPr>
            </w:pPr>
            <w:r w:rsidRPr="00860210">
              <w:rPr>
                <w:iCs/>
                <w:sz w:val="16"/>
                <w:lang w:val="en-US"/>
              </w:rPr>
              <w:t>- 1 workshop to launch and present the study (room, coffee-break, lunch, communication and other materials, DSA, etc.).</w:t>
            </w:r>
          </w:p>
        </w:tc>
        <w:tc>
          <w:tcPr>
            <w:tcW w:w="463" w:type="pct"/>
            <w:vMerge/>
          </w:tcPr>
          <w:p w14:paraId="7041292A" w14:textId="77777777" w:rsidR="008F15AF" w:rsidRPr="00F36B52" w:rsidRDefault="008F15AF" w:rsidP="008F15AF">
            <w:pPr>
              <w:jc w:val="center"/>
              <w:rPr>
                <w:iCs/>
                <w:sz w:val="16"/>
                <w:lang w:val="en-US"/>
              </w:rPr>
            </w:pPr>
          </w:p>
        </w:tc>
      </w:tr>
      <w:tr w:rsidR="008F15AF" w:rsidRPr="00F547E2" w14:paraId="0C819264" w14:textId="77777777" w:rsidTr="006D130E">
        <w:trPr>
          <w:cantSplit/>
          <w:trHeight w:val="386"/>
          <w:jc w:val="center"/>
        </w:trPr>
        <w:tc>
          <w:tcPr>
            <w:tcW w:w="661" w:type="pct"/>
            <w:vMerge/>
          </w:tcPr>
          <w:p w14:paraId="22A59CB8" w14:textId="77777777" w:rsidR="008F15AF" w:rsidRPr="00940AF6" w:rsidRDefault="008F15AF" w:rsidP="00AF50BB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vMerge/>
          </w:tcPr>
          <w:p w14:paraId="4679FF6F" w14:textId="77777777" w:rsidR="008F15AF" w:rsidRPr="00F547E2" w:rsidRDefault="008F15AF" w:rsidP="00341470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51490ED4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7ACABC1F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4E9FDAAF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65955B4A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FFFFF" w:themeFill="background1"/>
          </w:tcPr>
          <w:p w14:paraId="2DDC1F6B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shd w:val="clear" w:color="auto" w:fill="FFFFFF" w:themeFill="background1"/>
          </w:tcPr>
          <w:p w14:paraId="70AE172C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61BBE1E0" w14:textId="77777777" w:rsidR="008F15AF" w:rsidRPr="00DB242A" w:rsidRDefault="008F15AF" w:rsidP="00E3051E">
            <w:pPr>
              <w:rPr>
                <w:iCs/>
                <w:sz w:val="16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>GENDER UNIT</w:t>
            </w:r>
            <w:r w:rsidR="00662959" w:rsidRPr="00DB242A">
              <w:rPr>
                <w:iCs/>
                <w:sz w:val="16"/>
                <w:lang w:val="en-US"/>
              </w:rPr>
              <w:t>/UNIOGBIS</w:t>
            </w:r>
          </w:p>
        </w:tc>
        <w:tc>
          <w:tcPr>
            <w:tcW w:w="279" w:type="pct"/>
          </w:tcPr>
          <w:p w14:paraId="7FD547FB" w14:textId="77777777" w:rsidR="008F15AF" w:rsidRPr="00DB242A" w:rsidRDefault="008F15AF" w:rsidP="00E3051E">
            <w:pPr>
              <w:rPr>
                <w:lang w:val="pt-PT"/>
              </w:rPr>
            </w:pPr>
            <w:r w:rsidRPr="00DB242A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343760D2" w14:textId="07B168E4" w:rsidR="008F15AF" w:rsidRPr="00DB242A" w:rsidRDefault="00D94EAA" w:rsidP="000A4A29">
            <w:pPr>
              <w:rPr>
                <w:iCs/>
                <w:sz w:val="16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 xml:space="preserve">- </w:t>
            </w:r>
            <w:r w:rsidR="00A0669C" w:rsidRPr="00DB242A">
              <w:rPr>
                <w:iCs/>
                <w:sz w:val="16"/>
                <w:lang w:val="en-US"/>
              </w:rPr>
              <w:t xml:space="preserve">4 inclusive </w:t>
            </w:r>
            <w:r w:rsidR="001D3B39" w:rsidRPr="00DB242A">
              <w:rPr>
                <w:iCs/>
                <w:sz w:val="16"/>
                <w:lang w:val="en-US"/>
              </w:rPr>
              <w:t xml:space="preserve">SENSITISATION </w:t>
            </w:r>
            <w:r w:rsidR="00A0669C" w:rsidRPr="00DB242A">
              <w:rPr>
                <w:iCs/>
                <w:sz w:val="16"/>
                <w:lang w:val="en-US"/>
              </w:rPr>
              <w:t xml:space="preserve">dialogues </w:t>
            </w:r>
            <w:r w:rsidR="00A0669C" w:rsidRPr="00DB242A">
              <w:rPr>
                <w:iCs/>
                <w:sz w:val="16"/>
              </w:rPr>
              <w:t xml:space="preserve">with political actors and key institutions </w:t>
            </w:r>
            <w:r w:rsidR="00A0669C" w:rsidRPr="00DB242A">
              <w:rPr>
                <w:iCs/>
                <w:sz w:val="16"/>
                <w:lang w:val="en-US"/>
              </w:rPr>
              <w:t>(namely with the ANP</w:t>
            </w:r>
            <w:r w:rsidR="001D3B39" w:rsidRPr="00DB242A">
              <w:rPr>
                <w:iCs/>
                <w:sz w:val="16"/>
                <w:lang w:val="en-US"/>
              </w:rPr>
              <w:t xml:space="preserve"> and IMC, Youth Institute and Councils</w:t>
            </w:r>
            <w:r w:rsidR="00A0669C" w:rsidRPr="00DB242A">
              <w:rPr>
                <w:iCs/>
                <w:sz w:val="16"/>
                <w:lang w:val="en-US"/>
              </w:rPr>
              <w:t>) on women’s rights to participation, stability</w:t>
            </w:r>
            <w:r w:rsidR="00525018" w:rsidRPr="00DB242A">
              <w:rPr>
                <w:iCs/>
                <w:sz w:val="16"/>
              </w:rPr>
              <w:t>, protection and citizenship</w:t>
            </w:r>
          </w:p>
        </w:tc>
        <w:tc>
          <w:tcPr>
            <w:tcW w:w="463" w:type="pct"/>
            <w:vMerge/>
          </w:tcPr>
          <w:p w14:paraId="4B8A1CD9" w14:textId="77777777" w:rsidR="008F15AF" w:rsidRPr="00245461" w:rsidRDefault="008F15AF" w:rsidP="008F15AF">
            <w:pPr>
              <w:jc w:val="center"/>
              <w:rPr>
                <w:iCs/>
                <w:sz w:val="16"/>
                <w:lang w:val="en-US"/>
              </w:rPr>
            </w:pPr>
          </w:p>
        </w:tc>
      </w:tr>
      <w:tr w:rsidR="00341470" w:rsidRPr="00F547E2" w14:paraId="64DD8E2D" w14:textId="77777777" w:rsidTr="00C0005D">
        <w:trPr>
          <w:cantSplit/>
          <w:trHeight w:val="730"/>
          <w:jc w:val="center"/>
        </w:trPr>
        <w:tc>
          <w:tcPr>
            <w:tcW w:w="661" w:type="pct"/>
            <w:vMerge/>
          </w:tcPr>
          <w:p w14:paraId="61D9CCD5" w14:textId="77777777" w:rsidR="00341470" w:rsidRPr="00F547E2" w:rsidRDefault="00341470" w:rsidP="00E3051E">
            <w:pPr>
              <w:spacing w:after="0"/>
              <w:ind w:left="180"/>
              <w:jc w:val="left"/>
              <w:rPr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990" w:type="pct"/>
          </w:tcPr>
          <w:p w14:paraId="7B9404A8" w14:textId="77777777" w:rsidR="00341470" w:rsidRDefault="00341470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1.1.2: </w:t>
            </w:r>
            <w:r w:rsidRPr="00DB76A9">
              <w:rPr>
                <w:rFonts w:ascii="Arial" w:hAnsi="Arial" w:cs="Arial"/>
                <w:iCs/>
                <w:sz w:val="16"/>
              </w:rPr>
              <w:t>Provide technical assistance to assess needs and update the legal framework with a gender and peacebuilding perspective;</w:t>
            </w:r>
          </w:p>
          <w:p w14:paraId="788395D7" w14:textId="77777777" w:rsidR="00F04C7B" w:rsidRPr="00F547E2" w:rsidRDefault="00F04C7B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6B186033" w14:textId="77777777" w:rsidR="00341470" w:rsidRPr="00F547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212F718D" w14:textId="77777777" w:rsidR="00341470" w:rsidRPr="00F547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3423ECCA" w14:textId="77777777" w:rsidR="00341470" w:rsidRPr="00F316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auto"/>
            <w:vAlign w:val="center"/>
          </w:tcPr>
          <w:p w14:paraId="613FCE8F" w14:textId="77777777" w:rsidR="00341470" w:rsidRPr="00F316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</w:tcPr>
          <w:p w14:paraId="67E4213C" w14:textId="77777777" w:rsidR="00341470" w:rsidRPr="00F547E2" w:rsidRDefault="00341470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</w:tcPr>
          <w:p w14:paraId="35DBDA1B" w14:textId="77777777" w:rsidR="00341470" w:rsidRPr="00F547E2" w:rsidRDefault="00341470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4E4B1972" w14:textId="77777777" w:rsidR="00341470" w:rsidRPr="00F547E2" w:rsidRDefault="00341470" w:rsidP="00E3051E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</w:tc>
        <w:tc>
          <w:tcPr>
            <w:tcW w:w="279" w:type="pct"/>
          </w:tcPr>
          <w:p w14:paraId="321C09E0" w14:textId="77777777" w:rsidR="00341470" w:rsidRPr="00F547E2" w:rsidRDefault="00341470" w:rsidP="00E3051E"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78B39995" w14:textId="77777777" w:rsidR="00341470" w:rsidRDefault="00D66AAB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</w:t>
            </w:r>
            <w:r w:rsidR="00B1554E">
              <w:rPr>
                <w:iCs/>
                <w:sz w:val="16"/>
                <w:lang w:val="en-US"/>
              </w:rPr>
              <w:t>Recruitment of</w:t>
            </w:r>
            <w:r w:rsidR="00341470">
              <w:rPr>
                <w:iCs/>
                <w:sz w:val="16"/>
                <w:lang w:val="en-US"/>
              </w:rPr>
              <w:t xml:space="preserve"> a team of experts</w:t>
            </w:r>
            <w:r w:rsidR="00DE15BD">
              <w:rPr>
                <w:iCs/>
                <w:sz w:val="16"/>
                <w:lang w:val="en-US"/>
              </w:rPr>
              <w:t xml:space="preserve"> (1 international and 1 national)</w:t>
            </w:r>
            <w:r w:rsidR="00341470">
              <w:rPr>
                <w:iCs/>
                <w:sz w:val="16"/>
                <w:lang w:val="en-US"/>
              </w:rPr>
              <w:t xml:space="preserve"> to conduct a Needs Assessment Study and work </w:t>
            </w:r>
            <w:r w:rsidR="002815EC">
              <w:rPr>
                <w:iCs/>
                <w:sz w:val="16"/>
                <w:lang w:val="en-US"/>
              </w:rPr>
              <w:t xml:space="preserve">in </w:t>
            </w:r>
            <w:r w:rsidR="00341470">
              <w:rPr>
                <w:iCs/>
                <w:sz w:val="16"/>
                <w:lang w:val="en-US"/>
              </w:rPr>
              <w:t>the legal framework drafting</w:t>
            </w:r>
            <w:r w:rsidR="0003482A">
              <w:rPr>
                <w:iCs/>
                <w:sz w:val="16"/>
                <w:lang w:val="en-US"/>
              </w:rPr>
              <w:t xml:space="preserve"> </w:t>
            </w:r>
            <w:r w:rsidR="00DE15BD">
              <w:rPr>
                <w:iCs/>
                <w:sz w:val="16"/>
                <w:lang w:val="en-US"/>
              </w:rPr>
              <w:t xml:space="preserve">(service </w:t>
            </w:r>
            <w:r w:rsidR="0003482A">
              <w:rPr>
                <w:iCs/>
                <w:sz w:val="16"/>
                <w:lang w:val="en-US"/>
              </w:rPr>
              <w:t>contract);</w:t>
            </w:r>
          </w:p>
          <w:p w14:paraId="1D17E6B6" w14:textId="77777777" w:rsidR="0003482A" w:rsidRPr="00F547E2" w:rsidRDefault="0003482A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</w:t>
            </w:r>
            <w:r w:rsidR="00DE15BD">
              <w:rPr>
                <w:iCs/>
                <w:sz w:val="16"/>
                <w:lang w:val="en-US"/>
              </w:rPr>
              <w:t xml:space="preserve">1 </w:t>
            </w:r>
            <w:r>
              <w:rPr>
                <w:iCs/>
                <w:sz w:val="16"/>
                <w:lang w:val="en-US"/>
              </w:rPr>
              <w:t>Workshop to present and validate the</w:t>
            </w:r>
            <w:r>
              <w:t xml:space="preserve"> </w:t>
            </w:r>
            <w:r w:rsidRPr="0003482A">
              <w:rPr>
                <w:iCs/>
                <w:sz w:val="16"/>
                <w:lang w:val="en-US"/>
              </w:rPr>
              <w:t>Needs Assessment Study</w:t>
            </w:r>
            <w:r>
              <w:rPr>
                <w:iCs/>
                <w:sz w:val="16"/>
                <w:lang w:val="en-US"/>
              </w:rPr>
              <w:t xml:space="preserve"> and gather further inputs </w:t>
            </w:r>
            <w:r w:rsidRPr="0003482A">
              <w:rPr>
                <w:iCs/>
                <w:sz w:val="16"/>
                <w:lang w:val="en-US"/>
              </w:rPr>
              <w:t xml:space="preserve">(room, coffee-break, lunch, materials, </w:t>
            </w:r>
            <w:r w:rsidR="005F49F6">
              <w:rPr>
                <w:iCs/>
                <w:sz w:val="16"/>
                <w:lang w:val="en-US"/>
              </w:rPr>
              <w:t>DSAs</w:t>
            </w:r>
            <w:r w:rsidRPr="0003482A">
              <w:rPr>
                <w:iCs/>
                <w:sz w:val="16"/>
                <w:lang w:val="en-US"/>
              </w:rPr>
              <w:t>, etc.)</w:t>
            </w:r>
            <w:r w:rsidR="00DE15BD">
              <w:rPr>
                <w:iCs/>
                <w:sz w:val="16"/>
                <w:lang w:val="en-US"/>
              </w:rPr>
              <w:t>.</w:t>
            </w:r>
          </w:p>
        </w:tc>
        <w:tc>
          <w:tcPr>
            <w:tcW w:w="463" w:type="pct"/>
          </w:tcPr>
          <w:p w14:paraId="38FA9814" w14:textId="77777777" w:rsidR="008F15AF" w:rsidRPr="002815EC" w:rsidRDefault="008F15AF" w:rsidP="008F15AF">
            <w:pPr>
              <w:tabs>
                <w:tab w:val="left" w:pos="639"/>
              </w:tabs>
              <w:jc w:val="center"/>
              <w:rPr>
                <w:iCs/>
                <w:sz w:val="16"/>
                <w:lang w:val="en-US"/>
              </w:rPr>
            </w:pPr>
          </w:p>
          <w:p w14:paraId="00A90771" w14:textId="77777777" w:rsidR="00AE7FAB" w:rsidRPr="00EF167C" w:rsidRDefault="00AE7FAB" w:rsidP="008F15AF">
            <w:pPr>
              <w:tabs>
                <w:tab w:val="left" w:pos="639"/>
              </w:tabs>
              <w:jc w:val="center"/>
              <w:rPr>
                <w:iCs/>
                <w:sz w:val="16"/>
                <w:lang w:val="en-GB"/>
              </w:rPr>
            </w:pPr>
          </w:p>
          <w:p w14:paraId="6F8F3B29" w14:textId="77777777" w:rsidR="00341470" w:rsidRPr="00DB76A9" w:rsidRDefault="00341470" w:rsidP="008F15AF">
            <w:pPr>
              <w:tabs>
                <w:tab w:val="left" w:pos="639"/>
              </w:tabs>
              <w:jc w:val="center"/>
              <w:rPr>
                <w:iCs/>
                <w:sz w:val="16"/>
                <w:lang w:val="pt-PT"/>
              </w:rPr>
            </w:pPr>
            <w:r>
              <w:rPr>
                <w:iCs/>
                <w:sz w:val="16"/>
                <w:lang w:val="pt-PT"/>
              </w:rPr>
              <w:t>75.000</w:t>
            </w:r>
          </w:p>
        </w:tc>
      </w:tr>
      <w:tr w:rsidR="00341470" w:rsidRPr="00F547E2" w14:paraId="11C8A893" w14:textId="77777777" w:rsidTr="00C0005D">
        <w:trPr>
          <w:cantSplit/>
          <w:trHeight w:val="333"/>
          <w:jc w:val="center"/>
        </w:trPr>
        <w:tc>
          <w:tcPr>
            <w:tcW w:w="661" w:type="pct"/>
            <w:vMerge/>
            <w:shd w:val="clear" w:color="auto" w:fill="CCCCCC"/>
          </w:tcPr>
          <w:p w14:paraId="22A44A83" w14:textId="77777777" w:rsidR="00341470" w:rsidRPr="00F547E2" w:rsidRDefault="00341470" w:rsidP="00E3051E"/>
        </w:tc>
        <w:tc>
          <w:tcPr>
            <w:tcW w:w="990" w:type="pct"/>
            <w:tcBorders>
              <w:top w:val="single" w:sz="4" w:space="0" w:color="auto"/>
            </w:tcBorders>
          </w:tcPr>
          <w:p w14:paraId="13CB483A" w14:textId="77777777" w:rsidR="00341470" w:rsidRDefault="00341470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1.1.3: </w:t>
            </w:r>
            <w:r w:rsidRPr="00DB76A9">
              <w:rPr>
                <w:rFonts w:ascii="Arial" w:hAnsi="Arial" w:cs="Arial"/>
                <w:iCs/>
                <w:sz w:val="16"/>
              </w:rPr>
              <w:t>Contribute to the revision of the Civil Code, Civil Procedure Code, Penal Code and Penal Procedure Code with a gender sensitive lens for conflict prevention;</w:t>
            </w:r>
          </w:p>
          <w:p w14:paraId="789E9B3B" w14:textId="77777777" w:rsidR="00F04C7B" w:rsidRPr="00F547E2" w:rsidRDefault="00F04C7B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7B60F2E" w14:textId="77777777" w:rsidR="00341470" w:rsidRPr="00F547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1E715585" w14:textId="77777777" w:rsidR="00341470" w:rsidRPr="00F547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CEA81E4" w14:textId="77777777" w:rsidR="00341470" w:rsidRPr="00F316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4B85F8F8" w14:textId="77777777" w:rsidR="00341470" w:rsidRPr="00F316E2" w:rsidRDefault="00341470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14:paraId="6DAD26B8" w14:textId="77777777" w:rsidR="00341470" w:rsidRPr="00F547E2" w:rsidRDefault="00341470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14:paraId="26B35EE0" w14:textId="77777777" w:rsidR="00341470" w:rsidRPr="00F547E2" w:rsidRDefault="00341470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4A4B7EEE" w14:textId="77777777" w:rsidR="00341470" w:rsidRPr="00F547E2" w:rsidRDefault="00341470" w:rsidP="00E3051E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4D515C35" w14:textId="77777777" w:rsidR="00341470" w:rsidRPr="00F547E2" w:rsidRDefault="00341470" w:rsidP="00E3051E"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454B3EBC" w14:textId="77777777" w:rsidR="00D22ADC" w:rsidRDefault="00D66AAB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</w:t>
            </w:r>
            <w:r w:rsidR="00EF167C">
              <w:rPr>
                <w:iCs/>
                <w:sz w:val="16"/>
                <w:lang w:val="en-US"/>
              </w:rPr>
              <w:t>Grant with the Bissau Law School</w:t>
            </w:r>
            <w:r w:rsidR="00D22ADC">
              <w:rPr>
                <w:iCs/>
                <w:sz w:val="16"/>
                <w:lang w:val="en-US"/>
              </w:rPr>
              <w:t xml:space="preserve"> (service contract);</w:t>
            </w:r>
          </w:p>
          <w:p w14:paraId="483D6DC7" w14:textId="74C1870F" w:rsidR="001F62B5" w:rsidRPr="001F62B5" w:rsidRDefault="00D22ADC" w:rsidP="001F62B5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</w:t>
            </w:r>
            <w:r w:rsidR="00EF167C">
              <w:rPr>
                <w:iCs/>
                <w:sz w:val="16"/>
                <w:lang w:val="en-US"/>
              </w:rPr>
              <w:t xml:space="preserve"> </w:t>
            </w:r>
            <w:r w:rsidR="00B1554E">
              <w:rPr>
                <w:iCs/>
                <w:sz w:val="16"/>
                <w:lang w:val="en-US"/>
              </w:rPr>
              <w:t>Recruitment of</w:t>
            </w:r>
            <w:r w:rsidR="00341470" w:rsidRPr="00ED1E26">
              <w:rPr>
                <w:iCs/>
                <w:sz w:val="16"/>
                <w:lang w:val="en-US"/>
              </w:rPr>
              <w:t xml:space="preserve"> a team of experts</w:t>
            </w:r>
            <w:r w:rsidR="00341470">
              <w:rPr>
                <w:iCs/>
                <w:sz w:val="16"/>
                <w:lang w:val="en-US"/>
              </w:rPr>
              <w:t xml:space="preserve"> to contribute to the Codes’ revision in partnership with the</w:t>
            </w:r>
            <w:r w:rsidR="00341470">
              <w:t xml:space="preserve"> </w:t>
            </w:r>
            <w:r w:rsidR="00341470">
              <w:rPr>
                <w:iCs/>
                <w:sz w:val="16"/>
                <w:lang w:val="en-US"/>
              </w:rPr>
              <w:t>Bissau Law School</w:t>
            </w:r>
            <w:r w:rsidR="00DE15BD">
              <w:rPr>
                <w:iCs/>
                <w:sz w:val="16"/>
                <w:lang w:val="en-US"/>
              </w:rPr>
              <w:t xml:space="preserve"> (service contract)</w:t>
            </w:r>
            <w:r w:rsidR="00340329">
              <w:rPr>
                <w:iCs/>
                <w:sz w:val="16"/>
                <w:lang w:val="en-US"/>
              </w:rPr>
              <w:t>;</w:t>
            </w:r>
          </w:p>
          <w:p w14:paraId="72B29832" w14:textId="3C11AE2C" w:rsidR="00341470" w:rsidRPr="00F547E2" w:rsidRDefault="006E4B5D" w:rsidP="001F62B5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</w:t>
            </w:r>
            <w:r w:rsidR="001F62B5" w:rsidRPr="001F62B5">
              <w:rPr>
                <w:iCs/>
                <w:sz w:val="16"/>
                <w:lang w:val="en-US"/>
              </w:rPr>
              <w:t xml:space="preserve"> </w:t>
            </w:r>
            <w:r>
              <w:rPr>
                <w:iCs/>
                <w:sz w:val="16"/>
                <w:lang w:val="en-US"/>
              </w:rPr>
              <w:t xml:space="preserve">2 </w:t>
            </w:r>
            <w:r w:rsidR="001F62B5" w:rsidRPr="001F62B5">
              <w:rPr>
                <w:iCs/>
                <w:sz w:val="16"/>
                <w:lang w:val="en-US"/>
              </w:rPr>
              <w:t>Workshops to collect inpu</w:t>
            </w:r>
            <w:r>
              <w:rPr>
                <w:iCs/>
                <w:sz w:val="16"/>
                <w:lang w:val="en-US"/>
              </w:rPr>
              <w:t xml:space="preserve">ts and discuss draft proposals </w:t>
            </w:r>
            <w:r w:rsidR="001F62B5" w:rsidRPr="001F62B5">
              <w:rPr>
                <w:iCs/>
                <w:sz w:val="16"/>
                <w:lang w:val="en-US"/>
              </w:rPr>
              <w:t>with women’s organizati</w:t>
            </w:r>
            <w:r>
              <w:rPr>
                <w:iCs/>
                <w:sz w:val="16"/>
                <w:lang w:val="en-US"/>
              </w:rPr>
              <w:t xml:space="preserve">ons, key political stakeholders </w:t>
            </w:r>
            <w:r>
              <w:rPr>
                <w:iCs/>
                <w:sz w:val="16"/>
                <w:lang w:val="en-US"/>
              </w:rPr>
              <w:lastRenderedPageBreak/>
              <w:t>(</w:t>
            </w:r>
            <w:r w:rsidRPr="006E4B5D">
              <w:rPr>
                <w:iCs/>
                <w:sz w:val="16"/>
                <w:lang w:val="en-US"/>
              </w:rPr>
              <w:t>room, coffee-break, lunch, communication and other materials, DSA, etc.)</w:t>
            </w:r>
            <w:r>
              <w:rPr>
                <w:iCs/>
                <w:sz w:val="16"/>
                <w:lang w:val="en-US"/>
              </w:rPr>
              <w:t>;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4885B791" w14:textId="77777777" w:rsidR="008F15AF" w:rsidRDefault="008F15AF" w:rsidP="008F15AF">
            <w:pPr>
              <w:tabs>
                <w:tab w:val="left" w:pos="639"/>
              </w:tabs>
              <w:jc w:val="center"/>
              <w:rPr>
                <w:iCs/>
                <w:sz w:val="16"/>
                <w:lang w:val="en-US"/>
              </w:rPr>
            </w:pPr>
          </w:p>
          <w:p w14:paraId="4CE003D3" w14:textId="77777777" w:rsidR="00AE7FAB" w:rsidRDefault="00AE7FAB" w:rsidP="008F15AF">
            <w:pPr>
              <w:tabs>
                <w:tab w:val="left" w:pos="639"/>
              </w:tabs>
              <w:jc w:val="center"/>
              <w:rPr>
                <w:iCs/>
                <w:sz w:val="16"/>
                <w:lang w:val="en-US"/>
              </w:rPr>
            </w:pPr>
          </w:p>
          <w:p w14:paraId="48FFA0CD" w14:textId="2D215665" w:rsidR="00341470" w:rsidRPr="00F547E2" w:rsidRDefault="00FA6A22" w:rsidP="008F15AF">
            <w:pPr>
              <w:tabs>
                <w:tab w:val="left" w:pos="639"/>
              </w:tabs>
              <w:jc w:val="center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9</w:t>
            </w:r>
            <w:r w:rsidR="00341470">
              <w:rPr>
                <w:iCs/>
                <w:sz w:val="16"/>
                <w:lang w:val="en-US"/>
              </w:rPr>
              <w:t>5.000</w:t>
            </w:r>
          </w:p>
        </w:tc>
      </w:tr>
      <w:tr w:rsidR="008F15AF" w:rsidRPr="00F547E2" w14:paraId="02956CEC" w14:textId="77777777" w:rsidTr="00840CE9">
        <w:trPr>
          <w:cantSplit/>
          <w:trHeight w:val="384"/>
          <w:jc w:val="center"/>
        </w:trPr>
        <w:tc>
          <w:tcPr>
            <w:tcW w:w="661" w:type="pct"/>
            <w:vMerge/>
            <w:shd w:val="clear" w:color="auto" w:fill="CCCCCC"/>
          </w:tcPr>
          <w:p w14:paraId="59F7C98C" w14:textId="77777777" w:rsidR="008F15AF" w:rsidRPr="00F547E2" w:rsidRDefault="008F15AF" w:rsidP="00E3051E"/>
        </w:tc>
        <w:tc>
          <w:tcPr>
            <w:tcW w:w="990" w:type="pct"/>
            <w:vMerge w:val="restart"/>
            <w:tcBorders>
              <w:top w:val="single" w:sz="4" w:space="0" w:color="auto"/>
            </w:tcBorders>
          </w:tcPr>
          <w:p w14:paraId="11FBD7E7" w14:textId="77777777" w:rsidR="008F15AF" w:rsidRDefault="008F15AF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 xml:space="preserve">1.1.4: </w:t>
            </w:r>
            <w:r w:rsidRPr="00DB76A9">
              <w:rPr>
                <w:rFonts w:ascii="Arial" w:hAnsi="Arial" w:cs="Arial"/>
                <w:iCs/>
                <w:sz w:val="16"/>
              </w:rPr>
              <w:t>Organize advocacy actions and discussion sessions with the National Parliament (ANP), with a focus on specialized Commissions, and other relevant stakeholders for law approbation, including CSOs.</w:t>
            </w:r>
          </w:p>
          <w:p w14:paraId="05967CCF" w14:textId="77777777" w:rsidR="008F15AF" w:rsidRPr="00F547E2" w:rsidRDefault="008F15AF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EB40A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58DCF3A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3DDFA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1877AE0B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14:paraId="425C96E4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51579D3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53EF7B0D" w14:textId="77777777" w:rsidR="008F15AF" w:rsidRPr="00496938" w:rsidRDefault="008F15AF" w:rsidP="00496938">
            <w:pPr>
              <w:rPr>
                <w:iCs/>
                <w:sz w:val="16"/>
                <w:lang w:val="en-US"/>
              </w:rPr>
            </w:pPr>
            <w:r w:rsidRPr="00496938">
              <w:rPr>
                <w:iCs/>
                <w:sz w:val="16"/>
                <w:lang w:val="en-US"/>
              </w:rPr>
              <w:t>UNDP</w:t>
            </w:r>
          </w:p>
          <w:p w14:paraId="2550950A" w14:textId="77777777" w:rsidR="008F15AF" w:rsidRPr="00F547E2" w:rsidRDefault="008F15AF" w:rsidP="00496938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1F726904" w14:textId="77777777" w:rsidR="008F15AF" w:rsidRPr="00F547E2" w:rsidRDefault="008F15AF" w:rsidP="00E3051E"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6A52AA5A" w14:textId="5C8B24A2" w:rsidR="008F15AF" w:rsidRPr="00F547E2" w:rsidRDefault="002815EC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</w:t>
            </w:r>
            <w:r w:rsidR="008F15AF">
              <w:rPr>
                <w:iCs/>
                <w:sz w:val="16"/>
                <w:lang w:val="en-US"/>
              </w:rPr>
              <w:t xml:space="preserve">1 debate/ roundtable </w:t>
            </w:r>
            <w:r>
              <w:rPr>
                <w:iCs/>
                <w:sz w:val="16"/>
                <w:lang w:val="en-US"/>
              </w:rPr>
              <w:t>session with MPs to discuss its legislative competenc</w:t>
            </w:r>
            <w:r w:rsidR="00DB67F5">
              <w:rPr>
                <w:iCs/>
                <w:sz w:val="16"/>
                <w:lang w:val="en-US"/>
              </w:rPr>
              <w:t>i</w:t>
            </w:r>
            <w:r>
              <w:rPr>
                <w:iCs/>
                <w:sz w:val="16"/>
                <w:lang w:val="en-US"/>
              </w:rPr>
              <w:t>es</w:t>
            </w:r>
            <w:r w:rsidR="00596679">
              <w:rPr>
                <w:iCs/>
                <w:sz w:val="16"/>
                <w:lang w:val="en-US"/>
              </w:rPr>
              <w:t xml:space="preserve"> </w:t>
            </w:r>
            <w:r w:rsidR="00596679" w:rsidRPr="00596679">
              <w:rPr>
                <w:iCs/>
                <w:sz w:val="16"/>
                <w:lang w:val="en-US"/>
              </w:rPr>
              <w:t xml:space="preserve">(room, coffee-break, lunch, materials, </w:t>
            </w:r>
            <w:r w:rsidR="00390481">
              <w:rPr>
                <w:iCs/>
                <w:sz w:val="16"/>
                <w:lang w:val="en-US"/>
              </w:rPr>
              <w:t>DSAs</w:t>
            </w:r>
            <w:r w:rsidR="00596679" w:rsidRPr="00596679">
              <w:rPr>
                <w:iCs/>
                <w:sz w:val="16"/>
                <w:lang w:val="en-US"/>
              </w:rPr>
              <w:t>, etc.)</w:t>
            </w:r>
            <w:r w:rsidR="008F15AF">
              <w:rPr>
                <w:iCs/>
                <w:sz w:val="16"/>
                <w:lang w:val="en-US"/>
              </w:rPr>
              <w:t>;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14:paraId="005E28BA" w14:textId="77777777" w:rsidR="008F15AF" w:rsidRPr="008F15AF" w:rsidRDefault="008F15AF" w:rsidP="009F3282">
            <w:pPr>
              <w:jc w:val="center"/>
              <w:rPr>
                <w:iCs/>
                <w:sz w:val="16"/>
                <w:lang w:val="en-US"/>
              </w:rPr>
            </w:pPr>
          </w:p>
          <w:p w14:paraId="374D0C83" w14:textId="77777777" w:rsidR="008F15AF" w:rsidRPr="008F15AF" w:rsidRDefault="008F15AF" w:rsidP="009F3282">
            <w:pPr>
              <w:jc w:val="center"/>
              <w:rPr>
                <w:iCs/>
                <w:sz w:val="16"/>
                <w:lang w:val="en-US"/>
              </w:rPr>
            </w:pPr>
          </w:p>
          <w:p w14:paraId="21E5C620" w14:textId="77777777" w:rsidR="00AE7FAB" w:rsidRPr="00EF167C" w:rsidRDefault="00AE7FAB" w:rsidP="009F3282">
            <w:pPr>
              <w:jc w:val="center"/>
              <w:rPr>
                <w:iCs/>
                <w:sz w:val="16"/>
                <w:lang w:val="en-GB"/>
              </w:rPr>
            </w:pPr>
          </w:p>
          <w:p w14:paraId="06EE74E6" w14:textId="77777777" w:rsidR="00AE7FAB" w:rsidRPr="00EF167C" w:rsidRDefault="00AE7FAB" w:rsidP="009F3282">
            <w:pPr>
              <w:jc w:val="center"/>
              <w:rPr>
                <w:iCs/>
                <w:sz w:val="16"/>
                <w:lang w:val="en-GB"/>
              </w:rPr>
            </w:pPr>
          </w:p>
          <w:p w14:paraId="050742AC" w14:textId="6AB47614" w:rsidR="008F15AF" w:rsidRPr="00DB76A9" w:rsidRDefault="00277BC3" w:rsidP="009F3282">
            <w:pPr>
              <w:jc w:val="center"/>
              <w:rPr>
                <w:iCs/>
                <w:sz w:val="16"/>
                <w:lang w:val="pt-PT"/>
              </w:rPr>
            </w:pPr>
            <w:r>
              <w:rPr>
                <w:iCs/>
                <w:sz w:val="16"/>
                <w:lang w:val="pt-PT"/>
              </w:rPr>
              <w:t>50</w:t>
            </w:r>
            <w:r w:rsidR="008F15AF">
              <w:rPr>
                <w:iCs/>
                <w:sz w:val="16"/>
                <w:lang w:val="pt-PT"/>
              </w:rPr>
              <w:t>.000</w:t>
            </w:r>
          </w:p>
        </w:tc>
      </w:tr>
      <w:tr w:rsidR="008F15AF" w:rsidRPr="00F547E2" w14:paraId="7AD56D92" w14:textId="77777777" w:rsidTr="00653293">
        <w:trPr>
          <w:cantSplit/>
          <w:trHeight w:val="384"/>
          <w:jc w:val="center"/>
        </w:trPr>
        <w:tc>
          <w:tcPr>
            <w:tcW w:w="661" w:type="pct"/>
            <w:vMerge/>
            <w:shd w:val="clear" w:color="auto" w:fill="CCCCCC"/>
          </w:tcPr>
          <w:p w14:paraId="39804232" w14:textId="77777777" w:rsidR="008F15AF" w:rsidRPr="00F547E2" w:rsidRDefault="008F15AF" w:rsidP="00E3051E"/>
        </w:tc>
        <w:tc>
          <w:tcPr>
            <w:tcW w:w="990" w:type="pct"/>
            <w:vMerge/>
          </w:tcPr>
          <w:p w14:paraId="0878554E" w14:textId="77777777" w:rsidR="008F15AF" w:rsidRDefault="008F15AF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D535A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35824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962F9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6456DB13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</w:tcPr>
          <w:p w14:paraId="731F420A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14:paraId="1135672E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48C418C4" w14:textId="77777777" w:rsidR="008F15AF" w:rsidRPr="00496938" w:rsidRDefault="008F15AF" w:rsidP="00C0005D">
            <w:pPr>
              <w:rPr>
                <w:iCs/>
                <w:sz w:val="16"/>
                <w:lang w:val="en-US"/>
              </w:rPr>
            </w:pPr>
            <w:r w:rsidRPr="00496938">
              <w:rPr>
                <w:iCs/>
                <w:sz w:val="16"/>
                <w:lang w:val="en-US"/>
              </w:rPr>
              <w:t>UN WOMEN</w:t>
            </w:r>
          </w:p>
          <w:p w14:paraId="25F6F4DE" w14:textId="77777777" w:rsidR="008F15AF" w:rsidRPr="00496938" w:rsidRDefault="008F15AF" w:rsidP="00496938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0E1C9E13" w14:textId="77777777" w:rsidR="008F15AF" w:rsidRDefault="008F15AF" w:rsidP="00E3051E">
            <w:pPr>
              <w:rPr>
                <w:iCs/>
                <w:sz w:val="16"/>
                <w:lang w:val="en-US"/>
              </w:rPr>
            </w:pPr>
            <w:r w:rsidRPr="00C0005D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7AE905EE" w14:textId="6BAFC5D7" w:rsidR="008F15AF" w:rsidRPr="00F547E2" w:rsidRDefault="00816E3F" w:rsidP="00E3051E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</w:t>
            </w:r>
            <w:r w:rsidR="00F33747">
              <w:rPr>
                <w:iCs/>
                <w:sz w:val="16"/>
                <w:lang w:val="en-US"/>
              </w:rPr>
              <w:t xml:space="preserve"> </w:t>
            </w:r>
            <w:r>
              <w:rPr>
                <w:iCs/>
                <w:sz w:val="16"/>
                <w:lang w:val="en-US"/>
              </w:rPr>
              <w:t xml:space="preserve">1 </w:t>
            </w:r>
            <w:r w:rsidR="00D334C8">
              <w:rPr>
                <w:iCs/>
                <w:sz w:val="16"/>
                <w:lang w:val="en-US"/>
              </w:rPr>
              <w:t xml:space="preserve">Grant with a women’s organization/platform </w:t>
            </w:r>
            <w:r w:rsidR="00B553C3" w:rsidRPr="00B553C3">
              <w:rPr>
                <w:iCs/>
                <w:sz w:val="16"/>
                <w:lang w:val="en-US"/>
              </w:rPr>
              <w:t>to trace the implementation and the impact of the law on</w:t>
            </w:r>
            <w:r w:rsidR="00377544">
              <w:rPr>
                <w:iCs/>
                <w:sz w:val="16"/>
                <w:lang w:val="en-US"/>
              </w:rPr>
              <w:t xml:space="preserve"> domestic violence and the FGM (Micro-Grant).</w:t>
            </w:r>
          </w:p>
        </w:tc>
        <w:tc>
          <w:tcPr>
            <w:tcW w:w="463" w:type="pct"/>
            <w:vMerge/>
          </w:tcPr>
          <w:p w14:paraId="58958328" w14:textId="77777777" w:rsidR="008F15AF" w:rsidRPr="001135FC" w:rsidRDefault="008F15AF" w:rsidP="009F3282">
            <w:pPr>
              <w:jc w:val="center"/>
              <w:rPr>
                <w:iCs/>
                <w:sz w:val="16"/>
                <w:lang w:val="en-US"/>
              </w:rPr>
            </w:pPr>
          </w:p>
        </w:tc>
      </w:tr>
      <w:tr w:rsidR="008F15AF" w:rsidRPr="00F547E2" w14:paraId="7B4D8A09" w14:textId="77777777" w:rsidTr="000D4561">
        <w:trPr>
          <w:cantSplit/>
          <w:trHeight w:val="384"/>
          <w:jc w:val="center"/>
        </w:trPr>
        <w:tc>
          <w:tcPr>
            <w:tcW w:w="661" w:type="pct"/>
            <w:vMerge/>
            <w:shd w:val="clear" w:color="auto" w:fill="CCCCCC"/>
          </w:tcPr>
          <w:p w14:paraId="68D96449" w14:textId="77777777" w:rsidR="008F15AF" w:rsidRPr="00F547E2" w:rsidRDefault="008F15AF" w:rsidP="00E3051E"/>
        </w:tc>
        <w:tc>
          <w:tcPr>
            <w:tcW w:w="990" w:type="pct"/>
            <w:vMerge/>
          </w:tcPr>
          <w:p w14:paraId="76E9343C" w14:textId="77777777" w:rsidR="008F15AF" w:rsidRDefault="008F15AF" w:rsidP="007044A5">
            <w:pPr>
              <w:pStyle w:val="ListParagraph"/>
              <w:ind w:left="0"/>
              <w:rPr>
                <w:rFonts w:ascii="Arial" w:hAnsi="Arial" w:cs="Arial"/>
                <w:iCs/>
                <w:sz w:val="16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5DB54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C1756" w14:textId="77777777" w:rsidR="008F15AF" w:rsidRPr="00F547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7EE6B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05627736" w14:textId="77777777" w:rsidR="008F15AF" w:rsidRPr="00F316E2" w:rsidRDefault="008F15AF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2D83FB28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3B46EB46" w14:textId="77777777" w:rsidR="008F15AF" w:rsidRPr="00F547E2" w:rsidRDefault="008F15AF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2ABCA9AF" w14:textId="77777777" w:rsidR="008F15AF" w:rsidRPr="00DB242A" w:rsidRDefault="008F15AF" w:rsidP="00496938">
            <w:pPr>
              <w:rPr>
                <w:iCs/>
                <w:sz w:val="16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>GENDER UNIT</w:t>
            </w:r>
            <w:r w:rsidR="00662959" w:rsidRPr="00DB242A">
              <w:rPr>
                <w:iCs/>
                <w:sz w:val="16"/>
                <w:lang w:val="en-US"/>
              </w:rPr>
              <w:t>/UNIOGBIS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22C65C78" w14:textId="77777777" w:rsidR="008F15AF" w:rsidRPr="00DB242A" w:rsidRDefault="008F15AF" w:rsidP="00E3051E">
            <w:pPr>
              <w:rPr>
                <w:iCs/>
                <w:sz w:val="16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2ED61C6B" w14:textId="3AFA27A3" w:rsidR="008F15AF" w:rsidRPr="00DB242A" w:rsidRDefault="00390481" w:rsidP="00390481">
            <w:pPr>
              <w:rPr>
                <w:iCs/>
                <w:sz w:val="16"/>
                <w:highlight w:val="yellow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 xml:space="preserve">- </w:t>
            </w:r>
            <w:r w:rsidRPr="00DB242A">
              <w:rPr>
                <w:iCs/>
                <w:sz w:val="16"/>
              </w:rPr>
              <w:t xml:space="preserve">4 </w:t>
            </w:r>
            <w:r w:rsidRPr="00DB242A">
              <w:rPr>
                <w:iCs/>
                <w:sz w:val="16"/>
                <w:lang w:val="en-US"/>
              </w:rPr>
              <w:t>actions to sensitize, technically present</w:t>
            </w:r>
            <w:r w:rsidR="001D3B39" w:rsidRPr="00DB242A">
              <w:rPr>
                <w:iCs/>
                <w:sz w:val="16"/>
                <w:lang w:val="en-US"/>
              </w:rPr>
              <w:t xml:space="preserve"> </w:t>
            </w:r>
            <w:r w:rsidRPr="00DB242A">
              <w:rPr>
                <w:iCs/>
                <w:sz w:val="16"/>
                <w:lang w:val="en-US"/>
              </w:rPr>
              <w:t xml:space="preserve">/ discuss, and </w:t>
            </w:r>
            <w:r w:rsidRPr="00DB242A">
              <w:rPr>
                <w:iCs/>
                <w:sz w:val="16"/>
              </w:rPr>
              <w:t xml:space="preserve">promote </w:t>
            </w:r>
            <w:r w:rsidRPr="00DB242A">
              <w:rPr>
                <w:iCs/>
                <w:sz w:val="16"/>
                <w:lang w:val="en-US"/>
              </w:rPr>
              <w:t xml:space="preserve">the </w:t>
            </w:r>
            <w:r w:rsidRPr="00DB242A">
              <w:rPr>
                <w:iCs/>
                <w:sz w:val="16"/>
              </w:rPr>
              <w:t xml:space="preserve">adoption of new legal </w:t>
            </w:r>
            <w:r w:rsidRPr="00DB242A">
              <w:rPr>
                <w:iCs/>
                <w:sz w:val="16"/>
                <w:lang w:val="en-US"/>
              </w:rPr>
              <w:t xml:space="preserve">provisions with the </w:t>
            </w:r>
            <w:r w:rsidRPr="00DB242A">
              <w:rPr>
                <w:iCs/>
                <w:sz w:val="16"/>
              </w:rPr>
              <w:t xml:space="preserve">ANP and its Commissions – focusing </w:t>
            </w:r>
            <w:r w:rsidRPr="00DB242A">
              <w:rPr>
                <w:iCs/>
                <w:sz w:val="16"/>
                <w:lang w:val="en-US"/>
              </w:rPr>
              <w:t xml:space="preserve">on </w:t>
            </w:r>
            <w:r w:rsidRPr="00DB242A">
              <w:rPr>
                <w:iCs/>
                <w:sz w:val="16"/>
              </w:rPr>
              <w:t>w</w:t>
            </w:r>
            <w:r w:rsidR="00525018" w:rsidRPr="00DB242A">
              <w:rPr>
                <w:iCs/>
                <w:sz w:val="16"/>
              </w:rPr>
              <w:t xml:space="preserve">omen Parliamentarians </w:t>
            </w:r>
            <w:r w:rsidRPr="00DB242A">
              <w:rPr>
                <w:iCs/>
                <w:sz w:val="16"/>
                <w:lang w:val="en-US"/>
              </w:rPr>
              <w:t>(room, coffee-break, lunch, materials, DSAs, etc.</w:t>
            </w:r>
            <w:proofErr w:type="gramStart"/>
            <w:r w:rsidRPr="00DB242A">
              <w:rPr>
                <w:iCs/>
                <w:sz w:val="16"/>
                <w:lang w:val="en-US"/>
              </w:rPr>
              <w:t>).</w:t>
            </w:r>
            <w:r w:rsidR="001D3B39" w:rsidRPr="00DB242A">
              <w:rPr>
                <w:iCs/>
                <w:sz w:val="16"/>
                <w:lang w:val="en-US"/>
              </w:rPr>
              <w:t>ACTIONS</w:t>
            </w:r>
            <w:proofErr w:type="gramEnd"/>
            <w:r w:rsidR="001D3B39" w:rsidRPr="00DB242A">
              <w:rPr>
                <w:iCs/>
                <w:sz w:val="16"/>
                <w:lang w:val="en-US"/>
              </w:rPr>
              <w:t xml:space="preserve"> COULD ALSO BRING Parliamentarians to their districts to confront needs on the ground (coordination with XB GU Project </w:t>
            </w:r>
          </w:p>
        </w:tc>
        <w:tc>
          <w:tcPr>
            <w:tcW w:w="463" w:type="pct"/>
            <w:vMerge/>
          </w:tcPr>
          <w:p w14:paraId="670D10E2" w14:textId="77777777" w:rsidR="008F15AF" w:rsidRPr="000D4561" w:rsidRDefault="008F15AF" w:rsidP="009F3282">
            <w:pPr>
              <w:jc w:val="center"/>
              <w:rPr>
                <w:iCs/>
                <w:sz w:val="16"/>
                <w:lang w:val="en-US"/>
              </w:rPr>
            </w:pPr>
          </w:p>
        </w:tc>
      </w:tr>
      <w:tr w:rsidR="009F3282" w:rsidRPr="00F547E2" w14:paraId="04165BE5" w14:textId="77777777" w:rsidTr="00C51302">
        <w:trPr>
          <w:cantSplit/>
          <w:trHeight w:val="393"/>
          <w:jc w:val="center"/>
        </w:trPr>
        <w:tc>
          <w:tcPr>
            <w:tcW w:w="661" w:type="pct"/>
            <w:vMerge w:val="restart"/>
            <w:shd w:val="clear" w:color="auto" w:fill="auto"/>
          </w:tcPr>
          <w:p w14:paraId="68B57699" w14:textId="77777777" w:rsidR="009F3282" w:rsidRDefault="009F3282" w:rsidP="00E3051E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  <w:r w:rsidRPr="001700DE"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OP. Result 1.2 (Operators training; setting up mechanisms</w:t>
            </w:r>
            <w:r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/strategies</w:t>
            </w:r>
            <w:r w:rsidRPr="001700DE"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):</w:t>
            </w:r>
            <w:r w:rsidRPr="00940AF6">
              <w:rPr>
                <w:color w:val="000000"/>
                <w:spacing w:val="-9"/>
                <w:sz w:val="18"/>
                <w:szCs w:val="18"/>
                <w:lang w:val="en-US"/>
              </w:rPr>
              <w:t xml:space="preserve"> The capacities and consciousness of justice operators on women’s rights, gender equality, peace and security are improved, strengthening conflict resolution mechanisms.</w:t>
            </w:r>
          </w:p>
          <w:p w14:paraId="1493CB30" w14:textId="77777777" w:rsidR="009F3282" w:rsidRDefault="009F3282" w:rsidP="00E3051E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</w:p>
          <w:p w14:paraId="04E6B0BB" w14:textId="77777777" w:rsidR="009F3282" w:rsidRDefault="009F3282" w:rsidP="00E3051E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  <w:r>
              <w:rPr>
                <w:color w:val="000000"/>
                <w:spacing w:val="-9"/>
                <w:sz w:val="18"/>
                <w:szCs w:val="18"/>
                <w:lang w:val="en-US"/>
              </w:rPr>
              <w:t>Target 260 civil servants (50% women)</w:t>
            </w:r>
          </w:p>
          <w:p w14:paraId="2116A391" w14:textId="77777777" w:rsidR="009F3282" w:rsidRPr="00940AF6" w:rsidRDefault="009F3282" w:rsidP="00E3051E">
            <w:pPr>
              <w:spacing w:after="0"/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vMerge w:val="restart"/>
            <w:tcBorders>
              <w:top w:val="single" w:sz="4" w:space="0" w:color="auto"/>
            </w:tcBorders>
            <w:vAlign w:val="center"/>
          </w:tcPr>
          <w:p w14:paraId="7C8DBCE7" w14:textId="2333B52F" w:rsidR="009F3282" w:rsidRDefault="009F3282" w:rsidP="007044A5">
            <w:pPr>
              <w:spacing w:after="0"/>
              <w:jc w:val="left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1.2.1: </w:t>
            </w:r>
            <w:r w:rsidRPr="00525237">
              <w:rPr>
                <w:iCs/>
                <w:sz w:val="16"/>
                <w:lang w:val="en-US"/>
              </w:rPr>
              <w:t>Sensitize and train justice key stakeholders on women’s rights and gender equality as drivers for</w:t>
            </w:r>
            <w:r w:rsidR="00D334C8">
              <w:rPr>
                <w:iCs/>
                <w:sz w:val="16"/>
                <w:lang w:val="en-US"/>
              </w:rPr>
              <w:t xml:space="preserve"> </w:t>
            </w:r>
            <w:r w:rsidRPr="00525237">
              <w:rPr>
                <w:iCs/>
                <w:sz w:val="16"/>
                <w:lang w:val="en-US"/>
              </w:rPr>
              <w:t>peace consolidation and conflict prevention;</w:t>
            </w:r>
          </w:p>
          <w:p w14:paraId="6494D1D7" w14:textId="77777777" w:rsidR="009F3282" w:rsidRPr="00F547E2" w:rsidRDefault="009F3282" w:rsidP="007044A5">
            <w:pPr>
              <w:spacing w:after="0"/>
              <w:jc w:val="left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322E9" w14:textId="77777777" w:rsidR="009F3282" w:rsidRPr="00F547E2" w:rsidRDefault="009F3282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69F1D82" w14:textId="77777777" w:rsidR="009F3282" w:rsidRPr="00F547E2" w:rsidRDefault="009F3282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513BEE66" w14:textId="77777777" w:rsidR="009F3282" w:rsidRPr="00F547E2" w:rsidRDefault="009F3282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5A7BC" w14:textId="77777777" w:rsidR="009F3282" w:rsidRPr="00F547E2" w:rsidRDefault="009F3282" w:rsidP="00E3051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3C708142" w14:textId="77777777" w:rsidR="009F3282" w:rsidRPr="00F547E2" w:rsidRDefault="009F3282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14:paraId="431B9007" w14:textId="77777777" w:rsidR="009F3282" w:rsidRPr="00F547E2" w:rsidRDefault="009F3282" w:rsidP="00E3051E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7A935002" w14:textId="76873641" w:rsidR="009F3282" w:rsidRPr="00DB242A" w:rsidRDefault="00FA6A22" w:rsidP="00FA6A22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007168EC" w14:textId="77777777" w:rsidR="009F3282" w:rsidRPr="00DB242A" w:rsidRDefault="009F3282" w:rsidP="00E3051E">
            <w:pPr>
              <w:rPr>
                <w:iCs/>
                <w:sz w:val="16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19D2D385" w14:textId="21814C44" w:rsidR="009F3282" w:rsidRPr="00DB242A" w:rsidRDefault="00CF7C01" w:rsidP="00CF7C01">
            <w:pPr>
              <w:rPr>
                <w:iCs/>
                <w:sz w:val="16"/>
                <w:lang w:val="en-US"/>
              </w:rPr>
            </w:pPr>
            <w:r w:rsidRPr="00DB242A">
              <w:rPr>
                <w:iCs/>
                <w:sz w:val="16"/>
                <w:lang w:val="en-US"/>
              </w:rPr>
              <w:t xml:space="preserve"> workshop on women’s rights and gender equality as drivers for peace consolidation and conflict prevention (room, coffee-break, lunch, materials, DSAs, etc.).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</w:tcBorders>
          </w:tcPr>
          <w:p w14:paraId="4809481E" w14:textId="77777777" w:rsidR="009F3282" w:rsidRPr="00CF7C01" w:rsidRDefault="009F3282" w:rsidP="009F3282">
            <w:pPr>
              <w:jc w:val="center"/>
              <w:rPr>
                <w:iCs/>
                <w:sz w:val="16"/>
                <w:lang w:val="en-US"/>
              </w:rPr>
            </w:pPr>
          </w:p>
          <w:p w14:paraId="27209216" w14:textId="77777777" w:rsidR="009F3282" w:rsidRPr="00CF7C01" w:rsidRDefault="009F3282" w:rsidP="009F3282">
            <w:pPr>
              <w:jc w:val="center"/>
              <w:rPr>
                <w:iCs/>
                <w:sz w:val="16"/>
                <w:lang w:val="en-US"/>
              </w:rPr>
            </w:pPr>
          </w:p>
          <w:p w14:paraId="2791166F" w14:textId="23DE0657" w:rsidR="009F3282" w:rsidRPr="00525237" w:rsidRDefault="00FA6A22" w:rsidP="009F3282">
            <w:pPr>
              <w:jc w:val="center"/>
              <w:rPr>
                <w:iCs/>
                <w:sz w:val="16"/>
                <w:lang w:val="pt-PT"/>
              </w:rPr>
            </w:pPr>
            <w:r>
              <w:rPr>
                <w:iCs/>
                <w:sz w:val="16"/>
                <w:lang w:val="pt-PT"/>
              </w:rPr>
              <w:t>55</w:t>
            </w:r>
            <w:r w:rsidR="009F3282">
              <w:rPr>
                <w:iCs/>
                <w:sz w:val="16"/>
                <w:lang w:val="pt-PT"/>
              </w:rPr>
              <w:t>.000</w:t>
            </w:r>
          </w:p>
        </w:tc>
      </w:tr>
      <w:tr w:rsidR="00EF167C" w:rsidRPr="00F547E2" w14:paraId="2789D642" w14:textId="77777777" w:rsidTr="001135FC">
        <w:trPr>
          <w:cantSplit/>
          <w:trHeight w:val="393"/>
          <w:jc w:val="center"/>
        </w:trPr>
        <w:tc>
          <w:tcPr>
            <w:tcW w:w="661" w:type="pct"/>
            <w:vMerge/>
            <w:shd w:val="clear" w:color="auto" w:fill="auto"/>
          </w:tcPr>
          <w:p w14:paraId="68D0232D" w14:textId="77777777" w:rsidR="00EF167C" w:rsidRPr="001700DE" w:rsidRDefault="00EF167C" w:rsidP="00EF167C">
            <w:pPr>
              <w:spacing w:after="0"/>
              <w:jc w:val="left"/>
              <w:rPr>
                <w:b/>
                <w:color w:val="000000"/>
                <w:spacing w:val="-9"/>
                <w:sz w:val="18"/>
                <w:szCs w:val="18"/>
                <w:lang w:val="en-US"/>
              </w:rPr>
            </w:pPr>
          </w:p>
        </w:tc>
        <w:tc>
          <w:tcPr>
            <w:tcW w:w="990" w:type="pct"/>
            <w:vMerge/>
            <w:vAlign w:val="center"/>
          </w:tcPr>
          <w:p w14:paraId="13E25E07" w14:textId="77777777" w:rsidR="00EF167C" w:rsidRDefault="00EF167C" w:rsidP="00EF167C">
            <w:pPr>
              <w:spacing w:after="0"/>
              <w:jc w:val="left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DDC80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10FE9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190C4FC3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085CB7D2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6804ADCE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tcBorders>
              <w:top w:val="single" w:sz="4" w:space="0" w:color="auto"/>
            </w:tcBorders>
          </w:tcPr>
          <w:p w14:paraId="168CB2B9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</w:tcPr>
          <w:p w14:paraId="2EB1127D" w14:textId="69B1B124" w:rsidR="00EF167C" w:rsidRDefault="00510900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UNDP/ </w:t>
            </w:r>
            <w:r w:rsidR="00EF167C">
              <w:rPr>
                <w:iCs/>
                <w:sz w:val="16"/>
                <w:lang w:val="en-US"/>
              </w:rPr>
              <w:t>UN WOMEN</w:t>
            </w:r>
          </w:p>
          <w:p w14:paraId="5A1F107D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</w:tcPr>
          <w:p w14:paraId="74C86565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  <w:tcBorders>
              <w:top w:val="single" w:sz="4" w:space="0" w:color="auto"/>
            </w:tcBorders>
          </w:tcPr>
          <w:p w14:paraId="46E6D9AA" w14:textId="34E33B33" w:rsidR="00510900" w:rsidRPr="00F547E2" w:rsidRDefault="00510900" w:rsidP="001135F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Organization of training sessions with the CENFOJ</w:t>
            </w:r>
            <w:r w:rsidR="001135FC" w:rsidRPr="00D272FA">
              <w:rPr>
                <w:iCs/>
                <w:sz w:val="16"/>
                <w:lang w:val="en-US"/>
              </w:rPr>
              <w:t xml:space="preserve"> to </w:t>
            </w:r>
            <w:r w:rsidR="001135FC">
              <w:rPr>
                <w:iCs/>
                <w:sz w:val="16"/>
                <w:lang w:val="en-US"/>
              </w:rPr>
              <w:t xml:space="preserve">sensitize and train </w:t>
            </w:r>
            <w:r w:rsidR="001135FC" w:rsidRPr="00D272FA">
              <w:rPr>
                <w:iCs/>
                <w:sz w:val="16"/>
                <w:lang w:val="en-US"/>
              </w:rPr>
              <w:t xml:space="preserve">police, judges and prosecutors at national wide </w:t>
            </w:r>
            <w:r w:rsidRPr="00D22ADC">
              <w:rPr>
                <w:iCs/>
                <w:sz w:val="16"/>
                <w:lang w:val="en-US"/>
              </w:rPr>
              <w:t xml:space="preserve">(room, coffee-break, lunch, materials, </w:t>
            </w:r>
            <w:r>
              <w:rPr>
                <w:iCs/>
                <w:sz w:val="16"/>
                <w:lang w:val="en-US"/>
              </w:rPr>
              <w:t>DSAs</w:t>
            </w:r>
            <w:r w:rsidRPr="00D22ADC">
              <w:rPr>
                <w:iCs/>
                <w:sz w:val="16"/>
                <w:lang w:val="en-US"/>
              </w:rPr>
              <w:t xml:space="preserve">, </w:t>
            </w:r>
            <w:r w:rsidR="001135FC" w:rsidRPr="00D272FA">
              <w:rPr>
                <w:iCs/>
                <w:sz w:val="16"/>
                <w:lang w:val="en-US"/>
              </w:rPr>
              <w:t>trainers</w:t>
            </w:r>
            <w:r w:rsidR="001135FC">
              <w:rPr>
                <w:iCs/>
                <w:sz w:val="16"/>
                <w:lang w:val="en-US"/>
              </w:rPr>
              <w:t>’</w:t>
            </w:r>
            <w:r w:rsidR="001135FC" w:rsidRPr="00D272FA">
              <w:rPr>
                <w:iCs/>
                <w:sz w:val="16"/>
                <w:lang w:val="en-US"/>
              </w:rPr>
              <w:t xml:space="preserve"> fees, </w:t>
            </w:r>
            <w:r w:rsidR="001135FC">
              <w:rPr>
                <w:iCs/>
                <w:sz w:val="16"/>
                <w:lang w:val="en-US"/>
              </w:rPr>
              <w:t>communication,</w:t>
            </w:r>
            <w:r w:rsidR="001135FC" w:rsidRPr="00D272FA">
              <w:rPr>
                <w:iCs/>
                <w:sz w:val="16"/>
                <w:lang w:val="en-US"/>
              </w:rPr>
              <w:t xml:space="preserve"> </w:t>
            </w:r>
            <w:r w:rsidR="001135FC">
              <w:rPr>
                <w:iCs/>
                <w:sz w:val="16"/>
                <w:lang w:val="en-US"/>
              </w:rPr>
              <w:t xml:space="preserve">operational costs, </w:t>
            </w:r>
            <w:r w:rsidRPr="00D22ADC">
              <w:rPr>
                <w:iCs/>
                <w:sz w:val="16"/>
                <w:lang w:val="en-US"/>
              </w:rPr>
              <w:t>etc.)</w:t>
            </w:r>
            <w:r w:rsidR="001135FC">
              <w:rPr>
                <w:iCs/>
                <w:sz w:val="16"/>
                <w:lang w:val="en-US"/>
              </w:rPr>
              <w:t>.</w:t>
            </w:r>
          </w:p>
        </w:tc>
        <w:tc>
          <w:tcPr>
            <w:tcW w:w="463" w:type="pct"/>
            <w:vMerge/>
          </w:tcPr>
          <w:p w14:paraId="21391FE8" w14:textId="77777777" w:rsidR="00EF167C" w:rsidRPr="00245461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</w:tc>
      </w:tr>
      <w:tr w:rsidR="00EF167C" w:rsidRPr="00F547E2" w14:paraId="7777C60B" w14:textId="77777777" w:rsidTr="00D66AAB">
        <w:trPr>
          <w:cantSplit/>
          <w:trHeight w:val="456"/>
          <w:jc w:val="center"/>
        </w:trPr>
        <w:tc>
          <w:tcPr>
            <w:tcW w:w="661" w:type="pct"/>
            <w:vMerge/>
            <w:shd w:val="clear" w:color="auto" w:fill="auto"/>
          </w:tcPr>
          <w:p w14:paraId="1DB53543" w14:textId="77777777" w:rsidR="00EF167C" w:rsidRPr="00F547E2" w:rsidRDefault="00EF167C" w:rsidP="00EF167C">
            <w:pPr>
              <w:spacing w:after="0"/>
              <w:ind w:left="180"/>
              <w:jc w:val="left"/>
              <w:rPr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990" w:type="pct"/>
            <w:vMerge w:val="restart"/>
            <w:vAlign w:val="center"/>
          </w:tcPr>
          <w:p w14:paraId="4BC91106" w14:textId="77777777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1.2.2: </w:t>
            </w:r>
            <w:r w:rsidRPr="00525237">
              <w:rPr>
                <w:iCs/>
                <w:sz w:val="16"/>
                <w:lang w:val="en-US"/>
              </w:rPr>
              <w:t>Support the elaboration and implementation of a gender-based strategy to provide better services to women at the CAJ institutionalizing ADR mechanisms;</w:t>
            </w:r>
          </w:p>
          <w:p w14:paraId="7B9EEA2B" w14:textId="77777777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A8A6F68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4BE09EF4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033EDCFF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1DB0DAC3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24C52031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</w:tcPr>
          <w:p w14:paraId="3970CEDE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37BCF709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</w:tc>
        <w:tc>
          <w:tcPr>
            <w:tcW w:w="279" w:type="pct"/>
          </w:tcPr>
          <w:p w14:paraId="675DECAF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194DDC4E" w14:textId="04A925AA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Technical Assistance (1 national expert) to draft a strategy/mechanism and train CAJ’s technicians</w:t>
            </w:r>
            <w:r w:rsidR="00DA326F">
              <w:t xml:space="preserve"> </w:t>
            </w:r>
            <w:r w:rsidR="00DA326F" w:rsidRPr="00DA326F">
              <w:rPr>
                <w:iCs/>
                <w:sz w:val="16"/>
                <w:lang w:val="en-US"/>
              </w:rPr>
              <w:t xml:space="preserve">to provide improved services to women </w:t>
            </w:r>
            <w:r>
              <w:rPr>
                <w:iCs/>
                <w:sz w:val="16"/>
                <w:lang w:val="en-US"/>
              </w:rPr>
              <w:t>(service contract);</w:t>
            </w:r>
          </w:p>
          <w:p w14:paraId="5B0950EF" w14:textId="2F247A72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</w:p>
        </w:tc>
        <w:tc>
          <w:tcPr>
            <w:tcW w:w="463" w:type="pct"/>
            <w:vMerge w:val="restart"/>
          </w:tcPr>
          <w:p w14:paraId="0F72CE4C" w14:textId="77777777" w:rsidR="00EF167C" w:rsidRPr="00BD3E72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4260FB8C" w14:textId="77777777" w:rsidR="00EF167C" w:rsidRPr="00BD3E72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1D9EFDB5" w14:textId="77777777" w:rsidR="00EF167C" w:rsidRPr="00D66AAB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  <w:r w:rsidRPr="006A2B90">
              <w:rPr>
                <w:iCs/>
                <w:sz w:val="16"/>
                <w:lang w:val="en-US"/>
              </w:rPr>
              <w:t>30.000</w:t>
            </w:r>
          </w:p>
        </w:tc>
      </w:tr>
      <w:tr w:rsidR="00720AF1" w:rsidRPr="00F547E2" w14:paraId="0CA999DC" w14:textId="77777777" w:rsidTr="00DA326F">
        <w:trPr>
          <w:cantSplit/>
          <w:trHeight w:val="456"/>
          <w:jc w:val="center"/>
        </w:trPr>
        <w:tc>
          <w:tcPr>
            <w:tcW w:w="661" w:type="pct"/>
            <w:vMerge/>
            <w:shd w:val="clear" w:color="auto" w:fill="auto"/>
          </w:tcPr>
          <w:p w14:paraId="2C7281DE" w14:textId="77777777" w:rsidR="00720AF1" w:rsidRPr="00F547E2" w:rsidRDefault="00720AF1" w:rsidP="00EF167C">
            <w:pPr>
              <w:spacing w:after="0"/>
              <w:ind w:left="180"/>
              <w:jc w:val="left"/>
              <w:rPr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990" w:type="pct"/>
            <w:vMerge/>
            <w:vAlign w:val="center"/>
          </w:tcPr>
          <w:p w14:paraId="3FECEC0D" w14:textId="77777777" w:rsidR="00720AF1" w:rsidRDefault="00720AF1" w:rsidP="00EF167C">
            <w:pPr>
              <w:spacing w:after="0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F2896B8" w14:textId="77777777" w:rsidR="00720AF1" w:rsidRPr="00F547E2" w:rsidRDefault="00720AF1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532B158A" w14:textId="77777777" w:rsidR="00720AF1" w:rsidRPr="00F547E2" w:rsidRDefault="00720AF1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36E64359" w14:textId="77777777" w:rsidR="00720AF1" w:rsidRPr="00F547E2" w:rsidRDefault="00720AF1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3AB27C9B" w14:textId="77777777" w:rsidR="00720AF1" w:rsidRPr="00F547E2" w:rsidRDefault="00720AF1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6C6326E4" w14:textId="77777777" w:rsidR="00720AF1" w:rsidRPr="00F547E2" w:rsidRDefault="00720AF1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shd w:val="clear" w:color="auto" w:fill="F4B083" w:themeFill="accent2" w:themeFillTint="99"/>
          </w:tcPr>
          <w:p w14:paraId="32D7D7D7" w14:textId="77777777" w:rsidR="00720AF1" w:rsidRPr="00F547E2" w:rsidRDefault="00720AF1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1D8012DF" w14:textId="1B6B6309" w:rsidR="00720AF1" w:rsidRPr="00B96A1D" w:rsidRDefault="00720AF1" w:rsidP="00EF167C">
            <w:pPr>
              <w:rPr>
                <w:iCs/>
                <w:sz w:val="16"/>
                <w:lang w:val="en-US"/>
              </w:rPr>
            </w:pPr>
            <w:r w:rsidRPr="00B96A1D">
              <w:rPr>
                <w:iCs/>
                <w:sz w:val="16"/>
                <w:lang w:val="en-US"/>
              </w:rPr>
              <w:t>U</w:t>
            </w:r>
            <w:r w:rsidR="00817A4D">
              <w:rPr>
                <w:iCs/>
                <w:sz w:val="16"/>
                <w:lang w:val="en-US"/>
              </w:rPr>
              <w:t>NDP</w:t>
            </w:r>
          </w:p>
        </w:tc>
        <w:tc>
          <w:tcPr>
            <w:tcW w:w="279" w:type="pct"/>
          </w:tcPr>
          <w:p w14:paraId="5560BE97" w14:textId="4823C7DC" w:rsidR="00720AF1" w:rsidRPr="00B96A1D" w:rsidRDefault="00720AF1" w:rsidP="00EF167C">
            <w:pPr>
              <w:rPr>
                <w:iCs/>
                <w:sz w:val="16"/>
                <w:lang w:val="en-US"/>
              </w:rPr>
            </w:pPr>
            <w:r w:rsidRPr="00B96A1D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7B7C8EED" w14:textId="1B343EE9" w:rsidR="008907FA" w:rsidRPr="00B96A1D" w:rsidRDefault="00B96A1D" w:rsidP="00EF167C">
            <w:pPr>
              <w:spacing w:after="0"/>
              <w:rPr>
                <w:iCs/>
                <w:sz w:val="16"/>
                <w:lang w:val="en-US"/>
              </w:rPr>
            </w:pPr>
            <w:r w:rsidRPr="00DA326F">
              <w:rPr>
                <w:iCs/>
                <w:sz w:val="16"/>
                <w:lang w:val="en-US"/>
              </w:rPr>
              <w:t xml:space="preserve">– </w:t>
            </w:r>
            <w:r w:rsidR="008907FA" w:rsidRPr="00DA326F">
              <w:rPr>
                <w:iCs/>
                <w:sz w:val="16"/>
                <w:lang w:val="en-US"/>
              </w:rPr>
              <w:t>1 validation</w:t>
            </w:r>
            <w:r w:rsidRPr="00DA326F">
              <w:rPr>
                <w:iCs/>
                <w:sz w:val="16"/>
                <w:lang w:val="en-US"/>
              </w:rPr>
              <w:t xml:space="preserve"> workshop (room, coffee-break, lunch, DSAs, materials, etc.).</w:t>
            </w:r>
          </w:p>
        </w:tc>
        <w:tc>
          <w:tcPr>
            <w:tcW w:w="463" w:type="pct"/>
            <w:vMerge/>
          </w:tcPr>
          <w:p w14:paraId="748425C3" w14:textId="77777777" w:rsidR="00720AF1" w:rsidRPr="00BD3E72" w:rsidRDefault="00720AF1" w:rsidP="00EF167C">
            <w:pPr>
              <w:jc w:val="center"/>
              <w:rPr>
                <w:iCs/>
                <w:sz w:val="16"/>
                <w:lang w:val="en-US"/>
              </w:rPr>
            </w:pPr>
          </w:p>
        </w:tc>
      </w:tr>
      <w:tr w:rsidR="00EF167C" w:rsidRPr="00F547E2" w14:paraId="76D95792" w14:textId="77777777" w:rsidTr="009F3282">
        <w:trPr>
          <w:cantSplit/>
          <w:trHeight w:val="276"/>
          <w:jc w:val="center"/>
        </w:trPr>
        <w:tc>
          <w:tcPr>
            <w:tcW w:w="661" w:type="pct"/>
            <w:vMerge/>
            <w:shd w:val="clear" w:color="auto" w:fill="auto"/>
          </w:tcPr>
          <w:p w14:paraId="748EB364" w14:textId="77777777" w:rsidR="00EF167C" w:rsidRPr="00F547E2" w:rsidRDefault="00EF167C" w:rsidP="00EF167C"/>
        </w:tc>
        <w:tc>
          <w:tcPr>
            <w:tcW w:w="990" w:type="pct"/>
            <w:vMerge w:val="restart"/>
            <w:vAlign w:val="center"/>
          </w:tcPr>
          <w:p w14:paraId="2184E7A9" w14:textId="77777777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1.2.3: </w:t>
            </w:r>
            <w:r w:rsidRPr="001406C7">
              <w:rPr>
                <w:iCs/>
                <w:sz w:val="16"/>
                <w:lang w:val="en-US"/>
              </w:rPr>
              <w:t xml:space="preserve">Organize and promote the implementation of a functioning network of focal points at key institutions in 6 regions to follow up gender sensitive cases and to provide </w:t>
            </w:r>
            <w:r>
              <w:rPr>
                <w:iCs/>
                <w:sz w:val="16"/>
                <w:lang w:val="en-US"/>
              </w:rPr>
              <w:t xml:space="preserve">assistance </w:t>
            </w:r>
            <w:r w:rsidRPr="001406C7">
              <w:rPr>
                <w:iCs/>
                <w:sz w:val="16"/>
                <w:lang w:val="en-US"/>
              </w:rPr>
              <w:t>to women for conflict resolution.</w:t>
            </w:r>
          </w:p>
          <w:p w14:paraId="02B7FA44" w14:textId="77777777" w:rsidR="00EF167C" w:rsidRPr="00F547E2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708BB32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55026BB8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58EB5AAB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58023061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6706E668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</w:tcPr>
          <w:p w14:paraId="0EC21693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46E8C35E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  <w:p w14:paraId="6A9BCF4D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</w:p>
          <w:p w14:paraId="766CBB39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279" w:type="pct"/>
          </w:tcPr>
          <w:p w14:paraId="44577C62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PBF</w:t>
            </w:r>
          </w:p>
          <w:p w14:paraId="6B4B8D0C" w14:textId="77777777" w:rsidR="00EF167C" w:rsidRPr="00F547E2" w:rsidRDefault="00EF167C" w:rsidP="00EF167C"/>
        </w:tc>
        <w:tc>
          <w:tcPr>
            <w:tcW w:w="1480" w:type="pct"/>
          </w:tcPr>
          <w:p w14:paraId="4C6EF035" w14:textId="77777777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Technical Assistance (1 international and 1 national expert) to the creation and operationalization of specialized units in 6 regions (service contract);</w:t>
            </w:r>
          </w:p>
          <w:p w14:paraId="5701FBFE" w14:textId="77777777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Institutional training in the regions (</w:t>
            </w:r>
            <w:r w:rsidRPr="00AE7FAB">
              <w:rPr>
                <w:iCs/>
                <w:sz w:val="16"/>
                <w:lang w:val="en-US"/>
              </w:rPr>
              <w:t>room, coffee-break, lun</w:t>
            </w:r>
            <w:r>
              <w:rPr>
                <w:iCs/>
                <w:sz w:val="16"/>
                <w:lang w:val="en-US"/>
              </w:rPr>
              <w:t>ch, materials, per diems, etc.);</w:t>
            </w:r>
          </w:p>
          <w:p w14:paraId="022D17D8" w14:textId="77777777" w:rsidR="00EF167C" w:rsidRPr="00F547E2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Follow-up activities (</w:t>
            </w:r>
            <w:r w:rsidR="004357C7">
              <w:rPr>
                <w:iCs/>
                <w:sz w:val="16"/>
                <w:lang w:val="en-US"/>
              </w:rPr>
              <w:t>travel</w:t>
            </w:r>
            <w:r>
              <w:rPr>
                <w:iCs/>
                <w:sz w:val="16"/>
                <w:lang w:val="en-US"/>
              </w:rPr>
              <w:t>, DSA, etc.).</w:t>
            </w:r>
          </w:p>
        </w:tc>
        <w:tc>
          <w:tcPr>
            <w:tcW w:w="463" w:type="pct"/>
            <w:vMerge w:val="restart"/>
          </w:tcPr>
          <w:p w14:paraId="16F86169" w14:textId="77777777" w:rsidR="00EF167C" w:rsidRPr="00FD6259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51BDA581" w14:textId="77777777" w:rsidR="00EF167C" w:rsidRPr="00FD6259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738324B8" w14:textId="77777777" w:rsidR="00EF167C" w:rsidRPr="00FD6259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0924A567" w14:textId="77777777" w:rsidR="00EF167C" w:rsidRPr="00FD6259" w:rsidRDefault="00EF167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5DEA0BF3" w14:textId="38E7CDCB" w:rsidR="00EF167C" w:rsidRPr="001406C7" w:rsidRDefault="00EF167C" w:rsidP="00EF167C">
            <w:pPr>
              <w:jc w:val="center"/>
              <w:rPr>
                <w:iCs/>
                <w:sz w:val="16"/>
                <w:lang w:val="pt-PT"/>
              </w:rPr>
            </w:pPr>
            <w:r>
              <w:rPr>
                <w:iCs/>
                <w:sz w:val="16"/>
                <w:lang w:val="pt-PT"/>
              </w:rPr>
              <w:t>1</w:t>
            </w:r>
            <w:r w:rsidR="00ED18FE">
              <w:rPr>
                <w:iCs/>
                <w:sz w:val="16"/>
                <w:lang w:val="pt-PT"/>
              </w:rPr>
              <w:t>19</w:t>
            </w:r>
            <w:bookmarkStart w:id="1" w:name="_GoBack"/>
            <w:bookmarkEnd w:id="1"/>
            <w:r>
              <w:rPr>
                <w:iCs/>
                <w:sz w:val="16"/>
                <w:lang w:val="pt-PT"/>
              </w:rPr>
              <w:t>.000</w:t>
            </w:r>
          </w:p>
        </w:tc>
      </w:tr>
      <w:tr w:rsidR="00EF167C" w:rsidRPr="00F547E2" w14:paraId="059C7BE0" w14:textId="77777777" w:rsidTr="008F0D86">
        <w:trPr>
          <w:cantSplit/>
          <w:trHeight w:val="854"/>
          <w:jc w:val="center"/>
        </w:trPr>
        <w:tc>
          <w:tcPr>
            <w:tcW w:w="661" w:type="pct"/>
            <w:vMerge/>
            <w:shd w:val="clear" w:color="auto" w:fill="auto"/>
          </w:tcPr>
          <w:p w14:paraId="0B016445" w14:textId="77777777" w:rsidR="00EF167C" w:rsidRPr="00F547E2" w:rsidRDefault="00EF167C" w:rsidP="00EF167C"/>
        </w:tc>
        <w:tc>
          <w:tcPr>
            <w:tcW w:w="990" w:type="pct"/>
            <w:vMerge/>
            <w:vAlign w:val="center"/>
          </w:tcPr>
          <w:p w14:paraId="4F7051A7" w14:textId="77777777" w:rsidR="00EF167C" w:rsidRDefault="00EF167C" w:rsidP="00EF167C">
            <w:pPr>
              <w:spacing w:after="0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2F9626A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FFFFF" w:themeFill="background1"/>
            <w:vAlign w:val="center"/>
          </w:tcPr>
          <w:p w14:paraId="544141D1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6686C970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5BEAB7B6" w14:textId="77777777" w:rsidR="00EF167C" w:rsidRPr="00F547E2" w:rsidRDefault="00EF167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FFFFF" w:themeFill="background1"/>
          </w:tcPr>
          <w:p w14:paraId="56969BC8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</w:tcPr>
          <w:p w14:paraId="6AE31940" w14:textId="77777777" w:rsidR="00EF167C" w:rsidRPr="00F547E2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10CA0E6A" w14:textId="3297A4F1" w:rsidR="0037474A" w:rsidRPr="00BB25B0" w:rsidRDefault="00EF167C" w:rsidP="0037474A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 WOMEN</w:t>
            </w:r>
            <w:r w:rsidR="0037474A">
              <w:rPr>
                <w:iCs/>
                <w:sz w:val="16"/>
                <w:lang w:val="en-US"/>
              </w:rPr>
              <w:t>/</w:t>
            </w:r>
            <w:r w:rsidR="0037474A" w:rsidRPr="00BB25B0">
              <w:rPr>
                <w:iCs/>
                <w:sz w:val="16"/>
                <w:lang w:val="en-US"/>
              </w:rPr>
              <w:t xml:space="preserve"> GENDER UNIT/UNIOGBIS</w:t>
            </w:r>
          </w:p>
          <w:p w14:paraId="254CA509" w14:textId="7B1286CB" w:rsidR="00EF167C" w:rsidRDefault="00EF167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279" w:type="pct"/>
          </w:tcPr>
          <w:p w14:paraId="08641C9F" w14:textId="77777777" w:rsidR="00EF167C" w:rsidRDefault="00EF167C" w:rsidP="00EF167C">
            <w:pPr>
              <w:rPr>
                <w:iCs/>
                <w:sz w:val="16"/>
                <w:lang w:val="en-US"/>
              </w:rPr>
            </w:pPr>
            <w:r w:rsidRPr="00F04C7B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6E5944DB" w14:textId="18CED550" w:rsidR="00475B72" w:rsidRDefault="00F33747" w:rsidP="0054752B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- </w:t>
            </w:r>
            <w:r w:rsidR="0077374D">
              <w:rPr>
                <w:iCs/>
                <w:sz w:val="16"/>
                <w:lang w:val="en-US"/>
              </w:rPr>
              <w:t>Technical Assistance to f</w:t>
            </w:r>
            <w:r w:rsidR="00081498">
              <w:rPr>
                <w:iCs/>
                <w:sz w:val="16"/>
                <w:lang w:val="en-US"/>
              </w:rPr>
              <w:t>o</w:t>
            </w:r>
            <w:r w:rsidR="0077374D">
              <w:rPr>
                <w:iCs/>
                <w:sz w:val="16"/>
                <w:lang w:val="en-US"/>
              </w:rPr>
              <w:t>rmalize</w:t>
            </w:r>
            <w:r w:rsidR="0054752B" w:rsidRPr="0054752B">
              <w:rPr>
                <w:iCs/>
                <w:sz w:val="16"/>
                <w:lang w:val="en-US"/>
              </w:rPr>
              <w:t xml:space="preserve"> a national Advisory Group of Civil Society Organization’s </w:t>
            </w:r>
            <w:r w:rsidR="00925433">
              <w:rPr>
                <w:iCs/>
                <w:sz w:val="16"/>
                <w:lang w:val="en-US"/>
              </w:rPr>
              <w:t xml:space="preserve">to better </w:t>
            </w:r>
            <w:r w:rsidR="009C3196">
              <w:rPr>
                <w:iCs/>
                <w:sz w:val="16"/>
                <w:lang w:val="en-US"/>
              </w:rPr>
              <w:t xml:space="preserve">assist and support </w:t>
            </w:r>
            <w:r w:rsidR="00925433">
              <w:rPr>
                <w:iCs/>
                <w:sz w:val="16"/>
                <w:lang w:val="en-US"/>
              </w:rPr>
              <w:t xml:space="preserve">victims </w:t>
            </w:r>
            <w:r w:rsidR="00475B72">
              <w:rPr>
                <w:iCs/>
                <w:sz w:val="16"/>
                <w:lang w:val="en-US"/>
              </w:rPr>
              <w:t>(Service Contract</w:t>
            </w:r>
            <w:r w:rsidR="009C3196">
              <w:rPr>
                <w:iCs/>
                <w:sz w:val="16"/>
                <w:lang w:val="en-US"/>
              </w:rPr>
              <w:t xml:space="preserve"> and workshop (</w:t>
            </w:r>
            <w:r w:rsidR="009C3196" w:rsidRPr="0054752B">
              <w:rPr>
                <w:iCs/>
                <w:sz w:val="16"/>
                <w:lang w:val="en-US"/>
              </w:rPr>
              <w:t xml:space="preserve">room, communication, cocktail, </w:t>
            </w:r>
            <w:r w:rsidR="009C3196">
              <w:rPr>
                <w:iCs/>
                <w:sz w:val="16"/>
                <w:lang w:val="en-US"/>
              </w:rPr>
              <w:t>etc.</w:t>
            </w:r>
            <w:r w:rsidR="00475B72">
              <w:rPr>
                <w:iCs/>
                <w:sz w:val="16"/>
                <w:lang w:val="en-US"/>
              </w:rPr>
              <w:t>);</w:t>
            </w:r>
          </w:p>
          <w:p w14:paraId="03AAA4C8" w14:textId="0DD39200" w:rsidR="001D3B39" w:rsidRDefault="004B5FD8" w:rsidP="0054752B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Organ</w:t>
            </w:r>
            <w:r w:rsidR="00081498">
              <w:rPr>
                <w:iCs/>
                <w:sz w:val="16"/>
                <w:lang w:val="en-US"/>
              </w:rPr>
              <w:t>ization of</w:t>
            </w:r>
            <w:r w:rsidR="00A85113">
              <w:rPr>
                <w:iCs/>
                <w:sz w:val="16"/>
                <w:lang w:val="en-US"/>
              </w:rPr>
              <w:t xml:space="preserve"> </w:t>
            </w:r>
            <w:r w:rsidR="000E14E2">
              <w:rPr>
                <w:iCs/>
                <w:sz w:val="16"/>
                <w:lang w:val="en-US"/>
              </w:rPr>
              <w:t xml:space="preserve">a </w:t>
            </w:r>
            <w:r w:rsidR="00A85113">
              <w:rPr>
                <w:iCs/>
                <w:sz w:val="16"/>
                <w:lang w:val="en-US"/>
              </w:rPr>
              <w:t>r</w:t>
            </w:r>
            <w:r w:rsidR="0054752B" w:rsidRPr="0054752B">
              <w:rPr>
                <w:iCs/>
                <w:sz w:val="16"/>
                <w:lang w:val="en-US"/>
              </w:rPr>
              <w:t xml:space="preserve">egional open day on women, youth, </w:t>
            </w:r>
            <w:r w:rsidR="00A85113">
              <w:rPr>
                <w:iCs/>
                <w:sz w:val="16"/>
                <w:lang w:val="en-US"/>
              </w:rPr>
              <w:t>peace and security (UNSCR 1325) – (</w:t>
            </w:r>
            <w:r w:rsidR="000E14E2">
              <w:rPr>
                <w:iCs/>
                <w:sz w:val="16"/>
                <w:lang w:val="en-US"/>
              </w:rPr>
              <w:t>DSA,</w:t>
            </w:r>
            <w:r w:rsidR="0054752B" w:rsidRPr="0054752B">
              <w:rPr>
                <w:iCs/>
                <w:sz w:val="16"/>
                <w:lang w:val="en-US"/>
              </w:rPr>
              <w:t xml:space="preserve"> </w:t>
            </w:r>
            <w:r w:rsidR="000E14E2">
              <w:rPr>
                <w:iCs/>
                <w:sz w:val="16"/>
                <w:lang w:val="en-US"/>
              </w:rPr>
              <w:t xml:space="preserve">room, coffee-break, </w:t>
            </w:r>
            <w:r w:rsidR="0054752B" w:rsidRPr="0054752B">
              <w:rPr>
                <w:iCs/>
                <w:sz w:val="16"/>
                <w:lang w:val="en-US"/>
              </w:rPr>
              <w:t>lunch, materials</w:t>
            </w:r>
            <w:r w:rsidR="000E14E2">
              <w:rPr>
                <w:iCs/>
                <w:sz w:val="16"/>
                <w:lang w:val="en-US"/>
              </w:rPr>
              <w:t>, communication,</w:t>
            </w:r>
            <w:r w:rsidR="0054752B" w:rsidRPr="0054752B">
              <w:rPr>
                <w:iCs/>
                <w:sz w:val="16"/>
                <w:lang w:val="en-US"/>
              </w:rPr>
              <w:t xml:space="preserve"> technical assistance in support to the event organization</w:t>
            </w:r>
            <w:r w:rsidR="000E14E2">
              <w:rPr>
                <w:iCs/>
                <w:sz w:val="16"/>
                <w:lang w:val="en-US"/>
              </w:rPr>
              <w:t>, etc.)</w:t>
            </w:r>
            <w:r w:rsidR="00DA326F">
              <w:rPr>
                <w:iCs/>
                <w:sz w:val="16"/>
                <w:lang w:val="en-US"/>
              </w:rPr>
              <w:t>.</w:t>
            </w:r>
          </w:p>
        </w:tc>
        <w:tc>
          <w:tcPr>
            <w:tcW w:w="463" w:type="pct"/>
            <w:vMerge/>
          </w:tcPr>
          <w:p w14:paraId="448035CB" w14:textId="77777777" w:rsidR="00EF167C" w:rsidRPr="00245461" w:rsidRDefault="00EF167C" w:rsidP="00EF167C">
            <w:pPr>
              <w:rPr>
                <w:iCs/>
                <w:sz w:val="16"/>
                <w:lang w:val="en-US"/>
              </w:rPr>
            </w:pPr>
          </w:p>
        </w:tc>
      </w:tr>
      <w:tr w:rsidR="00E712BC" w:rsidRPr="00F547E2" w14:paraId="2C9F092B" w14:textId="77777777" w:rsidTr="00CF7C01">
        <w:trPr>
          <w:cantSplit/>
          <w:trHeight w:val="447"/>
          <w:jc w:val="center"/>
        </w:trPr>
        <w:tc>
          <w:tcPr>
            <w:tcW w:w="661" w:type="pct"/>
            <w:vMerge w:val="restart"/>
          </w:tcPr>
          <w:p w14:paraId="5F48ECA8" w14:textId="77777777" w:rsidR="00E712BC" w:rsidRDefault="00E712BC" w:rsidP="00EF167C">
            <w:pPr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  <w:r w:rsidRPr="001700DE"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OP. Result 1.3 (sensitization and training of beneficiaries</w:t>
            </w:r>
            <w:r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; access to justice</w:t>
            </w:r>
            <w:r w:rsidRPr="001700DE">
              <w:rPr>
                <w:b/>
                <w:color w:val="000000"/>
                <w:spacing w:val="-9"/>
                <w:sz w:val="18"/>
                <w:szCs w:val="18"/>
                <w:lang w:val="en-US"/>
              </w:rPr>
              <w:t>):</w:t>
            </w:r>
            <w:r w:rsidRPr="00940AF6">
              <w:rPr>
                <w:color w:val="000000"/>
                <w:spacing w:val="-9"/>
                <w:sz w:val="18"/>
                <w:szCs w:val="18"/>
                <w:lang w:val="en-US"/>
              </w:rPr>
              <w:t xml:space="preserve"> Women are more conscious of their </w:t>
            </w:r>
            <w:r w:rsidRPr="00940AF6">
              <w:rPr>
                <w:color w:val="000000"/>
                <w:spacing w:val="-9"/>
                <w:sz w:val="18"/>
                <w:szCs w:val="18"/>
                <w:lang w:val="en-US"/>
              </w:rPr>
              <w:lastRenderedPageBreak/>
              <w:t>human rights and have better access to justice services, improving their contribution to peace and security consolidation.</w:t>
            </w:r>
          </w:p>
          <w:p w14:paraId="0BABD049" w14:textId="77777777" w:rsidR="00E712BC" w:rsidRDefault="00E712BC" w:rsidP="00EF167C">
            <w:pPr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</w:p>
          <w:p w14:paraId="59623F88" w14:textId="77777777" w:rsidR="00E712BC" w:rsidRPr="00940AF6" w:rsidRDefault="00E712BC" w:rsidP="00EF167C">
            <w:pPr>
              <w:jc w:val="left"/>
              <w:rPr>
                <w:color w:val="000000"/>
                <w:spacing w:val="-9"/>
                <w:sz w:val="18"/>
                <w:szCs w:val="18"/>
                <w:lang w:val="en-US"/>
              </w:rPr>
            </w:pPr>
            <w:r>
              <w:rPr>
                <w:color w:val="000000"/>
                <w:spacing w:val="-9"/>
                <w:sz w:val="18"/>
                <w:szCs w:val="18"/>
                <w:lang w:val="en-US"/>
              </w:rPr>
              <w:t>Target 1500 beneficiaries (of which 900 women and girls (from all regions)</w:t>
            </w:r>
          </w:p>
        </w:tc>
        <w:tc>
          <w:tcPr>
            <w:tcW w:w="990" w:type="pct"/>
            <w:vAlign w:val="center"/>
          </w:tcPr>
          <w:p w14:paraId="292C3B65" w14:textId="77777777" w:rsidR="00E712BC" w:rsidRDefault="00E712BC" w:rsidP="00EF167C">
            <w:pPr>
              <w:spacing w:after="0"/>
              <w:jc w:val="left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lastRenderedPageBreak/>
              <w:t xml:space="preserve">1.3.1: </w:t>
            </w:r>
            <w:r w:rsidRPr="00F34D7A">
              <w:rPr>
                <w:iCs/>
                <w:sz w:val="16"/>
                <w:lang w:val="en-US"/>
              </w:rPr>
              <w:t>Build awareness and strengthen women’s knowledge on their human rights and roles/importance for peace and security consolidation through trainings and Media campaigns;</w:t>
            </w:r>
          </w:p>
          <w:p w14:paraId="20EF5641" w14:textId="77777777" w:rsidR="00E712BC" w:rsidRPr="00F547E2" w:rsidRDefault="00E712BC" w:rsidP="00EF167C">
            <w:pPr>
              <w:spacing w:after="0"/>
              <w:jc w:val="left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8CCB6CF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008DE9B6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5F4B9BAB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729FE3EF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7AF833F1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shd w:val="clear" w:color="auto" w:fill="F4B083" w:themeFill="accent2" w:themeFillTint="99"/>
          </w:tcPr>
          <w:p w14:paraId="1EEDA8F4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1E774A9F" w14:textId="77777777" w:rsidR="00E712BC" w:rsidRPr="00BB25B0" w:rsidRDefault="00E712BC" w:rsidP="00EF167C">
            <w:pPr>
              <w:rPr>
                <w:iCs/>
                <w:sz w:val="16"/>
                <w:lang w:val="en-US"/>
              </w:rPr>
            </w:pPr>
            <w:r w:rsidRPr="00BB25B0">
              <w:rPr>
                <w:iCs/>
                <w:sz w:val="16"/>
                <w:lang w:val="en-US"/>
              </w:rPr>
              <w:t>GENDER UNIT/UNIOGBIS</w:t>
            </w:r>
          </w:p>
          <w:p w14:paraId="61766F28" w14:textId="77777777" w:rsidR="00E712BC" w:rsidRPr="00BB25B0" w:rsidRDefault="00E712BC" w:rsidP="00EF167C">
            <w:pPr>
              <w:rPr>
                <w:iCs/>
                <w:sz w:val="16"/>
                <w:lang w:val="en-US"/>
              </w:rPr>
            </w:pPr>
          </w:p>
          <w:p w14:paraId="1793309E" w14:textId="77777777" w:rsidR="00E712BC" w:rsidRPr="00BB25B0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279" w:type="pct"/>
          </w:tcPr>
          <w:p w14:paraId="04BCE422" w14:textId="77777777" w:rsidR="00E712BC" w:rsidRPr="00BB25B0" w:rsidRDefault="00E712BC" w:rsidP="00EF167C">
            <w:r w:rsidRPr="00BB25B0"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5D88B1CF" w14:textId="77777777" w:rsidR="00E712BC" w:rsidRPr="00BB25B0" w:rsidRDefault="00E712BC" w:rsidP="00245461">
            <w:pPr>
              <w:spacing w:after="0"/>
              <w:rPr>
                <w:iCs/>
                <w:sz w:val="16"/>
                <w:lang w:val="en-US"/>
              </w:rPr>
            </w:pPr>
            <w:r w:rsidRPr="00BB25B0">
              <w:rPr>
                <w:iCs/>
                <w:sz w:val="16"/>
                <w:lang w:val="en-US"/>
              </w:rPr>
              <w:t>- Technical Assistance (1 international consultant) to support awareness campaigns on women’s human rights and their role in peace processes in 9 regions (service contract);</w:t>
            </w:r>
          </w:p>
          <w:p w14:paraId="7276783E" w14:textId="77777777" w:rsidR="009375CA" w:rsidRPr="00BB25B0" w:rsidRDefault="00E712BC" w:rsidP="00245461">
            <w:pPr>
              <w:spacing w:after="0"/>
              <w:rPr>
                <w:iCs/>
                <w:sz w:val="16"/>
                <w:lang w:val="en-US"/>
              </w:rPr>
            </w:pPr>
            <w:r w:rsidRPr="00BB25B0">
              <w:rPr>
                <w:iCs/>
                <w:sz w:val="16"/>
                <w:lang w:val="en-US"/>
              </w:rPr>
              <w:t>- Technical Assistance (1 international consultant) to provide 27 training sessions in 9 regions (service contract);</w:t>
            </w:r>
          </w:p>
          <w:p w14:paraId="6948D415" w14:textId="038723D6" w:rsidR="00E712BC" w:rsidRPr="00BB25B0" w:rsidRDefault="00E712BC" w:rsidP="00245461">
            <w:pPr>
              <w:spacing w:after="0"/>
              <w:rPr>
                <w:iCs/>
                <w:sz w:val="16"/>
              </w:rPr>
            </w:pPr>
            <w:r w:rsidRPr="00BB25B0">
              <w:rPr>
                <w:iCs/>
                <w:sz w:val="16"/>
              </w:rPr>
              <w:lastRenderedPageBreak/>
              <w:t>- Micro-Grants with 10 regional NGOs/ CSOs facilitators (Micro-Grant).</w:t>
            </w:r>
          </w:p>
        </w:tc>
        <w:tc>
          <w:tcPr>
            <w:tcW w:w="463" w:type="pct"/>
          </w:tcPr>
          <w:p w14:paraId="29FD2B68" w14:textId="77777777" w:rsidR="00E712BC" w:rsidRPr="00CF7C01" w:rsidRDefault="00E712BC" w:rsidP="00EF167C">
            <w:pPr>
              <w:rPr>
                <w:iCs/>
                <w:sz w:val="16"/>
                <w:lang w:val="en-US"/>
              </w:rPr>
            </w:pPr>
          </w:p>
          <w:p w14:paraId="7076FF55" w14:textId="77777777" w:rsidR="00E712BC" w:rsidRPr="00CF7C01" w:rsidRDefault="00E712B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202E55D1" w14:textId="22CDE69F" w:rsidR="00E712BC" w:rsidRPr="00F34D7A" w:rsidRDefault="00E712BC" w:rsidP="00EF167C">
            <w:pPr>
              <w:jc w:val="center"/>
              <w:rPr>
                <w:iCs/>
                <w:sz w:val="16"/>
                <w:lang w:val="pt-PT"/>
              </w:rPr>
            </w:pPr>
            <w:r>
              <w:rPr>
                <w:iCs/>
                <w:sz w:val="16"/>
                <w:lang w:val="pt-PT"/>
              </w:rPr>
              <w:t>13</w:t>
            </w:r>
            <w:r w:rsidR="0037474A">
              <w:rPr>
                <w:iCs/>
                <w:sz w:val="16"/>
                <w:lang w:val="pt-PT"/>
              </w:rPr>
              <w:t>0</w:t>
            </w:r>
            <w:r>
              <w:rPr>
                <w:iCs/>
                <w:sz w:val="16"/>
                <w:lang w:val="pt-PT"/>
              </w:rPr>
              <w:t>.000</w:t>
            </w:r>
          </w:p>
        </w:tc>
      </w:tr>
      <w:tr w:rsidR="00E712BC" w:rsidRPr="00F547E2" w14:paraId="023EEA2B" w14:textId="77777777" w:rsidTr="00860C30">
        <w:trPr>
          <w:cantSplit/>
          <w:trHeight w:val="800"/>
          <w:jc w:val="center"/>
        </w:trPr>
        <w:tc>
          <w:tcPr>
            <w:tcW w:w="661" w:type="pct"/>
            <w:vMerge/>
          </w:tcPr>
          <w:p w14:paraId="08593C81" w14:textId="77777777" w:rsidR="00E712BC" w:rsidRPr="00940AF6" w:rsidRDefault="00E712BC" w:rsidP="00EF167C">
            <w:pPr>
              <w:jc w:val="left"/>
              <w:rPr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14:paraId="6CFDA01B" w14:textId="7EEBDF07" w:rsidR="00E712BC" w:rsidRPr="00F547E2" w:rsidRDefault="00E712BC" w:rsidP="00EF167C">
            <w:pPr>
              <w:spacing w:after="0"/>
              <w:jc w:val="left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1.3.2: </w:t>
            </w:r>
            <w:r w:rsidRPr="00F34D7A">
              <w:rPr>
                <w:iCs/>
                <w:sz w:val="16"/>
                <w:lang w:val="en-US"/>
              </w:rPr>
              <w:t>Provide access to free legal aid and judicial assistance to support vulnerable women on the resolution of conflicts;</w:t>
            </w: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58F42FD5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2ADBDA51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4F532A65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448E3DC8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1FE4FA60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shd w:val="clear" w:color="auto" w:fill="F4B083" w:themeFill="accent2" w:themeFillTint="99"/>
          </w:tcPr>
          <w:p w14:paraId="2E65EAC0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16EB923B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</w:p>
        </w:tc>
        <w:tc>
          <w:tcPr>
            <w:tcW w:w="279" w:type="pct"/>
          </w:tcPr>
          <w:p w14:paraId="6655AA09" w14:textId="77777777" w:rsidR="00E712BC" w:rsidRPr="00F547E2" w:rsidRDefault="00E712BC" w:rsidP="00EF167C"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7F691BD8" w14:textId="77777777" w:rsidR="00E712BC" w:rsidRDefault="00E712B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Micro-Grant with the Bissau-Guinean Bar Association (OAG) and GICJU/CAJ (through a Micro-Grant);</w:t>
            </w:r>
          </w:p>
          <w:p w14:paraId="7E5E21FB" w14:textId="77777777" w:rsidR="00E712BC" w:rsidRPr="00F547E2" w:rsidRDefault="00E712B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Micro-Grants with CSO ensuring women’s access to justice (micro-grants).</w:t>
            </w:r>
          </w:p>
        </w:tc>
        <w:tc>
          <w:tcPr>
            <w:tcW w:w="463" w:type="pct"/>
          </w:tcPr>
          <w:p w14:paraId="7C4A8567" w14:textId="77777777" w:rsidR="00E712BC" w:rsidRPr="00CD677D" w:rsidRDefault="00E712BC" w:rsidP="00EF167C">
            <w:pPr>
              <w:jc w:val="center"/>
              <w:rPr>
                <w:iCs/>
                <w:sz w:val="16"/>
                <w:lang w:val="en-US"/>
              </w:rPr>
            </w:pPr>
          </w:p>
          <w:p w14:paraId="51ECBDEC" w14:textId="77777777" w:rsidR="00E712BC" w:rsidRPr="00C13D28" w:rsidRDefault="00E712BC" w:rsidP="00EF167C">
            <w:pPr>
              <w:jc w:val="center"/>
              <w:rPr>
                <w:iCs/>
                <w:sz w:val="16"/>
                <w:lang w:val="pt-PT"/>
              </w:rPr>
            </w:pPr>
            <w:r>
              <w:rPr>
                <w:iCs/>
                <w:sz w:val="16"/>
                <w:lang w:val="pt-PT"/>
              </w:rPr>
              <w:t>90.000</w:t>
            </w:r>
          </w:p>
        </w:tc>
      </w:tr>
      <w:tr w:rsidR="00E712BC" w:rsidRPr="00F547E2" w14:paraId="7E18DF79" w14:textId="77777777" w:rsidTr="00474D7E">
        <w:trPr>
          <w:cantSplit/>
          <w:trHeight w:val="348"/>
          <w:jc w:val="center"/>
        </w:trPr>
        <w:tc>
          <w:tcPr>
            <w:tcW w:w="661" w:type="pct"/>
            <w:vMerge/>
          </w:tcPr>
          <w:p w14:paraId="42AA2885" w14:textId="77777777" w:rsidR="00E712BC" w:rsidRPr="00940AF6" w:rsidRDefault="00E712BC" w:rsidP="00EF167C">
            <w:pPr>
              <w:jc w:val="left"/>
              <w:rPr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990" w:type="pct"/>
            <w:vAlign w:val="center"/>
          </w:tcPr>
          <w:p w14:paraId="14E1594D" w14:textId="77777777" w:rsidR="00E712BC" w:rsidRDefault="00E712BC" w:rsidP="00EF167C">
            <w:pPr>
              <w:spacing w:after="0"/>
              <w:jc w:val="left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 xml:space="preserve">1.3.3: </w:t>
            </w:r>
            <w:r w:rsidRPr="00C13D28">
              <w:rPr>
                <w:iCs/>
                <w:sz w:val="16"/>
                <w:lang w:val="en-US"/>
              </w:rPr>
              <w:t>Monitor the quality of services provided to women and their impact on human rights' protection, conflict prevention/resolution and peacebuilding.</w:t>
            </w:r>
          </w:p>
          <w:p w14:paraId="242BA76E" w14:textId="77777777" w:rsidR="00E712BC" w:rsidRPr="00F547E2" w:rsidRDefault="00E712BC" w:rsidP="00EF167C">
            <w:pPr>
              <w:spacing w:after="0"/>
              <w:jc w:val="left"/>
              <w:rPr>
                <w:iCs/>
                <w:sz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39C2F33D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  <w:vAlign w:val="center"/>
          </w:tcPr>
          <w:p w14:paraId="06FA418E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5" w:type="pct"/>
            <w:shd w:val="clear" w:color="auto" w:fill="F4B083" w:themeFill="accent2" w:themeFillTint="99"/>
            <w:vAlign w:val="center"/>
          </w:tcPr>
          <w:p w14:paraId="49B1A89F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gridSpan w:val="2"/>
            <w:shd w:val="clear" w:color="auto" w:fill="F4B083" w:themeFill="accent2" w:themeFillTint="99"/>
            <w:vAlign w:val="center"/>
          </w:tcPr>
          <w:p w14:paraId="3F9EB2E7" w14:textId="77777777" w:rsidR="00E712BC" w:rsidRPr="00F547E2" w:rsidRDefault="00E712BC" w:rsidP="00EF167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shd w:val="clear" w:color="auto" w:fill="F4B083" w:themeFill="accent2" w:themeFillTint="99"/>
          </w:tcPr>
          <w:p w14:paraId="46422B46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110" w:type="pct"/>
            <w:shd w:val="clear" w:color="auto" w:fill="F4B083" w:themeFill="accent2" w:themeFillTint="99"/>
          </w:tcPr>
          <w:p w14:paraId="7382F0B9" w14:textId="77777777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</w:p>
        </w:tc>
        <w:tc>
          <w:tcPr>
            <w:tcW w:w="496" w:type="pct"/>
          </w:tcPr>
          <w:p w14:paraId="0159D050" w14:textId="2EFC53F9" w:rsidR="00E712BC" w:rsidRPr="00F547E2" w:rsidRDefault="00E712BC" w:rsidP="00EF167C">
            <w:pPr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UNDP</w:t>
            </w:r>
            <w:r w:rsidR="00D855FB">
              <w:rPr>
                <w:iCs/>
                <w:sz w:val="16"/>
                <w:lang w:val="en-US"/>
              </w:rPr>
              <w:t>/ UN WOMEN</w:t>
            </w:r>
          </w:p>
        </w:tc>
        <w:tc>
          <w:tcPr>
            <w:tcW w:w="279" w:type="pct"/>
          </w:tcPr>
          <w:p w14:paraId="6D993E23" w14:textId="77777777" w:rsidR="00E712BC" w:rsidRPr="00F547E2" w:rsidRDefault="00E712BC" w:rsidP="00EF167C">
            <w:r>
              <w:rPr>
                <w:iCs/>
                <w:sz w:val="16"/>
                <w:lang w:val="en-US"/>
              </w:rPr>
              <w:t>PBF</w:t>
            </w:r>
          </w:p>
        </w:tc>
        <w:tc>
          <w:tcPr>
            <w:tcW w:w="1480" w:type="pct"/>
          </w:tcPr>
          <w:p w14:paraId="2AF1C3F2" w14:textId="77777777" w:rsidR="00E712BC" w:rsidRDefault="00E712B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Recruitment of 1 expert (international consultant) to design the M&amp;E system (service contract);</w:t>
            </w:r>
          </w:p>
          <w:p w14:paraId="10B2BB80" w14:textId="1DF56A28" w:rsidR="00D855FB" w:rsidRDefault="00E712BC" w:rsidP="00EF167C">
            <w:pPr>
              <w:spacing w:after="0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- Development of research products and M&amp;E publications and field visits</w:t>
            </w:r>
            <w:r w:rsidR="001774AE">
              <w:rPr>
                <w:iCs/>
                <w:sz w:val="16"/>
                <w:lang w:val="en-US"/>
              </w:rPr>
              <w:t xml:space="preserve"> to</w:t>
            </w:r>
            <w:r>
              <w:rPr>
                <w:iCs/>
                <w:sz w:val="16"/>
                <w:lang w:val="en-US"/>
              </w:rPr>
              <w:t xml:space="preserve"> </w:t>
            </w:r>
            <w:r w:rsidR="001774AE">
              <w:rPr>
                <w:iCs/>
                <w:sz w:val="16"/>
                <w:lang w:val="en-US"/>
              </w:rPr>
              <w:t>assess</w:t>
            </w:r>
            <w:r w:rsidR="001774AE" w:rsidRPr="00BE2D12">
              <w:rPr>
                <w:iCs/>
                <w:sz w:val="16"/>
                <w:lang w:val="en-US"/>
              </w:rPr>
              <w:t xml:space="preserve"> the quality of service</w:t>
            </w:r>
            <w:r w:rsidR="001774AE">
              <w:rPr>
                <w:iCs/>
                <w:sz w:val="16"/>
                <w:lang w:val="en-US"/>
              </w:rPr>
              <w:t>s</w:t>
            </w:r>
            <w:r w:rsidR="001774AE" w:rsidRPr="00BE2D12">
              <w:rPr>
                <w:iCs/>
                <w:sz w:val="16"/>
                <w:lang w:val="en-US"/>
              </w:rPr>
              <w:t xml:space="preserve"> provided to women </w:t>
            </w:r>
            <w:r w:rsidR="001774AE" w:rsidRPr="001774AE">
              <w:rPr>
                <w:iCs/>
                <w:sz w:val="16"/>
                <w:lang w:val="en-US"/>
              </w:rPr>
              <w:t xml:space="preserve">and their impact on human rights' protection </w:t>
            </w:r>
            <w:r>
              <w:rPr>
                <w:iCs/>
                <w:sz w:val="16"/>
                <w:lang w:val="en-US"/>
              </w:rPr>
              <w:t>(grant with 1 CSO)</w:t>
            </w:r>
            <w:r w:rsidR="000A5304">
              <w:rPr>
                <w:iCs/>
                <w:sz w:val="16"/>
                <w:lang w:val="en-US"/>
              </w:rPr>
              <w:t>;</w:t>
            </w:r>
          </w:p>
          <w:p w14:paraId="17F6EA44" w14:textId="501515FC" w:rsidR="00E712BC" w:rsidRPr="00F547E2" w:rsidRDefault="00E712BC" w:rsidP="00EF167C">
            <w:pPr>
              <w:spacing w:after="0"/>
              <w:rPr>
                <w:iCs/>
                <w:sz w:val="16"/>
                <w:lang w:val="en-US"/>
              </w:rPr>
            </w:pPr>
          </w:p>
        </w:tc>
        <w:tc>
          <w:tcPr>
            <w:tcW w:w="463" w:type="pct"/>
          </w:tcPr>
          <w:p w14:paraId="7685F3E3" w14:textId="77777777" w:rsidR="00E712BC" w:rsidRDefault="00E712BC" w:rsidP="00EF167C">
            <w:pPr>
              <w:tabs>
                <w:tab w:val="left" w:pos="639"/>
              </w:tabs>
              <w:rPr>
                <w:iCs/>
                <w:sz w:val="16"/>
                <w:lang w:val="en-US"/>
              </w:rPr>
            </w:pPr>
          </w:p>
          <w:p w14:paraId="0BEA4CB8" w14:textId="77777777" w:rsidR="00E712BC" w:rsidRDefault="00E712BC" w:rsidP="00EF167C">
            <w:pPr>
              <w:tabs>
                <w:tab w:val="left" w:pos="639"/>
              </w:tabs>
              <w:rPr>
                <w:iCs/>
                <w:sz w:val="16"/>
                <w:lang w:val="en-US"/>
              </w:rPr>
            </w:pPr>
          </w:p>
          <w:p w14:paraId="368DEF0F" w14:textId="77777777" w:rsidR="00E712BC" w:rsidRPr="00F547E2" w:rsidRDefault="00E712BC" w:rsidP="00EF167C">
            <w:pPr>
              <w:tabs>
                <w:tab w:val="left" w:pos="639"/>
              </w:tabs>
              <w:jc w:val="center"/>
              <w:rPr>
                <w:iCs/>
                <w:sz w:val="16"/>
                <w:lang w:val="en-US"/>
              </w:rPr>
            </w:pPr>
            <w:r>
              <w:rPr>
                <w:iCs/>
                <w:sz w:val="16"/>
                <w:lang w:val="en-US"/>
              </w:rPr>
              <w:t>40.000</w:t>
            </w:r>
          </w:p>
        </w:tc>
      </w:tr>
    </w:tbl>
    <w:p w14:paraId="5205F9BF" w14:textId="77777777" w:rsidR="00B75377" w:rsidRPr="00A00F5A" w:rsidRDefault="00B75377"/>
    <w:sectPr w:rsidR="00B75377" w:rsidRPr="00A00F5A" w:rsidSect="00042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960"/>
    <w:multiLevelType w:val="hybridMultilevel"/>
    <w:tmpl w:val="26A843FE"/>
    <w:lvl w:ilvl="0" w:tplc="5BFE8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157F1"/>
    <w:multiLevelType w:val="hybridMultilevel"/>
    <w:tmpl w:val="99A4D2AA"/>
    <w:lvl w:ilvl="0" w:tplc="E0966D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7B1"/>
    <w:multiLevelType w:val="hybridMultilevel"/>
    <w:tmpl w:val="3AFA1B58"/>
    <w:lvl w:ilvl="0" w:tplc="8B48C6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7E30"/>
    <w:multiLevelType w:val="hybridMultilevel"/>
    <w:tmpl w:val="64D6E0C6"/>
    <w:lvl w:ilvl="0" w:tplc="EE8E6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62C78"/>
    <w:multiLevelType w:val="hybridMultilevel"/>
    <w:tmpl w:val="0176827C"/>
    <w:lvl w:ilvl="0" w:tplc="4A005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87292"/>
    <w:multiLevelType w:val="hybridMultilevel"/>
    <w:tmpl w:val="72D2774A"/>
    <w:lvl w:ilvl="0" w:tplc="82CC3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C44B1"/>
    <w:multiLevelType w:val="hybridMultilevel"/>
    <w:tmpl w:val="A3F6C70C"/>
    <w:lvl w:ilvl="0" w:tplc="A176B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036AF"/>
    <w:multiLevelType w:val="hybridMultilevel"/>
    <w:tmpl w:val="F31C3156"/>
    <w:lvl w:ilvl="0" w:tplc="CEFC4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D"/>
    <w:rsid w:val="00030476"/>
    <w:rsid w:val="0003482A"/>
    <w:rsid w:val="0004299D"/>
    <w:rsid w:val="00081498"/>
    <w:rsid w:val="000862F5"/>
    <w:rsid w:val="00091B86"/>
    <w:rsid w:val="000A4A29"/>
    <w:rsid w:val="000A5304"/>
    <w:rsid w:val="000B2154"/>
    <w:rsid w:val="000C5C02"/>
    <w:rsid w:val="000D040C"/>
    <w:rsid w:val="000D4561"/>
    <w:rsid w:val="000E14E2"/>
    <w:rsid w:val="000F6447"/>
    <w:rsid w:val="001135FC"/>
    <w:rsid w:val="001406C7"/>
    <w:rsid w:val="00142B2F"/>
    <w:rsid w:val="00150B80"/>
    <w:rsid w:val="001634ED"/>
    <w:rsid w:val="001700DE"/>
    <w:rsid w:val="001774AE"/>
    <w:rsid w:val="00185C3A"/>
    <w:rsid w:val="001B0450"/>
    <w:rsid w:val="001D3B39"/>
    <w:rsid w:val="001E6AED"/>
    <w:rsid w:val="001F62B5"/>
    <w:rsid w:val="00201E4D"/>
    <w:rsid w:val="00206287"/>
    <w:rsid w:val="002123E2"/>
    <w:rsid w:val="002177D7"/>
    <w:rsid w:val="00227D6D"/>
    <w:rsid w:val="00245461"/>
    <w:rsid w:val="00245506"/>
    <w:rsid w:val="00267D84"/>
    <w:rsid w:val="00277BC3"/>
    <w:rsid w:val="002805AF"/>
    <w:rsid w:val="002815EC"/>
    <w:rsid w:val="002A1E96"/>
    <w:rsid w:val="002A3D64"/>
    <w:rsid w:val="002D6D0B"/>
    <w:rsid w:val="002F2081"/>
    <w:rsid w:val="003135C3"/>
    <w:rsid w:val="00340329"/>
    <w:rsid w:val="00341470"/>
    <w:rsid w:val="00343E06"/>
    <w:rsid w:val="00351259"/>
    <w:rsid w:val="00353CA0"/>
    <w:rsid w:val="00355C73"/>
    <w:rsid w:val="0037474A"/>
    <w:rsid w:val="003757DC"/>
    <w:rsid w:val="00377544"/>
    <w:rsid w:val="00390481"/>
    <w:rsid w:val="00394130"/>
    <w:rsid w:val="0039418D"/>
    <w:rsid w:val="003A4FB4"/>
    <w:rsid w:val="003D1A1C"/>
    <w:rsid w:val="004102E0"/>
    <w:rsid w:val="00410516"/>
    <w:rsid w:val="0041428D"/>
    <w:rsid w:val="00416ED1"/>
    <w:rsid w:val="004357C7"/>
    <w:rsid w:val="0046245D"/>
    <w:rsid w:val="00474D7E"/>
    <w:rsid w:val="00475B72"/>
    <w:rsid w:val="004856CB"/>
    <w:rsid w:val="00496938"/>
    <w:rsid w:val="004B0204"/>
    <w:rsid w:val="004B5B61"/>
    <w:rsid w:val="004B5FD8"/>
    <w:rsid w:val="004C7693"/>
    <w:rsid w:val="004F01E3"/>
    <w:rsid w:val="00510900"/>
    <w:rsid w:val="00512235"/>
    <w:rsid w:val="00525018"/>
    <w:rsid w:val="00525237"/>
    <w:rsid w:val="00536F06"/>
    <w:rsid w:val="0054752B"/>
    <w:rsid w:val="00592D75"/>
    <w:rsid w:val="00593CBF"/>
    <w:rsid w:val="005964C8"/>
    <w:rsid w:val="00596679"/>
    <w:rsid w:val="005A3588"/>
    <w:rsid w:val="005B727E"/>
    <w:rsid w:val="005E38B9"/>
    <w:rsid w:val="005F2D72"/>
    <w:rsid w:val="005F49F6"/>
    <w:rsid w:val="006030E1"/>
    <w:rsid w:val="00631CF2"/>
    <w:rsid w:val="00653293"/>
    <w:rsid w:val="006606D6"/>
    <w:rsid w:val="00662959"/>
    <w:rsid w:val="006635D9"/>
    <w:rsid w:val="006660D6"/>
    <w:rsid w:val="006666B9"/>
    <w:rsid w:val="0068356A"/>
    <w:rsid w:val="006A2B90"/>
    <w:rsid w:val="006B0377"/>
    <w:rsid w:val="006D130E"/>
    <w:rsid w:val="006E4B5D"/>
    <w:rsid w:val="007044A5"/>
    <w:rsid w:val="00720AF1"/>
    <w:rsid w:val="00727ECD"/>
    <w:rsid w:val="00735E56"/>
    <w:rsid w:val="00744738"/>
    <w:rsid w:val="00766F19"/>
    <w:rsid w:val="0077374D"/>
    <w:rsid w:val="0079391F"/>
    <w:rsid w:val="007D39E8"/>
    <w:rsid w:val="007E7537"/>
    <w:rsid w:val="007F7F4D"/>
    <w:rsid w:val="008122B9"/>
    <w:rsid w:val="00816E3F"/>
    <w:rsid w:val="00817A4D"/>
    <w:rsid w:val="0083635F"/>
    <w:rsid w:val="00840CE9"/>
    <w:rsid w:val="00860210"/>
    <w:rsid w:val="00860C30"/>
    <w:rsid w:val="00875700"/>
    <w:rsid w:val="008777DA"/>
    <w:rsid w:val="00881F05"/>
    <w:rsid w:val="008907FA"/>
    <w:rsid w:val="00897D3A"/>
    <w:rsid w:val="008B51F2"/>
    <w:rsid w:val="008E1F89"/>
    <w:rsid w:val="008E38A2"/>
    <w:rsid w:val="008F0D86"/>
    <w:rsid w:val="008F15AF"/>
    <w:rsid w:val="00925433"/>
    <w:rsid w:val="00934CD0"/>
    <w:rsid w:val="009375CA"/>
    <w:rsid w:val="00951ACC"/>
    <w:rsid w:val="009768EC"/>
    <w:rsid w:val="009C3196"/>
    <w:rsid w:val="009C328E"/>
    <w:rsid w:val="009E0D58"/>
    <w:rsid w:val="009E4C9B"/>
    <w:rsid w:val="009F3282"/>
    <w:rsid w:val="00A00F5A"/>
    <w:rsid w:val="00A0669C"/>
    <w:rsid w:val="00A226F1"/>
    <w:rsid w:val="00A55AA1"/>
    <w:rsid w:val="00A62A10"/>
    <w:rsid w:val="00A72F9D"/>
    <w:rsid w:val="00A752DF"/>
    <w:rsid w:val="00A85113"/>
    <w:rsid w:val="00AA392E"/>
    <w:rsid w:val="00AB2E92"/>
    <w:rsid w:val="00AD631A"/>
    <w:rsid w:val="00AE7FAB"/>
    <w:rsid w:val="00AF50BB"/>
    <w:rsid w:val="00B01006"/>
    <w:rsid w:val="00B1554E"/>
    <w:rsid w:val="00B37539"/>
    <w:rsid w:val="00B5455E"/>
    <w:rsid w:val="00B553C3"/>
    <w:rsid w:val="00B70811"/>
    <w:rsid w:val="00B75377"/>
    <w:rsid w:val="00B96A1D"/>
    <w:rsid w:val="00BA53D4"/>
    <w:rsid w:val="00BB084E"/>
    <w:rsid w:val="00BB25B0"/>
    <w:rsid w:val="00BB53BD"/>
    <w:rsid w:val="00BD3E72"/>
    <w:rsid w:val="00BE2D12"/>
    <w:rsid w:val="00C0005D"/>
    <w:rsid w:val="00C1050D"/>
    <w:rsid w:val="00C13D28"/>
    <w:rsid w:val="00C20A66"/>
    <w:rsid w:val="00C51302"/>
    <w:rsid w:val="00C539E5"/>
    <w:rsid w:val="00C54791"/>
    <w:rsid w:val="00C642CF"/>
    <w:rsid w:val="00C75E0A"/>
    <w:rsid w:val="00C91DCB"/>
    <w:rsid w:val="00CB3133"/>
    <w:rsid w:val="00CB45C4"/>
    <w:rsid w:val="00CB4BF9"/>
    <w:rsid w:val="00CD677D"/>
    <w:rsid w:val="00CF7C01"/>
    <w:rsid w:val="00D160FC"/>
    <w:rsid w:val="00D16FC1"/>
    <w:rsid w:val="00D20C32"/>
    <w:rsid w:val="00D22ADC"/>
    <w:rsid w:val="00D272FA"/>
    <w:rsid w:val="00D334C8"/>
    <w:rsid w:val="00D47F1B"/>
    <w:rsid w:val="00D611F2"/>
    <w:rsid w:val="00D66AAB"/>
    <w:rsid w:val="00D74E92"/>
    <w:rsid w:val="00D80810"/>
    <w:rsid w:val="00D855FB"/>
    <w:rsid w:val="00D94EAA"/>
    <w:rsid w:val="00DA308E"/>
    <w:rsid w:val="00DA326F"/>
    <w:rsid w:val="00DA45AC"/>
    <w:rsid w:val="00DB242A"/>
    <w:rsid w:val="00DB67F5"/>
    <w:rsid w:val="00DB76A9"/>
    <w:rsid w:val="00DD5A30"/>
    <w:rsid w:val="00DE15BD"/>
    <w:rsid w:val="00E51F64"/>
    <w:rsid w:val="00E712BC"/>
    <w:rsid w:val="00EA4962"/>
    <w:rsid w:val="00EA61B8"/>
    <w:rsid w:val="00EC00D1"/>
    <w:rsid w:val="00ED18FE"/>
    <w:rsid w:val="00ED1E26"/>
    <w:rsid w:val="00EF167C"/>
    <w:rsid w:val="00F04C7B"/>
    <w:rsid w:val="00F05A7C"/>
    <w:rsid w:val="00F10486"/>
    <w:rsid w:val="00F25141"/>
    <w:rsid w:val="00F33747"/>
    <w:rsid w:val="00F34D7A"/>
    <w:rsid w:val="00F36B52"/>
    <w:rsid w:val="00F4752A"/>
    <w:rsid w:val="00F5228F"/>
    <w:rsid w:val="00F84A67"/>
    <w:rsid w:val="00FA6A22"/>
    <w:rsid w:val="00FB61CD"/>
    <w:rsid w:val="00FD5272"/>
    <w:rsid w:val="00FD6259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4510"/>
  <w15:chartTrackingRefBased/>
  <w15:docId w15:val="{28B42B2E-B9D6-4E38-B558-3115676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99D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ru-RU"/>
    </w:rPr>
  </w:style>
  <w:style w:type="paragraph" w:styleId="Heading1">
    <w:name w:val="heading 1"/>
    <w:basedOn w:val="Normal"/>
    <w:next w:val="Normal"/>
    <w:link w:val="Heading1Char"/>
    <w:qFormat/>
    <w:rsid w:val="0004299D"/>
    <w:pPr>
      <w:keepNext/>
      <w:numPr>
        <w:numId w:val="1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99D"/>
    <w:rPr>
      <w:rFonts w:ascii="Century Gothic" w:eastAsia="Times New Roman" w:hAnsi="Century Gothic" w:cs="Times New Roman"/>
      <w:b/>
      <w:smallCaps/>
      <w:spacing w:val="-2"/>
      <w:sz w:val="28"/>
      <w:szCs w:val="20"/>
      <w:lang w:val="ru-RU"/>
    </w:rPr>
  </w:style>
  <w:style w:type="paragraph" w:styleId="ListParagraph">
    <w:name w:val="List Paragraph"/>
    <w:aliases w:val="List Paragraph1,Paragraphe de liste1,Numbered paragraph,Paragraphe de liste,List Paragraph (numbered (a)),Lapis Bulleted List,CORE-1.1.1,Paragraphe de liste PBLH,Graph &amp; Table tite"/>
    <w:basedOn w:val="Normal"/>
    <w:link w:val="ListParagraphChar"/>
    <w:uiPriority w:val="34"/>
    <w:qFormat/>
    <w:rsid w:val="0004299D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List Paragraph1 Char,Paragraphe de liste1 Char,Numbered paragraph Char,Paragraphe de liste Char,List Paragraph (numbered (a)) Char,Lapis Bulleted List Char,CORE-1.1.1 Char,Paragraphe de liste PBLH Char,Graph &amp; Table tite Char"/>
    <w:link w:val="ListParagraph"/>
    <w:uiPriority w:val="34"/>
    <w:locked/>
    <w:rsid w:val="000429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6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67C"/>
    <w:rPr>
      <w:rFonts w:ascii="Segoe UI" w:eastAsia="Times New Roman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F7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C01"/>
    <w:rPr>
      <w:rFonts w:ascii="Arial" w:eastAsia="Times New Roman" w:hAnsi="Arial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C01"/>
    <w:rPr>
      <w:rFonts w:ascii="Arial" w:eastAsia="Times New Roman" w:hAnsi="Arial" w:cs="Times New Roman"/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F36B52"/>
    <w:pPr>
      <w:spacing w:after="0" w:line="240" w:lineRule="auto"/>
    </w:pPr>
    <w:rPr>
      <w:rFonts w:ascii="Arial" w:eastAsia="Times New Roman" w:hAnsi="Arial" w:cs="Times New Roman"/>
      <w:szCs w:val="24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24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245D"/>
    <w:rPr>
      <w:rFonts w:ascii="Arial" w:eastAsia="Times New Roman" w:hAnsi="Arial" w:cs="Times New Roman"/>
      <w:i/>
      <w:iCs/>
      <w:color w:val="4472C4" w:themeColor="accent1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Medeiros Rodrigues</dc:creator>
  <cp:keywords/>
  <dc:description/>
  <cp:lastModifiedBy>Wanessa Marques Silva</cp:lastModifiedBy>
  <cp:revision>6</cp:revision>
  <cp:lastPrinted>2019-01-22T15:40:00Z</cp:lastPrinted>
  <dcterms:created xsi:type="dcterms:W3CDTF">2019-05-22T14:25:00Z</dcterms:created>
  <dcterms:modified xsi:type="dcterms:W3CDTF">2019-05-27T11:23:00Z</dcterms:modified>
</cp:coreProperties>
</file>