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1DEE97F0"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CD3076" w:rsidRPr="00D7215F">
        <w:rPr>
          <w:b/>
          <w:bCs/>
          <w:caps/>
        </w:rPr>
        <w:t>Somalia</w:t>
      </w:r>
    </w:p>
    <w:p w14:paraId="65DFFC9A" w14:textId="25F092A1" w:rsidR="00F12A5E" w:rsidRDefault="008640A5" w:rsidP="008364E5">
      <w:pPr>
        <w:jc w:val="center"/>
        <w:rPr>
          <w:b/>
          <w:bCs/>
          <w:caps/>
        </w:rPr>
      </w:pPr>
      <w:r w:rsidRPr="00627A1C">
        <w:rPr>
          <w:b/>
          <w:bCs/>
          <w:caps/>
        </w:rPr>
        <w:t xml:space="preserve">TYPE OF REPORT: </w:t>
      </w:r>
      <w:r w:rsidR="00793DE6" w:rsidRPr="00627A1C">
        <w:rPr>
          <w:b/>
          <w:bCs/>
          <w:caps/>
        </w:rPr>
        <w:t>annual</w:t>
      </w:r>
      <w:r w:rsidR="00D7215F">
        <w:rPr>
          <w:b/>
          <w:bCs/>
          <w:caps/>
        </w:rPr>
        <w:t xml:space="preserve"> REPORT </w:t>
      </w:r>
      <w:r w:rsidRPr="00627A1C">
        <w:rPr>
          <w:b/>
          <w:bCs/>
          <w:caps/>
        </w:rPr>
        <w:t xml:space="preserve"> </w:t>
      </w:r>
    </w:p>
    <w:p w14:paraId="28AB750A" w14:textId="64CC4C75" w:rsidR="008640A5" w:rsidRPr="00627A1C" w:rsidRDefault="00F12A5E" w:rsidP="00F12A5E">
      <w:pPr>
        <w:rPr>
          <w:b/>
          <w:bCs/>
          <w:caps/>
        </w:rPr>
      </w:pPr>
      <w:r>
        <w:rPr>
          <w:b/>
          <w:bCs/>
          <w:caps/>
        </w:rPr>
        <w:tab/>
      </w:r>
      <w:r>
        <w:rPr>
          <w:b/>
          <w:bCs/>
          <w:caps/>
        </w:rPr>
        <w:tab/>
      </w:r>
      <w:r>
        <w:rPr>
          <w:b/>
          <w:bCs/>
          <w:caps/>
        </w:rPr>
        <w:tab/>
      </w:r>
      <w:r>
        <w:rPr>
          <w:b/>
          <w:bCs/>
          <w:caps/>
        </w:rPr>
        <w:tab/>
        <w:t xml:space="preserve"> </w:t>
      </w:r>
    </w:p>
    <w:p w14:paraId="54B5CFAE" w14:textId="5EAAB453"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D3076" w:rsidRPr="00D7215F">
        <w:rPr>
          <w:b/>
          <w:bCs/>
          <w:caps/>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17C4842E"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D3076" w:rsidRPr="00CD3076">
              <w:rPr>
                <w:rFonts w:ascii="Times New Roman" w:hAnsi="Times New Roman" w:cs="Times New Roman"/>
                <w:bCs/>
                <w:iCs/>
                <w:snapToGrid w:val="0"/>
                <w:sz w:val="24"/>
                <w:szCs w:val="24"/>
              </w:rPr>
              <w:t>Support to NIEC Electoral Dispute Resolution Mechanisms</w:t>
            </w:r>
            <w:r w:rsidR="00CF5047">
              <w:rPr>
                <w:rFonts w:ascii="Times New Roman" w:hAnsi="Times New Roman" w:cs="Times New Roman"/>
                <w:bCs/>
                <w:iCs/>
                <w:snapToGrid w:val="0"/>
                <w:sz w:val="24"/>
                <w:szCs w:val="24"/>
              </w:rPr>
              <w:t xml:space="preserve"> - Somalia</w:t>
            </w:r>
          </w:p>
          <w:p w14:paraId="7336EAC3" w14:textId="7EFE526C" w:rsidR="00793DE6" w:rsidRPr="00627A1C" w:rsidRDefault="00793DE6" w:rsidP="00793DE6">
            <w:pPr>
              <w:rPr>
                <w:b/>
              </w:rPr>
            </w:pPr>
            <w:r w:rsidRPr="00627A1C">
              <w:rPr>
                <w:b/>
              </w:rPr>
              <w:t>Project Number from MPTF-O Gateway:</w:t>
            </w:r>
            <w:r w:rsidR="00A43B9C" w:rsidRPr="00627A1C">
              <w:rPr>
                <w:b/>
              </w:rPr>
              <w:t xml:space="preserve">   </w:t>
            </w:r>
            <w:r w:rsidR="008E5B4D">
              <w:rPr>
                <w:b/>
              </w:rPr>
              <w:t>00118635</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46A1F474" w:rsidR="00A43B9C" w:rsidRPr="00627A1C" w:rsidRDefault="00D7215F" w:rsidP="00F23D0F">
            <w:pPr>
              <w:tabs>
                <w:tab w:val="left" w:pos="0"/>
              </w:tabs>
              <w:suppressAutoHyphens/>
              <w:jc w:val="both"/>
              <w:rPr>
                <w:b/>
                <w:spacing w:val="-3"/>
              </w:rPr>
            </w:pPr>
            <w:r>
              <w:fldChar w:fldCharType="begin">
                <w:ffData>
                  <w:name w:val="Check1"/>
                  <w:enabled/>
                  <w:calcOnExit w:val="0"/>
                  <w:checkBox>
                    <w:sizeAuto/>
                    <w:default w:val="0"/>
                  </w:checkBox>
                </w:ffData>
              </w:fldChar>
            </w:r>
            <w:bookmarkStart w:id="0" w:name="Check1"/>
            <w:r>
              <w:instrText xml:space="preserve"> FORMCHECKBOX </w:instrText>
            </w:r>
            <w:r w:rsidR="002F18DF">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2F18DF">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CAAA790"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2F18DF">
              <w:rPr>
                <w:rFonts w:ascii="Times New Roman" w:hAnsi="Times New Roman" w:cs="Times New Roman"/>
                <w:b/>
                <w:sz w:val="24"/>
                <w:szCs w:val="24"/>
              </w:rPr>
            </w:r>
            <w:r w:rsidR="002F18D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E5B4D">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3BD5B4C6"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2F18DF">
              <w:rPr>
                <w:rFonts w:ascii="Times New Roman" w:hAnsi="Times New Roman" w:cs="Times New Roman"/>
                <w:b/>
                <w:sz w:val="24"/>
                <w:szCs w:val="24"/>
              </w:rPr>
            </w:r>
            <w:r w:rsidR="002F18D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E5B4D">
              <w:rPr>
                <w:rFonts w:ascii="Times New Roman" w:hAnsi="Times New Roman" w:cs="Times New Roman"/>
                <w:b/>
                <w:sz w:val="24"/>
                <w:szCs w:val="24"/>
              </w:rPr>
              <w:t>UNOPS</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2F18DF">
              <w:rPr>
                <w:rFonts w:ascii="Times New Roman" w:hAnsi="Times New Roman" w:cs="Times New Roman"/>
                <w:b/>
                <w:sz w:val="24"/>
                <w:szCs w:val="24"/>
              </w:rPr>
            </w:r>
            <w:r w:rsidR="002F18D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2F18DF">
              <w:rPr>
                <w:rFonts w:ascii="Times New Roman" w:hAnsi="Times New Roman" w:cs="Times New Roman"/>
                <w:b/>
                <w:sz w:val="24"/>
                <w:szCs w:val="24"/>
              </w:rPr>
            </w:r>
            <w:r w:rsidR="002F18D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2F18DF">
              <w:rPr>
                <w:rFonts w:ascii="Times New Roman" w:hAnsi="Times New Roman" w:cs="Times New Roman"/>
                <w:b/>
                <w:sz w:val="24"/>
                <w:szCs w:val="24"/>
              </w:rPr>
            </w:r>
            <w:r w:rsidR="002F18D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613BA933"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8E5B4D">
              <w:rPr>
                <w:bCs/>
                <w:iCs/>
                <w:snapToGrid w:val="0"/>
              </w:rPr>
              <w:t>20 Nov 2019</w:t>
            </w:r>
          </w:p>
          <w:p w14:paraId="37A4BB59" w14:textId="6C215F48"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F5047">
              <w:rPr>
                <w:bCs/>
                <w:iCs/>
                <w:snapToGrid w:val="0"/>
              </w:rPr>
              <w:t>31 August 2021</w:t>
            </w:r>
            <w:r w:rsidR="00CF5047" w:rsidRPr="00627A1C">
              <w:rPr>
                <w:bCs/>
                <w:iCs/>
                <w:snapToGrid w:val="0"/>
              </w:rPr>
              <w:t xml:space="preserve">     </w:t>
            </w:r>
          </w:p>
          <w:p w14:paraId="45B406BF" w14:textId="4578D4E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8E5B4D">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F18DF">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F18DF">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F18DF">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F18DF">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6"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6"/>
          <w:p w14:paraId="0D6CD3C0" w14:textId="481F1306" w:rsidR="00793DE6" w:rsidRPr="00627A1C" w:rsidRDefault="008E5B4D" w:rsidP="00F23D0F">
            <w:pPr>
              <w:rPr>
                <w:iCs/>
              </w:rPr>
            </w:pPr>
            <w:r>
              <w:rPr>
                <w:bCs/>
                <w:iCs/>
                <w:snapToGrid w:val="0"/>
              </w:rPr>
              <w:t>UNDP</w:t>
            </w:r>
            <w:r w:rsidR="00006EC0" w:rsidRPr="00627A1C">
              <w:rPr>
                <w:bCs/>
                <w:iCs/>
                <w:snapToGrid w:val="0"/>
              </w:rPr>
              <w:t xml:space="preserve">   </w:t>
            </w:r>
            <w:r w:rsidR="00006EC0" w:rsidRPr="00627A1C">
              <w:rPr>
                <w:b/>
                <w:bCs/>
                <w:iCs/>
              </w:rPr>
              <w:t xml:space="preserve">                                         </w:t>
            </w:r>
            <w:r w:rsidR="00793DE6" w:rsidRPr="00627A1C">
              <w:rPr>
                <w:iCs/>
              </w:rPr>
              <w:t xml:space="preserve">$ </w:t>
            </w:r>
            <w:r>
              <w:rPr>
                <w:iCs/>
              </w:rPr>
              <w:t>1,600,000</w:t>
            </w:r>
          </w:p>
          <w:p w14:paraId="23041C68" w14:textId="06C8F481" w:rsidR="00793DE6" w:rsidRPr="00627A1C" w:rsidRDefault="008E5B4D"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UNOPS</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900,000</w:t>
            </w:r>
          </w:p>
          <w:p w14:paraId="5E09328A" w14:textId="37F78D1F"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8E5B4D">
              <w:rPr>
                <w:rFonts w:ascii="Times New Roman" w:hAnsi="Times New Roman" w:cs="Times New Roman"/>
                <w:bCs/>
                <w:iCs/>
                <w:snapToGrid w:val="0"/>
                <w:sz w:val="24"/>
                <w:szCs w:val="24"/>
              </w:rPr>
              <w:t>2,500,000</w:t>
            </w:r>
            <w:r w:rsidR="00C12D6A" w:rsidRPr="00627A1C">
              <w:rPr>
                <w:rFonts w:ascii="Times New Roman" w:hAnsi="Times New Roman" w:cs="Times New Roman"/>
                <w:bCs/>
                <w:iCs/>
                <w:snapToGrid w:val="0"/>
                <w:sz w:val="24"/>
                <w:szCs w:val="24"/>
              </w:rPr>
              <w:t xml:space="preserve"> </w:t>
            </w:r>
          </w:p>
          <w:p w14:paraId="21E4CBF9" w14:textId="44748170"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8E5B4D">
              <w:rPr>
                <w:rFonts w:ascii="Times New Roman" w:hAnsi="Times New Roman" w:cs="Times New Roman"/>
                <w:bCs/>
                <w:iCs/>
                <w:snapToGrid w:val="0"/>
                <w:sz w:val="24"/>
                <w:szCs w:val="24"/>
              </w:rPr>
              <w:t>28%</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27CE44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8E5B4D">
              <w:t>30%</w:t>
            </w:r>
          </w:p>
          <w:p w14:paraId="0345EEE7" w14:textId="15171496" w:rsidR="00006EC0" w:rsidRPr="00627A1C" w:rsidRDefault="00006EC0" w:rsidP="00006EC0">
            <w:r w:rsidRPr="00627A1C">
              <w:t xml:space="preserve">Amount expended to date on activities focussed on gender equality or women’s empowerment: </w:t>
            </w:r>
            <w:r w:rsidR="008E5B4D">
              <w:t>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A3A7BF7" w:rsidR="009B18EB" w:rsidRPr="00627A1C" w:rsidRDefault="009B18EB" w:rsidP="00F23D0F">
            <w:pPr>
              <w:rPr>
                <w:b/>
                <w:bCs/>
                <w:iCs/>
              </w:rPr>
            </w:pPr>
            <w:r w:rsidRPr="00627A1C">
              <w:rPr>
                <w:b/>
                <w:bCs/>
                <w:iCs/>
              </w:rPr>
              <w:t xml:space="preserve">Project Gender Marker: </w:t>
            </w:r>
            <w:r w:rsidR="008E5B4D">
              <w:rPr>
                <w:b/>
                <w:bCs/>
                <w:iCs/>
              </w:rPr>
              <w:t>GM2</w:t>
            </w:r>
          </w:p>
          <w:p w14:paraId="3A104835" w14:textId="76D4C3FB" w:rsidR="009B18EB" w:rsidRPr="00627A1C" w:rsidRDefault="009B18EB" w:rsidP="00F23D0F">
            <w:pPr>
              <w:rPr>
                <w:b/>
                <w:bCs/>
                <w:iCs/>
              </w:rPr>
            </w:pPr>
            <w:r w:rsidRPr="00627A1C">
              <w:rPr>
                <w:b/>
                <w:bCs/>
                <w:iCs/>
              </w:rPr>
              <w:t xml:space="preserve">Project Risk Marker: </w:t>
            </w:r>
            <w:r w:rsidR="008E5B4D">
              <w:rPr>
                <w:b/>
                <w:bCs/>
                <w:iCs/>
              </w:rPr>
              <w:t>LOW</w:t>
            </w:r>
          </w:p>
          <w:p w14:paraId="1DAEED2D" w14:textId="195785D1" w:rsidR="009B18EB" w:rsidRPr="00627A1C" w:rsidRDefault="009B18EB" w:rsidP="00F23D0F">
            <w:pPr>
              <w:rPr>
                <w:b/>
                <w:bCs/>
                <w:iCs/>
              </w:rPr>
            </w:pPr>
            <w:r w:rsidRPr="00627A1C">
              <w:rPr>
                <w:b/>
                <w:bCs/>
                <w:iCs/>
              </w:rPr>
              <w:t xml:space="preserve">Project PBF focus area: </w:t>
            </w:r>
            <w:r w:rsidR="008E5B4D">
              <w:rPr>
                <w:b/>
                <w:bCs/>
                <w:iCs/>
              </w:rPr>
              <w:fldChar w:fldCharType="begin">
                <w:ffData>
                  <w:name w:val="focusarea"/>
                  <w:enabled/>
                  <w:calcOnExit w:val="0"/>
                  <w:ddList>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7" w:name="focusarea"/>
            <w:r w:rsidR="008E5B4D">
              <w:rPr>
                <w:b/>
                <w:bCs/>
                <w:iCs/>
              </w:rPr>
              <w:instrText xml:space="preserve"> FORMDROPDOWN </w:instrText>
            </w:r>
            <w:r w:rsidR="002F18DF">
              <w:rPr>
                <w:b/>
                <w:bCs/>
                <w:iCs/>
              </w:rPr>
            </w:r>
            <w:r w:rsidR="002F18DF">
              <w:rPr>
                <w:b/>
                <w:bCs/>
                <w:iCs/>
              </w:rPr>
              <w:fldChar w:fldCharType="separate"/>
            </w:r>
            <w:r w:rsidR="008E5B4D">
              <w:rPr>
                <w:b/>
                <w:bCs/>
                <w:iCs/>
              </w:rPr>
              <w:fldChar w:fldCharType="end"/>
            </w:r>
            <w:bookmarkEnd w:id="7"/>
            <w:r w:rsidR="008E5B4D">
              <w:rPr>
                <w:b/>
                <w:bCs/>
                <w:iCs/>
              </w:rPr>
              <w:t xml:space="preserve">4.1 Strengthening National State Capacity </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9E16CDA" w:rsidR="00793DE6" w:rsidRPr="00627A1C" w:rsidRDefault="00793DE6" w:rsidP="00793DE6">
            <w:r w:rsidRPr="00627A1C">
              <w:t>Project report prepared by</w:t>
            </w:r>
            <w:r w:rsidR="00245BD3">
              <w:t xml:space="preserve">: </w:t>
            </w:r>
            <w:bookmarkStart w:id="8" w:name="_GoBack"/>
            <w:bookmarkEnd w:id="8"/>
            <w:r w:rsidR="008E5B4D">
              <w:rPr>
                <w:bCs/>
                <w:iCs/>
                <w:snapToGrid w:val="0"/>
              </w:rPr>
              <w:t>Mary Cummins, UNDP and Mewael Kahsay, UNOPS</w:t>
            </w:r>
          </w:p>
          <w:p w14:paraId="6354F724" w14:textId="2155E7C8" w:rsidR="00793DE6" w:rsidRPr="00627A1C" w:rsidRDefault="00793DE6" w:rsidP="00793DE6">
            <w:r w:rsidRPr="00627A1C">
              <w:t xml:space="preserve">Project report approved by: </w:t>
            </w:r>
            <w:r w:rsidR="00245BD3">
              <w:t>Peter Nordstrom, PBF Coordinator</w:t>
            </w:r>
          </w:p>
          <w:p w14:paraId="4D99FC9D" w14:textId="2AE5E335" w:rsidR="00793DE6" w:rsidRPr="00627A1C" w:rsidRDefault="00793DE6" w:rsidP="001A3157">
            <w:r w:rsidRPr="00627A1C">
              <w:t xml:space="preserve">Did PBF Secretariat </w:t>
            </w:r>
            <w:r w:rsidR="009B18EB" w:rsidRPr="00627A1C">
              <w:t xml:space="preserve">review </w:t>
            </w:r>
            <w:r w:rsidRPr="00627A1C">
              <w:t>the report:</w:t>
            </w:r>
            <w:r w:rsidR="00245BD3">
              <w:t xml:space="preserve"> Yes. Peter Nordstrom PBF Coordinator, Fadumo Mumin M&amp;E Specialist </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F1895">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F1895">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F1895">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1F1895">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F1895">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07C5FF53" w14:textId="48D73CB6" w:rsidR="00CD3076" w:rsidRDefault="00CD3076" w:rsidP="00CD3076">
      <w:pPr>
        <w:ind w:left="-810"/>
        <w:rPr>
          <w:b/>
          <w:bCs/>
        </w:rPr>
      </w:pPr>
    </w:p>
    <w:p w14:paraId="0440E272" w14:textId="258921B4" w:rsidR="00A7681F" w:rsidRPr="00A7681F" w:rsidRDefault="00A7681F" w:rsidP="00A7681F">
      <w:pPr>
        <w:ind w:left="-810"/>
        <w:jc w:val="both"/>
        <w:rPr>
          <w:b/>
          <w:iCs/>
        </w:rPr>
      </w:pPr>
      <w:r w:rsidRPr="00A7681F">
        <w:rPr>
          <w:b/>
          <w:iCs/>
        </w:rPr>
        <w:t>Output 1:   EDRM mechanism established, resourced, implemented and understood by all electoral stakeholders:</w:t>
      </w:r>
    </w:p>
    <w:p w14:paraId="18DECF8F" w14:textId="77777777" w:rsidR="00A7681F" w:rsidRPr="00B93120" w:rsidRDefault="00A7681F" w:rsidP="00CD3076">
      <w:pPr>
        <w:ind w:left="-810"/>
        <w:rPr>
          <w:b/>
          <w:bCs/>
        </w:rPr>
      </w:pPr>
    </w:p>
    <w:p w14:paraId="51E0D550" w14:textId="0494084A" w:rsidR="00CD3076" w:rsidRPr="00D62D7A" w:rsidRDefault="00CD3076" w:rsidP="00CD3076">
      <w:pPr>
        <w:ind w:left="-810"/>
        <w:jc w:val="both"/>
        <w:rPr>
          <w:bCs/>
          <w:iCs/>
        </w:rPr>
      </w:pPr>
      <w:bookmarkStart w:id="9" w:name="_Hlk41982478"/>
      <w:r w:rsidRPr="00D62D7A">
        <w:rPr>
          <w:bCs/>
          <w:iCs/>
        </w:rPr>
        <w:t xml:space="preserve">Since the commencement of the project in November 2019, </w:t>
      </w:r>
      <w:r w:rsidR="00D61034">
        <w:rPr>
          <w:bCs/>
          <w:iCs/>
        </w:rPr>
        <w:t xml:space="preserve">the Integrated Electoral Support Group (IESG) </w:t>
      </w:r>
      <w:r w:rsidRPr="00D62D7A">
        <w:rPr>
          <w:bCs/>
          <w:iCs/>
        </w:rPr>
        <w:t xml:space="preserve">accomplished the following: </w:t>
      </w:r>
    </w:p>
    <w:p w14:paraId="396446D0" w14:textId="77777777" w:rsidR="00CD3076" w:rsidRPr="00D62D7A" w:rsidRDefault="00CD3076" w:rsidP="00CD3076">
      <w:pPr>
        <w:ind w:left="-810"/>
        <w:jc w:val="both"/>
        <w:rPr>
          <w:bCs/>
          <w:iCs/>
        </w:rPr>
      </w:pPr>
    </w:p>
    <w:p w14:paraId="18A5BEF9" w14:textId="6158EC08" w:rsidR="004058E2" w:rsidRDefault="00CD3076" w:rsidP="00240D37">
      <w:pPr>
        <w:ind w:left="-810"/>
        <w:jc w:val="both"/>
        <w:rPr>
          <w:bCs/>
          <w:iCs/>
        </w:rPr>
      </w:pPr>
      <w:r w:rsidRPr="00D62D7A">
        <w:rPr>
          <w:bCs/>
          <w:iCs/>
        </w:rPr>
        <w:t>IESG</w:t>
      </w:r>
      <w:r w:rsidR="00D61034">
        <w:rPr>
          <w:bCs/>
          <w:iCs/>
        </w:rPr>
        <w:t xml:space="preserve">, with the support of an  internationally renowned external </w:t>
      </w:r>
      <w:r w:rsidRPr="00D62D7A">
        <w:rPr>
          <w:bCs/>
          <w:iCs/>
        </w:rPr>
        <w:t>legal expert</w:t>
      </w:r>
      <w:r w:rsidR="00D61034">
        <w:rPr>
          <w:bCs/>
          <w:iCs/>
        </w:rPr>
        <w:t xml:space="preserve"> who visited Mogadishu in the last quarter of 2019,</w:t>
      </w:r>
      <w:r w:rsidRPr="00D62D7A">
        <w:rPr>
          <w:bCs/>
          <w:iCs/>
        </w:rPr>
        <w:t xml:space="preserve"> provided advice to the National Independent Electoral Commission</w:t>
      </w:r>
      <w:r w:rsidR="00D61034">
        <w:rPr>
          <w:bCs/>
          <w:iCs/>
        </w:rPr>
        <w:t>’s</w:t>
      </w:r>
      <w:r w:rsidRPr="00D62D7A">
        <w:rPr>
          <w:bCs/>
          <w:iCs/>
        </w:rPr>
        <w:t xml:space="preserve"> (NIEC) legal department, Secretariat and the Board of Commissioners on an Electoral Dispute Resolution (EDR) structure in compliance with the </w:t>
      </w:r>
      <w:r w:rsidR="00850D6E" w:rsidRPr="00D62D7A">
        <w:rPr>
          <w:bCs/>
          <w:iCs/>
        </w:rPr>
        <w:t>National Electoral Law at Federal Level (E</w:t>
      </w:r>
      <w:r w:rsidRPr="00D62D7A">
        <w:rPr>
          <w:bCs/>
          <w:iCs/>
        </w:rPr>
        <w:t xml:space="preserve">lectoral </w:t>
      </w:r>
      <w:r w:rsidR="00850D6E" w:rsidRPr="00D62D7A">
        <w:rPr>
          <w:bCs/>
          <w:iCs/>
        </w:rPr>
        <w:t>L</w:t>
      </w:r>
      <w:r w:rsidRPr="00D62D7A">
        <w:rPr>
          <w:bCs/>
          <w:iCs/>
        </w:rPr>
        <w:t>aw</w:t>
      </w:r>
      <w:r w:rsidR="00850D6E" w:rsidRPr="00D62D7A">
        <w:rPr>
          <w:bCs/>
          <w:iCs/>
        </w:rPr>
        <w:t>) and the existing legislative framework</w:t>
      </w:r>
      <w:r w:rsidRPr="00D62D7A">
        <w:rPr>
          <w:bCs/>
          <w:iCs/>
        </w:rPr>
        <w:t xml:space="preserve"> </w:t>
      </w:r>
      <w:r w:rsidR="00D61034">
        <w:rPr>
          <w:bCs/>
          <w:iCs/>
        </w:rPr>
        <w:t>during</w:t>
      </w:r>
      <w:r w:rsidRPr="00D62D7A">
        <w:rPr>
          <w:bCs/>
          <w:iCs/>
        </w:rPr>
        <w:t xml:space="preserve"> several advisory sessions, workshops and meetings. </w:t>
      </w:r>
      <w:r w:rsidR="00240D37" w:rsidRPr="00D62D7A">
        <w:rPr>
          <w:bCs/>
          <w:iCs/>
        </w:rPr>
        <w:t xml:space="preserve"> </w:t>
      </w:r>
      <w:r w:rsidR="00D61034">
        <w:rPr>
          <w:bCs/>
          <w:iCs/>
        </w:rPr>
        <w:t xml:space="preserve">The </w:t>
      </w:r>
      <w:r w:rsidRPr="00D62D7A">
        <w:rPr>
          <w:bCs/>
          <w:iCs/>
        </w:rPr>
        <w:t xml:space="preserve">NIEC decided to implement a two-tier EDR decision making process, at field level and central headquarters level based on </w:t>
      </w:r>
      <w:r w:rsidR="00D61034">
        <w:rPr>
          <w:bCs/>
          <w:iCs/>
        </w:rPr>
        <w:t xml:space="preserve">the </w:t>
      </w:r>
      <w:r w:rsidRPr="00D62D7A">
        <w:rPr>
          <w:bCs/>
          <w:iCs/>
        </w:rPr>
        <w:t xml:space="preserve">advice provided. An NIEC/IESG meeting was held with the Chief Justice of the Supreme Court </w:t>
      </w:r>
      <w:r w:rsidR="00D61034">
        <w:rPr>
          <w:bCs/>
          <w:iCs/>
        </w:rPr>
        <w:t xml:space="preserve">during the first quarter of 2020 </w:t>
      </w:r>
      <w:r w:rsidRPr="00D62D7A">
        <w:rPr>
          <w:bCs/>
          <w:iCs/>
        </w:rPr>
        <w:t xml:space="preserve">to discuss their role in the </w:t>
      </w:r>
      <w:r w:rsidR="00D61034" w:rsidRPr="00C64E48">
        <w:rPr>
          <w:bCs/>
          <w:iCs/>
        </w:rPr>
        <w:t>one</w:t>
      </w:r>
      <w:r w:rsidR="006C2BD0" w:rsidRPr="00C64E48">
        <w:rPr>
          <w:bCs/>
          <w:iCs/>
        </w:rPr>
        <w:t>-</w:t>
      </w:r>
      <w:r w:rsidR="00D61034" w:rsidRPr="00C64E48">
        <w:rPr>
          <w:bCs/>
          <w:iCs/>
        </w:rPr>
        <w:t>person, one</w:t>
      </w:r>
      <w:r w:rsidR="006C2BD0" w:rsidRPr="00C64E48">
        <w:rPr>
          <w:bCs/>
          <w:iCs/>
        </w:rPr>
        <w:t>-</w:t>
      </w:r>
      <w:r w:rsidR="00D61034" w:rsidRPr="00C64E48">
        <w:rPr>
          <w:bCs/>
          <w:iCs/>
        </w:rPr>
        <w:t xml:space="preserve">vote </w:t>
      </w:r>
      <w:r w:rsidR="006C2BD0" w:rsidRPr="00C64E48">
        <w:rPr>
          <w:bCs/>
          <w:iCs/>
        </w:rPr>
        <w:t>(OPOV)</w:t>
      </w:r>
      <w:r w:rsidR="006C2BD0">
        <w:rPr>
          <w:bCs/>
          <w:iCs/>
        </w:rPr>
        <w:t xml:space="preserve"> </w:t>
      </w:r>
      <w:r w:rsidRPr="00D62D7A">
        <w:rPr>
          <w:bCs/>
          <w:iCs/>
        </w:rPr>
        <w:t xml:space="preserve">electoral process. To enhance transparency of the decision-making process, trust in the </w:t>
      </w:r>
      <w:r w:rsidR="00D61034">
        <w:rPr>
          <w:bCs/>
          <w:iCs/>
        </w:rPr>
        <w:t xml:space="preserve">NIEC as an </w:t>
      </w:r>
      <w:r w:rsidRPr="00D62D7A">
        <w:rPr>
          <w:bCs/>
          <w:iCs/>
        </w:rPr>
        <w:t xml:space="preserve">institution and acceptance of results, the </w:t>
      </w:r>
      <w:r w:rsidR="00240D37" w:rsidRPr="00D62D7A">
        <w:rPr>
          <w:bCs/>
          <w:iCs/>
        </w:rPr>
        <w:t xml:space="preserve">envisaged process consists of an Election Dispute Resolution Committee (EDRC) composed of representatives of the Federal Member States (FMS), women, youth and clans to support the </w:t>
      </w:r>
      <w:r w:rsidRPr="00D62D7A">
        <w:rPr>
          <w:bCs/>
          <w:iCs/>
        </w:rPr>
        <w:t>NIEC Board of Commissioners</w:t>
      </w:r>
      <w:r w:rsidR="00240D37" w:rsidRPr="00D62D7A">
        <w:rPr>
          <w:bCs/>
          <w:iCs/>
        </w:rPr>
        <w:t>. In addition, a</w:t>
      </w:r>
      <w:r w:rsidRPr="00D62D7A">
        <w:rPr>
          <w:bCs/>
          <w:iCs/>
        </w:rPr>
        <w:t xml:space="preserve"> temporary EDR department will be created to support the decision-making process at central level. </w:t>
      </w:r>
    </w:p>
    <w:p w14:paraId="2B63D230" w14:textId="77777777" w:rsidR="008E5B4D" w:rsidRPr="00D62D7A" w:rsidRDefault="008E5B4D" w:rsidP="00240D37">
      <w:pPr>
        <w:ind w:left="-810"/>
        <w:jc w:val="both"/>
        <w:rPr>
          <w:bCs/>
          <w:iCs/>
        </w:rPr>
      </w:pPr>
    </w:p>
    <w:p w14:paraId="5847C976" w14:textId="7904095E" w:rsidR="00CD3076" w:rsidRDefault="00727261" w:rsidP="00240D37">
      <w:pPr>
        <w:ind w:left="-810"/>
        <w:jc w:val="both"/>
        <w:rPr>
          <w:bCs/>
          <w:iCs/>
        </w:rPr>
      </w:pPr>
      <w:r>
        <w:rPr>
          <w:bCs/>
          <w:iCs/>
        </w:rPr>
        <w:t xml:space="preserve">Over the past year, </w:t>
      </w:r>
      <w:r w:rsidR="00CD3076" w:rsidRPr="00D62D7A">
        <w:rPr>
          <w:bCs/>
          <w:iCs/>
        </w:rPr>
        <w:t xml:space="preserve">IESG </w:t>
      </w:r>
      <w:r>
        <w:rPr>
          <w:bCs/>
          <w:iCs/>
        </w:rPr>
        <w:t xml:space="preserve">has </w:t>
      </w:r>
      <w:r w:rsidR="00CD3076" w:rsidRPr="00D62D7A">
        <w:rPr>
          <w:bCs/>
          <w:iCs/>
        </w:rPr>
        <w:t xml:space="preserve">provided technical advice on </w:t>
      </w:r>
      <w:r w:rsidR="000A6807" w:rsidRPr="00D62D7A">
        <w:rPr>
          <w:bCs/>
          <w:iCs/>
        </w:rPr>
        <w:t xml:space="preserve">structure, </w:t>
      </w:r>
      <w:r w:rsidR="00CD3076" w:rsidRPr="00D62D7A">
        <w:rPr>
          <w:bCs/>
          <w:iCs/>
        </w:rPr>
        <w:t>staffing</w:t>
      </w:r>
      <w:r w:rsidR="00343F33" w:rsidRPr="00D62D7A">
        <w:rPr>
          <w:bCs/>
          <w:iCs/>
        </w:rPr>
        <w:t>,</w:t>
      </w:r>
      <w:r w:rsidR="00CD3076" w:rsidRPr="00D62D7A">
        <w:rPr>
          <w:bCs/>
          <w:iCs/>
        </w:rPr>
        <w:t xml:space="preserve"> drafting Terms of Reference (ToRs) for the EDRC team</w:t>
      </w:r>
      <w:r w:rsidR="00343F33" w:rsidRPr="00D62D7A">
        <w:rPr>
          <w:bCs/>
          <w:iCs/>
        </w:rPr>
        <w:t xml:space="preserve">, and </w:t>
      </w:r>
      <w:bookmarkEnd w:id="9"/>
      <w:r w:rsidR="00343F33" w:rsidRPr="00D62D7A">
        <w:rPr>
          <w:bCs/>
          <w:iCs/>
        </w:rPr>
        <w:t>on d</w:t>
      </w:r>
      <w:r w:rsidR="004058E2" w:rsidRPr="00D62D7A">
        <w:rPr>
          <w:bCs/>
          <w:iCs/>
        </w:rPr>
        <w:t xml:space="preserve">rafting </w:t>
      </w:r>
      <w:r w:rsidR="00601CC1">
        <w:rPr>
          <w:bCs/>
          <w:iCs/>
        </w:rPr>
        <w:t xml:space="preserve">several documents, such as </w:t>
      </w:r>
      <w:r w:rsidR="00343F33" w:rsidRPr="00D62D7A">
        <w:rPr>
          <w:bCs/>
          <w:iCs/>
        </w:rPr>
        <w:t xml:space="preserve">a </w:t>
      </w:r>
      <w:r w:rsidR="004058E2" w:rsidRPr="00D62D7A">
        <w:rPr>
          <w:bCs/>
          <w:iCs/>
        </w:rPr>
        <w:t>legal factsheet summarizing the provisions of the electoral legal framework</w:t>
      </w:r>
      <w:r w:rsidR="00601CC1">
        <w:rPr>
          <w:bCs/>
          <w:iCs/>
        </w:rPr>
        <w:t xml:space="preserve"> (</w:t>
      </w:r>
      <w:r w:rsidR="00343F33" w:rsidRPr="00D62D7A">
        <w:rPr>
          <w:bCs/>
          <w:iCs/>
        </w:rPr>
        <w:t>including on EDR</w:t>
      </w:r>
      <w:r w:rsidR="00601CC1">
        <w:rPr>
          <w:bCs/>
          <w:iCs/>
        </w:rPr>
        <w:t xml:space="preserve">), a legal analysis on the involvement of the Supreme Court in the electoral process in order to replace the Constitutional Court which is not </w:t>
      </w:r>
      <w:r w:rsidR="001864CB">
        <w:rPr>
          <w:bCs/>
          <w:iCs/>
        </w:rPr>
        <w:t xml:space="preserve">yet established. </w:t>
      </w:r>
    </w:p>
    <w:p w14:paraId="2C26ABC6" w14:textId="6298A272" w:rsidR="00450BD6" w:rsidRDefault="00450BD6" w:rsidP="00240D37">
      <w:pPr>
        <w:ind w:left="-810"/>
        <w:jc w:val="both"/>
        <w:rPr>
          <w:bCs/>
          <w:iCs/>
        </w:rPr>
      </w:pPr>
    </w:p>
    <w:p w14:paraId="149CCF40" w14:textId="5D81AB1E" w:rsidR="00450BD6" w:rsidRPr="00D62D7A" w:rsidRDefault="00450BD6" w:rsidP="00450BD6">
      <w:pPr>
        <w:ind w:left="-810"/>
        <w:jc w:val="both"/>
        <w:rPr>
          <w:bCs/>
          <w:iCs/>
        </w:rPr>
      </w:pPr>
      <w:bookmarkStart w:id="10" w:name="_Hlk56352442"/>
      <w:r>
        <w:rPr>
          <w:bCs/>
          <w:iCs/>
        </w:rPr>
        <w:t xml:space="preserve">On 27 June, </w:t>
      </w:r>
      <w:r w:rsidR="00727261">
        <w:rPr>
          <w:bCs/>
          <w:iCs/>
        </w:rPr>
        <w:t xml:space="preserve">the </w:t>
      </w:r>
      <w:r w:rsidRPr="00450BD6">
        <w:rPr>
          <w:bCs/>
          <w:iCs/>
        </w:rPr>
        <w:t>Chairperson</w:t>
      </w:r>
      <w:r>
        <w:rPr>
          <w:bCs/>
          <w:iCs/>
        </w:rPr>
        <w:t xml:space="preserve"> </w:t>
      </w:r>
      <w:r w:rsidRPr="00450BD6">
        <w:rPr>
          <w:bCs/>
          <w:iCs/>
        </w:rPr>
        <w:t>of the National Independent Electoral Commission</w:t>
      </w:r>
      <w:r>
        <w:rPr>
          <w:bCs/>
          <w:iCs/>
        </w:rPr>
        <w:t xml:space="preserve"> </w:t>
      </w:r>
      <w:r w:rsidRPr="00450BD6">
        <w:rPr>
          <w:bCs/>
          <w:iCs/>
        </w:rPr>
        <w:t>(NIEC), presented the Commission’s report to</w:t>
      </w:r>
      <w:r>
        <w:rPr>
          <w:bCs/>
          <w:iCs/>
        </w:rPr>
        <w:t xml:space="preserve"> </w:t>
      </w:r>
      <w:r w:rsidRPr="00450BD6">
        <w:rPr>
          <w:bCs/>
          <w:iCs/>
        </w:rPr>
        <w:t>the House of the People, outlining the operational</w:t>
      </w:r>
      <w:r>
        <w:rPr>
          <w:bCs/>
          <w:iCs/>
        </w:rPr>
        <w:t xml:space="preserve"> </w:t>
      </w:r>
      <w:r w:rsidRPr="00450BD6">
        <w:rPr>
          <w:bCs/>
          <w:iCs/>
        </w:rPr>
        <w:t>plan to implement the electoral law and hold</w:t>
      </w:r>
      <w:r>
        <w:rPr>
          <w:bCs/>
          <w:iCs/>
        </w:rPr>
        <w:t xml:space="preserve"> </w:t>
      </w:r>
      <w:r w:rsidRPr="00450BD6">
        <w:rPr>
          <w:bCs/>
          <w:iCs/>
        </w:rPr>
        <w:t>federal parliamentary elections. Considering</w:t>
      </w:r>
      <w:r>
        <w:rPr>
          <w:bCs/>
          <w:iCs/>
        </w:rPr>
        <w:t xml:space="preserve"> </w:t>
      </w:r>
      <w:r w:rsidRPr="00450BD6">
        <w:rPr>
          <w:bCs/>
          <w:iCs/>
        </w:rPr>
        <w:t>the delay in finalizing the necessary electoral</w:t>
      </w:r>
      <w:r>
        <w:rPr>
          <w:bCs/>
          <w:iCs/>
        </w:rPr>
        <w:t xml:space="preserve"> </w:t>
      </w:r>
      <w:r w:rsidRPr="00450BD6">
        <w:rPr>
          <w:bCs/>
          <w:iCs/>
        </w:rPr>
        <w:t>legislation, the NIEC put forward two options</w:t>
      </w:r>
      <w:r>
        <w:rPr>
          <w:bCs/>
          <w:iCs/>
        </w:rPr>
        <w:t xml:space="preserve"> </w:t>
      </w:r>
      <w:r w:rsidRPr="00450BD6">
        <w:rPr>
          <w:bCs/>
          <w:iCs/>
        </w:rPr>
        <w:t>for Parliament’s consideration:</w:t>
      </w:r>
      <w:r>
        <w:rPr>
          <w:bCs/>
          <w:iCs/>
        </w:rPr>
        <w:t xml:space="preserve"> </w:t>
      </w:r>
      <w:r w:rsidRPr="00450BD6">
        <w:rPr>
          <w:bCs/>
          <w:iCs/>
        </w:rPr>
        <w:t>i) same-day voter registration and polling, with</w:t>
      </w:r>
      <w:r>
        <w:rPr>
          <w:bCs/>
          <w:iCs/>
        </w:rPr>
        <w:t xml:space="preserve"> </w:t>
      </w:r>
      <w:r w:rsidRPr="00450BD6">
        <w:rPr>
          <w:bCs/>
          <w:iCs/>
        </w:rPr>
        <w:t>elections taking place in March 2021; and</w:t>
      </w:r>
      <w:r w:rsidRPr="00450BD6">
        <w:t xml:space="preserve"> </w:t>
      </w:r>
      <w:r>
        <w:t xml:space="preserve">ii) </w:t>
      </w:r>
      <w:r w:rsidRPr="00450BD6">
        <w:rPr>
          <w:bCs/>
          <w:iCs/>
        </w:rPr>
        <w:t>elections with standard biometric voter</w:t>
      </w:r>
      <w:r>
        <w:rPr>
          <w:bCs/>
          <w:iCs/>
        </w:rPr>
        <w:t xml:space="preserve"> </w:t>
      </w:r>
      <w:r w:rsidRPr="00450BD6">
        <w:rPr>
          <w:bCs/>
          <w:iCs/>
        </w:rPr>
        <w:t>registration, with polling taking place in August</w:t>
      </w:r>
      <w:r>
        <w:rPr>
          <w:bCs/>
          <w:iCs/>
        </w:rPr>
        <w:t xml:space="preserve"> </w:t>
      </w:r>
      <w:r w:rsidRPr="00450BD6">
        <w:rPr>
          <w:bCs/>
          <w:iCs/>
        </w:rPr>
        <w:t>2021. According to the Electoral Law, a delay</w:t>
      </w:r>
      <w:r>
        <w:rPr>
          <w:bCs/>
          <w:iCs/>
        </w:rPr>
        <w:t xml:space="preserve"> </w:t>
      </w:r>
      <w:r w:rsidRPr="00450BD6">
        <w:rPr>
          <w:bCs/>
          <w:iCs/>
        </w:rPr>
        <w:t>in meeting the constitutional deadline would</w:t>
      </w:r>
      <w:r>
        <w:rPr>
          <w:bCs/>
          <w:iCs/>
        </w:rPr>
        <w:t xml:space="preserve"> </w:t>
      </w:r>
      <w:r w:rsidRPr="00450BD6">
        <w:rPr>
          <w:bCs/>
          <w:iCs/>
        </w:rPr>
        <w:t>prompt the Parliament to decide when the</w:t>
      </w:r>
      <w:r>
        <w:rPr>
          <w:bCs/>
          <w:iCs/>
        </w:rPr>
        <w:t xml:space="preserve"> </w:t>
      </w:r>
      <w:r w:rsidRPr="00450BD6">
        <w:rPr>
          <w:bCs/>
          <w:iCs/>
        </w:rPr>
        <w:t>elections will be held.</w:t>
      </w:r>
      <w:r w:rsidRPr="00450BD6">
        <w:t xml:space="preserve"> </w:t>
      </w:r>
      <w:r>
        <w:t xml:space="preserve">Stakeholders </w:t>
      </w:r>
      <w:r w:rsidRPr="00450BD6">
        <w:rPr>
          <w:bCs/>
          <w:iCs/>
        </w:rPr>
        <w:lastRenderedPageBreak/>
        <w:t>subsequently called for timely</w:t>
      </w:r>
      <w:r>
        <w:rPr>
          <w:bCs/>
          <w:iCs/>
        </w:rPr>
        <w:t xml:space="preserve"> </w:t>
      </w:r>
      <w:r w:rsidRPr="00450BD6">
        <w:rPr>
          <w:bCs/>
          <w:iCs/>
        </w:rPr>
        <w:t>elections with no term extension and urged for an</w:t>
      </w:r>
      <w:r>
        <w:rPr>
          <w:bCs/>
          <w:iCs/>
        </w:rPr>
        <w:t xml:space="preserve"> </w:t>
      </w:r>
      <w:r w:rsidRPr="00450BD6">
        <w:rPr>
          <w:bCs/>
          <w:iCs/>
        </w:rPr>
        <w:t>inclusive decision-making process to agree on a</w:t>
      </w:r>
      <w:r>
        <w:rPr>
          <w:bCs/>
          <w:iCs/>
        </w:rPr>
        <w:t xml:space="preserve"> </w:t>
      </w:r>
      <w:r w:rsidRPr="00450BD6">
        <w:rPr>
          <w:bCs/>
          <w:iCs/>
        </w:rPr>
        <w:t>viable electoral model, which</w:t>
      </w:r>
      <w:r>
        <w:rPr>
          <w:bCs/>
          <w:iCs/>
        </w:rPr>
        <w:t xml:space="preserve"> can be implemented within the current term of the administration.</w:t>
      </w:r>
    </w:p>
    <w:bookmarkEnd w:id="10"/>
    <w:p w14:paraId="5508950C" w14:textId="08C6A1D9" w:rsidR="00CD3076" w:rsidRPr="00D62D7A" w:rsidRDefault="00CD3076" w:rsidP="00CD3076">
      <w:pPr>
        <w:ind w:left="-810"/>
        <w:jc w:val="both"/>
        <w:rPr>
          <w:bCs/>
          <w:iCs/>
        </w:rPr>
      </w:pPr>
    </w:p>
    <w:p w14:paraId="26560F96" w14:textId="71D5EF5D" w:rsidR="00727261" w:rsidRPr="00727261" w:rsidRDefault="00727261" w:rsidP="00727261">
      <w:pPr>
        <w:ind w:left="-810"/>
        <w:jc w:val="both"/>
        <w:rPr>
          <w:bCs/>
          <w:iCs/>
        </w:rPr>
      </w:pPr>
      <w:bookmarkStart w:id="11" w:name="_Hlk54527251"/>
      <w:r w:rsidRPr="00727261">
        <w:rPr>
          <w:bCs/>
          <w:iCs/>
        </w:rPr>
        <w:t xml:space="preserve">Following protracted discussions in July and August between the Federal Government of Somalia (FGS) and Federal Member States (FMS), a political agreement was reached on 17 September in Mogadishu on an indirect electoral formula to conduct the 2020-2021 federal elections and the agreement was endorsed by Parliament on 26 September. The agreement excludes both the NIEC and political parties from the indirect electoral process which is essentially a slightly expanded version of the 2016 electoral process. The National Consultative Council </w:t>
      </w:r>
      <w:r w:rsidR="00300616">
        <w:rPr>
          <w:bCs/>
          <w:iCs/>
        </w:rPr>
        <w:t>stated</w:t>
      </w:r>
      <w:r w:rsidRPr="00727261">
        <w:rPr>
          <w:bCs/>
          <w:iCs/>
        </w:rPr>
        <w:t xml:space="preserve"> they will commence working on OPOV elections for 2024/2025.  As a result of this political decision, a different approach to electoral dispute resolution was required.</w:t>
      </w:r>
    </w:p>
    <w:p w14:paraId="4EA0C66E" w14:textId="77777777" w:rsidR="00727261" w:rsidRPr="00727261" w:rsidRDefault="00727261" w:rsidP="00727261">
      <w:pPr>
        <w:ind w:left="-810"/>
        <w:jc w:val="both"/>
        <w:rPr>
          <w:bCs/>
          <w:iCs/>
        </w:rPr>
      </w:pPr>
    </w:p>
    <w:p w14:paraId="08E95B1B" w14:textId="77777777" w:rsidR="00727261" w:rsidRPr="00727261" w:rsidRDefault="00727261" w:rsidP="00727261">
      <w:pPr>
        <w:ind w:left="-810"/>
        <w:jc w:val="both"/>
        <w:rPr>
          <w:bCs/>
          <w:iCs/>
        </w:rPr>
      </w:pPr>
      <w:r w:rsidRPr="00727261">
        <w:rPr>
          <w:bCs/>
          <w:iCs/>
        </w:rPr>
        <w:t>On 1 October, the National Consultative Council (NCC) announced the electoral timetable and the appointment of the electoral committees and published the procedures to guide the Implementation of the Political Agreement for the 2020/2021 Elections. The Federal and State level electoral committees are currently being appointed, belatedly, and the timeline for the elections has begun to slip.</w:t>
      </w:r>
    </w:p>
    <w:p w14:paraId="7B58D8EC" w14:textId="77777777" w:rsidR="00727261" w:rsidRPr="00727261" w:rsidRDefault="00727261" w:rsidP="00727261">
      <w:pPr>
        <w:ind w:left="-810"/>
        <w:jc w:val="both"/>
        <w:rPr>
          <w:bCs/>
          <w:iCs/>
        </w:rPr>
      </w:pPr>
    </w:p>
    <w:p w14:paraId="0C9601E7" w14:textId="144373DE" w:rsidR="008148B5" w:rsidRPr="00104A5F" w:rsidRDefault="00727261" w:rsidP="00876BBD">
      <w:pPr>
        <w:ind w:left="-810"/>
        <w:jc w:val="both"/>
        <w:rPr>
          <w:bCs/>
          <w:iCs/>
        </w:rPr>
      </w:pPr>
      <w:r w:rsidRPr="00727261">
        <w:rPr>
          <w:bCs/>
          <w:iCs/>
        </w:rPr>
        <w:t>On 14 November, the Prime Minister sent a letter to UN SRSG requesting electoral support for the upcoming indirect elections in the form of technical, financial, material and logistical support from the UN and other international partners.</w:t>
      </w:r>
      <w:r w:rsidR="00104A5F">
        <w:rPr>
          <w:bCs/>
          <w:iCs/>
        </w:rPr>
        <w:t xml:space="preserve"> The UN and international partners will engage once the current political </w:t>
      </w:r>
      <w:r w:rsidR="00ED623F">
        <w:rPr>
          <w:bCs/>
          <w:iCs/>
        </w:rPr>
        <w:t>issues are</w:t>
      </w:r>
      <w:r w:rsidR="00104A5F">
        <w:rPr>
          <w:bCs/>
          <w:iCs/>
        </w:rPr>
        <w:t xml:space="preserve"> resolved. </w:t>
      </w:r>
      <w:bookmarkStart w:id="12" w:name="_Hlk54511285"/>
      <w:r w:rsidR="00104A5F">
        <w:rPr>
          <w:bCs/>
          <w:iCs/>
        </w:rPr>
        <w:t xml:space="preserve"> </w:t>
      </w:r>
    </w:p>
    <w:p w14:paraId="54447CE5" w14:textId="77777777" w:rsidR="00BD4F74" w:rsidRPr="00104A5F" w:rsidRDefault="00BD4F74" w:rsidP="008148B5">
      <w:pPr>
        <w:ind w:left="-810"/>
        <w:jc w:val="both"/>
        <w:rPr>
          <w:bCs/>
          <w:iCs/>
        </w:rPr>
      </w:pPr>
    </w:p>
    <w:p w14:paraId="7C129556" w14:textId="606182FB" w:rsidR="00A7681F" w:rsidRPr="00104A5F" w:rsidRDefault="00167AE7" w:rsidP="00A7681F">
      <w:pPr>
        <w:ind w:left="-810"/>
        <w:jc w:val="both"/>
        <w:rPr>
          <w:bCs/>
          <w:iCs/>
        </w:rPr>
      </w:pPr>
      <w:r w:rsidRPr="00104A5F">
        <w:rPr>
          <w:bCs/>
          <w:iCs/>
        </w:rPr>
        <w:t xml:space="preserve">The procedures state that a Dispute Resolution Committee (DRC) shall be established prior to nomination/registration of candidates and the selection of delegates and shall continue to operate until final results are confirmed, and all complaints and objections are resolved. The election dispute process is not independent from political decision makers as </w:t>
      </w:r>
      <w:r w:rsidR="00727261" w:rsidRPr="00104A5F">
        <w:rPr>
          <w:bCs/>
          <w:iCs/>
        </w:rPr>
        <w:t>q</w:t>
      </w:r>
      <w:r w:rsidRPr="00104A5F">
        <w:rPr>
          <w:bCs/>
          <w:iCs/>
        </w:rPr>
        <w:t xml:space="preserve">uestions requiring a political solution shall be decided by the National Consultative Council unanimously, and all decisions </w:t>
      </w:r>
      <w:r w:rsidR="006C2BD0" w:rsidRPr="00104A5F">
        <w:rPr>
          <w:bCs/>
          <w:iCs/>
        </w:rPr>
        <w:t xml:space="preserve">taken by the </w:t>
      </w:r>
      <w:r w:rsidR="007E1B93" w:rsidRPr="00104A5F">
        <w:rPr>
          <w:bCs/>
          <w:iCs/>
        </w:rPr>
        <w:t>DRC</w:t>
      </w:r>
      <w:r w:rsidRPr="00104A5F">
        <w:rPr>
          <w:bCs/>
          <w:iCs/>
        </w:rPr>
        <w:t xml:space="preserve"> may be reviewed by the Leaders of the FGS and the FMSs, and the decision made by the Leaders shall be the final decision, and the case cannot be referred to any other committee or legal authority. The election dispute process does not provide for access to </w:t>
      </w:r>
      <w:r w:rsidR="00BB0979" w:rsidRPr="00104A5F">
        <w:rPr>
          <w:bCs/>
          <w:iCs/>
        </w:rPr>
        <w:t xml:space="preserve">the </w:t>
      </w:r>
      <w:r w:rsidRPr="00104A5F">
        <w:rPr>
          <w:bCs/>
          <w:iCs/>
        </w:rPr>
        <w:t xml:space="preserve">courts. Complaints can be filed by delegates and candidates upon payment of a complaint registration fee of 3,000 USD.  </w:t>
      </w:r>
      <w:r w:rsidR="00BD4F74" w:rsidRPr="00104A5F">
        <w:rPr>
          <w:bCs/>
          <w:iCs/>
        </w:rPr>
        <w:t xml:space="preserve"> </w:t>
      </w:r>
      <w:r w:rsidR="00CB7F22" w:rsidRPr="00104A5F">
        <w:rPr>
          <w:bCs/>
          <w:iCs/>
        </w:rPr>
        <w:t xml:space="preserve">Women make up 23% of the membership on this committee whereas it should be 30%. </w:t>
      </w:r>
      <w:r w:rsidR="005763FC" w:rsidRPr="00104A5F">
        <w:rPr>
          <w:bCs/>
          <w:iCs/>
        </w:rPr>
        <w:t xml:space="preserve">The committee will be based in Mogadishu and will have offices at the polling stations, with special consideration given to Somaliland. </w:t>
      </w:r>
      <w:r w:rsidR="003A0560" w:rsidRPr="00104A5F">
        <w:rPr>
          <w:bCs/>
          <w:iCs/>
        </w:rPr>
        <w:t xml:space="preserve"> </w:t>
      </w:r>
      <w:r w:rsidR="005763FC" w:rsidRPr="00104A5F">
        <w:rPr>
          <w:bCs/>
          <w:iCs/>
        </w:rPr>
        <w:t xml:space="preserve">The timescale for the indirect electoral process is as follows: </w:t>
      </w:r>
    </w:p>
    <w:p w14:paraId="16B8B338" w14:textId="77777777" w:rsidR="00A7681F" w:rsidRPr="00104A5F" w:rsidRDefault="00A7681F" w:rsidP="00A7681F">
      <w:pPr>
        <w:ind w:left="-810"/>
        <w:jc w:val="both"/>
        <w:rPr>
          <w:bCs/>
          <w:iCs/>
        </w:rPr>
      </w:pPr>
    </w:p>
    <w:p w14:paraId="5BA37D98" w14:textId="46C024AA" w:rsidR="005763FC" w:rsidRPr="00104A5F" w:rsidRDefault="005763FC" w:rsidP="00A7681F">
      <w:pPr>
        <w:ind w:left="-810"/>
        <w:jc w:val="both"/>
        <w:rPr>
          <w:b/>
          <w:bCs/>
          <w:color w:val="000000"/>
          <w:spacing w:val="2"/>
          <w:sz w:val="20"/>
          <w:szCs w:val="20"/>
        </w:rPr>
      </w:pPr>
      <w:r w:rsidRPr="00104A5F">
        <w:rPr>
          <w:b/>
          <w:bCs/>
          <w:color w:val="000000"/>
          <w:spacing w:val="2"/>
          <w:sz w:val="20"/>
          <w:szCs w:val="20"/>
        </w:rPr>
        <w:t xml:space="preserve">Electoral Timetable for the Two Houses of the Parliament </w:t>
      </w:r>
      <w:r w:rsidR="009943F1" w:rsidRPr="00104A5F">
        <w:rPr>
          <w:b/>
          <w:bCs/>
          <w:color w:val="000000"/>
          <w:spacing w:val="2"/>
          <w:sz w:val="20"/>
          <w:szCs w:val="20"/>
        </w:rPr>
        <w:t xml:space="preserve">&amp; the </w:t>
      </w:r>
      <w:r w:rsidRPr="00104A5F">
        <w:rPr>
          <w:b/>
          <w:bCs/>
          <w:color w:val="000000"/>
          <w:spacing w:val="2"/>
          <w:sz w:val="20"/>
          <w:szCs w:val="20"/>
        </w:rPr>
        <w:t>President of the Federal Government:</w:t>
      </w:r>
    </w:p>
    <w:p w14:paraId="544B65DF" w14:textId="77777777" w:rsidR="00A7681F" w:rsidRPr="00104A5F" w:rsidRDefault="00A7681F" w:rsidP="00A7681F">
      <w:pPr>
        <w:ind w:left="-810"/>
        <w:jc w:val="both"/>
        <w:rPr>
          <w:bCs/>
          <w:iCs/>
        </w:rPr>
      </w:pPr>
    </w:p>
    <w:tbl>
      <w:tblPr>
        <w:tblW w:w="0" w:type="auto"/>
        <w:tblCellMar>
          <w:left w:w="0" w:type="dxa"/>
          <w:right w:w="0" w:type="dxa"/>
        </w:tblCellMar>
        <w:tblLook w:val="04A0" w:firstRow="1" w:lastRow="0" w:firstColumn="1" w:lastColumn="0" w:noHBand="0" w:noVBand="1"/>
      </w:tblPr>
      <w:tblGrid>
        <w:gridCol w:w="800"/>
        <w:gridCol w:w="4711"/>
        <w:gridCol w:w="2775"/>
      </w:tblGrid>
      <w:tr w:rsidR="005763FC" w:rsidRPr="00EA25AC" w14:paraId="544EFD60" w14:textId="77777777" w:rsidTr="001F1895">
        <w:trPr>
          <w:trHeight w:val="390"/>
        </w:trPr>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606EA" w14:textId="77777777" w:rsidR="005763FC" w:rsidRPr="00104A5F" w:rsidRDefault="005763FC">
            <w:pPr>
              <w:rPr>
                <w:rFonts w:ascii="Calibri" w:hAnsi="Calibri" w:cs="Calibri"/>
                <w:b/>
                <w:bCs/>
              </w:rPr>
            </w:pPr>
            <w:r w:rsidRPr="00104A5F">
              <w:rPr>
                <w:rFonts w:ascii="Calibri" w:hAnsi="Calibri" w:cs="Calibri"/>
                <w:b/>
                <w:bCs/>
              </w:rPr>
              <w:t>S/N</w:t>
            </w:r>
          </w:p>
        </w:tc>
        <w:tc>
          <w:tcPr>
            <w:tcW w:w="4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3F88E" w14:textId="77777777" w:rsidR="005763FC" w:rsidRPr="00104A5F" w:rsidRDefault="005763FC">
            <w:pPr>
              <w:rPr>
                <w:rFonts w:ascii="Calibri" w:hAnsi="Calibri" w:cs="Calibri"/>
                <w:b/>
                <w:bCs/>
              </w:rPr>
            </w:pPr>
            <w:r w:rsidRPr="00104A5F">
              <w:rPr>
                <w:rFonts w:ascii="Calibri" w:hAnsi="Calibri" w:cs="Calibri"/>
                <w:b/>
                <w:bCs/>
              </w:rPr>
              <w:t>Task</w:t>
            </w:r>
          </w:p>
        </w:tc>
        <w:tc>
          <w:tcPr>
            <w:tcW w:w="2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3263E" w14:textId="77777777" w:rsidR="005763FC" w:rsidRPr="00104A5F" w:rsidRDefault="005763FC">
            <w:pPr>
              <w:rPr>
                <w:rFonts w:ascii="Calibri" w:hAnsi="Calibri" w:cs="Calibri"/>
                <w:b/>
                <w:bCs/>
              </w:rPr>
            </w:pPr>
            <w:r w:rsidRPr="00104A5F">
              <w:rPr>
                <w:rFonts w:ascii="Calibri" w:hAnsi="Calibri" w:cs="Calibri"/>
                <w:b/>
                <w:bCs/>
              </w:rPr>
              <w:t>Date</w:t>
            </w:r>
          </w:p>
        </w:tc>
      </w:tr>
      <w:tr w:rsidR="005763FC" w:rsidRPr="00EA25AC" w14:paraId="38C742DE" w14:textId="77777777" w:rsidTr="001F1895">
        <w:trPr>
          <w:trHeight w:val="37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B3871" w14:textId="77777777" w:rsidR="005763FC" w:rsidRPr="00EA25AC" w:rsidRDefault="005763FC" w:rsidP="001F1895">
            <w:pPr>
              <w:pStyle w:val="ListParagraph"/>
              <w:numPr>
                <w:ilvl w:val="0"/>
                <w:numId w:val="4"/>
              </w:numPr>
              <w:rPr>
                <w:rFonts w:ascii="Calibri" w:hAnsi="Calibri" w:cs="Calibri"/>
              </w:rPr>
            </w:pPr>
          </w:p>
        </w:tc>
        <w:tc>
          <w:tcPr>
            <w:tcW w:w="4711" w:type="dxa"/>
            <w:tcBorders>
              <w:top w:val="nil"/>
              <w:left w:val="nil"/>
              <w:bottom w:val="single" w:sz="8" w:space="0" w:color="auto"/>
              <w:right w:val="single" w:sz="8" w:space="0" w:color="auto"/>
            </w:tcBorders>
            <w:tcMar>
              <w:top w:w="0" w:type="dxa"/>
              <w:left w:w="108" w:type="dxa"/>
              <w:bottom w:w="0" w:type="dxa"/>
              <w:right w:w="108" w:type="dxa"/>
            </w:tcMar>
            <w:hideMark/>
          </w:tcPr>
          <w:p w14:paraId="47914ED2" w14:textId="77777777" w:rsidR="005763FC" w:rsidRPr="00EA25AC" w:rsidRDefault="005763FC">
            <w:pPr>
              <w:rPr>
                <w:rFonts w:eastAsiaTheme="minorHAnsi"/>
                <w:color w:val="000000"/>
                <w:spacing w:val="6"/>
                <w:sz w:val="20"/>
                <w:szCs w:val="20"/>
              </w:rPr>
            </w:pPr>
            <w:r w:rsidRPr="00EA25AC">
              <w:rPr>
                <w:color w:val="000000"/>
                <w:spacing w:val="6"/>
                <w:sz w:val="20"/>
                <w:szCs w:val="20"/>
              </w:rPr>
              <w:t>Appointment of the two-levels Committees</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2C89AD3A" w14:textId="77777777" w:rsidR="005763FC" w:rsidRPr="00EA25AC" w:rsidRDefault="005763FC">
            <w:pPr>
              <w:rPr>
                <w:color w:val="000000"/>
                <w:spacing w:val="6"/>
                <w:sz w:val="20"/>
                <w:szCs w:val="20"/>
              </w:rPr>
            </w:pPr>
            <w:r w:rsidRPr="00EA25AC">
              <w:rPr>
                <w:color w:val="000000"/>
                <w:spacing w:val="6"/>
                <w:sz w:val="20"/>
                <w:szCs w:val="20"/>
              </w:rPr>
              <w:t>10</w:t>
            </w:r>
            <w:r w:rsidRPr="00EA25AC">
              <w:rPr>
                <w:color w:val="000000"/>
                <w:spacing w:val="6"/>
                <w:sz w:val="20"/>
                <w:szCs w:val="20"/>
                <w:vertAlign w:val="superscript"/>
              </w:rPr>
              <w:t>th</w:t>
            </w:r>
            <w:r w:rsidRPr="00EA25AC">
              <w:rPr>
                <w:color w:val="000000"/>
                <w:spacing w:val="6"/>
                <w:sz w:val="20"/>
                <w:szCs w:val="20"/>
              </w:rPr>
              <w:t xml:space="preserve"> – 20</w:t>
            </w:r>
            <w:r w:rsidRPr="00EA25AC">
              <w:rPr>
                <w:color w:val="000000"/>
                <w:spacing w:val="6"/>
                <w:sz w:val="20"/>
                <w:szCs w:val="20"/>
                <w:vertAlign w:val="superscript"/>
              </w:rPr>
              <w:t>th</w:t>
            </w:r>
            <w:r w:rsidRPr="00EA25AC">
              <w:rPr>
                <w:color w:val="000000"/>
                <w:spacing w:val="6"/>
                <w:sz w:val="20"/>
                <w:szCs w:val="20"/>
              </w:rPr>
              <w:t xml:space="preserve"> October 2020</w:t>
            </w:r>
          </w:p>
        </w:tc>
      </w:tr>
      <w:tr w:rsidR="005763FC" w:rsidRPr="00EA25AC" w14:paraId="12DC9D32" w14:textId="77777777" w:rsidTr="001F1895">
        <w:trPr>
          <w:trHeight w:val="37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5D0C59" w14:textId="77777777" w:rsidR="005763FC" w:rsidRPr="00EA25AC" w:rsidRDefault="005763FC" w:rsidP="001F1895">
            <w:pPr>
              <w:pStyle w:val="ListParagraph"/>
              <w:numPr>
                <w:ilvl w:val="0"/>
                <w:numId w:val="4"/>
              </w:numPr>
            </w:pPr>
          </w:p>
        </w:tc>
        <w:tc>
          <w:tcPr>
            <w:tcW w:w="4711" w:type="dxa"/>
            <w:tcBorders>
              <w:top w:val="nil"/>
              <w:left w:val="nil"/>
              <w:bottom w:val="single" w:sz="8" w:space="0" w:color="auto"/>
              <w:right w:val="single" w:sz="8" w:space="0" w:color="auto"/>
            </w:tcBorders>
            <w:tcMar>
              <w:top w:w="0" w:type="dxa"/>
              <w:left w:w="108" w:type="dxa"/>
              <w:bottom w:w="0" w:type="dxa"/>
              <w:right w:w="108" w:type="dxa"/>
            </w:tcMar>
            <w:hideMark/>
          </w:tcPr>
          <w:p w14:paraId="3FAF9A08" w14:textId="77777777" w:rsidR="005763FC" w:rsidRPr="00EA25AC" w:rsidRDefault="005763FC">
            <w:pPr>
              <w:rPr>
                <w:rFonts w:eastAsiaTheme="minorHAnsi"/>
                <w:color w:val="000000"/>
                <w:spacing w:val="6"/>
                <w:sz w:val="20"/>
                <w:szCs w:val="20"/>
              </w:rPr>
            </w:pPr>
            <w:r w:rsidRPr="00EA25AC">
              <w:rPr>
                <w:color w:val="000000"/>
                <w:spacing w:val="6"/>
                <w:sz w:val="20"/>
                <w:szCs w:val="20"/>
              </w:rPr>
              <w:t>Establishment and Training of the Committees</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4EB50DBB" w14:textId="77777777" w:rsidR="005763FC" w:rsidRPr="00EA25AC" w:rsidRDefault="005763FC">
            <w:pPr>
              <w:rPr>
                <w:color w:val="000000"/>
                <w:spacing w:val="6"/>
                <w:sz w:val="20"/>
                <w:szCs w:val="20"/>
              </w:rPr>
            </w:pPr>
            <w:r w:rsidRPr="00EA25AC">
              <w:rPr>
                <w:color w:val="000000"/>
                <w:spacing w:val="6"/>
                <w:sz w:val="20"/>
                <w:szCs w:val="20"/>
              </w:rPr>
              <w:t>20</w:t>
            </w:r>
            <w:r w:rsidRPr="00EA25AC">
              <w:rPr>
                <w:color w:val="000000"/>
                <w:spacing w:val="6"/>
                <w:sz w:val="20"/>
                <w:szCs w:val="20"/>
                <w:vertAlign w:val="superscript"/>
              </w:rPr>
              <w:t>th</w:t>
            </w:r>
            <w:r w:rsidRPr="00EA25AC">
              <w:rPr>
                <w:color w:val="000000"/>
                <w:spacing w:val="6"/>
                <w:sz w:val="20"/>
                <w:szCs w:val="20"/>
              </w:rPr>
              <w:t xml:space="preserve"> – 31</w:t>
            </w:r>
            <w:r w:rsidRPr="00EA25AC">
              <w:rPr>
                <w:color w:val="000000"/>
                <w:spacing w:val="6"/>
                <w:sz w:val="20"/>
                <w:szCs w:val="20"/>
                <w:vertAlign w:val="superscript"/>
              </w:rPr>
              <w:t>st</w:t>
            </w:r>
            <w:r w:rsidRPr="00EA25AC">
              <w:rPr>
                <w:color w:val="000000"/>
                <w:spacing w:val="6"/>
                <w:sz w:val="20"/>
                <w:szCs w:val="20"/>
              </w:rPr>
              <w:t xml:space="preserve"> October 2020</w:t>
            </w:r>
          </w:p>
        </w:tc>
      </w:tr>
      <w:tr w:rsidR="005763FC" w:rsidRPr="00EA25AC" w14:paraId="5AB6551E" w14:textId="77777777" w:rsidTr="001F1895">
        <w:trPr>
          <w:trHeight w:val="37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74DF9" w14:textId="77777777" w:rsidR="005763FC" w:rsidRPr="00EA25AC" w:rsidRDefault="005763FC" w:rsidP="001F1895">
            <w:pPr>
              <w:pStyle w:val="ListParagraph"/>
              <w:numPr>
                <w:ilvl w:val="0"/>
                <w:numId w:val="4"/>
              </w:numPr>
            </w:pPr>
          </w:p>
        </w:tc>
        <w:tc>
          <w:tcPr>
            <w:tcW w:w="4711" w:type="dxa"/>
            <w:tcBorders>
              <w:top w:val="nil"/>
              <w:left w:val="nil"/>
              <w:bottom w:val="single" w:sz="8" w:space="0" w:color="auto"/>
              <w:right w:val="single" w:sz="8" w:space="0" w:color="auto"/>
            </w:tcBorders>
            <w:tcMar>
              <w:top w:w="0" w:type="dxa"/>
              <w:left w:w="108" w:type="dxa"/>
              <w:bottom w:w="0" w:type="dxa"/>
              <w:right w:w="108" w:type="dxa"/>
            </w:tcMar>
            <w:hideMark/>
          </w:tcPr>
          <w:p w14:paraId="45C715E2" w14:textId="77777777" w:rsidR="005763FC" w:rsidRPr="00EA25AC" w:rsidRDefault="005763FC">
            <w:pPr>
              <w:rPr>
                <w:rFonts w:eastAsiaTheme="minorHAnsi"/>
                <w:color w:val="000000"/>
                <w:spacing w:val="6"/>
                <w:sz w:val="20"/>
                <w:szCs w:val="20"/>
              </w:rPr>
            </w:pPr>
            <w:r w:rsidRPr="00EA25AC">
              <w:rPr>
                <w:color w:val="000000"/>
                <w:spacing w:val="6"/>
                <w:sz w:val="20"/>
                <w:szCs w:val="20"/>
              </w:rPr>
              <w:t>Selection and Preparation of the Delegates and Polling Stations</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019F636F" w14:textId="77777777" w:rsidR="005763FC" w:rsidRPr="00EA25AC" w:rsidRDefault="005763FC">
            <w:pPr>
              <w:rPr>
                <w:color w:val="000000"/>
                <w:spacing w:val="6"/>
                <w:sz w:val="20"/>
                <w:szCs w:val="20"/>
              </w:rPr>
            </w:pPr>
            <w:r w:rsidRPr="00EA25AC">
              <w:rPr>
                <w:color w:val="000000"/>
                <w:spacing w:val="6"/>
                <w:sz w:val="20"/>
                <w:szCs w:val="20"/>
              </w:rPr>
              <w:t>1</w:t>
            </w:r>
            <w:r w:rsidRPr="00EA25AC">
              <w:rPr>
                <w:color w:val="000000"/>
                <w:spacing w:val="6"/>
                <w:sz w:val="20"/>
                <w:szCs w:val="20"/>
                <w:vertAlign w:val="superscript"/>
              </w:rPr>
              <w:t>st</w:t>
            </w:r>
            <w:r w:rsidRPr="00EA25AC">
              <w:rPr>
                <w:color w:val="000000"/>
                <w:spacing w:val="6"/>
                <w:sz w:val="20"/>
                <w:szCs w:val="20"/>
              </w:rPr>
              <w:t xml:space="preserve"> November – 30th November 2020</w:t>
            </w:r>
          </w:p>
        </w:tc>
      </w:tr>
      <w:tr w:rsidR="005763FC" w:rsidRPr="00EA25AC" w14:paraId="0802284B" w14:textId="77777777" w:rsidTr="001F1895">
        <w:trPr>
          <w:trHeight w:val="37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EC37CB" w14:textId="77777777" w:rsidR="005763FC" w:rsidRPr="00EA25AC" w:rsidRDefault="005763FC" w:rsidP="001F1895">
            <w:pPr>
              <w:pStyle w:val="ListParagraph"/>
              <w:numPr>
                <w:ilvl w:val="0"/>
                <w:numId w:val="4"/>
              </w:numPr>
            </w:pPr>
          </w:p>
        </w:tc>
        <w:tc>
          <w:tcPr>
            <w:tcW w:w="4711" w:type="dxa"/>
            <w:tcBorders>
              <w:top w:val="nil"/>
              <w:left w:val="nil"/>
              <w:bottom w:val="single" w:sz="8" w:space="0" w:color="auto"/>
              <w:right w:val="single" w:sz="8" w:space="0" w:color="auto"/>
            </w:tcBorders>
            <w:tcMar>
              <w:top w:w="0" w:type="dxa"/>
              <w:left w:w="108" w:type="dxa"/>
              <w:bottom w:w="0" w:type="dxa"/>
              <w:right w:w="108" w:type="dxa"/>
            </w:tcMar>
            <w:hideMark/>
          </w:tcPr>
          <w:p w14:paraId="44252829" w14:textId="77777777" w:rsidR="005763FC" w:rsidRPr="00EA25AC" w:rsidRDefault="005763FC">
            <w:pPr>
              <w:rPr>
                <w:rFonts w:eastAsiaTheme="minorHAnsi"/>
                <w:color w:val="000000"/>
                <w:spacing w:val="6"/>
                <w:sz w:val="20"/>
                <w:szCs w:val="20"/>
              </w:rPr>
            </w:pPr>
            <w:r w:rsidRPr="00EA25AC">
              <w:rPr>
                <w:color w:val="000000"/>
                <w:spacing w:val="6"/>
                <w:sz w:val="20"/>
                <w:szCs w:val="20"/>
              </w:rPr>
              <w:t>Election of the Upper House</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60827653" w14:textId="77777777" w:rsidR="005763FC" w:rsidRPr="00EA25AC" w:rsidRDefault="005763FC">
            <w:pPr>
              <w:rPr>
                <w:color w:val="000000"/>
                <w:spacing w:val="6"/>
                <w:sz w:val="20"/>
                <w:szCs w:val="20"/>
              </w:rPr>
            </w:pPr>
            <w:r w:rsidRPr="00EA25AC">
              <w:rPr>
                <w:color w:val="000000"/>
                <w:spacing w:val="6"/>
                <w:sz w:val="20"/>
                <w:szCs w:val="20"/>
              </w:rPr>
              <w:t>1</w:t>
            </w:r>
            <w:r w:rsidRPr="00EA25AC">
              <w:rPr>
                <w:color w:val="000000"/>
                <w:spacing w:val="6"/>
                <w:sz w:val="20"/>
                <w:szCs w:val="20"/>
                <w:vertAlign w:val="superscript"/>
              </w:rPr>
              <w:t>st</w:t>
            </w:r>
            <w:r w:rsidRPr="00EA25AC">
              <w:rPr>
                <w:color w:val="000000"/>
                <w:spacing w:val="6"/>
                <w:sz w:val="20"/>
                <w:szCs w:val="20"/>
              </w:rPr>
              <w:t xml:space="preserve"> December – 10</w:t>
            </w:r>
            <w:r w:rsidRPr="00EA25AC">
              <w:rPr>
                <w:color w:val="000000"/>
                <w:spacing w:val="6"/>
                <w:sz w:val="20"/>
                <w:szCs w:val="20"/>
                <w:vertAlign w:val="superscript"/>
              </w:rPr>
              <w:t>th</w:t>
            </w:r>
            <w:r w:rsidRPr="00EA25AC">
              <w:rPr>
                <w:color w:val="000000"/>
                <w:spacing w:val="6"/>
                <w:sz w:val="20"/>
                <w:szCs w:val="20"/>
              </w:rPr>
              <w:t>  December 2020</w:t>
            </w:r>
          </w:p>
        </w:tc>
      </w:tr>
      <w:tr w:rsidR="005763FC" w:rsidRPr="00EA25AC" w14:paraId="7171848A" w14:textId="77777777" w:rsidTr="001F1895">
        <w:trPr>
          <w:trHeight w:val="37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D08C6D" w14:textId="77777777" w:rsidR="005763FC" w:rsidRPr="00EA25AC" w:rsidRDefault="005763FC" w:rsidP="001F1895">
            <w:pPr>
              <w:pStyle w:val="ListParagraph"/>
              <w:numPr>
                <w:ilvl w:val="0"/>
                <w:numId w:val="4"/>
              </w:numPr>
            </w:pPr>
          </w:p>
        </w:tc>
        <w:tc>
          <w:tcPr>
            <w:tcW w:w="4711" w:type="dxa"/>
            <w:tcBorders>
              <w:top w:val="nil"/>
              <w:left w:val="nil"/>
              <w:bottom w:val="single" w:sz="8" w:space="0" w:color="auto"/>
              <w:right w:val="single" w:sz="8" w:space="0" w:color="auto"/>
            </w:tcBorders>
            <w:tcMar>
              <w:top w:w="0" w:type="dxa"/>
              <w:left w:w="108" w:type="dxa"/>
              <w:bottom w:w="0" w:type="dxa"/>
              <w:right w:w="108" w:type="dxa"/>
            </w:tcMar>
            <w:hideMark/>
          </w:tcPr>
          <w:p w14:paraId="3CA820DE" w14:textId="77777777" w:rsidR="005763FC" w:rsidRPr="00EA25AC" w:rsidRDefault="005763FC">
            <w:pPr>
              <w:rPr>
                <w:rFonts w:eastAsiaTheme="minorHAnsi"/>
                <w:color w:val="000000"/>
                <w:spacing w:val="6"/>
                <w:sz w:val="20"/>
                <w:szCs w:val="20"/>
              </w:rPr>
            </w:pPr>
            <w:r w:rsidRPr="00EA25AC">
              <w:rPr>
                <w:color w:val="000000"/>
                <w:spacing w:val="6"/>
                <w:sz w:val="20"/>
                <w:szCs w:val="20"/>
              </w:rPr>
              <w:t>Election of the Members of the House of the People</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1901B460" w14:textId="77777777" w:rsidR="005763FC" w:rsidRPr="00EA25AC" w:rsidRDefault="005763FC">
            <w:pPr>
              <w:rPr>
                <w:color w:val="000000"/>
                <w:spacing w:val="6"/>
                <w:sz w:val="20"/>
                <w:szCs w:val="20"/>
              </w:rPr>
            </w:pPr>
            <w:r w:rsidRPr="00EA25AC">
              <w:rPr>
                <w:color w:val="000000"/>
                <w:spacing w:val="6"/>
                <w:sz w:val="20"/>
                <w:szCs w:val="20"/>
              </w:rPr>
              <w:t>10</w:t>
            </w:r>
            <w:r w:rsidRPr="00EA25AC">
              <w:rPr>
                <w:color w:val="000000"/>
                <w:spacing w:val="6"/>
                <w:sz w:val="20"/>
                <w:szCs w:val="20"/>
                <w:vertAlign w:val="superscript"/>
              </w:rPr>
              <w:t>th</w:t>
            </w:r>
            <w:r w:rsidRPr="00EA25AC">
              <w:rPr>
                <w:color w:val="000000"/>
                <w:spacing w:val="6"/>
                <w:sz w:val="20"/>
                <w:szCs w:val="20"/>
              </w:rPr>
              <w:t xml:space="preserve"> – 27</w:t>
            </w:r>
            <w:r w:rsidRPr="00EA25AC">
              <w:rPr>
                <w:color w:val="000000"/>
                <w:spacing w:val="6"/>
                <w:sz w:val="20"/>
                <w:szCs w:val="20"/>
                <w:vertAlign w:val="superscript"/>
              </w:rPr>
              <w:t>th</w:t>
            </w:r>
            <w:r w:rsidRPr="00EA25AC">
              <w:rPr>
                <w:color w:val="000000"/>
                <w:spacing w:val="6"/>
                <w:sz w:val="20"/>
                <w:szCs w:val="20"/>
              </w:rPr>
              <w:t xml:space="preserve"> December 2020</w:t>
            </w:r>
          </w:p>
        </w:tc>
      </w:tr>
      <w:tr w:rsidR="005763FC" w:rsidRPr="00EA25AC" w14:paraId="3072A624" w14:textId="77777777" w:rsidTr="001F1895">
        <w:trPr>
          <w:trHeight w:val="37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F68EC8" w14:textId="77777777" w:rsidR="005763FC" w:rsidRPr="00EA25AC" w:rsidRDefault="005763FC" w:rsidP="001F1895">
            <w:pPr>
              <w:pStyle w:val="ListParagraph"/>
              <w:numPr>
                <w:ilvl w:val="0"/>
                <w:numId w:val="4"/>
              </w:numPr>
            </w:pPr>
          </w:p>
        </w:tc>
        <w:tc>
          <w:tcPr>
            <w:tcW w:w="4711" w:type="dxa"/>
            <w:tcBorders>
              <w:top w:val="nil"/>
              <w:left w:val="nil"/>
              <w:bottom w:val="single" w:sz="8" w:space="0" w:color="auto"/>
              <w:right w:val="single" w:sz="8" w:space="0" w:color="auto"/>
            </w:tcBorders>
            <w:tcMar>
              <w:top w:w="0" w:type="dxa"/>
              <w:left w:w="108" w:type="dxa"/>
              <w:bottom w:w="0" w:type="dxa"/>
              <w:right w:w="108" w:type="dxa"/>
            </w:tcMar>
            <w:hideMark/>
          </w:tcPr>
          <w:p w14:paraId="4FD050D1" w14:textId="77777777" w:rsidR="005763FC" w:rsidRPr="00EA25AC" w:rsidRDefault="005763FC">
            <w:pPr>
              <w:rPr>
                <w:rFonts w:eastAsiaTheme="minorHAnsi"/>
                <w:color w:val="000000"/>
                <w:spacing w:val="6"/>
                <w:sz w:val="20"/>
                <w:szCs w:val="20"/>
              </w:rPr>
            </w:pPr>
            <w:r w:rsidRPr="00EA25AC">
              <w:rPr>
                <w:color w:val="000000"/>
                <w:spacing w:val="6"/>
                <w:sz w:val="20"/>
                <w:szCs w:val="20"/>
              </w:rPr>
              <w:t>Election of the Leadership [of the Houses] and the President of the FG</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14:paraId="05B94AAE" w14:textId="77777777" w:rsidR="005763FC" w:rsidRPr="00EA25AC" w:rsidRDefault="005763FC">
            <w:pPr>
              <w:rPr>
                <w:color w:val="000000"/>
                <w:spacing w:val="6"/>
                <w:sz w:val="20"/>
                <w:szCs w:val="20"/>
              </w:rPr>
            </w:pPr>
            <w:r w:rsidRPr="00EA25AC">
              <w:rPr>
                <w:color w:val="000000"/>
                <w:spacing w:val="6"/>
                <w:sz w:val="20"/>
                <w:szCs w:val="20"/>
              </w:rPr>
              <w:t>1</w:t>
            </w:r>
            <w:r w:rsidRPr="00EA25AC">
              <w:rPr>
                <w:color w:val="000000"/>
                <w:spacing w:val="6"/>
                <w:sz w:val="20"/>
                <w:szCs w:val="20"/>
                <w:vertAlign w:val="superscript"/>
              </w:rPr>
              <w:t>st</w:t>
            </w:r>
            <w:r w:rsidRPr="00EA25AC">
              <w:rPr>
                <w:color w:val="000000"/>
                <w:spacing w:val="6"/>
                <w:sz w:val="20"/>
                <w:szCs w:val="20"/>
              </w:rPr>
              <w:t xml:space="preserve"> January – 8</w:t>
            </w:r>
            <w:r w:rsidRPr="00EA25AC">
              <w:rPr>
                <w:color w:val="000000"/>
                <w:spacing w:val="6"/>
                <w:sz w:val="20"/>
                <w:szCs w:val="20"/>
                <w:vertAlign w:val="superscript"/>
              </w:rPr>
              <w:t>th</w:t>
            </w:r>
            <w:r w:rsidRPr="00EA25AC">
              <w:rPr>
                <w:color w:val="000000"/>
                <w:spacing w:val="6"/>
                <w:sz w:val="20"/>
                <w:szCs w:val="20"/>
              </w:rPr>
              <w:t xml:space="preserve"> February 2021</w:t>
            </w:r>
          </w:p>
        </w:tc>
      </w:tr>
    </w:tbl>
    <w:p w14:paraId="395C7E02" w14:textId="07934A30" w:rsidR="005763FC" w:rsidRPr="00EA25AC" w:rsidRDefault="005763FC" w:rsidP="005763FC">
      <w:pPr>
        <w:spacing w:after="144" w:line="297" w:lineRule="exact"/>
        <w:ind w:right="3744"/>
        <w:rPr>
          <w:rFonts w:eastAsiaTheme="minorHAnsi"/>
          <w:b/>
          <w:bCs/>
          <w:color w:val="000000"/>
          <w:spacing w:val="-6"/>
          <w:sz w:val="18"/>
          <w:szCs w:val="18"/>
        </w:rPr>
      </w:pPr>
    </w:p>
    <w:p w14:paraId="5D953F78" w14:textId="6D4C1858" w:rsidR="005763FC" w:rsidRPr="00CB7F22" w:rsidRDefault="005763FC" w:rsidP="008148B5">
      <w:pPr>
        <w:ind w:left="-810"/>
        <w:jc w:val="both"/>
        <w:rPr>
          <w:bCs/>
          <w:iCs/>
        </w:rPr>
      </w:pPr>
    </w:p>
    <w:p w14:paraId="4A588057" w14:textId="5EFC7385" w:rsidR="00AB6BB2" w:rsidRPr="00EA25AC" w:rsidRDefault="00BD4F74" w:rsidP="00850D6E">
      <w:pPr>
        <w:ind w:left="-810"/>
        <w:jc w:val="both"/>
        <w:rPr>
          <w:bCs/>
          <w:iCs/>
        </w:rPr>
      </w:pPr>
      <w:r w:rsidRPr="00C43603">
        <w:rPr>
          <w:bCs/>
          <w:iCs/>
        </w:rPr>
        <w:t xml:space="preserve">Following </w:t>
      </w:r>
      <w:r w:rsidR="00601CC1" w:rsidRPr="00C43603">
        <w:rPr>
          <w:bCs/>
          <w:iCs/>
        </w:rPr>
        <w:t>the Mogadishu Agreement and in</w:t>
      </w:r>
      <w:r w:rsidR="009A7B1A" w:rsidRPr="00300616">
        <w:rPr>
          <w:bCs/>
          <w:iCs/>
        </w:rPr>
        <w:t xml:space="preserve"> line with the IESG mandate to support and advise the NIEC, a new workplan has been discussed between the </w:t>
      </w:r>
      <w:r w:rsidR="00284E86" w:rsidRPr="00EA25AC">
        <w:rPr>
          <w:bCs/>
          <w:iCs/>
        </w:rPr>
        <w:t>IESG and NIEC legal teams</w:t>
      </w:r>
      <w:r w:rsidR="009A7B1A" w:rsidRPr="00EA25AC">
        <w:rPr>
          <w:bCs/>
          <w:iCs/>
        </w:rPr>
        <w:t xml:space="preserve"> including the revision of the  electoral legal framework affecting the EDR process</w:t>
      </w:r>
      <w:r w:rsidR="00850D6E" w:rsidRPr="00EA25AC">
        <w:rPr>
          <w:bCs/>
          <w:iCs/>
        </w:rPr>
        <w:t xml:space="preserve"> involving mainly the core legislation on the electoral process: the Electoral Law and Re</w:t>
      </w:r>
      <w:r w:rsidR="00D7077F" w:rsidRPr="00EA25AC">
        <w:rPr>
          <w:bCs/>
          <w:iCs/>
        </w:rPr>
        <w:t>solution</w:t>
      </w:r>
      <w:r w:rsidR="00850D6E" w:rsidRPr="00EA25AC">
        <w:rPr>
          <w:bCs/>
          <w:iCs/>
        </w:rPr>
        <w:t>s issued by the House of People, the amended Political Parties Law</w:t>
      </w:r>
      <w:r w:rsidR="00060D59" w:rsidRPr="00EA25AC">
        <w:rPr>
          <w:bCs/>
          <w:iCs/>
        </w:rPr>
        <w:t xml:space="preserve"> and</w:t>
      </w:r>
      <w:r w:rsidR="00850D6E" w:rsidRPr="00EA25AC">
        <w:rPr>
          <w:bCs/>
          <w:iCs/>
        </w:rPr>
        <w:t xml:space="preserve"> the NIEC Establishment Law.</w:t>
      </w:r>
      <w:r w:rsidRPr="00EA25AC">
        <w:rPr>
          <w:bCs/>
          <w:iCs/>
        </w:rPr>
        <w:t xml:space="preserve"> It is expected that when a new parliament is elected, the NIEC will submit a request to have the electoral legislation revised to ensure it is </w:t>
      </w:r>
      <w:r w:rsidR="00AE02B8" w:rsidRPr="00EA25AC">
        <w:rPr>
          <w:bCs/>
          <w:iCs/>
        </w:rPr>
        <w:t>aligned</w:t>
      </w:r>
      <w:r w:rsidRPr="00EA25AC">
        <w:rPr>
          <w:bCs/>
          <w:iCs/>
        </w:rPr>
        <w:t xml:space="preserve"> with the constitutional provisions and </w:t>
      </w:r>
      <w:r w:rsidR="00284E86" w:rsidRPr="00EA25AC">
        <w:rPr>
          <w:bCs/>
          <w:iCs/>
        </w:rPr>
        <w:t xml:space="preserve">that the electoral law </w:t>
      </w:r>
      <w:r w:rsidRPr="00EA25AC">
        <w:rPr>
          <w:bCs/>
          <w:iCs/>
        </w:rPr>
        <w:t xml:space="preserve">implementable. </w:t>
      </w:r>
    </w:p>
    <w:p w14:paraId="45537D94" w14:textId="77777777" w:rsidR="00850D6E" w:rsidRPr="00EA25AC" w:rsidRDefault="00850D6E" w:rsidP="00850D6E">
      <w:pPr>
        <w:ind w:left="-810"/>
        <w:jc w:val="both"/>
        <w:rPr>
          <w:bCs/>
          <w:iCs/>
        </w:rPr>
      </w:pPr>
    </w:p>
    <w:bookmarkEnd w:id="11"/>
    <w:bookmarkEnd w:id="12"/>
    <w:p w14:paraId="3DE0BE1A" w14:textId="7157B1DF" w:rsidR="00A7681F" w:rsidRDefault="0047619C" w:rsidP="00A7681F">
      <w:pPr>
        <w:ind w:left="-810"/>
        <w:jc w:val="both"/>
        <w:rPr>
          <w:bCs/>
          <w:iCs/>
        </w:rPr>
      </w:pPr>
      <w:r w:rsidRPr="00EA25AC">
        <w:rPr>
          <w:bCs/>
          <w:iCs/>
        </w:rPr>
        <w:t>The r</w:t>
      </w:r>
      <w:r w:rsidR="00CD3076" w:rsidRPr="00EA25AC">
        <w:rPr>
          <w:bCs/>
          <w:iCs/>
        </w:rPr>
        <w:t>ecruitment o</w:t>
      </w:r>
      <w:r w:rsidR="00284E86" w:rsidRPr="00EA25AC">
        <w:rPr>
          <w:bCs/>
          <w:iCs/>
        </w:rPr>
        <w:t xml:space="preserve">f an </w:t>
      </w:r>
      <w:sdt>
        <w:sdtPr>
          <w:id w:val="1436945258"/>
          <w:placeholder>
            <w:docPart w:val="B0D8E1F2C627443993B7CB12D74B2D3F"/>
          </w:placeholder>
          <w:text/>
        </w:sdtPr>
        <w:sdtEndPr/>
        <w:sdtContent>
          <w:r w:rsidR="00CD3076" w:rsidRPr="00CB7F22">
            <w:t xml:space="preserve">Electoral Technical Specialist (on electoral dispute resolution, electoral procedures and/or training) for the effective delivery of the project and to </w:t>
          </w:r>
        </w:sdtContent>
      </w:sdt>
      <w:r w:rsidR="00CD3076" w:rsidRPr="00CB7F22">
        <w:t xml:space="preserve"> </w:t>
      </w:r>
      <w:bookmarkStart w:id="13" w:name="_Hlk55064561"/>
      <w:r w:rsidR="00CD3076" w:rsidRPr="00CB7F22">
        <w:t xml:space="preserve">provide support </w:t>
      </w:r>
      <w:r w:rsidR="00284E86" w:rsidRPr="00CB7F22">
        <w:t xml:space="preserve">both to the new agreed indirect electoral process as well as </w:t>
      </w:r>
      <w:r w:rsidR="00CD3076" w:rsidRPr="00CB7F22">
        <w:t>to the NIEC to put in place a</w:t>
      </w:r>
      <w:r w:rsidR="00284E86" w:rsidRPr="00CB7F22">
        <w:t xml:space="preserve">n </w:t>
      </w:r>
      <w:r w:rsidR="00CD3076" w:rsidRPr="00CB7F22">
        <w:t xml:space="preserve">electoral dispute resolution mechanism has been completed. </w:t>
      </w:r>
      <w:bookmarkEnd w:id="13"/>
      <w:r w:rsidR="00CD3076" w:rsidRPr="00CB7F22">
        <w:t>The</w:t>
      </w:r>
      <w:r w:rsidR="00167AE7" w:rsidRPr="00CB7F22">
        <w:t xml:space="preserve"> </w:t>
      </w:r>
      <w:r w:rsidR="00645C2C" w:rsidRPr="00CB7F22">
        <w:t xml:space="preserve">Electoral Technical Specialist (on electoral dispute resolution, electoral procedures and/or training) </w:t>
      </w:r>
      <w:r w:rsidR="00167AE7" w:rsidRPr="00CB7F22">
        <w:t>join</w:t>
      </w:r>
      <w:r w:rsidR="00A7681F" w:rsidRPr="00CB7F22">
        <w:t>ed</w:t>
      </w:r>
      <w:r w:rsidR="00167AE7" w:rsidRPr="00CB7F22">
        <w:t xml:space="preserve"> IESG on 1</w:t>
      </w:r>
      <w:r w:rsidR="00167AE7" w:rsidRPr="00CB7F22">
        <w:rPr>
          <w:vertAlign w:val="superscript"/>
        </w:rPr>
        <w:t xml:space="preserve"> </w:t>
      </w:r>
      <w:r w:rsidR="00167AE7" w:rsidRPr="00CB7F22">
        <w:t>November.</w:t>
      </w:r>
      <w:r w:rsidR="00CD3076" w:rsidRPr="00CB7F22">
        <w:t xml:space="preserve"> </w:t>
      </w:r>
    </w:p>
    <w:p w14:paraId="303C9374" w14:textId="77777777" w:rsidR="00A7681F" w:rsidRPr="00A7681F" w:rsidRDefault="00A7681F" w:rsidP="00A7681F">
      <w:pPr>
        <w:ind w:left="-810"/>
        <w:jc w:val="both"/>
        <w:rPr>
          <w:b/>
          <w:iCs/>
        </w:rPr>
      </w:pPr>
    </w:p>
    <w:p w14:paraId="4085C9C5" w14:textId="2DD27241" w:rsidR="00CD3076" w:rsidRPr="00A7681F" w:rsidRDefault="00A7681F" w:rsidP="00A7681F">
      <w:pPr>
        <w:ind w:left="-810"/>
        <w:jc w:val="both"/>
        <w:rPr>
          <w:b/>
        </w:rPr>
      </w:pPr>
      <w:r w:rsidRPr="00A7681F">
        <w:rPr>
          <w:b/>
        </w:rPr>
        <w:t xml:space="preserve">Output 2: </w:t>
      </w:r>
      <w:bookmarkStart w:id="14" w:name="_Hlk18918294"/>
      <w:r w:rsidRPr="00A7681F">
        <w:rPr>
          <w:b/>
        </w:rPr>
        <w:t>NIEC stakeholder outreach and EDR facilities are developed at NIEC HQ, including security enhancements</w:t>
      </w:r>
      <w:bookmarkEnd w:id="14"/>
      <w:r w:rsidRPr="00A7681F">
        <w:rPr>
          <w:b/>
        </w:rPr>
        <w:t xml:space="preserve"> (</w:t>
      </w:r>
      <w:r w:rsidR="00F56010" w:rsidRPr="00A7681F">
        <w:rPr>
          <w:b/>
        </w:rPr>
        <w:t>Construction</w:t>
      </w:r>
      <w:r w:rsidRPr="00A7681F">
        <w:rPr>
          <w:b/>
        </w:rPr>
        <w:t xml:space="preserve">): </w:t>
      </w:r>
    </w:p>
    <w:p w14:paraId="72E5565E" w14:textId="77777777" w:rsidR="00A7681F" w:rsidRPr="00A7681F" w:rsidRDefault="00A7681F" w:rsidP="00A7681F">
      <w:pPr>
        <w:ind w:left="-810"/>
        <w:jc w:val="both"/>
      </w:pPr>
    </w:p>
    <w:p w14:paraId="1F34167C" w14:textId="50B5E690" w:rsidR="00F56010" w:rsidRDefault="00F56010" w:rsidP="00F56010">
      <w:pPr>
        <w:ind w:left="-810"/>
      </w:pPr>
      <w:r w:rsidRPr="00F56010">
        <w:t>Since the commencement of the project in Nov</w:t>
      </w:r>
      <w:r>
        <w:t>ember</w:t>
      </w:r>
      <w:r w:rsidRPr="00F56010">
        <w:t xml:space="preserve"> 2019, UNOPS accomplished the following: </w:t>
      </w:r>
    </w:p>
    <w:p w14:paraId="6D5AF0D6" w14:textId="77777777" w:rsidR="00A7681F" w:rsidRPr="00F56010" w:rsidRDefault="00A7681F" w:rsidP="00F56010">
      <w:pPr>
        <w:ind w:left="-810"/>
      </w:pPr>
    </w:p>
    <w:p w14:paraId="2C4F65EB" w14:textId="77777777" w:rsidR="00F56010" w:rsidRPr="00F56010" w:rsidRDefault="00F56010" w:rsidP="001F1895">
      <w:pPr>
        <w:numPr>
          <w:ilvl w:val="0"/>
          <w:numId w:val="5"/>
        </w:numPr>
        <w:contextualSpacing/>
      </w:pPr>
      <w:r w:rsidRPr="00F56010">
        <w:rPr>
          <w:b/>
          <w:bCs/>
        </w:rPr>
        <w:t>Design</w:t>
      </w:r>
      <w:r w:rsidRPr="00F56010">
        <w:t xml:space="preserve">: The concept design and detailed design of the building were completed. The design was reviewed by third parties and design certificate was obtained. </w:t>
      </w:r>
    </w:p>
    <w:p w14:paraId="7D05BE29" w14:textId="77777777" w:rsidR="00F56010" w:rsidRPr="00F56010" w:rsidRDefault="00F56010" w:rsidP="001F1895">
      <w:pPr>
        <w:numPr>
          <w:ilvl w:val="0"/>
          <w:numId w:val="5"/>
        </w:numPr>
        <w:contextualSpacing/>
      </w:pPr>
      <w:r w:rsidRPr="00F56010">
        <w:rPr>
          <w:b/>
          <w:bCs/>
        </w:rPr>
        <w:t>Procurement of the works contract</w:t>
      </w:r>
      <w:r w:rsidRPr="00F56010">
        <w:t xml:space="preserve">: The bid was launched and awarded to winning bidder. </w:t>
      </w:r>
    </w:p>
    <w:p w14:paraId="605D2A45" w14:textId="11BFAB25" w:rsidR="00F56010" w:rsidRPr="00F56010" w:rsidRDefault="00F56010" w:rsidP="001F1895">
      <w:pPr>
        <w:numPr>
          <w:ilvl w:val="0"/>
          <w:numId w:val="5"/>
        </w:numPr>
        <w:contextualSpacing/>
      </w:pPr>
      <w:r w:rsidRPr="00F56010">
        <w:rPr>
          <w:b/>
          <w:bCs/>
        </w:rPr>
        <w:t>Mobilization and start of the works:</w:t>
      </w:r>
      <w:r w:rsidRPr="00F56010">
        <w:t xml:space="preserve"> The contractor mobilized to the site and started the construction activities</w:t>
      </w:r>
      <w:r>
        <w:t xml:space="preserve"> in June 2020, work is expected to be completed by the last quarter of 2020</w:t>
      </w:r>
      <w:r w:rsidRPr="00F56010">
        <w:t xml:space="preserve">. </w:t>
      </w:r>
    </w:p>
    <w:p w14:paraId="0314BFF4" w14:textId="4E14B0EE" w:rsidR="00F56010" w:rsidRDefault="00F56010" w:rsidP="00CD3076">
      <w:pPr>
        <w:ind w:left="-810"/>
        <w:jc w:val="both"/>
        <w:rPr>
          <w:highlight w:val="yellow"/>
        </w:rPr>
      </w:pPr>
    </w:p>
    <w:p w14:paraId="43AAD940" w14:textId="371419FD" w:rsidR="00F56010" w:rsidRPr="00A7681F" w:rsidRDefault="00F56010" w:rsidP="00F56010">
      <w:pPr>
        <w:ind w:left="-810"/>
      </w:pPr>
      <w:r w:rsidRPr="00A7681F">
        <w:t xml:space="preserve">The construction of the EDRM building is expected to be </w:t>
      </w:r>
      <w:r w:rsidR="00F12A5E" w:rsidRPr="00A7681F">
        <w:t>completed by 31 Dec 2020.</w:t>
      </w:r>
    </w:p>
    <w:p w14:paraId="0AD48AA2" w14:textId="77777777" w:rsidR="00F56010" w:rsidRPr="00CD3076" w:rsidRDefault="00F56010" w:rsidP="00CD3076">
      <w:pPr>
        <w:ind w:left="-810"/>
        <w:jc w:val="both"/>
        <w:rPr>
          <w:highlight w:val="yellow"/>
        </w:rPr>
      </w:pPr>
    </w:p>
    <w:p w14:paraId="1E431AEF" w14:textId="485DF6DF" w:rsidR="00CD3076" w:rsidRPr="00783AE0" w:rsidRDefault="00CD3076" w:rsidP="00CD3076">
      <w:pPr>
        <w:ind w:left="-810"/>
        <w:jc w:val="both"/>
        <w:rPr>
          <w:b/>
          <w:iCs/>
        </w:rPr>
      </w:pPr>
      <w:r w:rsidRPr="00783AE0">
        <w:t xml:space="preserve"> </w:t>
      </w:r>
      <w:r w:rsidRPr="00783AE0">
        <w:rPr>
          <w:b/>
          <w:iCs/>
        </w:rPr>
        <w:t xml:space="preserve">Challenges include the late adoption of the electoral legal framework </w:t>
      </w:r>
    </w:p>
    <w:p w14:paraId="0F6CF840" w14:textId="77777777" w:rsidR="00CD3076" w:rsidRPr="00783AE0" w:rsidRDefault="00CD3076" w:rsidP="00CD3076">
      <w:pPr>
        <w:ind w:left="-810"/>
        <w:jc w:val="both"/>
        <w:rPr>
          <w:bCs/>
          <w:iCs/>
        </w:rPr>
      </w:pPr>
    </w:p>
    <w:p w14:paraId="627C7648" w14:textId="2E5497D2" w:rsidR="00CD3076" w:rsidRPr="00783AE0" w:rsidRDefault="00AE02B8" w:rsidP="00CD3076">
      <w:pPr>
        <w:ind w:left="-810"/>
        <w:jc w:val="both"/>
        <w:rPr>
          <w:bCs/>
          <w:iCs/>
        </w:rPr>
      </w:pPr>
      <w:r>
        <w:rPr>
          <w:bCs/>
          <w:iCs/>
        </w:rPr>
        <w:t xml:space="preserve">The </w:t>
      </w:r>
      <w:r w:rsidR="00CD3076" w:rsidRPr="00783AE0">
        <w:rPr>
          <w:bCs/>
          <w:iCs/>
        </w:rPr>
        <w:t xml:space="preserve">Electoral Law (adopted 20 Feb 2020) delegated the authority to Parliament to regulate fundamental aspects of the electoral process </w:t>
      </w:r>
      <w:r>
        <w:rPr>
          <w:bCs/>
          <w:iCs/>
        </w:rPr>
        <w:t xml:space="preserve">through issuing </w:t>
      </w:r>
      <w:r w:rsidR="00CD3076" w:rsidRPr="00783AE0">
        <w:rPr>
          <w:bCs/>
          <w:iCs/>
        </w:rPr>
        <w:t>re</w:t>
      </w:r>
      <w:r w:rsidR="00D7077F">
        <w:rPr>
          <w:bCs/>
          <w:iCs/>
        </w:rPr>
        <w:t>gulations</w:t>
      </w:r>
      <w:r w:rsidR="00B6674E" w:rsidRPr="00783AE0">
        <w:rPr>
          <w:bCs/>
          <w:iCs/>
        </w:rPr>
        <w:t xml:space="preserve">. </w:t>
      </w:r>
      <w:r w:rsidR="00D62D7A">
        <w:rPr>
          <w:bCs/>
          <w:iCs/>
        </w:rPr>
        <w:t xml:space="preserve">However, </w:t>
      </w:r>
      <w:r>
        <w:rPr>
          <w:bCs/>
          <w:iCs/>
        </w:rPr>
        <w:t xml:space="preserve">following concerns raised about serious gaps in the electoral law, </w:t>
      </w:r>
      <w:r w:rsidR="00D62D7A">
        <w:rPr>
          <w:bCs/>
          <w:iCs/>
        </w:rPr>
        <w:t xml:space="preserve">the House of </w:t>
      </w:r>
      <w:r>
        <w:rPr>
          <w:bCs/>
          <w:iCs/>
        </w:rPr>
        <w:t xml:space="preserve">the </w:t>
      </w:r>
      <w:r w:rsidR="00D62D7A">
        <w:rPr>
          <w:bCs/>
          <w:iCs/>
        </w:rPr>
        <w:t xml:space="preserve">People issued instead </w:t>
      </w:r>
      <w:r>
        <w:rPr>
          <w:bCs/>
          <w:iCs/>
        </w:rPr>
        <w:t xml:space="preserve">four </w:t>
      </w:r>
      <w:r w:rsidR="00D62D7A">
        <w:rPr>
          <w:bCs/>
          <w:iCs/>
        </w:rPr>
        <w:t>resolutions (not regulations)</w:t>
      </w:r>
      <w:r>
        <w:rPr>
          <w:bCs/>
          <w:iCs/>
        </w:rPr>
        <w:t xml:space="preserve"> </w:t>
      </w:r>
      <w:bookmarkStart w:id="15" w:name="_Hlk55064969"/>
      <w:r>
        <w:rPr>
          <w:bCs/>
          <w:iCs/>
        </w:rPr>
        <w:t xml:space="preserve">to address these gaps </w:t>
      </w:r>
      <w:r w:rsidR="007A59A5">
        <w:rPr>
          <w:bCs/>
          <w:iCs/>
        </w:rPr>
        <w:t xml:space="preserve">for this election only and </w:t>
      </w:r>
      <w:r>
        <w:rPr>
          <w:bCs/>
          <w:iCs/>
        </w:rPr>
        <w:t>which included</w:t>
      </w:r>
      <w:r w:rsidR="00450BD6">
        <w:rPr>
          <w:rStyle w:val="CommentReference"/>
        </w:rPr>
        <w:t xml:space="preserve">: </w:t>
      </w:r>
      <w:r w:rsidR="00450BD6">
        <w:rPr>
          <w:bCs/>
          <w:iCs/>
        </w:rPr>
        <w:t>maintaining the current women’s quota</w:t>
      </w:r>
      <w:bookmarkEnd w:id="15"/>
      <w:r w:rsidR="00450BD6">
        <w:rPr>
          <w:bCs/>
          <w:iCs/>
        </w:rPr>
        <w:t xml:space="preserve"> at 24 per cent; increase the number of seats in the Upper House by 13 to give political representation to Banadir Region (which contains the country’s capital Mogadishu); approve a separate electoral modality for electing members from Somaliland to both Houses of the Parliament in Mogadishu; and agree on the allocation of seats for Parliament. </w:t>
      </w:r>
      <w:r w:rsidR="00CD3076" w:rsidRPr="00783AE0">
        <w:rPr>
          <w:bCs/>
          <w:iCs/>
        </w:rPr>
        <w:t xml:space="preserve">The quality of the legal framework is challenging as it is contradictory and insufficient, reflecting the lack of legal drafting </w:t>
      </w:r>
      <w:r w:rsidR="0047619C">
        <w:rPr>
          <w:bCs/>
          <w:iCs/>
        </w:rPr>
        <w:t>experience among parliamentarians and within the relevant government ministries</w:t>
      </w:r>
      <w:r w:rsidR="00CD3076" w:rsidRPr="00783AE0">
        <w:rPr>
          <w:bCs/>
          <w:iCs/>
        </w:rPr>
        <w:t xml:space="preserve">. </w:t>
      </w:r>
    </w:p>
    <w:p w14:paraId="0F138E57" w14:textId="7C4847EA" w:rsidR="003F2660" w:rsidRPr="00783AE0" w:rsidRDefault="003F2660" w:rsidP="00CD3076">
      <w:pPr>
        <w:ind w:left="-810"/>
        <w:jc w:val="both"/>
        <w:rPr>
          <w:bCs/>
          <w:iCs/>
        </w:rPr>
      </w:pPr>
    </w:p>
    <w:p w14:paraId="5D355E4E" w14:textId="7F3A0082" w:rsidR="00783AE0" w:rsidRPr="00783AE0" w:rsidRDefault="005A6D9E" w:rsidP="00CD3076">
      <w:pPr>
        <w:ind w:left="-810"/>
        <w:jc w:val="both"/>
        <w:rPr>
          <w:bCs/>
          <w:iCs/>
        </w:rPr>
      </w:pPr>
      <w:r w:rsidRPr="00EA25AC">
        <w:rPr>
          <w:bCs/>
          <w:iCs/>
        </w:rPr>
        <w:lastRenderedPageBreak/>
        <w:t>T</w:t>
      </w:r>
      <w:r w:rsidR="00635461" w:rsidRPr="00EA25AC">
        <w:rPr>
          <w:bCs/>
          <w:iCs/>
        </w:rPr>
        <w:t xml:space="preserve">he negotiations regarding the electoral process delayed the recruitment of the </w:t>
      </w:r>
      <w:r w:rsidR="008A062F" w:rsidRPr="00EA25AC">
        <w:t xml:space="preserve"> Electoral Technical Specialist (on electoral dispute resolution, electoral procedures and/or training)</w:t>
      </w:r>
      <w:r w:rsidRPr="00EA25AC">
        <w:rPr>
          <w:bCs/>
          <w:iCs/>
        </w:rPr>
        <w:t xml:space="preserve">. </w:t>
      </w:r>
      <w:r w:rsidR="00635461" w:rsidRPr="00EA25AC">
        <w:rPr>
          <w:bCs/>
          <w:iCs/>
        </w:rPr>
        <w:t xml:space="preserve"> However, the </w:t>
      </w:r>
      <w:r w:rsidR="008A062F" w:rsidRPr="00EA25AC">
        <w:t>Electoral Technical Specialist (on electoral dispute resolution, electoral procedures and/or training)</w:t>
      </w:r>
      <w:r w:rsidR="001E3B43" w:rsidRPr="00EA25AC">
        <w:t xml:space="preserve"> </w:t>
      </w:r>
      <w:r w:rsidR="00635461" w:rsidRPr="00EA25AC">
        <w:rPr>
          <w:bCs/>
          <w:iCs/>
        </w:rPr>
        <w:t xml:space="preserve">joined the team on 1 November </w:t>
      </w:r>
      <w:r w:rsidR="001E3B43" w:rsidRPr="00EA25AC">
        <w:rPr>
          <w:bCs/>
          <w:iCs/>
        </w:rPr>
        <w:t>2020</w:t>
      </w:r>
      <w:r w:rsidR="00E831CA">
        <w:rPr>
          <w:bCs/>
          <w:iCs/>
        </w:rPr>
        <w:t xml:space="preserve">. </w:t>
      </w:r>
      <w:r w:rsidR="00101E8D" w:rsidRPr="00EA25AC">
        <w:rPr>
          <w:bCs/>
          <w:iCs/>
        </w:rPr>
        <w:t>T</w:t>
      </w:r>
      <w:r w:rsidR="00783AE0" w:rsidRPr="00EA25AC">
        <w:rPr>
          <w:bCs/>
          <w:iCs/>
        </w:rPr>
        <w:t>o compensate for regular in</w:t>
      </w:r>
      <w:r w:rsidR="00FE4BB9" w:rsidRPr="00EA25AC">
        <w:rPr>
          <w:bCs/>
          <w:iCs/>
        </w:rPr>
        <w:t>-</w:t>
      </w:r>
      <w:r w:rsidR="00783AE0" w:rsidRPr="00EA25AC">
        <w:rPr>
          <w:bCs/>
          <w:iCs/>
        </w:rPr>
        <w:t>person meetings, IESG legal department</w:t>
      </w:r>
      <w:r w:rsidR="00101E8D" w:rsidRPr="00EA25AC">
        <w:rPr>
          <w:bCs/>
          <w:iCs/>
        </w:rPr>
        <w:t xml:space="preserve"> </w:t>
      </w:r>
      <w:r w:rsidR="00783AE0" w:rsidRPr="00EA25AC">
        <w:rPr>
          <w:bCs/>
          <w:iCs/>
        </w:rPr>
        <w:t>held approximately 25 virtual meetings with the NIEC legal departmen</w:t>
      </w:r>
      <w:r w:rsidR="00101E8D" w:rsidRPr="00EA25AC">
        <w:rPr>
          <w:bCs/>
          <w:iCs/>
        </w:rPr>
        <w:t xml:space="preserve">t </w:t>
      </w:r>
      <w:r w:rsidR="007A59A5" w:rsidRPr="00EA25AC">
        <w:rPr>
          <w:bCs/>
          <w:iCs/>
        </w:rPr>
        <w:t>between March and October 2020.</w:t>
      </w:r>
      <w:r w:rsidR="007A59A5">
        <w:rPr>
          <w:bCs/>
          <w:iCs/>
        </w:rPr>
        <w:t xml:space="preserve"> </w:t>
      </w:r>
      <w:r w:rsidR="00104A5F">
        <w:rPr>
          <w:bCs/>
          <w:iCs/>
        </w:rPr>
        <w:t>T</w:t>
      </w:r>
      <w:r w:rsidR="00104A5F" w:rsidRPr="00104A5F">
        <w:rPr>
          <w:bCs/>
          <w:iCs/>
        </w:rPr>
        <w:t xml:space="preserve">he electoral legal and political framework constantly changed </w:t>
      </w:r>
      <w:r w:rsidR="006A7099">
        <w:rPr>
          <w:bCs/>
          <w:iCs/>
        </w:rPr>
        <w:t>during</w:t>
      </w:r>
      <w:r w:rsidR="00104A5F" w:rsidRPr="00104A5F">
        <w:rPr>
          <w:bCs/>
          <w:iCs/>
        </w:rPr>
        <w:t xml:space="preserve"> the reporting period </w:t>
      </w:r>
      <w:r w:rsidR="006A7099">
        <w:rPr>
          <w:bCs/>
          <w:iCs/>
        </w:rPr>
        <w:t xml:space="preserve">requiring </w:t>
      </w:r>
      <w:r w:rsidR="00104A5F" w:rsidRPr="00104A5F">
        <w:rPr>
          <w:bCs/>
          <w:iCs/>
        </w:rPr>
        <w:t>review and adjust</w:t>
      </w:r>
      <w:r w:rsidR="006A7099">
        <w:rPr>
          <w:bCs/>
          <w:iCs/>
        </w:rPr>
        <w:t>ment to</w:t>
      </w:r>
      <w:r w:rsidR="00104A5F" w:rsidRPr="00104A5F">
        <w:rPr>
          <w:bCs/>
          <w:iCs/>
        </w:rPr>
        <w:t xml:space="preserve"> the envisaged EDR process. </w:t>
      </w:r>
      <w:r w:rsidR="00104A5F">
        <w:rPr>
          <w:bCs/>
          <w:iCs/>
        </w:rPr>
        <w:t>T</w:t>
      </w:r>
      <w:r w:rsidR="00104A5F" w:rsidRPr="00104A5F">
        <w:rPr>
          <w:bCs/>
          <w:iCs/>
        </w:rPr>
        <w:t xml:space="preserve">he EDR framework and approaches changed </w:t>
      </w:r>
      <w:r w:rsidR="00104A5F">
        <w:rPr>
          <w:bCs/>
          <w:iCs/>
        </w:rPr>
        <w:t xml:space="preserve">four times during the reporting period </w:t>
      </w:r>
      <w:r w:rsidR="00104A5F" w:rsidRPr="00104A5F">
        <w:rPr>
          <w:bCs/>
          <w:iCs/>
        </w:rPr>
        <w:t>and this had to be reflected in the advi</w:t>
      </w:r>
      <w:r w:rsidR="00104A5F">
        <w:rPr>
          <w:bCs/>
          <w:iCs/>
        </w:rPr>
        <w:t>c</w:t>
      </w:r>
      <w:r w:rsidR="00104A5F" w:rsidRPr="00104A5F">
        <w:rPr>
          <w:bCs/>
          <w:iCs/>
        </w:rPr>
        <w:t>e and support provided</w:t>
      </w:r>
      <w:r w:rsidR="00104A5F">
        <w:rPr>
          <w:bCs/>
          <w:iCs/>
        </w:rPr>
        <w:t xml:space="preserve"> to the NIEC</w:t>
      </w:r>
      <w:r w:rsidR="00104A5F" w:rsidRPr="00104A5F">
        <w:rPr>
          <w:bCs/>
          <w:iCs/>
        </w:rPr>
        <w:t xml:space="preserve">.  </w:t>
      </w:r>
      <w:r w:rsidR="0057502A">
        <w:rPr>
          <w:bCs/>
          <w:iCs/>
        </w:rPr>
        <w:t>T</w:t>
      </w:r>
      <w:r w:rsidR="0057502A" w:rsidRPr="0057502A">
        <w:rPr>
          <w:bCs/>
          <w:iCs/>
        </w:rPr>
        <w:t>he major result from these meetings is the advice and support provided on several documents, options on an operational EDR structure, rationale on what kind of staff and how many staff members need to be hired for the respective EDR process, the ToRs for the different EDR positions required, the  budgets and operational plans for the different EDR processes, the different procedures required and the drafting of legal analysis for the NIEC to be able to advise electoral stakeholders.</w:t>
      </w:r>
    </w:p>
    <w:p w14:paraId="134D7776" w14:textId="665DB14D" w:rsidR="00627A1C" w:rsidRPr="001E3B43" w:rsidRDefault="00CD3076" w:rsidP="001E3B43">
      <w:pPr>
        <w:ind w:left="-810"/>
        <w:jc w:val="both"/>
        <w:rPr>
          <w:b/>
          <w:iCs/>
          <w:highlight w:val="yellow"/>
        </w:rPr>
      </w:pPr>
      <w:r w:rsidRPr="00CD3076">
        <w:rPr>
          <w:bCs/>
          <w:iCs/>
          <w:highlight w:val="yellow"/>
        </w:rPr>
        <w:t xml:space="preserve"> </w:t>
      </w:r>
    </w:p>
    <w:p w14:paraId="1DEC97FD" w14:textId="77777777" w:rsidR="00161D02" w:rsidRPr="007A59A5" w:rsidRDefault="00627A1C" w:rsidP="00627A1C">
      <w:pPr>
        <w:ind w:left="-810"/>
        <w:rPr>
          <w:b/>
          <w:bCs/>
        </w:rPr>
      </w:pPr>
      <w:r w:rsidRPr="007A59A5">
        <w:rPr>
          <w:b/>
          <w:bCs/>
          <w:color w:val="000000"/>
          <w:lang w:val="en-US" w:eastAsia="en-US"/>
        </w:rPr>
        <w:t>Please indicate any significant project-related events anticipated in the next six months, i.e. national dialogues, youth congresses, film screenings, etc.</w:t>
      </w:r>
      <w:r w:rsidRPr="007A59A5">
        <w:rPr>
          <w:b/>
          <w:bCs/>
        </w:rPr>
        <w:t xml:space="preserve">  </w:t>
      </w:r>
      <w:r w:rsidR="00161D02" w:rsidRPr="007A59A5">
        <w:rPr>
          <w:b/>
          <w:bCs/>
        </w:rPr>
        <w:t xml:space="preserve">(1000 character limit): </w:t>
      </w:r>
    </w:p>
    <w:p w14:paraId="5F177B55" w14:textId="77777777" w:rsidR="00CD3076" w:rsidRPr="00CD3076" w:rsidRDefault="00CD3076" w:rsidP="00CD3076">
      <w:pPr>
        <w:ind w:left="-810"/>
        <w:rPr>
          <w:b/>
          <w:i/>
        </w:rPr>
      </w:pPr>
    </w:p>
    <w:p w14:paraId="22E362B8" w14:textId="1A981C65" w:rsidR="00CD3076" w:rsidRPr="00F55440" w:rsidRDefault="00101E8D" w:rsidP="00C43603">
      <w:pPr>
        <w:ind w:left="-810"/>
        <w:jc w:val="both"/>
        <w:rPr>
          <w:bCs/>
          <w:iCs/>
        </w:rPr>
      </w:pPr>
      <w:r>
        <w:rPr>
          <w:bCs/>
          <w:iCs/>
        </w:rPr>
        <w:t>The appointment of the various electoral committees was scheduled to begin on 10 October and completed by the 20</w:t>
      </w:r>
      <w:r w:rsidRPr="00873134">
        <w:rPr>
          <w:bCs/>
          <w:iCs/>
          <w:vertAlign w:val="superscript"/>
        </w:rPr>
        <w:t>th</w:t>
      </w:r>
      <w:r>
        <w:rPr>
          <w:bCs/>
          <w:iCs/>
        </w:rPr>
        <w:t xml:space="preserve"> October, however this deadline has been missed. </w:t>
      </w:r>
      <w:r w:rsidR="00ED623F">
        <w:rPr>
          <w:bCs/>
          <w:iCs/>
        </w:rPr>
        <w:t xml:space="preserve">While the </w:t>
      </w:r>
      <w:r w:rsidR="00C43603">
        <w:rPr>
          <w:bCs/>
          <w:iCs/>
        </w:rPr>
        <w:t>DRC</w:t>
      </w:r>
      <w:r w:rsidR="002F1714">
        <w:rPr>
          <w:bCs/>
          <w:iCs/>
        </w:rPr>
        <w:t xml:space="preserve"> committee </w:t>
      </w:r>
      <w:r w:rsidR="00ED623F">
        <w:rPr>
          <w:bCs/>
          <w:iCs/>
        </w:rPr>
        <w:t xml:space="preserve">was formed in November, it does not include the mandated 30% women’s representatives. </w:t>
      </w:r>
      <w:r w:rsidR="002F1714">
        <w:rPr>
          <w:bCs/>
          <w:iCs/>
        </w:rPr>
        <w:t xml:space="preserve"> </w:t>
      </w:r>
      <w:r w:rsidR="00ED623F">
        <w:rPr>
          <w:bCs/>
          <w:iCs/>
        </w:rPr>
        <w:t xml:space="preserve">Political negotiations are ongoing to resolve various issues related to the formation of the electoral committees. </w:t>
      </w:r>
    </w:p>
    <w:p w14:paraId="084EE378" w14:textId="77777777" w:rsidR="00CD3076" w:rsidRPr="00F55440" w:rsidRDefault="00CD3076" w:rsidP="00CD3076">
      <w:pPr>
        <w:ind w:left="-810"/>
        <w:rPr>
          <w:bCs/>
          <w:iCs/>
        </w:rPr>
      </w:pPr>
      <w:r w:rsidRPr="00F55440">
        <w:rPr>
          <w:bCs/>
          <w:iCs/>
        </w:rPr>
        <w:t xml:space="preserve">   </w:t>
      </w:r>
    </w:p>
    <w:p w14:paraId="188F83E4" w14:textId="42721340" w:rsidR="00161D02" w:rsidRPr="00B809D2" w:rsidRDefault="00CD3076" w:rsidP="00B809D2">
      <w:pPr>
        <w:pBdr>
          <w:bottom w:val="single" w:sz="12" w:space="1" w:color="auto"/>
        </w:pBdr>
        <w:ind w:left="-810"/>
        <w:jc w:val="both"/>
        <w:rPr>
          <w:bCs/>
          <w:iCs/>
        </w:rPr>
      </w:pPr>
      <w:r w:rsidRPr="00EA25AC">
        <w:rPr>
          <w:bCs/>
          <w:iCs/>
        </w:rPr>
        <w:t xml:space="preserve">The construction of the EDRM building is expected to be </w:t>
      </w:r>
      <w:r w:rsidR="001C7532" w:rsidRPr="00EA25AC">
        <w:rPr>
          <w:bCs/>
          <w:iCs/>
        </w:rPr>
        <w:t xml:space="preserve">completed by </w:t>
      </w:r>
      <w:r w:rsidR="00B809D2" w:rsidRPr="00EA25AC">
        <w:rPr>
          <w:bCs/>
          <w:iCs/>
        </w:rPr>
        <w:t>31 Dec 2020</w:t>
      </w:r>
      <w:r w:rsidR="001C7532" w:rsidRPr="00EA25AC">
        <w:rPr>
          <w:bCs/>
          <w:iCs/>
        </w:rPr>
        <w:t xml:space="preserve"> and arrangements will be made to conduct a formal handover ceremony to the NIEC in the presence of senior government, UN and international partner representatives in the first quarter of 2021. The NIEC are expected to move staff into the building during the first quarter of 2021.</w:t>
      </w:r>
      <w:r w:rsidR="001C7532" w:rsidRPr="00B809D2">
        <w:rPr>
          <w:bCs/>
          <w:iCs/>
        </w:rPr>
        <w:t xml:space="preserve"> </w:t>
      </w:r>
      <w:r w:rsidR="0057502A">
        <w:rPr>
          <w:bCs/>
          <w:iCs/>
        </w:rPr>
        <w:t xml:space="preserve"> </w:t>
      </w:r>
    </w:p>
    <w:p w14:paraId="27CD63F6" w14:textId="77777777" w:rsidR="005E0418" w:rsidRPr="00627A1C" w:rsidRDefault="005E0418" w:rsidP="001A1E86">
      <w:pPr>
        <w:ind w:left="-810" w:right="-154"/>
      </w:pPr>
    </w:p>
    <w:p w14:paraId="6A70A7D2" w14:textId="6296559D"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3C5F4D57" w14:textId="77777777" w:rsidR="005E0418" w:rsidRPr="00627A1C" w:rsidRDefault="005E0418" w:rsidP="001A1E86">
      <w:pPr>
        <w:ind w:left="-810" w:right="-154"/>
      </w:pPr>
    </w:p>
    <w:p w14:paraId="7EE304B1" w14:textId="25A0D2FE" w:rsidR="00411A5F" w:rsidRPr="00627A1C" w:rsidRDefault="00CD3076" w:rsidP="00D84A39">
      <w:pPr>
        <w:ind w:left="-810"/>
      </w:pPr>
      <w:r w:rsidRPr="00F55440">
        <w:t>N/A</w:t>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3D89FCC" w14:textId="77777777" w:rsidR="00206D45" w:rsidRDefault="00206D45" w:rsidP="00206D45">
      <w:pPr>
        <w:rPr>
          <w:b/>
        </w:rPr>
      </w:pPr>
    </w:p>
    <w:p w14:paraId="08773E50" w14:textId="2F26CC43" w:rsidR="00206D45" w:rsidRDefault="00206D45" w:rsidP="00206D45">
      <w:pPr>
        <w:rPr>
          <w:b/>
        </w:rPr>
      </w:pPr>
    </w:p>
    <w:p w14:paraId="7E76EF04" w14:textId="77777777" w:rsidR="005E0418" w:rsidRDefault="005E0418"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w:t>
      </w:r>
      <w:r w:rsidRPr="00627A1C">
        <w:rPr>
          <w:i/>
        </w:rPr>
        <w:lastRenderedPageBreak/>
        <w:t xml:space="preserve">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F12A5E">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F12A5E">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738F1D23" w14:textId="64919402" w:rsidR="00CD3076" w:rsidRPr="009E169F" w:rsidRDefault="007626C9" w:rsidP="00CD3076">
      <w:pPr>
        <w:ind w:left="-720"/>
        <w:rPr>
          <w:b/>
        </w:rPr>
      </w:pPr>
      <w:r w:rsidRPr="009E169F">
        <w:rPr>
          <w:b/>
          <w:u w:val="single"/>
        </w:rPr>
        <w:t xml:space="preserve">Outcome </w:t>
      </w:r>
      <w:r w:rsidR="005216B2" w:rsidRPr="009E169F">
        <w:rPr>
          <w:b/>
          <w:u w:val="single"/>
        </w:rPr>
        <w:t>1:</w:t>
      </w:r>
      <w:r w:rsidR="005216B2" w:rsidRPr="009E169F">
        <w:rPr>
          <w:b/>
        </w:rPr>
        <w:t xml:space="preserve">  </w:t>
      </w:r>
      <w:r w:rsidR="00CD3076" w:rsidRPr="009E169F">
        <w:rPr>
          <w:b/>
        </w:rPr>
        <w:t xml:space="preserve">EDR mechanism is effectively strengthened in its capacity to prevent the </w:t>
      </w:r>
      <w:bookmarkStart w:id="16" w:name="_Hlk54989968"/>
      <w:r w:rsidR="00CD3076" w:rsidRPr="009E169F">
        <w:rPr>
          <w:b/>
        </w:rPr>
        <w:t xml:space="preserve">outbreak of electoral violence by mitigating and resolving electoral complaints through formal and informal dispute resolution </w:t>
      </w:r>
      <w:bookmarkEnd w:id="16"/>
    </w:p>
    <w:p w14:paraId="545DCEA9" w14:textId="77777777" w:rsidR="00CD3076" w:rsidRPr="009E169F" w:rsidRDefault="00CD3076" w:rsidP="00CD3076">
      <w:pPr>
        <w:ind w:left="-720"/>
        <w:rPr>
          <w:b/>
        </w:rPr>
      </w:pPr>
    </w:p>
    <w:p w14:paraId="4262CE1B" w14:textId="2C9DC6E7" w:rsidR="002E1CED" w:rsidRPr="009E169F" w:rsidRDefault="002E1CED" w:rsidP="00323ABC">
      <w:pPr>
        <w:ind w:left="-720"/>
        <w:rPr>
          <w:b/>
        </w:rPr>
      </w:pPr>
      <w:r w:rsidRPr="009E169F">
        <w:rPr>
          <w:b/>
        </w:rPr>
        <w:t xml:space="preserve">Rate the </w:t>
      </w:r>
      <w:r w:rsidR="00A47DDA" w:rsidRPr="009E169F">
        <w:rPr>
          <w:b/>
        </w:rPr>
        <w:t xml:space="preserve">current </w:t>
      </w:r>
      <w:r w:rsidRPr="009E169F">
        <w:rPr>
          <w:b/>
        </w:rPr>
        <w:t xml:space="preserve">status of the </w:t>
      </w:r>
      <w:r w:rsidR="00323ABC" w:rsidRPr="009E169F">
        <w:rPr>
          <w:b/>
        </w:rPr>
        <w:t>outcome</w:t>
      </w:r>
      <w:r w:rsidR="00764773" w:rsidRPr="009E169F">
        <w:rPr>
          <w:b/>
        </w:rPr>
        <w:t xml:space="preserve"> progress</w:t>
      </w:r>
      <w:r w:rsidRPr="009E169F">
        <w:rPr>
          <w:b/>
        </w:rPr>
        <w:t xml:space="preserve">: </w:t>
      </w:r>
      <w:r w:rsidR="004A24FE">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7" w:name="Dropdown2"/>
      <w:r w:rsidR="004A24FE">
        <w:rPr>
          <w:b/>
        </w:rPr>
        <w:instrText xml:space="preserve"> FORMDROPDOWN </w:instrText>
      </w:r>
      <w:r w:rsidR="002F18DF">
        <w:rPr>
          <w:b/>
        </w:rPr>
      </w:r>
      <w:r w:rsidR="002F18DF">
        <w:rPr>
          <w:b/>
        </w:rPr>
        <w:fldChar w:fldCharType="separate"/>
      </w:r>
      <w:r w:rsidR="004A24FE">
        <w:rPr>
          <w:b/>
        </w:rPr>
        <w:fldChar w:fldCharType="end"/>
      </w:r>
      <w:bookmarkEnd w:id="17"/>
      <w:r w:rsidR="004A24FE">
        <w:rPr>
          <w:b/>
        </w:rPr>
        <w:t xml:space="preserve">on track </w:t>
      </w:r>
    </w:p>
    <w:p w14:paraId="6389C77C" w14:textId="77777777" w:rsidR="002E1CED" w:rsidRPr="009E169F" w:rsidRDefault="002E1CED" w:rsidP="00323ABC">
      <w:pPr>
        <w:ind w:left="-720"/>
        <w:jc w:val="both"/>
        <w:rPr>
          <w:b/>
        </w:rPr>
      </w:pPr>
    </w:p>
    <w:p w14:paraId="37B6CC8B" w14:textId="77777777" w:rsidR="005216B2" w:rsidRPr="009E169F" w:rsidRDefault="003235DF" w:rsidP="00C07A0C">
      <w:pPr>
        <w:ind w:left="-720"/>
        <w:jc w:val="both"/>
        <w:rPr>
          <w:i/>
        </w:rPr>
      </w:pPr>
      <w:r w:rsidRPr="009E169F">
        <w:rPr>
          <w:b/>
        </w:rPr>
        <w:t xml:space="preserve">Progress summary: </w:t>
      </w:r>
      <w:r w:rsidRPr="009E169F">
        <w:rPr>
          <w:i/>
        </w:rPr>
        <w:t>(</w:t>
      </w:r>
      <w:r w:rsidR="00627A1C" w:rsidRPr="009E169F">
        <w:rPr>
          <w:i/>
        </w:rPr>
        <w:t>3</w:t>
      </w:r>
      <w:r w:rsidRPr="009E169F">
        <w:rPr>
          <w:i/>
        </w:rPr>
        <w:t>000 character limit)</w:t>
      </w:r>
    </w:p>
    <w:p w14:paraId="41C20FF5" w14:textId="77777777" w:rsidR="00ED52B4" w:rsidRDefault="00ED52B4" w:rsidP="00CD3076">
      <w:pPr>
        <w:ind w:left="-720"/>
        <w:rPr>
          <w:b/>
        </w:rPr>
      </w:pPr>
    </w:p>
    <w:p w14:paraId="29F6D5DA" w14:textId="57BF4891" w:rsidR="00401FD7" w:rsidRPr="005E0418" w:rsidRDefault="005E0418" w:rsidP="004A24FE">
      <w:pPr>
        <w:ind w:left="-720"/>
        <w:jc w:val="both"/>
        <w:rPr>
          <w:bCs/>
        </w:rPr>
      </w:pPr>
      <w:r w:rsidRPr="005E0418">
        <w:rPr>
          <w:b/>
        </w:rPr>
        <w:t>Output 1:   EDRM mechanism established, resourced, implemented and understood by all electoral stakeholders</w:t>
      </w:r>
      <w:r w:rsidRPr="005E0418">
        <w:rPr>
          <w:bCs/>
        </w:rPr>
        <w:t>:</w:t>
      </w:r>
    </w:p>
    <w:p w14:paraId="604FBE9C" w14:textId="77777777" w:rsidR="005E0418" w:rsidRDefault="005E0418" w:rsidP="004A24FE">
      <w:pPr>
        <w:ind w:left="-720"/>
        <w:jc w:val="both"/>
        <w:rPr>
          <w:bCs/>
        </w:rPr>
      </w:pPr>
    </w:p>
    <w:p w14:paraId="1F6E65C6" w14:textId="77777777" w:rsidR="00327191" w:rsidRDefault="00401FD7" w:rsidP="00327191">
      <w:pPr>
        <w:ind w:left="-720"/>
        <w:jc w:val="both"/>
        <w:rPr>
          <w:bCs/>
        </w:rPr>
      </w:pPr>
      <w:r>
        <w:rPr>
          <w:bCs/>
        </w:rPr>
        <w:t xml:space="preserve">This output </w:t>
      </w:r>
      <w:r w:rsidR="00CD3076" w:rsidRPr="009E169F">
        <w:rPr>
          <w:bCs/>
        </w:rPr>
        <w:t>requires that an EDR mechanism and structure is designed</w:t>
      </w:r>
      <w:r>
        <w:rPr>
          <w:bCs/>
        </w:rPr>
        <w:t xml:space="preserve"> and consultations held with legal and electoral stakeholders on electoral dispute resolution. </w:t>
      </w:r>
      <w:r w:rsidR="00CD3076" w:rsidRPr="009E169F">
        <w:rPr>
          <w:bCs/>
        </w:rPr>
        <w:t xml:space="preserve">On the basis of the advice provided by IESG and the legal expert, the NIEC decided </w:t>
      </w:r>
      <w:r w:rsidR="00BA5750">
        <w:rPr>
          <w:bCs/>
        </w:rPr>
        <w:t xml:space="preserve">on </w:t>
      </w:r>
      <w:r w:rsidR="00CD3076" w:rsidRPr="009E169F">
        <w:rPr>
          <w:bCs/>
        </w:rPr>
        <w:t xml:space="preserve">the EDRM design </w:t>
      </w:r>
      <w:r w:rsidR="00BA5750">
        <w:rPr>
          <w:bCs/>
        </w:rPr>
        <w:t>including having t</w:t>
      </w:r>
      <w:r w:rsidR="00CD3076" w:rsidRPr="009E169F">
        <w:rPr>
          <w:bCs/>
        </w:rPr>
        <w:t>wo EDR decision making levels, one at field level and one at the headquarters central level. In order to enhance transparency of the decision-making process, trust in the institution and acceptance of results, the NIEC Board of Commissioners, w</w:t>
      </w:r>
      <w:r w:rsidR="00BA5750">
        <w:rPr>
          <w:bCs/>
        </w:rPr>
        <w:t>ould</w:t>
      </w:r>
      <w:r w:rsidR="00CD3076" w:rsidRPr="009E169F">
        <w:rPr>
          <w:bCs/>
        </w:rPr>
        <w:t xml:space="preserve"> be supported by an Election Dispute Resolution Committee (EDRC) composed of representatives of the Federal Member States (FMS), women, youth and clans. This </w:t>
      </w:r>
      <w:r w:rsidR="002178C4">
        <w:rPr>
          <w:bCs/>
        </w:rPr>
        <w:t>was</w:t>
      </w:r>
      <w:r w:rsidR="00CD3076" w:rsidRPr="009E169F">
        <w:rPr>
          <w:bCs/>
        </w:rPr>
        <w:t xml:space="preserve"> a mitigation measure to prevent tensions and the possible outbreak of electoral violence especially between the FGS and FMS. A temporary EDR department </w:t>
      </w:r>
      <w:r w:rsidR="00BA5750">
        <w:rPr>
          <w:bCs/>
        </w:rPr>
        <w:t xml:space="preserve">was to be </w:t>
      </w:r>
      <w:r w:rsidR="00CD3076" w:rsidRPr="009E169F">
        <w:rPr>
          <w:bCs/>
        </w:rPr>
        <w:t xml:space="preserve">created to support the decision-making process </w:t>
      </w:r>
      <w:r w:rsidR="00BA5750">
        <w:rPr>
          <w:bCs/>
        </w:rPr>
        <w:t>at</w:t>
      </w:r>
      <w:r w:rsidR="00CD3076" w:rsidRPr="009E169F">
        <w:rPr>
          <w:bCs/>
        </w:rPr>
        <w:t xml:space="preserve"> central level ensuring a transparent process in line with the legal provisions. Following those decisions, IESG advised on drafting ToRs for the EDRC members and EDR department staff members and provided a rationale on the number of staff required for the department.  ToRs </w:t>
      </w:r>
      <w:r w:rsidR="00BA5750">
        <w:rPr>
          <w:bCs/>
        </w:rPr>
        <w:t xml:space="preserve">were </w:t>
      </w:r>
      <w:r w:rsidR="00CD3076" w:rsidRPr="009E169F">
        <w:rPr>
          <w:bCs/>
        </w:rPr>
        <w:t xml:space="preserve">discussed internally by the NIEC but </w:t>
      </w:r>
      <w:r w:rsidR="00BA5750">
        <w:rPr>
          <w:bCs/>
        </w:rPr>
        <w:t xml:space="preserve">have </w:t>
      </w:r>
      <w:r w:rsidR="00CD3076" w:rsidRPr="009E169F">
        <w:rPr>
          <w:bCs/>
        </w:rPr>
        <w:t xml:space="preserve">not yet been published. These efforts </w:t>
      </w:r>
      <w:r w:rsidR="002B79C7" w:rsidRPr="009E169F">
        <w:rPr>
          <w:bCs/>
        </w:rPr>
        <w:t xml:space="preserve">reflect </w:t>
      </w:r>
      <w:r w:rsidR="00CD3076" w:rsidRPr="009E169F">
        <w:rPr>
          <w:bCs/>
        </w:rPr>
        <w:t xml:space="preserve">the first </w:t>
      </w:r>
      <w:r w:rsidR="00BA5750">
        <w:rPr>
          <w:bCs/>
        </w:rPr>
        <w:t>organised</w:t>
      </w:r>
      <w:r w:rsidR="00BA5750" w:rsidRPr="009E169F">
        <w:rPr>
          <w:bCs/>
        </w:rPr>
        <w:t xml:space="preserve"> </w:t>
      </w:r>
      <w:r w:rsidR="00CD3076" w:rsidRPr="009E169F">
        <w:rPr>
          <w:bCs/>
        </w:rPr>
        <w:t xml:space="preserve">approach to develop an EDR structure that is able to deal with </w:t>
      </w:r>
      <w:r w:rsidR="00BA5750">
        <w:rPr>
          <w:bCs/>
        </w:rPr>
        <w:t xml:space="preserve">electoral </w:t>
      </w:r>
      <w:r w:rsidR="00CD3076" w:rsidRPr="009E169F">
        <w:rPr>
          <w:bCs/>
        </w:rPr>
        <w:t>complaints in a timely manner and not to be overloaded and unable to respond to citizen’s concerns as compared to what happened during the 2016 selection process.</w:t>
      </w:r>
      <w:r w:rsidR="00C43603" w:rsidRPr="00C43603">
        <w:t xml:space="preserve"> </w:t>
      </w:r>
      <w:r w:rsidR="00C43603" w:rsidRPr="00C43603">
        <w:rPr>
          <w:bCs/>
        </w:rPr>
        <w:t xml:space="preserve">When the electoral legal framework for the OPOV election in 2024/2025 is adopted by Parliament, the NIEC legal department, advised by IESG, will draft EDR regulations and procedures to ensure a streamlined EDR process and manage a public information campaign for citizens.  </w:t>
      </w:r>
    </w:p>
    <w:p w14:paraId="5048CFE1" w14:textId="77777777" w:rsidR="00327191" w:rsidRDefault="00327191" w:rsidP="00327191">
      <w:pPr>
        <w:ind w:left="-720"/>
        <w:jc w:val="both"/>
        <w:rPr>
          <w:bCs/>
        </w:rPr>
      </w:pPr>
    </w:p>
    <w:p w14:paraId="546A705C" w14:textId="69432755" w:rsidR="007C4E62" w:rsidRPr="009E169F" w:rsidRDefault="00C43603" w:rsidP="00327191">
      <w:pPr>
        <w:ind w:left="-720"/>
        <w:jc w:val="both"/>
        <w:rPr>
          <w:bCs/>
        </w:rPr>
      </w:pPr>
      <w:r>
        <w:rPr>
          <w:bCs/>
        </w:rPr>
        <w:t xml:space="preserve">The </w:t>
      </w:r>
      <w:r w:rsidR="002C5EDD">
        <w:rPr>
          <w:bCs/>
        </w:rPr>
        <w:t xml:space="preserve">IESG </w:t>
      </w:r>
      <w:r w:rsidR="002178C4">
        <w:rPr>
          <w:bCs/>
        </w:rPr>
        <w:t xml:space="preserve">electoral dispute resolution </w:t>
      </w:r>
      <w:r w:rsidR="002C5EDD">
        <w:rPr>
          <w:bCs/>
        </w:rPr>
        <w:t xml:space="preserve">advisor will provide full support to the </w:t>
      </w:r>
      <w:r w:rsidR="007E1B93">
        <w:rPr>
          <w:bCs/>
        </w:rPr>
        <w:t>DRC</w:t>
      </w:r>
      <w:r w:rsidR="002C5EDD">
        <w:rPr>
          <w:bCs/>
        </w:rPr>
        <w:t xml:space="preserve"> committee to help ensure </w:t>
      </w:r>
      <w:r w:rsidR="00401FD7">
        <w:rPr>
          <w:bCs/>
        </w:rPr>
        <w:t xml:space="preserve">the revised </w:t>
      </w:r>
      <w:r w:rsidR="00401FD7" w:rsidRPr="00401FD7">
        <w:rPr>
          <w:bCs/>
        </w:rPr>
        <w:t>electoral process enhances the overall credibility of the elections and contributes to the prevention of electoral violence</w:t>
      </w:r>
      <w:r w:rsidR="00401FD7">
        <w:rPr>
          <w:bCs/>
        </w:rPr>
        <w:t xml:space="preserve">. The EDR advisor will work closely with the </w:t>
      </w:r>
      <w:r w:rsidR="007E1B93">
        <w:rPr>
          <w:bCs/>
        </w:rPr>
        <w:t>DRC</w:t>
      </w:r>
      <w:r w:rsidR="00401FD7">
        <w:rPr>
          <w:bCs/>
        </w:rPr>
        <w:t xml:space="preserve"> to develop regulations and procedures to ensure transparency and promote public confidence in the agreed electoral modality for the federal parliamentary elections. Part of this work will include ensuring information is shared with the public on the </w:t>
      </w:r>
      <w:r w:rsidR="007E1B93">
        <w:rPr>
          <w:bCs/>
        </w:rPr>
        <w:t>DRC</w:t>
      </w:r>
      <w:r w:rsidR="00401FD7">
        <w:rPr>
          <w:bCs/>
        </w:rPr>
        <w:t xml:space="preserve"> process. </w:t>
      </w:r>
    </w:p>
    <w:p w14:paraId="5A9F9BD5" w14:textId="77777777" w:rsidR="005E0418" w:rsidRPr="005E0418" w:rsidRDefault="007C4E62" w:rsidP="005E0418">
      <w:pPr>
        <w:ind w:left="-720"/>
        <w:rPr>
          <w:b/>
        </w:rPr>
      </w:pPr>
      <w:r w:rsidRPr="005E0418">
        <w:rPr>
          <w:b/>
        </w:rPr>
        <w:t xml:space="preserve"> </w:t>
      </w:r>
    </w:p>
    <w:p w14:paraId="14CC267B" w14:textId="54C9BE8A" w:rsidR="005E0418" w:rsidRPr="005E0418" w:rsidRDefault="005E0418" w:rsidP="005E0418">
      <w:pPr>
        <w:ind w:left="-720"/>
        <w:rPr>
          <w:b/>
        </w:rPr>
      </w:pPr>
      <w:r w:rsidRPr="005E0418">
        <w:rPr>
          <w:b/>
        </w:rPr>
        <w:lastRenderedPageBreak/>
        <w:t>Output 2: NIEC stakeholder outreach and EDR facilities are developed at NIEC HQ, including security enhancements</w:t>
      </w:r>
    </w:p>
    <w:p w14:paraId="448250C0" w14:textId="77777777" w:rsidR="004A24FE" w:rsidRPr="002178C4" w:rsidRDefault="004A24FE" w:rsidP="00CD3076">
      <w:pPr>
        <w:ind w:left="-720"/>
        <w:rPr>
          <w:b/>
        </w:rPr>
      </w:pPr>
    </w:p>
    <w:p w14:paraId="42784810" w14:textId="7A27E388" w:rsidR="006D327D" w:rsidRDefault="00401FD7" w:rsidP="005E0418">
      <w:pPr>
        <w:pBdr>
          <w:bottom w:val="single" w:sz="12" w:space="1" w:color="auto"/>
        </w:pBdr>
        <w:ind w:left="-720"/>
        <w:jc w:val="both"/>
        <w:rPr>
          <w:bCs/>
        </w:rPr>
      </w:pPr>
      <w:r w:rsidRPr="002178C4">
        <w:rPr>
          <w:bCs/>
        </w:rPr>
        <w:t>This output</w:t>
      </w:r>
      <w:r w:rsidRPr="004A24FE">
        <w:rPr>
          <w:bCs/>
        </w:rPr>
        <w:t xml:space="preserve"> </w:t>
      </w:r>
      <w:r w:rsidR="001757A2" w:rsidRPr="001757A2">
        <w:rPr>
          <w:bCs/>
        </w:rPr>
        <w:t>focusses on the construction of a</w:t>
      </w:r>
      <w:r w:rsidR="00ED52B4" w:rsidRPr="001757A2">
        <w:rPr>
          <w:bCs/>
        </w:rPr>
        <w:t>ccessible and</w:t>
      </w:r>
      <w:r w:rsidR="00ED52B4" w:rsidRPr="00ED52B4">
        <w:rPr>
          <w:bCs/>
        </w:rPr>
        <w:t xml:space="preserve"> gender-supportive facilities at the NIEC Compound for EDR, training and meeting purposes with NIEC. </w:t>
      </w:r>
      <w:r w:rsidR="00CD3076" w:rsidRPr="00023602">
        <w:rPr>
          <w:bCs/>
        </w:rPr>
        <w:t xml:space="preserve">Design and procurement process </w:t>
      </w:r>
      <w:r w:rsidR="004A24FE" w:rsidRPr="00023602">
        <w:rPr>
          <w:bCs/>
        </w:rPr>
        <w:t>completed,</w:t>
      </w:r>
      <w:r w:rsidR="00CD3076" w:rsidRPr="00023602">
        <w:rPr>
          <w:bCs/>
        </w:rPr>
        <w:t xml:space="preserve"> and contractor </w:t>
      </w:r>
      <w:r w:rsidR="00F56010">
        <w:rPr>
          <w:bCs/>
        </w:rPr>
        <w:t xml:space="preserve">started work in June 2020. </w:t>
      </w:r>
      <w:r w:rsidR="00CD3076" w:rsidRPr="00023602">
        <w:rPr>
          <w:bCs/>
        </w:rPr>
        <w:t xml:space="preserve"> The expected completion </w:t>
      </w:r>
      <w:r w:rsidR="002178C4">
        <w:rPr>
          <w:bCs/>
        </w:rPr>
        <w:t xml:space="preserve">of the construction is expected in the last quarter of 2020 and work is on track. </w:t>
      </w:r>
      <w:r w:rsidR="00F56010">
        <w:rPr>
          <w:bCs/>
        </w:rPr>
        <w:t xml:space="preserve">It is expected to hand over the building to NIEC in </w:t>
      </w:r>
      <w:r w:rsidR="004A24FE">
        <w:rPr>
          <w:bCs/>
        </w:rPr>
        <w:t>first quarter of 2021</w:t>
      </w:r>
      <w:r w:rsidR="00F56010">
        <w:rPr>
          <w:bCs/>
        </w:rPr>
        <w:t xml:space="preserve">. </w:t>
      </w:r>
      <w:r w:rsidR="006D327D" w:rsidRPr="004A24FE">
        <w:rPr>
          <w:bCs/>
        </w:rPr>
        <w:t>The office building will incorporate 25 offices and one meeting hall that can accommodate 100 people at a time.</w:t>
      </w:r>
    </w:p>
    <w:p w14:paraId="6750E26C" w14:textId="250B398E" w:rsidR="00C43603" w:rsidRDefault="00C43603" w:rsidP="005E0418">
      <w:pPr>
        <w:pBdr>
          <w:bottom w:val="single" w:sz="12" w:space="1" w:color="auto"/>
        </w:pBdr>
        <w:ind w:left="-720"/>
        <w:jc w:val="both"/>
        <w:rPr>
          <w:bCs/>
        </w:rPr>
      </w:pPr>
    </w:p>
    <w:p w14:paraId="3AABBAC7" w14:textId="490BF746" w:rsidR="00C43603" w:rsidRDefault="000F53D7" w:rsidP="005E0418">
      <w:pPr>
        <w:pBdr>
          <w:bottom w:val="single" w:sz="12" w:space="1" w:color="auto"/>
        </w:pBdr>
        <w:ind w:left="-720"/>
        <w:jc w:val="both"/>
        <w:rPr>
          <w:bCs/>
        </w:rPr>
      </w:pPr>
      <w:r>
        <w:rPr>
          <w:bCs/>
        </w:rPr>
        <w:t xml:space="preserve">The </w:t>
      </w:r>
      <w:r w:rsidR="00C43603" w:rsidRPr="00C43603">
        <w:rPr>
          <w:bCs/>
        </w:rPr>
        <w:t>NIEC has offered the use of its facilities to the FGS for the 2020/2021 electoral process. The EDRM building would therefore be available to the Dispute Resolution Committee should the FGS wish to avail of it.</w:t>
      </w:r>
    </w:p>
    <w:p w14:paraId="7A80665C" w14:textId="77777777" w:rsidR="0040110B" w:rsidRPr="0040110B" w:rsidRDefault="0040110B" w:rsidP="006D327D">
      <w:pPr>
        <w:ind w:left="-720"/>
        <w:rPr>
          <w:bCs/>
          <w:lang w:val="en-US"/>
        </w:rPr>
      </w:pPr>
    </w:p>
    <w:p w14:paraId="73999160" w14:textId="77777777" w:rsidR="004A24FE" w:rsidRPr="00584853" w:rsidRDefault="00627A1C" w:rsidP="00627A1C">
      <w:pPr>
        <w:ind w:left="-720"/>
        <w:rPr>
          <w:b/>
        </w:rPr>
      </w:pPr>
      <w:r w:rsidRPr="00584853">
        <w:rPr>
          <w:b/>
        </w:rPr>
        <w:t>Indicate any additional analysis on how Gender Equality and Women’s Empowerment and/or Youth Inclusion and Responsiveness has been ensured under this Outcome</w:t>
      </w:r>
      <w:r w:rsidR="00161D02" w:rsidRPr="00584853">
        <w:rPr>
          <w:b/>
        </w:rPr>
        <w:t xml:space="preserve">: </w:t>
      </w:r>
    </w:p>
    <w:p w14:paraId="56DEC663" w14:textId="77777777" w:rsidR="004A24FE" w:rsidRDefault="004A24FE" w:rsidP="00627A1C">
      <w:pPr>
        <w:ind w:left="-720"/>
        <w:rPr>
          <w:i/>
        </w:rPr>
      </w:pPr>
    </w:p>
    <w:p w14:paraId="3D4B37AC" w14:textId="3E234D23" w:rsidR="00161D02" w:rsidRDefault="00161D02" w:rsidP="00627A1C">
      <w:pPr>
        <w:ind w:left="-720"/>
        <w:rPr>
          <w:i/>
        </w:rPr>
      </w:pPr>
      <w:r w:rsidRPr="00627A1C">
        <w:rPr>
          <w:i/>
        </w:rPr>
        <w:t>(1000 character limit)</w:t>
      </w:r>
    </w:p>
    <w:p w14:paraId="6B531A8B" w14:textId="77777777" w:rsidR="004A24FE" w:rsidRPr="00627A1C" w:rsidRDefault="004A24FE" w:rsidP="00627A1C">
      <w:pPr>
        <w:ind w:left="-720"/>
        <w:rPr>
          <w:b/>
        </w:rPr>
      </w:pPr>
    </w:p>
    <w:p w14:paraId="1736B5E5" w14:textId="77777777" w:rsidR="00356193" w:rsidRDefault="00CD3076" w:rsidP="004A24FE">
      <w:pPr>
        <w:ind w:left="-720"/>
        <w:jc w:val="both"/>
      </w:pPr>
      <w:r w:rsidRPr="001757A2">
        <w:rPr>
          <w:bCs/>
        </w:rPr>
        <w:t xml:space="preserve">In order to enhance </w:t>
      </w:r>
      <w:r w:rsidR="00197120">
        <w:rPr>
          <w:bCs/>
        </w:rPr>
        <w:t xml:space="preserve">the </w:t>
      </w:r>
      <w:r w:rsidRPr="001757A2">
        <w:rPr>
          <w:bCs/>
        </w:rPr>
        <w:t>transparency of the decision-making process, trust in the institution and acceptance of results, the NIEC Board of Commissioners decided to create an Election Dispute Resolution Committee (EDRC) composed of representatives of the Federal Member States (FMS), women, youth and clans. IESG advocate</w:t>
      </w:r>
      <w:r w:rsidR="00356193">
        <w:rPr>
          <w:bCs/>
        </w:rPr>
        <w:t>d</w:t>
      </w:r>
      <w:r w:rsidRPr="001757A2">
        <w:rPr>
          <w:bCs/>
        </w:rPr>
        <w:t xml:space="preserve"> with the NIEC to ensure women </w:t>
      </w:r>
      <w:r w:rsidR="00356193">
        <w:rPr>
          <w:bCs/>
        </w:rPr>
        <w:t xml:space="preserve">would be </w:t>
      </w:r>
      <w:r w:rsidRPr="001757A2">
        <w:rPr>
          <w:bCs/>
        </w:rPr>
        <w:t xml:space="preserve">encouraged to apply for the jobs when advertised. Various networks such as the Bar Association will be utilized to ensure information is shared as widely as possible about the recruitment and the NIEC will strive to ensure 30% women are hired for these positions. </w:t>
      </w:r>
      <w:r w:rsidR="001757A2" w:rsidRPr="001757A2">
        <w:rPr>
          <w:bCs/>
        </w:rPr>
        <w:t xml:space="preserve">Draft </w:t>
      </w:r>
      <w:r w:rsidRPr="001757A2">
        <w:rPr>
          <w:bCs/>
        </w:rPr>
        <w:t xml:space="preserve">TORs </w:t>
      </w:r>
      <w:r w:rsidR="001757A2" w:rsidRPr="001757A2">
        <w:rPr>
          <w:bCs/>
        </w:rPr>
        <w:t xml:space="preserve">were </w:t>
      </w:r>
      <w:r w:rsidRPr="001757A2">
        <w:rPr>
          <w:bCs/>
        </w:rPr>
        <w:t xml:space="preserve">reviewed to ensure they are gender sensitive and </w:t>
      </w:r>
      <w:r w:rsidR="00356193">
        <w:rPr>
          <w:bCs/>
        </w:rPr>
        <w:t>encourage</w:t>
      </w:r>
      <w:r w:rsidRPr="001757A2">
        <w:rPr>
          <w:bCs/>
        </w:rPr>
        <w:t xml:space="preserve"> women to apply.</w:t>
      </w:r>
      <w:r w:rsidR="001757A2" w:rsidRPr="001757A2">
        <w:t xml:space="preserve"> </w:t>
      </w:r>
    </w:p>
    <w:p w14:paraId="20172F65" w14:textId="77777777" w:rsidR="00356193" w:rsidRDefault="00356193" w:rsidP="004A24FE">
      <w:pPr>
        <w:ind w:left="-720"/>
        <w:jc w:val="both"/>
      </w:pPr>
    </w:p>
    <w:p w14:paraId="6556A7A4" w14:textId="025C69BE" w:rsidR="00323ABC" w:rsidRDefault="00197120" w:rsidP="004A24FE">
      <w:pPr>
        <w:ind w:left="-720"/>
        <w:jc w:val="both"/>
        <w:rPr>
          <w:bCs/>
        </w:rPr>
      </w:pPr>
      <w:r>
        <w:t>IESG provided advice and support to the NIEC who were provid</w:t>
      </w:r>
      <w:r w:rsidR="00356193">
        <w:t>ing</w:t>
      </w:r>
      <w:r>
        <w:t xml:space="preserve"> guidance </w:t>
      </w:r>
      <w:r w:rsidR="00356193">
        <w:t>to the committee established to hold</w:t>
      </w:r>
      <w:r>
        <w:t xml:space="preserve"> discussions </w:t>
      </w:r>
      <w:r w:rsidR="00356193">
        <w:t xml:space="preserve">on the electoral modality </w:t>
      </w:r>
      <w:r>
        <w:t>in Dhusamareb between the FGS and FMS</w:t>
      </w:r>
      <w:r w:rsidR="00356193">
        <w:t xml:space="preserve"> in July and August 2020</w:t>
      </w:r>
      <w:r>
        <w:t xml:space="preserve">. This included assistance with drafting the </w:t>
      </w:r>
      <w:r w:rsidR="001757A2" w:rsidRPr="001757A2">
        <w:rPr>
          <w:bCs/>
        </w:rPr>
        <w:t xml:space="preserve">NIEC EDR Regulation </w:t>
      </w:r>
      <w:r w:rsidR="00023602">
        <w:rPr>
          <w:bCs/>
        </w:rPr>
        <w:t xml:space="preserve">and draft EDR ToR´s </w:t>
      </w:r>
      <w:r w:rsidR="001757A2">
        <w:rPr>
          <w:bCs/>
        </w:rPr>
        <w:t>ensuring women</w:t>
      </w:r>
      <w:r>
        <w:rPr>
          <w:bCs/>
        </w:rPr>
        <w:t>’s</w:t>
      </w:r>
      <w:r w:rsidR="001757A2">
        <w:rPr>
          <w:bCs/>
        </w:rPr>
        <w:t xml:space="preserve"> representation.</w:t>
      </w:r>
      <w:r>
        <w:rPr>
          <w:bCs/>
        </w:rPr>
        <w:t xml:space="preserve"> </w:t>
      </w:r>
      <w:r w:rsidR="001757A2" w:rsidRPr="001757A2">
        <w:rPr>
          <w:bCs/>
        </w:rPr>
        <w:t>Discussion</w:t>
      </w:r>
      <w:r>
        <w:rPr>
          <w:bCs/>
        </w:rPr>
        <w:t xml:space="preserve">s took place with the NIEC legal team on  the 2020/2021workplan including the review of the electoral legal framework </w:t>
      </w:r>
      <w:r w:rsidR="00356193">
        <w:rPr>
          <w:bCs/>
        </w:rPr>
        <w:t>and</w:t>
      </w:r>
      <w:r>
        <w:rPr>
          <w:bCs/>
        </w:rPr>
        <w:t xml:space="preserve"> women’s representation related provisions in the Electoral Law, the Political Parties Law and the resolution on </w:t>
      </w:r>
      <w:r w:rsidR="004A24FE">
        <w:rPr>
          <w:bCs/>
        </w:rPr>
        <w:t>women’s</w:t>
      </w:r>
      <w:r>
        <w:rPr>
          <w:bCs/>
        </w:rPr>
        <w:t xml:space="preserve"> representation passed by the House of the People.  </w:t>
      </w:r>
      <w:r w:rsidR="00401FD7">
        <w:rPr>
          <w:bCs/>
        </w:rPr>
        <w:t xml:space="preserve">The NIEC plans to hold consultations with all stakeholders </w:t>
      </w:r>
      <w:r w:rsidR="002F043D">
        <w:rPr>
          <w:bCs/>
        </w:rPr>
        <w:t>including women</w:t>
      </w:r>
      <w:r w:rsidR="00356193">
        <w:rPr>
          <w:bCs/>
        </w:rPr>
        <w:t xml:space="preserve">, </w:t>
      </w:r>
      <w:r w:rsidR="002F043D">
        <w:rPr>
          <w:bCs/>
        </w:rPr>
        <w:t>youth and other under</w:t>
      </w:r>
      <w:r w:rsidR="00356193">
        <w:rPr>
          <w:bCs/>
        </w:rPr>
        <w:t>-</w:t>
      </w:r>
      <w:r w:rsidR="002F043D">
        <w:rPr>
          <w:bCs/>
        </w:rPr>
        <w:t xml:space="preserve">represented groups </w:t>
      </w:r>
      <w:r w:rsidR="00401FD7">
        <w:rPr>
          <w:bCs/>
        </w:rPr>
        <w:t xml:space="preserve">to plan the way forward to conduct universal suffrage elections in 2024/2025 including a review of the electoral legislation to ensure it is aligned </w:t>
      </w:r>
      <w:r w:rsidR="002F043D">
        <w:rPr>
          <w:bCs/>
        </w:rPr>
        <w:t xml:space="preserve">with both the constitution and all relevant laws. </w:t>
      </w:r>
      <w:r>
        <w:rPr>
          <w:bCs/>
        </w:rPr>
        <w:t xml:space="preserve"> </w:t>
      </w:r>
    </w:p>
    <w:p w14:paraId="10CA67E3" w14:textId="40003692" w:rsidR="0062552C" w:rsidRDefault="0062552C" w:rsidP="004A24FE">
      <w:pPr>
        <w:ind w:left="-720"/>
        <w:jc w:val="both"/>
        <w:rPr>
          <w:bCs/>
        </w:rPr>
      </w:pPr>
    </w:p>
    <w:p w14:paraId="633A6756" w14:textId="65877C93" w:rsidR="0062552C" w:rsidRPr="001757A2" w:rsidRDefault="0062552C" w:rsidP="004A24FE">
      <w:pPr>
        <w:ind w:left="-720"/>
        <w:jc w:val="both"/>
        <w:rPr>
          <w:bCs/>
        </w:rPr>
      </w:pPr>
      <w:r>
        <w:rPr>
          <w:bCs/>
        </w:rPr>
        <w:t>T</w:t>
      </w:r>
      <w:r w:rsidRPr="0062552C">
        <w:rPr>
          <w:bCs/>
        </w:rPr>
        <w:t xml:space="preserve">he Mogadishu Agreement </w:t>
      </w:r>
      <w:r w:rsidR="00197120">
        <w:rPr>
          <w:bCs/>
        </w:rPr>
        <w:t xml:space="preserve">and </w:t>
      </w:r>
      <w:r w:rsidRPr="0062552C">
        <w:rPr>
          <w:bCs/>
        </w:rPr>
        <w:t xml:space="preserve">procedures on the Dispute Resolution process </w:t>
      </w:r>
      <w:r>
        <w:rPr>
          <w:bCs/>
        </w:rPr>
        <w:t xml:space="preserve">provide for  30% women representation in the </w:t>
      </w:r>
      <w:r w:rsidRPr="0062552C">
        <w:rPr>
          <w:bCs/>
        </w:rPr>
        <w:t>Dispute Resolution Committee (</w:t>
      </w:r>
      <w:r w:rsidR="007E1B93">
        <w:rPr>
          <w:bCs/>
        </w:rPr>
        <w:t>DRC</w:t>
      </w:r>
      <w:r w:rsidRPr="0062552C">
        <w:rPr>
          <w:bCs/>
        </w:rPr>
        <w:t>)</w:t>
      </w:r>
      <w:r>
        <w:rPr>
          <w:bCs/>
        </w:rPr>
        <w:t>. However, c</w:t>
      </w:r>
      <w:r w:rsidRPr="0062552C">
        <w:rPr>
          <w:bCs/>
        </w:rPr>
        <w:t xml:space="preserve">omplaints can </w:t>
      </w:r>
      <w:r>
        <w:rPr>
          <w:bCs/>
        </w:rPr>
        <w:t xml:space="preserve">only </w:t>
      </w:r>
      <w:r w:rsidRPr="0062552C">
        <w:rPr>
          <w:bCs/>
        </w:rPr>
        <w:t>be filed by delegates and candidates upon payment of a complaint registration fee of 3,000 USD</w:t>
      </w:r>
      <w:r>
        <w:rPr>
          <w:bCs/>
        </w:rPr>
        <w:t xml:space="preserve"> (in 2016 it was </w:t>
      </w:r>
      <w:r w:rsidR="004A24FE">
        <w:rPr>
          <w:bCs/>
        </w:rPr>
        <w:t xml:space="preserve">USD </w:t>
      </w:r>
      <w:r>
        <w:rPr>
          <w:bCs/>
        </w:rPr>
        <w:t xml:space="preserve">1,000). </w:t>
      </w:r>
      <w:r w:rsidR="00197120">
        <w:rPr>
          <w:bCs/>
        </w:rPr>
        <w:t>IESG</w:t>
      </w:r>
      <w:r w:rsidR="002F043D">
        <w:rPr>
          <w:bCs/>
        </w:rPr>
        <w:t>,</w:t>
      </w:r>
      <w:r w:rsidR="00197120">
        <w:rPr>
          <w:bCs/>
        </w:rPr>
        <w:t xml:space="preserve"> in coordination with the senior </w:t>
      </w:r>
      <w:r w:rsidR="002F043D">
        <w:rPr>
          <w:bCs/>
        </w:rPr>
        <w:t>leadership</w:t>
      </w:r>
      <w:r w:rsidR="00197120">
        <w:rPr>
          <w:bCs/>
        </w:rPr>
        <w:t xml:space="preserve"> of the United Nations</w:t>
      </w:r>
      <w:r w:rsidR="002F043D">
        <w:rPr>
          <w:bCs/>
        </w:rPr>
        <w:t xml:space="preserve"> and the international partners,</w:t>
      </w:r>
      <w:r w:rsidR="00197120">
        <w:rPr>
          <w:bCs/>
        </w:rPr>
        <w:t xml:space="preserve"> are advocating for a reduction in the women’s candidate and dispute resolution fees which are considered costly and restrictive. </w:t>
      </w:r>
      <w:r w:rsidR="002F043D">
        <w:rPr>
          <w:bCs/>
        </w:rPr>
        <w:t xml:space="preserve">IESG are monitoring the representation of women and other groups on the various electoral committees including the </w:t>
      </w:r>
      <w:r w:rsidR="007E1B93">
        <w:rPr>
          <w:bCs/>
        </w:rPr>
        <w:t>DRC</w:t>
      </w:r>
      <w:r w:rsidR="002F043D">
        <w:rPr>
          <w:bCs/>
        </w:rPr>
        <w:t xml:space="preserve"> and have already raised concerns about ensuring the quota for women is met.  </w:t>
      </w: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lastRenderedPageBreak/>
        <w:t xml:space="preserve">PART III: CROSS-CUTTING ISSUES </w:t>
      </w:r>
    </w:p>
    <w:p w14:paraId="544EE643" w14:textId="77777777" w:rsidR="00997347" w:rsidRPr="00627A1C" w:rsidRDefault="00997347" w:rsidP="00997347"/>
    <w:tbl>
      <w:tblPr>
        <w:tblW w:w="102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7572"/>
      </w:tblGrid>
      <w:tr w:rsidR="00997347" w:rsidRPr="00627A1C" w14:paraId="76D87A8D" w14:textId="77777777" w:rsidTr="00973199">
        <w:tc>
          <w:tcPr>
            <w:tcW w:w="2677"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8DC370D" w14:textId="2290FFE8" w:rsidR="005B0119" w:rsidRPr="00627A1C" w:rsidRDefault="005B0119" w:rsidP="0062552C"/>
        </w:tc>
        <w:tc>
          <w:tcPr>
            <w:tcW w:w="7572" w:type="dxa"/>
            <w:shd w:val="clear" w:color="auto" w:fill="auto"/>
          </w:tcPr>
          <w:p w14:paraId="6338D0DA" w14:textId="14630735" w:rsidR="00997347" w:rsidRPr="00627A1C" w:rsidRDefault="007118F5" w:rsidP="00AD73D3">
            <w:r w:rsidRPr="00627A1C">
              <w:t xml:space="preserve">Do outcome indicators have baselines? </w:t>
            </w:r>
            <w:r w:rsidR="000F4FF7">
              <w:fldChar w:fldCharType="begin">
                <w:ffData>
                  <w:name w:val="Dropdown3"/>
                  <w:enabled/>
                  <w:calcOnExit w:val="0"/>
                  <w:ddList>
                    <w:listEntry w:val="please select"/>
                    <w:listEntry w:val="yes"/>
                    <w:listEntry w:val="no"/>
                  </w:ddList>
                </w:ffData>
              </w:fldChar>
            </w:r>
            <w:bookmarkStart w:id="18" w:name="Dropdown3"/>
            <w:r w:rsidR="000F4FF7">
              <w:instrText xml:space="preserve"> FORMDROPDOWN </w:instrText>
            </w:r>
            <w:r w:rsidR="002F18DF">
              <w:fldChar w:fldCharType="separate"/>
            </w:r>
            <w:r w:rsidR="000F4FF7">
              <w:fldChar w:fldCharType="end"/>
            </w:r>
            <w:bookmarkEnd w:id="18"/>
            <w:r w:rsidR="004A24FE">
              <w:t xml:space="preserve"> YES </w:t>
            </w:r>
          </w:p>
          <w:p w14:paraId="15B120F3" w14:textId="77777777" w:rsidR="007118F5" w:rsidRPr="00627A1C" w:rsidRDefault="007118F5" w:rsidP="00AD73D3"/>
          <w:p w14:paraId="7BDC2616" w14:textId="79C99D25" w:rsidR="007118F5" w:rsidRDefault="007118F5" w:rsidP="00AD73D3">
            <w:r w:rsidRPr="00627A1C">
              <w:t xml:space="preserve">Has the project launched perception surveys or other community-based data collection? </w:t>
            </w:r>
            <w:r w:rsidR="000F4FF7">
              <w:fldChar w:fldCharType="begin">
                <w:ffData>
                  <w:name w:val=""/>
                  <w:enabled/>
                  <w:calcOnExit w:val="0"/>
                  <w:ddList>
                    <w:listEntry w:val="please select"/>
                    <w:listEntry w:val="yes"/>
                    <w:listEntry w:val="no"/>
                  </w:ddList>
                </w:ffData>
              </w:fldChar>
            </w:r>
            <w:r w:rsidR="000F4FF7">
              <w:instrText xml:space="preserve"> FORMDROPDOWN </w:instrText>
            </w:r>
            <w:r w:rsidR="002F18DF">
              <w:fldChar w:fldCharType="separate"/>
            </w:r>
            <w:r w:rsidR="000F4FF7">
              <w:fldChar w:fldCharType="end"/>
            </w:r>
            <w:r w:rsidR="004A24FE">
              <w:t xml:space="preserve"> NO </w:t>
            </w:r>
          </w:p>
          <w:p w14:paraId="47AE1D0B" w14:textId="77777777" w:rsidR="00B26E36" w:rsidRPr="00B26E36" w:rsidRDefault="00B26E36" w:rsidP="00B26E36">
            <w:r w:rsidRPr="00B26E36">
              <w:t>Regular meetings with NIEC legal department to follow-up on progress.</w:t>
            </w:r>
          </w:p>
          <w:p w14:paraId="7D9CFCFE" w14:textId="77777777" w:rsidR="00B26E36" w:rsidRPr="00B26E36" w:rsidRDefault="00B26E36" w:rsidP="00B26E36">
            <w:r w:rsidRPr="00B26E36">
              <w:t xml:space="preserve">Workshops and Meetings between IESG, NIEC Board of Commissioners, NIEC Secretariat (including legal department) with recorded decisions on EDR structures taken. </w:t>
            </w:r>
          </w:p>
          <w:p w14:paraId="4749D761" w14:textId="32480F43" w:rsidR="00B26E36" w:rsidRPr="00627A1C" w:rsidRDefault="00B26E36" w:rsidP="00B26E36"/>
        </w:tc>
      </w:tr>
      <w:tr w:rsidR="006C1819" w:rsidRPr="00627A1C" w14:paraId="27203492" w14:textId="77777777" w:rsidTr="00973199">
        <w:tc>
          <w:tcPr>
            <w:tcW w:w="2677"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1FAAFCD1" w14:textId="77777777" w:rsidR="0062552C" w:rsidRDefault="0062552C" w:rsidP="007118F5">
            <w:pPr>
              <w:rPr>
                <w:i/>
                <w:iCs/>
              </w:rPr>
            </w:pPr>
          </w:p>
          <w:p w14:paraId="30E2DDCB" w14:textId="4CE570D1" w:rsidR="007118F5" w:rsidRPr="00627A1C" w:rsidRDefault="007118F5" w:rsidP="007118F5">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2F18DF">
              <w:fldChar w:fldCharType="separate"/>
            </w:r>
            <w:r w:rsidRPr="00627A1C">
              <w:fldChar w:fldCharType="end"/>
            </w:r>
          </w:p>
        </w:tc>
        <w:tc>
          <w:tcPr>
            <w:tcW w:w="7572" w:type="dxa"/>
            <w:shd w:val="clear" w:color="auto" w:fill="auto"/>
          </w:tcPr>
          <w:p w14:paraId="0A637856" w14:textId="06E0FAE0" w:rsidR="006C1819" w:rsidRPr="00627A1C" w:rsidRDefault="004D141E" w:rsidP="00E76CA1">
            <w:r w:rsidRPr="00627A1C">
              <w:t>Evaluation budget</w:t>
            </w:r>
            <w:r w:rsidR="007118F5" w:rsidRPr="00627A1C">
              <w:t xml:space="preserve"> (response required)</w:t>
            </w:r>
            <w:r w:rsidRPr="00627A1C">
              <w:t xml:space="preserve">:  </w:t>
            </w:r>
            <w:r w:rsidR="004A24FE">
              <w:t>USD 57,392</w:t>
            </w:r>
          </w:p>
          <w:p w14:paraId="250C2893" w14:textId="77777777" w:rsidR="004D141E" w:rsidRPr="00627A1C" w:rsidRDefault="004D141E" w:rsidP="00E76CA1"/>
          <w:p w14:paraId="5E7D651E" w14:textId="22C9DC41"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19"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19"/>
          </w:p>
          <w:p w14:paraId="5C92AEA7" w14:textId="77777777" w:rsidR="004A24FE" w:rsidRDefault="004A24FE" w:rsidP="00E76CA1"/>
          <w:p w14:paraId="0B9D2850" w14:textId="00050B64" w:rsidR="00156C4C" w:rsidRPr="00627A1C" w:rsidRDefault="005B0119" w:rsidP="00E76CA1">
            <w:r w:rsidRPr="005B0119">
              <w:t xml:space="preserve">One EDR workshop provided by IESG on 28 November 2019 was evaluated positively by </w:t>
            </w:r>
            <w:r>
              <w:t>UKAID.</w:t>
            </w:r>
          </w:p>
        </w:tc>
      </w:tr>
      <w:tr w:rsidR="00997347" w:rsidRPr="00627A1C" w14:paraId="7A0799D1" w14:textId="77777777" w:rsidTr="00973199">
        <w:tc>
          <w:tcPr>
            <w:tcW w:w="2677" w:type="dxa"/>
            <w:shd w:val="clear" w:color="auto" w:fill="auto"/>
          </w:tcPr>
          <w:p w14:paraId="191CCA48" w14:textId="77777777" w:rsidR="005B0119"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p>
          <w:p w14:paraId="21F1ADBF" w14:textId="77777777" w:rsidR="005B0119" w:rsidRDefault="005B0119" w:rsidP="00411A5F"/>
          <w:p w14:paraId="198D7EA9" w14:textId="0088FA29" w:rsidR="00997347" w:rsidRPr="00627A1C" w:rsidRDefault="002E10E6" w:rsidP="00411A5F">
            <w:r w:rsidRPr="00627A1C">
              <w:t xml:space="preserve"> </w:t>
            </w:r>
          </w:p>
        </w:tc>
        <w:tc>
          <w:tcPr>
            <w:tcW w:w="7572" w:type="dxa"/>
            <w:shd w:val="clear" w:color="auto" w:fill="auto"/>
          </w:tcPr>
          <w:p w14:paraId="1059C7ED" w14:textId="117E408E" w:rsidR="005B0119" w:rsidRDefault="00B22EE3" w:rsidP="005E23BF">
            <w:pPr>
              <w:jc w:val="both"/>
            </w:pPr>
            <w:r>
              <w:t>For Joint Electoral Support Programme, f</w:t>
            </w:r>
            <w:r w:rsidR="0063596D">
              <w:t>unding c</w:t>
            </w:r>
            <w:r w:rsidR="005B0119">
              <w:t xml:space="preserve">ontributions </w:t>
            </w:r>
            <w:r>
              <w:t xml:space="preserve">of </w:t>
            </w:r>
            <w:r w:rsidR="007F5EA9">
              <w:t xml:space="preserve">USD 10.7 M received </w:t>
            </w:r>
            <w:r w:rsidR="005B0119">
              <w:t xml:space="preserve">from donors including Norway, </w:t>
            </w:r>
            <w:r w:rsidR="0063596D">
              <w:t xml:space="preserve">Sweden, </w:t>
            </w:r>
            <w:r w:rsidR="005B0119">
              <w:t>USA, Germany</w:t>
            </w:r>
            <w:r w:rsidR="007F5EA9">
              <w:t xml:space="preserve"> and</w:t>
            </w:r>
            <w:r w:rsidR="0063596D">
              <w:t xml:space="preserve"> </w:t>
            </w:r>
            <w:r w:rsidR="005B0119">
              <w:t>D</w:t>
            </w:r>
            <w:r w:rsidR="00044024">
              <w:t>FID</w:t>
            </w:r>
            <w:r w:rsidR="0063596D">
              <w:t xml:space="preserve"> </w:t>
            </w:r>
            <w:r>
              <w:t xml:space="preserve">in year 2020 </w:t>
            </w:r>
            <w:r w:rsidR="0063596D">
              <w:t>and</w:t>
            </w:r>
            <w:r w:rsidR="00A43E28">
              <w:t xml:space="preserve"> </w:t>
            </w:r>
            <w:r w:rsidR="0063596D">
              <w:t xml:space="preserve">UNSOS </w:t>
            </w:r>
            <w:r>
              <w:t>continued with direct budget support of USD 3 M for different construction and security enhancement related works for NIEC new HQ</w:t>
            </w:r>
            <w:r w:rsidR="005E23BF">
              <w:t xml:space="preserve"> and Govt of Japan contribution of USD 252,000 for NIEC warehouse construction. </w:t>
            </w:r>
          </w:p>
          <w:p w14:paraId="5F5788DE" w14:textId="77777777" w:rsidR="005B0119" w:rsidRDefault="005B0119" w:rsidP="005B0119"/>
          <w:p w14:paraId="37C48475" w14:textId="77777777" w:rsidR="005B0119" w:rsidRDefault="005B0119" w:rsidP="00156C4C"/>
          <w:p w14:paraId="6440E705" w14:textId="3A8FBFF9"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0"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Text48"/>
                  <w:enabled/>
                  <w:calcOnExit w:val="0"/>
                  <w:textInput>
                    <w:type w:val="number"/>
                    <w:format w:val="0.00"/>
                  </w:textInput>
                </w:ffData>
              </w:fldChar>
            </w:r>
            <w:bookmarkStart w:id="2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50"/>
                  <w:enabled/>
                  <w:calcOnExit w:val="0"/>
                  <w:textInput>
                    <w:type w:val="number"/>
                    <w:format w:val="0.00"/>
                  </w:textInput>
                </w:ffData>
              </w:fldChar>
            </w:r>
            <w:bookmarkStart w:id="2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tc>
      </w:tr>
      <w:tr w:rsidR="002C187A" w:rsidRPr="00627A1C" w14:paraId="5E21C55B" w14:textId="77777777" w:rsidTr="00973199">
        <w:tc>
          <w:tcPr>
            <w:tcW w:w="2677"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7572" w:type="dxa"/>
            <w:shd w:val="clear" w:color="auto" w:fill="auto"/>
          </w:tcPr>
          <w:p w14:paraId="24082E85" w14:textId="1A6798A4" w:rsidR="008A7B09" w:rsidRPr="008A7B09" w:rsidRDefault="008A7B09" w:rsidP="008A7B09">
            <w:r w:rsidRPr="008A7B09">
              <w:t xml:space="preserve">The delay in passing the necessary electoral legislation affected adherence to the constitutional schedule for </w:t>
            </w:r>
            <w:r w:rsidR="00716987">
              <w:t xml:space="preserve">direct </w:t>
            </w:r>
            <w:r w:rsidRPr="008A7B09">
              <w:t>elections</w:t>
            </w:r>
            <w:r w:rsidR="00716987">
              <w:t xml:space="preserve"> in 2020/2021</w:t>
            </w:r>
            <w:r w:rsidRPr="008A7B09">
              <w:t xml:space="preserve">. The quality of the legal framework is challenging as it is contradictory and insufficient, reflecting the lack of legal drafting </w:t>
            </w:r>
            <w:r w:rsidR="005A6D9E">
              <w:t>experience</w:t>
            </w:r>
            <w:r w:rsidRPr="008A7B09">
              <w:t xml:space="preserve">. </w:t>
            </w:r>
          </w:p>
          <w:p w14:paraId="68ED6B59" w14:textId="77777777" w:rsidR="008A7B09" w:rsidRPr="008A7B09" w:rsidRDefault="008A7B09" w:rsidP="008A7B09"/>
          <w:p w14:paraId="773C16A9" w14:textId="7C39B0B4" w:rsidR="008A7B09" w:rsidRPr="008A7B09" w:rsidRDefault="003217AC" w:rsidP="008A7B09">
            <w:r>
              <w:t>T</w:t>
            </w:r>
            <w:r w:rsidR="008A7B09" w:rsidRPr="008A7B09">
              <w:t xml:space="preserve">he political process introduced </w:t>
            </w:r>
            <w:r w:rsidR="00942909">
              <w:t xml:space="preserve">on 17 September </w:t>
            </w:r>
            <w:r w:rsidR="008A7B09" w:rsidRPr="008A7B09">
              <w:t>suspended the entire planned electoral process in line with the legal framework</w:t>
            </w:r>
            <w:r w:rsidR="00716987">
              <w:t xml:space="preserve"> for an indirect electoral process</w:t>
            </w:r>
            <w:r w:rsidR="008A7B09" w:rsidRPr="008A7B09">
              <w:t xml:space="preserve">. </w:t>
            </w:r>
          </w:p>
          <w:p w14:paraId="4DD6F6B5" w14:textId="4AC35199" w:rsidR="001C17D0" w:rsidRDefault="001C17D0" w:rsidP="000F4FF7"/>
          <w:p w14:paraId="73183B06" w14:textId="6775E8D5" w:rsidR="00973199" w:rsidRPr="00973199" w:rsidRDefault="001C17D0" w:rsidP="00973199">
            <w:r w:rsidRPr="00973199">
              <w:t xml:space="preserve">Output 2 of the project titled ‘NIEC stakeholder outreach and EDR facilities are developed at NIEC HQ, including security enhancements’’ is implemented by UNOPS with approved budget of USD 900,000. Due to complexity of the project, it was agreed by IESG and UNOPS to increase the engagement of UNOPS Engineering team to the project site. Therefore, UNOPS proposed to increase the cost share of the personnel cost from 30% to 70% and deployment of a senior engineer to the site. Accordingly, budget for personnel costs is increased by $ 165 K with budget revisions </w:t>
            </w:r>
            <w:r w:rsidR="00973199">
              <w:t>for other components of the</w:t>
            </w:r>
            <w:r w:rsidRPr="00973199">
              <w:t xml:space="preserve"> budget. To accommodate</w:t>
            </w:r>
            <w:r w:rsidR="00973199">
              <w:t xml:space="preserve"> </w:t>
            </w:r>
            <w:r w:rsidRPr="00973199">
              <w:t>UNOPS request</w:t>
            </w:r>
            <w:r w:rsidR="00973199" w:rsidRPr="00973199">
              <w:t xml:space="preserve">, </w:t>
            </w:r>
            <w:r w:rsidRPr="00973199">
              <w:t xml:space="preserve">UNDP budget </w:t>
            </w:r>
            <w:r w:rsidRPr="00973199">
              <w:lastRenderedPageBreak/>
              <w:t xml:space="preserve">is </w:t>
            </w:r>
            <w:r w:rsidR="00973199">
              <w:t xml:space="preserve">proposed to be </w:t>
            </w:r>
            <w:r w:rsidRPr="00973199">
              <w:t>reduc</w:t>
            </w:r>
            <w:r w:rsidR="00973199">
              <w:t>ed</w:t>
            </w:r>
            <w:r w:rsidRPr="00973199">
              <w:t xml:space="preserve"> </w:t>
            </w:r>
            <w:r w:rsidR="00973199" w:rsidRPr="00973199">
              <w:t xml:space="preserve">by $ 165 K to </w:t>
            </w:r>
            <w:r w:rsidR="00973199">
              <w:t xml:space="preserve">make this </w:t>
            </w:r>
            <w:r w:rsidR="00973199" w:rsidRPr="00973199">
              <w:t>adjust</w:t>
            </w:r>
            <w:r w:rsidR="00973199">
              <w:t xml:space="preserve">ment of budget </w:t>
            </w:r>
            <w:r w:rsidR="00973199" w:rsidRPr="00973199">
              <w:t xml:space="preserve"> with</w:t>
            </w:r>
            <w:r w:rsidR="00973199">
              <w:t xml:space="preserve">in </w:t>
            </w:r>
            <w:r w:rsidR="00973199" w:rsidRPr="00973199">
              <w:t>overall approved project budget of $ 2.5 M</w:t>
            </w:r>
            <w:r w:rsidR="00973199">
              <w:t xml:space="preserve"> as follows:</w:t>
            </w:r>
          </w:p>
          <w:p w14:paraId="28E44CB4" w14:textId="595F67CF" w:rsidR="00973199" w:rsidRDefault="00973199" w:rsidP="00973199"/>
          <w:p w14:paraId="3C1E68E9" w14:textId="3246EAAD" w:rsidR="00973199" w:rsidRPr="008A7B09" w:rsidRDefault="00973199" w:rsidP="00973199">
            <w:r>
              <w:rPr>
                <w:noProof/>
              </w:rPr>
              <w:drawing>
                <wp:inline distT="0" distB="0" distL="0" distR="0" wp14:anchorId="0EA06950" wp14:editId="48BDBEA0">
                  <wp:extent cx="5274310" cy="7569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74310" cy="756920"/>
                          </a:xfrm>
                          <a:prstGeom prst="rect">
                            <a:avLst/>
                          </a:prstGeom>
                          <a:noFill/>
                          <a:ln>
                            <a:noFill/>
                          </a:ln>
                        </pic:spPr>
                      </pic:pic>
                    </a:graphicData>
                  </a:graphic>
                </wp:inline>
              </w:drawing>
            </w:r>
          </w:p>
          <w:p w14:paraId="780475A2" w14:textId="7DF28CE4" w:rsidR="000B1F4D" w:rsidRPr="008A7B09" w:rsidRDefault="000B1F4D" w:rsidP="000F4FF7"/>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Pr="00A56493" w:rsidRDefault="00257569" w:rsidP="001F1895">
      <w:pPr>
        <w:pStyle w:val="ListParagraph"/>
        <w:numPr>
          <w:ilvl w:val="0"/>
          <w:numId w:val="3"/>
        </w:numPr>
        <w:rPr>
          <w:b/>
          <w:bCs/>
        </w:rPr>
      </w:pPr>
      <w:r w:rsidRPr="00A56493">
        <w:rPr>
          <w:b/>
          <w:bCs/>
        </w:rPr>
        <w:t xml:space="preserve">Monetary adjustments: </w:t>
      </w:r>
      <w:r w:rsidR="00E83A40" w:rsidRPr="00A56493">
        <w:rPr>
          <w:b/>
          <w:bCs/>
        </w:rPr>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30541CD5" w:rsidR="00E83A40" w:rsidRDefault="00C55E8E" w:rsidP="00E83A40">
      <w:pPr>
        <w:ind w:left="2160"/>
      </w:pPr>
      <w:r>
        <w:t>$</w:t>
      </w:r>
      <w:r w:rsidR="00A56493">
        <w:t xml:space="preserve"> Zero</w:t>
      </w:r>
    </w:p>
    <w:p w14:paraId="50938D6B" w14:textId="77777777" w:rsidR="00E83A40" w:rsidRDefault="00E83A40" w:rsidP="00E83A40"/>
    <w:p w14:paraId="42BC2B4F" w14:textId="77C65F92" w:rsidR="00E83A40" w:rsidRPr="00A56493" w:rsidRDefault="00C55E8E" w:rsidP="001F1895">
      <w:pPr>
        <w:pStyle w:val="ListParagraph"/>
        <w:numPr>
          <w:ilvl w:val="0"/>
          <w:numId w:val="3"/>
        </w:numPr>
        <w:rPr>
          <w:b/>
          <w:bCs/>
        </w:rPr>
      </w:pPr>
      <w:r w:rsidRPr="00A56493">
        <w:rPr>
          <w:b/>
          <w:bCs/>
        </w:rPr>
        <w:t xml:space="preserve">Non-monetary adjustments: </w:t>
      </w:r>
      <w:r w:rsidR="00E83A40" w:rsidRPr="00A56493">
        <w:rPr>
          <w:b/>
          <w:bCs/>
        </w:rPr>
        <w:t>Please indicate any adjustments</w:t>
      </w:r>
      <w:r w:rsidR="00257569" w:rsidRPr="00A56493">
        <w:rPr>
          <w:b/>
          <w:bCs/>
        </w:rPr>
        <w:t xml:space="preserve"> to the project</w:t>
      </w:r>
      <w:r w:rsidR="00E83A40" w:rsidRPr="00A56493">
        <w:rPr>
          <w:b/>
          <w:bCs/>
        </w:rPr>
        <w:t xml:space="preserve"> which did not have any financial implications:</w:t>
      </w:r>
    </w:p>
    <w:p w14:paraId="6939F7F8" w14:textId="77777777" w:rsidR="00E83A40" w:rsidRDefault="00E83A40" w:rsidP="00E83A40"/>
    <w:p w14:paraId="61BBAED9" w14:textId="153DA485" w:rsidR="00942909" w:rsidRDefault="00942909" w:rsidP="00A56493">
      <w:pPr>
        <w:ind w:left="720"/>
        <w:jc w:val="both"/>
      </w:pPr>
      <w:r w:rsidRPr="00EA25AC">
        <w:t>COVID-19 impacted the return of the Parliament from its February recess in 2020. Parliament resumed business on 6 June. The delay in passing the necessary electoral legislation affected adherence to the constitutional schedule for elections. The delay also affected IESG plans to hire staff due to the uncertainty regarding whether the elections would proceed as planned. The negotiations regarding the electoral process delayed the recruitment of the EDR Specialist by a few months.  However, the EDR Specialist joined the team on 1 November</w:t>
      </w:r>
      <w:r w:rsidR="00FD7CE1">
        <w:t>.</w:t>
      </w:r>
      <w:r w:rsidRPr="00EA25AC">
        <w:t xml:space="preserve">  To compensate for regular in-person meetings due to COVID-19 restrictions, the IESG legal department held virtual meetings with the NIEC legal department over the past year. </w:t>
      </w:r>
      <w:r w:rsidR="005763FC" w:rsidRPr="00EA25AC">
        <w:t>The IESG programme, with MPTF funds, provided zoom licenses to the NIEC to enable the organisation maintain business and conduct virtual meetings with both staff and all stakeholders.</w:t>
      </w:r>
      <w:r w:rsidR="005763FC">
        <w:t xml:space="preserve"> </w:t>
      </w:r>
    </w:p>
    <w:p w14:paraId="7A9CD678" w14:textId="77777777" w:rsidR="005763FC" w:rsidRDefault="005763FC" w:rsidP="00A56493">
      <w:pPr>
        <w:ind w:left="720"/>
        <w:jc w:val="both"/>
      </w:pPr>
    </w:p>
    <w:p w14:paraId="1A3528BB" w14:textId="7973974D" w:rsidR="005763FC" w:rsidRDefault="005763FC" w:rsidP="00A56493">
      <w:pPr>
        <w:ind w:left="720"/>
        <w:jc w:val="both"/>
      </w:pPr>
      <w:r>
        <w:t>Construction work was not affected and proce</w:t>
      </w:r>
      <w:r w:rsidR="009943F1">
        <w:t>eded</w:t>
      </w:r>
      <w:r>
        <w:t xml:space="preserve"> at pace</w:t>
      </w:r>
      <w:r w:rsidR="009943F1">
        <w:t xml:space="preserve"> and on target</w:t>
      </w:r>
      <w:r>
        <w:t>. However, contractors had to provide PPE and ensure hygiene procedures were in place for their workers at the construction site.</w:t>
      </w:r>
    </w:p>
    <w:p w14:paraId="6280561D" w14:textId="77777777" w:rsidR="00044024" w:rsidRDefault="00044024" w:rsidP="005763FC">
      <w:pPr>
        <w:ind w:left="720"/>
      </w:pPr>
    </w:p>
    <w:p w14:paraId="59BC82AF" w14:textId="2B9AA913" w:rsidR="00257569" w:rsidRDefault="00257569" w:rsidP="001F1895">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2F18DF"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2F18DF"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2F18DF"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2F18DF"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2F18DF"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2F18DF"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B4652D">
        <w:rPr>
          <w:b/>
          <w:u w:val="single"/>
        </w:rPr>
        <w:lastRenderedPageBreak/>
        <w:t>PART V:</w:t>
      </w:r>
      <w:r w:rsidR="004E3B3E" w:rsidRPr="00B4652D">
        <w:rPr>
          <w:b/>
          <w:u w:val="single"/>
        </w:rPr>
        <w:t xml:space="preserve"> INDICATOR BASED PERFORMANCE ASSESSMENT</w:t>
      </w:r>
    </w:p>
    <w:p w14:paraId="52A7F2AB" w14:textId="77777777" w:rsidR="000F4FF7" w:rsidRDefault="000F4FF7" w:rsidP="000F4FF7">
      <w:pPr>
        <w:jc w:val="both"/>
        <w:rPr>
          <w:bCs/>
          <w:i/>
          <w:lang w:val="en-US" w:eastAsia="en-US"/>
        </w:rPr>
      </w:pPr>
    </w:p>
    <w:p w14:paraId="10155C19" w14:textId="77777777" w:rsidR="000F4FF7" w:rsidRPr="00627A1C" w:rsidRDefault="000F4FF7" w:rsidP="000F4FF7">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p w14:paraId="1E7AD39F" w14:textId="77777777" w:rsidR="000F4FF7" w:rsidRPr="00627A1C" w:rsidRDefault="000F4FF7" w:rsidP="000F4FF7">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3874"/>
        <w:gridCol w:w="3056"/>
      </w:tblGrid>
      <w:tr w:rsidR="000F4FF7" w:rsidRPr="00627A1C" w14:paraId="7418D0E6" w14:textId="77777777" w:rsidTr="000A6807">
        <w:trPr>
          <w:tblHeader/>
        </w:trPr>
        <w:tc>
          <w:tcPr>
            <w:tcW w:w="1530" w:type="dxa"/>
          </w:tcPr>
          <w:p w14:paraId="69153880" w14:textId="77777777" w:rsidR="000F4FF7" w:rsidRPr="00627A1C" w:rsidRDefault="000F4FF7" w:rsidP="000A6807">
            <w:pPr>
              <w:jc w:val="center"/>
              <w:rPr>
                <w:b/>
                <w:lang w:val="en-US" w:eastAsia="en-US"/>
              </w:rPr>
            </w:pPr>
          </w:p>
        </w:tc>
        <w:tc>
          <w:tcPr>
            <w:tcW w:w="2070" w:type="dxa"/>
            <w:shd w:val="clear" w:color="auto" w:fill="EEECE1"/>
          </w:tcPr>
          <w:p w14:paraId="6E257A1D" w14:textId="77777777" w:rsidR="000F4FF7" w:rsidRPr="00627A1C" w:rsidRDefault="000F4FF7" w:rsidP="000A6807">
            <w:pPr>
              <w:jc w:val="center"/>
              <w:rPr>
                <w:b/>
                <w:lang w:val="en-US" w:eastAsia="en-US"/>
              </w:rPr>
            </w:pPr>
            <w:r w:rsidRPr="00627A1C">
              <w:rPr>
                <w:b/>
                <w:lang w:val="en-US" w:eastAsia="en-US"/>
              </w:rPr>
              <w:t>Performance Indicators</w:t>
            </w:r>
          </w:p>
        </w:tc>
        <w:tc>
          <w:tcPr>
            <w:tcW w:w="1530" w:type="dxa"/>
            <w:shd w:val="clear" w:color="auto" w:fill="EEECE1"/>
          </w:tcPr>
          <w:p w14:paraId="2ECA8ECA" w14:textId="77777777" w:rsidR="000F4FF7" w:rsidRPr="00627A1C" w:rsidRDefault="000F4FF7" w:rsidP="000A6807">
            <w:pPr>
              <w:jc w:val="center"/>
              <w:rPr>
                <w:b/>
                <w:lang w:val="en-US" w:eastAsia="en-US"/>
              </w:rPr>
            </w:pPr>
            <w:r w:rsidRPr="00627A1C">
              <w:rPr>
                <w:b/>
                <w:lang w:val="en-US" w:eastAsia="en-US"/>
              </w:rPr>
              <w:t>Indicator Baseline</w:t>
            </w:r>
          </w:p>
        </w:tc>
        <w:tc>
          <w:tcPr>
            <w:tcW w:w="1620" w:type="dxa"/>
            <w:shd w:val="clear" w:color="auto" w:fill="EEECE1"/>
          </w:tcPr>
          <w:p w14:paraId="2BD4B6B9" w14:textId="77777777" w:rsidR="000F4FF7" w:rsidRPr="00627A1C" w:rsidRDefault="000F4FF7" w:rsidP="000A6807">
            <w:pPr>
              <w:jc w:val="center"/>
              <w:rPr>
                <w:b/>
                <w:lang w:val="en-US" w:eastAsia="en-US"/>
              </w:rPr>
            </w:pPr>
            <w:r w:rsidRPr="00627A1C">
              <w:rPr>
                <w:b/>
                <w:lang w:val="en-US" w:eastAsia="en-US"/>
              </w:rPr>
              <w:t>End of project Indicator Target</w:t>
            </w:r>
          </w:p>
        </w:tc>
        <w:tc>
          <w:tcPr>
            <w:tcW w:w="1440" w:type="dxa"/>
          </w:tcPr>
          <w:p w14:paraId="1A729ACC" w14:textId="77777777" w:rsidR="000F4FF7" w:rsidRPr="00627A1C" w:rsidRDefault="000F4FF7" w:rsidP="000A6807">
            <w:pPr>
              <w:jc w:val="center"/>
              <w:rPr>
                <w:b/>
                <w:lang w:val="en-US" w:eastAsia="en-US"/>
              </w:rPr>
            </w:pPr>
            <w:r w:rsidRPr="00627A1C">
              <w:rPr>
                <w:b/>
                <w:lang w:val="en-US" w:eastAsia="en-US"/>
              </w:rPr>
              <w:t>Indicator Milestone</w:t>
            </w:r>
          </w:p>
        </w:tc>
        <w:tc>
          <w:tcPr>
            <w:tcW w:w="3874" w:type="dxa"/>
          </w:tcPr>
          <w:p w14:paraId="39A93171" w14:textId="77777777" w:rsidR="000F4FF7" w:rsidRPr="00627A1C" w:rsidRDefault="000F4FF7" w:rsidP="000A6807">
            <w:pPr>
              <w:jc w:val="center"/>
              <w:rPr>
                <w:b/>
                <w:lang w:val="en-US" w:eastAsia="en-US"/>
              </w:rPr>
            </w:pPr>
            <w:r w:rsidRPr="00627A1C">
              <w:rPr>
                <w:b/>
                <w:lang w:val="en-US" w:eastAsia="en-US"/>
              </w:rPr>
              <w:t>Current indicator progress</w:t>
            </w:r>
          </w:p>
        </w:tc>
        <w:tc>
          <w:tcPr>
            <w:tcW w:w="3056" w:type="dxa"/>
          </w:tcPr>
          <w:p w14:paraId="2ADA91C5" w14:textId="77777777" w:rsidR="000F4FF7" w:rsidRPr="00627A1C" w:rsidRDefault="000F4FF7" w:rsidP="000A6807">
            <w:pPr>
              <w:jc w:val="center"/>
              <w:rPr>
                <w:b/>
                <w:lang w:val="en-US" w:eastAsia="en-US"/>
              </w:rPr>
            </w:pPr>
            <w:r w:rsidRPr="00627A1C">
              <w:rPr>
                <w:b/>
                <w:lang w:val="en-US" w:eastAsia="en-US"/>
              </w:rPr>
              <w:t>Reasons for Variance/ Delay</w:t>
            </w:r>
          </w:p>
          <w:p w14:paraId="1E17049E" w14:textId="77777777" w:rsidR="000F4FF7" w:rsidRPr="00627A1C" w:rsidRDefault="000F4FF7" w:rsidP="000A6807">
            <w:pPr>
              <w:jc w:val="center"/>
              <w:rPr>
                <w:b/>
                <w:lang w:val="en-US" w:eastAsia="en-US"/>
              </w:rPr>
            </w:pPr>
            <w:r w:rsidRPr="00627A1C">
              <w:rPr>
                <w:b/>
                <w:lang w:val="en-US" w:eastAsia="en-US"/>
              </w:rPr>
              <w:t>(if any)</w:t>
            </w:r>
          </w:p>
        </w:tc>
      </w:tr>
      <w:tr w:rsidR="000F4FF7" w:rsidRPr="00627A1C" w14:paraId="4913AC2D" w14:textId="77777777" w:rsidTr="000A6807">
        <w:trPr>
          <w:trHeight w:val="548"/>
        </w:trPr>
        <w:tc>
          <w:tcPr>
            <w:tcW w:w="1530" w:type="dxa"/>
          </w:tcPr>
          <w:p w14:paraId="77130DE6" w14:textId="77777777" w:rsidR="000F4FF7" w:rsidRPr="00627A1C" w:rsidRDefault="000F4FF7" w:rsidP="000A6807">
            <w:pPr>
              <w:rPr>
                <w:b/>
                <w:lang w:val="en-US" w:eastAsia="en-US"/>
              </w:rPr>
            </w:pPr>
            <w:r w:rsidRPr="00627A1C">
              <w:rPr>
                <w:b/>
                <w:lang w:val="en-US" w:eastAsia="en-US"/>
              </w:rPr>
              <w:t>Outcome 1</w:t>
            </w:r>
          </w:p>
          <w:p w14:paraId="3109249F" w14:textId="77777777" w:rsidR="000F4FF7" w:rsidRPr="00627A1C" w:rsidRDefault="000F4FF7" w:rsidP="000A6807">
            <w:pPr>
              <w:rPr>
                <w:b/>
                <w:lang w:val="en-US" w:eastAsia="en-US"/>
              </w:rPr>
            </w:pPr>
            <w:r w:rsidRPr="00CC41D8">
              <w:rPr>
                <w:rFonts w:ascii="Arial" w:hAnsi="Arial" w:cs="Arial"/>
                <w:sz w:val="16"/>
                <w:szCs w:val="16"/>
              </w:rPr>
              <w:t xml:space="preserve">EDR mechanism </w:t>
            </w:r>
            <w:r>
              <w:rPr>
                <w:rFonts w:ascii="Arial" w:hAnsi="Arial" w:cs="Arial"/>
                <w:sz w:val="16"/>
                <w:szCs w:val="16"/>
              </w:rPr>
              <w:t>is</w:t>
            </w:r>
            <w:r w:rsidRPr="00CC41D8">
              <w:rPr>
                <w:rFonts w:ascii="Arial" w:hAnsi="Arial" w:cs="Arial"/>
                <w:sz w:val="16"/>
                <w:szCs w:val="16"/>
              </w:rPr>
              <w:t xml:space="preserve"> </w:t>
            </w:r>
            <w:r>
              <w:rPr>
                <w:rFonts w:ascii="Arial" w:hAnsi="Arial" w:cs="Arial"/>
                <w:sz w:val="16"/>
                <w:szCs w:val="16"/>
              </w:rPr>
              <w:t>effectively strengthened in its capacity to prevent the outbreak of electoral violence by mitigating and resolving electoral complaints through formal and informal dispute resolution</w:t>
            </w:r>
          </w:p>
        </w:tc>
        <w:tc>
          <w:tcPr>
            <w:tcW w:w="2070" w:type="dxa"/>
            <w:shd w:val="clear" w:color="auto" w:fill="EEECE1"/>
          </w:tcPr>
          <w:p w14:paraId="46CEA92D" w14:textId="77777777" w:rsidR="000F4FF7" w:rsidRPr="00627A1C" w:rsidRDefault="000F4FF7" w:rsidP="000A6807">
            <w:pPr>
              <w:jc w:val="both"/>
              <w:rPr>
                <w:lang w:val="en-US" w:eastAsia="en-US"/>
              </w:rPr>
            </w:pPr>
            <w:r w:rsidRPr="00627A1C">
              <w:rPr>
                <w:lang w:val="en-US" w:eastAsia="en-US"/>
              </w:rPr>
              <w:t>Indicator 1.1</w:t>
            </w:r>
          </w:p>
          <w:p w14:paraId="013CECC8" w14:textId="77777777" w:rsidR="000F4FF7" w:rsidRPr="00627A1C" w:rsidRDefault="000F4FF7" w:rsidP="000A6807">
            <w:pPr>
              <w:jc w:val="both"/>
              <w:rPr>
                <w:lang w:val="en-US" w:eastAsia="en-US"/>
              </w:rPr>
            </w:pPr>
            <w:r>
              <w:rPr>
                <w:rFonts w:ascii="Arial" w:hAnsi="Arial" w:cs="Arial"/>
                <w:sz w:val="16"/>
                <w:szCs w:val="16"/>
              </w:rPr>
              <w:t>%</w:t>
            </w:r>
            <w:r w:rsidRPr="007B72A1">
              <w:rPr>
                <w:rFonts w:ascii="Arial" w:hAnsi="Arial" w:cs="Arial"/>
                <w:sz w:val="16"/>
                <w:szCs w:val="16"/>
              </w:rPr>
              <w:t xml:space="preserve"> of electoral </w:t>
            </w:r>
            <w:r>
              <w:rPr>
                <w:rFonts w:ascii="Arial" w:hAnsi="Arial" w:cs="Arial"/>
                <w:sz w:val="16"/>
                <w:szCs w:val="16"/>
              </w:rPr>
              <w:t>disputes</w:t>
            </w:r>
            <w:r w:rsidRPr="007B72A1">
              <w:rPr>
                <w:rFonts w:ascii="Arial" w:hAnsi="Arial" w:cs="Arial"/>
                <w:sz w:val="16"/>
                <w:szCs w:val="16"/>
              </w:rPr>
              <w:t xml:space="preserve"> resolved </w:t>
            </w:r>
            <w:r>
              <w:rPr>
                <w:rFonts w:ascii="Arial" w:hAnsi="Arial" w:cs="Arial"/>
                <w:sz w:val="16"/>
                <w:szCs w:val="16"/>
              </w:rPr>
              <w:t xml:space="preserve">in a correct, timebound and peaceful manner </w:t>
            </w:r>
            <w:r w:rsidRPr="007B72A1">
              <w:rPr>
                <w:rFonts w:ascii="Arial" w:hAnsi="Arial" w:cs="Arial"/>
                <w:sz w:val="16"/>
                <w:szCs w:val="16"/>
              </w:rPr>
              <w:t>through</w:t>
            </w:r>
            <w:r>
              <w:rPr>
                <w:rFonts w:ascii="Arial" w:hAnsi="Arial" w:cs="Arial"/>
                <w:sz w:val="16"/>
                <w:szCs w:val="16"/>
              </w:rPr>
              <w:t xml:space="preserve"> formal </w:t>
            </w:r>
            <w:r w:rsidRPr="007B72A1">
              <w:rPr>
                <w:rFonts w:ascii="Arial" w:hAnsi="Arial" w:cs="Arial"/>
                <w:sz w:val="16"/>
                <w:szCs w:val="16"/>
              </w:rPr>
              <w:t xml:space="preserve">dispute resolution </w:t>
            </w:r>
            <w:r>
              <w:rPr>
                <w:rFonts w:ascii="Arial" w:hAnsi="Arial" w:cs="Arial"/>
                <w:sz w:val="16"/>
                <w:szCs w:val="16"/>
              </w:rPr>
              <w:t>(courts)</w:t>
            </w:r>
            <w:r>
              <w:t xml:space="preserve"> </w:t>
            </w:r>
            <w:r w:rsidRPr="00CC41D8">
              <w:rPr>
                <w:rFonts w:ascii="Arial" w:hAnsi="Arial" w:cs="Arial"/>
                <w:sz w:val="16"/>
                <w:szCs w:val="16"/>
              </w:rPr>
              <w:t>and NIEC dispute resolution body/staff /or local alternative dispute mediation (NIEC)</w:t>
            </w:r>
          </w:p>
        </w:tc>
        <w:tc>
          <w:tcPr>
            <w:tcW w:w="1530" w:type="dxa"/>
            <w:shd w:val="clear" w:color="auto" w:fill="EEECE1"/>
          </w:tcPr>
          <w:p w14:paraId="1954686F" w14:textId="77777777" w:rsidR="000F4FF7" w:rsidRPr="001C25CB" w:rsidRDefault="000F4FF7" w:rsidP="000A6807">
            <w:pPr>
              <w:rPr>
                <w:rFonts w:ascii="Arial" w:hAnsi="Arial" w:cs="Arial"/>
                <w:sz w:val="16"/>
                <w:szCs w:val="16"/>
              </w:rPr>
            </w:pPr>
            <w:r w:rsidRPr="001C25CB">
              <w:rPr>
                <w:rFonts w:ascii="Arial" w:hAnsi="Arial" w:cs="Arial"/>
                <w:sz w:val="16"/>
                <w:szCs w:val="16"/>
              </w:rPr>
              <w:t>NA</w:t>
            </w:r>
          </w:p>
        </w:tc>
        <w:tc>
          <w:tcPr>
            <w:tcW w:w="1620" w:type="dxa"/>
            <w:shd w:val="clear" w:color="auto" w:fill="EEECE1"/>
          </w:tcPr>
          <w:p w14:paraId="56373182" w14:textId="77777777" w:rsidR="000F4FF7" w:rsidRPr="001C25CB" w:rsidRDefault="000F4FF7" w:rsidP="000A6807">
            <w:pPr>
              <w:rPr>
                <w:rFonts w:ascii="Arial" w:hAnsi="Arial" w:cs="Arial"/>
                <w:sz w:val="16"/>
                <w:szCs w:val="16"/>
              </w:rPr>
            </w:pPr>
            <w:r w:rsidRPr="001C25CB">
              <w:rPr>
                <w:rFonts w:ascii="Arial" w:hAnsi="Arial" w:cs="Arial"/>
                <w:sz w:val="16"/>
                <w:szCs w:val="16"/>
              </w:rPr>
              <w:t>80%</w:t>
            </w:r>
          </w:p>
        </w:tc>
        <w:tc>
          <w:tcPr>
            <w:tcW w:w="1440" w:type="dxa"/>
          </w:tcPr>
          <w:p w14:paraId="1E731CA3" w14:textId="77777777" w:rsidR="000F4FF7" w:rsidRPr="007B6EE6" w:rsidRDefault="000F4FF7" w:rsidP="000A6807">
            <w:pPr>
              <w:rPr>
                <w:rFonts w:ascii="Arial" w:hAnsi="Arial" w:cs="Arial"/>
                <w:sz w:val="16"/>
                <w:szCs w:val="16"/>
              </w:rPr>
            </w:pPr>
            <w:r w:rsidRPr="007B6EE6">
              <w:rPr>
                <w:rFonts w:ascii="Arial" w:hAnsi="Arial" w:cs="Arial"/>
                <w:sz w:val="16"/>
                <w:szCs w:val="16"/>
              </w:rPr>
              <w:t>Capacity of NIEC is being developed.</w:t>
            </w:r>
          </w:p>
        </w:tc>
        <w:tc>
          <w:tcPr>
            <w:tcW w:w="3874" w:type="dxa"/>
          </w:tcPr>
          <w:p w14:paraId="2C3DAF2E" w14:textId="066E820F" w:rsidR="000F4FF7" w:rsidRDefault="000F4FF7" w:rsidP="000A6807">
            <w:pPr>
              <w:rPr>
                <w:rFonts w:ascii="Arial" w:hAnsi="Arial" w:cs="Arial"/>
                <w:sz w:val="16"/>
                <w:szCs w:val="16"/>
              </w:rPr>
            </w:pPr>
            <w:r w:rsidRPr="007B6EE6">
              <w:rPr>
                <w:rFonts w:ascii="Arial" w:hAnsi="Arial" w:cs="Arial"/>
                <w:sz w:val="16"/>
                <w:szCs w:val="16"/>
              </w:rPr>
              <w:t>Following consultations, meetings and workshops with NIEC, the organization was enabled to make an informed decision about the EDR mechanism to be deployed</w:t>
            </w:r>
            <w:r w:rsidR="005763FC">
              <w:rPr>
                <w:rFonts w:ascii="Arial" w:hAnsi="Arial" w:cs="Arial"/>
                <w:sz w:val="16"/>
                <w:szCs w:val="16"/>
              </w:rPr>
              <w:t xml:space="preserve"> for one-person, one-vote elections</w:t>
            </w:r>
            <w:r w:rsidR="00300616">
              <w:rPr>
                <w:rFonts w:ascii="Arial" w:hAnsi="Arial" w:cs="Arial"/>
                <w:sz w:val="16"/>
                <w:szCs w:val="16"/>
              </w:rPr>
              <w:t>.</w:t>
            </w:r>
            <w:r w:rsidRPr="007B6EE6">
              <w:rPr>
                <w:rFonts w:ascii="Arial" w:hAnsi="Arial" w:cs="Arial"/>
                <w:sz w:val="16"/>
                <w:szCs w:val="16"/>
              </w:rPr>
              <w:t xml:space="preserve"> </w:t>
            </w:r>
          </w:p>
          <w:p w14:paraId="34D8FA47" w14:textId="77777777" w:rsidR="005763FC" w:rsidRDefault="005763FC" w:rsidP="000A6807">
            <w:pPr>
              <w:rPr>
                <w:rFonts w:ascii="Arial" w:hAnsi="Arial" w:cs="Arial"/>
                <w:sz w:val="16"/>
                <w:szCs w:val="16"/>
              </w:rPr>
            </w:pPr>
          </w:p>
          <w:p w14:paraId="411E5143" w14:textId="1E4D36C1" w:rsidR="005763FC" w:rsidRPr="007B6EE6" w:rsidRDefault="00B832EB" w:rsidP="000A6807">
            <w:pPr>
              <w:rPr>
                <w:rFonts w:ascii="Arial" w:hAnsi="Arial" w:cs="Arial"/>
                <w:sz w:val="16"/>
                <w:szCs w:val="16"/>
              </w:rPr>
            </w:pPr>
            <w:r w:rsidRPr="00B832EB">
              <w:rPr>
                <w:rFonts w:ascii="Arial" w:hAnsi="Arial" w:cs="Arial"/>
                <w:sz w:val="16"/>
                <w:szCs w:val="16"/>
              </w:rPr>
              <w:t xml:space="preserve">It is envisaged </w:t>
            </w:r>
            <w:r>
              <w:rPr>
                <w:rFonts w:ascii="Arial" w:hAnsi="Arial" w:cs="Arial"/>
                <w:sz w:val="16"/>
                <w:szCs w:val="16"/>
              </w:rPr>
              <w:t>that the Electoral Dispute Resolution Advisor will</w:t>
            </w:r>
            <w:r w:rsidRPr="00B832EB">
              <w:rPr>
                <w:rFonts w:ascii="Arial" w:hAnsi="Arial" w:cs="Arial"/>
                <w:sz w:val="16"/>
                <w:szCs w:val="16"/>
              </w:rPr>
              <w:t xml:space="preserve"> provide support and advi</w:t>
            </w:r>
            <w:r>
              <w:rPr>
                <w:rFonts w:ascii="Arial" w:hAnsi="Arial" w:cs="Arial"/>
                <w:sz w:val="16"/>
                <w:szCs w:val="16"/>
              </w:rPr>
              <w:t>ce</w:t>
            </w:r>
            <w:r w:rsidRPr="00B832EB">
              <w:rPr>
                <w:rFonts w:ascii="Arial" w:hAnsi="Arial" w:cs="Arial"/>
                <w:sz w:val="16"/>
                <w:szCs w:val="16"/>
              </w:rPr>
              <w:t xml:space="preserve"> to the Dispute Resolution Committee directly</w:t>
            </w:r>
            <w:r>
              <w:rPr>
                <w:rFonts w:ascii="Arial" w:hAnsi="Arial" w:cs="Arial"/>
                <w:sz w:val="16"/>
                <w:szCs w:val="16"/>
              </w:rPr>
              <w:t xml:space="preserve"> </w:t>
            </w:r>
            <w:r w:rsidRPr="00B832EB">
              <w:rPr>
                <w:rFonts w:ascii="Arial" w:hAnsi="Arial" w:cs="Arial"/>
                <w:sz w:val="16"/>
                <w:szCs w:val="16"/>
              </w:rPr>
              <w:t xml:space="preserve">once the current political issues are resolved. </w:t>
            </w:r>
          </w:p>
        </w:tc>
        <w:tc>
          <w:tcPr>
            <w:tcW w:w="3056" w:type="dxa"/>
          </w:tcPr>
          <w:p w14:paraId="2DE7C477" w14:textId="77777777" w:rsidR="005763FC" w:rsidRDefault="000F4FF7" w:rsidP="000A6807">
            <w:pPr>
              <w:rPr>
                <w:rFonts w:ascii="Arial" w:hAnsi="Arial" w:cs="Arial"/>
                <w:sz w:val="16"/>
                <w:szCs w:val="16"/>
              </w:rPr>
            </w:pPr>
            <w:r w:rsidRPr="007B6EE6">
              <w:rPr>
                <w:rFonts w:ascii="Arial" w:hAnsi="Arial" w:cs="Arial"/>
                <w:sz w:val="16"/>
                <w:szCs w:val="16"/>
              </w:rPr>
              <w:t>Adoption of electoral legislation delayed.</w:t>
            </w:r>
          </w:p>
          <w:p w14:paraId="06FE51AB" w14:textId="77777777" w:rsidR="00044024" w:rsidRDefault="00044024" w:rsidP="000A6807">
            <w:pPr>
              <w:rPr>
                <w:rFonts w:ascii="Arial" w:hAnsi="Arial" w:cs="Arial"/>
                <w:sz w:val="16"/>
                <w:szCs w:val="16"/>
              </w:rPr>
            </w:pPr>
          </w:p>
          <w:p w14:paraId="43204C15" w14:textId="12FFBD18" w:rsidR="000F4FF7" w:rsidRPr="007B6EE6" w:rsidRDefault="005763FC" w:rsidP="000A6807">
            <w:pPr>
              <w:rPr>
                <w:rFonts w:ascii="Arial" w:hAnsi="Arial" w:cs="Arial"/>
                <w:sz w:val="16"/>
                <w:szCs w:val="16"/>
              </w:rPr>
            </w:pPr>
            <w:r>
              <w:rPr>
                <w:rFonts w:ascii="Arial" w:hAnsi="Arial" w:cs="Arial"/>
                <w:sz w:val="16"/>
                <w:szCs w:val="16"/>
              </w:rPr>
              <w:t xml:space="preserve">FGS and FMS </w:t>
            </w:r>
            <w:r w:rsidR="009943F1">
              <w:rPr>
                <w:rFonts w:ascii="Arial" w:hAnsi="Arial" w:cs="Arial"/>
                <w:sz w:val="16"/>
                <w:szCs w:val="16"/>
              </w:rPr>
              <w:t>agreed</w:t>
            </w:r>
            <w:r>
              <w:rPr>
                <w:rFonts w:ascii="Arial" w:hAnsi="Arial" w:cs="Arial"/>
                <w:sz w:val="16"/>
                <w:szCs w:val="16"/>
              </w:rPr>
              <w:t xml:space="preserve"> </w:t>
            </w:r>
            <w:r w:rsidR="00044024">
              <w:rPr>
                <w:rFonts w:ascii="Arial" w:hAnsi="Arial" w:cs="Arial"/>
                <w:sz w:val="16"/>
                <w:szCs w:val="16"/>
              </w:rPr>
              <w:t xml:space="preserve">in September 2020 </w:t>
            </w:r>
            <w:r>
              <w:rPr>
                <w:rFonts w:ascii="Arial" w:hAnsi="Arial" w:cs="Arial"/>
                <w:sz w:val="16"/>
                <w:szCs w:val="16"/>
              </w:rPr>
              <w:t xml:space="preserve">to hold federal parliamentary elections through an indirect process similar to 2016. The NIEC and political parties </w:t>
            </w:r>
            <w:r w:rsidR="00300616">
              <w:rPr>
                <w:rFonts w:ascii="Arial" w:hAnsi="Arial" w:cs="Arial"/>
                <w:sz w:val="16"/>
                <w:szCs w:val="16"/>
              </w:rPr>
              <w:t xml:space="preserve">were excluded </w:t>
            </w:r>
            <w:r>
              <w:rPr>
                <w:rFonts w:ascii="Arial" w:hAnsi="Arial" w:cs="Arial"/>
                <w:sz w:val="16"/>
                <w:szCs w:val="16"/>
              </w:rPr>
              <w:t xml:space="preserve">from the process. </w:t>
            </w:r>
            <w:r w:rsidR="000F4FF7" w:rsidRPr="007B6EE6">
              <w:rPr>
                <w:rFonts w:ascii="Arial" w:hAnsi="Arial" w:cs="Arial"/>
                <w:sz w:val="16"/>
                <w:szCs w:val="16"/>
              </w:rPr>
              <w:t xml:space="preserve">  </w:t>
            </w:r>
          </w:p>
        </w:tc>
      </w:tr>
      <w:tr w:rsidR="000F4FF7" w:rsidRPr="00627A1C" w14:paraId="3F453C50" w14:textId="77777777" w:rsidTr="000A6807">
        <w:trPr>
          <w:trHeight w:val="548"/>
        </w:trPr>
        <w:tc>
          <w:tcPr>
            <w:tcW w:w="1530" w:type="dxa"/>
            <w:vMerge w:val="restart"/>
          </w:tcPr>
          <w:p w14:paraId="12C11F6E" w14:textId="77777777" w:rsidR="000F4FF7" w:rsidRPr="00627A1C" w:rsidRDefault="000F4FF7" w:rsidP="000A6807">
            <w:pPr>
              <w:rPr>
                <w:lang w:val="en-US" w:eastAsia="en-US"/>
              </w:rPr>
            </w:pPr>
            <w:r w:rsidRPr="00627A1C">
              <w:rPr>
                <w:lang w:val="en-US" w:eastAsia="en-US"/>
              </w:rPr>
              <w:t>Output 1.1</w:t>
            </w:r>
          </w:p>
          <w:p w14:paraId="15DF73B7" w14:textId="77777777" w:rsidR="000F4FF7" w:rsidRDefault="000F4FF7" w:rsidP="000A6807">
            <w:pPr>
              <w:rPr>
                <w:rFonts w:ascii="Arial" w:hAnsi="Arial" w:cs="Arial"/>
                <w:sz w:val="16"/>
                <w:szCs w:val="16"/>
              </w:rPr>
            </w:pPr>
            <w:r w:rsidRPr="00CC41D8">
              <w:rPr>
                <w:rFonts w:ascii="Arial" w:hAnsi="Arial" w:cs="Arial"/>
                <w:sz w:val="16"/>
                <w:szCs w:val="16"/>
              </w:rPr>
              <w:t>EDRM mechanism established</w:t>
            </w:r>
            <w:r>
              <w:rPr>
                <w:rFonts w:ascii="Arial" w:hAnsi="Arial" w:cs="Arial"/>
                <w:sz w:val="16"/>
                <w:szCs w:val="16"/>
              </w:rPr>
              <w:t>,</w:t>
            </w:r>
            <w:r w:rsidRPr="00CC41D8">
              <w:rPr>
                <w:rFonts w:ascii="Arial" w:hAnsi="Arial" w:cs="Arial"/>
                <w:sz w:val="16"/>
                <w:szCs w:val="16"/>
              </w:rPr>
              <w:t xml:space="preserve"> resourced</w:t>
            </w:r>
            <w:r>
              <w:rPr>
                <w:rFonts w:ascii="Arial" w:hAnsi="Arial" w:cs="Arial"/>
                <w:sz w:val="16"/>
                <w:szCs w:val="16"/>
              </w:rPr>
              <w:t>, implemented and understood by all electoral stakeholders</w:t>
            </w:r>
          </w:p>
          <w:p w14:paraId="5DFF1EF3" w14:textId="77777777" w:rsidR="000F4FF7" w:rsidRPr="00627A1C" w:rsidRDefault="000F4FF7" w:rsidP="005E0418">
            <w:pPr>
              <w:rPr>
                <w:b/>
                <w:lang w:val="en-US" w:eastAsia="en-US"/>
              </w:rPr>
            </w:pPr>
          </w:p>
        </w:tc>
        <w:tc>
          <w:tcPr>
            <w:tcW w:w="2070" w:type="dxa"/>
            <w:shd w:val="clear" w:color="auto" w:fill="EEECE1"/>
          </w:tcPr>
          <w:p w14:paraId="1F534B3D" w14:textId="77777777" w:rsidR="000F4FF7" w:rsidRPr="00627A1C" w:rsidRDefault="000F4FF7" w:rsidP="000A6807">
            <w:pPr>
              <w:jc w:val="both"/>
              <w:rPr>
                <w:lang w:val="en-US" w:eastAsia="en-US"/>
              </w:rPr>
            </w:pPr>
            <w:r w:rsidRPr="00627A1C">
              <w:rPr>
                <w:lang w:val="en-US" w:eastAsia="en-US"/>
              </w:rPr>
              <w:t>Indicator  1.1.1</w:t>
            </w:r>
          </w:p>
          <w:p w14:paraId="597A1968" w14:textId="77777777" w:rsidR="000F4FF7" w:rsidRPr="000071B4" w:rsidRDefault="000F4FF7" w:rsidP="000A6807">
            <w:pPr>
              <w:rPr>
                <w:rFonts w:ascii="Arial" w:hAnsi="Arial" w:cs="Arial"/>
                <w:sz w:val="16"/>
                <w:szCs w:val="16"/>
              </w:rPr>
            </w:pPr>
            <w:r w:rsidRPr="000325D9">
              <w:rPr>
                <w:rFonts w:ascii="Arial" w:hAnsi="Arial" w:cs="Arial"/>
                <w:sz w:val="16"/>
                <w:szCs w:val="16"/>
              </w:rPr>
              <w:t xml:space="preserve">EDRM </w:t>
            </w:r>
            <w:r>
              <w:rPr>
                <w:rFonts w:ascii="Arial" w:hAnsi="Arial" w:cs="Arial"/>
                <w:sz w:val="16"/>
                <w:szCs w:val="16"/>
              </w:rPr>
              <w:t xml:space="preserve">mechanism and structure designed and established; EDR regulations and procedures drafted and adopted </w:t>
            </w:r>
          </w:p>
          <w:p w14:paraId="3C2D981A" w14:textId="77777777" w:rsidR="000F4FF7" w:rsidRPr="00627A1C" w:rsidRDefault="000F4FF7" w:rsidP="000A6807">
            <w:pPr>
              <w:jc w:val="both"/>
              <w:rPr>
                <w:lang w:val="en-US" w:eastAsia="en-US"/>
              </w:rPr>
            </w:pPr>
          </w:p>
        </w:tc>
        <w:tc>
          <w:tcPr>
            <w:tcW w:w="1530" w:type="dxa"/>
            <w:shd w:val="clear" w:color="auto" w:fill="EEECE1"/>
          </w:tcPr>
          <w:p w14:paraId="3C30F7CF" w14:textId="77777777" w:rsidR="000F4FF7" w:rsidRPr="001C25CB" w:rsidRDefault="000F4FF7" w:rsidP="000A6807">
            <w:pPr>
              <w:rPr>
                <w:rFonts w:ascii="Arial" w:hAnsi="Arial" w:cs="Arial"/>
                <w:sz w:val="16"/>
                <w:szCs w:val="16"/>
              </w:rPr>
            </w:pPr>
            <w:r w:rsidRPr="001C25CB">
              <w:rPr>
                <w:rFonts w:ascii="Arial" w:hAnsi="Arial" w:cs="Arial"/>
                <w:sz w:val="16"/>
                <w:szCs w:val="16"/>
              </w:rPr>
              <w:t>NA</w:t>
            </w:r>
          </w:p>
        </w:tc>
        <w:tc>
          <w:tcPr>
            <w:tcW w:w="1620" w:type="dxa"/>
            <w:shd w:val="clear" w:color="auto" w:fill="EEECE1"/>
          </w:tcPr>
          <w:p w14:paraId="3D9F9C49" w14:textId="77777777" w:rsidR="000F4FF7" w:rsidRPr="001C25CB" w:rsidRDefault="000F4FF7" w:rsidP="000A6807">
            <w:pPr>
              <w:rPr>
                <w:rFonts w:ascii="Arial" w:hAnsi="Arial" w:cs="Arial"/>
                <w:sz w:val="16"/>
                <w:szCs w:val="16"/>
              </w:rPr>
            </w:pPr>
            <w:r w:rsidRPr="001C25CB">
              <w:rPr>
                <w:rFonts w:ascii="Arial" w:hAnsi="Arial" w:cs="Arial"/>
                <w:sz w:val="16"/>
                <w:szCs w:val="16"/>
              </w:rPr>
              <w:t>100%</w:t>
            </w:r>
          </w:p>
        </w:tc>
        <w:tc>
          <w:tcPr>
            <w:tcW w:w="1440" w:type="dxa"/>
            <w:shd w:val="clear" w:color="auto" w:fill="auto"/>
          </w:tcPr>
          <w:p w14:paraId="2F3B7F6D" w14:textId="77777777" w:rsidR="000F4FF7" w:rsidRPr="007B6EE6" w:rsidRDefault="000F4FF7" w:rsidP="000A6807">
            <w:pPr>
              <w:rPr>
                <w:rFonts w:ascii="Arial" w:hAnsi="Arial" w:cs="Arial"/>
                <w:sz w:val="16"/>
                <w:szCs w:val="16"/>
              </w:rPr>
            </w:pPr>
            <w:r w:rsidRPr="007B6EE6">
              <w:rPr>
                <w:rFonts w:ascii="Arial" w:hAnsi="Arial" w:cs="Arial"/>
                <w:sz w:val="16"/>
                <w:szCs w:val="16"/>
              </w:rPr>
              <w:t>EDR structure approved. TORs drafted for approval of NIEC Board of Commissioners.</w:t>
            </w:r>
          </w:p>
        </w:tc>
        <w:tc>
          <w:tcPr>
            <w:tcW w:w="3874" w:type="dxa"/>
            <w:shd w:val="clear" w:color="auto" w:fill="auto"/>
          </w:tcPr>
          <w:p w14:paraId="18944973" w14:textId="01ECF960" w:rsidR="000F4FF7" w:rsidRPr="007B6EE6" w:rsidRDefault="000F4FF7" w:rsidP="001F1895">
            <w:pPr>
              <w:pStyle w:val="ListParagraph"/>
              <w:numPr>
                <w:ilvl w:val="0"/>
                <w:numId w:val="1"/>
              </w:numPr>
              <w:rPr>
                <w:rFonts w:ascii="Arial" w:hAnsi="Arial" w:cs="Arial"/>
                <w:sz w:val="16"/>
                <w:szCs w:val="16"/>
              </w:rPr>
            </w:pPr>
            <w:r w:rsidRPr="007B6EE6">
              <w:rPr>
                <w:rFonts w:ascii="Arial" w:hAnsi="Arial" w:cs="Arial"/>
                <w:sz w:val="16"/>
                <w:szCs w:val="16"/>
              </w:rPr>
              <w:t xml:space="preserve">- EDR mechanism and structure </w:t>
            </w:r>
            <w:r w:rsidR="009943F1">
              <w:rPr>
                <w:rFonts w:ascii="Arial" w:hAnsi="Arial" w:cs="Arial"/>
                <w:sz w:val="16"/>
                <w:szCs w:val="16"/>
              </w:rPr>
              <w:t>was</w:t>
            </w:r>
            <w:r w:rsidRPr="007B6EE6">
              <w:rPr>
                <w:rFonts w:ascii="Arial" w:hAnsi="Arial" w:cs="Arial"/>
                <w:sz w:val="16"/>
                <w:szCs w:val="16"/>
              </w:rPr>
              <w:t xml:space="preserve"> designed</w:t>
            </w:r>
            <w:r w:rsidR="009943F1">
              <w:rPr>
                <w:rFonts w:ascii="Arial" w:hAnsi="Arial" w:cs="Arial"/>
                <w:sz w:val="16"/>
                <w:szCs w:val="16"/>
              </w:rPr>
              <w:t>.</w:t>
            </w:r>
          </w:p>
          <w:p w14:paraId="0BD273E2" w14:textId="1CF86663" w:rsidR="000F4FF7" w:rsidRPr="007B6EE6" w:rsidRDefault="000F4FF7" w:rsidP="001F1895">
            <w:pPr>
              <w:pStyle w:val="ListParagraph"/>
              <w:numPr>
                <w:ilvl w:val="0"/>
                <w:numId w:val="1"/>
              </w:numPr>
              <w:rPr>
                <w:rFonts w:ascii="Arial" w:hAnsi="Arial" w:cs="Arial"/>
                <w:sz w:val="16"/>
                <w:szCs w:val="16"/>
              </w:rPr>
            </w:pPr>
            <w:r w:rsidRPr="007B6EE6">
              <w:rPr>
                <w:rFonts w:ascii="Arial" w:hAnsi="Arial" w:cs="Arial"/>
                <w:sz w:val="16"/>
                <w:szCs w:val="16"/>
              </w:rPr>
              <w:t>- ToRs for the EDRC members and EDR department staff members drafted</w:t>
            </w:r>
            <w:r w:rsidR="009943F1">
              <w:rPr>
                <w:rFonts w:ascii="Arial" w:hAnsi="Arial" w:cs="Arial"/>
                <w:sz w:val="16"/>
                <w:szCs w:val="16"/>
              </w:rPr>
              <w:t xml:space="preserve"> and shared with the NIEC for their approval.</w:t>
            </w:r>
          </w:p>
          <w:p w14:paraId="23B453EF" w14:textId="38B1FB02" w:rsidR="000F4FF7" w:rsidRDefault="000F4FF7" w:rsidP="001F1895">
            <w:pPr>
              <w:pStyle w:val="ListParagraph"/>
              <w:numPr>
                <w:ilvl w:val="0"/>
                <w:numId w:val="1"/>
              </w:numPr>
              <w:rPr>
                <w:rFonts w:ascii="Arial" w:hAnsi="Arial" w:cs="Arial"/>
                <w:sz w:val="16"/>
                <w:szCs w:val="16"/>
              </w:rPr>
            </w:pPr>
            <w:r w:rsidRPr="007B6EE6">
              <w:rPr>
                <w:rFonts w:ascii="Arial" w:hAnsi="Arial" w:cs="Arial"/>
                <w:sz w:val="16"/>
                <w:szCs w:val="16"/>
              </w:rPr>
              <w:t>- Rationale on how many staff are required to support the EDR structure was provided</w:t>
            </w:r>
            <w:r w:rsidR="009943F1">
              <w:rPr>
                <w:rFonts w:ascii="Arial" w:hAnsi="Arial" w:cs="Arial"/>
                <w:sz w:val="16"/>
                <w:szCs w:val="16"/>
              </w:rPr>
              <w:t xml:space="preserve"> to the NIEC for their approval.</w:t>
            </w:r>
            <w:r w:rsidRPr="007B6EE6">
              <w:rPr>
                <w:rFonts w:ascii="Arial" w:hAnsi="Arial" w:cs="Arial"/>
                <w:sz w:val="16"/>
                <w:szCs w:val="16"/>
              </w:rPr>
              <w:t xml:space="preserve"> </w:t>
            </w:r>
          </w:p>
          <w:p w14:paraId="36D3A9E6" w14:textId="1EF73C18" w:rsidR="00D7077F" w:rsidRPr="007B6EE6" w:rsidRDefault="00D7077F" w:rsidP="001F1895">
            <w:pPr>
              <w:pStyle w:val="ListParagraph"/>
              <w:numPr>
                <w:ilvl w:val="0"/>
                <w:numId w:val="1"/>
              </w:numPr>
              <w:rPr>
                <w:rFonts w:ascii="Arial" w:hAnsi="Arial" w:cs="Arial"/>
                <w:sz w:val="16"/>
                <w:szCs w:val="16"/>
              </w:rPr>
            </w:pPr>
            <w:r>
              <w:rPr>
                <w:rFonts w:ascii="Arial" w:hAnsi="Arial" w:cs="Arial"/>
                <w:sz w:val="16"/>
                <w:szCs w:val="16"/>
              </w:rPr>
              <w:t>- Several presentations on EDR structure and options were provided</w:t>
            </w:r>
            <w:r w:rsidR="009943F1">
              <w:rPr>
                <w:rFonts w:ascii="Arial" w:hAnsi="Arial" w:cs="Arial"/>
                <w:sz w:val="16"/>
                <w:szCs w:val="16"/>
              </w:rPr>
              <w:t xml:space="preserve"> to the NIEC.</w:t>
            </w:r>
          </w:p>
          <w:p w14:paraId="5804BF74" w14:textId="77777777" w:rsidR="000F4FF7" w:rsidRPr="007B6EE6" w:rsidRDefault="000F4FF7" w:rsidP="000A6807">
            <w:pPr>
              <w:rPr>
                <w:rFonts w:ascii="Arial" w:hAnsi="Arial" w:cs="Arial"/>
                <w:sz w:val="16"/>
                <w:szCs w:val="16"/>
              </w:rPr>
            </w:pPr>
          </w:p>
          <w:p w14:paraId="4931B7DB" w14:textId="77777777" w:rsidR="000F4FF7" w:rsidRPr="007B6EE6" w:rsidRDefault="000F4FF7" w:rsidP="000A6807">
            <w:pPr>
              <w:rPr>
                <w:rFonts w:ascii="Arial" w:hAnsi="Arial" w:cs="Arial"/>
                <w:sz w:val="16"/>
                <w:szCs w:val="16"/>
              </w:rPr>
            </w:pPr>
          </w:p>
        </w:tc>
        <w:tc>
          <w:tcPr>
            <w:tcW w:w="3056" w:type="dxa"/>
            <w:shd w:val="clear" w:color="auto" w:fill="auto"/>
          </w:tcPr>
          <w:p w14:paraId="136729EC" w14:textId="77777777" w:rsidR="000F4FF7" w:rsidRPr="007B6EE6" w:rsidRDefault="000F4FF7" w:rsidP="000A6807">
            <w:pPr>
              <w:rPr>
                <w:rFonts w:ascii="Arial" w:hAnsi="Arial" w:cs="Arial"/>
                <w:sz w:val="16"/>
                <w:szCs w:val="16"/>
              </w:rPr>
            </w:pPr>
            <w:r w:rsidRPr="007B6EE6">
              <w:rPr>
                <w:rFonts w:ascii="Arial" w:hAnsi="Arial" w:cs="Arial"/>
                <w:sz w:val="16"/>
                <w:szCs w:val="16"/>
              </w:rPr>
              <w:t xml:space="preserve">Reasons for Variance: </w:t>
            </w:r>
          </w:p>
          <w:p w14:paraId="51AE66B2" w14:textId="31AD5BBB" w:rsidR="00D7077F" w:rsidRDefault="009943F1" w:rsidP="001F1895">
            <w:pPr>
              <w:pStyle w:val="ListParagraph"/>
              <w:numPr>
                <w:ilvl w:val="0"/>
                <w:numId w:val="1"/>
              </w:numPr>
              <w:rPr>
                <w:rFonts w:ascii="Arial" w:hAnsi="Arial" w:cs="Arial"/>
                <w:sz w:val="16"/>
                <w:szCs w:val="16"/>
              </w:rPr>
            </w:pPr>
            <w:r>
              <w:rPr>
                <w:rFonts w:ascii="Arial" w:hAnsi="Arial" w:cs="Arial"/>
                <w:sz w:val="16"/>
                <w:szCs w:val="16"/>
              </w:rPr>
              <w:t>L</w:t>
            </w:r>
            <w:r w:rsidR="000F4FF7" w:rsidRPr="007B6EE6">
              <w:rPr>
                <w:rFonts w:ascii="Arial" w:hAnsi="Arial" w:cs="Arial"/>
                <w:sz w:val="16"/>
                <w:szCs w:val="16"/>
              </w:rPr>
              <w:t>ate adoption of the legal framework: Electoral Law (adopted in Feb 2020) delegated the authority to Parliament to regulate fundamental aspects of the electoral process in regulations</w:t>
            </w:r>
            <w:r w:rsidR="00D7077F">
              <w:rPr>
                <w:rFonts w:ascii="Arial" w:hAnsi="Arial" w:cs="Arial"/>
                <w:sz w:val="16"/>
                <w:szCs w:val="16"/>
              </w:rPr>
              <w:t xml:space="preserve">. </w:t>
            </w:r>
          </w:p>
          <w:p w14:paraId="07F93550" w14:textId="15C4BC76" w:rsidR="00D7077F" w:rsidRPr="00D7077F" w:rsidRDefault="00D7077F" w:rsidP="001F1895">
            <w:pPr>
              <w:pStyle w:val="ListParagraph"/>
              <w:numPr>
                <w:ilvl w:val="0"/>
                <w:numId w:val="1"/>
              </w:numPr>
              <w:rPr>
                <w:rFonts w:ascii="Arial" w:hAnsi="Arial" w:cs="Arial"/>
                <w:sz w:val="16"/>
                <w:szCs w:val="16"/>
              </w:rPr>
            </w:pPr>
            <w:r w:rsidRPr="00D7077F">
              <w:rPr>
                <w:rFonts w:ascii="Arial" w:hAnsi="Arial" w:cs="Arial"/>
                <w:sz w:val="16"/>
                <w:szCs w:val="16"/>
              </w:rPr>
              <w:t xml:space="preserve">The quality of the legal framework is challenging as it is contradictory and insufficient, reflecting the lack of legal drafting </w:t>
            </w:r>
            <w:r w:rsidR="005A6D9E">
              <w:rPr>
                <w:rFonts w:ascii="Arial" w:hAnsi="Arial" w:cs="Arial"/>
                <w:sz w:val="16"/>
                <w:szCs w:val="16"/>
              </w:rPr>
              <w:t>experience</w:t>
            </w:r>
            <w:r w:rsidRPr="00D7077F">
              <w:rPr>
                <w:rFonts w:ascii="Arial" w:hAnsi="Arial" w:cs="Arial"/>
                <w:sz w:val="16"/>
                <w:szCs w:val="16"/>
              </w:rPr>
              <w:t xml:space="preserve">. </w:t>
            </w:r>
          </w:p>
          <w:p w14:paraId="7E7EF3B5" w14:textId="77777777" w:rsidR="00D7077F" w:rsidRPr="00D7077F" w:rsidRDefault="00D7077F" w:rsidP="001F1895">
            <w:pPr>
              <w:pStyle w:val="ListParagraph"/>
              <w:numPr>
                <w:ilvl w:val="0"/>
                <w:numId w:val="1"/>
              </w:numPr>
              <w:rPr>
                <w:rFonts w:ascii="Arial" w:hAnsi="Arial" w:cs="Arial"/>
                <w:sz w:val="16"/>
                <w:szCs w:val="16"/>
              </w:rPr>
            </w:pPr>
          </w:p>
          <w:p w14:paraId="52EC926C" w14:textId="42F368C0" w:rsidR="00D7077F" w:rsidRDefault="009943F1" w:rsidP="001F1895">
            <w:pPr>
              <w:pStyle w:val="ListParagraph"/>
              <w:numPr>
                <w:ilvl w:val="0"/>
                <w:numId w:val="1"/>
              </w:numPr>
              <w:rPr>
                <w:rFonts w:ascii="Arial" w:hAnsi="Arial" w:cs="Arial"/>
                <w:sz w:val="16"/>
                <w:szCs w:val="16"/>
              </w:rPr>
            </w:pPr>
            <w:r>
              <w:rPr>
                <w:rFonts w:ascii="Arial" w:hAnsi="Arial" w:cs="Arial"/>
                <w:sz w:val="16"/>
                <w:szCs w:val="16"/>
              </w:rPr>
              <w:t>T</w:t>
            </w:r>
            <w:r w:rsidR="00D7077F" w:rsidRPr="00D7077F">
              <w:rPr>
                <w:rFonts w:ascii="Arial" w:hAnsi="Arial" w:cs="Arial"/>
                <w:sz w:val="16"/>
                <w:szCs w:val="16"/>
              </w:rPr>
              <w:t xml:space="preserve">he political process introduced by the leaders of the Federal Government, the </w:t>
            </w:r>
            <w:r w:rsidR="00D7077F" w:rsidRPr="00D7077F">
              <w:rPr>
                <w:rFonts w:ascii="Arial" w:hAnsi="Arial" w:cs="Arial"/>
                <w:sz w:val="16"/>
                <w:szCs w:val="16"/>
              </w:rPr>
              <w:lastRenderedPageBreak/>
              <w:t xml:space="preserve">Federal Member States and Banadir </w:t>
            </w:r>
            <w:r w:rsidR="00044024">
              <w:rPr>
                <w:rFonts w:ascii="Arial" w:hAnsi="Arial" w:cs="Arial"/>
                <w:sz w:val="16"/>
                <w:szCs w:val="16"/>
              </w:rPr>
              <w:t xml:space="preserve"> on 17 September 2020 </w:t>
            </w:r>
            <w:r w:rsidR="00D7077F" w:rsidRPr="00D7077F">
              <w:rPr>
                <w:rFonts w:ascii="Arial" w:hAnsi="Arial" w:cs="Arial"/>
                <w:sz w:val="16"/>
                <w:szCs w:val="16"/>
              </w:rPr>
              <w:t xml:space="preserve">suspended the entire planned </w:t>
            </w:r>
            <w:r w:rsidR="00044024">
              <w:rPr>
                <w:rFonts w:ascii="Arial" w:hAnsi="Arial" w:cs="Arial"/>
                <w:sz w:val="16"/>
                <w:szCs w:val="16"/>
              </w:rPr>
              <w:t xml:space="preserve">direct </w:t>
            </w:r>
            <w:r w:rsidR="00D7077F" w:rsidRPr="00D7077F">
              <w:rPr>
                <w:rFonts w:ascii="Arial" w:hAnsi="Arial" w:cs="Arial"/>
                <w:sz w:val="16"/>
                <w:szCs w:val="16"/>
              </w:rPr>
              <w:t>electoral process in line with the legal framework</w:t>
            </w:r>
            <w:r w:rsidR="00044024">
              <w:rPr>
                <w:rFonts w:ascii="Arial" w:hAnsi="Arial" w:cs="Arial"/>
                <w:sz w:val="16"/>
                <w:szCs w:val="16"/>
              </w:rPr>
              <w:t xml:space="preserve">. </w:t>
            </w:r>
            <w:r w:rsidR="00D7077F" w:rsidRPr="00D7077F">
              <w:rPr>
                <w:rFonts w:ascii="Arial" w:hAnsi="Arial" w:cs="Arial"/>
                <w:sz w:val="16"/>
                <w:szCs w:val="16"/>
              </w:rPr>
              <w:t xml:space="preserve">The implementation of </w:t>
            </w:r>
            <w:r>
              <w:rPr>
                <w:rFonts w:ascii="Arial" w:hAnsi="Arial" w:cs="Arial"/>
                <w:sz w:val="16"/>
                <w:szCs w:val="16"/>
              </w:rPr>
              <w:t xml:space="preserve">indirect elections </w:t>
            </w:r>
            <w:r w:rsidR="00D7077F" w:rsidRPr="00D7077F">
              <w:rPr>
                <w:rFonts w:ascii="Arial" w:hAnsi="Arial" w:cs="Arial"/>
                <w:sz w:val="16"/>
                <w:szCs w:val="16"/>
              </w:rPr>
              <w:t xml:space="preserve">is </w:t>
            </w:r>
            <w:r w:rsidR="00044024">
              <w:rPr>
                <w:rFonts w:ascii="Arial" w:hAnsi="Arial" w:cs="Arial"/>
                <w:sz w:val="16"/>
                <w:szCs w:val="16"/>
              </w:rPr>
              <w:t>at an</w:t>
            </w:r>
            <w:r w:rsidR="00D7077F" w:rsidRPr="00D7077F">
              <w:rPr>
                <w:rFonts w:ascii="Arial" w:hAnsi="Arial" w:cs="Arial"/>
                <w:sz w:val="16"/>
                <w:szCs w:val="16"/>
              </w:rPr>
              <w:t xml:space="preserve"> early stage and </w:t>
            </w:r>
            <w:r>
              <w:rPr>
                <w:rFonts w:ascii="Arial" w:hAnsi="Arial" w:cs="Arial"/>
                <w:sz w:val="16"/>
                <w:szCs w:val="16"/>
              </w:rPr>
              <w:t xml:space="preserve">the implementing committees </w:t>
            </w:r>
            <w:r w:rsidR="00D7077F" w:rsidRPr="00D7077F">
              <w:rPr>
                <w:rFonts w:ascii="Arial" w:hAnsi="Arial" w:cs="Arial"/>
                <w:sz w:val="16"/>
                <w:szCs w:val="16"/>
              </w:rPr>
              <w:t xml:space="preserve">are not yet </w:t>
            </w:r>
            <w:r w:rsidR="00300616">
              <w:rPr>
                <w:rFonts w:ascii="Arial" w:hAnsi="Arial" w:cs="Arial"/>
                <w:sz w:val="16"/>
                <w:szCs w:val="16"/>
              </w:rPr>
              <w:t xml:space="preserve">fully </w:t>
            </w:r>
            <w:r>
              <w:rPr>
                <w:rFonts w:ascii="Arial" w:hAnsi="Arial" w:cs="Arial"/>
                <w:sz w:val="16"/>
                <w:szCs w:val="16"/>
              </w:rPr>
              <w:t xml:space="preserve">established. </w:t>
            </w:r>
            <w:r w:rsidR="00D7077F" w:rsidRPr="00D7077F">
              <w:rPr>
                <w:rFonts w:ascii="Arial" w:hAnsi="Arial" w:cs="Arial"/>
                <w:sz w:val="16"/>
                <w:szCs w:val="16"/>
              </w:rPr>
              <w:t xml:space="preserve">     </w:t>
            </w:r>
          </w:p>
          <w:p w14:paraId="5645651F" w14:textId="152F59EC" w:rsidR="000F4FF7" w:rsidRPr="007B6EE6" w:rsidRDefault="000F4FF7" w:rsidP="001F1895">
            <w:pPr>
              <w:pStyle w:val="ListParagraph"/>
              <w:numPr>
                <w:ilvl w:val="0"/>
                <w:numId w:val="1"/>
              </w:numPr>
              <w:rPr>
                <w:rFonts w:ascii="Arial" w:hAnsi="Arial" w:cs="Arial"/>
                <w:sz w:val="16"/>
                <w:szCs w:val="16"/>
              </w:rPr>
            </w:pPr>
            <w:r w:rsidRPr="007B6EE6">
              <w:rPr>
                <w:rFonts w:ascii="Arial" w:hAnsi="Arial" w:cs="Arial"/>
                <w:sz w:val="16"/>
                <w:szCs w:val="16"/>
              </w:rPr>
              <w:t xml:space="preserve"> </w:t>
            </w:r>
          </w:p>
        </w:tc>
      </w:tr>
      <w:tr w:rsidR="000F4FF7" w:rsidRPr="00627A1C" w14:paraId="6B0772DC" w14:textId="77777777" w:rsidTr="000A6807">
        <w:trPr>
          <w:trHeight w:val="512"/>
        </w:trPr>
        <w:tc>
          <w:tcPr>
            <w:tcW w:w="1530" w:type="dxa"/>
            <w:vMerge/>
          </w:tcPr>
          <w:p w14:paraId="5E27B209" w14:textId="77777777" w:rsidR="000F4FF7" w:rsidRPr="00627A1C" w:rsidRDefault="000F4FF7" w:rsidP="000A6807">
            <w:pPr>
              <w:rPr>
                <w:b/>
                <w:lang w:val="en-US" w:eastAsia="en-US"/>
              </w:rPr>
            </w:pPr>
          </w:p>
        </w:tc>
        <w:tc>
          <w:tcPr>
            <w:tcW w:w="2070" w:type="dxa"/>
            <w:shd w:val="clear" w:color="auto" w:fill="EEECE1"/>
          </w:tcPr>
          <w:p w14:paraId="33E5EF78" w14:textId="77777777" w:rsidR="000F4FF7" w:rsidRPr="00CD2951" w:rsidRDefault="000F4FF7" w:rsidP="000A6807">
            <w:pPr>
              <w:jc w:val="both"/>
              <w:rPr>
                <w:lang w:val="en-US" w:eastAsia="en-US"/>
              </w:rPr>
            </w:pPr>
            <w:r w:rsidRPr="00CD2951">
              <w:rPr>
                <w:lang w:val="en-US" w:eastAsia="en-US"/>
              </w:rPr>
              <w:t>Indicator 1.1.2</w:t>
            </w:r>
          </w:p>
          <w:p w14:paraId="17208D29" w14:textId="77777777" w:rsidR="000F4FF7" w:rsidRPr="00CD2951" w:rsidRDefault="000F4FF7" w:rsidP="000A6807">
            <w:pPr>
              <w:rPr>
                <w:rFonts w:ascii="Arial" w:hAnsi="Arial" w:cs="Arial"/>
                <w:sz w:val="16"/>
                <w:szCs w:val="16"/>
              </w:rPr>
            </w:pPr>
            <w:r w:rsidRPr="00CD2951">
              <w:rPr>
                <w:rFonts w:ascii="Arial" w:hAnsi="Arial" w:cs="Arial"/>
                <w:sz w:val="16"/>
                <w:szCs w:val="16"/>
              </w:rPr>
              <w:t>% of Master Trainers (10-15), Field Trainers (ca. 65) to ensure continued cascade training to thousands of electoral workers in the field</w:t>
            </w:r>
          </w:p>
        </w:tc>
        <w:tc>
          <w:tcPr>
            <w:tcW w:w="1530" w:type="dxa"/>
            <w:shd w:val="clear" w:color="auto" w:fill="EEECE1"/>
          </w:tcPr>
          <w:p w14:paraId="56D42B12" w14:textId="77777777" w:rsidR="000F4FF7" w:rsidRPr="001C25CB" w:rsidRDefault="000F4FF7" w:rsidP="000A6807">
            <w:pPr>
              <w:rPr>
                <w:rFonts w:ascii="Arial" w:hAnsi="Arial" w:cs="Arial"/>
                <w:sz w:val="16"/>
                <w:szCs w:val="16"/>
              </w:rPr>
            </w:pPr>
            <w:r w:rsidRPr="001C25CB">
              <w:rPr>
                <w:rFonts w:ascii="Arial" w:hAnsi="Arial" w:cs="Arial"/>
                <w:sz w:val="16"/>
                <w:szCs w:val="16"/>
              </w:rPr>
              <w:t>NA</w:t>
            </w:r>
          </w:p>
        </w:tc>
        <w:tc>
          <w:tcPr>
            <w:tcW w:w="1620" w:type="dxa"/>
            <w:shd w:val="clear" w:color="auto" w:fill="EEECE1"/>
          </w:tcPr>
          <w:p w14:paraId="24852ED4" w14:textId="77777777" w:rsidR="000F4FF7" w:rsidRPr="001C25CB" w:rsidRDefault="000F4FF7" w:rsidP="000A6807">
            <w:pPr>
              <w:rPr>
                <w:rFonts w:ascii="Arial" w:hAnsi="Arial" w:cs="Arial"/>
                <w:sz w:val="16"/>
                <w:szCs w:val="16"/>
              </w:rPr>
            </w:pPr>
            <w:r>
              <w:rPr>
                <w:rFonts w:ascii="Arial" w:hAnsi="Arial" w:cs="Arial"/>
                <w:sz w:val="16"/>
                <w:szCs w:val="16"/>
              </w:rPr>
              <w:t xml:space="preserve">100%, </w:t>
            </w:r>
            <w:r w:rsidRPr="00F8730B">
              <w:rPr>
                <w:rFonts w:ascii="Arial" w:hAnsi="Arial" w:cs="Arial"/>
                <w:sz w:val="16"/>
                <w:szCs w:val="16"/>
              </w:rPr>
              <w:t>minimum 30% women</w:t>
            </w:r>
          </w:p>
        </w:tc>
        <w:tc>
          <w:tcPr>
            <w:tcW w:w="1440" w:type="dxa"/>
          </w:tcPr>
          <w:p w14:paraId="246233F7" w14:textId="77777777" w:rsidR="000F4FF7" w:rsidRPr="00627A1C" w:rsidRDefault="000F4FF7" w:rsidP="000A680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874" w:type="dxa"/>
          </w:tcPr>
          <w:p w14:paraId="66704001" w14:textId="77777777" w:rsidR="000F4FF7" w:rsidRPr="00627A1C" w:rsidRDefault="000F4FF7" w:rsidP="000A680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056" w:type="dxa"/>
          </w:tcPr>
          <w:p w14:paraId="4F8E0B7F" w14:textId="6C10C4D2" w:rsidR="000F4FF7" w:rsidRDefault="000F4FF7" w:rsidP="00044024">
            <w:pPr>
              <w:rPr>
                <w:rFonts w:ascii="Arial" w:hAnsi="Arial" w:cs="Arial"/>
                <w:sz w:val="16"/>
                <w:szCs w:val="16"/>
              </w:rPr>
            </w:pPr>
            <w:r w:rsidRPr="007B6EE6">
              <w:rPr>
                <w:rFonts w:ascii="Arial" w:hAnsi="Arial" w:cs="Arial"/>
                <w:sz w:val="16"/>
                <w:szCs w:val="16"/>
              </w:rPr>
              <w:t xml:space="preserve">Delay in Parliament passing the necessary electoral legislation delayed </w:t>
            </w:r>
            <w:r w:rsidR="00044024">
              <w:rPr>
                <w:rFonts w:ascii="Arial" w:hAnsi="Arial" w:cs="Arial"/>
                <w:sz w:val="16"/>
                <w:szCs w:val="16"/>
              </w:rPr>
              <w:t xml:space="preserve">NIEC’s </w:t>
            </w:r>
            <w:r w:rsidRPr="007B6EE6">
              <w:rPr>
                <w:rFonts w:ascii="Arial" w:hAnsi="Arial" w:cs="Arial"/>
                <w:sz w:val="16"/>
                <w:szCs w:val="16"/>
              </w:rPr>
              <w:t xml:space="preserve">electoral operations. </w:t>
            </w:r>
          </w:p>
          <w:p w14:paraId="3E0303C4" w14:textId="77777777" w:rsidR="009943F1" w:rsidRDefault="009943F1" w:rsidP="009943F1">
            <w:pPr>
              <w:ind w:left="-46"/>
              <w:rPr>
                <w:rFonts w:ascii="Arial" w:hAnsi="Arial" w:cs="Arial"/>
                <w:sz w:val="16"/>
                <w:szCs w:val="16"/>
              </w:rPr>
            </w:pPr>
          </w:p>
          <w:p w14:paraId="7B5445D2" w14:textId="175BF642" w:rsidR="009943F1" w:rsidRPr="007B6EE6" w:rsidRDefault="009943F1" w:rsidP="00873134">
            <w:pPr>
              <w:ind w:left="-46"/>
              <w:rPr>
                <w:rFonts w:ascii="Arial" w:hAnsi="Arial" w:cs="Arial"/>
                <w:sz w:val="16"/>
                <w:szCs w:val="16"/>
              </w:rPr>
            </w:pPr>
          </w:p>
        </w:tc>
      </w:tr>
      <w:tr w:rsidR="000F4FF7" w:rsidRPr="00627A1C" w14:paraId="157AA259" w14:textId="77777777" w:rsidTr="000A6807">
        <w:trPr>
          <w:trHeight w:val="512"/>
        </w:trPr>
        <w:tc>
          <w:tcPr>
            <w:tcW w:w="1530" w:type="dxa"/>
            <w:vMerge/>
          </w:tcPr>
          <w:p w14:paraId="17CE5F94" w14:textId="77777777" w:rsidR="000F4FF7" w:rsidRPr="00627A1C" w:rsidRDefault="000F4FF7" w:rsidP="000A6807">
            <w:pPr>
              <w:rPr>
                <w:b/>
                <w:lang w:val="en-US" w:eastAsia="en-US"/>
              </w:rPr>
            </w:pPr>
          </w:p>
        </w:tc>
        <w:tc>
          <w:tcPr>
            <w:tcW w:w="2070" w:type="dxa"/>
            <w:shd w:val="clear" w:color="auto" w:fill="EEECE1"/>
          </w:tcPr>
          <w:p w14:paraId="63357BC4" w14:textId="77777777" w:rsidR="000F4FF7" w:rsidRPr="00CD2951" w:rsidRDefault="000F4FF7" w:rsidP="000A6807">
            <w:pPr>
              <w:jc w:val="both"/>
              <w:rPr>
                <w:lang w:val="en-US" w:eastAsia="en-US"/>
              </w:rPr>
            </w:pPr>
            <w:r w:rsidRPr="00CD2951">
              <w:rPr>
                <w:lang w:val="en-US" w:eastAsia="en-US"/>
              </w:rPr>
              <w:t>Indicator  1.1.3</w:t>
            </w:r>
          </w:p>
          <w:p w14:paraId="15DA0797" w14:textId="77777777" w:rsidR="000F4FF7" w:rsidRPr="00CD2951" w:rsidRDefault="000F4FF7" w:rsidP="000A6807">
            <w:pPr>
              <w:rPr>
                <w:rFonts w:ascii="Arial" w:hAnsi="Arial" w:cs="Arial"/>
                <w:sz w:val="16"/>
                <w:szCs w:val="16"/>
              </w:rPr>
            </w:pPr>
            <w:r w:rsidRPr="00CD2951">
              <w:rPr>
                <w:rFonts w:ascii="Arial" w:hAnsi="Arial" w:cs="Arial"/>
                <w:sz w:val="16"/>
                <w:szCs w:val="16"/>
              </w:rPr>
              <w:t>% of electoral workers (up to 3,000) in the field that received the required training on electoral dispute resolution mechanisms and complaints management</w:t>
            </w:r>
          </w:p>
        </w:tc>
        <w:tc>
          <w:tcPr>
            <w:tcW w:w="1530" w:type="dxa"/>
            <w:shd w:val="clear" w:color="auto" w:fill="EEECE1"/>
          </w:tcPr>
          <w:p w14:paraId="6861E938" w14:textId="77777777" w:rsidR="000F4FF7" w:rsidRPr="001C25CB" w:rsidRDefault="000F4FF7" w:rsidP="000A6807">
            <w:pPr>
              <w:rPr>
                <w:rFonts w:ascii="Arial" w:hAnsi="Arial" w:cs="Arial"/>
                <w:sz w:val="16"/>
                <w:szCs w:val="16"/>
              </w:rPr>
            </w:pPr>
            <w:r w:rsidRPr="001C25CB">
              <w:rPr>
                <w:rFonts w:ascii="Arial" w:hAnsi="Arial" w:cs="Arial"/>
                <w:sz w:val="16"/>
                <w:szCs w:val="16"/>
              </w:rPr>
              <w:t>NA</w:t>
            </w:r>
          </w:p>
        </w:tc>
        <w:tc>
          <w:tcPr>
            <w:tcW w:w="1620" w:type="dxa"/>
            <w:shd w:val="clear" w:color="auto" w:fill="EEECE1"/>
          </w:tcPr>
          <w:p w14:paraId="0F3D007C" w14:textId="77777777" w:rsidR="000F4FF7" w:rsidRPr="001C25CB" w:rsidRDefault="000F4FF7" w:rsidP="000A6807">
            <w:pPr>
              <w:rPr>
                <w:rFonts w:ascii="Arial" w:hAnsi="Arial" w:cs="Arial"/>
                <w:sz w:val="16"/>
                <w:szCs w:val="16"/>
              </w:rPr>
            </w:pPr>
            <w:r>
              <w:rPr>
                <w:rFonts w:ascii="Arial" w:hAnsi="Arial" w:cs="Arial"/>
                <w:sz w:val="16"/>
                <w:szCs w:val="16"/>
              </w:rPr>
              <w:t xml:space="preserve">100%, </w:t>
            </w:r>
            <w:r w:rsidRPr="00F8730B">
              <w:rPr>
                <w:rFonts w:ascii="Arial" w:hAnsi="Arial" w:cs="Arial"/>
                <w:sz w:val="16"/>
                <w:szCs w:val="16"/>
              </w:rPr>
              <w:t>minimum 30% women</w:t>
            </w:r>
          </w:p>
        </w:tc>
        <w:tc>
          <w:tcPr>
            <w:tcW w:w="1440" w:type="dxa"/>
          </w:tcPr>
          <w:p w14:paraId="3248412E" w14:textId="77777777" w:rsidR="000F4FF7" w:rsidRPr="00627A1C" w:rsidRDefault="000F4FF7" w:rsidP="000A6807">
            <w:pPr>
              <w:rPr>
                <w:b/>
                <w:lang w:val="en-US" w:eastAsia="en-US"/>
              </w:rPr>
            </w:pPr>
          </w:p>
        </w:tc>
        <w:tc>
          <w:tcPr>
            <w:tcW w:w="3874" w:type="dxa"/>
          </w:tcPr>
          <w:p w14:paraId="18F95B07" w14:textId="77777777" w:rsidR="000F4FF7" w:rsidRPr="00627A1C" w:rsidRDefault="000F4FF7" w:rsidP="000A6807">
            <w:pPr>
              <w:rPr>
                <w:b/>
                <w:lang w:val="en-US" w:eastAsia="en-US"/>
              </w:rPr>
            </w:pPr>
          </w:p>
        </w:tc>
        <w:tc>
          <w:tcPr>
            <w:tcW w:w="3056" w:type="dxa"/>
          </w:tcPr>
          <w:p w14:paraId="2C010DE1" w14:textId="77777777" w:rsidR="000F4FF7" w:rsidRDefault="000F4FF7" w:rsidP="000A6807">
            <w:pPr>
              <w:rPr>
                <w:rFonts w:ascii="Arial" w:hAnsi="Arial" w:cs="Arial"/>
                <w:sz w:val="16"/>
                <w:szCs w:val="16"/>
              </w:rPr>
            </w:pPr>
            <w:r w:rsidRPr="007B6EE6">
              <w:rPr>
                <w:rFonts w:ascii="Arial" w:hAnsi="Arial" w:cs="Arial"/>
                <w:sz w:val="16"/>
                <w:szCs w:val="16"/>
              </w:rPr>
              <w:t>Delay in Parliament passing the necessary electoral legislation has delayed electoral operations.</w:t>
            </w:r>
          </w:p>
          <w:p w14:paraId="6B4A9E13" w14:textId="77777777" w:rsidR="009943F1" w:rsidRDefault="009943F1" w:rsidP="000A6807">
            <w:pPr>
              <w:rPr>
                <w:rFonts w:ascii="Arial" w:hAnsi="Arial" w:cs="Arial"/>
                <w:sz w:val="16"/>
                <w:szCs w:val="16"/>
              </w:rPr>
            </w:pPr>
          </w:p>
          <w:p w14:paraId="3125E2CD" w14:textId="40E5140A" w:rsidR="009943F1" w:rsidRPr="007B6EE6" w:rsidRDefault="009943F1" w:rsidP="000A6807">
            <w:pPr>
              <w:rPr>
                <w:rFonts w:ascii="Arial" w:hAnsi="Arial" w:cs="Arial"/>
                <w:sz w:val="16"/>
                <w:szCs w:val="16"/>
              </w:rPr>
            </w:pPr>
            <w:r w:rsidRPr="009943F1">
              <w:rPr>
                <w:rFonts w:ascii="Arial" w:hAnsi="Arial" w:cs="Arial"/>
                <w:sz w:val="16"/>
                <w:szCs w:val="16"/>
              </w:rPr>
              <w:t>The political process introduced by the leaders of the Federal Government, the Federal Member States and Banadir suspended the planned electoral process in line with the legal framework</w:t>
            </w:r>
            <w:r w:rsidR="00847335">
              <w:rPr>
                <w:rFonts w:ascii="Arial" w:hAnsi="Arial" w:cs="Arial"/>
                <w:sz w:val="16"/>
                <w:szCs w:val="16"/>
              </w:rPr>
              <w:t xml:space="preserve"> in mid-September 2020</w:t>
            </w:r>
            <w:r w:rsidRPr="009943F1">
              <w:rPr>
                <w:rFonts w:ascii="Arial" w:hAnsi="Arial" w:cs="Arial"/>
                <w:sz w:val="16"/>
                <w:szCs w:val="16"/>
              </w:rPr>
              <w:t xml:space="preserve">. </w:t>
            </w:r>
          </w:p>
        </w:tc>
      </w:tr>
      <w:tr w:rsidR="000F4FF7" w:rsidRPr="00627A1C" w14:paraId="5392BCA8" w14:textId="77777777" w:rsidTr="000A6807">
        <w:trPr>
          <w:trHeight w:val="512"/>
        </w:trPr>
        <w:tc>
          <w:tcPr>
            <w:tcW w:w="1530" w:type="dxa"/>
            <w:vMerge/>
          </w:tcPr>
          <w:p w14:paraId="1CB2FBF0" w14:textId="77777777" w:rsidR="000F4FF7" w:rsidRPr="00627A1C" w:rsidRDefault="000F4FF7" w:rsidP="000A6807">
            <w:pPr>
              <w:rPr>
                <w:b/>
                <w:lang w:val="en-US" w:eastAsia="en-US"/>
              </w:rPr>
            </w:pPr>
          </w:p>
        </w:tc>
        <w:tc>
          <w:tcPr>
            <w:tcW w:w="2070" w:type="dxa"/>
            <w:shd w:val="clear" w:color="auto" w:fill="EEECE1"/>
          </w:tcPr>
          <w:p w14:paraId="1977E43B" w14:textId="77777777" w:rsidR="000F4FF7" w:rsidRPr="00CD2951" w:rsidRDefault="000F4FF7" w:rsidP="000A6807">
            <w:pPr>
              <w:jc w:val="both"/>
              <w:rPr>
                <w:lang w:val="en-US" w:eastAsia="en-US"/>
              </w:rPr>
            </w:pPr>
            <w:r w:rsidRPr="00CD2951">
              <w:rPr>
                <w:lang w:val="en-US" w:eastAsia="en-US"/>
              </w:rPr>
              <w:t>Indicator 1.1.4</w:t>
            </w:r>
          </w:p>
          <w:p w14:paraId="277B6E32" w14:textId="77777777" w:rsidR="000F4FF7" w:rsidRPr="00CD2951" w:rsidRDefault="000F4FF7" w:rsidP="000A6807">
            <w:pPr>
              <w:rPr>
                <w:rFonts w:ascii="Arial" w:hAnsi="Arial" w:cs="Arial"/>
                <w:sz w:val="16"/>
                <w:szCs w:val="16"/>
              </w:rPr>
            </w:pPr>
            <w:r w:rsidRPr="00CD2951">
              <w:rPr>
                <w:rFonts w:ascii="Arial" w:hAnsi="Arial" w:cs="Arial"/>
                <w:sz w:val="16"/>
                <w:szCs w:val="16"/>
              </w:rPr>
              <w:t>% of judges of relevant courts at Federal Level (9) familiar with NIEC procedures and electoral dispute resolution</w:t>
            </w:r>
          </w:p>
        </w:tc>
        <w:tc>
          <w:tcPr>
            <w:tcW w:w="1530" w:type="dxa"/>
            <w:shd w:val="clear" w:color="auto" w:fill="EEECE1"/>
          </w:tcPr>
          <w:p w14:paraId="453F47EF" w14:textId="77777777" w:rsidR="000F4FF7" w:rsidRPr="001C25CB" w:rsidRDefault="000F4FF7" w:rsidP="000A6807">
            <w:pPr>
              <w:rPr>
                <w:rFonts w:ascii="Arial" w:hAnsi="Arial" w:cs="Arial"/>
                <w:sz w:val="16"/>
                <w:szCs w:val="16"/>
              </w:rPr>
            </w:pPr>
            <w:r w:rsidRPr="001C25CB">
              <w:rPr>
                <w:rFonts w:ascii="Arial" w:hAnsi="Arial" w:cs="Arial"/>
                <w:sz w:val="16"/>
                <w:szCs w:val="16"/>
              </w:rPr>
              <w:t>NA</w:t>
            </w:r>
          </w:p>
        </w:tc>
        <w:tc>
          <w:tcPr>
            <w:tcW w:w="1620" w:type="dxa"/>
            <w:shd w:val="clear" w:color="auto" w:fill="EEECE1"/>
          </w:tcPr>
          <w:p w14:paraId="27B77883" w14:textId="77777777" w:rsidR="000F4FF7" w:rsidRPr="001C25CB" w:rsidRDefault="000F4FF7" w:rsidP="000A6807">
            <w:pPr>
              <w:rPr>
                <w:rFonts w:ascii="Arial" w:hAnsi="Arial" w:cs="Arial"/>
                <w:sz w:val="16"/>
                <w:szCs w:val="16"/>
              </w:rPr>
            </w:pPr>
            <w:r w:rsidRPr="001C25CB">
              <w:rPr>
                <w:rFonts w:ascii="Arial" w:hAnsi="Arial" w:cs="Arial"/>
                <w:sz w:val="16"/>
                <w:szCs w:val="16"/>
              </w:rPr>
              <w:t>100%</w:t>
            </w:r>
          </w:p>
        </w:tc>
        <w:tc>
          <w:tcPr>
            <w:tcW w:w="1440" w:type="dxa"/>
          </w:tcPr>
          <w:p w14:paraId="44970784" w14:textId="77777777" w:rsidR="000F4FF7" w:rsidRPr="00627A1C" w:rsidRDefault="000F4FF7" w:rsidP="000A6807">
            <w:pPr>
              <w:rPr>
                <w:b/>
                <w:lang w:val="en-US" w:eastAsia="en-US"/>
              </w:rPr>
            </w:pPr>
          </w:p>
        </w:tc>
        <w:tc>
          <w:tcPr>
            <w:tcW w:w="3874" w:type="dxa"/>
          </w:tcPr>
          <w:p w14:paraId="71082931" w14:textId="77777777" w:rsidR="000F4FF7" w:rsidRPr="00627A1C" w:rsidRDefault="000F4FF7" w:rsidP="000A6807">
            <w:pPr>
              <w:rPr>
                <w:b/>
                <w:lang w:val="en-US" w:eastAsia="en-US"/>
              </w:rPr>
            </w:pPr>
          </w:p>
        </w:tc>
        <w:tc>
          <w:tcPr>
            <w:tcW w:w="3056" w:type="dxa"/>
          </w:tcPr>
          <w:p w14:paraId="13883B90" w14:textId="77777777" w:rsidR="000F4FF7" w:rsidRDefault="000F4FF7" w:rsidP="000A6807">
            <w:pPr>
              <w:rPr>
                <w:rFonts w:ascii="Arial" w:hAnsi="Arial" w:cs="Arial"/>
                <w:sz w:val="16"/>
                <w:szCs w:val="16"/>
              </w:rPr>
            </w:pPr>
            <w:r w:rsidRPr="007B6EE6">
              <w:rPr>
                <w:rFonts w:ascii="Arial" w:hAnsi="Arial" w:cs="Arial"/>
                <w:sz w:val="16"/>
                <w:szCs w:val="16"/>
              </w:rPr>
              <w:t>Delay in Parliament passing the necessary electoral legislation has delayed electoral operations.</w:t>
            </w:r>
          </w:p>
          <w:p w14:paraId="7D1E247F" w14:textId="77777777" w:rsidR="009943F1" w:rsidRDefault="009943F1" w:rsidP="000A6807">
            <w:pPr>
              <w:rPr>
                <w:rFonts w:ascii="Arial" w:hAnsi="Arial" w:cs="Arial"/>
                <w:sz w:val="16"/>
                <w:szCs w:val="16"/>
              </w:rPr>
            </w:pPr>
          </w:p>
          <w:p w14:paraId="61213FA0" w14:textId="48825795" w:rsidR="009943F1" w:rsidRPr="007B6EE6" w:rsidRDefault="009943F1" w:rsidP="000A6807">
            <w:pPr>
              <w:rPr>
                <w:rFonts w:ascii="Arial" w:hAnsi="Arial" w:cs="Arial"/>
                <w:sz w:val="16"/>
                <w:szCs w:val="16"/>
              </w:rPr>
            </w:pPr>
            <w:r w:rsidRPr="009943F1">
              <w:rPr>
                <w:rFonts w:ascii="Arial" w:hAnsi="Arial" w:cs="Arial"/>
                <w:sz w:val="16"/>
                <w:szCs w:val="16"/>
              </w:rPr>
              <w:t>The political process introduced by the leaders of the Federal Government, the Federal Member States and Banadir suspended the planned electoral process in line with the legal framework</w:t>
            </w:r>
            <w:r w:rsidR="00847335">
              <w:rPr>
                <w:rFonts w:ascii="Arial" w:hAnsi="Arial" w:cs="Arial"/>
                <w:sz w:val="16"/>
                <w:szCs w:val="16"/>
              </w:rPr>
              <w:t xml:space="preserve"> in mid-September 2020</w:t>
            </w:r>
            <w:r w:rsidRPr="009943F1">
              <w:rPr>
                <w:rFonts w:ascii="Arial" w:hAnsi="Arial" w:cs="Arial"/>
                <w:sz w:val="16"/>
                <w:szCs w:val="16"/>
              </w:rPr>
              <w:t xml:space="preserve">. </w:t>
            </w:r>
          </w:p>
        </w:tc>
      </w:tr>
      <w:tr w:rsidR="000F4FF7" w:rsidRPr="00627A1C" w14:paraId="5A25BEA7" w14:textId="77777777" w:rsidTr="000A6807">
        <w:trPr>
          <w:trHeight w:val="512"/>
        </w:trPr>
        <w:tc>
          <w:tcPr>
            <w:tcW w:w="1530" w:type="dxa"/>
            <w:vMerge/>
          </w:tcPr>
          <w:p w14:paraId="3F5C6993" w14:textId="77777777" w:rsidR="000F4FF7" w:rsidRPr="00627A1C" w:rsidRDefault="000F4FF7" w:rsidP="000A6807">
            <w:pPr>
              <w:rPr>
                <w:b/>
                <w:lang w:val="en-US" w:eastAsia="en-US"/>
              </w:rPr>
            </w:pPr>
          </w:p>
        </w:tc>
        <w:tc>
          <w:tcPr>
            <w:tcW w:w="2070" w:type="dxa"/>
            <w:shd w:val="clear" w:color="auto" w:fill="EEECE1"/>
          </w:tcPr>
          <w:p w14:paraId="574AFF7F" w14:textId="77777777" w:rsidR="000F4FF7" w:rsidRPr="00CD2951" w:rsidRDefault="000F4FF7" w:rsidP="000A6807">
            <w:pPr>
              <w:jc w:val="both"/>
              <w:rPr>
                <w:lang w:val="en-US" w:eastAsia="en-US"/>
              </w:rPr>
            </w:pPr>
            <w:r w:rsidRPr="00CD2951">
              <w:rPr>
                <w:lang w:val="en-US" w:eastAsia="en-US"/>
              </w:rPr>
              <w:t>Indicator  1.1.5</w:t>
            </w:r>
          </w:p>
          <w:p w14:paraId="733895D5" w14:textId="77777777" w:rsidR="000F4FF7" w:rsidRPr="00CD2951" w:rsidRDefault="000F4FF7" w:rsidP="000A6807">
            <w:pPr>
              <w:rPr>
                <w:rFonts w:ascii="Arial" w:hAnsi="Arial" w:cs="Arial"/>
                <w:sz w:val="16"/>
                <w:szCs w:val="16"/>
              </w:rPr>
            </w:pPr>
            <w:r w:rsidRPr="00CD2951">
              <w:rPr>
                <w:rFonts w:ascii="Arial" w:hAnsi="Arial" w:cs="Arial"/>
                <w:sz w:val="16"/>
                <w:szCs w:val="16"/>
              </w:rPr>
              <w:lastRenderedPageBreak/>
              <w:t># of political actors, local leaders, elders, CSOs, youth and media group trained on electoral procedures, regulations and electoral dispute resolution</w:t>
            </w:r>
          </w:p>
        </w:tc>
        <w:tc>
          <w:tcPr>
            <w:tcW w:w="1530" w:type="dxa"/>
            <w:shd w:val="clear" w:color="auto" w:fill="EEECE1"/>
          </w:tcPr>
          <w:p w14:paraId="5CD8FF64" w14:textId="77777777" w:rsidR="000F4FF7" w:rsidRPr="001C25CB" w:rsidRDefault="000F4FF7" w:rsidP="000A6807">
            <w:pPr>
              <w:rPr>
                <w:rFonts w:ascii="Arial" w:hAnsi="Arial" w:cs="Arial"/>
                <w:sz w:val="16"/>
                <w:szCs w:val="16"/>
              </w:rPr>
            </w:pPr>
            <w:r w:rsidRPr="001C25CB">
              <w:rPr>
                <w:rFonts w:ascii="Arial" w:hAnsi="Arial" w:cs="Arial"/>
                <w:sz w:val="16"/>
                <w:szCs w:val="16"/>
              </w:rPr>
              <w:lastRenderedPageBreak/>
              <w:t>NA</w:t>
            </w:r>
          </w:p>
        </w:tc>
        <w:tc>
          <w:tcPr>
            <w:tcW w:w="1620" w:type="dxa"/>
            <w:shd w:val="clear" w:color="auto" w:fill="EEECE1"/>
          </w:tcPr>
          <w:p w14:paraId="0BCA98A4" w14:textId="77777777" w:rsidR="000F4FF7" w:rsidRPr="001C25CB" w:rsidRDefault="000F4FF7" w:rsidP="000A6807">
            <w:pPr>
              <w:rPr>
                <w:rFonts w:ascii="Arial" w:hAnsi="Arial" w:cs="Arial"/>
                <w:sz w:val="16"/>
                <w:szCs w:val="16"/>
              </w:rPr>
            </w:pPr>
            <w:r w:rsidRPr="001C25CB">
              <w:rPr>
                <w:rFonts w:ascii="Arial" w:hAnsi="Arial" w:cs="Arial"/>
                <w:sz w:val="16"/>
                <w:szCs w:val="16"/>
              </w:rPr>
              <w:t>TBD</w:t>
            </w:r>
          </w:p>
        </w:tc>
        <w:tc>
          <w:tcPr>
            <w:tcW w:w="1440" w:type="dxa"/>
          </w:tcPr>
          <w:p w14:paraId="764E81F9" w14:textId="77777777" w:rsidR="000F4FF7" w:rsidRPr="00627A1C" w:rsidRDefault="000F4FF7" w:rsidP="000A6807">
            <w:pPr>
              <w:rPr>
                <w:b/>
                <w:lang w:val="en-US" w:eastAsia="en-US"/>
              </w:rPr>
            </w:pPr>
          </w:p>
        </w:tc>
        <w:tc>
          <w:tcPr>
            <w:tcW w:w="3874" w:type="dxa"/>
          </w:tcPr>
          <w:p w14:paraId="3CDD28B7" w14:textId="77777777" w:rsidR="000F4FF7" w:rsidRPr="00627A1C" w:rsidRDefault="000F4FF7" w:rsidP="000A6807">
            <w:pPr>
              <w:rPr>
                <w:b/>
                <w:lang w:val="en-US" w:eastAsia="en-US"/>
              </w:rPr>
            </w:pPr>
          </w:p>
        </w:tc>
        <w:tc>
          <w:tcPr>
            <w:tcW w:w="3056" w:type="dxa"/>
          </w:tcPr>
          <w:p w14:paraId="4C5C0EA1" w14:textId="77777777" w:rsidR="00847335" w:rsidRDefault="000F4FF7" w:rsidP="000A6807">
            <w:r w:rsidRPr="007B6EE6">
              <w:rPr>
                <w:rFonts w:ascii="Arial" w:hAnsi="Arial" w:cs="Arial"/>
                <w:sz w:val="16"/>
                <w:szCs w:val="16"/>
              </w:rPr>
              <w:t>Delay in Parliament passing the necessary electoral legislation has delayed electoral operations.</w:t>
            </w:r>
            <w:r w:rsidR="00847335">
              <w:t xml:space="preserve"> </w:t>
            </w:r>
          </w:p>
          <w:p w14:paraId="50D6DCF9" w14:textId="77777777" w:rsidR="00847335" w:rsidRDefault="00847335" w:rsidP="000A6807"/>
          <w:p w14:paraId="0B6FC6AE" w14:textId="722BB09C" w:rsidR="000F4FF7" w:rsidRPr="00FB5B70" w:rsidRDefault="00847335" w:rsidP="000A6807">
            <w:pPr>
              <w:rPr>
                <w:bCs/>
                <w:lang w:val="en-US" w:eastAsia="en-US"/>
              </w:rPr>
            </w:pPr>
            <w:r w:rsidRPr="00847335">
              <w:rPr>
                <w:rFonts w:ascii="Arial" w:hAnsi="Arial" w:cs="Arial"/>
                <w:sz w:val="16"/>
                <w:szCs w:val="16"/>
              </w:rPr>
              <w:t>The political process introduced by the leaders of the Federal Government, the Federal Member States and Banadir suspended the planned electoral process in line with the legal framework</w:t>
            </w:r>
            <w:r>
              <w:rPr>
                <w:rFonts w:ascii="Arial" w:hAnsi="Arial" w:cs="Arial"/>
                <w:sz w:val="16"/>
                <w:szCs w:val="16"/>
              </w:rPr>
              <w:t xml:space="preserve"> in mid-September 2020</w:t>
            </w:r>
            <w:r w:rsidRPr="00847335">
              <w:rPr>
                <w:rFonts w:ascii="Arial" w:hAnsi="Arial" w:cs="Arial"/>
                <w:sz w:val="16"/>
                <w:szCs w:val="16"/>
              </w:rPr>
              <w:t xml:space="preserve">. </w:t>
            </w:r>
          </w:p>
        </w:tc>
      </w:tr>
      <w:tr w:rsidR="000F4FF7" w:rsidRPr="00627A1C" w14:paraId="744203C5" w14:textId="77777777" w:rsidTr="000A6807">
        <w:trPr>
          <w:trHeight w:val="440"/>
        </w:trPr>
        <w:tc>
          <w:tcPr>
            <w:tcW w:w="1530" w:type="dxa"/>
          </w:tcPr>
          <w:p w14:paraId="750FE468" w14:textId="77777777" w:rsidR="000F4FF7" w:rsidRPr="00627A1C" w:rsidRDefault="000F4FF7" w:rsidP="000A6807">
            <w:pPr>
              <w:rPr>
                <w:lang w:val="en-US" w:eastAsia="en-US"/>
              </w:rPr>
            </w:pPr>
            <w:r w:rsidRPr="00627A1C">
              <w:rPr>
                <w:lang w:val="en-US" w:eastAsia="en-US"/>
              </w:rPr>
              <w:lastRenderedPageBreak/>
              <w:t>Output 1.2</w:t>
            </w:r>
          </w:p>
          <w:p w14:paraId="7DBA5E84" w14:textId="77777777" w:rsidR="000F4FF7" w:rsidRDefault="000F4FF7" w:rsidP="000A6807">
            <w:pPr>
              <w:rPr>
                <w:rFonts w:ascii="Arial" w:hAnsi="Arial" w:cs="Arial"/>
                <w:sz w:val="16"/>
                <w:szCs w:val="16"/>
              </w:rPr>
            </w:pPr>
            <w:r w:rsidRPr="00456F7B">
              <w:rPr>
                <w:rFonts w:ascii="Arial" w:hAnsi="Arial" w:cs="Arial"/>
                <w:sz w:val="16"/>
                <w:szCs w:val="16"/>
              </w:rPr>
              <w:t xml:space="preserve">NIEC </w:t>
            </w:r>
            <w:r>
              <w:rPr>
                <w:rFonts w:ascii="Arial" w:hAnsi="Arial" w:cs="Arial"/>
                <w:sz w:val="16"/>
                <w:szCs w:val="16"/>
              </w:rPr>
              <w:t>stakeholder outreach and EDR</w:t>
            </w:r>
            <w:r w:rsidRPr="00456F7B">
              <w:rPr>
                <w:rFonts w:ascii="Arial" w:hAnsi="Arial" w:cs="Arial"/>
                <w:sz w:val="16"/>
                <w:szCs w:val="16"/>
              </w:rPr>
              <w:t xml:space="preserve"> facilities are developed</w:t>
            </w:r>
            <w:r>
              <w:rPr>
                <w:rFonts w:ascii="Arial" w:hAnsi="Arial" w:cs="Arial"/>
                <w:sz w:val="16"/>
                <w:szCs w:val="16"/>
              </w:rPr>
              <w:t xml:space="preserve"> at NIEC HQ, including security enhancements</w:t>
            </w:r>
          </w:p>
          <w:p w14:paraId="71C8EE27" w14:textId="491E1223" w:rsidR="000F4FF7" w:rsidRPr="00627A1C" w:rsidRDefault="000F4FF7" w:rsidP="000A6807">
            <w:pPr>
              <w:rPr>
                <w:lang w:val="en-US" w:eastAsia="en-US"/>
              </w:rPr>
            </w:pPr>
          </w:p>
        </w:tc>
        <w:tc>
          <w:tcPr>
            <w:tcW w:w="2070" w:type="dxa"/>
            <w:shd w:val="clear" w:color="auto" w:fill="EEECE1"/>
          </w:tcPr>
          <w:p w14:paraId="44654647" w14:textId="77777777" w:rsidR="000F4FF7" w:rsidRPr="00627A1C" w:rsidRDefault="000F4FF7" w:rsidP="000A6807">
            <w:pPr>
              <w:jc w:val="both"/>
              <w:rPr>
                <w:lang w:val="en-US" w:eastAsia="en-US"/>
              </w:rPr>
            </w:pPr>
            <w:r w:rsidRPr="00627A1C">
              <w:rPr>
                <w:lang w:val="en-US" w:eastAsia="en-US"/>
              </w:rPr>
              <w:t>Indicator  1.2.1</w:t>
            </w:r>
          </w:p>
          <w:p w14:paraId="7C45F239" w14:textId="77777777" w:rsidR="000F4FF7" w:rsidRDefault="000F4FF7" w:rsidP="000A6807">
            <w:pPr>
              <w:rPr>
                <w:rFonts w:ascii="Arial" w:hAnsi="Arial" w:cs="Arial"/>
                <w:sz w:val="16"/>
                <w:szCs w:val="16"/>
              </w:rPr>
            </w:pPr>
            <w:r w:rsidRPr="00A36876">
              <w:rPr>
                <w:rFonts w:ascii="Arial" w:hAnsi="Arial" w:cs="Arial"/>
                <w:sz w:val="16"/>
                <w:szCs w:val="16"/>
              </w:rPr>
              <w:t>Accessible and gender-supportive facilities</w:t>
            </w:r>
            <w:r>
              <w:rPr>
                <w:rFonts w:ascii="Arial" w:hAnsi="Arial" w:cs="Arial"/>
                <w:sz w:val="16"/>
                <w:szCs w:val="16"/>
              </w:rPr>
              <w:t xml:space="preserve"> </w:t>
            </w:r>
            <w:r w:rsidRPr="00530964">
              <w:rPr>
                <w:rFonts w:ascii="Arial" w:hAnsi="Arial" w:cs="Arial"/>
                <w:sz w:val="16"/>
                <w:szCs w:val="16"/>
              </w:rPr>
              <w:t xml:space="preserve">constructed at the NIEC Compound for EDR, training and meeting purposes with NIEC. </w:t>
            </w:r>
          </w:p>
          <w:p w14:paraId="226A6C25" w14:textId="77777777" w:rsidR="000F4FF7" w:rsidRPr="00627A1C" w:rsidRDefault="000F4FF7" w:rsidP="000A6807">
            <w:pPr>
              <w:jc w:val="both"/>
              <w:rPr>
                <w:lang w:val="en-US" w:eastAsia="en-US"/>
              </w:rPr>
            </w:pPr>
          </w:p>
        </w:tc>
        <w:tc>
          <w:tcPr>
            <w:tcW w:w="1530" w:type="dxa"/>
            <w:shd w:val="clear" w:color="auto" w:fill="EEECE1"/>
          </w:tcPr>
          <w:p w14:paraId="67C38F98" w14:textId="77777777" w:rsidR="000F4FF7" w:rsidRPr="00627A1C" w:rsidRDefault="000F4FF7" w:rsidP="000A6807">
            <w:r w:rsidRPr="001C25CB">
              <w:rPr>
                <w:rFonts w:ascii="Arial" w:hAnsi="Arial" w:cs="Arial"/>
                <w:sz w:val="16"/>
                <w:szCs w:val="16"/>
              </w:rPr>
              <w:t>0</w:t>
            </w:r>
          </w:p>
        </w:tc>
        <w:tc>
          <w:tcPr>
            <w:tcW w:w="1620" w:type="dxa"/>
            <w:shd w:val="clear" w:color="auto" w:fill="EEECE1"/>
          </w:tcPr>
          <w:p w14:paraId="5468B759" w14:textId="77777777" w:rsidR="000F4FF7" w:rsidRDefault="000F4FF7" w:rsidP="000A6807">
            <w:pPr>
              <w:rPr>
                <w:rFonts w:ascii="Arial" w:hAnsi="Arial" w:cs="Arial"/>
                <w:sz w:val="16"/>
                <w:szCs w:val="16"/>
              </w:rPr>
            </w:pPr>
            <w:r>
              <w:rPr>
                <w:rFonts w:ascii="Arial" w:hAnsi="Arial" w:cs="Arial"/>
                <w:sz w:val="16"/>
                <w:szCs w:val="16"/>
              </w:rPr>
              <w:t xml:space="preserve">Design and construction of two storey concrete structure building which is accessible and gender supportive with 19 separate office spaces, 1 meeting room that can accommodate 90-100 people. </w:t>
            </w:r>
          </w:p>
          <w:p w14:paraId="504EB835" w14:textId="77777777" w:rsidR="000F4FF7" w:rsidRPr="00CD2951" w:rsidRDefault="000F4FF7" w:rsidP="000A6807">
            <w:pPr>
              <w:rPr>
                <w:rFonts w:ascii="Arial" w:hAnsi="Arial" w:cs="Arial"/>
                <w:sz w:val="16"/>
                <w:szCs w:val="16"/>
              </w:rPr>
            </w:pPr>
            <w:r>
              <w:rPr>
                <w:rFonts w:ascii="Arial" w:hAnsi="Arial" w:cs="Arial"/>
                <w:sz w:val="16"/>
                <w:szCs w:val="16"/>
              </w:rPr>
              <w:t xml:space="preserve">Reception area, server room, kitchen, store, gender segregated toilets on both floors, access for physically challenged, solar energy powered, environmentally friendly building with low energy consumption and low carbon footprint. </w:t>
            </w:r>
          </w:p>
        </w:tc>
        <w:tc>
          <w:tcPr>
            <w:tcW w:w="1440" w:type="dxa"/>
          </w:tcPr>
          <w:p w14:paraId="76FDB227" w14:textId="77777777" w:rsidR="000F4FF7" w:rsidRPr="00FB5B70" w:rsidRDefault="000F4FF7" w:rsidP="000A6807">
            <w:pPr>
              <w:rPr>
                <w:bCs/>
                <w:lang w:val="en-US" w:eastAsia="en-US"/>
              </w:rPr>
            </w:pPr>
            <w:r w:rsidRPr="00FE1EBB">
              <w:rPr>
                <w:rFonts w:ascii="Arial" w:hAnsi="Arial" w:cs="Arial"/>
                <w:sz w:val="16"/>
                <w:szCs w:val="16"/>
              </w:rPr>
              <w:t>Design and procurement process completed and contractor onboard with foundation works in progress</w:t>
            </w:r>
            <w:r w:rsidRPr="00FB5B70">
              <w:rPr>
                <w:bCs/>
                <w:lang w:val="en-US" w:eastAsia="en-US"/>
              </w:rPr>
              <w:t xml:space="preserve">. </w:t>
            </w:r>
          </w:p>
        </w:tc>
        <w:tc>
          <w:tcPr>
            <w:tcW w:w="3874" w:type="dxa"/>
          </w:tcPr>
          <w:p w14:paraId="7DA86765" w14:textId="77777777" w:rsidR="000F4FF7" w:rsidRPr="001C25CB" w:rsidRDefault="000F4FF7" w:rsidP="000A6807">
            <w:pPr>
              <w:rPr>
                <w:rFonts w:ascii="Arial" w:hAnsi="Arial" w:cs="Arial"/>
                <w:sz w:val="16"/>
                <w:szCs w:val="16"/>
              </w:rPr>
            </w:pPr>
            <w:r w:rsidRPr="001C25CB">
              <w:rPr>
                <w:rFonts w:ascii="Arial" w:hAnsi="Arial" w:cs="Arial"/>
                <w:sz w:val="16"/>
                <w:szCs w:val="16"/>
              </w:rPr>
              <w:fldChar w:fldCharType="begin">
                <w:ffData>
                  <w:name w:val=""/>
                  <w:enabled/>
                  <w:calcOnExit w:val="0"/>
                  <w:textInput>
                    <w:default w:val="On track"/>
                    <w:maxLength w:val="300"/>
                  </w:textInput>
                </w:ffData>
              </w:fldChar>
            </w:r>
            <w:r w:rsidRPr="001C25CB">
              <w:rPr>
                <w:rFonts w:ascii="Arial" w:hAnsi="Arial" w:cs="Arial"/>
                <w:sz w:val="16"/>
                <w:szCs w:val="16"/>
              </w:rPr>
              <w:instrText xml:space="preserve"> FORMTEXT </w:instrText>
            </w:r>
            <w:r w:rsidRPr="001C25CB">
              <w:rPr>
                <w:rFonts w:ascii="Arial" w:hAnsi="Arial" w:cs="Arial"/>
                <w:sz w:val="16"/>
                <w:szCs w:val="16"/>
              </w:rPr>
            </w:r>
            <w:r w:rsidRPr="001C25CB">
              <w:rPr>
                <w:rFonts w:ascii="Arial" w:hAnsi="Arial" w:cs="Arial"/>
                <w:sz w:val="16"/>
                <w:szCs w:val="16"/>
              </w:rPr>
              <w:fldChar w:fldCharType="separate"/>
            </w:r>
            <w:r w:rsidRPr="001C25CB">
              <w:rPr>
                <w:rFonts w:ascii="Arial" w:hAnsi="Arial" w:cs="Arial"/>
                <w:sz w:val="16"/>
                <w:szCs w:val="16"/>
              </w:rPr>
              <w:t>On track</w:t>
            </w:r>
            <w:r w:rsidRPr="001C25CB">
              <w:rPr>
                <w:rFonts w:ascii="Arial" w:hAnsi="Arial" w:cs="Arial"/>
                <w:sz w:val="16"/>
                <w:szCs w:val="16"/>
              </w:rPr>
              <w:fldChar w:fldCharType="end"/>
            </w:r>
          </w:p>
        </w:tc>
        <w:tc>
          <w:tcPr>
            <w:tcW w:w="3056" w:type="dxa"/>
          </w:tcPr>
          <w:p w14:paraId="409376D1" w14:textId="77777777" w:rsidR="000F4FF7" w:rsidRPr="001C25CB" w:rsidRDefault="000F4FF7" w:rsidP="000A6807">
            <w:pPr>
              <w:rPr>
                <w:rFonts w:ascii="Arial" w:hAnsi="Arial" w:cs="Arial"/>
                <w:sz w:val="16"/>
                <w:szCs w:val="16"/>
              </w:rPr>
            </w:pPr>
            <w:r w:rsidRPr="001C25CB">
              <w:rPr>
                <w:rFonts w:ascii="Arial" w:hAnsi="Arial" w:cs="Arial"/>
                <w:sz w:val="16"/>
                <w:szCs w:val="16"/>
              </w:rPr>
              <w:fldChar w:fldCharType="begin">
                <w:ffData>
                  <w:name w:val=""/>
                  <w:enabled/>
                  <w:calcOnExit w:val="0"/>
                  <w:textInput>
                    <w:default w:val="No Variance"/>
                    <w:maxLength w:val="300"/>
                  </w:textInput>
                </w:ffData>
              </w:fldChar>
            </w:r>
            <w:r w:rsidRPr="001C25CB">
              <w:rPr>
                <w:rFonts w:ascii="Arial" w:hAnsi="Arial" w:cs="Arial"/>
                <w:sz w:val="16"/>
                <w:szCs w:val="16"/>
              </w:rPr>
              <w:instrText xml:space="preserve"> FORMTEXT </w:instrText>
            </w:r>
            <w:r w:rsidRPr="001C25CB">
              <w:rPr>
                <w:rFonts w:ascii="Arial" w:hAnsi="Arial" w:cs="Arial"/>
                <w:sz w:val="16"/>
                <w:szCs w:val="16"/>
              </w:rPr>
            </w:r>
            <w:r w:rsidRPr="001C25CB">
              <w:rPr>
                <w:rFonts w:ascii="Arial" w:hAnsi="Arial" w:cs="Arial"/>
                <w:sz w:val="16"/>
                <w:szCs w:val="16"/>
              </w:rPr>
              <w:fldChar w:fldCharType="separate"/>
            </w:r>
            <w:r w:rsidRPr="001C25CB">
              <w:rPr>
                <w:rFonts w:ascii="Arial" w:hAnsi="Arial" w:cs="Arial"/>
                <w:sz w:val="16"/>
                <w:szCs w:val="16"/>
              </w:rPr>
              <w:t>No Variance</w:t>
            </w:r>
            <w:r w:rsidRPr="001C25CB">
              <w:rPr>
                <w:rFonts w:ascii="Arial" w:hAnsi="Arial" w:cs="Arial"/>
                <w:sz w:val="16"/>
                <w:szCs w:val="16"/>
              </w:rPr>
              <w:fldChar w:fldCharType="end"/>
            </w:r>
          </w:p>
        </w:tc>
      </w:tr>
    </w:tbl>
    <w:p w14:paraId="23978039" w14:textId="77777777" w:rsidR="000F4FF7" w:rsidRPr="00627A1C" w:rsidRDefault="000F4FF7" w:rsidP="000F4FF7">
      <w:pPr>
        <w:tabs>
          <w:tab w:val="left" w:pos="0"/>
        </w:tabs>
      </w:pPr>
    </w:p>
    <w:p w14:paraId="48D1E20B" w14:textId="77777777" w:rsidR="000F4FF7" w:rsidRPr="00627A1C" w:rsidRDefault="000F4FF7" w:rsidP="00FA49A7">
      <w:pPr>
        <w:tabs>
          <w:tab w:val="left" w:pos="0"/>
        </w:tabs>
      </w:pPr>
    </w:p>
    <w:sectPr w:rsidR="000F4FF7" w:rsidRPr="00627A1C"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0715" w16cex:dateUtc="2020-10-22T11:26:00Z"/>
  <w16cex:commentExtensible w16cex:durableId="233FCB2C" w16cex:dateUtc="2020-10-25T08:40:00Z"/>
  <w16cex:commentExtensible w16cex:durableId="233FDF15" w16cex:dateUtc="2020-10-25T10:25:00Z"/>
  <w16cex:commentExtensible w16cex:durableId="233FE40B" w16cex:dateUtc="2020-10-25T10:46:00Z"/>
  <w16cex:commentExtensible w16cex:durableId="233FDF6D" w16cex:dateUtc="2020-10-25T10:26:00Z"/>
  <w16cex:commentExtensible w16cex:durableId="23411483" w16cex:dateUtc="2020-10-26T08:25:00Z"/>
  <w16cex:commentExtensible w16cex:durableId="234009CE" w16cex:dateUtc="2020-10-25T13:27:00Z"/>
  <w16cex:commentExtensible w16cex:durableId="234114F7" w16cex:dateUtc="2020-10-26T08:27:00Z"/>
  <w16cex:commentExtensible w16cex:durableId="23410869" w16cex:dateUtc="2020-10-26T07:33:00Z"/>
  <w16cex:commentExtensible w16cex:durableId="23410AD2" w16cex:dateUtc="2020-10-26T0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2E9A" w14:textId="77777777" w:rsidR="002F18DF" w:rsidRDefault="002F18DF" w:rsidP="00E76CA1">
      <w:r>
        <w:separator/>
      </w:r>
    </w:p>
  </w:endnote>
  <w:endnote w:type="continuationSeparator" w:id="0">
    <w:p w14:paraId="6C810686" w14:textId="77777777" w:rsidR="002F18DF" w:rsidRDefault="002F18D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57502A" w:rsidRDefault="0057502A">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57502A" w:rsidRDefault="0057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33FA" w14:textId="77777777" w:rsidR="002F18DF" w:rsidRDefault="002F18DF" w:rsidP="00E76CA1">
      <w:r>
        <w:separator/>
      </w:r>
    </w:p>
  </w:footnote>
  <w:footnote w:type="continuationSeparator" w:id="0">
    <w:p w14:paraId="489888A8" w14:textId="77777777" w:rsidR="002F18DF" w:rsidRDefault="002F18DF"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F08"/>
    <w:multiLevelType w:val="multilevel"/>
    <w:tmpl w:val="ACE09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ED663C"/>
    <w:multiLevelType w:val="hybridMultilevel"/>
    <w:tmpl w:val="7AD0E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856139"/>
    <w:multiLevelType w:val="hybridMultilevel"/>
    <w:tmpl w:val="04848F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5038380B"/>
    <w:multiLevelType w:val="hybridMultilevel"/>
    <w:tmpl w:val="843EC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6"/>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3602"/>
    <w:rsid w:val="00025EFA"/>
    <w:rsid w:val="00031640"/>
    <w:rsid w:val="00032EFB"/>
    <w:rsid w:val="00034A4C"/>
    <w:rsid w:val="00044024"/>
    <w:rsid w:val="00045C24"/>
    <w:rsid w:val="00050759"/>
    <w:rsid w:val="00051F71"/>
    <w:rsid w:val="0005216F"/>
    <w:rsid w:val="00052745"/>
    <w:rsid w:val="00052DE5"/>
    <w:rsid w:val="000554F8"/>
    <w:rsid w:val="00060D59"/>
    <w:rsid w:val="00063017"/>
    <w:rsid w:val="000731D0"/>
    <w:rsid w:val="00075D98"/>
    <w:rsid w:val="0008134A"/>
    <w:rsid w:val="0008233D"/>
    <w:rsid w:val="00082738"/>
    <w:rsid w:val="00084F64"/>
    <w:rsid w:val="00091CFD"/>
    <w:rsid w:val="00092442"/>
    <w:rsid w:val="000A45F4"/>
    <w:rsid w:val="000A4660"/>
    <w:rsid w:val="000A51DA"/>
    <w:rsid w:val="000A6719"/>
    <w:rsid w:val="000A6807"/>
    <w:rsid w:val="000B1F4D"/>
    <w:rsid w:val="000B4E5C"/>
    <w:rsid w:val="000B7954"/>
    <w:rsid w:val="000C66DC"/>
    <w:rsid w:val="000C7EA0"/>
    <w:rsid w:val="000D4F4B"/>
    <w:rsid w:val="000E05AE"/>
    <w:rsid w:val="000E6A96"/>
    <w:rsid w:val="000F05A2"/>
    <w:rsid w:val="000F13B1"/>
    <w:rsid w:val="000F4FF7"/>
    <w:rsid w:val="000F53D7"/>
    <w:rsid w:val="00101E8D"/>
    <w:rsid w:val="00102C0E"/>
    <w:rsid w:val="00104A5F"/>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67AE7"/>
    <w:rsid w:val="001757A2"/>
    <w:rsid w:val="0018095F"/>
    <w:rsid w:val="0018313E"/>
    <w:rsid w:val="0018446E"/>
    <w:rsid w:val="00185425"/>
    <w:rsid w:val="001864CB"/>
    <w:rsid w:val="00186529"/>
    <w:rsid w:val="00192F1D"/>
    <w:rsid w:val="00194D4C"/>
    <w:rsid w:val="00196AA8"/>
    <w:rsid w:val="00197120"/>
    <w:rsid w:val="001A1E86"/>
    <w:rsid w:val="001A3157"/>
    <w:rsid w:val="001A374F"/>
    <w:rsid w:val="001A4786"/>
    <w:rsid w:val="001A53E6"/>
    <w:rsid w:val="001B1EAF"/>
    <w:rsid w:val="001B458D"/>
    <w:rsid w:val="001B54AC"/>
    <w:rsid w:val="001B5D16"/>
    <w:rsid w:val="001B6DFD"/>
    <w:rsid w:val="001C17D0"/>
    <w:rsid w:val="001C422B"/>
    <w:rsid w:val="001C4484"/>
    <w:rsid w:val="001C46E9"/>
    <w:rsid w:val="001C5691"/>
    <w:rsid w:val="001C56B8"/>
    <w:rsid w:val="001C5B82"/>
    <w:rsid w:val="001C7532"/>
    <w:rsid w:val="001D1C14"/>
    <w:rsid w:val="001D575F"/>
    <w:rsid w:val="001D6683"/>
    <w:rsid w:val="001D67F9"/>
    <w:rsid w:val="001E3B43"/>
    <w:rsid w:val="001E660A"/>
    <w:rsid w:val="001F1895"/>
    <w:rsid w:val="001F308A"/>
    <w:rsid w:val="0020130A"/>
    <w:rsid w:val="00205EB7"/>
    <w:rsid w:val="00206D45"/>
    <w:rsid w:val="0020791D"/>
    <w:rsid w:val="002129DA"/>
    <w:rsid w:val="0021550A"/>
    <w:rsid w:val="00215F41"/>
    <w:rsid w:val="002178C4"/>
    <w:rsid w:val="00217A2E"/>
    <w:rsid w:val="00217EB6"/>
    <w:rsid w:val="002247C2"/>
    <w:rsid w:val="002322E6"/>
    <w:rsid w:val="00233827"/>
    <w:rsid w:val="00234A5E"/>
    <w:rsid w:val="00236072"/>
    <w:rsid w:val="0023672E"/>
    <w:rsid w:val="00236AB3"/>
    <w:rsid w:val="00240D37"/>
    <w:rsid w:val="002436F0"/>
    <w:rsid w:val="00245BD3"/>
    <w:rsid w:val="00245E73"/>
    <w:rsid w:val="00246135"/>
    <w:rsid w:val="00247D77"/>
    <w:rsid w:val="00247F4E"/>
    <w:rsid w:val="00251E92"/>
    <w:rsid w:val="0025220B"/>
    <w:rsid w:val="00252B39"/>
    <w:rsid w:val="00254AC2"/>
    <w:rsid w:val="0025525B"/>
    <w:rsid w:val="00257569"/>
    <w:rsid w:val="00266B8F"/>
    <w:rsid w:val="0027242A"/>
    <w:rsid w:val="00272A58"/>
    <w:rsid w:val="00273AD0"/>
    <w:rsid w:val="002822AF"/>
    <w:rsid w:val="00282BD9"/>
    <w:rsid w:val="00284E86"/>
    <w:rsid w:val="00286F66"/>
    <w:rsid w:val="00287878"/>
    <w:rsid w:val="002940E8"/>
    <w:rsid w:val="00296C15"/>
    <w:rsid w:val="002A1877"/>
    <w:rsid w:val="002B3207"/>
    <w:rsid w:val="002B346A"/>
    <w:rsid w:val="002B351E"/>
    <w:rsid w:val="002B4426"/>
    <w:rsid w:val="002B5F4F"/>
    <w:rsid w:val="002B61A3"/>
    <w:rsid w:val="002B740B"/>
    <w:rsid w:val="002B79C7"/>
    <w:rsid w:val="002C187A"/>
    <w:rsid w:val="002C20A8"/>
    <w:rsid w:val="002C5DD0"/>
    <w:rsid w:val="002C5EDD"/>
    <w:rsid w:val="002C7051"/>
    <w:rsid w:val="002D2FBB"/>
    <w:rsid w:val="002D4247"/>
    <w:rsid w:val="002D68D7"/>
    <w:rsid w:val="002E10E6"/>
    <w:rsid w:val="002E1937"/>
    <w:rsid w:val="002E1CED"/>
    <w:rsid w:val="002E5250"/>
    <w:rsid w:val="002E61AA"/>
    <w:rsid w:val="002E6F58"/>
    <w:rsid w:val="002E745D"/>
    <w:rsid w:val="002F043D"/>
    <w:rsid w:val="002F10F6"/>
    <w:rsid w:val="002F15D9"/>
    <w:rsid w:val="002F1714"/>
    <w:rsid w:val="002F18DF"/>
    <w:rsid w:val="002F26EC"/>
    <w:rsid w:val="002F42EA"/>
    <w:rsid w:val="00300616"/>
    <w:rsid w:val="003040D8"/>
    <w:rsid w:val="0030455E"/>
    <w:rsid w:val="00305626"/>
    <w:rsid w:val="00313D82"/>
    <w:rsid w:val="00316D58"/>
    <w:rsid w:val="003212BB"/>
    <w:rsid w:val="003217AC"/>
    <w:rsid w:val="00321C92"/>
    <w:rsid w:val="003235DF"/>
    <w:rsid w:val="00323ABC"/>
    <w:rsid w:val="00324A7C"/>
    <w:rsid w:val="00324FE5"/>
    <w:rsid w:val="00327191"/>
    <w:rsid w:val="00333EC9"/>
    <w:rsid w:val="0033515C"/>
    <w:rsid w:val="00336BF8"/>
    <w:rsid w:val="00342356"/>
    <w:rsid w:val="00343425"/>
    <w:rsid w:val="0034386B"/>
    <w:rsid w:val="00343F33"/>
    <w:rsid w:val="00346D73"/>
    <w:rsid w:val="003473C6"/>
    <w:rsid w:val="00356193"/>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0560"/>
    <w:rsid w:val="003A4A4E"/>
    <w:rsid w:val="003A4F9B"/>
    <w:rsid w:val="003A613D"/>
    <w:rsid w:val="003A6341"/>
    <w:rsid w:val="003B3A5F"/>
    <w:rsid w:val="003B5338"/>
    <w:rsid w:val="003C5283"/>
    <w:rsid w:val="003C5CC6"/>
    <w:rsid w:val="003D12C7"/>
    <w:rsid w:val="003D228B"/>
    <w:rsid w:val="003D4CD7"/>
    <w:rsid w:val="003D4D7C"/>
    <w:rsid w:val="003D5444"/>
    <w:rsid w:val="003D68FF"/>
    <w:rsid w:val="003F08B1"/>
    <w:rsid w:val="003F21BE"/>
    <w:rsid w:val="003F2660"/>
    <w:rsid w:val="003F36FB"/>
    <w:rsid w:val="003F660A"/>
    <w:rsid w:val="0040110B"/>
    <w:rsid w:val="004017BD"/>
    <w:rsid w:val="00401FD7"/>
    <w:rsid w:val="00402083"/>
    <w:rsid w:val="004023AC"/>
    <w:rsid w:val="00402514"/>
    <w:rsid w:val="0040513F"/>
    <w:rsid w:val="004058E2"/>
    <w:rsid w:val="00405DE7"/>
    <w:rsid w:val="00411A5F"/>
    <w:rsid w:val="00413EAF"/>
    <w:rsid w:val="00414097"/>
    <w:rsid w:val="004213AF"/>
    <w:rsid w:val="00425AF8"/>
    <w:rsid w:val="00437FF5"/>
    <w:rsid w:val="00450BD6"/>
    <w:rsid w:val="0046101E"/>
    <w:rsid w:val="00461944"/>
    <w:rsid w:val="00464188"/>
    <w:rsid w:val="00470EC3"/>
    <w:rsid w:val="0047619C"/>
    <w:rsid w:val="00477CF8"/>
    <w:rsid w:val="00480A02"/>
    <w:rsid w:val="0048168F"/>
    <w:rsid w:val="00484092"/>
    <w:rsid w:val="00484169"/>
    <w:rsid w:val="00495AC5"/>
    <w:rsid w:val="004965A3"/>
    <w:rsid w:val="004A15F0"/>
    <w:rsid w:val="004A210E"/>
    <w:rsid w:val="004A24F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76F7"/>
    <w:rsid w:val="00541F2E"/>
    <w:rsid w:val="0054416C"/>
    <w:rsid w:val="00544390"/>
    <w:rsid w:val="00544781"/>
    <w:rsid w:val="005460E0"/>
    <w:rsid w:val="005470AF"/>
    <w:rsid w:val="00550982"/>
    <w:rsid w:val="0055185F"/>
    <w:rsid w:val="00553A7C"/>
    <w:rsid w:val="00553D53"/>
    <w:rsid w:val="0056086D"/>
    <w:rsid w:val="00561C6B"/>
    <w:rsid w:val="005676F8"/>
    <w:rsid w:val="0057086A"/>
    <w:rsid w:val="005718ED"/>
    <w:rsid w:val="00571D72"/>
    <w:rsid w:val="0057502A"/>
    <w:rsid w:val="005763FC"/>
    <w:rsid w:val="0058153F"/>
    <w:rsid w:val="0058301B"/>
    <w:rsid w:val="00584853"/>
    <w:rsid w:val="00590937"/>
    <w:rsid w:val="0059166A"/>
    <w:rsid w:val="00592733"/>
    <w:rsid w:val="00593B59"/>
    <w:rsid w:val="00595DBA"/>
    <w:rsid w:val="005A15B4"/>
    <w:rsid w:val="005A2661"/>
    <w:rsid w:val="005A26F8"/>
    <w:rsid w:val="005A56E0"/>
    <w:rsid w:val="005A6D9E"/>
    <w:rsid w:val="005B0119"/>
    <w:rsid w:val="005B53A7"/>
    <w:rsid w:val="005C187A"/>
    <w:rsid w:val="005C1FC7"/>
    <w:rsid w:val="005C4963"/>
    <w:rsid w:val="005C4BBA"/>
    <w:rsid w:val="005C68B4"/>
    <w:rsid w:val="005D2343"/>
    <w:rsid w:val="005D545C"/>
    <w:rsid w:val="005E0418"/>
    <w:rsid w:val="005E23BF"/>
    <w:rsid w:val="005E3B28"/>
    <w:rsid w:val="005E63C1"/>
    <w:rsid w:val="005F0CC2"/>
    <w:rsid w:val="005F439F"/>
    <w:rsid w:val="005F77DA"/>
    <w:rsid w:val="00601CC1"/>
    <w:rsid w:val="00605275"/>
    <w:rsid w:val="006073A2"/>
    <w:rsid w:val="006073AB"/>
    <w:rsid w:val="0060796B"/>
    <w:rsid w:val="006100F5"/>
    <w:rsid w:val="00614608"/>
    <w:rsid w:val="0061467E"/>
    <w:rsid w:val="00615C30"/>
    <w:rsid w:val="00624881"/>
    <w:rsid w:val="00624B2F"/>
    <w:rsid w:val="00624F31"/>
    <w:rsid w:val="0062552C"/>
    <w:rsid w:val="00626B3F"/>
    <w:rsid w:val="00627A1C"/>
    <w:rsid w:val="00632971"/>
    <w:rsid w:val="00635112"/>
    <w:rsid w:val="00635461"/>
    <w:rsid w:val="0063596D"/>
    <w:rsid w:val="00643A9E"/>
    <w:rsid w:val="00645C2C"/>
    <w:rsid w:val="00646FF7"/>
    <w:rsid w:val="006500AC"/>
    <w:rsid w:val="00651323"/>
    <w:rsid w:val="00656A65"/>
    <w:rsid w:val="006578BB"/>
    <w:rsid w:val="00657A0F"/>
    <w:rsid w:val="006645BE"/>
    <w:rsid w:val="006648F5"/>
    <w:rsid w:val="00664EA0"/>
    <w:rsid w:val="006673EC"/>
    <w:rsid w:val="0067044E"/>
    <w:rsid w:val="00670D17"/>
    <w:rsid w:val="00671040"/>
    <w:rsid w:val="00672F68"/>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A7099"/>
    <w:rsid w:val="006B4DED"/>
    <w:rsid w:val="006C1819"/>
    <w:rsid w:val="006C29FB"/>
    <w:rsid w:val="006C2BD0"/>
    <w:rsid w:val="006D0366"/>
    <w:rsid w:val="006D327D"/>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16987"/>
    <w:rsid w:val="00720431"/>
    <w:rsid w:val="0072726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575E9"/>
    <w:rsid w:val="00761508"/>
    <w:rsid w:val="007626C9"/>
    <w:rsid w:val="00763F37"/>
    <w:rsid w:val="00764773"/>
    <w:rsid w:val="00764B9C"/>
    <w:rsid w:val="0076624E"/>
    <w:rsid w:val="007712FB"/>
    <w:rsid w:val="007717E2"/>
    <w:rsid w:val="007740D4"/>
    <w:rsid w:val="007756B0"/>
    <w:rsid w:val="00782E30"/>
    <w:rsid w:val="00783AE0"/>
    <w:rsid w:val="00785E5E"/>
    <w:rsid w:val="0078600B"/>
    <w:rsid w:val="00790676"/>
    <w:rsid w:val="00791410"/>
    <w:rsid w:val="007937AE"/>
    <w:rsid w:val="00793DE6"/>
    <w:rsid w:val="00793E8B"/>
    <w:rsid w:val="007958F2"/>
    <w:rsid w:val="007A1B5F"/>
    <w:rsid w:val="007A4F3E"/>
    <w:rsid w:val="007A5985"/>
    <w:rsid w:val="007A59A5"/>
    <w:rsid w:val="007A777F"/>
    <w:rsid w:val="007B10F6"/>
    <w:rsid w:val="007B1BE5"/>
    <w:rsid w:val="007B368E"/>
    <w:rsid w:val="007B5D05"/>
    <w:rsid w:val="007C288F"/>
    <w:rsid w:val="007C304F"/>
    <w:rsid w:val="007C4E62"/>
    <w:rsid w:val="007C78D3"/>
    <w:rsid w:val="007D127B"/>
    <w:rsid w:val="007D2DD6"/>
    <w:rsid w:val="007D5138"/>
    <w:rsid w:val="007D6A05"/>
    <w:rsid w:val="007D6E52"/>
    <w:rsid w:val="007E1330"/>
    <w:rsid w:val="007E1B93"/>
    <w:rsid w:val="007E3EB8"/>
    <w:rsid w:val="007E4FA1"/>
    <w:rsid w:val="007E7BE8"/>
    <w:rsid w:val="007F4C86"/>
    <w:rsid w:val="007F5EA9"/>
    <w:rsid w:val="007F6F6D"/>
    <w:rsid w:val="007F7257"/>
    <w:rsid w:val="00805ADB"/>
    <w:rsid w:val="00812452"/>
    <w:rsid w:val="0081466B"/>
    <w:rsid w:val="008148B5"/>
    <w:rsid w:val="00817132"/>
    <w:rsid w:val="0083461E"/>
    <w:rsid w:val="00834A9F"/>
    <w:rsid w:val="008364E5"/>
    <w:rsid w:val="00837B04"/>
    <w:rsid w:val="0084221C"/>
    <w:rsid w:val="00842C3A"/>
    <w:rsid w:val="0084393C"/>
    <w:rsid w:val="00844955"/>
    <w:rsid w:val="00847335"/>
    <w:rsid w:val="00847A89"/>
    <w:rsid w:val="00850D6E"/>
    <w:rsid w:val="00853068"/>
    <w:rsid w:val="00861669"/>
    <w:rsid w:val="008632DB"/>
    <w:rsid w:val="008640A5"/>
    <w:rsid w:val="00865821"/>
    <w:rsid w:val="00865FA0"/>
    <w:rsid w:val="008664A8"/>
    <w:rsid w:val="00866E96"/>
    <w:rsid w:val="00873134"/>
    <w:rsid w:val="00874634"/>
    <w:rsid w:val="00875EA5"/>
    <w:rsid w:val="00876BBD"/>
    <w:rsid w:val="00881D4B"/>
    <w:rsid w:val="0088433C"/>
    <w:rsid w:val="00891AE7"/>
    <w:rsid w:val="008A062F"/>
    <w:rsid w:val="008A1155"/>
    <w:rsid w:val="008A3181"/>
    <w:rsid w:val="008A7B09"/>
    <w:rsid w:val="008B1B75"/>
    <w:rsid w:val="008B3518"/>
    <w:rsid w:val="008B3D39"/>
    <w:rsid w:val="008B5A12"/>
    <w:rsid w:val="008B7E23"/>
    <w:rsid w:val="008C782A"/>
    <w:rsid w:val="008D5BC9"/>
    <w:rsid w:val="008E1083"/>
    <w:rsid w:val="008E3872"/>
    <w:rsid w:val="008E5B4D"/>
    <w:rsid w:val="008E729D"/>
    <w:rsid w:val="008F5112"/>
    <w:rsid w:val="008F6703"/>
    <w:rsid w:val="00900D78"/>
    <w:rsid w:val="0090101F"/>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2909"/>
    <w:rsid w:val="00945925"/>
    <w:rsid w:val="00952DE4"/>
    <w:rsid w:val="009568EF"/>
    <w:rsid w:val="00956B79"/>
    <w:rsid w:val="00965F6B"/>
    <w:rsid w:val="00970F4C"/>
    <w:rsid w:val="0097130A"/>
    <w:rsid w:val="00973199"/>
    <w:rsid w:val="00974D94"/>
    <w:rsid w:val="009774FE"/>
    <w:rsid w:val="009832F8"/>
    <w:rsid w:val="009839DA"/>
    <w:rsid w:val="00985E49"/>
    <w:rsid w:val="00991418"/>
    <w:rsid w:val="009943F1"/>
    <w:rsid w:val="00994476"/>
    <w:rsid w:val="009947FB"/>
    <w:rsid w:val="00994B0E"/>
    <w:rsid w:val="0099700D"/>
    <w:rsid w:val="00997347"/>
    <w:rsid w:val="009A012A"/>
    <w:rsid w:val="009A1CD3"/>
    <w:rsid w:val="009A44A4"/>
    <w:rsid w:val="009A4A5D"/>
    <w:rsid w:val="009A5EEF"/>
    <w:rsid w:val="009A7B1A"/>
    <w:rsid w:val="009B18EB"/>
    <w:rsid w:val="009B5D1A"/>
    <w:rsid w:val="009C07D8"/>
    <w:rsid w:val="009C153E"/>
    <w:rsid w:val="009C28DE"/>
    <w:rsid w:val="009C2C5E"/>
    <w:rsid w:val="009D0838"/>
    <w:rsid w:val="009D0C9F"/>
    <w:rsid w:val="009D10B2"/>
    <w:rsid w:val="009D2543"/>
    <w:rsid w:val="009D4773"/>
    <w:rsid w:val="009D64E4"/>
    <w:rsid w:val="009E169F"/>
    <w:rsid w:val="009E20F1"/>
    <w:rsid w:val="009E38EA"/>
    <w:rsid w:val="009E5594"/>
    <w:rsid w:val="009F517D"/>
    <w:rsid w:val="009F6554"/>
    <w:rsid w:val="009F7F98"/>
    <w:rsid w:val="00A02F58"/>
    <w:rsid w:val="00A032AE"/>
    <w:rsid w:val="00A0415C"/>
    <w:rsid w:val="00A10DAC"/>
    <w:rsid w:val="00A31988"/>
    <w:rsid w:val="00A34FE2"/>
    <w:rsid w:val="00A35FDA"/>
    <w:rsid w:val="00A360E8"/>
    <w:rsid w:val="00A41736"/>
    <w:rsid w:val="00A4395F"/>
    <w:rsid w:val="00A43B9C"/>
    <w:rsid w:val="00A43E28"/>
    <w:rsid w:val="00A4581B"/>
    <w:rsid w:val="00A45BD4"/>
    <w:rsid w:val="00A46B06"/>
    <w:rsid w:val="00A471E3"/>
    <w:rsid w:val="00A47DDA"/>
    <w:rsid w:val="00A509C6"/>
    <w:rsid w:val="00A52A49"/>
    <w:rsid w:val="00A53C94"/>
    <w:rsid w:val="00A53DBD"/>
    <w:rsid w:val="00A54EC4"/>
    <w:rsid w:val="00A56493"/>
    <w:rsid w:val="00A56DD8"/>
    <w:rsid w:val="00A6017D"/>
    <w:rsid w:val="00A62289"/>
    <w:rsid w:val="00A64309"/>
    <w:rsid w:val="00A64A02"/>
    <w:rsid w:val="00A656C0"/>
    <w:rsid w:val="00A66688"/>
    <w:rsid w:val="00A700B2"/>
    <w:rsid w:val="00A7681F"/>
    <w:rsid w:val="00A77540"/>
    <w:rsid w:val="00A81DF0"/>
    <w:rsid w:val="00A8266F"/>
    <w:rsid w:val="00A843B5"/>
    <w:rsid w:val="00A8461C"/>
    <w:rsid w:val="00A855EA"/>
    <w:rsid w:val="00A86B3F"/>
    <w:rsid w:val="00A86F4D"/>
    <w:rsid w:val="00A9067B"/>
    <w:rsid w:val="00A90E80"/>
    <w:rsid w:val="00A91FCD"/>
    <w:rsid w:val="00A95DA8"/>
    <w:rsid w:val="00A96579"/>
    <w:rsid w:val="00A9791E"/>
    <w:rsid w:val="00AA1DFA"/>
    <w:rsid w:val="00AA363D"/>
    <w:rsid w:val="00AA71E2"/>
    <w:rsid w:val="00AA7C77"/>
    <w:rsid w:val="00AB1368"/>
    <w:rsid w:val="00AB2B1E"/>
    <w:rsid w:val="00AB37F4"/>
    <w:rsid w:val="00AB6561"/>
    <w:rsid w:val="00AB6BAD"/>
    <w:rsid w:val="00AB6BB2"/>
    <w:rsid w:val="00AC433F"/>
    <w:rsid w:val="00AC4B04"/>
    <w:rsid w:val="00AC5D55"/>
    <w:rsid w:val="00AD0A31"/>
    <w:rsid w:val="00AD1B06"/>
    <w:rsid w:val="00AD6104"/>
    <w:rsid w:val="00AD6C55"/>
    <w:rsid w:val="00AD73D3"/>
    <w:rsid w:val="00AE02B8"/>
    <w:rsid w:val="00AE0D84"/>
    <w:rsid w:val="00AF2D89"/>
    <w:rsid w:val="00AF7DA4"/>
    <w:rsid w:val="00B00EBD"/>
    <w:rsid w:val="00B0370E"/>
    <w:rsid w:val="00B03E68"/>
    <w:rsid w:val="00B05E35"/>
    <w:rsid w:val="00B124BD"/>
    <w:rsid w:val="00B12FB8"/>
    <w:rsid w:val="00B22390"/>
    <w:rsid w:val="00B22EE3"/>
    <w:rsid w:val="00B244A1"/>
    <w:rsid w:val="00B24F72"/>
    <w:rsid w:val="00B26E36"/>
    <w:rsid w:val="00B27419"/>
    <w:rsid w:val="00B329B9"/>
    <w:rsid w:val="00B37406"/>
    <w:rsid w:val="00B404DF"/>
    <w:rsid w:val="00B419C8"/>
    <w:rsid w:val="00B4227A"/>
    <w:rsid w:val="00B43B8D"/>
    <w:rsid w:val="00B43EEA"/>
    <w:rsid w:val="00B43F6D"/>
    <w:rsid w:val="00B442A2"/>
    <w:rsid w:val="00B4652D"/>
    <w:rsid w:val="00B46712"/>
    <w:rsid w:val="00B6401E"/>
    <w:rsid w:val="00B652A1"/>
    <w:rsid w:val="00B6674E"/>
    <w:rsid w:val="00B702C0"/>
    <w:rsid w:val="00B735DD"/>
    <w:rsid w:val="00B737D1"/>
    <w:rsid w:val="00B7459B"/>
    <w:rsid w:val="00B749E2"/>
    <w:rsid w:val="00B74CE9"/>
    <w:rsid w:val="00B7553C"/>
    <w:rsid w:val="00B75C20"/>
    <w:rsid w:val="00B809D2"/>
    <w:rsid w:val="00B82635"/>
    <w:rsid w:val="00B82C51"/>
    <w:rsid w:val="00B832EB"/>
    <w:rsid w:val="00B91F39"/>
    <w:rsid w:val="00BA4F96"/>
    <w:rsid w:val="00BA5750"/>
    <w:rsid w:val="00BA5D85"/>
    <w:rsid w:val="00BA6688"/>
    <w:rsid w:val="00BA6F4B"/>
    <w:rsid w:val="00BB0979"/>
    <w:rsid w:val="00BC1A5D"/>
    <w:rsid w:val="00BC34D3"/>
    <w:rsid w:val="00BC6808"/>
    <w:rsid w:val="00BC71E1"/>
    <w:rsid w:val="00BD2962"/>
    <w:rsid w:val="00BD4F74"/>
    <w:rsid w:val="00BD5D49"/>
    <w:rsid w:val="00BD643D"/>
    <w:rsid w:val="00BE28AA"/>
    <w:rsid w:val="00BE41D3"/>
    <w:rsid w:val="00BE4389"/>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43603"/>
    <w:rsid w:val="00C52BDA"/>
    <w:rsid w:val="00C55E8E"/>
    <w:rsid w:val="00C578BE"/>
    <w:rsid w:val="00C61129"/>
    <w:rsid w:val="00C640B2"/>
    <w:rsid w:val="00C64E48"/>
    <w:rsid w:val="00C70E7A"/>
    <w:rsid w:val="00C72CF8"/>
    <w:rsid w:val="00C74E37"/>
    <w:rsid w:val="00C846A4"/>
    <w:rsid w:val="00C847EE"/>
    <w:rsid w:val="00C853D5"/>
    <w:rsid w:val="00C96336"/>
    <w:rsid w:val="00CA18AB"/>
    <w:rsid w:val="00CA1B43"/>
    <w:rsid w:val="00CA2081"/>
    <w:rsid w:val="00CA6C99"/>
    <w:rsid w:val="00CB02F7"/>
    <w:rsid w:val="00CB25A2"/>
    <w:rsid w:val="00CB4B5C"/>
    <w:rsid w:val="00CB7F22"/>
    <w:rsid w:val="00CC2015"/>
    <w:rsid w:val="00CC26EB"/>
    <w:rsid w:val="00CC59E5"/>
    <w:rsid w:val="00CD2F67"/>
    <w:rsid w:val="00CD3076"/>
    <w:rsid w:val="00CD3754"/>
    <w:rsid w:val="00CD5E04"/>
    <w:rsid w:val="00CD5E74"/>
    <w:rsid w:val="00CE0239"/>
    <w:rsid w:val="00CE132D"/>
    <w:rsid w:val="00CE3BEA"/>
    <w:rsid w:val="00CE499C"/>
    <w:rsid w:val="00CF04AE"/>
    <w:rsid w:val="00CF073D"/>
    <w:rsid w:val="00CF5047"/>
    <w:rsid w:val="00D03D06"/>
    <w:rsid w:val="00D06A43"/>
    <w:rsid w:val="00D079BC"/>
    <w:rsid w:val="00D12CC9"/>
    <w:rsid w:val="00D13792"/>
    <w:rsid w:val="00D21E2D"/>
    <w:rsid w:val="00D22B42"/>
    <w:rsid w:val="00D26972"/>
    <w:rsid w:val="00D30647"/>
    <w:rsid w:val="00D32255"/>
    <w:rsid w:val="00D3351A"/>
    <w:rsid w:val="00D34147"/>
    <w:rsid w:val="00D36AF6"/>
    <w:rsid w:val="00D36E09"/>
    <w:rsid w:val="00D41969"/>
    <w:rsid w:val="00D44632"/>
    <w:rsid w:val="00D5552B"/>
    <w:rsid w:val="00D557FD"/>
    <w:rsid w:val="00D569A1"/>
    <w:rsid w:val="00D61034"/>
    <w:rsid w:val="00D62D7A"/>
    <w:rsid w:val="00D632A3"/>
    <w:rsid w:val="00D65589"/>
    <w:rsid w:val="00D65613"/>
    <w:rsid w:val="00D65BB5"/>
    <w:rsid w:val="00D6788F"/>
    <w:rsid w:val="00D7077F"/>
    <w:rsid w:val="00D70EC5"/>
    <w:rsid w:val="00D7215F"/>
    <w:rsid w:val="00D755D9"/>
    <w:rsid w:val="00D76947"/>
    <w:rsid w:val="00D82C29"/>
    <w:rsid w:val="00D84A39"/>
    <w:rsid w:val="00D85131"/>
    <w:rsid w:val="00DA064C"/>
    <w:rsid w:val="00DA2795"/>
    <w:rsid w:val="00DA2CD8"/>
    <w:rsid w:val="00DA7B93"/>
    <w:rsid w:val="00DB2671"/>
    <w:rsid w:val="00DB3F86"/>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45333"/>
    <w:rsid w:val="00E46268"/>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1CA"/>
    <w:rsid w:val="00E83A40"/>
    <w:rsid w:val="00E84BB9"/>
    <w:rsid w:val="00E84FA2"/>
    <w:rsid w:val="00E876A0"/>
    <w:rsid w:val="00E877CA"/>
    <w:rsid w:val="00E928D7"/>
    <w:rsid w:val="00E97C4A"/>
    <w:rsid w:val="00EA0448"/>
    <w:rsid w:val="00EA25AC"/>
    <w:rsid w:val="00EB1536"/>
    <w:rsid w:val="00EB1C20"/>
    <w:rsid w:val="00EB2B6A"/>
    <w:rsid w:val="00EB4C46"/>
    <w:rsid w:val="00EC125D"/>
    <w:rsid w:val="00EC18C3"/>
    <w:rsid w:val="00EC19E1"/>
    <w:rsid w:val="00EC3396"/>
    <w:rsid w:val="00EC5F32"/>
    <w:rsid w:val="00EC5F36"/>
    <w:rsid w:val="00EC6E52"/>
    <w:rsid w:val="00ED1554"/>
    <w:rsid w:val="00ED2C78"/>
    <w:rsid w:val="00ED52B4"/>
    <w:rsid w:val="00ED623F"/>
    <w:rsid w:val="00ED6399"/>
    <w:rsid w:val="00ED7365"/>
    <w:rsid w:val="00ED7FBD"/>
    <w:rsid w:val="00EE0A91"/>
    <w:rsid w:val="00EE2075"/>
    <w:rsid w:val="00EE28CD"/>
    <w:rsid w:val="00EE45FD"/>
    <w:rsid w:val="00EE5DF0"/>
    <w:rsid w:val="00EE6B58"/>
    <w:rsid w:val="00EF10E8"/>
    <w:rsid w:val="00EF34F7"/>
    <w:rsid w:val="00EF3746"/>
    <w:rsid w:val="00F05682"/>
    <w:rsid w:val="00F065BD"/>
    <w:rsid w:val="00F12A5E"/>
    <w:rsid w:val="00F17161"/>
    <w:rsid w:val="00F177AC"/>
    <w:rsid w:val="00F20F55"/>
    <w:rsid w:val="00F2227D"/>
    <w:rsid w:val="00F2233A"/>
    <w:rsid w:val="00F23D0F"/>
    <w:rsid w:val="00F2629E"/>
    <w:rsid w:val="00F32725"/>
    <w:rsid w:val="00F34857"/>
    <w:rsid w:val="00F3653F"/>
    <w:rsid w:val="00F36B57"/>
    <w:rsid w:val="00F43449"/>
    <w:rsid w:val="00F434C7"/>
    <w:rsid w:val="00F44118"/>
    <w:rsid w:val="00F5504F"/>
    <w:rsid w:val="00F55440"/>
    <w:rsid w:val="00F5578A"/>
    <w:rsid w:val="00F56010"/>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D7CE1"/>
    <w:rsid w:val="00FE2242"/>
    <w:rsid w:val="00FE41B0"/>
    <w:rsid w:val="00FE4BB9"/>
    <w:rsid w:val="00FE63C1"/>
    <w:rsid w:val="00FF634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8A7B09"/>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72393267">
      <w:bodyDiv w:val="1"/>
      <w:marLeft w:val="0"/>
      <w:marRight w:val="0"/>
      <w:marTop w:val="0"/>
      <w:marBottom w:val="0"/>
      <w:divBdr>
        <w:top w:val="none" w:sz="0" w:space="0" w:color="auto"/>
        <w:left w:val="none" w:sz="0" w:space="0" w:color="auto"/>
        <w:bottom w:val="none" w:sz="0" w:space="0" w:color="auto"/>
        <w:right w:val="none" w:sz="0" w:space="0" w:color="auto"/>
      </w:divBdr>
    </w:div>
    <w:div w:id="78492720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34.png@01D6B1DF.CBB1AA50" TargetMode="Externa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D8E1F2C627443993B7CB12D74B2D3F"/>
        <w:category>
          <w:name w:val="Allgemein"/>
          <w:gallery w:val="placeholder"/>
        </w:category>
        <w:types>
          <w:type w:val="bbPlcHdr"/>
        </w:types>
        <w:behaviors>
          <w:behavior w:val="content"/>
        </w:behaviors>
        <w:guid w:val="{54D78881-E963-4E9C-91AE-595A477A748F}"/>
      </w:docPartPr>
      <w:docPartBody>
        <w:p w:rsidR="00DE2279" w:rsidRDefault="00DE2279" w:rsidP="00DE2279">
          <w:pPr>
            <w:pStyle w:val="B0D8E1F2C627443993B7CB12D74B2D3F"/>
          </w:pPr>
          <w:r w:rsidRPr="00CC459E">
            <w:rPr>
              <w:rStyle w:val="PlaceholderText"/>
            </w:rPr>
            <w:t xml:space="preserve">Enter </w:t>
          </w: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79"/>
    <w:rsid w:val="00011A60"/>
    <w:rsid w:val="000D37B2"/>
    <w:rsid w:val="00152FE9"/>
    <w:rsid w:val="003404ED"/>
    <w:rsid w:val="00377C8B"/>
    <w:rsid w:val="00500CBF"/>
    <w:rsid w:val="005D1D99"/>
    <w:rsid w:val="00641A7E"/>
    <w:rsid w:val="007852C1"/>
    <w:rsid w:val="007952E5"/>
    <w:rsid w:val="00800360"/>
    <w:rsid w:val="00B7093E"/>
    <w:rsid w:val="00C5258E"/>
    <w:rsid w:val="00C848B8"/>
    <w:rsid w:val="00DE2279"/>
    <w:rsid w:val="00DE2CED"/>
    <w:rsid w:val="00E039A1"/>
    <w:rsid w:val="00E17417"/>
    <w:rsid w:val="00E34C05"/>
    <w:rsid w:val="00FF6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279"/>
    <w:rPr>
      <w:color w:val="808080"/>
    </w:rPr>
  </w:style>
  <w:style w:type="paragraph" w:customStyle="1" w:styleId="B0D8E1F2C627443993B7CB12D74B2D3F">
    <w:name w:val="B0D8E1F2C627443993B7CB12D74B2D3F"/>
    <w:rsid w:val="00DE2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1F3547-0D1C-4A24-82FF-DE4FFCB9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4951</Words>
  <Characters>28226</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Fadumo Mumin</cp:lastModifiedBy>
  <cp:revision>8</cp:revision>
  <cp:lastPrinted>2014-02-10T17:12:00Z</cp:lastPrinted>
  <dcterms:created xsi:type="dcterms:W3CDTF">2020-11-26T19:58:00Z</dcterms:created>
  <dcterms:modified xsi:type="dcterms:W3CDTF">2020-11-30T15:17:00Z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