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1A506A2A" w:rsidR="000F43A8" w:rsidRPr="00136BFF" w:rsidRDefault="00901329" w:rsidP="000F43A8">
      <w:pPr>
        <w:jc w:val="center"/>
        <w:rPr>
          <w:b/>
          <w:bCs/>
          <w:caps/>
          <w:lang w:val="fr-FR"/>
        </w:rPr>
      </w:pPr>
      <w:r w:rsidRPr="00136BFF">
        <w:rPr>
          <w:b/>
          <w:bCs/>
          <w:caps/>
          <w:lang w:val="fr-FR"/>
        </w:rPr>
        <w:t>PAYS :</w:t>
      </w:r>
      <w:r w:rsidR="000F43A8" w:rsidRPr="00136BFF">
        <w:rPr>
          <w:bCs/>
          <w:iCs/>
          <w:snapToGrid w:val="0"/>
          <w:szCs w:val="28"/>
          <w:lang w:val="fr-FR"/>
        </w:rPr>
        <w:t xml:space="preserve"> </w:t>
      </w:r>
      <w:r w:rsidRPr="00C070E8">
        <w:rPr>
          <w:b/>
          <w:iCs/>
          <w:snapToGrid w:val="0"/>
          <w:szCs w:val="28"/>
          <w:lang w:val="fr-FR"/>
        </w:rPr>
        <w:t>GUINEE</w:t>
      </w:r>
    </w:p>
    <w:p w14:paraId="35B8BCCA" w14:textId="5ECB0CC2" w:rsidR="000F43A8" w:rsidRPr="001948EA" w:rsidRDefault="000F43A8" w:rsidP="000F43A8">
      <w:pPr>
        <w:jc w:val="center"/>
        <w:rPr>
          <w:b/>
          <w:bCs/>
          <w:caps/>
          <w:sz w:val="22"/>
          <w:szCs w:val="22"/>
          <w:lang w:val="fr-FR"/>
        </w:rPr>
      </w:pPr>
      <w:r w:rsidRPr="001948EA">
        <w:rPr>
          <w:b/>
          <w:bCs/>
          <w:caps/>
          <w:sz w:val="22"/>
          <w:szCs w:val="22"/>
          <w:lang w:val="fr-FR"/>
        </w:rPr>
        <w:t xml:space="preserve">TYPE DE </w:t>
      </w:r>
      <w:r w:rsidR="00901329" w:rsidRPr="001948EA">
        <w:rPr>
          <w:b/>
          <w:bCs/>
          <w:caps/>
          <w:sz w:val="22"/>
          <w:szCs w:val="22"/>
          <w:lang w:val="fr-FR"/>
        </w:rPr>
        <w:t>RAPPORT :</w:t>
      </w:r>
      <w:r w:rsidRPr="001948EA">
        <w:rPr>
          <w:b/>
          <w:bCs/>
          <w:caps/>
          <w:sz w:val="22"/>
          <w:szCs w:val="22"/>
          <w:lang w:val="fr-FR"/>
        </w:rPr>
        <w:t xml:space="preserve"> </w:t>
      </w:r>
      <w:r w:rsidRPr="00901329">
        <w:rPr>
          <w:b/>
          <w:bCs/>
          <w:caps/>
          <w:sz w:val="22"/>
          <w:szCs w:val="22"/>
          <w:u w:val="single"/>
          <w:lang w:val="fr-FR"/>
        </w:rPr>
        <w:t>SEMESTRIEL</w:t>
      </w:r>
      <w:r w:rsidRPr="001948EA">
        <w:rPr>
          <w:b/>
          <w:bCs/>
          <w:caps/>
          <w:sz w:val="22"/>
          <w:szCs w:val="22"/>
          <w:lang w:val="fr-FR"/>
        </w:rPr>
        <w:t xml:space="preserve">, </w:t>
      </w:r>
      <w:r w:rsidRPr="00901329">
        <w:rPr>
          <w:b/>
          <w:bCs/>
          <w:caps/>
          <w:sz w:val="22"/>
          <w:szCs w:val="22"/>
          <w:lang w:val="fr-FR"/>
        </w:rPr>
        <w:t>annuEl</w:t>
      </w:r>
      <w:r w:rsidRPr="00901329">
        <w:rPr>
          <w:b/>
          <w:bCs/>
          <w:caps/>
          <w:sz w:val="22"/>
          <w:szCs w:val="22"/>
          <w:u w:val="single"/>
          <w:lang w:val="fr-FR"/>
        </w:rPr>
        <w:t xml:space="preserve"> O</w:t>
      </w:r>
      <w:r w:rsidRPr="001948EA">
        <w:rPr>
          <w:b/>
          <w:bCs/>
          <w:caps/>
          <w:sz w:val="22"/>
          <w:szCs w:val="22"/>
          <w:lang w:val="fr-FR"/>
        </w:rPr>
        <w:t>U FINAL</w:t>
      </w:r>
      <w:r w:rsidR="001948EA" w:rsidRPr="001948EA">
        <w:rPr>
          <w:b/>
          <w:bCs/>
          <w:caps/>
          <w:sz w:val="22"/>
          <w:szCs w:val="22"/>
          <w:lang w:val="fr-FR"/>
        </w:rPr>
        <w:t> </w:t>
      </w:r>
    </w:p>
    <w:p w14:paraId="0B2F56D8" w14:textId="13B01C29" w:rsidR="000554F8" w:rsidRDefault="00500587" w:rsidP="000F43A8">
      <w:pPr>
        <w:jc w:val="center"/>
        <w:rPr>
          <w:bCs/>
          <w:iCs/>
          <w:snapToGrid w:val="0"/>
          <w:szCs w:val="28"/>
        </w:rPr>
      </w:pPr>
      <w:r>
        <w:rPr>
          <w:b/>
          <w:bCs/>
          <w:caps/>
        </w:rPr>
        <w:t>ANNEE</w:t>
      </w:r>
      <w:r w:rsidR="000F43A8">
        <w:rPr>
          <w:b/>
          <w:bCs/>
          <w:caps/>
        </w:rPr>
        <w:t xml:space="preserve"> DE RAPPORT: </w:t>
      </w:r>
      <w:r w:rsidR="00901329" w:rsidRPr="00901329">
        <w:rPr>
          <w:b/>
          <w:iCs/>
          <w:snapToGrid w:val="0"/>
          <w:szCs w:val="28"/>
        </w:rPr>
        <w:t>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901329" w14:paraId="26E9F2DE" w14:textId="77777777" w:rsidTr="00F23D0F">
        <w:trPr>
          <w:trHeight w:val="422"/>
        </w:trPr>
        <w:tc>
          <w:tcPr>
            <w:tcW w:w="10080" w:type="dxa"/>
            <w:gridSpan w:val="2"/>
          </w:tcPr>
          <w:p w14:paraId="11EF4F5F" w14:textId="5DE8DF4D"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r w:rsidR="00995A33"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sidR="00995A33" w:rsidRPr="00DF0ECE">
              <w:rPr>
                <w:rFonts w:ascii="Times New Roman" w:hAnsi="Times New Roman" w:cs="Times New Roman"/>
                <w:sz w:val="24"/>
                <w:szCs w:val="24"/>
                <w:lang w:val="fr-FR"/>
              </w:rPr>
              <w:t>Projet d'Appui à l'Amélioration de la Gouvernance des Services de Police</w:t>
            </w:r>
          </w:p>
          <w:p w14:paraId="24C4A490" w14:textId="27D9DA4F" w:rsidR="00793DE6" w:rsidRPr="00426FE9" w:rsidRDefault="000F43A8" w:rsidP="000F43A8">
            <w:pPr>
              <w:rPr>
                <w:b/>
                <w:lang w:val="en-US"/>
              </w:rPr>
            </w:pPr>
            <w:proofErr w:type="spellStart"/>
            <w:r w:rsidRPr="00901329">
              <w:rPr>
                <w:b/>
                <w:lang w:val="en-US"/>
              </w:rPr>
              <w:t>Numéro</w:t>
            </w:r>
            <w:proofErr w:type="spellEnd"/>
            <w:r w:rsidRPr="00901329">
              <w:rPr>
                <w:b/>
                <w:lang w:val="en-US"/>
              </w:rPr>
              <w:t xml:space="preserve"> </w:t>
            </w:r>
            <w:proofErr w:type="spellStart"/>
            <w:r w:rsidRPr="00901329">
              <w:rPr>
                <w:b/>
                <w:lang w:val="en-US"/>
              </w:rPr>
              <w:t>Projet</w:t>
            </w:r>
            <w:proofErr w:type="spellEnd"/>
            <w:r w:rsidRPr="00901329">
              <w:rPr>
                <w:b/>
                <w:lang w:val="en-US"/>
              </w:rPr>
              <w:t xml:space="preserve"> / MPTF Gateway</w:t>
            </w:r>
            <w:r w:rsidR="00793DE6" w:rsidRPr="00901329">
              <w:rPr>
                <w:b/>
                <w:lang w:val="en-US"/>
              </w:rPr>
              <w:t xml:space="preserve">: </w:t>
            </w:r>
            <w:r w:rsidR="00901329" w:rsidRPr="00901329">
              <w:rPr>
                <w:b/>
                <w:lang w:val="en-US"/>
              </w:rPr>
              <w:t>PBF-IRF-289 - 001135</w:t>
            </w:r>
            <w:r w:rsidR="00901329">
              <w:rPr>
                <w:b/>
                <w:lang w:val="en-US"/>
              </w:rPr>
              <w:t>87</w:t>
            </w:r>
            <w:r w:rsidR="00A43B9C" w:rsidRPr="00901329">
              <w:rPr>
                <w:b/>
                <w:lang w:val="en-US"/>
              </w:rPr>
              <w:t xml:space="preserve">  </w:t>
            </w:r>
          </w:p>
        </w:tc>
      </w:tr>
      <w:tr w:rsidR="00A43B9C" w:rsidRPr="00962071"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940ACD">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940ACD">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DCEEAEA"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995A33"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643B326D"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901329"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59908EC1" w14:textId="5F9CB35F" w:rsidR="00B91CE2" w:rsidRPr="00CF4321" w:rsidRDefault="00A43B9C" w:rsidP="00B91CE2">
            <w:pPr>
              <w:pStyle w:val="Textedebulles"/>
              <w:numPr>
                <w:ilvl w:val="12"/>
                <w:numId w:val="0"/>
              </w:numPr>
              <w:tabs>
                <w:tab w:val="left" w:pos="-720"/>
                <w:tab w:val="left" w:pos="4500"/>
              </w:tabs>
              <w:rPr>
                <w:rFonts w:ascii="Times New Roman" w:hAnsi="Times New Roman" w:cs="Times New Roman"/>
                <w:b/>
                <w:sz w:val="24"/>
                <w:szCs w:val="24"/>
                <w:lang w:val="fr-FR"/>
              </w:rPr>
            </w:pPr>
            <w:r w:rsidRPr="00B91CE2">
              <w:rPr>
                <w:rFonts w:ascii="Times New Roman" w:hAnsi="Times New Roman" w:cs="Times New Roman"/>
                <w:b/>
                <w:sz w:val="24"/>
                <w:szCs w:val="24"/>
                <w:lang w:val="fr-FR"/>
              </w:rPr>
              <w:t xml:space="preserve">   </w:t>
            </w:r>
            <w:r w:rsidR="00B91CE2">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00B91CE2" w:rsidRPr="001D7019">
              <w:rPr>
                <w:rFonts w:ascii="Times New Roman" w:hAnsi="Times New Roman" w:cs="Times New Roman"/>
                <w:b/>
                <w:sz w:val="24"/>
                <w:szCs w:val="24"/>
                <w:lang w:val="fr-FR"/>
              </w:rPr>
              <w:instrText xml:space="preserve"> FORMDROPDOWN </w:instrText>
            </w:r>
            <w:r w:rsidR="00940ACD">
              <w:rPr>
                <w:rFonts w:ascii="Times New Roman" w:hAnsi="Times New Roman" w:cs="Times New Roman"/>
                <w:b/>
                <w:sz w:val="24"/>
                <w:szCs w:val="24"/>
              </w:rPr>
            </w:r>
            <w:r w:rsidR="00940ACD">
              <w:rPr>
                <w:rFonts w:ascii="Times New Roman" w:hAnsi="Times New Roman" w:cs="Times New Roman"/>
                <w:b/>
                <w:sz w:val="24"/>
                <w:szCs w:val="24"/>
              </w:rPr>
              <w:fldChar w:fldCharType="separate"/>
            </w:r>
            <w:r w:rsidR="00B91CE2">
              <w:rPr>
                <w:rFonts w:ascii="Times New Roman" w:hAnsi="Times New Roman" w:cs="Times New Roman"/>
                <w:b/>
                <w:sz w:val="24"/>
                <w:szCs w:val="24"/>
              </w:rPr>
              <w:fldChar w:fldCharType="end"/>
            </w:r>
            <w:r w:rsidR="00B91CE2" w:rsidRPr="00CF4321">
              <w:rPr>
                <w:rFonts w:ascii="Times New Roman" w:hAnsi="Times New Roman" w:cs="Times New Roman"/>
                <w:b/>
                <w:sz w:val="24"/>
                <w:szCs w:val="24"/>
                <w:lang w:val="fr-FR"/>
              </w:rPr>
              <w:t xml:space="preserve">     PNUD (Agence coordinatrice)</w:t>
            </w:r>
          </w:p>
          <w:p w14:paraId="19C1664C" w14:textId="77777777" w:rsidR="00B91CE2" w:rsidRPr="00CF4321" w:rsidRDefault="00B91CE2" w:rsidP="00B91CE2">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1D7019">
              <w:rPr>
                <w:rFonts w:ascii="Times New Roman" w:hAnsi="Times New Roman" w:cs="Times New Roman"/>
                <w:b/>
                <w:sz w:val="24"/>
                <w:szCs w:val="24"/>
                <w:lang w:val="fr-FR"/>
              </w:rPr>
              <w:instrText xml:space="preserve"> FORMDROPDOWN </w:instrText>
            </w:r>
            <w:r w:rsidR="00940ACD">
              <w:rPr>
                <w:rFonts w:ascii="Times New Roman" w:hAnsi="Times New Roman" w:cs="Times New Roman"/>
                <w:b/>
                <w:sz w:val="24"/>
                <w:szCs w:val="24"/>
              </w:rPr>
            </w:r>
            <w:r w:rsidR="00940AC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CF4321">
              <w:rPr>
                <w:rFonts w:ascii="Times New Roman" w:hAnsi="Times New Roman" w:cs="Times New Roman"/>
                <w:b/>
                <w:sz w:val="24"/>
                <w:szCs w:val="24"/>
                <w:lang w:val="fr-FR"/>
              </w:rPr>
              <w:t xml:space="preserve">     ONU-HABITAT</w:t>
            </w:r>
            <w:r w:rsidRPr="001C4E7F">
              <w:rPr>
                <w:rFonts w:ascii="Times New Roman" w:hAnsi="Times New Roman" w:cs="Times New Roman"/>
                <w:sz w:val="24"/>
                <w:szCs w:val="24"/>
                <w:lang w:val="fr-FR"/>
              </w:rPr>
              <w:t>,</w:t>
            </w:r>
          </w:p>
          <w:p w14:paraId="0673E8AA" w14:textId="2A2D270F" w:rsidR="00A43B9C" w:rsidRPr="00426FE9" w:rsidRDefault="00A43B9C"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B91CE2">
              <w:rPr>
                <w:rFonts w:ascii="Times New Roman" w:hAnsi="Times New Roman" w:cs="Times New Roman"/>
                <w:b/>
                <w:sz w:val="24"/>
                <w:szCs w:val="24"/>
                <w:lang w:val="fr-FR"/>
              </w:rPr>
              <w:t xml:space="preserve">  </w:t>
            </w:r>
          </w:p>
        </w:tc>
      </w:tr>
      <w:tr w:rsidR="00793DE6" w:rsidRPr="00901329" w14:paraId="72CE853D" w14:textId="77777777" w:rsidTr="00F23D0F">
        <w:trPr>
          <w:trHeight w:val="368"/>
        </w:trPr>
        <w:tc>
          <w:tcPr>
            <w:tcW w:w="10080" w:type="dxa"/>
            <w:gridSpan w:val="2"/>
          </w:tcPr>
          <w:p w14:paraId="5C2804C5" w14:textId="5D2AD47A" w:rsidR="00793DE6" w:rsidRPr="00995A33" w:rsidRDefault="000F43A8" w:rsidP="00F23D0F">
            <w:pPr>
              <w:rPr>
                <w:b/>
                <w:bCs/>
                <w:iCs/>
                <w:lang w:val="fr-FR"/>
              </w:rPr>
            </w:pPr>
            <w:r w:rsidRPr="000F43A8">
              <w:rPr>
                <w:b/>
                <w:bCs/>
                <w:iCs/>
                <w:lang w:val="fr-FR"/>
              </w:rPr>
              <w:t xml:space="preserve">Date du premier transfert de </w:t>
            </w:r>
            <w:r w:rsidR="00995A33" w:rsidRPr="000F43A8">
              <w:rPr>
                <w:b/>
                <w:bCs/>
                <w:iCs/>
                <w:lang w:val="fr-FR"/>
              </w:rPr>
              <w:t>fonds :</w:t>
            </w:r>
            <w:r w:rsidR="00793DE6" w:rsidRPr="000F43A8">
              <w:rPr>
                <w:b/>
                <w:bCs/>
                <w:iCs/>
                <w:lang w:val="fr-FR"/>
              </w:rPr>
              <w:t xml:space="preserve"> </w:t>
            </w:r>
            <w:r w:rsidR="00995A33" w:rsidRPr="00995A33">
              <w:rPr>
                <w:bCs/>
                <w:iCs/>
                <w:snapToGrid w:val="0"/>
                <w:lang w:val="fr-FR"/>
              </w:rPr>
              <w:t>20 décembre 2018</w:t>
            </w:r>
          </w:p>
          <w:p w14:paraId="064BF427" w14:textId="560C898E" w:rsidR="004D141E" w:rsidRPr="000F43A8" w:rsidRDefault="000F43A8" w:rsidP="00F23D0F">
            <w:pPr>
              <w:rPr>
                <w:bCs/>
                <w:iCs/>
                <w:snapToGrid w:val="0"/>
                <w:lang w:val="fr-FR"/>
              </w:rPr>
            </w:pPr>
            <w:r w:rsidRPr="000F43A8">
              <w:rPr>
                <w:b/>
                <w:bCs/>
                <w:iCs/>
                <w:lang w:val="fr-FR"/>
              </w:rPr>
              <w:t xml:space="preserve">Date de fin de </w:t>
            </w:r>
            <w:r w:rsidR="00995A33" w:rsidRPr="000F43A8">
              <w:rPr>
                <w:b/>
                <w:bCs/>
                <w:iCs/>
                <w:lang w:val="fr-FR"/>
              </w:rPr>
              <w:t>projet :</w:t>
            </w:r>
            <w:r w:rsidR="00793DE6" w:rsidRPr="000F43A8">
              <w:rPr>
                <w:b/>
                <w:bCs/>
                <w:iCs/>
                <w:lang w:val="fr-FR"/>
              </w:rPr>
              <w:t xml:space="preserve"> </w:t>
            </w:r>
            <w:r w:rsidR="00995A33" w:rsidRPr="00995A33">
              <w:rPr>
                <w:bCs/>
                <w:iCs/>
                <w:snapToGrid w:val="0"/>
                <w:lang w:val="fr-FR"/>
              </w:rPr>
              <w:t xml:space="preserve">31 Octobre 2020     </w:t>
            </w:r>
            <w:r w:rsidR="0025220B" w:rsidRPr="000F43A8">
              <w:rPr>
                <w:bCs/>
                <w:iCs/>
                <w:snapToGrid w:val="0"/>
                <w:lang w:val="fr-FR"/>
              </w:rPr>
              <w:t xml:space="preserve">     </w:t>
            </w:r>
          </w:p>
          <w:p w14:paraId="2AE235F0" w14:textId="5F8D644A" w:rsidR="00793DE6" w:rsidRPr="002F2F7A" w:rsidRDefault="000F43A8" w:rsidP="000F43A8">
            <w:pPr>
              <w:rPr>
                <w:bCs/>
                <w:iCs/>
                <w:snapToGrid w:val="0"/>
                <w:lang w:val="fr-FR"/>
              </w:rPr>
            </w:pPr>
            <w:r w:rsidRPr="000F43A8">
              <w:rPr>
                <w:b/>
                <w:iCs/>
                <w:snapToGrid w:val="0"/>
                <w:lang w:val="fr-FR"/>
              </w:rPr>
              <w:t xml:space="preserve">Le projet est-il dans ces six derniers mois de mise en </w:t>
            </w:r>
            <w:r w:rsidR="00995A33" w:rsidRPr="000F43A8">
              <w:rPr>
                <w:b/>
                <w:iCs/>
                <w:snapToGrid w:val="0"/>
                <w:lang w:val="fr-FR"/>
              </w:rPr>
              <w:t>œuvre ?</w:t>
            </w:r>
            <w:r w:rsidR="0025220B" w:rsidRPr="000F43A8">
              <w:rPr>
                <w:bCs/>
                <w:iCs/>
                <w:snapToGrid w:val="0"/>
                <w:lang w:val="fr-FR"/>
              </w:rPr>
              <w:t xml:space="preserve"> </w:t>
            </w:r>
            <w:r w:rsidR="00995A33" w:rsidRPr="002F2F7A">
              <w:rPr>
                <w:bCs/>
                <w:iCs/>
                <w:snapToGrid w:val="0"/>
                <w:lang w:val="fr-FR"/>
              </w:rPr>
              <w:t>OUI</w:t>
            </w:r>
            <w:r w:rsidR="00995A33" w:rsidRPr="002F2F7A">
              <w:rPr>
                <w:bCs/>
                <w:iCs/>
                <w:snapToGrid w:val="0"/>
              </w:rPr>
              <w:t xml:space="preserve"> </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1FC53A23"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995A33">
              <w:rPr>
                <w:b/>
                <w:bCs/>
                <w:iCs/>
                <w:lang w:val="fr-FR"/>
              </w:rPr>
              <w:t>PBF</w:t>
            </w:r>
            <w:r w:rsidR="00995A33" w:rsidRPr="005D721B">
              <w:rPr>
                <w:b/>
                <w:bCs/>
                <w:iCs/>
                <w:lang w:val="fr-FR"/>
              </w:rPr>
              <w:t xml:space="preserve"> :</w:t>
            </w:r>
          </w:p>
          <w:p w14:paraId="100F4267" w14:textId="7E0326F7" w:rsidR="000F43A8" w:rsidRPr="005D721B" w:rsidRDefault="00D64F36"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940ACD">
              <w:rPr>
                <w:lang w:val="fr-FR"/>
              </w:rPr>
            </w:r>
            <w:r w:rsidR="00940ACD">
              <w:rPr>
                <w:lang w:val="fr-FR"/>
              </w:rPr>
              <w:fldChar w:fldCharType="separate"/>
            </w:r>
            <w:r>
              <w:rPr>
                <w:lang w:val="fr-FR"/>
              </w:rPr>
              <w:fldChar w:fldCharType="end"/>
            </w:r>
            <w:r w:rsidR="000F43A8" w:rsidRPr="005D721B">
              <w:rPr>
                <w:lang w:val="fr-FR"/>
              </w:rPr>
              <w:t xml:space="preserve"> Initiative de promotion du genre</w:t>
            </w:r>
          </w:p>
          <w:p w14:paraId="347330FA" w14:textId="294B2A92" w:rsidR="000F43A8" w:rsidRPr="005D721B" w:rsidRDefault="00D64F36"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940ACD">
              <w:rPr>
                <w:lang w:val="fr-FR"/>
              </w:rPr>
            </w:r>
            <w:r w:rsidR="00940ACD">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40ACD">
              <w:rPr>
                <w:lang w:val="fr-FR"/>
              </w:rPr>
            </w:r>
            <w:r w:rsidR="00940ACD">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40ACD">
              <w:rPr>
                <w:lang w:val="fr-FR"/>
              </w:rPr>
            </w:r>
            <w:r w:rsidR="00940ACD">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962071" w14:paraId="65120CDF" w14:textId="77777777" w:rsidTr="00F23D0F">
        <w:trPr>
          <w:trHeight w:val="1124"/>
        </w:trPr>
        <w:tc>
          <w:tcPr>
            <w:tcW w:w="10080" w:type="dxa"/>
            <w:gridSpan w:val="2"/>
          </w:tcPr>
          <w:p w14:paraId="08D9EBF0" w14:textId="7A6B4D28"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995A33" w:rsidRPr="000F43A8">
              <w:rPr>
                <w:b/>
                <w:bCs/>
                <w:iCs/>
                <w:lang w:val="fr-FR"/>
              </w:rPr>
              <w:t>) :</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0"/>
          <w:p w14:paraId="61353E95" w14:textId="017BF50A" w:rsidR="00793DE6" w:rsidRPr="007C7B57" w:rsidRDefault="00995A33" w:rsidP="00F23D0F">
            <w:pPr>
              <w:rPr>
                <w:iCs/>
                <w:lang w:val="fr-FR"/>
              </w:rPr>
            </w:pPr>
            <w:r w:rsidRPr="00995A33">
              <w:rPr>
                <w:bCs/>
                <w:iCs/>
                <w:snapToGrid w:val="0"/>
                <w:lang w:val="fr-FR"/>
              </w:rPr>
              <w:t>PNUD</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Pr>
                <w:iCs/>
                <w:lang w:val="fr-FR"/>
              </w:rPr>
              <w:t>1 200 000</w:t>
            </w:r>
          </w:p>
          <w:p w14:paraId="52AEBA43" w14:textId="1AE185D4" w:rsidR="00995A33" w:rsidRPr="007C7B57" w:rsidRDefault="00C12D6A" w:rsidP="00995A33">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p>
          <w:p w14:paraId="0900B169" w14:textId="0B743DB4"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7AA2D079" w14:textId="204A09D8"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8D39BE">
              <w:rPr>
                <w:rFonts w:ascii="Times New Roman" w:hAnsi="Times New Roman" w:cs="Times New Roman"/>
                <w:sz w:val="24"/>
                <w:szCs w:val="24"/>
                <w:lang w:val="fr-FR"/>
              </w:rPr>
              <w:t xml:space="preserve">        </w:t>
            </w:r>
            <w:r w:rsidR="00995A33" w:rsidRPr="007C7B57">
              <w:rPr>
                <w:rFonts w:ascii="Times New Roman" w:hAnsi="Times New Roman" w:cs="Times New Roman"/>
                <w:sz w:val="24"/>
                <w:szCs w:val="24"/>
                <w:lang w:val="fr-FR"/>
              </w:rPr>
              <w:t>Total :</w:t>
            </w:r>
            <w:r w:rsidRPr="007C7B57">
              <w:rPr>
                <w:rFonts w:ascii="Times New Roman" w:hAnsi="Times New Roman" w:cs="Times New Roman"/>
                <w:sz w:val="24"/>
                <w:szCs w:val="24"/>
                <w:lang w:val="fr-FR"/>
              </w:rPr>
              <w:t xml:space="preserve"> $ </w:t>
            </w:r>
            <w:r w:rsidR="00995A33" w:rsidRPr="00995A33">
              <w:rPr>
                <w:rFonts w:ascii="Times New Roman" w:hAnsi="Times New Roman" w:cs="Times New Roman"/>
                <w:bCs/>
                <w:iCs/>
                <w:snapToGrid w:val="0"/>
                <w:sz w:val="24"/>
                <w:szCs w:val="24"/>
                <w:lang w:val="fr-FR"/>
              </w:rPr>
              <w:t>1</w:t>
            </w:r>
            <w:r w:rsidR="00995A33">
              <w:rPr>
                <w:rFonts w:ascii="Times New Roman" w:hAnsi="Times New Roman" w:cs="Times New Roman"/>
                <w:bCs/>
                <w:iCs/>
                <w:snapToGrid w:val="0"/>
                <w:sz w:val="24"/>
                <w:szCs w:val="24"/>
                <w:lang w:val="fr-FR"/>
              </w:rPr>
              <w:t> 200 000</w:t>
            </w:r>
            <w:r w:rsidR="00C12D6A" w:rsidRPr="007C7B57">
              <w:rPr>
                <w:rFonts w:ascii="Times New Roman" w:hAnsi="Times New Roman" w:cs="Times New Roman"/>
                <w:bCs/>
                <w:iCs/>
                <w:snapToGrid w:val="0"/>
                <w:sz w:val="24"/>
                <w:szCs w:val="24"/>
                <w:lang w:val="fr-FR"/>
              </w:rPr>
              <w:t xml:space="preserve"> </w:t>
            </w:r>
          </w:p>
          <w:p w14:paraId="5324AF29" w14:textId="7093F07C"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5305D1">
              <w:rPr>
                <w:rFonts w:ascii="Times New Roman" w:hAnsi="Times New Roman" w:cs="Times New Roman"/>
                <w:bCs/>
                <w:iCs/>
                <w:snapToGrid w:val="0"/>
                <w:sz w:val="24"/>
                <w:szCs w:val="24"/>
                <w:lang w:val="fr-FR"/>
              </w:rPr>
              <w:t>projet</w:t>
            </w:r>
            <w:r w:rsidR="005305D1"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7A4D45">
              <w:rPr>
                <w:rFonts w:ascii="Times New Roman" w:hAnsi="Times New Roman" w:cs="Times New Roman"/>
                <w:bCs/>
                <w:iCs/>
                <w:snapToGrid w:val="0"/>
                <w:sz w:val="24"/>
                <w:szCs w:val="24"/>
              </w:rPr>
              <w:fldChar w:fldCharType="begin">
                <w:ffData>
                  <w:name w:val="Text51"/>
                  <w:enabled/>
                  <w:calcOnExit w:val="0"/>
                  <w:textInput>
                    <w:type w:val="number"/>
                    <w:default w:val="98%"/>
                    <w:format w:val="0%"/>
                  </w:textInput>
                </w:ffData>
              </w:fldChar>
            </w:r>
            <w:bookmarkStart w:id="1" w:name="Text51"/>
            <w:r w:rsidR="007A4D45" w:rsidRPr="007A4D45">
              <w:rPr>
                <w:rFonts w:ascii="Times New Roman" w:hAnsi="Times New Roman" w:cs="Times New Roman"/>
                <w:bCs/>
                <w:iCs/>
                <w:snapToGrid w:val="0"/>
                <w:sz w:val="24"/>
                <w:szCs w:val="24"/>
                <w:lang w:val="fr-FR"/>
              </w:rPr>
              <w:instrText xml:space="preserve"> FORMTEXT </w:instrText>
            </w:r>
            <w:r w:rsidR="007A4D45">
              <w:rPr>
                <w:rFonts w:ascii="Times New Roman" w:hAnsi="Times New Roman" w:cs="Times New Roman"/>
                <w:bCs/>
                <w:iCs/>
                <w:snapToGrid w:val="0"/>
                <w:sz w:val="24"/>
                <w:szCs w:val="24"/>
              </w:rPr>
            </w:r>
            <w:r w:rsidR="007A4D45">
              <w:rPr>
                <w:rFonts w:ascii="Times New Roman" w:hAnsi="Times New Roman" w:cs="Times New Roman"/>
                <w:bCs/>
                <w:iCs/>
                <w:snapToGrid w:val="0"/>
                <w:sz w:val="24"/>
                <w:szCs w:val="24"/>
              </w:rPr>
              <w:fldChar w:fldCharType="separate"/>
            </w:r>
            <w:r w:rsidR="007A4D45" w:rsidRPr="007A4D45">
              <w:rPr>
                <w:rFonts w:ascii="Times New Roman" w:hAnsi="Times New Roman" w:cs="Times New Roman"/>
                <w:bCs/>
                <w:iCs/>
                <w:noProof/>
                <w:snapToGrid w:val="0"/>
                <w:sz w:val="24"/>
                <w:szCs w:val="24"/>
                <w:lang w:val="fr-FR"/>
              </w:rPr>
              <w:t>98%</w:t>
            </w:r>
            <w:r w:rsidR="007A4D45">
              <w:rPr>
                <w:rFonts w:ascii="Times New Roman" w:hAnsi="Times New Roman" w:cs="Times New Roman"/>
                <w:bCs/>
                <w:iCs/>
                <w:snapToGrid w:val="0"/>
                <w:sz w:val="24"/>
                <w:szCs w:val="24"/>
              </w:rPr>
              <w:fldChar w:fldCharType="end"/>
            </w:r>
            <w:bookmarkEnd w:id="1"/>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5359BC3F" w:rsidR="00006EC0" w:rsidRPr="000F43A8" w:rsidRDefault="005305D1"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r w:rsidRPr="000F43A8">
              <w:rPr>
                <w:rFonts w:ascii="Times New Roman" w:hAnsi="Times New Roman" w:cs="Times New Roman"/>
                <w:b/>
                <w:bCs/>
                <w:sz w:val="24"/>
                <w:szCs w:val="24"/>
                <w:lang w:val="fr-FR"/>
              </w:rPr>
              <w:t>genre :</w:t>
            </w:r>
          </w:p>
          <w:p w14:paraId="70C2EA9C" w14:textId="6E0C1CEB" w:rsidR="00970F4C" w:rsidRPr="005305D1"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r w:rsidR="005305D1">
              <w:rPr>
                <w:lang w:val="fr-FR"/>
              </w:rPr>
              <w:t>femmes</w:t>
            </w:r>
            <w:r w:rsidR="005305D1" w:rsidRPr="000F43A8">
              <w:rPr>
                <w:lang w:val="fr-FR"/>
              </w:rPr>
              <w:t xml:space="preserve"> :</w:t>
            </w:r>
            <w:r w:rsidR="00970F4C" w:rsidRPr="000F43A8">
              <w:rPr>
                <w:lang w:val="fr-FR"/>
              </w:rPr>
              <w:t xml:space="preserve"> </w:t>
            </w:r>
            <w:r w:rsidR="005305D1" w:rsidRPr="005305D1">
              <w:rPr>
                <w:lang w:val="fr-FR"/>
              </w:rPr>
              <w:t>175</w:t>
            </w:r>
            <w:r w:rsidR="00D451E5">
              <w:rPr>
                <w:lang w:val="fr-FR"/>
              </w:rPr>
              <w:t> </w:t>
            </w:r>
            <w:r w:rsidR="005305D1" w:rsidRPr="005305D1">
              <w:rPr>
                <w:lang w:val="fr-FR"/>
              </w:rPr>
              <w:t>000</w:t>
            </w:r>
            <w:r w:rsidR="00D451E5">
              <w:rPr>
                <w:lang w:val="fr-FR"/>
              </w:rPr>
              <w:t xml:space="preserve"> USD</w:t>
            </w:r>
          </w:p>
          <w:p w14:paraId="00AF6414" w14:textId="34ED1293" w:rsidR="00006EC0" w:rsidRPr="005305D1"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r w:rsidR="005305D1">
              <w:rPr>
                <w:lang w:val="fr-FR"/>
              </w:rPr>
              <w:t>femmes</w:t>
            </w:r>
            <w:r w:rsidR="005305D1" w:rsidRPr="000F43A8">
              <w:rPr>
                <w:lang w:val="fr-FR"/>
              </w:rPr>
              <w:t xml:space="preserve"> :</w:t>
            </w:r>
            <w:r w:rsidR="00006EC0" w:rsidRPr="000F43A8">
              <w:rPr>
                <w:lang w:val="fr-FR"/>
              </w:rPr>
              <w:t xml:space="preserve"> </w:t>
            </w:r>
            <w:r w:rsidR="005305D1" w:rsidRPr="005305D1">
              <w:rPr>
                <w:lang w:val="fr-FR"/>
              </w:rPr>
              <w:t>175</w:t>
            </w:r>
            <w:r w:rsidR="00D451E5">
              <w:rPr>
                <w:lang w:val="fr-FR"/>
              </w:rPr>
              <w:t> </w:t>
            </w:r>
            <w:r w:rsidR="005305D1" w:rsidRPr="005305D1">
              <w:rPr>
                <w:lang w:val="fr-FR"/>
              </w:rPr>
              <w:t>000</w:t>
            </w:r>
            <w:r w:rsidR="00D451E5">
              <w:rPr>
                <w:lang w:val="fr-FR"/>
              </w:rPr>
              <w:t xml:space="preserve"> USD</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962071" w14:paraId="0DF7F010" w14:textId="77777777" w:rsidTr="00F23D0F">
        <w:trPr>
          <w:trHeight w:val="1124"/>
        </w:trPr>
        <w:tc>
          <w:tcPr>
            <w:tcW w:w="10080" w:type="dxa"/>
            <w:gridSpan w:val="2"/>
          </w:tcPr>
          <w:p w14:paraId="0084A294" w14:textId="4802DE0E" w:rsidR="009B18EB" w:rsidRPr="000F43A8" w:rsidRDefault="000F43A8" w:rsidP="00F23D0F">
            <w:pPr>
              <w:rPr>
                <w:b/>
                <w:bCs/>
                <w:iCs/>
                <w:lang w:val="fr-FR"/>
              </w:rPr>
            </w:pPr>
            <w:r w:rsidRPr="000F43A8">
              <w:rPr>
                <w:b/>
                <w:bCs/>
                <w:iCs/>
                <w:lang w:val="fr-FR"/>
              </w:rPr>
              <w:t xml:space="preserve">Marquer de genre du </w:t>
            </w:r>
            <w:r w:rsidR="005305D1" w:rsidRPr="000F43A8">
              <w:rPr>
                <w:b/>
                <w:bCs/>
                <w:iCs/>
                <w:lang w:val="fr-FR"/>
              </w:rPr>
              <w:t>projet :</w:t>
            </w:r>
            <w:r w:rsidR="009B18EB" w:rsidRPr="000F43A8">
              <w:rPr>
                <w:b/>
                <w:bCs/>
                <w:iCs/>
                <w:lang w:val="fr-FR"/>
              </w:rPr>
              <w:t xml:space="preserve"> </w:t>
            </w:r>
            <w:r w:rsidR="005305D1" w:rsidRPr="002F2F7A">
              <w:rPr>
                <w:iCs/>
                <w:lang w:val="fr-FR"/>
              </w:rPr>
              <w:t>2</w:t>
            </w:r>
          </w:p>
          <w:p w14:paraId="7B5DB9E4" w14:textId="08074710" w:rsidR="009B18EB" w:rsidRPr="002F2F7A" w:rsidRDefault="000F43A8" w:rsidP="00F23D0F">
            <w:pPr>
              <w:rPr>
                <w:iCs/>
                <w:lang w:val="fr-FR"/>
              </w:rPr>
            </w:pPr>
            <w:r w:rsidRPr="000F43A8">
              <w:rPr>
                <w:b/>
                <w:bCs/>
                <w:iCs/>
                <w:lang w:val="fr-FR"/>
              </w:rPr>
              <w:t xml:space="preserve">Marquer de risque du </w:t>
            </w:r>
            <w:r w:rsidR="005305D1" w:rsidRPr="000F43A8">
              <w:rPr>
                <w:b/>
                <w:bCs/>
                <w:iCs/>
                <w:lang w:val="fr-FR"/>
              </w:rPr>
              <w:t>projet :</w:t>
            </w:r>
            <w:r w:rsidR="009B18EB" w:rsidRPr="000F43A8">
              <w:rPr>
                <w:b/>
                <w:bCs/>
                <w:iCs/>
                <w:lang w:val="fr-FR"/>
              </w:rPr>
              <w:t xml:space="preserve"> </w:t>
            </w:r>
            <w:r w:rsidR="005305D1" w:rsidRPr="002F2F7A">
              <w:rPr>
                <w:iCs/>
                <w:lang w:val="fr-FR"/>
              </w:rPr>
              <w:t>1</w:t>
            </w:r>
          </w:p>
          <w:p w14:paraId="55B14D86" w14:textId="272E561E"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5305D1">
              <w:rPr>
                <w:b/>
                <w:bCs/>
                <w:iCs/>
                <w:lang w:val="fr-FR"/>
              </w:rPr>
              <w:t>)</w:t>
            </w:r>
            <w:r w:rsidR="005305D1" w:rsidRPr="000F43A8">
              <w:rPr>
                <w:b/>
                <w:bCs/>
                <w:iCs/>
                <w:lang w:val="fr-FR"/>
              </w:rPr>
              <w:t xml:space="preserve"> :</w:t>
            </w:r>
            <w:r w:rsidR="009B18EB" w:rsidRPr="000F43A8">
              <w:rPr>
                <w:b/>
                <w:bCs/>
                <w:iCs/>
                <w:lang w:val="fr-FR"/>
              </w:rPr>
              <w:t xml:space="preserve"> </w:t>
            </w:r>
            <w:r w:rsidR="005305D1" w:rsidRPr="002F2F7A">
              <w:rPr>
                <w:iCs/>
                <w:lang w:val="fr-FR"/>
              </w:rPr>
              <w:t>1.1) Réforme du Secteur de la Sécurité.</w:t>
            </w:r>
          </w:p>
        </w:tc>
      </w:tr>
      <w:tr w:rsidR="00793DE6" w:rsidRPr="00962071" w14:paraId="27192C5C" w14:textId="77777777" w:rsidTr="00F23D0F">
        <w:trPr>
          <w:trHeight w:val="1124"/>
        </w:trPr>
        <w:tc>
          <w:tcPr>
            <w:tcW w:w="10080" w:type="dxa"/>
            <w:gridSpan w:val="2"/>
          </w:tcPr>
          <w:p w14:paraId="7BC15C3E" w14:textId="1CD33756" w:rsidR="000F43A8" w:rsidRPr="00136BFF" w:rsidRDefault="000F43A8" w:rsidP="000F43A8">
            <w:pPr>
              <w:rPr>
                <w:b/>
                <w:bCs/>
                <w:sz w:val="22"/>
                <w:lang w:val="fr-FR"/>
              </w:rPr>
            </w:pPr>
            <w:r w:rsidRPr="00136BFF">
              <w:rPr>
                <w:b/>
                <w:bCs/>
                <w:sz w:val="22"/>
                <w:lang w:val="fr-FR"/>
              </w:rPr>
              <w:t xml:space="preserve">Préparation du </w:t>
            </w:r>
            <w:r w:rsidR="005305D1" w:rsidRPr="00136BFF">
              <w:rPr>
                <w:b/>
                <w:bCs/>
                <w:sz w:val="22"/>
                <w:lang w:val="fr-FR"/>
              </w:rPr>
              <w:t>rapport :</w:t>
            </w:r>
          </w:p>
          <w:p w14:paraId="43FCACD6" w14:textId="7B576AE9" w:rsidR="000F43A8" w:rsidRPr="00826923" w:rsidRDefault="000F43A8" w:rsidP="000F43A8">
            <w:pPr>
              <w:rPr>
                <w:lang w:val="fr-FR"/>
              </w:rPr>
            </w:pPr>
            <w:r w:rsidRPr="00826923">
              <w:rPr>
                <w:lang w:val="fr-FR"/>
              </w:rPr>
              <w:t xml:space="preserve">Rapport préparé </w:t>
            </w:r>
            <w:r w:rsidR="005305D1" w:rsidRPr="00826923">
              <w:rPr>
                <w:lang w:val="fr-FR"/>
              </w:rPr>
              <w:t>par :</w:t>
            </w:r>
            <w:r w:rsidRPr="00826923">
              <w:rPr>
                <w:lang w:val="fr-FR"/>
              </w:rPr>
              <w:t xml:space="preserve"> </w:t>
            </w:r>
            <w:r w:rsidR="005305D1">
              <w:rPr>
                <w:lang w:val="fr-FR"/>
              </w:rPr>
              <w:t>Konsa CAMARA</w:t>
            </w:r>
          </w:p>
          <w:p w14:paraId="4F7F6063" w14:textId="1331EEB2" w:rsidR="000F43A8" w:rsidRPr="00826923" w:rsidRDefault="000F43A8" w:rsidP="000F43A8">
            <w:pPr>
              <w:rPr>
                <w:lang w:val="fr-FR"/>
              </w:rPr>
            </w:pPr>
            <w:r w:rsidRPr="00826923">
              <w:rPr>
                <w:lang w:val="fr-FR"/>
              </w:rPr>
              <w:t xml:space="preserve">Rapport approuvé </w:t>
            </w:r>
            <w:r w:rsidR="005305D1" w:rsidRPr="00826923">
              <w:rPr>
                <w:lang w:val="fr-FR"/>
              </w:rPr>
              <w:t>par :</w:t>
            </w:r>
            <w:r w:rsidRPr="00826923">
              <w:rPr>
                <w:lang w:val="fr-FR"/>
              </w:rPr>
              <w:t xml:space="preserve"> </w:t>
            </w:r>
            <w:r w:rsidR="002E2811" w:rsidRPr="002E2811">
              <w:rPr>
                <w:lang w:val="fr-FR"/>
              </w:rPr>
              <w:t>Abdoul Latif HAIDARA</w:t>
            </w:r>
          </w:p>
          <w:p w14:paraId="64A19D37" w14:textId="7DD642CD" w:rsidR="000F43A8" w:rsidRPr="000F43A8" w:rsidRDefault="000F43A8" w:rsidP="000F43A8">
            <w:pPr>
              <w:rPr>
                <w:lang w:val="fr-FR"/>
              </w:rPr>
            </w:pPr>
            <w:r w:rsidRPr="00826923">
              <w:rPr>
                <w:lang w:val="fr-FR"/>
              </w:rPr>
              <w:t xml:space="preserve">Le Secrétariat PBF a-t-il revu le </w:t>
            </w:r>
            <w:r w:rsidR="005305D1" w:rsidRPr="00826923">
              <w:rPr>
                <w:lang w:val="fr-FR"/>
              </w:rPr>
              <w:t>rapport</w:t>
            </w:r>
            <w:r w:rsidR="005305D1" w:rsidRPr="00136BFF">
              <w:rPr>
                <w:sz w:val="22"/>
                <w:lang w:val="fr-FR"/>
              </w:rPr>
              <w:t xml:space="preserve"> :</w:t>
            </w:r>
            <w:r w:rsidRPr="00136BFF">
              <w:rPr>
                <w:sz w:val="22"/>
                <w:lang w:val="fr-FR"/>
              </w:rPr>
              <w:t xml:space="preserve"> </w:t>
            </w:r>
            <w:r w:rsidR="002E2811" w:rsidRPr="002F2F7A">
              <w:rPr>
                <w:sz w:val="22"/>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60DDCC94" w:rsidR="00F778A1" w:rsidRPr="00F778A1" w:rsidRDefault="00F778A1" w:rsidP="00F778A1">
      <w:pPr>
        <w:ind w:hanging="810"/>
        <w:jc w:val="both"/>
        <w:rPr>
          <w:b/>
          <w:i/>
          <w:iCs/>
          <w:lang w:val="fr-FR"/>
        </w:rPr>
      </w:pPr>
      <w:r w:rsidRPr="00F778A1">
        <w:rPr>
          <w:b/>
          <w:i/>
          <w:iCs/>
          <w:lang w:val="fr-FR"/>
        </w:rPr>
        <w:lastRenderedPageBreak/>
        <w:t xml:space="preserve">NOTES POUR REMPLIR LE </w:t>
      </w:r>
      <w:r w:rsidR="00BC2B79" w:rsidRPr="00F778A1">
        <w:rPr>
          <w:b/>
          <w:i/>
          <w:iCs/>
          <w:lang w:val="fr-FR"/>
        </w:rPr>
        <w:t>RAPPORT :</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44399B96" w:rsidR="00F778A1" w:rsidRPr="002E2811" w:rsidRDefault="00F778A1" w:rsidP="00F778A1">
      <w:pPr>
        <w:ind w:left="-810"/>
        <w:rPr>
          <w:i/>
          <w:iCs/>
          <w:lang w:val="fr-FR"/>
        </w:rPr>
      </w:pPr>
      <w:r w:rsidRPr="002E2811">
        <w:rPr>
          <w:i/>
          <w:i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2F2F7A" w:rsidRPr="002E2811">
        <w:rPr>
          <w:i/>
          <w:iCs/>
          <w:lang w:val="fr-FR"/>
        </w:rPr>
        <w:t>) :</w:t>
      </w:r>
      <w:r w:rsidRPr="002E2811">
        <w:rPr>
          <w:i/>
          <w:iCs/>
          <w:lang w:val="fr-FR"/>
        </w:rPr>
        <w:t xml:space="preserve"> </w:t>
      </w:r>
    </w:p>
    <w:p w14:paraId="5C95FBA2" w14:textId="335D3550" w:rsidR="002E2811" w:rsidRDefault="002E2811" w:rsidP="002E2811">
      <w:pPr>
        <w:ind w:left="-810"/>
        <w:jc w:val="both"/>
        <w:rPr>
          <w:lang w:val="fr-FR"/>
        </w:rPr>
      </w:pPr>
      <w:r>
        <w:rPr>
          <w:lang w:val="fr-FR"/>
        </w:rPr>
        <w:t xml:space="preserve">Durant </w:t>
      </w:r>
      <w:r w:rsidR="0084180D">
        <w:rPr>
          <w:lang w:val="fr-FR"/>
        </w:rPr>
        <w:t>la</w:t>
      </w:r>
      <w:r w:rsidR="00A07C70">
        <w:rPr>
          <w:lang w:val="fr-FR"/>
        </w:rPr>
        <w:t xml:space="preserve"> période</w:t>
      </w:r>
      <w:r w:rsidR="002F489A">
        <w:rPr>
          <w:lang w:val="fr-FR"/>
        </w:rPr>
        <w:t xml:space="preserve">, </w:t>
      </w:r>
      <w:r w:rsidR="00CA013A">
        <w:rPr>
          <w:lang w:val="fr-FR"/>
        </w:rPr>
        <w:t xml:space="preserve">le projet </w:t>
      </w:r>
      <w:r w:rsidR="002F489A">
        <w:rPr>
          <w:lang w:val="fr-FR"/>
        </w:rPr>
        <w:t>a mis en place le</w:t>
      </w:r>
      <w:r>
        <w:rPr>
          <w:lang w:val="fr-FR"/>
        </w:rPr>
        <w:t xml:space="preserve"> mécanisme de sécurisation des recettes dans quatre communes de Conakry (Matam, Dixinn, Matoto et Ratoma) pour soutenir la redevabilité et la transparence dans la gestion des recettes publiques provenant du secteur de sécurité</w:t>
      </w:r>
      <w:r w:rsidR="002F2F7A">
        <w:rPr>
          <w:lang w:val="fr-FR"/>
        </w:rPr>
        <w:t>. Ce</w:t>
      </w:r>
      <w:r w:rsidR="002F489A">
        <w:rPr>
          <w:lang w:val="fr-FR"/>
        </w:rPr>
        <w:t>tte opération</w:t>
      </w:r>
      <w:r w:rsidR="002F2F7A">
        <w:rPr>
          <w:lang w:val="fr-FR"/>
        </w:rPr>
        <w:t xml:space="preserve"> </w:t>
      </w:r>
      <w:r>
        <w:rPr>
          <w:lang w:val="fr-FR"/>
        </w:rPr>
        <w:t>a été suivi</w:t>
      </w:r>
      <w:r w:rsidR="002F489A">
        <w:rPr>
          <w:lang w:val="fr-FR"/>
        </w:rPr>
        <w:t>e</w:t>
      </w:r>
      <w:r>
        <w:rPr>
          <w:lang w:val="fr-FR"/>
        </w:rPr>
        <w:t xml:space="preserve"> de l’élaboration d</w:t>
      </w:r>
      <w:r w:rsidR="002F489A">
        <w:rPr>
          <w:lang w:val="fr-FR"/>
        </w:rPr>
        <w:t xml:space="preserve">e la </w:t>
      </w:r>
      <w:r>
        <w:rPr>
          <w:lang w:val="fr-FR"/>
        </w:rPr>
        <w:t xml:space="preserve">stratégie de communication du </w:t>
      </w:r>
      <w:r w:rsidR="002F489A">
        <w:rPr>
          <w:lang w:val="fr-FR"/>
        </w:rPr>
        <w:t>M</w:t>
      </w:r>
      <w:r>
        <w:rPr>
          <w:lang w:val="fr-FR"/>
        </w:rPr>
        <w:t xml:space="preserve">inistère de la Sécurité et de la Protection Civile </w:t>
      </w:r>
      <w:r w:rsidR="002F489A">
        <w:rPr>
          <w:lang w:val="fr-FR"/>
        </w:rPr>
        <w:t>pour</w:t>
      </w:r>
      <w:r>
        <w:rPr>
          <w:lang w:val="fr-FR"/>
        </w:rPr>
        <w:t xml:space="preserve"> l’amélioration de la visibilité des actions de protection des citoyens et de leurs biens. </w:t>
      </w:r>
    </w:p>
    <w:p w14:paraId="00E35637" w14:textId="68C05661" w:rsidR="002E2811" w:rsidRDefault="002F489A" w:rsidP="002E2811">
      <w:pPr>
        <w:ind w:left="-810"/>
        <w:jc w:val="both"/>
        <w:rPr>
          <w:lang w:val="fr-FR"/>
        </w:rPr>
      </w:pPr>
      <w:r>
        <w:rPr>
          <w:lang w:val="fr-FR"/>
        </w:rPr>
        <w:t xml:space="preserve">Par ailleurs, </w:t>
      </w:r>
      <w:r w:rsidR="002B5196">
        <w:rPr>
          <w:lang w:val="fr-FR"/>
        </w:rPr>
        <w:t>d</w:t>
      </w:r>
      <w:r>
        <w:rPr>
          <w:lang w:val="fr-FR"/>
        </w:rPr>
        <w:t>ans</w:t>
      </w:r>
      <w:r w:rsidR="002B5196">
        <w:rPr>
          <w:lang w:val="fr-FR"/>
        </w:rPr>
        <w:t xml:space="preserve"> l</w:t>
      </w:r>
      <w:r>
        <w:rPr>
          <w:lang w:val="fr-FR"/>
        </w:rPr>
        <w:t>a lutte contre le</w:t>
      </w:r>
      <w:r w:rsidR="0084180D">
        <w:rPr>
          <w:lang w:val="fr-FR"/>
        </w:rPr>
        <w:t xml:space="preserve"> </w:t>
      </w:r>
      <w:r w:rsidR="002E2811">
        <w:rPr>
          <w:lang w:val="fr-FR"/>
        </w:rPr>
        <w:t>COVID19, il a été renforc</w:t>
      </w:r>
      <w:r w:rsidR="00A07C70">
        <w:rPr>
          <w:lang w:val="fr-FR"/>
        </w:rPr>
        <w:t>é</w:t>
      </w:r>
      <w:r w:rsidR="002E2811">
        <w:rPr>
          <w:lang w:val="fr-FR"/>
        </w:rPr>
        <w:t xml:space="preserve"> le système de remontée des plaintes des citoyens auprès de l’Inspection </w:t>
      </w:r>
      <w:r>
        <w:rPr>
          <w:lang w:val="fr-FR"/>
        </w:rPr>
        <w:t>G</w:t>
      </w:r>
      <w:r w:rsidR="002E2811">
        <w:rPr>
          <w:lang w:val="fr-FR"/>
        </w:rPr>
        <w:t xml:space="preserve">énérale des </w:t>
      </w:r>
      <w:r>
        <w:rPr>
          <w:lang w:val="fr-FR"/>
        </w:rPr>
        <w:t>S</w:t>
      </w:r>
      <w:r w:rsidR="002E2811">
        <w:rPr>
          <w:lang w:val="fr-FR"/>
        </w:rPr>
        <w:t xml:space="preserve">ervices de </w:t>
      </w:r>
      <w:r>
        <w:rPr>
          <w:lang w:val="fr-FR"/>
        </w:rPr>
        <w:t>S</w:t>
      </w:r>
      <w:r w:rsidR="002E2811">
        <w:rPr>
          <w:lang w:val="fr-FR"/>
        </w:rPr>
        <w:t xml:space="preserve">écurité pour lutter contre l’indiscipline et l’impunité des </w:t>
      </w:r>
      <w:r>
        <w:rPr>
          <w:lang w:val="fr-FR"/>
        </w:rPr>
        <w:t>policiers</w:t>
      </w:r>
      <w:r w:rsidR="002E2811">
        <w:rPr>
          <w:lang w:val="fr-FR"/>
        </w:rPr>
        <w:t xml:space="preserve"> pendant leur déploiement dans l’observation des </w:t>
      </w:r>
      <w:r w:rsidR="00BB2BB3">
        <w:rPr>
          <w:lang w:val="fr-FR"/>
        </w:rPr>
        <w:t>mesures</w:t>
      </w:r>
      <w:r w:rsidR="002E2811">
        <w:rPr>
          <w:lang w:val="fr-FR"/>
        </w:rPr>
        <w:t xml:space="preserve"> barrières</w:t>
      </w:r>
      <w:r w:rsidR="0084180D">
        <w:rPr>
          <w:lang w:val="fr-FR"/>
        </w:rPr>
        <w:t>. C</w:t>
      </w:r>
      <w:r w:rsidR="002E2811">
        <w:rPr>
          <w:lang w:val="fr-FR"/>
        </w:rPr>
        <w:t xml:space="preserve">eci a contribué substantiellement à atténuer les </w:t>
      </w:r>
      <w:r w:rsidR="002F2F7A">
        <w:rPr>
          <w:lang w:val="fr-FR"/>
        </w:rPr>
        <w:t xml:space="preserve">mauvais </w:t>
      </w:r>
      <w:r w:rsidR="002E2811">
        <w:rPr>
          <w:lang w:val="fr-FR"/>
        </w:rPr>
        <w:t xml:space="preserve">rapports entre les citoyens et les forces de défense et de sécurité. </w:t>
      </w:r>
      <w:r w:rsidR="0084180D">
        <w:rPr>
          <w:lang w:val="fr-FR"/>
        </w:rPr>
        <w:t>Aussi</w:t>
      </w:r>
      <w:r w:rsidR="00BB2BB3">
        <w:rPr>
          <w:lang w:val="fr-FR"/>
        </w:rPr>
        <w:t>,</w:t>
      </w:r>
      <w:r w:rsidR="0084180D">
        <w:rPr>
          <w:lang w:val="fr-FR"/>
        </w:rPr>
        <w:t xml:space="preserve"> </w:t>
      </w:r>
      <w:r w:rsidR="002E2811">
        <w:rPr>
          <w:lang w:val="fr-FR"/>
        </w:rPr>
        <w:t xml:space="preserve">plus de 225 membres des unités déployées ont été formés et équipés </w:t>
      </w:r>
      <w:r w:rsidR="00BB2BB3">
        <w:rPr>
          <w:lang w:val="fr-FR"/>
        </w:rPr>
        <w:t>de</w:t>
      </w:r>
      <w:r w:rsidR="002E2811">
        <w:rPr>
          <w:lang w:val="fr-FR"/>
        </w:rPr>
        <w:t xml:space="preserve"> kits sanitaires et matériels de protection pour une meilleure participation à la lutte contre </w:t>
      </w:r>
      <w:r w:rsidR="00BB2BB3">
        <w:rPr>
          <w:lang w:val="fr-FR"/>
        </w:rPr>
        <w:t>la</w:t>
      </w:r>
      <w:r w:rsidR="002E2811">
        <w:rPr>
          <w:lang w:val="fr-FR"/>
        </w:rPr>
        <w:t xml:space="preserve"> pandémie. </w:t>
      </w:r>
      <w:r w:rsidR="00A07C70">
        <w:rPr>
          <w:lang w:val="fr-FR"/>
        </w:rPr>
        <w:t>L</w:t>
      </w:r>
      <w:r w:rsidR="002E2811">
        <w:rPr>
          <w:lang w:val="fr-FR"/>
        </w:rPr>
        <w:t xml:space="preserve">e projet </w:t>
      </w:r>
      <w:r w:rsidR="00BB2BB3">
        <w:rPr>
          <w:lang w:val="fr-FR"/>
        </w:rPr>
        <w:t>s’</w:t>
      </w:r>
      <w:r w:rsidR="002E2811">
        <w:rPr>
          <w:lang w:val="fr-FR"/>
        </w:rPr>
        <w:t>est fortement impliqué dans les campagnes de sensibilisation et de formation des FDS dans le cadre de la prévention et la riposte en</w:t>
      </w:r>
      <w:r w:rsidR="00BB2BB3">
        <w:rPr>
          <w:lang w:val="fr-FR"/>
        </w:rPr>
        <w:t xml:space="preserve"> </w:t>
      </w:r>
      <w:r w:rsidR="002E2811">
        <w:rPr>
          <w:lang w:val="fr-FR"/>
        </w:rPr>
        <w:t>soutien</w:t>
      </w:r>
      <w:r w:rsidR="00BB2BB3">
        <w:rPr>
          <w:lang w:val="fr-FR"/>
        </w:rPr>
        <w:t xml:space="preserve"> à la réalisation du P</w:t>
      </w:r>
      <w:r w:rsidR="002E2811">
        <w:rPr>
          <w:lang w:val="fr-FR"/>
        </w:rPr>
        <w:t xml:space="preserve">lan </w:t>
      </w:r>
      <w:r w:rsidR="00BB2BB3">
        <w:rPr>
          <w:lang w:val="fr-FR"/>
        </w:rPr>
        <w:t>N</w:t>
      </w:r>
      <w:r w:rsidR="002E2811">
        <w:rPr>
          <w:lang w:val="fr-FR"/>
        </w:rPr>
        <w:t xml:space="preserve">ational de </w:t>
      </w:r>
      <w:r w:rsidR="00BB2BB3">
        <w:rPr>
          <w:lang w:val="fr-FR"/>
        </w:rPr>
        <w:t>R</w:t>
      </w:r>
      <w:r w:rsidR="002E2811">
        <w:rPr>
          <w:lang w:val="fr-FR"/>
        </w:rPr>
        <w:t xml:space="preserve">iposte contre la </w:t>
      </w:r>
      <w:r w:rsidR="00BB2BB3">
        <w:rPr>
          <w:lang w:val="fr-FR"/>
        </w:rPr>
        <w:t>COVID 19 à</w:t>
      </w:r>
      <w:r w:rsidR="002E2811">
        <w:rPr>
          <w:lang w:val="fr-FR"/>
        </w:rPr>
        <w:t xml:space="preserve"> travers des émissions télévisées, des formations des responsables </w:t>
      </w:r>
      <w:r w:rsidR="00BB2BB3">
        <w:rPr>
          <w:lang w:val="fr-FR"/>
        </w:rPr>
        <w:t xml:space="preserve">des </w:t>
      </w:r>
      <w:r w:rsidR="002E2811">
        <w:rPr>
          <w:lang w:val="fr-FR"/>
        </w:rPr>
        <w:t xml:space="preserve">services de santé et autres </w:t>
      </w:r>
      <w:r w:rsidR="00BB2BB3">
        <w:rPr>
          <w:lang w:val="fr-FR"/>
        </w:rPr>
        <w:t>sections</w:t>
      </w:r>
      <w:r w:rsidR="002E2811">
        <w:rPr>
          <w:lang w:val="fr-FR"/>
        </w:rPr>
        <w:t xml:space="preserve"> des FDS.</w:t>
      </w:r>
    </w:p>
    <w:p w14:paraId="598C116C" w14:textId="57AA534B" w:rsidR="00523FF4" w:rsidRDefault="00BB2BB3" w:rsidP="00523FF4">
      <w:pPr>
        <w:ind w:left="-810"/>
        <w:jc w:val="both"/>
        <w:rPr>
          <w:lang w:val="fr-FR"/>
        </w:rPr>
      </w:pPr>
      <w:r>
        <w:rPr>
          <w:lang w:val="fr-FR"/>
        </w:rPr>
        <w:t>En outre,</w:t>
      </w:r>
      <w:r w:rsidR="00A07C70">
        <w:rPr>
          <w:lang w:val="fr-FR"/>
        </w:rPr>
        <w:t xml:space="preserve"> </w:t>
      </w:r>
      <w:r w:rsidR="00523FF4">
        <w:rPr>
          <w:lang w:val="fr-FR"/>
        </w:rPr>
        <w:t xml:space="preserve">l’Observatoire de la </w:t>
      </w:r>
      <w:r>
        <w:rPr>
          <w:lang w:val="fr-FR"/>
        </w:rPr>
        <w:t>S</w:t>
      </w:r>
      <w:r w:rsidR="00523FF4">
        <w:rPr>
          <w:lang w:val="fr-FR"/>
        </w:rPr>
        <w:t xml:space="preserve">écurité </w:t>
      </w:r>
      <w:r>
        <w:rPr>
          <w:lang w:val="fr-FR"/>
        </w:rPr>
        <w:t>U</w:t>
      </w:r>
      <w:r w:rsidR="00523FF4">
        <w:rPr>
          <w:lang w:val="fr-FR"/>
        </w:rPr>
        <w:t xml:space="preserve">rbaine a été rendu opérationnel à </w:t>
      </w:r>
      <w:r w:rsidR="00CA013A">
        <w:rPr>
          <w:lang w:val="fr-FR"/>
        </w:rPr>
        <w:t>grâce à</w:t>
      </w:r>
      <w:r w:rsidR="00523FF4">
        <w:rPr>
          <w:lang w:val="fr-FR"/>
        </w:rPr>
        <w:t xml:space="preserve"> la formation et l’équipement de </w:t>
      </w:r>
      <w:r w:rsidR="0084180D">
        <w:rPr>
          <w:lang w:val="fr-FR"/>
        </w:rPr>
        <w:t>35</w:t>
      </w:r>
      <w:r>
        <w:rPr>
          <w:lang w:val="fr-FR"/>
        </w:rPr>
        <w:t xml:space="preserve"> </w:t>
      </w:r>
      <w:r w:rsidR="00523FF4">
        <w:rPr>
          <w:lang w:val="fr-FR"/>
        </w:rPr>
        <w:t xml:space="preserve">points focaux </w:t>
      </w:r>
      <w:r>
        <w:rPr>
          <w:lang w:val="fr-FR"/>
        </w:rPr>
        <w:t xml:space="preserve">de terrain </w:t>
      </w:r>
      <w:r w:rsidR="00523FF4">
        <w:rPr>
          <w:lang w:val="fr-FR"/>
        </w:rPr>
        <w:t xml:space="preserve">pour </w:t>
      </w:r>
      <w:r>
        <w:rPr>
          <w:lang w:val="fr-FR"/>
        </w:rPr>
        <w:t>la</w:t>
      </w:r>
      <w:r w:rsidR="00523FF4">
        <w:rPr>
          <w:lang w:val="fr-FR"/>
        </w:rPr>
        <w:t xml:space="preserve"> remonté des données sécuritaires </w:t>
      </w:r>
      <w:r>
        <w:rPr>
          <w:lang w:val="fr-FR"/>
        </w:rPr>
        <w:t>in situ.</w:t>
      </w:r>
      <w:r w:rsidR="00523FF4">
        <w:rPr>
          <w:lang w:val="fr-FR"/>
        </w:rPr>
        <w:t xml:space="preserve"> </w:t>
      </w:r>
    </w:p>
    <w:p w14:paraId="6D855491" w14:textId="4B8710E9" w:rsidR="00523FF4" w:rsidRDefault="00A07C70" w:rsidP="00523FF4">
      <w:pPr>
        <w:ind w:left="-810"/>
        <w:jc w:val="both"/>
        <w:rPr>
          <w:lang w:val="fr-FR"/>
        </w:rPr>
      </w:pPr>
      <w:r>
        <w:rPr>
          <w:lang w:val="fr-FR"/>
        </w:rPr>
        <w:t>Enfin</w:t>
      </w:r>
      <w:r w:rsidR="00BB2BB3">
        <w:rPr>
          <w:lang w:val="fr-FR"/>
        </w:rPr>
        <w:t xml:space="preserve">, </w:t>
      </w:r>
      <w:r w:rsidR="00CA013A">
        <w:rPr>
          <w:lang w:val="fr-FR"/>
        </w:rPr>
        <w:t>la conception et la réalisation</w:t>
      </w:r>
      <w:r w:rsidR="00523FF4" w:rsidRPr="00290917">
        <w:rPr>
          <w:lang w:val="fr-FR"/>
        </w:rPr>
        <w:t xml:space="preserve"> d’une stratégie de communication au MSPC</w:t>
      </w:r>
      <w:r w:rsidR="001A7401">
        <w:rPr>
          <w:lang w:val="fr-FR"/>
        </w:rPr>
        <w:t xml:space="preserve"> est</w:t>
      </w:r>
      <w:r w:rsidR="00523FF4" w:rsidRPr="00290917">
        <w:rPr>
          <w:lang w:val="fr-FR"/>
        </w:rPr>
        <w:t xml:space="preserve"> une avancée </w:t>
      </w:r>
      <w:r w:rsidR="001A7401">
        <w:rPr>
          <w:lang w:val="fr-FR"/>
        </w:rPr>
        <w:t xml:space="preserve">pour le </w:t>
      </w:r>
      <w:r w:rsidR="00523FF4" w:rsidRPr="00290917">
        <w:rPr>
          <w:lang w:val="fr-FR"/>
        </w:rPr>
        <w:t>département.</w:t>
      </w:r>
    </w:p>
    <w:p w14:paraId="702DD954" w14:textId="77777777" w:rsidR="00F778A1" w:rsidRPr="002E2811" w:rsidRDefault="00F778A1" w:rsidP="00523FF4">
      <w:pPr>
        <w:rPr>
          <w:lang w:val="fr-FR"/>
        </w:rPr>
      </w:pPr>
    </w:p>
    <w:p w14:paraId="29F76E31" w14:textId="472FA7B8" w:rsidR="00161D02" w:rsidRPr="00523FF4" w:rsidRDefault="00F778A1" w:rsidP="00627A1C">
      <w:pPr>
        <w:ind w:left="-810"/>
        <w:rPr>
          <w:i/>
          <w:iCs/>
          <w:lang w:val="fr-FR"/>
        </w:rPr>
      </w:pPr>
      <w:r w:rsidRPr="00523FF4">
        <w:rPr>
          <w:i/>
          <w:i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523FF4">
        <w:rPr>
          <w:i/>
          <w:iCs/>
          <w:lang w:val="fr-FR"/>
        </w:rPr>
        <w:t>(</w:t>
      </w:r>
      <w:r w:rsidRPr="00523FF4">
        <w:rPr>
          <w:i/>
          <w:iCs/>
          <w:lang w:val="fr-FR"/>
        </w:rPr>
        <w:t>limite de 1000 caractères</w:t>
      </w:r>
      <w:r w:rsidR="00523FF4" w:rsidRPr="00523FF4">
        <w:rPr>
          <w:i/>
          <w:iCs/>
          <w:lang w:val="fr-FR"/>
        </w:rPr>
        <w:t>) :</w:t>
      </w:r>
      <w:r w:rsidR="00161D02" w:rsidRPr="00523FF4">
        <w:rPr>
          <w:i/>
          <w:iCs/>
          <w:lang w:val="fr-FR"/>
        </w:rPr>
        <w:t xml:space="preserve"> </w:t>
      </w:r>
    </w:p>
    <w:p w14:paraId="6ED9287B" w14:textId="77777777" w:rsidR="00504379" w:rsidRDefault="00504379" w:rsidP="00523FF4">
      <w:pPr>
        <w:ind w:left="-810"/>
        <w:jc w:val="both"/>
        <w:rPr>
          <w:lang w:val="fr-FR"/>
        </w:rPr>
      </w:pPr>
    </w:p>
    <w:p w14:paraId="55E1E8ED" w14:textId="0B8B4A01" w:rsidR="00523FF4" w:rsidRDefault="00523FF4" w:rsidP="00523FF4">
      <w:pPr>
        <w:ind w:left="-810"/>
        <w:jc w:val="both"/>
        <w:rPr>
          <w:lang w:val="fr-FR"/>
        </w:rPr>
      </w:pPr>
      <w:r>
        <w:rPr>
          <w:lang w:val="fr-FR"/>
        </w:rPr>
        <w:t>Le projet étant clôturé le 31 Octobre 2020, l’évènement important prévu est principalement l’évaluation finale dont les termes de références ont été validé</w:t>
      </w:r>
      <w:r w:rsidR="001A7401">
        <w:rPr>
          <w:lang w:val="fr-FR"/>
        </w:rPr>
        <w:t>s</w:t>
      </w:r>
      <w:r>
        <w:rPr>
          <w:lang w:val="fr-FR"/>
        </w:rPr>
        <w:t xml:space="preserve"> et l’appel d’offre lancé pour le recrutement d’un consultant/cabinet</w:t>
      </w:r>
      <w:r w:rsidR="001A7401">
        <w:rPr>
          <w:lang w:val="fr-FR"/>
        </w:rPr>
        <w:t xml:space="preserve"> international</w:t>
      </w:r>
      <w:r>
        <w:rPr>
          <w:lang w:val="fr-FR"/>
        </w:rPr>
        <w:t>.</w:t>
      </w:r>
    </w:p>
    <w:p w14:paraId="144B1F40" w14:textId="29D7C65F" w:rsidR="00161D02" w:rsidRPr="00523FF4" w:rsidRDefault="00161D02" w:rsidP="00161D02">
      <w:pPr>
        <w:ind w:left="-810"/>
        <w:rPr>
          <w:lang w:val="fr-FR"/>
        </w:rPr>
      </w:pPr>
    </w:p>
    <w:p w14:paraId="20FA9EBD" w14:textId="154FEA55" w:rsidR="00161D02" w:rsidRDefault="00161D02" w:rsidP="001A1E86">
      <w:pPr>
        <w:ind w:left="-810" w:right="-154"/>
        <w:rPr>
          <w:lang w:val="fr-FR"/>
        </w:rPr>
      </w:pPr>
    </w:p>
    <w:p w14:paraId="35DD7162" w14:textId="0B53806A" w:rsidR="00751C01" w:rsidRDefault="00751C01" w:rsidP="001A1E86">
      <w:pPr>
        <w:ind w:left="-810" w:right="-154"/>
        <w:rPr>
          <w:lang w:val="fr-FR"/>
        </w:rPr>
      </w:pPr>
    </w:p>
    <w:p w14:paraId="1D7224BF" w14:textId="3EF87CBE" w:rsidR="00751C01" w:rsidRDefault="00751C01" w:rsidP="001A1E86">
      <w:pPr>
        <w:ind w:left="-810" w:right="-154"/>
        <w:rPr>
          <w:lang w:val="fr-FR"/>
        </w:rPr>
      </w:pPr>
    </w:p>
    <w:p w14:paraId="5DD65831" w14:textId="77777777" w:rsidR="00751C01" w:rsidRPr="00523FF4" w:rsidRDefault="00751C01" w:rsidP="001A1E86">
      <w:pPr>
        <w:ind w:left="-810" w:right="-154"/>
        <w:rPr>
          <w:lang w:val="fr-FR"/>
        </w:rPr>
      </w:pPr>
    </w:p>
    <w:p w14:paraId="49A86CE3" w14:textId="77777777" w:rsidR="00F778A1" w:rsidRPr="00523FF4" w:rsidRDefault="00F778A1" w:rsidP="001A1E86">
      <w:pPr>
        <w:ind w:left="-810" w:right="-154"/>
        <w:rPr>
          <w:i/>
          <w:iCs/>
          <w:lang w:val="fr-FR"/>
        </w:rPr>
      </w:pPr>
      <w:r w:rsidRPr="00523FF4">
        <w:rPr>
          <w:i/>
          <w:iCs/>
          <w:lang w:val="fr-FR"/>
        </w:rPr>
        <w:t>POUR LES PROJETS DANS LES SIX DERNIERS MOIS DE MISE EN ŒUVRE :</w:t>
      </w:r>
    </w:p>
    <w:p w14:paraId="5D660B18" w14:textId="1BF2DACA" w:rsidR="008C782A" w:rsidRDefault="00476758" w:rsidP="001A1E86">
      <w:pPr>
        <w:ind w:left="-810" w:right="-154"/>
        <w:rPr>
          <w:i/>
          <w:iCs/>
          <w:lang w:val="fr-FR"/>
        </w:rPr>
      </w:pPr>
      <w:r w:rsidRPr="00523FF4">
        <w:rPr>
          <w:i/>
          <w:iCs/>
          <w:lang w:val="fr-FR"/>
        </w:rPr>
        <w:t>Résumez</w:t>
      </w:r>
      <w:r w:rsidR="00F778A1" w:rsidRPr="00523FF4">
        <w:rPr>
          <w:i/>
          <w:iCs/>
          <w:lang w:val="fr-FR"/>
        </w:rPr>
        <w:t xml:space="preserve"> </w:t>
      </w:r>
      <w:r w:rsidRPr="00523FF4">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523FF4">
        <w:rPr>
          <w:i/>
          <w:iCs/>
          <w:lang w:val="fr-FR"/>
        </w:rPr>
        <w:t xml:space="preserve"> </w:t>
      </w:r>
      <w:r w:rsidR="008C782A" w:rsidRPr="00523FF4">
        <w:rPr>
          <w:i/>
          <w:iCs/>
          <w:lang w:val="fr-FR"/>
        </w:rPr>
        <w:t>(</w:t>
      </w:r>
      <w:r w:rsidR="00523FF4" w:rsidRPr="00523FF4">
        <w:rPr>
          <w:i/>
          <w:iCs/>
          <w:lang w:val="fr-FR"/>
        </w:rPr>
        <w:t>Limite</w:t>
      </w:r>
      <w:r w:rsidRPr="00523FF4">
        <w:rPr>
          <w:i/>
          <w:iCs/>
          <w:lang w:val="fr-FR"/>
        </w:rPr>
        <w:t xml:space="preserve"> de 1500 caractères</w:t>
      </w:r>
      <w:r w:rsidR="00523FF4" w:rsidRPr="00523FF4">
        <w:rPr>
          <w:i/>
          <w:iCs/>
          <w:lang w:val="fr-FR"/>
        </w:rPr>
        <w:t>) :</w:t>
      </w:r>
      <w:r w:rsidR="008C782A" w:rsidRPr="00523FF4">
        <w:rPr>
          <w:i/>
          <w:iCs/>
          <w:lang w:val="fr-FR"/>
        </w:rPr>
        <w:t xml:space="preserve"> </w:t>
      </w:r>
    </w:p>
    <w:p w14:paraId="4EC044A2" w14:textId="77777777" w:rsidR="00504379" w:rsidRPr="00523FF4" w:rsidRDefault="00504379" w:rsidP="001A1E86">
      <w:pPr>
        <w:ind w:left="-810" w:right="-154"/>
        <w:rPr>
          <w:i/>
          <w:iCs/>
          <w:lang w:val="fr-FR"/>
        </w:rPr>
      </w:pPr>
    </w:p>
    <w:p w14:paraId="26A8C82C" w14:textId="66E465BB" w:rsidR="00523FF4" w:rsidRDefault="00523FF4" w:rsidP="00523FF4">
      <w:pPr>
        <w:ind w:left="-720"/>
        <w:jc w:val="both"/>
        <w:rPr>
          <w:lang w:val="fr-FR"/>
        </w:rPr>
      </w:pPr>
      <w:r w:rsidRPr="00504379">
        <w:rPr>
          <w:lang w:val="fr-FR"/>
        </w:rPr>
        <w:t xml:space="preserve">Le principal changement structurel et institutionnel auquel le projet a </w:t>
      </w:r>
      <w:r w:rsidR="00D451E5">
        <w:rPr>
          <w:lang w:val="fr-FR"/>
        </w:rPr>
        <w:t>contribué est la</w:t>
      </w:r>
      <w:r w:rsidR="001A7401">
        <w:rPr>
          <w:lang w:val="fr-FR"/>
        </w:rPr>
        <w:t xml:space="preserve"> redynamis</w:t>
      </w:r>
      <w:r w:rsidR="00D451E5">
        <w:rPr>
          <w:lang w:val="fr-FR"/>
        </w:rPr>
        <w:t xml:space="preserve">ation de </w:t>
      </w:r>
      <w:r w:rsidR="001A7401">
        <w:rPr>
          <w:lang w:val="fr-FR"/>
        </w:rPr>
        <w:t>l’IGSS e</w:t>
      </w:r>
      <w:r w:rsidRPr="00504379">
        <w:rPr>
          <w:lang w:val="fr-FR"/>
        </w:rPr>
        <w:t>t la mise en place d’une stratégie de communication au sein du Ministère de la Sécurité et de la Protection Civile</w:t>
      </w:r>
      <w:r w:rsidR="001A7401">
        <w:rPr>
          <w:lang w:val="fr-FR"/>
        </w:rPr>
        <w:t>. La stratégie</w:t>
      </w:r>
      <w:r w:rsidRPr="00504379">
        <w:rPr>
          <w:lang w:val="fr-FR"/>
        </w:rPr>
        <w:t xml:space="preserve"> a contribué à la réorganisation de la communication au </w:t>
      </w:r>
      <w:r w:rsidR="001A7401">
        <w:rPr>
          <w:lang w:val="fr-FR"/>
        </w:rPr>
        <w:t xml:space="preserve">sein </w:t>
      </w:r>
      <w:r w:rsidRPr="00504379">
        <w:rPr>
          <w:lang w:val="fr-FR"/>
        </w:rPr>
        <w:t>d</w:t>
      </w:r>
      <w:r w:rsidR="001A7401">
        <w:rPr>
          <w:lang w:val="fr-FR"/>
        </w:rPr>
        <w:t>udit</w:t>
      </w:r>
      <w:r w:rsidRPr="00504379">
        <w:rPr>
          <w:lang w:val="fr-FR"/>
        </w:rPr>
        <w:t xml:space="preserve"> département</w:t>
      </w:r>
      <w:r w:rsidR="00D451E5">
        <w:rPr>
          <w:lang w:val="fr-FR"/>
        </w:rPr>
        <w:t xml:space="preserve"> autour de la collecte et la diffusion à temps</w:t>
      </w:r>
      <w:r w:rsidR="00C55327">
        <w:rPr>
          <w:lang w:val="fr-FR"/>
        </w:rPr>
        <w:t xml:space="preserve"> des informations crédibles</w:t>
      </w:r>
      <w:r w:rsidRPr="00504379">
        <w:rPr>
          <w:lang w:val="fr-FR"/>
        </w:rPr>
        <w:t xml:space="preserve">. </w:t>
      </w:r>
      <w:r w:rsidR="00504379">
        <w:rPr>
          <w:lang w:val="fr-FR"/>
        </w:rPr>
        <w:t>En outre</w:t>
      </w:r>
      <w:r w:rsidR="001A7401">
        <w:rPr>
          <w:lang w:val="fr-FR"/>
        </w:rPr>
        <w:t>,</w:t>
      </w:r>
      <w:r w:rsidR="00504379">
        <w:rPr>
          <w:lang w:val="fr-FR"/>
        </w:rPr>
        <w:t xml:space="preserve"> i</w:t>
      </w:r>
      <w:r w:rsidRPr="00504379">
        <w:rPr>
          <w:lang w:val="fr-FR"/>
        </w:rPr>
        <w:t>l a été mis auprès du Bureau de Stratégie et de Développement</w:t>
      </w:r>
      <w:r w:rsidR="001A7401">
        <w:rPr>
          <w:lang w:val="fr-FR"/>
        </w:rPr>
        <w:t xml:space="preserve"> (BSD)</w:t>
      </w:r>
      <w:r w:rsidRPr="00504379">
        <w:rPr>
          <w:lang w:val="fr-FR"/>
        </w:rPr>
        <w:t xml:space="preserve">, un observatoire de la sécurité urbaine qui appui </w:t>
      </w:r>
      <w:r w:rsidR="001A7401">
        <w:rPr>
          <w:lang w:val="fr-FR"/>
        </w:rPr>
        <w:t xml:space="preserve">à </w:t>
      </w:r>
      <w:r w:rsidRPr="00504379">
        <w:rPr>
          <w:lang w:val="fr-FR"/>
        </w:rPr>
        <w:t xml:space="preserve">ce </w:t>
      </w:r>
      <w:r w:rsidR="001A7401">
        <w:rPr>
          <w:lang w:val="fr-FR"/>
        </w:rPr>
        <w:t>service pour</w:t>
      </w:r>
      <w:r w:rsidRPr="00504379">
        <w:rPr>
          <w:lang w:val="fr-FR"/>
        </w:rPr>
        <w:t xml:space="preserve"> l’orientation </w:t>
      </w:r>
      <w:r w:rsidR="001A7401">
        <w:rPr>
          <w:lang w:val="fr-FR"/>
        </w:rPr>
        <w:t xml:space="preserve">stratégique </w:t>
      </w:r>
      <w:r w:rsidRPr="00504379">
        <w:rPr>
          <w:lang w:val="fr-FR"/>
        </w:rPr>
        <w:t>de</w:t>
      </w:r>
      <w:r w:rsidR="001A7401">
        <w:rPr>
          <w:lang w:val="fr-FR"/>
        </w:rPr>
        <w:t>s</w:t>
      </w:r>
      <w:r w:rsidRPr="00504379">
        <w:rPr>
          <w:lang w:val="fr-FR"/>
        </w:rPr>
        <w:t xml:space="preserve"> décision</w:t>
      </w:r>
      <w:r w:rsidR="001A7401">
        <w:rPr>
          <w:lang w:val="fr-FR"/>
        </w:rPr>
        <w:t>s du management</w:t>
      </w:r>
      <w:r w:rsidRPr="00504379">
        <w:rPr>
          <w:lang w:val="fr-FR"/>
        </w:rPr>
        <w:t>.</w:t>
      </w:r>
    </w:p>
    <w:p w14:paraId="3D190355" w14:textId="77777777" w:rsidR="001A7401" w:rsidRPr="00504379" w:rsidRDefault="001A7401" w:rsidP="00523FF4">
      <w:pPr>
        <w:ind w:left="-720"/>
        <w:jc w:val="both"/>
        <w:rPr>
          <w:lang w:val="fr-FR"/>
        </w:rPr>
      </w:pPr>
    </w:p>
    <w:p w14:paraId="3413FDCD" w14:textId="4C0F025A" w:rsidR="00523FF4" w:rsidRPr="00504379" w:rsidRDefault="00504379" w:rsidP="00523FF4">
      <w:pPr>
        <w:ind w:left="-720"/>
        <w:jc w:val="both"/>
        <w:rPr>
          <w:lang w:val="fr-FR"/>
        </w:rPr>
      </w:pPr>
      <w:r w:rsidRPr="002A3227">
        <w:rPr>
          <w:lang w:val="fr-FR"/>
        </w:rPr>
        <w:t>Enfin</w:t>
      </w:r>
      <w:r w:rsidR="00523FF4" w:rsidRPr="002A3227">
        <w:rPr>
          <w:lang w:val="fr-FR"/>
        </w:rPr>
        <w:t xml:space="preserve">, </w:t>
      </w:r>
      <w:r w:rsidR="00E477D9" w:rsidRPr="002A3227">
        <w:rPr>
          <w:lang w:val="fr-FR"/>
        </w:rPr>
        <w:t>hormis l</w:t>
      </w:r>
      <w:r w:rsidR="00F95943" w:rsidRPr="002A3227">
        <w:rPr>
          <w:lang w:val="fr-FR"/>
        </w:rPr>
        <w:t xml:space="preserve">’observatoire de la sécurité urbaine directement intégré au bureau de stratégie et de développement </w:t>
      </w:r>
      <w:r w:rsidR="002A3227">
        <w:rPr>
          <w:lang w:val="fr-FR"/>
        </w:rPr>
        <w:t xml:space="preserve">du ministère de la sécurité et de la protection civile </w:t>
      </w:r>
      <w:r w:rsidR="00F95943" w:rsidRPr="002A3227">
        <w:rPr>
          <w:lang w:val="fr-FR"/>
        </w:rPr>
        <w:t>qui remonte</w:t>
      </w:r>
      <w:r w:rsidR="00E477D9" w:rsidRPr="002A3227">
        <w:rPr>
          <w:lang w:val="fr-FR"/>
        </w:rPr>
        <w:t xml:space="preserve"> </w:t>
      </w:r>
      <w:r w:rsidR="00F95943" w:rsidRPr="002A3227">
        <w:rPr>
          <w:lang w:val="fr-FR"/>
        </w:rPr>
        <w:t>l</w:t>
      </w:r>
      <w:r w:rsidR="00E477D9" w:rsidRPr="002A3227">
        <w:rPr>
          <w:lang w:val="fr-FR"/>
        </w:rPr>
        <w:t>es informations</w:t>
      </w:r>
      <w:r w:rsidR="00F95943" w:rsidRPr="002A3227">
        <w:rPr>
          <w:lang w:val="fr-FR"/>
        </w:rPr>
        <w:t xml:space="preserve"> sécuritaire de l’axe Hamdallaye -</w:t>
      </w:r>
      <w:proofErr w:type="spellStart"/>
      <w:r w:rsidR="00F95943" w:rsidRPr="002A3227">
        <w:rPr>
          <w:lang w:val="fr-FR"/>
        </w:rPr>
        <w:t>Kagbèlen</w:t>
      </w:r>
      <w:proofErr w:type="spellEnd"/>
      <w:r w:rsidR="00F95943" w:rsidRPr="002A3227">
        <w:rPr>
          <w:lang w:val="fr-FR"/>
        </w:rPr>
        <w:t xml:space="preserve"> à travers la collaboration de plusieurs services(sécurité et les services d’urgences des CHU) </w:t>
      </w:r>
      <w:r w:rsidR="00E477D9" w:rsidRPr="002A3227">
        <w:rPr>
          <w:lang w:val="fr-FR"/>
        </w:rPr>
        <w:t>, il</w:t>
      </w:r>
      <w:r w:rsidR="00523FF4" w:rsidRPr="002A3227">
        <w:rPr>
          <w:lang w:val="fr-FR"/>
        </w:rPr>
        <w:t xml:space="preserve"> est important de </w:t>
      </w:r>
      <w:r w:rsidR="00C55327" w:rsidRPr="002A3227">
        <w:rPr>
          <w:lang w:val="fr-FR"/>
        </w:rPr>
        <w:t>noter</w:t>
      </w:r>
      <w:r w:rsidR="00E477D9" w:rsidRPr="002A3227">
        <w:rPr>
          <w:lang w:val="fr-FR"/>
        </w:rPr>
        <w:t xml:space="preserve"> </w:t>
      </w:r>
      <w:r w:rsidR="00523FF4" w:rsidRPr="002A3227">
        <w:rPr>
          <w:lang w:val="fr-FR"/>
        </w:rPr>
        <w:t>l</w:t>
      </w:r>
      <w:r w:rsidR="00E477D9" w:rsidRPr="002A3227">
        <w:rPr>
          <w:lang w:val="fr-FR"/>
        </w:rPr>
        <w:t xml:space="preserve">a création </w:t>
      </w:r>
      <w:r w:rsidR="00C55327" w:rsidRPr="002A3227">
        <w:rPr>
          <w:lang w:val="fr-FR"/>
        </w:rPr>
        <w:t>d</w:t>
      </w:r>
      <w:r w:rsidR="00523FF4" w:rsidRPr="002A3227">
        <w:rPr>
          <w:lang w:val="fr-FR"/>
        </w:rPr>
        <w:t>’un</w:t>
      </w:r>
      <w:r w:rsidR="00E477D9" w:rsidRPr="002A3227">
        <w:rPr>
          <w:lang w:val="fr-FR"/>
        </w:rPr>
        <w:t xml:space="preserve"> </w:t>
      </w:r>
      <w:r w:rsidR="00523FF4" w:rsidRPr="002A3227">
        <w:rPr>
          <w:lang w:val="fr-FR"/>
        </w:rPr>
        <w:t xml:space="preserve">mécanisme de remontée </w:t>
      </w:r>
      <w:bookmarkStart w:id="2" w:name="_Hlk56614965"/>
      <w:r w:rsidR="00523FF4" w:rsidRPr="002A3227">
        <w:rPr>
          <w:lang w:val="fr-FR"/>
        </w:rPr>
        <w:t xml:space="preserve">des plaintes des citoyens </w:t>
      </w:r>
      <w:bookmarkEnd w:id="2"/>
      <w:r w:rsidR="00523FF4" w:rsidRPr="002A3227">
        <w:rPr>
          <w:lang w:val="fr-FR"/>
        </w:rPr>
        <w:t xml:space="preserve">à l’Inspection Générale des Services de Sécurité </w:t>
      </w:r>
      <w:r w:rsidR="00F95943" w:rsidRPr="002A3227">
        <w:rPr>
          <w:lang w:val="fr-FR"/>
        </w:rPr>
        <w:t>par le canal de deux consortium de la société civile (</w:t>
      </w:r>
      <w:r w:rsidR="002A3227" w:rsidRPr="002A3227">
        <w:rPr>
          <w:lang w:val="fr-FR"/>
        </w:rPr>
        <w:t xml:space="preserve">CONAD-DCF et CODDH) </w:t>
      </w:r>
      <w:r w:rsidR="00523FF4" w:rsidRPr="002A3227">
        <w:rPr>
          <w:lang w:val="fr-FR"/>
        </w:rPr>
        <w:t>pour l’aider dans sa lutte contre l’impunité</w:t>
      </w:r>
      <w:r w:rsidR="00C55327" w:rsidRPr="002A3227">
        <w:rPr>
          <w:lang w:val="fr-FR"/>
        </w:rPr>
        <w:t xml:space="preserve"> des agents de la police qui abuseraient </w:t>
      </w:r>
      <w:r w:rsidR="002A3227" w:rsidRPr="002A3227">
        <w:rPr>
          <w:lang w:val="fr-FR"/>
        </w:rPr>
        <w:t xml:space="preserve">des </w:t>
      </w:r>
      <w:r w:rsidR="00C55327" w:rsidRPr="002A3227">
        <w:rPr>
          <w:lang w:val="fr-FR"/>
        </w:rPr>
        <w:t>citoyen</w:t>
      </w:r>
      <w:r w:rsidR="002A3227" w:rsidRPr="002A3227">
        <w:rPr>
          <w:lang w:val="fr-FR"/>
        </w:rPr>
        <w:t xml:space="preserve"> </w:t>
      </w:r>
      <w:r w:rsidR="00C55327" w:rsidRPr="002A3227">
        <w:rPr>
          <w:lang w:val="fr-FR"/>
        </w:rPr>
        <w:t>.</w:t>
      </w:r>
      <w:r w:rsidR="00523FF4" w:rsidRPr="00504379">
        <w:rPr>
          <w:lang w:val="fr-FR"/>
        </w:rPr>
        <w:t xml:space="preserve"> </w:t>
      </w:r>
    </w:p>
    <w:p w14:paraId="40C6D250" w14:textId="77777777" w:rsidR="00476758" w:rsidRPr="00523FF4" w:rsidRDefault="00476758" w:rsidP="008C782A">
      <w:pPr>
        <w:ind w:left="-810"/>
        <w:rPr>
          <w:lang w:val="fr-FR"/>
        </w:rPr>
      </w:pPr>
    </w:p>
    <w:p w14:paraId="267F15F7" w14:textId="37C60C58" w:rsidR="008C782A" w:rsidRPr="00CC424E" w:rsidRDefault="00476758" w:rsidP="00476758">
      <w:pPr>
        <w:ind w:left="-810"/>
        <w:rPr>
          <w:i/>
          <w:iCs/>
          <w:lang w:val="fr-FR"/>
        </w:rPr>
      </w:pPr>
      <w:r w:rsidRPr="00CC424E">
        <w:rPr>
          <w:i/>
          <w:i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CC424E">
        <w:rPr>
          <w:i/>
          <w:iCs/>
          <w:lang w:val="fr-FR"/>
        </w:rPr>
        <w:t>weblinks</w:t>
      </w:r>
      <w:proofErr w:type="spellEnd"/>
      <w:r w:rsidRPr="00CC424E">
        <w:rPr>
          <w:i/>
          <w:iCs/>
          <w:lang w:val="fr-FR"/>
        </w:rPr>
        <w:t xml:space="preserve"> à la communication stratégique publiée. (</w:t>
      </w:r>
      <w:r w:rsidR="00CC424E" w:rsidRPr="00CC424E">
        <w:rPr>
          <w:i/>
          <w:iCs/>
          <w:lang w:val="fr-FR"/>
        </w:rPr>
        <w:t>Limite</w:t>
      </w:r>
      <w:r w:rsidRPr="00CC424E">
        <w:rPr>
          <w:i/>
          <w:iCs/>
          <w:lang w:val="fr-FR"/>
        </w:rPr>
        <w:t xml:space="preserve"> de 2000 caractères</w:t>
      </w:r>
      <w:r w:rsidR="00CC424E" w:rsidRPr="00CC424E">
        <w:rPr>
          <w:i/>
          <w:iCs/>
          <w:lang w:val="fr-FR"/>
        </w:rPr>
        <w:t>) :</w:t>
      </w:r>
    </w:p>
    <w:p w14:paraId="4AE2F688" w14:textId="77777777" w:rsidR="00504379" w:rsidRDefault="00504379" w:rsidP="00CC424E">
      <w:pPr>
        <w:ind w:left="-720"/>
        <w:jc w:val="both"/>
        <w:rPr>
          <w:lang w:val="fr-FR"/>
        </w:rPr>
      </w:pPr>
    </w:p>
    <w:p w14:paraId="36187472" w14:textId="2702F3A3" w:rsidR="00CC424E" w:rsidRDefault="00CC424E" w:rsidP="00CC424E">
      <w:pPr>
        <w:ind w:left="-720"/>
        <w:jc w:val="both"/>
        <w:rPr>
          <w:lang w:val="fr-FR"/>
        </w:rPr>
      </w:pPr>
      <w:r w:rsidRPr="0043403A">
        <w:rPr>
          <w:lang w:val="fr-FR"/>
        </w:rPr>
        <w:t>L’</w:t>
      </w:r>
      <w:r>
        <w:rPr>
          <w:lang w:val="fr-FR"/>
        </w:rPr>
        <w:t>a</w:t>
      </w:r>
      <w:r w:rsidRPr="0043403A">
        <w:rPr>
          <w:lang w:val="fr-FR"/>
        </w:rPr>
        <w:t xml:space="preserve">ncrage d’un mécanisme de remontée </w:t>
      </w:r>
      <w:r w:rsidRPr="00545C63">
        <w:rPr>
          <w:lang w:val="fr-FR"/>
        </w:rPr>
        <w:t xml:space="preserve">des plaintes des citoyens </w:t>
      </w:r>
      <w:r w:rsidRPr="0043403A">
        <w:rPr>
          <w:lang w:val="fr-FR"/>
        </w:rPr>
        <w:t xml:space="preserve">auprès de l’Inspection Générale des Services de Sécurité </w:t>
      </w:r>
      <w:r>
        <w:rPr>
          <w:lang w:val="fr-FR"/>
        </w:rPr>
        <w:t xml:space="preserve">a </w:t>
      </w:r>
      <w:r w:rsidRPr="0043403A">
        <w:rPr>
          <w:lang w:val="fr-FR"/>
        </w:rPr>
        <w:t>contribu</w:t>
      </w:r>
      <w:r>
        <w:rPr>
          <w:lang w:val="fr-FR"/>
        </w:rPr>
        <w:t>é</w:t>
      </w:r>
      <w:r w:rsidRPr="0043403A">
        <w:rPr>
          <w:lang w:val="fr-FR"/>
        </w:rPr>
        <w:t xml:space="preserve"> au rapprochement et à l’amélioration du climat de collaboration et de confiance entre les composantes civiles constituées de consortium d’ONG et les forces de sécurité.</w:t>
      </w:r>
    </w:p>
    <w:p w14:paraId="37496944" w14:textId="77777777" w:rsidR="00CE3E81" w:rsidRPr="0043403A" w:rsidRDefault="00CE3E81" w:rsidP="00CC424E">
      <w:pPr>
        <w:ind w:left="-720"/>
        <w:jc w:val="both"/>
        <w:rPr>
          <w:lang w:val="fr-FR"/>
        </w:rPr>
      </w:pPr>
    </w:p>
    <w:p w14:paraId="6337F9ED" w14:textId="4F6843B6" w:rsidR="00CC424E" w:rsidRPr="0043403A" w:rsidRDefault="00504379" w:rsidP="00CC424E">
      <w:pPr>
        <w:ind w:left="-720"/>
        <w:jc w:val="both"/>
        <w:rPr>
          <w:lang w:val="fr-FR"/>
        </w:rPr>
      </w:pPr>
      <w:bookmarkStart w:id="3" w:name="_Hlk56616053"/>
      <w:r>
        <w:rPr>
          <w:lang w:val="fr-FR"/>
        </w:rPr>
        <w:t>Dans ce sens l</w:t>
      </w:r>
      <w:r w:rsidR="00CC424E" w:rsidRPr="0043403A">
        <w:rPr>
          <w:lang w:val="fr-FR"/>
        </w:rPr>
        <w:t>a présidente de la CONAG-DCF affirme </w:t>
      </w:r>
      <w:r w:rsidR="00CC424E" w:rsidRPr="006402EB">
        <w:rPr>
          <w:i/>
          <w:iCs/>
          <w:lang w:val="fr-FR"/>
        </w:rPr>
        <w:t>:« </w:t>
      </w:r>
      <w:r w:rsidR="00C55327">
        <w:rPr>
          <w:i/>
          <w:iCs/>
          <w:lang w:val="fr-FR"/>
        </w:rPr>
        <w:t>…</w:t>
      </w:r>
      <w:r w:rsidR="00CC424E" w:rsidRPr="006402EB">
        <w:rPr>
          <w:i/>
          <w:iCs/>
          <w:lang w:val="fr-FR"/>
        </w:rPr>
        <w:t xml:space="preserve">Avant, j’étais habité par un sentiment de peur, de méfiance et de rejet des forces de défense et de sécurité, mais avec le mécanisme de remontée des plaintes qui m’a permis de collaborer avec les cadres de l’inspection des services de sécurité, je </w:t>
      </w:r>
      <w:r w:rsidR="00C55327" w:rsidRPr="006402EB">
        <w:rPr>
          <w:i/>
          <w:iCs/>
          <w:lang w:val="fr-FR"/>
        </w:rPr>
        <w:t>retrouve</w:t>
      </w:r>
      <w:r w:rsidR="00CC424E" w:rsidRPr="006402EB">
        <w:rPr>
          <w:i/>
          <w:iCs/>
          <w:lang w:val="fr-FR"/>
        </w:rPr>
        <w:t xml:space="preserve"> la confiance et comprends les voies de recours me rassurant ainsi dans le chantier de lutte contre l’impunité qui reste notre préoccupation majeure</w:t>
      </w:r>
      <w:r w:rsidR="00C55327">
        <w:rPr>
          <w:i/>
          <w:iCs/>
          <w:lang w:val="fr-FR"/>
        </w:rPr>
        <w:t>…</w:t>
      </w:r>
      <w:r w:rsidR="00CC424E" w:rsidRPr="006402EB">
        <w:rPr>
          <w:i/>
          <w:iCs/>
          <w:lang w:val="fr-FR"/>
        </w:rPr>
        <w:t> ».</w:t>
      </w:r>
    </w:p>
    <w:bookmarkEnd w:id="3"/>
    <w:p w14:paraId="14951660" w14:textId="77777777" w:rsidR="00F07502" w:rsidRDefault="00F07502" w:rsidP="00CC424E">
      <w:pPr>
        <w:ind w:left="-720"/>
        <w:jc w:val="both"/>
        <w:rPr>
          <w:lang w:val="fr-FR"/>
        </w:rPr>
      </w:pPr>
    </w:p>
    <w:p w14:paraId="757BE1FF" w14:textId="3276D9FA" w:rsidR="00CC424E" w:rsidRDefault="00CC424E" w:rsidP="00CC424E">
      <w:pPr>
        <w:ind w:left="-720"/>
        <w:jc w:val="both"/>
        <w:rPr>
          <w:lang w:val="fr-FR"/>
        </w:rPr>
      </w:pPr>
      <w:r w:rsidRPr="0043403A">
        <w:rPr>
          <w:lang w:val="fr-FR"/>
        </w:rPr>
        <w:t xml:space="preserve">Le Directeur </w:t>
      </w:r>
      <w:r w:rsidR="00C55327">
        <w:rPr>
          <w:lang w:val="fr-FR"/>
        </w:rPr>
        <w:t>G</w:t>
      </w:r>
      <w:r w:rsidRPr="0043403A">
        <w:rPr>
          <w:lang w:val="fr-FR"/>
        </w:rPr>
        <w:t xml:space="preserve">énéral </w:t>
      </w:r>
      <w:r w:rsidR="00C55327">
        <w:rPr>
          <w:lang w:val="fr-FR"/>
        </w:rPr>
        <w:t>A</w:t>
      </w:r>
      <w:r w:rsidRPr="0043403A">
        <w:rPr>
          <w:lang w:val="fr-FR"/>
        </w:rPr>
        <w:t>djoint du Bureau de Stratégie et de Développement</w:t>
      </w:r>
      <w:r w:rsidR="00C55327">
        <w:rPr>
          <w:lang w:val="fr-FR"/>
        </w:rPr>
        <w:t>,</w:t>
      </w:r>
      <w:r w:rsidRPr="0043403A">
        <w:rPr>
          <w:lang w:val="fr-FR"/>
        </w:rPr>
        <w:t xml:space="preserve"> dans la même lancée</w:t>
      </w:r>
      <w:r w:rsidR="00C55327">
        <w:rPr>
          <w:lang w:val="fr-FR"/>
        </w:rPr>
        <w:t>,</w:t>
      </w:r>
      <w:r w:rsidRPr="0043403A">
        <w:rPr>
          <w:lang w:val="fr-FR"/>
        </w:rPr>
        <w:t xml:space="preserve"> rassure que la remontée des données à travers l’observatoire, participe à l’orientation dans la prise de décision contre l’impunité dans les communes pilotes. </w:t>
      </w:r>
    </w:p>
    <w:p w14:paraId="2C99D8DE" w14:textId="55C2EFD0" w:rsidR="00CC424E" w:rsidRPr="0043403A" w:rsidRDefault="00CC424E" w:rsidP="00CC424E">
      <w:pPr>
        <w:ind w:left="-720"/>
        <w:jc w:val="both"/>
        <w:rPr>
          <w:lang w:val="fr-FR"/>
        </w:rPr>
      </w:pPr>
      <w:r>
        <w:rPr>
          <w:lang w:val="fr-FR"/>
        </w:rPr>
        <w:t>Par ailleurs</w:t>
      </w:r>
      <w:r w:rsidR="00C55327">
        <w:rPr>
          <w:lang w:val="fr-FR"/>
        </w:rPr>
        <w:t>,</w:t>
      </w:r>
      <w:r>
        <w:rPr>
          <w:lang w:val="fr-FR"/>
        </w:rPr>
        <w:t xml:space="preserve"> l</w:t>
      </w:r>
      <w:r w:rsidRPr="00545C63">
        <w:rPr>
          <w:lang w:val="fr-FR"/>
        </w:rPr>
        <w:t xml:space="preserve">e projet a contribué à la riposte contre le COVID19 par la formation en gestion des crises et catastrophes </w:t>
      </w:r>
      <w:r w:rsidR="00C55327">
        <w:rPr>
          <w:lang w:val="fr-FR"/>
        </w:rPr>
        <w:t xml:space="preserve">des agents, </w:t>
      </w:r>
      <w:r w:rsidRPr="00545C63">
        <w:rPr>
          <w:lang w:val="fr-FR"/>
        </w:rPr>
        <w:t>avec un accent sur les mesures barrières contre la pandémie</w:t>
      </w:r>
      <w:r w:rsidR="00F07502">
        <w:rPr>
          <w:lang w:val="fr-FR"/>
        </w:rPr>
        <w:t>. Ainsi, c’est</w:t>
      </w:r>
      <w:r w:rsidRPr="00545C63">
        <w:rPr>
          <w:lang w:val="fr-FR"/>
        </w:rPr>
        <w:t xml:space="preserve"> 225 </w:t>
      </w:r>
      <w:r w:rsidR="00F07502">
        <w:rPr>
          <w:lang w:val="fr-FR"/>
        </w:rPr>
        <w:t>o</w:t>
      </w:r>
      <w:r w:rsidRPr="00545C63">
        <w:rPr>
          <w:lang w:val="fr-FR"/>
        </w:rPr>
        <w:t>fficiers et agents des FDS</w:t>
      </w:r>
      <w:r w:rsidR="00F07502">
        <w:rPr>
          <w:lang w:val="fr-FR"/>
        </w:rPr>
        <w:t xml:space="preserve"> au moins, qui</w:t>
      </w:r>
      <w:r w:rsidRPr="00545C63">
        <w:rPr>
          <w:lang w:val="fr-FR"/>
        </w:rPr>
        <w:t xml:space="preserve"> contribuent à une sensibilisation </w:t>
      </w:r>
      <w:r w:rsidR="00F07502">
        <w:rPr>
          <w:lang w:val="fr-FR"/>
        </w:rPr>
        <w:t xml:space="preserve">au respect des directives de protection contre le COVID 19 </w:t>
      </w:r>
      <w:r w:rsidRPr="00545C63">
        <w:rPr>
          <w:lang w:val="fr-FR"/>
        </w:rPr>
        <w:t xml:space="preserve">dans différentes unités. Ce qui </w:t>
      </w:r>
      <w:r w:rsidR="00F07502">
        <w:rPr>
          <w:lang w:val="fr-FR"/>
        </w:rPr>
        <w:t>expliquerait</w:t>
      </w:r>
      <w:r w:rsidRPr="00545C63">
        <w:rPr>
          <w:lang w:val="fr-FR"/>
        </w:rPr>
        <w:t xml:space="preserve"> le faible taux d’infection dans les rangs</w:t>
      </w:r>
      <w:r w:rsidR="00F07502">
        <w:rPr>
          <w:lang w:val="fr-FR"/>
        </w:rPr>
        <w:t xml:space="preserve"> des FDS</w:t>
      </w:r>
      <w:r w:rsidRPr="00545C63">
        <w:rPr>
          <w:lang w:val="fr-FR"/>
        </w:rPr>
        <w:t>. Selon le Directeur de Services de Santé des Armées, sur un total de 1500 test</w:t>
      </w:r>
      <w:r w:rsidR="00F07502">
        <w:rPr>
          <w:lang w:val="fr-FR"/>
        </w:rPr>
        <w:t>s</w:t>
      </w:r>
      <w:r w:rsidRPr="00545C63">
        <w:rPr>
          <w:lang w:val="fr-FR"/>
        </w:rPr>
        <w:t xml:space="preserve"> effectués, </w:t>
      </w:r>
      <w:r w:rsidR="00F07502">
        <w:rPr>
          <w:lang w:val="fr-FR"/>
        </w:rPr>
        <w:t xml:space="preserve">ce ne sont que </w:t>
      </w:r>
      <w:r w:rsidRPr="00545C63">
        <w:rPr>
          <w:lang w:val="fr-FR"/>
        </w:rPr>
        <w:t xml:space="preserve">14 </w:t>
      </w:r>
      <w:r w:rsidR="00F07502">
        <w:rPr>
          <w:lang w:val="fr-FR"/>
        </w:rPr>
        <w:t>cas qui provenaient</w:t>
      </w:r>
      <w:r w:rsidRPr="00545C63">
        <w:rPr>
          <w:lang w:val="fr-FR"/>
        </w:rPr>
        <w:t xml:space="preserve"> des FDS.</w:t>
      </w:r>
      <w:r w:rsidRPr="0043403A">
        <w:rPr>
          <w:lang w:val="fr-FR"/>
        </w:rPr>
        <w:t xml:space="preserve">  </w:t>
      </w:r>
    </w:p>
    <w:p w14:paraId="16208936" w14:textId="77777777" w:rsidR="007712FB" w:rsidRPr="00CC424E"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408E1A76"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r w:rsidR="00CC424E" w:rsidRPr="005D15A3">
        <w:rPr>
          <w:i/>
          <w:lang w:val="fr-FR"/>
        </w:rPr>
        <w:t>juin :</w:t>
      </w:r>
      <w:r w:rsidRPr="005D15A3">
        <w:rPr>
          <w:i/>
          <w:lang w:val="fr-FR"/>
        </w:rPr>
        <w:t xml:space="preserve"> janvier-juin</w:t>
      </w:r>
      <w:r>
        <w:rPr>
          <w:i/>
          <w:lang w:val="fr-FR"/>
        </w:rPr>
        <w:t> ;</w:t>
      </w:r>
      <w:r w:rsidRPr="005D15A3">
        <w:rPr>
          <w:i/>
          <w:lang w:val="fr-FR"/>
        </w:rPr>
        <w:t xml:space="preserve"> pour les rapports de </w:t>
      </w:r>
      <w:r w:rsidR="00DD5DFB" w:rsidRPr="005D15A3">
        <w:rPr>
          <w:i/>
          <w:lang w:val="fr-FR"/>
        </w:rPr>
        <w:t>novembre :</w:t>
      </w:r>
      <w:r w:rsidRPr="005D15A3">
        <w:rPr>
          <w:i/>
          <w:lang w:val="fr-FR"/>
        </w:rPr>
        <w:t xml:space="preserve"> janvier-novembre</w:t>
      </w:r>
      <w:r>
        <w:rPr>
          <w:i/>
          <w:lang w:val="fr-FR"/>
        </w:rPr>
        <w:t> ;</w:t>
      </w:r>
      <w:r w:rsidRPr="005D15A3">
        <w:rPr>
          <w:i/>
          <w:lang w:val="fr-FR"/>
        </w:rPr>
        <w:t xml:space="preserve"> pour les rapports </w:t>
      </w:r>
      <w:r w:rsidR="006A7086" w:rsidRPr="005D15A3">
        <w:rPr>
          <w:i/>
          <w:lang w:val="fr-FR"/>
        </w:rPr>
        <w:t>finaux :</w:t>
      </w:r>
      <w:r w:rsidRPr="005D15A3">
        <w:rPr>
          <w:i/>
          <w:lang w:val="fr-FR"/>
        </w:rPr>
        <w:t xml:space="preserve">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46C29145" w14:textId="213D04E2" w:rsidR="006A7086" w:rsidRDefault="005D15A3" w:rsidP="00DD5DFB">
      <w:pPr>
        <w:ind w:left="-720"/>
        <w:jc w:val="both"/>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C65AB4" w:rsidRPr="00B65FF8">
        <w:rPr>
          <w:lang w:val="fr-FR"/>
        </w:rPr>
        <w:t xml:space="preserve">La redevabilité </w:t>
      </w:r>
      <w:bookmarkStart w:id="4" w:name="_Hlk56615832"/>
      <w:r w:rsidR="00C65AB4" w:rsidRPr="00B65FF8">
        <w:rPr>
          <w:lang w:val="fr-FR"/>
        </w:rPr>
        <w:t xml:space="preserve">et la transparence des services de police </w:t>
      </w:r>
      <w:bookmarkEnd w:id="4"/>
      <w:r w:rsidR="00C65AB4" w:rsidRPr="00B65FF8">
        <w:rPr>
          <w:lang w:val="fr-FR"/>
        </w:rPr>
        <w:t>sont améliorées à travers le renforcement des mécanismes de contrôle interne et externes</w:t>
      </w:r>
    </w:p>
    <w:p w14:paraId="31AD2E61" w14:textId="77777777" w:rsidR="00C65AB4" w:rsidRPr="00615EA3" w:rsidRDefault="00C65AB4" w:rsidP="00C65AB4">
      <w:pPr>
        <w:rPr>
          <w:b/>
          <w:lang w:val="fr-FR"/>
        </w:rPr>
      </w:pPr>
    </w:p>
    <w:p w14:paraId="5BD91AE0" w14:textId="77777777" w:rsidR="00C65AB4" w:rsidRPr="00615EA3" w:rsidRDefault="00C65AB4" w:rsidP="00C65A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 xml:space="preserve"> :</w:t>
      </w:r>
      <w:r w:rsidRPr="00615EA3">
        <w:rPr>
          <w:b/>
          <w:lang w:val="fr-FR"/>
        </w:rPr>
        <w:t xml:space="preserve"> </w:t>
      </w:r>
      <w:r>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Pr="001D7019">
        <w:rPr>
          <w:rFonts w:ascii="Arial Narrow" w:hAnsi="Arial Narrow"/>
          <w:b/>
          <w:sz w:val="22"/>
          <w:szCs w:val="22"/>
          <w:lang w:val="fr-FR"/>
        </w:rPr>
        <w:instrText xml:space="preserve"> FORMDROPDOWN </w:instrText>
      </w:r>
      <w:r w:rsidR="00940ACD">
        <w:rPr>
          <w:rFonts w:ascii="Arial Narrow" w:hAnsi="Arial Narrow"/>
          <w:b/>
          <w:sz w:val="22"/>
          <w:szCs w:val="22"/>
        </w:rPr>
      </w:r>
      <w:r w:rsidR="00940ACD">
        <w:rPr>
          <w:rFonts w:ascii="Arial Narrow" w:hAnsi="Arial Narrow"/>
          <w:b/>
          <w:sz w:val="22"/>
          <w:szCs w:val="22"/>
        </w:rPr>
        <w:fldChar w:fldCharType="separate"/>
      </w:r>
      <w:r>
        <w:rPr>
          <w:rFonts w:ascii="Arial Narrow" w:hAnsi="Arial Narrow"/>
          <w:b/>
          <w:sz w:val="22"/>
          <w:szCs w:val="22"/>
        </w:rPr>
        <w:fldChar w:fldCharType="end"/>
      </w:r>
    </w:p>
    <w:p w14:paraId="2D1000D8" w14:textId="66EFF427" w:rsidR="00C65AB4" w:rsidRPr="00C65AB4" w:rsidRDefault="00C65AB4" w:rsidP="00C65AB4">
      <w:pPr>
        <w:ind w:left="-720"/>
        <w:jc w:val="both"/>
        <w:rPr>
          <w:i/>
          <w:lang w:val="fr-FR"/>
        </w:rPr>
      </w:pPr>
      <w:r w:rsidRPr="005D15A3">
        <w:rPr>
          <w:b/>
          <w:lang w:val="fr-FR"/>
        </w:rPr>
        <w:t xml:space="preserve">Résumé de </w:t>
      </w:r>
      <w:r w:rsidRPr="005D15A3">
        <w:rPr>
          <w:rFonts w:ascii="inherit" w:hAnsi="inherit"/>
          <w:b/>
          <w:bCs/>
          <w:color w:val="212121"/>
          <w:lang w:val="fr-FR"/>
        </w:rPr>
        <w:t>progrès</w:t>
      </w:r>
      <w:r w:rsidRPr="005D15A3">
        <w:rPr>
          <w:b/>
          <w:lang w:val="fr-FR"/>
        </w:rPr>
        <w:t xml:space="preserve"> : </w:t>
      </w:r>
      <w:r>
        <w:rPr>
          <w:rFonts w:ascii="inherit" w:hAnsi="inherit"/>
          <w:color w:val="212121"/>
          <w:lang w:val="fr-FR"/>
        </w:rPr>
        <w:t>(Limite de 3000 caractères)</w:t>
      </w:r>
    </w:p>
    <w:p w14:paraId="2B13040A" w14:textId="77777777" w:rsidR="00504379" w:rsidRDefault="00504379" w:rsidP="00DD5DFB">
      <w:pPr>
        <w:ind w:left="-720"/>
        <w:jc w:val="both"/>
        <w:rPr>
          <w:lang w:val="fr-FR"/>
        </w:rPr>
      </w:pPr>
    </w:p>
    <w:p w14:paraId="023875A2" w14:textId="43202420" w:rsidR="00DD5DFB" w:rsidRPr="00962071" w:rsidRDefault="00DD5DFB" w:rsidP="00DD5DFB">
      <w:pPr>
        <w:ind w:left="-720"/>
        <w:jc w:val="both"/>
        <w:rPr>
          <w:lang w:val="fr-FR"/>
        </w:rPr>
      </w:pPr>
      <w:r>
        <w:rPr>
          <w:lang w:val="fr-FR"/>
        </w:rPr>
        <w:t>Au compte du résultat1</w:t>
      </w:r>
      <w:r w:rsidR="00F07502">
        <w:rPr>
          <w:lang w:val="fr-FR"/>
        </w:rPr>
        <w:t>,</w:t>
      </w:r>
      <w:r>
        <w:rPr>
          <w:lang w:val="fr-FR"/>
        </w:rPr>
        <w:t xml:space="preserve"> axé sur l’amélioration de la redevabilité et </w:t>
      </w:r>
      <w:r w:rsidRPr="004C6AFA">
        <w:rPr>
          <w:lang w:val="fr-FR"/>
        </w:rPr>
        <w:t>la transparence des services de police</w:t>
      </w:r>
      <w:r>
        <w:rPr>
          <w:lang w:val="fr-FR"/>
        </w:rPr>
        <w:t>, on note un progrès considérable à travers le renforcement du mécanisme de remontée des plaintes des citoyens vers l’Inspection Générale des Services de Sécurité pour une meilleure observation des comportements des forces de police pendant leurs déploiements dans le cadre du respect et de l’application des mesures barrières, comme l’atteste</w:t>
      </w:r>
      <w:r w:rsidRPr="001D7019">
        <w:rPr>
          <w:lang w:val="fr-FR"/>
        </w:rPr>
        <w:t xml:space="preserve"> </w:t>
      </w:r>
      <w:r>
        <w:rPr>
          <w:lang w:val="fr-FR"/>
        </w:rPr>
        <w:t>l</w:t>
      </w:r>
      <w:r w:rsidRPr="004C6AFA">
        <w:rPr>
          <w:lang w:val="fr-FR"/>
        </w:rPr>
        <w:t xml:space="preserve">a présidente de la CONAG-DCF </w:t>
      </w:r>
      <w:r w:rsidRPr="004244CE">
        <w:rPr>
          <w:i/>
          <w:iCs/>
          <w:color w:val="000000" w:themeColor="text1"/>
          <w:lang w:val="fr-FR"/>
        </w:rPr>
        <w:t>:« Avant, j’étais habité par un sentiment de peur, de méfiance et de rejet vis-à-vis des forces de défense et de sécurité, mais avec le mécanisme de remontée des plaintes qui m’a permis de collaborer avec les cadres de l’inspection des services de sécurité, je retrouve la confiance et comprends les voies de recours me rassurant ainsi dans le chantier de lutte contre l’impunité qui reste notre préoccupation majeure »</w:t>
      </w:r>
      <w:r w:rsidR="004244CE" w:rsidRPr="004244CE">
        <w:rPr>
          <w:i/>
          <w:iCs/>
          <w:color w:val="000000" w:themeColor="text1"/>
          <w:lang w:val="fr-FR"/>
        </w:rPr>
        <w:t xml:space="preserve">. </w:t>
      </w:r>
      <w:r w:rsidR="004244CE" w:rsidRPr="00962071">
        <w:rPr>
          <w:color w:val="000000" w:themeColor="text1"/>
          <w:lang w:val="fr-FR"/>
        </w:rPr>
        <w:t xml:space="preserve">Au deuxième trimestre de l’année 2020 près de dix dossiers furent traités par l’inspection par le biais des points focaux évoluant sur le terrain. </w:t>
      </w:r>
    </w:p>
    <w:p w14:paraId="0B749BBE" w14:textId="77777777" w:rsidR="005871A3" w:rsidRDefault="005871A3" w:rsidP="00DD5DFB">
      <w:pPr>
        <w:ind w:left="-720"/>
        <w:jc w:val="both"/>
        <w:rPr>
          <w:lang w:val="fr-FR"/>
        </w:rPr>
      </w:pPr>
    </w:p>
    <w:p w14:paraId="4B057D6D" w14:textId="06A1E255" w:rsidR="00DD5DFB" w:rsidRPr="00290917" w:rsidRDefault="00DD5DFB" w:rsidP="00DD5DFB">
      <w:pPr>
        <w:ind w:left="-720"/>
        <w:jc w:val="both"/>
        <w:rPr>
          <w:lang w:val="fr-FR"/>
        </w:rPr>
      </w:pPr>
      <w:r w:rsidRPr="00290917">
        <w:rPr>
          <w:lang w:val="fr-FR"/>
        </w:rPr>
        <w:t xml:space="preserve">Aussi, en vue d’un meilleur </w:t>
      </w:r>
      <w:r w:rsidRPr="005871A3">
        <w:rPr>
          <w:lang w:val="fr-FR"/>
        </w:rPr>
        <w:t>fonctionnement du mécanisme</w:t>
      </w:r>
      <w:r w:rsidR="00F07502">
        <w:rPr>
          <w:lang w:val="fr-FR"/>
        </w:rPr>
        <w:t xml:space="preserve"> de remontée des plaintes</w:t>
      </w:r>
      <w:r w:rsidRPr="00290917">
        <w:rPr>
          <w:lang w:val="fr-FR"/>
        </w:rPr>
        <w:t xml:space="preserve"> eu égard à la recrudescence des violences basées sur le genre, les capacités des points focaux </w:t>
      </w:r>
      <w:r w:rsidR="00F07502">
        <w:rPr>
          <w:lang w:val="fr-FR"/>
        </w:rPr>
        <w:t>de cet outil</w:t>
      </w:r>
      <w:r w:rsidRPr="00290917">
        <w:rPr>
          <w:lang w:val="fr-FR"/>
        </w:rPr>
        <w:t xml:space="preserve"> au nombre de 35 ont été renforcées en vue de mieux combattre le phénomène. </w:t>
      </w:r>
    </w:p>
    <w:p w14:paraId="69010185" w14:textId="77777777" w:rsidR="00F07502" w:rsidRDefault="00F07502" w:rsidP="00DD5DFB">
      <w:pPr>
        <w:ind w:left="-720"/>
        <w:jc w:val="both"/>
        <w:rPr>
          <w:lang w:val="fr-FR"/>
        </w:rPr>
      </w:pPr>
    </w:p>
    <w:p w14:paraId="2CA99392" w14:textId="6E97347C" w:rsidR="00DD5DFB" w:rsidRDefault="00DD5DFB" w:rsidP="00DD5DFB">
      <w:pPr>
        <w:ind w:left="-720"/>
        <w:jc w:val="both"/>
        <w:rPr>
          <w:lang w:val="fr-FR"/>
        </w:rPr>
      </w:pPr>
      <w:r w:rsidRPr="00290917">
        <w:rPr>
          <w:lang w:val="fr-FR"/>
        </w:rPr>
        <w:t>Au niveau de l’Inspection Générale des Services de Sécurité, il a été institué les contrôles inopinés et ceux périodiques pour l’</w:t>
      </w:r>
      <w:r>
        <w:rPr>
          <w:lang w:val="fr-FR"/>
        </w:rPr>
        <w:t>a</w:t>
      </w:r>
      <w:r w:rsidRPr="00290917">
        <w:rPr>
          <w:lang w:val="fr-FR"/>
        </w:rPr>
        <w:t xml:space="preserve">ncrage de la culture de contrôle au sein des différentes unités ; cela a permis d’effectuer 14 missions d’inspections inopinées et 4 </w:t>
      </w:r>
      <w:r w:rsidR="005871A3">
        <w:rPr>
          <w:lang w:val="fr-FR"/>
        </w:rPr>
        <w:t xml:space="preserve">missions </w:t>
      </w:r>
      <w:r w:rsidRPr="00290917">
        <w:rPr>
          <w:lang w:val="fr-FR"/>
        </w:rPr>
        <w:t xml:space="preserve">programmées </w:t>
      </w:r>
      <w:r w:rsidR="005871A3">
        <w:rPr>
          <w:lang w:val="fr-FR"/>
        </w:rPr>
        <w:t xml:space="preserve">qui ont permis d’observés </w:t>
      </w:r>
      <w:r w:rsidRPr="00290917">
        <w:rPr>
          <w:lang w:val="fr-FR"/>
        </w:rPr>
        <w:t xml:space="preserve">plus de 60 cas d’irrégularité qui ont </w:t>
      </w:r>
      <w:r w:rsidR="005871A3">
        <w:rPr>
          <w:lang w:val="fr-FR"/>
        </w:rPr>
        <w:t xml:space="preserve">écopés des </w:t>
      </w:r>
      <w:r w:rsidRPr="00290917">
        <w:rPr>
          <w:lang w:val="fr-FR"/>
        </w:rPr>
        <w:t>sanction</w:t>
      </w:r>
      <w:r w:rsidR="005871A3">
        <w:rPr>
          <w:lang w:val="fr-FR"/>
        </w:rPr>
        <w:t>s</w:t>
      </w:r>
      <w:r w:rsidRPr="00290917">
        <w:rPr>
          <w:lang w:val="fr-FR"/>
        </w:rPr>
        <w:t xml:space="preserve"> disciplinaires allant du blâme aux avertissements.</w:t>
      </w:r>
    </w:p>
    <w:p w14:paraId="45657C58" w14:textId="77777777" w:rsidR="00F07502" w:rsidRPr="00290917" w:rsidRDefault="00F07502" w:rsidP="00DD5DFB">
      <w:pPr>
        <w:ind w:left="-720"/>
        <w:jc w:val="both"/>
        <w:rPr>
          <w:lang w:val="fr-FR"/>
        </w:rPr>
      </w:pPr>
    </w:p>
    <w:p w14:paraId="54BBBF6E" w14:textId="1BC0F544" w:rsidR="00627A1C" w:rsidRPr="00C65AB4" w:rsidRDefault="00DD5DFB" w:rsidP="00C65AB4">
      <w:pPr>
        <w:ind w:left="-720"/>
        <w:jc w:val="both"/>
        <w:rPr>
          <w:lang w:val="fr-FR"/>
        </w:rPr>
      </w:pPr>
      <w:r w:rsidRPr="00290917">
        <w:rPr>
          <w:lang w:val="fr-FR"/>
        </w:rPr>
        <w:t xml:space="preserve">Au niveau du parlement exerçant le contrôle externe, 4 grandes missions constituées </w:t>
      </w:r>
      <w:r w:rsidR="005871A3">
        <w:rPr>
          <w:lang w:val="fr-FR"/>
        </w:rPr>
        <w:t>d’au moins</w:t>
      </w:r>
      <w:r w:rsidRPr="00290917">
        <w:rPr>
          <w:lang w:val="fr-FR"/>
        </w:rPr>
        <w:t xml:space="preserve"> 14 parlementaires et assistants ont permis d’évaluer les rapports </w:t>
      </w:r>
      <w:proofErr w:type="spellStart"/>
      <w:r w:rsidRPr="00290917">
        <w:rPr>
          <w:lang w:val="fr-FR"/>
        </w:rPr>
        <w:t>civilo</w:t>
      </w:r>
      <w:proofErr w:type="spellEnd"/>
      <w:r w:rsidRPr="00290917">
        <w:rPr>
          <w:lang w:val="fr-FR"/>
        </w:rPr>
        <w:t xml:space="preserve">-militaires ainsi </w:t>
      </w:r>
      <w:r w:rsidRPr="00290917">
        <w:rPr>
          <w:lang w:val="fr-FR"/>
        </w:rPr>
        <w:lastRenderedPageBreak/>
        <w:t>que les conditions de vie et de travail des forces</w:t>
      </w:r>
      <w:r>
        <w:rPr>
          <w:lang w:val="fr-FR"/>
        </w:rPr>
        <w:t xml:space="preserve"> de défense et de sécurité</w:t>
      </w:r>
      <w:r w:rsidRPr="00290917">
        <w:rPr>
          <w:lang w:val="fr-FR"/>
        </w:rPr>
        <w:t xml:space="preserve"> sur le terrain. Cette évaluation a permis d’établir les incohérences entre administrateurs civils et forces de sécurité dans le cadre de leurs déploiement</w:t>
      </w:r>
      <w:r>
        <w:rPr>
          <w:lang w:val="fr-FR"/>
        </w:rPr>
        <w:t>s</w:t>
      </w:r>
      <w:r w:rsidRPr="00290917">
        <w:rPr>
          <w:lang w:val="fr-FR"/>
        </w:rPr>
        <w:t xml:space="preserve"> dans les opérations de maintien de l’ordre.</w:t>
      </w:r>
      <w:r w:rsidR="005871A3">
        <w:rPr>
          <w:lang w:val="fr-FR"/>
        </w:rPr>
        <w:t xml:space="preserve"> Des corrections ont été proposées aux autorités concernées.</w:t>
      </w:r>
    </w:p>
    <w:p w14:paraId="65234986" w14:textId="77777777" w:rsidR="00504379" w:rsidRDefault="00504379" w:rsidP="00627A1C">
      <w:pPr>
        <w:ind w:left="-720"/>
        <w:rPr>
          <w:b/>
          <w:bCs/>
          <w:color w:val="000000"/>
          <w:lang w:val="fr-FR" w:eastAsia="en-US"/>
        </w:rPr>
      </w:pPr>
    </w:p>
    <w:p w14:paraId="41ABD3CD" w14:textId="138EB786" w:rsidR="00161D02" w:rsidRPr="00504379" w:rsidRDefault="005D15A3" w:rsidP="00627A1C">
      <w:pPr>
        <w:ind w:left="-720"/>
        <w:rPr>
          <w:i/>
          <w:iCs/>
          <w:lang w:val="fr-FR"/>
        </w:rPr>
      </w:pPr>
      <w:r w:rsidRPr="00504379">
        <w:rPr>
          <w:i/>
          <w:iCs/>
          <w:color w:val="000000"/>
          <w:lang w:val="fr-FR" w:eastAsia="en-US"/>
        </w:rPr>
        <w:t>Indiquez toute analyse supplémentaire sur la manière dont l'égalité entre les sexes et l'autonomisation des femmes et / ou l'inclusion</w:t>
      </w:r>
      <w:r w:rsidR="00675507" w:rsidRPr="00504379">
        <w:rPr>
          <w:i/>
          <w:iCs/>
          <w:color w:val="000000"/>
          <w:lang w:val="fr-FR" w:eastAsia="en-US"/>
        </w:rPr>
        <w:t xml:space="preserve"> </w:t>
      </w:r>
      <w:r w:rsidRPr="00504379">
        <w:rPr>
          <w:i/>
          <w:iCs/>
          <w:color w:val="000000"/>
          <w:lang w:val="fr-FR" w:eastAsia="en-US"/>
        </w:rPr>
        <w:t xml:space="preserve">et la réactivité </w:t>
      </w:r>
      <w:r w:rsidR="00675507" w:rsidRPr="00504379">
        <w:rPr>
          <w:i/>
          <w:iCs/>
          <w:color w:val="000000"/>
          <w:lang w:val="fr-FR" w:eastAsia="en-US"/>
        </w:rPr>
        <w:t>aux besoins des</w:t>
      </w:r>
      <w:r w:rsidRPr="00504379">
        <w:rPr>
          <w:i/>
          <w:iCs/>
          <w:color w:val="000000"/>
          <w:lang w:val="fr-FR" w:eastAsia="en-US"/>
        </w:rPr>
        <w:t xml:space="preserve"> jeunes ont été assurées dans le cadre de ce </w:t>
      </w:r>
      <w:r w:rsidR="006A7086" w:rsidRPr="00504379">
        <w:rPr>
          <w:i/>
          <w:iCs/>
          <w:color w:val="000000"/>
          <w:lang w:val="fr-FR" w:eastAsia="en-US"/>
        </w:rPr>
        <w:t>résultat</w:t>
      </w:r>
      <w:r w:rsidR="006A7086" w:rsidRPr="00504379">
        <w:rPr>
          <w:i/>
          <w:iCs/>
          <w:lang w:val="fr-FR"/>
        </w:rPr>
        <w:t xml:space="preserve"> :</w:t>
      </w:r>
      <w:r w:rsidR="00161D02" w:rsidRPr="00504379">
        <w:rPr>
          <w:i/>
          <w:iCs/>
          <w:lang w:val="fr-FR"/>
        </w:rPr>
        <w:t xml:space="preserve"> (</w:t>
      </w:r>
      <w:r w:rsidR="00675507" w:rsidRPr="00504379">
        <w:rPr>
          <w:rFonts w:ascii="inherit" w:hAnsi="inherit"/>
          <w:i/>
          <w:iCs/>
          <w:color w:val="212121"/>
          <w:lang w:val="fr-FR"/>
        </w:rPr>
        <w:t>Limite de 1000 caractères</w:t>
      </w:r>
      <w:r w:rsidR="00161D02" w:rsidRPr="00504379">
        <w:rPr>
          <w:i/>
          <w:iCs/>
          <w:lang w:val="fr-FR"/>
        </w:rPr>
        <w:t>)</w:t>
      </w:r>
    </w:p>
    <w:p w14:paraId="4751F7FC" w14:textId="77777777" w:rsidR="00504379" w:rsidRDefault="00504379" w:rsidP="006A7086">
      <w:pPr>
        <w:ind w:left="-720"/>
        <w:jc w:val="both"/>
        <w:rPr>
          <w:lang w:val="fr-FR"/>
        </w:rPr>
      </w:pPr>
    </w:p>
    <w:p w14:paraId="1E669EAF" w14:textId="02A797CC" w:rsidR="006A7086" w:rsidRPr="0043403A" w:rsidRDefault="006A7086" w:rsidP="006A7086">
      <w:pPr>
        <w:ind w:left="-720"/>
        <w:jc w:val="both"/>
        <w:rPr>
          <w:lang w:val="fr-FR"/>
        </w:rPr>
      </w:pPr>
      <w:r w:rsidRPr="0043403A">
        <w:rPr>
          <w:lang w:val="fr-FR"/>
        </w:rPr>
        <w:t>Le projet a intégré l’aspect genre dans l’essentiel des activités de</w:t>
      </w:r>
      <w:r w:rsidR="005871A3">
        <w:rPr>
          <w:lang w:val="fr-FR"/>
        </w:rPr>
        <w:t xml:space="preserve"> </w:t>
      </w:r>
      <w:r w:rsidRPr="0043403A">
        <w:rPr>
          <w:lang w:val="fr-FR"/>
        </w:rPr>
        <w:t>formation et de déploiement des points focaux et</w:t>
      </w:r>
      <w:r w:rsidR="002B4474">
        <w:rPr>
          <w:lang w:val="fr-FR"/>
        </w:rPr>
        <w:t xml:space="preserve"> autres</w:t>
      </w:r>
      <w:r w:rsidRPr="0043403A">
        <w:rPr>
          <w:lang w:val="fr-FR"/>
        </w:rPr>
        <w:t xml:space="preserve"> acteurs de l’observatoire de la sécurité urbaine</w:t>
      </w:r>
      <w:r w:rsidR="002B4474">
        <w:rPr>
          <w:lang w:val="fr-FR"/>
        </w:rPr>
        <w:t xml:space="preserve"> avec </w:t>
      </w:r>
      <w:r w:rsidRPr="0043403A">
        <w:rPr>
          <w:lang w:val="fr-FR"/>
        </w:rPr>
        <w:t>un total de 94</w:t>
      </w:r>
      <w:r w:rsidR="002B4474">
        <w:rPr>
          <w:lang w:val="fr-FR"/>
        </w:rPr>
        <w:t xml:space="preserve"> personnes</w:t>
      </w:r>
      <w:r w:rsidRPr="0043403A">
        <w:rPr>
          <w:lang w:val="fr-FR"/>
        </w:rPr>
        <w:t xml:space="preserve"> dont 50 Jeunes et 6 femmes</w:t>
      </w:r>
      <w:r w:rsidR="002B4474">
        <w:rPr>
          <w:lang w:val="fr-FR"/>
        </w:rPr>
        <w:t> ;</w:t>
      </w:r>
      <w:r w:rsidRPr="0043403A">
        <w:rPr>
          <w:lang w:val="fr-FR"/>
        </w:rPr>
        <w:t xml:space="preserve"> et le mécanisme de remontée des plaintes (34 jeunes et 12 femmes) qui travaillent en synergie avec les services de sécurité dans le cadre du contrôle.</w:t>
      </w:r>
    </w:p>
    <w:p w14:paraId="61E24FFA" w14:textId="329D5ACC" w:rsidR="006A7086" w:rsidRPr="0043403A" w:rsidRDefault="006A7086" w:rsidP="006A7086">
      <w:pPr>
        <w:ind w:left="-720"/>
        <w:jc w:val="both"/>
        <w:rPr>
          <w:lang w:val="fr-FR"/>
        </w:rPr>
      </w:pPr>
      <w:r w:rsidRPr="0043403A">
        <w:rPr>
          <w:lang w:val="fr-FR"/>
        </w:rPr>
        <w:t>La formation des points focaux sur les violences basées sur le genre dans le cadre du mécanisme</w:t>
      </w:r>
      <w:r w:rsidR="002B4474">
        <w:rPr>
          <w:lang w:val="fr-FR"/>
        </w:rPr>
        <w:t xml:space="preserve"> de remontée</w:t>
      </w:r>
      <w:r w:rsidRPr="0043403A">
        <w:rPr>
          <w:lang w:val="fr-FR"/>
        </w:rPr>
        <w:t xml:space="preserve"> a contribué fortement à la </w:t>
      </w:r>
      <w:r w:rsidR="002B4474">
        <w:rPr>
          <w:lang w:val="fr-FR"/>
        </w:rPr>
        <w:t xml:space="preserve">collecte </w:t>
      </w:r>
      <w:r w:rsidRPr="0043403A">
        <w:rPr>
          <w:lang w:val="fr-FR"/>
        </w:rPr>
        <w:t xml:space="preserve">des cas </w:t>
      </w:r>
      <w:r>
        <w:rPr>
          <w:lang w:val="fr-FR"/>
        </w:rPr>
        <w:t xml:space="preserve">de </w:t>
      </w:r>
      <w:r w:rsidRPr="00F247B1">
        <w:rPr>
          <w:lang w:val="fr-FR"/>
        </w:rPr>
        <w:t xml:space="preserve">violences basées sur le genre </w:t>
      </w:r>
      <w:r w:rsidRPr="0043403A">
        <w:rPr>
          <w:lang w:val="fr-FR"/>
        </w:rPr>
        <w:t>pour alimenter la base de données</w:t>
      </w:r>
      <w:r w:rsidR="002B4474">
        <w:rPr>
          <w:lang w:val="fr-FR"/>
        </w:rPr>
        <w:t xml:space="preserve"> des services (OPROGEM et autres.)</w:t>
      </w:r>
      <w:r w:rsidRPr="0043403A">
        <w:rPr>
          <w:lang w:val="fr-FR"/>
        </w:rPr>
        <w:t xml:space="preserve">. </w:t>
      </w:r>
    </w:p>
    <w:p w14:paraId="77E9478C" w14:textId="15A60DA8" w:rsidR="00161D02" w:rsidRPr="006A7086" w:rsidRDefault="00161D02" w:rsidP="00161D02">
      <w:pPr>
        <w:ind w:left="-720"/>
        <w:rPr>
          <w:b/>
          <w:lang w:val="fr-FR"/>
        </w:rPr>
      </w:pPr>
    </w:p>
    <w:p w14:paraId="7F1829E3" w14:textId="460CE70F" w:rsidR="006A7086" w:rsidRPr="006A7086" w:rsidRDefault="00675507" w:rsidP="006A7086">
      <w:pPr>
        <w:ind w:left="-720"/>
        <w:rPr>
          <w:b/>
          <w:bCs/>
          <w:lang w:val="fr-FR"/>
        </w:rPr>
      </w:pPr>
      <w:r w:rsidRPr="00615EA3">
        <w:rPr>
          <w:b/>
          <w:u w:val="single"/>
          <w:lang w:val="fr-FR"/>
        </w:rPr>
        <w:t xml:space="preserve">Résultat </w:t>
      </w:r>
      <w:r>
        <w:rPr>
          <w:b/>
          <w:u w:val="single"/>
          <w:lang w:val="fr-FR"/>
        </w:rPr>
        <w:t>2</w:t>
      </w:r>
      <w:r w:rsidR="00066FFE">
        <w:rPr>
          <w:b/>
          <w:u w:val="single"/>
          <w:lang w:val="fr-FR"/>
        </w:rPr>
        <w:t xml:space="preserve"> </w:t>
      </w:r>
      <w:r w:rsidRPr="00615EA3">
        <w:rPr>
          <w:b/>
          <w:u w:val="single"/>
          <w:lang w:val="fr-FR"/>
        </w:rPr>
        <w:t>:</w:t>
      </w:r>
      <w:r w:rsidRPr="00615EA3">
        <w:rPr>
          <w:b/>
          <w:lang w:val="fr-FR"/>
        </w:rPr>
        <w:t xml:space="preserve">  </w:t>
      </w:r>
      <w:r w:rsidR="006A7086" w:rsidRPr="006A7086">
        <w:rPr>
          <w:b/>
          <w:bCs/>
          <w:lang w:val="fr-FR"/>
        </w:rPr>
        <w:t>Les capacités Techniques et matérielles des services de polices sont renforcées</w:t>
      </w:r>
    </w:p>
    <w:p w14:paraId="521560B0" w14:textId="77777777" w:rsidR="00675507" w:rsidRPr="00615EA3" w:rsidRDefault="00675507" w:rsidP="006A7086">
      <w:pPr>
        <w:rPr>
          <w:b/>
          <w:lang w:val="fr-FR"/>
        </w:rPr>
      </w:pPr>
    </w:p>
    <w:p w14:paraId="192B211F" w14:textId="2BB62E9B"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C65AB4">
        <w:rPr>
          <w:rFonts w:ascii="inherit" w:hAnsi="inherit"/>
          <w:color w:val="212121"/>
          <w:lang w:val="fr-FR"/>
        </w:rPr>
        <w:t>résultat</w:t>
      </w:r>
      <w:r w:rsidR="00C65AB4" w:rsidRPr="009C39D0">
        <w:rPr>
          <w:rFonts w:ascii="inherit" w:hAnsi="inherit"/>
          <w:color w:val="212121"/>
          <w:lang w:val="fr-FR"/>
        </w:rPr>
        <w:t xml:space="preserve"> :</w:t>
      </w:r>
      <w:r w:rsidRPr="00615EA3">
        <w:rPr>
          <w:b/>
          <w:lang w:val="fr-FR"/>
        </w:rPr>
        <w:t xml:space="preserve"> </w:t>
      </w:r>
      <w:r w:rsidR="00C65AB4">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C65AB4" w:rsidRPr="001D7019">
        <w:rPr>
          <w:rFonts w:ascii="Arial Narrow" w:hAnsi="Arial Narrow"/>
          <w:b/>
          <w:sz w:val="22"/>
          <w:szCs w:val="22"/>
          <w:lang w:val="fr-FR"/>
        </w:rPr>
        <w:instrText xml:space="preserve"> FORMDROPDOWN </w:instrText>
      </w:r>
      <w:r w:rsidR="00940ACD">
        <w:rPr>
          <w:rFonts w:ascii="Arial Narrow" w:hAnsi="Arial Narrow"/>
          <w:b/>
          <w:sz w:val="22"/>
          <w:szCs w:val="22"/>
        </w:rPr>
      </w:r>
      <w:r w:rsidR="00940ACD">
        <w:rPr>
          <w:rFonts w:ascii="Arial Narrow" w:hAnsi="Arial Narrow"/>
          <w:b/>
          <w:sz w:val="22"/>
          <w:szCs w:val="22"/>
        </w:rPr>
        <w:fldChar w:fldCharType="separate"/>
      </w:r>
      <w:r w:rsidR="00C65AB4">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1FA6527E" w:rsidR="00675507" w:rsidRPr="005D15A3" w:rsidRDefault="00C65AB4" w:rsidP="00675507">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4E8ABCB8" w14:textId="77777777" w:rsidR="00504379" w:rsidRDefault="00504379" w:rsidP="006A7086">
      <w:pPr>
        <w:ind w:left="-720"/>
        <w:jc w:val="both"/>
        <w:rPr>
          <w:lang w:val="fr-FR"/>
        </w:rPr>
      </w:pPr>
    </w:p>
    <w:p w14:paraId="7381FCEB" w14:textId="5FB5078F" w:rsidR="006A7086" w:rsidRPr="0043403A" w:rsidRDefault="006A7086" w:rsidP="006A7086">
      <w:pPr>
        <w:ind w:left="-720"/>
        <w:jc w:val="both"/>
        <w:rPr>
          <w:lang w:val="fr-FR"/>
        </w:rPr>
      </w:pPr>
      <w:r>
        <w:rPr>
          <w:lang w:val="fr-FR"/>
        </w:rPr>
        <w:t>Au terme de ce projet, on note globalement que ce résultat est atteint, c’est-à-dire que l</w:t>
      </w:r>
      <w:r w:rsidRPr="00E86194">
        <w:rPr>
          <w:lang w:val="fr-FR"/>
        </w:rPr>
        <w:t xml:space="preserve">es capacités </w:t>
      </w:r>
      <w:r w:rsidR="002B4474">
        <w:rPr>
          <w:lang w:val="fr-FR"/>
        </w:rPr>
        <w:t>t</w:t>
      </w:r>
      <w:r w:rsidRPr="00E86194">
        <w:rPr>
          <w:lang w:val="fr-FR"/>
        </w:rPr>
        <w:t>echniques et matérielles des services de polices sont renforcées</w:t>
      </w:r>
      <w:r>
        <w:rPr>
          <w:lang w:val="fr-FR"/>
        </w:rPr>
        <w:t>. En effet au</w:t>
      </w:r>
      <w:r w:rsidRPr="0043403A">
        <w:rPr>
          <w:lang w:val="fr-FR"/>
        </w:rPr>
        <w:t xml:space="preserve"> niveau de l’observatoire de la sécurité urbaine, les points focaux ont été formés et équipés, ce qui a favorisé le bon fonctionnement dudit observatoire à travers l</w:t>
      </w:r>
      <w:r w:rsidR="002B4474">
        <w:rPr>
          <w:lang w:val="fr-FR"/>
        </w:rPr>
        <w:t>a</w:t>
      </w:r>
      <w:r w:rsidRPr="0043403A">
        <w:rPr>
          <w:lang w:val="fr-FR"/>
        </w:rPr>
        <w:t xml:space="preserve"> remontée de</w:t>
      </w:r>
      <w:r w:rsidR="002B4474">
        <w:rPr>
          <w:lang w:val="fr-FR"/>
        </w:rPr>
        <w:t>s</w:t>
      </w:r>
      <w:r w:rsidRPr="0043403A">
        <w:rPr>
          <w:lang w:val="fr-FR"/>
        </w:rPr>
        <w:t xml:space="preserve"> données sécuritaires sur le terrain. </w:t>
      </w:r>
      <w:r>
        <w:rPr>
          <w:lang w:val="fr-FR"/>
        </w:rPr>
        <w:t>De même</w:t>
      </w:r>
      <w:r w:rsidRPr="0043403A">
        <w:rPr>
          <w:lang w:val="fr-FR"/>
        </w:rPr>
        <w:t>, les capacités d’intervention de la police routière et l’Office de Protection du Genre</w:t>
      </w:r>
      <w:r w:rsidR="002B4474">
        <w:rPr>
          <w:lang w:val="fr-FR"/>
        </w:rPr>
        <w:t>,</w:t>
      </w:r>
      <w:r w:rsidRPr="0043403A">
        <w:rPr>
          <w:lang w:val="fr-FR"/>
        </w:rPr>
        <w:t xml:space="preserve"> de l’Enfance et des Mœurs</w:t>
      </w:r>
      <w:r w:rsidR="002B4474">
        <w:rPr>
          <w:lang w:val="fr-FR"/>
        </w:rPr>
        <w:t xml:space="preserve"> (OPROGEM)</w:t>
      </w:r>
      <w:r w:rsidRPr="0043403A">
        <w:rPr>
          <w:lang w:val="fr-FR"/>
        </w:rPr>
        <w:t xml:space="preserve"> </w:t>
      </w:r>
      <w:r w:rsidR="002B4474">
        <w:rPr>
          <w:lang w:val="fr-FR"/>
        </w:rPr>
        <w:t xml:space="preserve">ont été </w:t>
      </w:r>
      <w:r w:rsidRPr="0043403A">
        <w:rPr>
          <w:lang w:val="fr-FR"/>
        </w:rPr>
        <w:t>accrues</w:t>
      </w:r>
      <w:r w:rsidR="002B4474">
        <w:rPr>
          <w:lang w:val="fr-FR"/>
        </w:rPr>
        <w:t xml:space="preserve"> </w:t>
      </w:r>
      <w:r w:rsidRPr="0043403A">
        <w:rPr>
          <w:lang w:val="fr-FR"/>
        </w:rPr>
        <w:t>à travers un appui en matériel</w:t>
      </w:r>
      <w:r w:rsidR="002B4474">
        <w:rPr>
          <w:lang w:val="fr-FR"/>
        </w:rPr>
        <w:t xml:space="preserve">s </w:t>
      </w:r>
      <w:r w:rsidRPr="0043403A">
        <w:rPr>
          <w:lang w:val="fr-FR"/>
        </w:rPr>
        <w:t>bureautique</w:t>
      </w:r>
      <w:r w:rsidR="002B4474">
        <w:rPr>
          <w:lang w:val="fr-FR"/>
        </w:rPr>
        <w:t>s</w:t>
      </w:r>
      <w:r w:rsidRPr="0043403A">
        <w:rPr>
          <w:lang w:val="fr-FR"/>
        </w:rPr>
        <w:t xml:space="preserve"> </w:t>
      </w:r>
      <w:r w:rsidR="0017460D">
        <w:rPr>
          <w:lang w:val="fr-FR"/>
        </w:rPr>
        <w:t xml:space="preserve">pour un meilleur traitement des dossiers </w:t>
      </w:r>
      <w:r w:rsidRPr="0043403A">
        <w:rPr>
          <w:lang w:val="fr-FR"/>
        </w:rPr>
        <w:t>et la formation de 485 officiers et agents dans le cadre de l’exercice de leur profession.</w:t>
      </w:r>
    </w:p>
    <w:p w14:paraId="5CD0C765" w14:textId="15733F31" w:rsidR="006A7086" w:rsidRPr="0043403A" w:rsidRDefault="006A7086" w:rsidP="006A7086">
      <w:pPr>
        <w:ind w:left="-720"/>
        <w:jc w:val="both"/>
        <w:rPr>
          <w:lang w:val="fr-FR"/>
        </w:rPr>
      </w:pPr>
      <w:r>
        <w:rPr>
          <w:lang w:val="fr-FR"/>
        </w:rPr>
        <w:t>Aussi</w:t>
      </w:r>
      <w:r w:rsidR="002B4474">
        <w:rPr>
          <w:lang w:val="fr-FR"/>
        </w:rPr>
        <w:t>,</w:t>
      </w:r>
      <w:r>
        <w:rPr>
          <w:lang w:val="fr-FR"/>
        </w:rPr>
        <w:t xml:space="preserve"> l</w:t>
      </w:r>
      <w:r w:rsidRPr="0043403A">
        <w:rPr>
          <w:lang w:val="fr-FR"/>
        </w:rPr>
        <w:t xml:space="preserve">e renforcement des structures de contrôle internes s’est traduit par la révision du cadre </w:t>
      </w:r>
      <w:r w:rsidR="002B4474" w:rsidRPr="0043403A">
        <w:rPr>
          <w:lang w:val="fr-FR"/>
        </w:rPr>
        <w:t>règl</w:t>
      </w:r>
      <w:r w:rsidR="002B4474">
        <w:rPr>
          <w:lang w:val="fr-FR"/>
        </w:rPr>
        <w:t>e</w:t>
      </w:r>
      <w:r w:rsidR="002B4474" w:rsidRPr="0043403A">
        <w:rPr>
          <w:lang w:val="fr-FR"/>
        </w:rPr>
        <w:t>mentaire</w:t>
      </w:r>
      <w:r w:rsidRPr="0043403A">
        <w:rPr>
          <w:lang w:val="fr-FR"/>
        </w:rPr>
        <w:t xml:space="preserve"> et des outils de l’Inspection Générale des Services de Sécurité</w:t>
      </w:r>
      <w:r w:rsidR="00063D78">
        <w:rPr>
          <w:lang w:val="fr-FR"/>
        </w:rPr>
        <w:t xml:space="preserve"> </w:t>
      </w:r>
      <w:r w:rsidR="00063D78" w:rsidRPr="00241946">
        <w:rPr>
          <w:lang w:val="fr-FR"/>
        </w:rPr>
        <w:t>(</w:t>
      </w:r>
      <w:r w:rsidR="0017460D" w:rsidRPr="00241946">
        <w:rPr>
          <w:lang w:val="fr-FR"/>
        </w:rPr>
        <w:t xml:space="preserve">En exemple le projet décret </w:t>
      </w:r>
      <w:r w:rsidR="00241946" w:rsidRPr="00241946">
        <w:rPr>
          <w:lang w:val="fr-FR"/>
        </w:rPr>
        <w:t>régissant l’inspection générale a été élaboré et validé, vingt-quatre outils de collecte d’information amendé et validé ainsi que deux fiches sur le suivi du maintien d’ordre élaborée</w:t>
      </w:r>
      <w:r w:rsidR="00063D78" w:rsidRPr="00241946">
        <w:rPr>
          <w:lang w:val="fr-FR"/>
        </w:rPr>
        <w:t>)</w:t>
      </w:r>
      <w:r w:rsidRPr="00241946">
        <w:rPr>
          <w:lang w:val="fr-FR"/>
        </w:rPr>
        <w:t>.</w:t>
      </w:r>
    </w:p>
    <w:p w14:paraId="507E49A1" w14:textId="67D7A650" w:rsidR="006A7086" w:rsidRPr="0043403A" w:rsidRDefault="006A7086" w:rsidP="006A7086">
      <w:pPr>
        <w:ind w:left="-720"/>
        <w:jc w:val="both"/>
        <w:rPr>
          <w:lang w:val="fr-FR"/>
        </w:rPr>
      </w:pPr>
      <w:r w:rsidRPr="0043403A">
        <w:rPr>
          <w:lang w:val="fr-FR"/>
        </w:rPr>
        <w:t xml:space="preserve">Par la suite, 25 cadres </w:t>
      </w:r>
      <w:r w:rsidR="00063D78">
        <w:rPr>
          <w:lang w:val="fr-FR"/>
        </w:rPr>
        <w:t xml:space="preserve">administratifs </w:t>
      </w:r>
      <w:r w:rsidRPr="0043403A">
        <w:rPr>
          <w:lang w:val="fr-FR"/>
        </w:rPr>
        <w:t>de l’inspection générale des services de sécurité ont été outillés sur les techniques de contrôle et d’audit</w:t>
      </w:r>
      <w:r w:rsidR="00063D78">
        <w:rPr>
          <w:lang w:val="fr-FR"/>
        </w:rPr>
        <w:t>,</w:t>
      </w:r>
      <w:r w:rsidRPr="0043403A">
        <w:rPr>
          <w:lang w:val="fr-FR"/>
        </w:rPr>
        <w:t xml:space="preserve"> pour assurer un contrôle permanent des services.</w:t>
      </w:r>
    </w:p>
    <w:p w14:paraId="17DB7A76" w14:textId="27559621" w:rsidR="006A7086" w:rsidRPr="0043403A" w:rsidRDefault="006A7086" w:rsidP="006A7086">
      <w:pPr>
        <w:ind w:left="-720"/>
        <w:jc w:val="both"/>
        <w:rPr>
          <w:lang w:val="fr-FR"/>
        </w:rPr>
      </w:pPr>
      <w:r>
        <w:rPr>
          <w:lang w:val="fr-FR"/>
        </w:rPr>
        <w:t>Par ailleurs</w:t>
      </w:r>
      <w:r w:rsidR="00063D78">
        <w:rPr>
          <w:lang w:val="fr-FR"/>
        </w:rPr>
        <w:t>,</w:t>
      </w:r>
      <w:r>
        <w:rPr>
          <w:lang w:val="fr-FR"/>
        </w:rPr>
        <w:t xml:space="preserve"> l</w:t>
      </w:r>
      <w:r w:rsidRPr="0043403A">
        <w:rPr>
          <w:lang w:val="fr-FR"/>
        </w:rPr>
        <w:t xml:space="preserve">es unités de sécurité déployées dans le cadre de la lutte contre le </w:t>
      </w:r>
      <w:r w:rsidR="00504379">
        <w:rPr>
          <w:lang w:val="fr-FR"/>
        </w:rPr>
        <w:t>COVID</w:t>
      </w:r>
      <w:r w:rsidRPr="0043403A">
        <w:rPr>
          <w:lang w:val="fr-FR"/>
        </w:rPr>
        <w:t>19 ont bénéficié de la formation et des équipements de protection pour empêcher les forces</w:t>
      </w:r>
      <w:r w:rsidR="00063D78">
        <w:rPr>
          <w:lang w:val="fr-FR"/>
        </w:rPr>
        <w:t xml:space="preserve"> de police de devenir</w:t>
      </w:r>
      <w:r w:rsidRPr="0043403A">
        <w:rPr>
          <w:lang w:val="fr-FR"/>
        </w:rPr>
        <w:t xml:space="preserve"> des vecteurs de propagation de la pandémie. </w:t>
      </w:r>
    </w:p>
    <w:p w14:paraId="51D5DD53" w14:textId="77777777" w:rsidR="00675507" w:rsidRPr="006A7086" w:rsidRDefault="00675507" w:rsidP="00C65AB4">
      <w:pPr>
        <w:rPr>
          <w:b/>
          <w:lang w:val="fr-FR"/>
        </w:rPr>
      </w:pPr>
    </w:p>
    <w:p w14:paraId="14989312" w14:textId="04B51530" w:rsidR="00675507" w:rsidRPr="004F6810" w:rsidRDefault="00675507" w:rsidP="00675507">
      <w:pPr>
        <w:ind w:left="-720"/>
        <w:rPr>
          <w:i/>
          <w:iCs/>
          <w:lang w:val="fr-FR"/>
        </w:rPr>
      </w:pPr>
      <w:r w:rsidRPr="004F6810">
        <w:rPr>
          <w:i/>
          <w:i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C65AB4" w:rsidRPr="004F6810">
        <w:rPr>
          <w:i/>
          <w:iCs/>
          <w:color w:val="000000"/>
          <w:lang w:val="fr-FR" w:eastAsia="en-US"/>
        </w:rPr>
        <w:t>résultat</w:t>
      </w:r>
      <w:r w:rsidR="00C65AB4" w:rsidRPr="004F6810">
        <w:rPr>
          <w:i/>
          <w:iCs/>
          <w:lang w:val="fr-FR"/>
        </w:rPr>
        <w:t xml:space="preserve"> :</w:t>
      </w:r>
      <w:r w:rsidRPr="004F6810">
        <w:rPr>
          <w:i/>
          <w:iCs/>
          <w:lang w:val="fr-FR"/>
        </w:rPr>
        <w:t xml:space="preserve"> (</w:t>
      </w:r>
      <w:r w:rsidRPr="004F6810">
        <w:rPr>
          <w:rFonts w:ascii="inherit" w:hAnsi="inherit"/>
          <w:i/>
          <w:iCs/>
          <w:color w:val="212121"/>
          <w:lang w:val="fr-FR"/>
        </w:rPr>
        <w:t>Limite de 1000 caractères</w:t>
      </w:r>
      <w:r w:rsidRPr="004F6810">
        <w:rPr>
          <w:i/>
          <w:iCs/>
          <w:lang w:val="fr-FR"/>
        </w:rPr>
        <w:t>)</w:t>
      </w:r>
    </w:p>
    <w:p w14:paraId="53E9BF73" w14:textId="77777777" w:rsidR="004F6810" w:rsidRDefault="004F6810" w:rsidP="00C65AB4">
      <w:pPr>
        <w:ind w:left="-720"/>
        <w:jc w:val="both"/>
        <w:rPr>
          <w:lang w:val="fr-FR"/>
        </w:rPr>
      </w:pPr>
    </w:p>
    <w:p w14:paraId="4B7BC643" w14:textId="0D694463" w:rsidR="00C65AB4" w:rsidRPr="0043403A" w:rsidRDefault="00C65AB4" w:rsidP="00C65AB4">
      <w:pPr>
        <w:ind w:left="-720"/>
        <w:jc w:val="both"/>
        <w:rPr>
          <w:lang w:val="fr-FR"/>
        </w:rPr>
      </w:pPr>
      <w:r w:rsidRPr="0043403A">
        <w:rPr>
          <w:lang w:val="fr-FR"/>
        </w:rPr>
        <w:lastRenderedPageBreak/>
        <w:t>La formation de 35 officiers de police judiciaire de l’OPPROGEM des régions administratives de Mamou et de Labé a</w:t>
      </w:r>
      <w:r w:rsidR="00063D78">
        <w:rPr>
          <w:lang w:val="fr-FR"/>
        </w:rPr>
        <w:t>,</w:t>
      </w:r>
      <w:r w:rsidRPr="0043403A">
        <w:rPr>
          <w:lang w:val="fr-FR"/>
        </w:rPr>
        <w:t xml:space="preserve"> contribué à la lutte contre les violences basées sur le genre </w:t>
      </w:r>
      <w:r w:rsidR="00063D78">
        <w:rPr>
          <w:lang w:val="fr-FR"/>
        </w:rPr>
        <w:t xml:space="preserve">dans ces régions </w:t>
      </w:r>
      <w:r w:rsidRPr="0043403A">
        <w:rPr>
          <w:lang w:val="fr-FR"/>
        </w:rPr>
        <w:t xml:space="preserve">à travers la qualification des faits. </w:t>
      </w:r>
    </w:p>
    <w:p w14:paraId="6671D8FF" w14:textId="165DE4E1" w:rsidR="00C65AB4" w:rsidRPr="0043403A" w:rsidRDefault="00C65AB4" w:rsidP="00C65AB4">
      <w:pPr>
        <w:ind w:left="-720"/>
        <w:jc w:val="both"/>
        <w:rPr>
          <w:lang w:val="fr-FR"/>
        </w:rPr>
      </w:pPr>
      <w:r w:rsidRPr="0043403A">
        <w:rPr>
          <w:lang w:val="fr-FR"/>
        </w:rPr>
        <w:t xml:space="preserve"> </w:t>
      </w:r>
      <w:r w:rsidR="00063D78">
        <w:rPr>
          <w:lang w:val="fr-FR"/>
        </w:rPr>
        <w:t>Il y</w:t>
      </w:r>
      <w:r w:rsidR="00962071">
        <w:rPr>
          <w:lang w:val="fr-FR"/>
        </w:rPr>
        <w:t>’</w:t>
      </w:r>
      <w:r w:rsidR="00063D78">
        <w:rPr>
          <w:lang w:val="fr-FR"/>
        </w:rPr>
        <w:t>a lieu d’indiqué, que l</w:t>
      </w:r>
      <w:r w:rsidRPr="0043403A">
        <w:rPr>
          <w:lang w:val="fr-FR"/>
        </w:rPr>
        <w:t>es équipements de soutien bureautique visent aussi à assurer un service de qualité au niveau de la Direction générale de l’OPROGEM pour un meilleur traitement et documentation des cas de VBG.</w:t>
      </w:r>
    </w:p>
    <w:p w14:paraId="389E949D" w14:textId="53EC69D4" w:rsidR="00C65AB4" w:rsidRPr="0043403A" w:rsidRDefault="00C65AB4" w:rsidP="00C65AB4">
      <w:pPr>
        <w:ind w:left="-720"/>
        <w:jc w:val="both"/>
        <w:rPr>
          <w:lang w:val="fr-FR"/>
        </w:rPr>
      </w:pPr>
      <w:r w:rsidRPr="0043403A">
        <w:rPr>
          <w:lang w:val="fr-FR"/>
        </w:rPr>
        <w:t>Les structures féminines comme la CONAG-DCF</w:t>
      </w:r>
      <w:r w:rsidR="00063D78">
        <w:rPr>
          <w:lang w:val="fr-FR"/>
        </w:rPr>
        <w:t>,</w:t>
      </w:r>
      <w:r w:rsidRPr="0043403A">
        <w:rPr>
          <w:lang w:val="fr-FR"/>
        </w:rPr>
        <w:t xml:space="preserve"> à travers les points focaux ont été formées et travaillent de concert avec les structures de</w:t>
      </w:r>
      <w:r w:rsidR="00063D78">
        <w:rPr>
          <w:lang w:val="fr-FR"/>
        </w:rPr>
        <w:t>s</w:t>
      </w:r>
      <w:r w:rsidRPr="0043403A">
        <w:rPr>
          <w:lang w:val="fr-FR"/>
        </w:rPr>
        <w:t xml:space="preserve"> force</w:t>
      </w:r>
      <w:r w:rsidR="00063D78">
        <w:rPr>
          <w:lang w:val="fr-FR"/>
        </w:rPr>
        <w:t>s</w:t>
      </w:r>
      <w:r w:rsidRPr="0043403A">
        <w:rPr>
          <w:lang w:val="fr-FR"/>
        </w:rPr>
        <w:t xml:space="preserve"> de sécurité dans le cadre de la protection du genre.</w:t>
      </w:r>
    </w:p>
    <w:p w14:paraId="3C4ECBD1" w14:textId="63F1BA0F" w:rsidR="00675507" w:rsidRPr="00C65AB4" w:rsidRDefault="00675507" w:rsidP="00675507">
      <w:pPr>
        <w:ind w:left="-720"/>
        <w:rPr>
          <w:b/>
          <w:lang w:val="fr-FR"/>
        </w:rPr>
      </w:pPr>
    </w:p>
    <w:p w14:paraId="35EDE632" w14:textId="77777777" w:rsidR="00627A1C" w:rsidRPr="00C65AB4" w:rsidRDefault="00627A1C" w:rsidP="00627A1C">
      <w:pPr>
        <w:ind w:left="-720"/>
        <w:rPr>
          <w:b/>
          <w:lang w:val="fr-FR"/>
        </w:rPr>
      </w:pPr>
    </w:p>
    <w:p w14:paraId="02A4DAC5" w14:textId="1E2365DF"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C65AB4" w:rsidRPr="00426FE9">
        <w:rPr>
          <w:b/>
          <w:lang w:val="fr-FR"/>
        </w:rPr>
        <w:t>NA</w:t>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940ACD">
        <w:rPr>
          <w:rFonts w:ascii="Arial Narrow" w:hAnsi="Arial Narrow"/>
          <w:b/>
          <w:sz w:val="22"/>
          <w:szCs w:val="22"/>
        </w:rPr>
      </w:r>
      <w:r w:rsidR="00940ACD">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266E666"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BC2B79">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BC2B79" w:rsidRPr="00BC2B79">
        <w:rPr>
          <w:rFonts w:ascii="Arial Narrow" w:hAnsi="Arial Narrow"/>
          <w:b/>
          <w:sz w:val="22"/>
          <w:szCs w:val="22"/>
          <w:lang w:val="fr-FR"/>
        </w:rPr>
        <w:instrText xml:space="preserve"> FORMDROPDOWN </w:instrText>
      </w:r>
      <w:r w:rsidR="00940ACD">
        <w:rPr>
          <w:rFonts w:ascii="Arial Narrow" w:hAnsi="Arial Narrow"/>
          <w:b/>
          <w:sz w:val="22"/>
          <w:szCs w:val="22"/>
        </w:rPr>
      </w:r>
      <w:r w:rsidR="00940ACD">
        <w:rPr>
          <w:rFonts w:ascii="Arial Narrow" w:hAnsi="Arial Narrow"/>
          <w:b/>
          <w:sz w:val="22"/>
          <w:szCs w:val="22"/>
        </w:rPr>
        <w:fldChar w:fldCharType="separate"/>
      </w:r>
      <w:r w:rsidR="00BC2B79">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4042132A"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4B6B52" w:rsidRPr="005D15A3">
        <w:rPr>
          <w:b/>
          <w:bCs/>
          <w:color w:val="000000"/>
          <w:lang w:val="fr-FR" w:eastAsia="en-US"/>
        </w:rPr>
        <w:t>résultat</w:t>
      </w:r>
      <w:r w:rsidR="004B6B52"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962071" w14:paraId="3278E054" w14:textId="77777777" w:rsidTr="007F7257">
        <w:tc>
          <w:tcPr>
            <w:tcW w:w="4230" w:type="dxa"/>
            <w:shd w:val="clear" w:color="auto" w:fill="auto"/>
          </w:tcPr>
          <w:p w14:paraId="1A9F4B35" w14:textId="68404F16" w:rsidR="007118F5" w:rsidRPr="005C7C0C" w:rsidRDefault="00426FE9" w:rsidP="00234A5E">
            <w:pPr>
              <w:rPr>
                <w:i/>
                <w:iCs/>
                <w:lang w:val="fr-FR"/>
              </w:rPr>
            </w:pPr>
            <w:r w:rsidRPr="005C7C0C">
              <w:rPr>
                <w:b/>
                <w:bCs/>
                <w:i/>
                <w:iCs/>
                <w:u w:val="single"/>
                <w:lang w:val="fr-FR"/>
              </w:rPr>
              <w:t>Suivi</w:t>
            </w:r>
            <w:r w:rsidRPr="005C7C0C">
              <w:rPr>
                <w:b/>
                <w:bCs/>
                <w:i/>
                <w:iCs/>
                <w:lang w:val="fr-FR"/>
              </w:rPr>
              <w:t xml:space="preserve"> :</w:t>
            </w:r>
            <w:r w:rsidR="00513612" w:rsidRPr="005C7C0C">
              <w:rPr>
                <w:b/>
                <w:bCs/>
                <w:i/>
                <w:iCs/>
                <w:lang w:val="fr-FR"/>
              </w:rPr>
              <w:t xml:space="preserve"> </w:t>
            </w:r>
            <w:r w:rsidR="00675507" w:rsidRPr="005C7C0C">
              <w:rPr>
                <w:i/>
                <w:iCs/>
                <w:lang w:val="fr-FR"/>
              </w:rPr>
              <w:t>Indiquez les activités de suivi conduites dans la période du rapport</w:t>
            </w:r>
            <w:r w:rsidR="007118F5" w:rsidRPr="005C7C0C">
              <w:rPr>
                <w:i/>
                <w:iCs/>
                <w:lang w:val="fr-FR"/>
              </w:rPr>
              <w:t xml:space="preserve"> (</w:t>
            </w:r>
            <w:r w:rsidR="00675507" w:rsidRPr="005C7C0C">
              <w:rPr>
                <w:i/>
                <w:iCs/>
                <w:lang w:val="fr-FR"/>
              </w:rPr>
              <w:t>Limite de 1000 caractères)</w:t>
            </w:r>
          </w:p>
          <w:p w14:paraId="2B8A2D92" w14:textId="5A60CECC" w:rsidR="00426FE9" w:rsidRPr="00447836" w:rsidRDefault="00426FE9" w:rsidP="00426FE9">
            <w:pPr>
              <w:rPr>
                <w:i/>
                <w:lang w:val="fr-FR"/>
              </w:rPr>
            </w:pPr>
            <w:r>
              <w:rPr>
                <w:i/>
                <w:lang w:val="fr-FR"/>
              </w:rPr>
              <w:t xml:space="preserve"> </w:t>
            </w:r>
          </w:p>
          <w:p w14:paraId="6F0316B9" w14:textId="5F2E7C82" w:rsidR="00426FE9" w:rsidRPr="00447836" w:rsidRDefault="00426FE9" w:rsidP="00426FE9">
            <w:pPr>
              <w:rPr>
                <w:i/>
                <w:lang w:val="fr-FR"/>
              </w:rPr>
            </w:pPr>
            <w:r w:rsidRPr="00447836">
              <w:rPr>
                <w:i/>
                <w:lang w:val="fr-FR"/>
              </w:rPr>
              <w:t xml:space="preserve"> </w:t>
            </w:r>
            <w:r>
              <w:rPr>
                <w:i/>
                <w:lang w:val="fr-FR"/>
              </w:rPr>
              <w:t xml:space="preserve">La </w:t>
            </w:r>
            <w:r w:rsidR="00063D78">
              <w:rPr>
                <w:i/>
                <w:lang w:val="fr-FR"/>
              </w:rPr>
              <w:t>réalisation</w:t>
            </w:r>
            <w:r w:rsidRPr="00447836">
              <w:rPr>
                <w:i/>
                <w:lang w:val="fr-FR"/>
              </w:rPr>
              <w:t xml:space="preserve"> de quatre réunions de </w:t>
            </w:r>
            <w:r w:rsidR="00063D78">
              <w:rPr>
                <w:i/>
                <w:lang w:val="fr-FR"/>
              </w:rPr>
              <w:t xml:space="preserve">comité de pilotage </w:t>
            </w:r>
            <w:r w:rsidR="00AC4F6A">
              <w:rPr>
                <w:i/>
                <w:lang w:val="fr-FR"/>
              </w:rPr>
              <w:t xml:space="preserve">avec </w:t>
            </w:r>
            <w:r w:rsidRPr="00447836">
              <w:rPr>
                <w:i/>
                <w:lang w:val="fr-FR"/>
              </w:rPr>
              <w:t xml:space="preserve">présentation des </w:t>
            </w:r>
            <w:r w:rsidR="00063D78">
              <w:rPr>
                <w:i/>
                <w:lang w:val="fr-FR"/>
              </w:rPr>
              <w:t>r</w:t>
            </w:r>
            <w:r w:rsidRPr="00447836">
              <w:rPr>
                <w:i/>
                <w:lang w:val="fr-FR"/>
              </w:rPr>
              <w:t>ésultats des activités</w:t>
            </w:r>
            <w:r>
              <w:rPr>
                <w:i/>
                <w:lang w:val="fr-FR"/>
              </w:rPr>
              <w:t>, les réunions de présentations de résultats</w:t>
            </w:r>
            <w:r w:rsidR="00AC4F6A">
              <w:rPr>
                <w:i/>
                <w:lang w:val="fr-FR"/>
              </w:rPr>
              <w:t xml:space="preserve"> lors des comités techniques,</w:t>
            </w:r>
            <w:r>
              <w:rPr>
                <w:i/>
                <w:lang w:val="fr-FR"/>
              </w:rPr>
              <w:t xml:space="preserve"> des </w:t>
            </w:r>
            <w:r w:rsidR="004D735E">
              <w:rPr>
                <w:i/>
                <w:lang w:val="fr-FR"/>
              </w:rPr>
              <w:t xml:space="preserve">rapports </w:t>
            </w:r>
            <w:r w:rsidR="00AC4F6A">
              <w:rPr>
                <w:i/>
                <w:lang w:val="fr-FR"/>
              </w:rPr>
              <w:t xml:space="preserve">techniques et financiers </w:t>
            </w:r>
            <w:r w:rsidR="004D735E">
              <w:rPr>
                <w:i/>
                <w:lang w:val="fr-FR"/>
              </w:rPr>
              <w:t>au</w:t>
            </w:r>
            <w:r>
              <w:rPr>
                <w:i/>
                <w:lang w:val="fr-FR"/>
              </w:rPr>
              <w:t xml:space="preserve"> secrétariat du </w:t>
            </w:r>
            <w:r>
              <w:rPr>
                <w:i/>
                <w:lang w:val="fr-FR"/>
              </w:rPr>
              <w:lastRenderedPageBreak/>
              <w:t>PBF, les sessions de validation des études avec les différents acteurs</w:t>
            </w:r>
            <w:r w:rsidR="00AC4F6A">
              <w:rPr>
                <w:i/>
                <w:lang w:val="fr-FR"/>
              </w:rPr>
              <w:t xml:space="preserve"> en particulier de la partie nationale</w:t>
            </w:r>
            <w:r>
              <w:rPr>
                <w:i/>
                <w:lang w:val="fr-FR"/>
              </w:rPr>
              <w:t xml:space="preserve"> et des missions d’encadrement des activités sont essentiellement</w:t>
            </w:r>
            <w:r w:rsidR="004D735E">
              <w:rPr>
                <w:i/>
                <w:lang w:val="fr-FR"/>
              </w:rPr>
              <w:t xml:space="preserve"> les points d’ancrage des activités de suivi.</w:t>
            </w:r>
          </w:p>
          <w:p w14:paraId="7A657819" w14:textId="62A9EA30" w:rsidR="00997347" w:rsidRPr="00426FE9" w:rsidRDefault="006C1819" w:rsidP="00234A5E">
            <w:pPr>
              <w:rPr>
                <w:i/>
                <w:lang w:val="fr-FR"/>
              </w:rPr>
            </w:pPr>
            <w:r w:rsidRPr="00426FE9">
              <w:rPr>
                <w:i/>
                <w:lang w:val="fr-FR"/>
              </w:rPr>
              <w:t xml:space="preserve"> </w:t>
            </w:r>
          </w:p>
          <w:p w14:paraId="21BD62AD" w14:textId="77777777" w:rsidR="007118F5" w:rsidRPr="00426FE9" w:rsidRDefault="007118F5" w:rsidP="00234A5E">
            <w:pPr>
              <w:rPr>
                <w:lang w:val="fr-FR"/>
              </w:rPr>
            </w:pPr>
          </w:p>
        </w:tc>
        <w:tc>
          <w:tcPr>
            <w:tcW w:w="5940" w:type="dxa"/>
            <w:shd w:val="clear" w:color="auto" w:fill="auto"/>
          </w:tcPr>
          <w:p w14:paraId="797F499B" w14:textId="1E27BFD2" w:rsidR="00997347" w:rsidRPr="00675507" w:rsidRDefault="00675507" w:rsidP="00AD73D3">
            <w:pPr>
              <w:rPr>
                <w:lang w:val="fr-FR"/>
              </w:rPr>
            </w:pPr>
            <w:r w:rsidRPr="00675507">
              <w:rPr>
                <w:lang w:val="fr-FR"/>
              </w:rPr>
              <w:lastRenderedPageBreak/>
              <w:t xml:space="preserve">Est-ce que les indicateurs des résultats ont des bases de </w:t>
            </w:r>
            <w:r w:rsidR="00426FE9" w:rsidRPr="00675507">
              <w:rPr>
                <w:lang w:val="fr-FR"/>
              </w:rPr>
              <w:t>référe</w:t>
            </w:r>
            <w:r w:rsidR="00426FE9">
              <w:rPr>
                <w:lang w:val="fr-FR"/>
              </w:rPr>
              <w:t>nce</w:t>
            </w:r>
            <w:r w:rsidR="00426FE9" w:rsidRPr="00675507">
              <w:rPr>
                <w:lang w:val="fr-FR"/>
              </w:rPr>
              <w:t xml:space="preserve"> ?</w:t>
            </w:r>
            <w:r w:rsidR="007118F5" w:rsidRPr="00675507">
              <w:rPr>
                <w:lang w:val="fr-FR"/>
              </w:rPr>
              <w:t xml:space="preserve"> </w:t>
            </w:r>
            <w:r w:rsidR="00426FE9" w:rsidRPr="00426FE9">
              <w:rPr>
                <w:b/>
                <w:bCs/>
                <w:lang w:val="fr-FR"/>
              </w:rPr>
              <w:t>Ou</w:t>
            </w:r>
            <w:r w:rsidR="00426FE9">
              <w:rPr>
                <w:lang w:val="fr-FR"/>
              </w:rPr>
              <w:t>i</w:t>
            </w:r>
          </w:p>
          <w:p w14:paraId="2337B972" w14:textId="77777777" w:rsidR="007118F5" w:rsidRPr="00675507" w:rsidRDefault="007118F5" w:rsidP="00AD73D3">
            <w:pPr>
              <w:rPr>
                <w:lang w:val="fr-FR"/>
              </w:rPr>
            </w:pPr>
          </w:p>
          <w:p w14:paraId="2BD37B90" w14:textId="77777777" w:rsidR="007118F5" w:rsidRPr="00E10BD3" w:rsidRDefault="00675507" w:rsidP="00AD73D3">
            <w:pPr>
              <w:rPr>
                <w:b/>
                <w:bCs/>
                <w:lang w:val="fr-FR"/>
              </w:rPr>
            </w:pPr>
            <w:r w:rsidRPr="00675507">
              <w:rPr>
                <w:lang w:val="fr-FR"/>
              </w:rPr>
              <w:t xml:space="preserve">Le projet a-t-il lancé des enquêtes de perception ou d'autres collectes de données </w:t>
            </w:r>
            <w:r w:rsidR="00426FE9" w:rsidRPr="00675507">
              <w:rPr>
                <w:lang w:val="fr-FR"/>
              </w:rPr>
              <w:t>communautaires ?</w:t>
            </w:r>
            <w:r w:rsidR="007118F5" w:rsidRPr="00675507">
              <w:rPr>
                <w:lang w:val="fr-FR"/>
              </w:rPr>
              <w:t xml:space="preserve"> </w:t>
            </w:r>
            <w:r w:rsidR="00426FE9" w:rsidRPr="00E10BD3">
              <w:rPr>
                <w:b/>
                <w:bCs/>
                <w:lang w:val="fr-FR"/>
              </w:rPr>
              <w:t>Oui</w:t>
            </w:r>
          </w:p>
          <w:p w14:paraId="346FAC6F" w14:textId="6DB34241" w:rsidR="00426FE9" w:rsidRPr="00447836" w:rsidRDefault="00426FE9" w:rsidP="00426FE9">
            <w:pPr>
              <w:rPr>
                <w:i/>
                <w:lang w:val="fr-FR"/>
              </w:rPr>
            </w:pPr>
            <w:r w:rsidRPr="00447836">
              <w:rPr>
                <w:i/>
                <w:lang w:val="fr-FR"/>
              </w:rPr>
              <w:t xml:space="preserve">Deux études ont été menées dont </w:t>
            </w:r>
            <w:r w:rsidR="00063D78">
              <w:rPr>
                <w:i/>
                <w:lang w:val="fr-FR"/>
              </w:rPr>
              <w:t>la 1</w:t>
            </w:r>
            <w:r w:rsidR="00063D78" w:rsidRPr="00063D78">
              <w:rPr>
                <w:i/>
                <w:vertAlign w:val="superscript"/>
                <w:lang w:val="fr-FR"/>
              </w:rPr>
              <w:t>ère</w:t>
            </w:r>
            <w:r w:rsidR="00063D78">
              <w:rPr>
                <w:i/>
                <w:lang w:val="fr-FR"/>
              </w:rPr>
              <w:t xml:space="preserve"> sur la</w:t>
            </w:r>
            <w:r w:rsidRPr="00447836">
              <w:rPr>
                <w:i/>
                <w:lang w:val="fr-FR"/>
              </w:rPr>
              <w:t xml:space="preserve"> perception</w:t>
            </w:r>
            <w:r w:rsidR="00063D78">
              <w:rPr>
                <w:i/>
                <w:lang w:val="fr-FR"/>
              </w:rPr>
              <w:t xml:space="preserve"> des acteurs au</w:t>
            </w:r>
            <w:r>
              <w:rPr>
                <w:i/>
                <w:lang w:val="fr-FR"/>
              </w:rPr>
              <w:t xml:space="preserve"> démarrage du projet</w:t>
            </w:r>
            <w:r w:rsidRPr="00447836">
              <w:rPr>
                <w:i/>
                <w:lang w:val="fr-FR"/>
              </w:rPr>
              <w:t xml:space="preserve"> et l’autre sur les déterminants urbanistiques. Les rapports ont été présentés au département et au PBF</w:t>
            </w:r>
            <w:r>
              <w:rPr>
                <w:i/>
                <w:lang w:val="fr-FR"/>
              </w:rPr>
              <w:t xml:space="preserve">.A cette phase de clôture, l’étude de perception auprès des populations a aussi démarrée et </w:t>
            </w:r>
            <w:r>
              <w:rPr>
                <w:i/>
                <w:lang w:val="fr-FR"/>
              </w:rPr>
              <w:lastRenderedPageBreak/>
              <w:t xml:space="preserve">permettra de mesurer le progrès accompli </w:t>
            </w:r>
            <w:r w:rsidR="00063D78">
              <w:rPr>
                <w:i/>
                <w:lang w:val="fr-FR"/>
              </w:rPr>
              <w:t>à la clôture</w:t>
            </w:r>
            <w:r>
              <w:rPr>
                <w:i/>
                <w:lang w:val="fr-FR"/>
              </w:rPr>
              <w:t xml:space="preserve"> du projet. </w:t>
            </w:r>
          </w:p>
          <w:p w14:paraId="2BD200E3" w14:textId="13DD4CAE" w:rsidR="00426FE9" w:rsidRPr="00675507" w:rsidRDefault="00426FE9" w:rsidP="00AD73D3">
            <w:pPr>
              <w:rPr>
                <w:lang w:val="fr-FR"/>
              </w:rPr>
            </w:pPr>
          </w:p>
        </w:tc>
      </w:tr>
      <w:tr w:rsidR="006C1819" w:rsidRPr="00962071" w14:paraId="36A88C83" w14:textId="77777777" w:rsidTr="007F7257">
        <w:tc>
          <w:tcPr>
            <w:tcW w:w="4230" w:type="dxa"/>
            <w:shd w:val="clear" w:color="auto" w:fill="auto"/>
          </w:tcPr>
          <w:p w14:paraId="6242C484" w14:textId="6B0EBD66" w:rsidR="006C1819" w:rsidRPr="005C7C0C" w:rsidRDefault="004D735E" w:rsidP="005F439F">
            <w:pPr>
              <w:rPr>
                <w:i/>
                <w:iCs/>
                <w:lang w:val="fr-FR"/>
              </w:rPr>
            </w:pPr>
            <w:r w:rsidRPr="005C7C0C">
              <w:rPr>
                <w:b/>
                <w:bCs/>
                <w:i/>
                <w:iCs/>
                <w:u w:val="single"/>
                <w:lang w:val="fr-FR"/>
              </w:rPr>
              <w:lastRenderedPageBreak/>
              <w:t>Evaluation :</w:t>
            </w:r>
            <w:r w:rsidR="006C1819" w:rsidRPr="005C7C0C">
              <w:rPr>
                <w:i/>
                <w:iCs/>
                <w:lang w:val="fr-FR"/>
              </w:rPr>
              <w:t xml:space="preserve"> </w:t>
            </w:r>
            <w:r w:rsidR="00675507" w:rsidRPr="005C7C0C">
              <w:rPr>
                <w:i/>
                <w:iCs/>
                <w:lang w:val="fr-FR"/>
              </w:rPr>
              <w:t xml:space="preserve">Est-ce qu’un exercice évaluatif a été conduit pendant la période du </w:t>
            </w:r>
            <w:r w:rsidRPr="005C7C0C">
              <w:rPr>
                <w:i/>
                <w:iCs/>
                <w:lang w:val="fr-FR"/>
              </w:rPr>
              <w:t>rapport ?</w:t>
            </w:r>
          </w:p>
          <w:p w14:paraId="3679D92A" w14:textId="5CCA20EC" w:rsidR="007118F5" w:rsidRPr="004D735E" w:rsidRDefault="004D735E" w:rsidP="007118F5">
            <w:pPr>
              <w:rPr>
                <w:b/>
                <w:bCs/>
              </w:rPr>
            </w:pPr>
            <w:proofErr w:type="spellStart"/>
            <w:r w:rsidRPr="004D735E">
              <w:rPr>
                <w:b/>
                <w:bCs/>
              </w:rPr>
              <w:t>Oui</w:t>
            </w:r>
            <w:proofErr w:type="spellEnd"/>
          </w:p>
        </w:tc>
        <w:tc>
          <w:tcPr>
            <w:tcW w:w="5940" w:type="dxa"/>
            <w:shd w:val="clear" w:color="auto" w:fill="auto"/>
          </w:tcPr>
          <w:p w14:paraId="7B8CF898" w14:textId="3C95EB93"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4D735E" w:rsidRPr="00675507">
              <w:rPr>
                <w:lang w:val="fr-FR"/>
              </w:rPr>
              <w:t>) :</w:t>
            </w:r>
            <w:r w:rsidR="004D141E" w:rsidRPr="00675507">
              <w:rPr>
                <w:lang w:val="fr-FR"/>
              </w:rPr>
              <w:t xml:space="preserve">  </w:t>
            </w:r>
            <w:r w:rsidR="004D735E">
              <w:rPr>
                <w:lang w:val="fr-FR"/>
              </w:rPr>
              <w:t>34</w:t>
            </w:r>
            <w:r w:rsidR="00AC4F6A">
              <w:rPr>
                <w:lang w:val="fr-FR"/>
              </w:rPr>
              <w:t> </w:t>
            </w:r>
            <w:r w:rsidR="004D735E">
              <w:rPr>
                <w:lang w:val="fr-FR"/>
              </w:rPr>
              <w:t>000</w:t>
            </w:r>
            <w:r w:rsidR="00AC4F6A">
              <w:rPr>
                <w:lang w:val="fr-FR"/>
              </w:rPr>
              <w:t xml:space="preserve"> USD</w:t>
            </w:r>
            <w:r w:rsidR="004D735E">
              <w:rPr>
                <w:lang w:val="fr-FR"/>
              </w:rPr>
              <w:t xml:space="preserve"> pour l’évaluation finale et 24 000 (étude</w:t>
            </w:r>
            <w:r w:rsidR="00AC4F6A">
              <w:rPr>
                <w:lang w:val="fr-FR"/>
              </w:rPr>
              <w:t>s</w:t>
            </w:r>
            <w:r w:rsidR="004D735E">
              <w:rPr>
                <w:lang w:val="fr-FR"/>
              </w:rPr>
              <w:t xml:space="preserve"> de perception)</w:t>
            </w:r>
            <w:r w:rsidR="00AC4F6A">
              <w:rPr>
                <w:lang w:val="fr-FR"/>
              </w:rPr>
              <w:t>.</w:t>
            </w:r>
          </w:p>
          <w:p w14:paraId="6A29E557" w14:textId="77777777" w:rsidR="004D141E" w:rsidRPr="00675507" w:rsidRDefault="004D141E" w:rsidP="00E76CA1">
            <w:pPr>
              <w:rPr>
                <w:lang w:val="fr-FR"/>
              </w:rPr>
            </w:pPr>
          </w:p>
          <w:p w14:paraId="09E414AE" w14:textId="739B97EE" w:rsidR="004D735E" w:rsidRDefault="00675507" w:rsidP="004D735E">
            <w:pPr>
              <w:jc w:val="both"/>
              <w:rPr>
                <w:lang w:val="fr-FR"/>
              </w:rPr>
            </w:pPr>
            <w:r w:rsidRPr="004F6810">
              <w:rPr>
                <w:i/>
                <w:iCs/>
                <w:lang w:val="fr-FR"/>
              </w:rPr>
              <w:t>Si le projet se termine dans les 6 prochains mois, décrire les préparatifs pour l’évaluation</w:t>
            </w:r>
            <w:r w:rsidR="00156C4C" w:rsidRPr="004F6810">
              <w:rPr>
                <w:i/>
                <w:iCs/>
                <w:lang w:val="fr-FR"/>
              </w:rPr>
              <w:t xml:space="preserve"> (</w:t>
            </w:r>
            <w:r w:rsidRPr="004F6810">
              <w:rPr>
                <w:i/>
                <w:iCs/>
                <w:lang w:val="fr-FR"/>
              </w:rPr>
              <w:t>Limite de 1500 caractères</w:t>
            </w:r>
            <w:r w:rsidR="004D735E" w:rsidRPr="004F6810">
              <w:rPr>
                <w:i/>
                <w:iCs/>
                <w:lang w:val="fr-FR"/>
              </w:rPr>
              <w:t>)</w:t>
            </w:r>
            <w:r w:rsidR="004D735E" w:rsidRPr="00675507">
              <w:rPr>
                <w:lang w:val="fr-FR"/>
              </w:rPr>
              <w:t xml:space="preserve"> :</w:t>
            </w:r>
            <w:bookmarkStart w:id="5" w:name="_GoBack"/>
            <w:bookmarkEnd w:id="5"/>
            <w:r w:rsidR="004D141E" w:rsidRPr="00675507">
              <w:rPr>
                <w:lang w:val="fr-FR"/>
              </w:rPr>
              <w:t xml:space="preserve"> </w:t>
            </w:r>
          </w:p>
          <w:p w14:paraId="037280F0" w14:textId="21DD0D76" w:rsidR="004D735E" w:rsidRPr="00290917" w:rsidRDefault="004D735E" w:rsidP="004D735E">
            <w:pPr>
              <w:jc w:val="both"/>
              <w:rPr>
                <w:lang w:val="fr-FR"/>
              </w:rPr>
            </w:pPr>
            <w:r w:rsidRPr="00290917">
              <w:rPr>
                <w:lang w:val="fr-FR"/>
              </w:rPr>
              <w:t>Le recrutement d’un consultant international pour l’évaluation finale du projet est en cour</w:t>
            </w:r>
            <w:r>
              <w:rPr>
                <w:lang w:val="fr-FR"/>
              </w:rPr>
              <w:t>s</w:t>
            </w:r>
            <w:r w:rsidRPr="00290917">
              <w:rPr>
                <w:lang w:val="fr-FR"/>
              </w:rPr>
              <w:t xml:space="preserve"> </w:t>
            </w:r>
            <w:r>
              <w:rPr>
                <w:lang w:val="fr-FR"/>
              </w:rPr>
              <w:t>avec l’appel d’offre qui est lancé. Cette évaluation</w:t>
            </w:r>
            <w:r w:rsidRPr="00290917">
              <w:rPr>
                <w:lang w:val="fr-FR"/>
              </w:rPr>
              <w:t xml:space="preserve"> sera soutenu</w:t>
            </w:r>
            <w:r>
              <w:rPr>
                <w:lang w:val="fr-FR"/>
              </w:rPr>
              <w:t>e</w:t>
            </w:r>
            <w:r w:rsidRPr="00290917">
              <w:rPr>
                <w:lang w:val="fr-FR"/>
              </w:rPr>
              <w:t xml:space="preserve"> par une étude de perception dont le cabinet </w:t>
            </w:r>
            <w:r w:rsidR="00C5064F">
              <w:rPr>
                <w:lang w:val="fr-FR"/>
              </w:rPr>
              <w:t xml:space="preserve">a </w:t>
            </w:r>
            <w:r w:rsidRPr="00290917">
              <w:rPr>
                <w:lang w:val="fr-FR"/>
              </w:rPr>
              <w:t xml:space="preserve">déjà </w:t>
            </w:r>
            <w:r w:rsidR="00C5064F">
              <w:rPr>
                <w:lang w:val="fr-FR"/>
              </w:rPr>
              <w:t xml:space="preserve">entamé </w:t>
            </w:r>
            <w:r w:rsidR="005C7C0C">
              <w:rPr>
                <w:lang w:val="fr-FR"/>
              </w:rPr>
              <w:t>les travaux</w:t>
            </w:r>
            <w:r w:rsidR="00AC4F6A">
              <w:rPr>
                <w:lang w:val="fr-FR"/>
              </w:rPr>
              <w:t xml:space="preserve"> sur le terrain</w:t>
            </w:r>
            <w:r w:rsidR="00C5064F">
              <w:rPr>
                <w:lang w:val="fr-FR"/>
              </w:rPr>
              <w:t>.</w:t>
            </w:r>
          </w:p>
          <w:p w14:paraId="5AC922F2" w14:textId="77777777" w:rsidR="004D735E" w:rsidRDefault="004D735E" w:rsidP="004D735E">
            <w:pPr>
              <w:jc w:val="both"/>
              <w:rPr>
                <w:lang w:val="fr-FR"/>
              </w:rPr>
            </w:pPr>
          </w:p>
          <w:p w14:paraId="645019D6" w14:textId="714E7ABF" w:rsidR="004D141E" w:rsidRPr="00675507" w:rsidRDefault="004D141E" w:rsidP="00E76CA1">
            <w:pPr>
              <w:rPr>
                <w:lang w:val="fr-FR"/>
              </w:rPr>
            </w:pPr>
          </w:p>
          <w:p w14:paraId="6FFC21C6" w14:textId="77777777" w:rsidR="00156C4C" w:rsidRPr="00675507" w:rsidRDefault="00156C4C" w:rsidP="00E76CA1">
            <w:pPr>
              <w:rPr>
                <w:lang w:val="fr-FR"/>
              </w:rPr>
            </w:pPr>
          </w:p>
        </w:tc>
      </w:tr>
      <w:tr w:rsidR="00997347" w:rsidRPr="00962071"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5C7C0C">
              <w:rPr>
                <w:b/>
                <w:bCs/>
                <w:i/>
                <w:iCs/>
                <w:u w:val="single"/>
                <w:lang w:val="fr-FR"/>
              </w:rPr>
              <w:t>Effets catalytiques (financiers</w:t>
            </w:r>
            <w:proofErr w:type="gramStart"/>
            <w:r w:rsidRPr="005C7C0C">
              <w:rPr>
                <w:b/>
                <w:bCs/>
                <w:i/>
                <w:iCs/>
                <w:u w:val="single"/>
                <w:lang w:val="fr-FR"/>
              </w:rPr>
              <w:t>)</w:t>
            </w:r>
            <w:r w:rsidR="00513612" w:rsidRPr="005C7C0C">
              <w:rPr>
                <w:b/>
                <w:bCs/>
                <w:i/>
                <w:iCs/>
                <w:lang w:val="fr-FR"/>
              </w:rPr>
              <w:t>:</w:t>
            </w:r>
            <w:proofErr w:type="gramEnd"/>
            <w:r w:rsidR="00513612" w:rsidRPr="005C7C0C">
              <w:rPr>
                <w:i/>
                <w:iCs/>
                <w:lang w:val="fr-FR"/>
              </w:rPr>
              <w:t xml:space="preserve"> </w:t>
            </w:r>
            <w:r w:rsidRPr="005C7C0C">
              <w:rPr>
                <w:i/>
                <w:iCs/>
                <w:lang w:val="fr-FR"/>
              </w:rPr>
              <w:t>Indiquez le nom de l'agent de financement et le montant du soutien financier non PBF supplémentaire qui a été obtenu par le proje</w:t>
            </w:r>
            <w:r w:rsidRPr="00675507">
              <w:rPr>
                <w:lang w:val="fr-FR"/>
              </w:rPr>
              <w:t>t.</w:t>
            </w:r>
          </w:p>
        </w:tc>
        <w:tc>
          <w:tcPr>
            <w:tcW w:w="5940" w:type="dxa"/>
            <w:shd w:val="clear" w:color="auto" w:fill="auto"/>
          </w:tcPr>
          <w:p w14:paraId="126E5036" w14:textId="52E46934" w:rsidR="00997347" w:rsidRPr="00C5064F" w:rsidRDefault="00675507" w:rsidP="00156C4C">
            <w:pPr>
              <w:rPr>
                <w:lang w:val="fr-FR"/>
              </w:rPr>
            </w:pPr>
            <w:r w:rsidRPr="00C5064F">
              <w:rPr>
                <w:lang w:val="fr-FR"/>
              </w:rPr>
              <w:t xml:space="preserve">Nom de </w:t>
            </w:r>
            <w:proofErr w:type="spellStart"/>
            <w:proofErr w:type="gramStart"/>
            <w:r w:rsidRPr="00C5064F">
              <w:rPr>
                <w:lang w:val="fr-FR"/>
              </w:rPr>
              <w:t>donnateur</w:t>
            </w:r>
            <w:proofErr w:type="spellEnd"/>
            <w:r w:rsidR="00156C4C" w:rsidRPr="00C5064F">
              <w:rPr>
                <w:lang w:val="fr-FR"/>
              </w:rPr>
              <w:t>:</w:t>
            </w:r>
            <w:proofErr w:type="gramEnd"/>
            <w:r w:rsidR="00156C4C" w:rsidRPr="00C5064F">
              <w:rPr>
                <w:lang w:val="fr-FR"/>
              </w:rPr>
              <w:t xml:space="preserve">    </w:t>
            </w:r>
            <w:r w:rsidR="00C5064F">
              <w:rPr>
                <w:lang w:val="fr-FR"/>
              </w:rPr>
              <w:t xml:space="preserve">         </w:t>
            </w:r>
            <w:r w:rsidR="00156C4C" w:rsidRPr="00C5064F">
              <w:rPr>
                <w:lang w:val="fr-FR"/>
              </w:rPr>
              <w:t xml:space="preserve"> </w:t>
            </w:r>
            <w:r w:rsidRPr="00C5064F">
              <w:rPr>
                <w:lang w:val="fr-FR"/>
              </w:rPr>
              <w:t>Montant ($)</w:t>
            </w:r>
            <w:r w:rsidR="00156C4C" w:rsidRPr="00C5064F">
              <w:rPr>
                <w:lang w:val="fr-FR"/>
              </w:rPr>
              <w:t>:</w:t>
            </w:r>
          </w:p>
          <w:p w14:paraId="1ADE0156" w14:textId="70175F06" w:rsidR="00C5064F" w:rsidRDefault="00C5064F" w:rsidP="00156C4C">
            <w:pPr>
              <w:rPr>
                <w:lang w:val="fr-FR"/>
              </w:rPr>
            </w:pPr>
            <w:r w:rsidRPr="00C5064F">
              <w:rPr>
                <w:lang w:val="fr-FR"/>
              </w:rPr>
              <w:t>Gouvernement de Guinée</w:t>
            </w:r>
            <w:r w:rsidR="00156C4C" w:rsidRPr="00C5064F">
              <w:rPr>
                <w:lang w:val="fr-FR"/>
              </w:rPr>
              <w:t xml:space="preserve"> </w:t>
            </w:r>
            <w:r>
              <w:rPr>
                <w:lang w:val="fr-FR"/>
              </w:rPr>
              <w:t xml:space="preserve">                    50 000</w:t>
            </w:r>
          </w:p>
          <w:p w14:paraId="2D07D5B3" w14:textId="776F5541" w:rsidR="00156C4C" w:rsidRDefault="00C5064F" w:rsidP="00156C4C">
            <w:pPr>
              <w:rPr>
                <w:lang w:val="fr-FR"/>
              </w:rPr>
            </w:pPr>
            <w:r>
              <w:rPr>
                <w:lang w:val="fr-FR"/>
              </w:rPr>
              <w:t>PNUD</w:t>
            </w:r>
            <w:r w:rsidR="00156C4C" w:rsidRPr="00C5064F">
              <w:rPr>
                <w:lang w:val="fr-FR"/>
              </w:rPr>
              <w:t xml:space="preserve">                      </w:t>
            </w:r>
            <w:r>
              <w:rPr>
                <w:lang w:val="fr-FR"/>
              </w:rPr>
              <w:t xml:space="preserve">                             25</w:t>
            </w:r>
            <w:r w:rsidR="00962071">
              <w:rPr>
                <w:lang w:val="fr-FR"/>
              </w:rPr>
              <w:t> </w:t>
            </w:r>
            <w:r w:rsidRPr="00962071">
              <w:rPr>
                <w:lang w:val="fr-FR"/>
              </w:rPr>
              <w:t>000</w:t>
            </w:r>
            <w:r w:rsidR="00962071">
              <w:rPr>
                <w:lang w:val="fr-FR"/>
              </w:rPr>
              <w:t xml:space="preserve"> : </w:t>
            </w:r>
            <w:r w:rsidR="00241946" w:rsidRPr="00962071">
              <w:rPr>
                <w:lang w:val="fr-FR"/>
              </w:rPr>
              <w:t>L’état guinéen pour soutenir le gap de la formation des quatre cents agents et officiers de la police routière a dans le cadre de la mise en œuvre de la stratégie nationale d’actions</w:t>
            </w:r>
            <w:r w:rsidR="00241946">
              <w:rPr>
                <w:lang w:val="fr-FR"/>
              </w:rPr>
              <w:t xml:space="preserve"> prioritaire débloqué près de cinq cents millions de franc guinéen.</w:t>
            </w:r>
          </w:p>
          <w:p w14:paraId="6337F8E4" w14:textId="6A6E3B14" w:rsidR="00241946" w:rsidRPr="00C5064F" w:rsidRDefault="00241946" w:rsidP="00156C4C">
            <w:pPr>
              <w:rPr>
                <w:lang w:val="fr-FR"/>
              </w:rPr>
            </w:pPr>
            <w:r>
              <w:rPr>
                <w:lang w:val="fr-FR"/>
              </w:rPr>
              <w:t>Au niveau du PNUD,</w:t>
            </w:r>
            <w:r w:rsidR="00962071">
              <w:rPr>
                <w:lang w:val="fr-FR"/>
              </w:rPr>
              <w:t xml:space="preserve"> </w:t>
            </w:r>
            <w:r>
              <w:rPr>
                <w:lang w:val="fr-FR"/>
              </w:rPr>
              <w:t xml:space="preserve">suite aux résultats de la formation des officiers de police judiciaire de l’OPROGEM à </w:t>
            </w:r>
            <w:r w:rsidR="00DD25E7">
              <w:rPr>
                <w:lang w:val="fr-FR"/>
              </w:rPr>
              <w:t>Labé</w:t>
            </w:r>
            <w:r>
              <w:rPr>
                <w:lang w:val="fr-FR"/>
              </w:rPr>
              <w:t xml:space="preserve">, et suite à la demande </w:t>
            </w:r>
            <w:r w:rsidR="00DD25E7">
              <w:rPr>
                <w:lang w:val="fr-FR"/>
              </w:rPr>
              <w:t xml:space="preserve">des autorités pour l’extension de cette formation aux autres </w:t>
            </w:r>
            <w:r w:rsidR="00962071">
              <w:rPr>
                <w:lang w:val="fr-FR"/>
              </w:rPr>
              <w:t>régions, le</w:t>
            </w:r>
            <w:r w:rsidR="00DD25E7">
              <w:rPr>
                <w:lang w:val="fr-FR"/>
              </w:rPr>
              <w:t xml:space="preserve"> fond </w:t>
            </w:r>
            <w:proofErr w:type="spellStart"/>
            <w:r w:rsidR="00DD25E7">
              <w:rPr>
                <w:lang w:val="fr-FR"/>
              </w:rPr>
              <w:t>track</w:t>
            </w:r>
            <w:proofErr w:type="spellEnd"/>
            <w:r w:rsidR="00DD25E7">
              <w:rPr>
                <w:lang w:val="fr-FR"/>
              </w:rPr>
              <w:t xml:space="preserve"> a supporté la formation de vingt autres officiers de police judiciaire de </w:t>
            </w:r>
            <w:proofErr w:type="gramStart"/>
            <w:r w:rsidR="00DD25E7">
              <w:rPr>
                <w:lang w:val="fr-FR"/>
              </w:rPr>
              <w:t>certains commissariat</w:t>
            </w:r>
            <w:proofErr w:type="gramEnd"/>
            <w:r w:rsidR="00DD25E7">
              <w:rPr>
                <w:lang w:val="fr-FR"/>
              </w:rPr>
              <w:t xml:space="preserve"> à hauteur de vingt-cinq mille dollars us.</w:t>
            </w:r>
          </w:p>
          <w:p w14:paraId="209E02B4" w14:textId="77777777" w:rsidR="00156C4C" w:rsidRPr="00C5064F" w:rsidRDefault="00156C4C" w:rsidP="00156C4C">
            <w:pPr>
              <w:rPr>
                <w:lang w:val="fr-FR"/>
              </w:rPr>
            </w:pPr>
          </w:p>
          <w:p w14:paraId="68DA8296" w14:textId="00BC6823" w:rsidR="00156C4C" w:rsidRPr="00241946" w:rsidRDefault="00156C4C" w:rsidP="00156C4C">
            <w:pPr>
              <w:rPr>
                <w:lang w:val="fr-FR"/>
              </w:rPr>
            </w:pPr>
            <w:r w:rsidRPr="00241946">
              <w:rPr>
                <w:lang w:val="fr-FR"/>
              </w:rPr>
              <w:t xml:space="preserve">                          </w:t>
            </w:r>
          </w:p>
          <w:p w14:paraId="21D0B479" w14:textId="77777777" w:rsidR="00156C4C" w:rsidRPr="00241946" w:rsidRDefault="00156C4C" w:rsidP="00156C4C">
            <w:pPr>
              <w:rPr>
                <w:lang w:val="fr-FR"/>
              </w:rPr>
            </w:pPr>
          </w:p>
          <w:p w14:paraId="5EA842B9" w14:textId="5E438698" w:rsidR="00156C4C" w:rsidRPr="00241946" w:rsidRDefault="00156C4C" w:rsidP="00156C4C">
            <w:pPr>
              <w:rPr>
                <w:lang w:val="fr-FR"/>
              </w:rPr>
            </w:pPr>
            <w:r w:rsidRPr="00241946">
              <w:rPr>
                <w:lang w:val="fr-FR"/>
              </w:rPr>
              <w:t xml:space="preserve">                          </w:t>
            </w:r>
          </w:p>
        </w:tc>
      </w:tr>
      <w:tr w:rsidR="002C187A" w:rsidRPr="00962071" w14:paraId="04EF3772" w14:textId="77777777" w:rsidTr="007F7257">
        <w:tc>
          <w:tcPr>
            <w:tcW w:w="4230" w:type="dxa"/>
            <w:shd w:val="clear" w:color="auto" w:fill="auto"/>
          </w:tcPr>
          <w:p w14:paraId="493CE278" w14:textId="77777777" w:rsidR="002C187A" w:rsidRPr="00C5064F" w:rsidRDefault="00675507" w:rsidP="001A1E86">
            <w:pPr>
              <w:rPr>
                <w:i/>
                <w:iCs/>
                <w:lang w:val="fr-FR"/>
              </w:rPr>
            </w:pPr>
            <w:proofErr w:type="gramStart"/>
            <w:r w:rsidRPr="00675507">
              <w:rPr>
                <w:b/>
                <w:bCs/>
                <w:u w:val="single"/>
                <w:lang w:val="fr-FR"/>
              </w:rPr>
              <w:t>Autre</w:t>
            </w:r>
            <w:r w:rsidRPr="00675507">
              <w:rPr>
                <w:lang w:val="fr-FR"/>
              </w:rPr>
              <w:t>:</w:t>
            </w:r>
            <w:proofErr w:type="gramEnd"/>
            <w:r w:rsidRPr="00675507">
              <w:rPr>
                <w:lang w:val="fr-FR"/>
              </w:rPr>
              <w:t xml:space="preserve"> </w:t>
            </w:r>
            <w:r w:rsidRPr="00C5064F">
              <w:rPr>
                <w:i/>
                <w:iCs/>
                <w:lang w:val="fr-FR"/>
              </w:rPr>
              <w:t>Y a-t-il d'autres points concernant la mise en œuvre du projet que vous souhaitez partager, y compris sur les besoins en capacité des organisations bénéficiaires? (Limite de 1500 caractères)</w:t>
            </w:r>
          </w:p>
          <w:p w14:paraId="3FC8EBFD" w14:textId="7379ECA3"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0CEC489A" w14:textId="77777777" w:rsidR="002C187A" w:rsidRDefault="005C7C0C" w:rsidP="00E76CA1">
            <w:pPr>
              <w:rPr>
                <w:lang w:val="fr-FR"/>
              </w:rPr>
            </w:pPr>
            <w:r w:rsidRPr="005C7C0C">
              <w:rPr>
                <w:lang w:val="fr-FR"/>
              </w:rPr>
              <w:t>Le projet malgré les r</w:t>
            </w:r>
            <w:r>
              <w:rPr>
                <w:lang w:val="fr-FR"/>
              </w:rPr>
              <w:t>ésultats obtenus dans sa mise en œuvre</w:t>
            </w:r>
            <w:r w:rsidR="00AC4F6A">
              <w:rPr>
                <w:lang w:val="fr-FR"/>
              </w:rPr>
              <w:t>,</w:t>
            </w:r>
            <w:r>
              <w:rPr>
                <w:lang w:val="fr-FR"/>
              </w:rPr>
              <w:t xml:space="preserve"> n’a pu couvrir l’ensemble des besoins de formations et d’équipements des structures bénéficiaires</w:t>
            </w:r>
            <w:r w:rsidR="00AC4F6A">
              <w:rPr>
                <w:lang w:val="fr-FR"/>
              </w:rPr>
              <w:t xml:space="preserve">. Ce </w:t>
            </w:r>
            <w:r>
              <w:rPr>
                <w:lang w:val="fr-FR"/>
              </w:rPr>
              <w:t>qui</w:t>
            </w:r>
            <w:r w:rsidR="00AC4F6A">
              <w:rPr>
                <w:lang w:val="fr-FR"/>
              </w:rPr>
              <w:t>,</w:t>
            </w:r>
            <w:r>
              <w:rPr>
                <w:lang w:val="fr-FR"/>
              </w:rPr>
              <w:t xml:space="preserve"> pourrait entrainer après la clôture un recul dans </w:t>
            </w:r>
            <w:r w:rsidRPr="00C94B79">
              <w:rPr>
                <w:lang w:val="fr-FR"/>
              </w:rPr>
              <w:t>certaines prestations</w:t>
            </w:r>
            <w:r w:rsidR="00AC4F6A" w:rsidRPr="00C94B79">
              <w:rPr>
                <w:lang w:val="fr-FR"/>
              </w:rPr>
              <w:t xml:space="preserve"> (</w:t>
            </w:r>
            <w:r w:rsidR="00331B36" w:rsidRPr="00C94B79">
              <w:rPr>
                <w:lang w:val="fr-FR"/>
              </w:rPr>
              <w:t xml:space="preserve">si la formation au niveau de la police </w:t>
            </w:r>
            <w:r w:rsidR="00331B36" w:rsidRPr="00C94B79">
              <w:rPr>
                <w:lang w:val="fr-FR"/>
              </w:rPr>
              <w:lastRenderedPageBreak/>
              <w:t xml:space="preserve">routière s’arrête par défaut de ressources, </w:t>
            </w:r>
            <w:r w:rsidR="00C94B79" w:rsidRPr="00C94B79">
              <w:rPr>
                <w:lang w:val="fr-FR"/>
              </w:rPr>
              <w:t>les fonctionnaires</w:t>
            </w:r>
            <w:r w:rsidR="00331B36" w:rsidRPr="00C94B79">
              <w:rPr>
                <w:lang w:val="fr-FR"/>
              </w:rPr>
              <w:t xml:space="preserve"> </w:t>
            </w:r>
            <w:r w:rsidR="00C94B79">
              <w:rPr>
                <w:lang w:val="fr-FR"/>
              </w:rPr>
              <w:t xml:space="preserve">nouvellement </w:t>
            </w:r>
            <w:r w:rsidR="00331B36" w:rsidRPr="00C94B79">
              <w:rPr>
                <w:lang w:val="fr-FR"/>
              </w:rPr>
              <w:t xml:space="preserve">affectés dans ces services pourront être facteurs de dégradation de l’image qui </w:t>
            </w:r>
            <w:r w:rsidR="00C94B79">
              <w:rPr>
                <w:lang w:val="fr-FR"/>
              </w:rPr>
              <w:t xml:space="preserve">est </w:t>
            </w:r>
            <w:r w:rsidR="00331B36" w:rsidRPr="00C94B79">
              <w:rPr>
                <w:lang w:val="fr-FR"/>
              </w:rPr>
              <w:t xml:space="preserve">en cours de construction par défaut de professionnalisme. Ce même constat est valable pour l’OPROGEM au niveau des OPJ. Pour </w:t>
            </w:r>
            <w:r w:rsidR="00C94B79" w:rsidRPr="00C94B79">
              <w:rPr>
                <w:lang w:val="fr-FR"/>
              </w:rPr>
              <w:t>l’inspection, la</w:t>
            </w:r>
            <w:r w:rsidR="00331B36" w:rsidRPr="00C94B79">
              <w:rPr>
                <w:lang w:val="fr-FR"/>
              </w:rPr>
              <w:t xml:space="preserve"> culture de contrôle ne saurait être ancré en vingt-deux mois </w:t>
            </w:r>
            <w:r w:rsidR="00C94B79" w:rsidRPr="00C94B79">
              <w:rPr>
                <w:lang w:val="fr-FR"/>
              </w:rPr>
              <w:t>d’exercice auprès</w:t>
            </w:r>
            <w:r w:rsidR="00331B36" w:rsidRPr="00C94B79">
              <w:rPr>
                <w:lang w:val="fr-FR"/>
              </w:rPr>
              <w:t xml:space="preserve"> des structures </w:t>
            </w:r>
            <w:r w:rsidR="00C94B79" w:rsidRPr="00C94B79">
              <w:rPr>
                <w:lang w:val="fr-FR"/>
              </w:rPr>
              <w:t>fragiles et sans ressources appropriées, il parait à cet effet de mesurer l’accompagnement sur une durée pouvant permettre d’imposer cette pratique à tous les niveaux</w:t>
            </w:r>
            <w:r w:rsidR="00C94B79">
              <w:rPr>
                <w:lang w:val="fr-FR"/>
              </w:rPr>
              <w:t>.</w:t>
            </w:r>
            <w:r w:rsidR="00AC4F6A" w:rsidRPr="00C94B79">
              <w:rPr>
                <w:lang w:val="fr-FR"/>
              </w:rPr>
              <w:t>)</w:t>
            </w:r>
          </w:p>
          <w:p w14:paraId="4187770E" w14:textId="7020761A" w:rsidR="00C94B79" w:rsidRPr="005C7C0C" w:rsidRDefault="00962071" w:rsidP="00E76CA1">
            <w:pPr>
              <w:rPr>
                <w:lang w:val="fr-FR"/>
              </w:rPr>
            </w:pPr>
            <w:r>
              <w:rPr>
                <w:lang w:val="fr-FR"/>
              </w:rPr>
              <w:t>Bref, il</w:t>
            </w:r>
            <w:r w:rsidR="00C94B79">
              <w:rPr>
                <w:lang w:val="fr-FR"/>
              </w:rPr>
              <w:t xml:space="preserve"> reste à date cinq </w:t>
            </w:r>
            <w:proofErr w:type="gramStart"/>
            <w:r w:rsidR="00C94B79">
              <w:rPr>
                <w:lang w:val="fr-FR"/>
              </w:rPr>
              <w:t>cent</w:t>
            </w:r>
            <w:proofErr w:type="gramEnd"/>
            <w:r w:rsidR="00C94B79">
              <w:rPr>
                <w:lang w:val="fr-FR"/>
              </w:rPr>
              <w:t xml:space="preserve"> agents non formés pour la police routière, soixante pour l’OPROGEM, près de vingt pour l’inspection.</w:t>
            </w:r>
          </w:p>
        </w:tc>
      </w:tr>
    </w:tbl>
    <w:p w14:paraId="682EBE58" w14:textId="77777777" w:rsidR="00673D6E" w:rsidRPr="005C7C0C" w:rsidRDefault="00673D6E" w:rsidP="00E76CA1">
      <w:pPr>
        <w:rPr>
          <w:b/>
          <w:lang w:val="fr-FR"/>
        </w:rPr>
      </w:pPr>
    </w:p>
    <w:p w14:paraId="64491D11" w14:textId="77777777" w:rsidR="00673D6E" w:rsidRPr="005C7C0C"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1745E8">
      <w:pPr>
        <w:pStyle w:val="Paragraphedeliste"/>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C2F5EE9" w:rsidR="00600B5F" w:rsidRPr="003107C9" w:rsidRDefault="00600B5F" w:rsidP="00600B5F">
      <w:pPr>
        <w:ind w:left="2160"/>
        <w:rPr>
          <w:lang w:val="fr-FR"/>
        </w:rPr>
      </w:pPr>
      <w:r w:rsidRPr="003107C9">
        <w:rPr>
          <w:lang w:val="fr-FR"/>
        </w:rPr>
        <w:t>$</w:t>
      </w:r>
      <w:r w:rsidR="005C7C0C">
        <w:t>115 000</w:t>
      </w:r>
    </w:p>
    <w:p w14:paraId="32604A97" w14:textId="77777777" w:rsidR="00600B5F" w:rsidRPr="003107C9" w:rsidRDefault="00600B5F" w:rsidP="00600B5F">
      <w:pPr>
        <w:rPr>
          <w:lang w:val="fr-FR"/>
        </w:rPr>
      </w:pPr>
    </w:p>
    <w:p w14:paraId="15268D0E" w14:textId="76ED47D1" w:rsidR="00600B5F" w:rsidRPr="003107C9" w:rsidRDefault="003107C9" w:rsidP="003107C9">
      <w:pPr>
        <w:pStyle w:val="Paragraphedeliste"/>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62EAC95C" w14:textId="77777777" w:rsidR="004F6810" w:rsidRDefault="004F6810" w:rsidP="00C83082">
      <w:pPr>
        <w:ind w:left="720"/>
        <w:rPr>
          <w:lang w:val="fr-FR"/>
        </w:rPr>
      </w:pPr>
    </w:p>
    <w:p w14:paraId="67B62A1C" w14:textId="460F150B" w:rsidR="00E673EA" w:rsidRDefault="005C7C0C" w:rsidP="00E673EA">
      <w:pPr>
        <w:ind w:left="720"/>
        <w:jc w:val="both"/>
        <w:rPr>
          <w:lang w:val="fr-FR"/>
        </w:rPr>
      </w:pPr>
      <w:r w:rsidRPr="00C83082">
        <w:rPr>
          <w:lang w:val="fr-FR"/>
        </w:rPr>
        <w:t xml:space="preserve">Le projet a connu une extension sans cout de </w:t>
      </w:r>
      <w:r w:rsidR="00E10BD3" w:rsidRPr="00C83082">
        <w:rPr>
          <w:lang w:val="fr-FR"/>
        </w:rPr>
        <w:t xml:space="preserve">quatre </w:t>
      </w:r>
      <w:r w:rsidR="00AC4F6A">
        <w:rPr>
          <w:lang w:val="fr-FR"/>
        </w:rPr>
        <w:t xml:space="preserve">(04) </w:t>
      </w:r>
      <w:r w:rsidR="00E10BD3" w:rsidRPr="00C83082">
        <w:rPr>
          <w:lang w:val="fr-FR"/>
        </w:rPr>
        <w:t>mois supplémentaires</w:t>
      </w:r>
      <w:r w:rsidR="00AC4F6A">
        <w:rPr>
          <w:lang w:val="fr-FR"/>
        </w:rPr>
        <w:t>. La clôture i</w:t>
      </w:r>
      <w:r w:rsidR="00C83082" w:rsidRPr="00C83082">
        <w:rPr>
          <w:lang w:val="fr-FR"/>
        </w:rPr>
        <w:t>nitialement</w:t>
      </w:r>
      <w:r w:rsidR="00C83082">
        <w:rPr>
          <w:lang w:val="fr-FR"/>
        </w:rPr>
        <w:t xml:space="preserve"> prévue pour fin juin</w:t>
      </w:r>
      <w:r w:rsidR="00AC4F6A">
        <w:rPr>
          <w:lang w:val="fr-FR"/>
        </w:rPr>
        <w:t xml:space="preserve"> 2020, </w:t>
      </w:r>
      <w:r w:rsidR="00C83082">
        <w:rPr>
          <w:lang w:val="fr-FR"/>
        </w:rPr>
        <w:t xml:space="preserve">a été </w:t>
      </w:r>
      <w:r w:rsidR="00D65AD3">
        <w:rPr>
          <w:lang w:val="fr-FR"/>
        </w:rPr>
        <w:t>repoussée</w:t>
      </w:r>
      <w:r w:rsidR="00C83082">
        <w:rPr>
          <w:lang w:val="fr-FR"/>
        </w:rPr>
        <w:t xml:space="preserve"> au 31 Octobre 2020</w:t>
      </w:r>
      <w:r w:rsidR="00E673EA">
        <w:rPr>
          <w:lang w:val="fr-FR"/>
        </w:rPr>
        <w:t>,</w:t>
      </w:r>
      <w:r w:rsidR="00AC4F6A">
        <w:rPr>
          <w:lang w:val="fr-FR"/>
        </w:rPr>
        <w:t xml:space="preserve"> ce qui a </w:t>
      </w:r>
      <w:r w:rsidR="00E673EA">
        <w:rPr>
          <w:lang w:val="fr-FR"/>
        </w:rPr>
        <w:t xml:space="preserve">permis la réalisation substantielle </w:t>
      </w:r>
      <w:r w:rsidR="00D65AD3">
        <w:rPr>
          <w:lang w:val="fr-FR"/>
        </w:rPr>
        <w:t>des formations</w:t>
      </w:r>
      <w:r w:rsidR="00E673EA" w:rsidRPr="00C83082">
        <w:rPr>
          <w:lang w:val="fr-FR"/>
        </w:rPr>
        <w:t xml:space="preserve"> </w:t>
      </w:r>
      <w:r w:rsidR="00E673EA">
        <w:rPr>
          <w:lang w:val="fr-FR"/>
        </w:rPr>
        <w:t xml:space="preserve">de l’ensemble des forces de défense et de sécurité contre la COVID19, la dotation en matériels de protection de certaines unités déployées dans le cadre de l’application des mesures barrières en place et lieu de </w:t>
      </w:r>
      <w:r w:rsidR="00AC4F6A">
        <w:rPr>
          <w:lang w:val="fr-FR"/>
        </w:rPr>
        <w:t>la réalisation des</w:t>
      </w:r>
      <w:r w:rsidR="00C83082">
        <w:rPr>
          <w:lang w:val="fr-FR"/>
        </w:rPr>
        <w:t xml:space="preserve"> activités initialement prévues pour la gestion des crises et catastrophes</w:t>
      </w:r>
      <w:r w:rsidR="00E673EA">
        <w:rPr>
          <w:lang w:val="fr-FR"/>
        </w:rPr>
        <w:t>.</w:t>
      </w:r>
    </w:p>
    <w:p w14:paraId="3DF1D480" w14:textId="77777777" w:rsidR="00E673EA" w:rsidRDefault="00E673EA" w:rsidP="00E673EA">
      <w:pPr>
        <w:ind w:left="720"/>
        <w:jc w:val="both"/>
        <w:rPr>
          <w:lang w:val="fr-FR"/>
        </w:rPr>
      </w:pPr>
    </w:p>
    <w:p w14:paraId="4B6F17C3" w14:textId="527A6E99" w:rsidR="00600B5F" w:rsidRDefault="002D6DA0" w:rsidP="00E673EA">
      <w:pPr>
        <w:ind w:left="720"/>
        <w:jc w:val="both"/>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06D4BA9D" w:rsidR="00600B5F" w:rsidRPr="00CB5499" w:rsidRDefault="00940ACD" w:rsidP="00600B5F">
      <w:pPr>
        <w:rPr>
          <w:lang w:val="fr-FR"/>
        </w:rPr>
      </w:pPr>
      <w:sdt>
        <w:sdtPr>
          <w:rPr>
            <w:lang w:val="fr-FR"/>
          </w:rPr>
          <w:id w:val="402566072"/>
          <w14:checkbox>
            <w14:checked w14:val="1"/>
            <w14:checkedState w14:val="2612" w14:font="MS Gothic"/>
            <w14:uncheckedState w14:val="2610" w14:font="MS Gothic"/>
          </w14:checkbox>
        </w:sdtPr>
        <w:sdtEndPr/>
        <w:sdtContent>
          <w:r w:rsidR="002C4DEF">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940ACD"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940ACD"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940ACD"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940ACD"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46F8E01F" w:rsidR="00600B5F" w:rsidRPr="002C4DEF" w:rsidRDefault="00940ACD" w:rsidP="00600B5F">
      <w:pPr>
        <w:rPr>
          <w:lang w:val="fr-FR"/>
        </w:rPr>
      </w:pPr>
      <w:sdt>
        <w:sdtPr>
          <w:rPr>
            <w:lang w:val="fr-FR"/>
          </w:rPr>
          <w:id w:val="810906333"/>
          <w14:checkbox>
            <w14:checked w14:val="1"/>
            <w14:checkedState w14:val="2612" w14:font="MS Gothic"/>
            <w14:uncheckedState w14:val="2610" w14:font="MS Gothic"/>
          </w14:checkbox>
        </w:sdtPr>
        <w:sdtEndPr/>
        <w:sdtContent>
          <w:r w:rsidR="00E673EA">
            <w:rPr>
              <w:rFonts w:ascii="MS Gothic" w:eastAsia="MS Gothic" w:hAnsi="MS Gothic" w:hint="eastAsia"/>
              <w:lang w:val="fr-FR"/>
            </w:rPr>
            <w:t>☒</w:t>
          </w:r>
        </w:sdtContent>
      </w:sdt>
      <w:r w:rsidR="00600B5F" w:rsidRPr="000B47FF">
        <w:rPr>
          <w:lang w:val="fr-FR"/>
        </w:rPr>
        <w:t xml:space="preserve"> </w:t>
      </w:r>
      <w:r w:rsidR="00970D92" w:rsidRPr="000B47FF">
        <w:rPr>
          <w:lang w:val="fr-FR"/>
        </w:rPr>
        <w:t>Autres</w:t>
      </w:r>
      <w:r w:rsidR="00600B5F" w:rsidRPr="000B47FF">
        <w:rPr>
          <w:lang w:val="fr-FR"/>
        </w:rPr>
        <w:t xml:space="preserve"> (</w:t>
      </w:r>
      <w:r w:rsidR="00970D92" w:rsidRPr="000B47FF">
        <w:rPr>
          <w:lang w:val="fr-FR"/>
        </w:rPr>
        <w:t xml:space="preserve">veuillez </w:t>
      </w:r>
      <w:r w:rsidR="00B82E71" w:rsidRPr="000B47FF">
        <w:rPr>
          <w:lang w:val="fr-FR"/>
        </w:rPr>
        <w:t>préciser</w:t>
      </w:r>
      <w:r w:rsidR="002C4DEF" w:rsidRPr="000B47FF">
        <w:rPr>
          <w:lang w:val="fr-FR"/>
        </w:rPr>
        <w:t>) :</w:t>
      </w:r>
      <w:r w:rsidR="00600B5F" w:rsidRPr="000B47FF">
        <w:rPr>
          <w:lang w:val="fr-FR"/>
        </w:rPr>
        <w:t xml:space="preserve"> </w:t>
      </w:r>
      <w:r w:rsidR="002C4DEF" w:rsidRPr="002C4DEF">
        <w:rPr>
          <w:lang w:val="fr-FR"/>
        </w:rPr>
        <w:t>Lutter c</w:t>
      </w:r>
      <w:r w:rsidR="002C4DEF">
        <w:rPr>
          <w:lang w:val="fr-FR"/>
        </w:rPr>
        <w:t xml:space="preserve">ontre les VBG et l’impunité en période de crise </w:t>
      </w:r>
    </w:p>
    <w:p w14:paraId="350CC976" w14:textId="77777777" w:rsidR="00600B5F" w:rsidRPr="000B47FF"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lastRenderedPageBreak/>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0258D50D" w:rsidR="00600B5F" w:rsidRDefault="002C4DEF" w:rsidP="004F6810">
      <w:pPr>
        <w:jc w:val="both"/>
        <w:rPr>
          <w:lang w:val="fr-FR"/>
        </w:rPr>
      </w:pPr>
      <w:r w:rsidRPr="002C4DEF">
        <w:rPr>
          <w:lang w:val="fr-FR"/>
        </w:rPr>
        <w:t>Les structures de veille s</w:t>
      </w:r>
      <w:r>
        <w:rPr>
          <w:lang w:val="fr-FR"/>
        </w:rPr>
        <w:t>ur le comportement des FDS lors de leurs déploiement pour l’observation des mesures barrières</w:t>
      </w:r>
      <w:r w:rsidR="00E673EA">
        <w:rPr>
          <w:lang w:val="fr-FR"/>
        </w:rPr>
        <w:t>,</w:t>
      </w:r>
      <w:r>
        <w:rPr>
          <w:lang w:val="fr-FR"/>
        </w:rPr>
        <w:t xml:space="preserve"> ont contribué à la sensibilisation pour atténuer les rapports entre populations et FDS</w:t>
      </w:r>
      <w:r w:rsidR="00BC2B79">
        <w:rPr>
          <w:lang w:val="fr-FR"/>
        </w:rPr>
        <w:t xml:space="preserve"> dans </w:t>
      </w:r>
      <w:r w:rsidR="00E673EA">
        <w:rPr>
          <w:lang w:val="fr-FR"/>
        </w:rPr>
        <w:t xml:space="preserve">plusieurs </w:t>
      </w:r>
      <w:r w:rsidR="00BC2B79">
        <w:rPr>
          <w:lang w:val="fr-FR"/>
        </w:rPr>
        <w:t>localité du pays. Les forces de sécurité formées pendant les différentes sessions</w:t>
      </w:r>
      <w:r w:rsidR="00E673EA">
        <w:rPr>
          <w:lang w:val="fr-FR"/>
        </w:rPr>
        <w:t>,</w:t>
      </w:r>
      <w:r w:rsidR="00BC2B79">
        <w:rPr>
          <w:lang w:val="fr-FR"/>
        </w:rPr>
        <w:t xml:space="preserve"> ont aussi largement contribué à la sensibilisation dans différentes unités faisant de celles-ci</w:t>
      </w:r>
      <w:r w:rsidR="00AB3625">
        <w:rPr>
          <w:lang w:val="fr-FR"/>
        </w:rPr>
        <w:t>,</w:t>
      </w:r>
      <w:r w:rsidR="00BC2B79">
        <w:rPr>
          <w:lang w:val="fr-FR"/>
        </w:rPr>
        <w:t xml:space="preserve"> les entités les moins affectées par la pandémie en </w:t>
      </w:r>
      <w:r w:rsidR="00E10BD3">
        <w:rPr>
          <w:lang w:val="fr-FR"/>
        </w:rPr>
        <w:t>Guinée.</w:t>
      </w:r>
      <w:r w:rsidR="00BC2B79">
        <w:rPr>
          <w:lang w:val="fr-FR"/>
        </w:rPr>
        <w:t xml:space="preserve"> </w:t>
      </w:r>
      <w:r>
        <w:rPr>
          <w:lang w:val="fr-FR"/>
        </w:rPr>
        <w:t xml:space="preserve"> Nous notons a</w:t>
      </w:r>
      <w:r w:rsidR="00BC2B79">
        <w:rPr>
          <w:lang w:val="fr-FR"/>
        </w:rPr>
        <w:t>uss</w:t>
      </w:r>
      <w:r>
        <w:rPr>
          <w:lang w:val="fr-FR"/>
        </w:rPr>
        <w:t>i une gestion apaisée d</w:t>
      </w:r>
      <w:r w:rsidR="00AB3625">
        <w:rPr>
          <w:lang w:val="fr-FR"/>
        </w:rPr>
        <w:t>u</w:t>
      </w:r>
      <w:r>
        <w:rPr>
          <w:lang w:val="fr-FR"/>
        </w:rPr>
        <w:t xml:space="preserve"> Covid19 </w:t>
      </w:r>
      <w:r w:rsidR="00AB3625">
        <w:rPr>
          <w:lang w:val="fr-FR"/>
        </w:rPr>
        <w:t>comparée à la crise</w:t>
      </w:r>
      <w:r>
        <w:rPr>
          <w:lang w:val="fr-FR"/>
        </w:rPr>
        <w:t xml:space="preserve"> Ebola en 2014. </w:t>
      </w:r>
    </w:p>
    <w:p w14:paraId="7591EF9C" w14:textId="77777777" w:rsidR="00AB3625" w:rsidRDefault="00AB3625" w:rsidP="004F6810">
      <w:pPr>
        <w:jc w:val="both"/>
        <w:rPr>
          <w:lang w:val="fr-FR"/>
        </w:rPr>
      </w:pPr>
    </w:p>
    <w:p w14:paraId="5DE82694" w14:textId="5713B8AC" w:rsidR="002C4DEF" w:rsidRPr="002C4DEF" w:rsidRDefault="002C4DEF" w:rsidP="004F6810">
      <w:pPr>
        <w:jc w:val="both"/>
        <w:rPr>
          <w:lang w:val="fr-FR"/>
        </w:rPr>
      </w:pPr>
      <w:r>
        <w:rPr>
          <w:lang w:val="fr-FR"/>
        </w:rPr>
        <w:t>Les cas de VBG ont connu une gestion efficace au niveau de l’OPROGEM</w:t>
      </w:r>
      <w:r w:rsidR="00A3307A">
        <w:rPr>
          <w:lang w:val="fr-FR"/>
        </w:rPr>
        <w:t xml:space="preserve"> par le bon établissement des procès-verbaux et le suivi à partir des </w:t>
      </w:r>
      <w:r w:rsidR="00AB3625">
        <w:rPr>
          <w:lang w:val="fr-FR"/>
        </w:rPr>
        <w:t>structures de santé (</w:t>
      </w:r>
      <w:r w:rsidR="00A3307A">
        <w:rPr>
          <w:lang w:val="fr-FR"/>
        </w:rPr>
        <w:t>hôpitaux</w:t>
      </w:r>
      <w:r w:rsidR="00AB3625">
        <w:rPr>
          <w:lang w:val="fr-FR"/>
        </w:rPr>
        <w:t xml:space="preserve"> et centres de santé)</w:t>
      </w:r>
      <w:r w:rsidR="00A3307A">
        <w:rPr>
          <w:lang w:val="fr-FR"/>
        </w:rPr>
        <w:t xml:space="preserve"> jusqu’aux tribunaux.</w:t>
      </w:r>
    </w:p>
    <w:p w14:paraId="22885BEA" w14:textId="77777777" w:rsidR="00600B5F" w:rsidRPr="002C4DEF" w:rsidRDefault="00600B5F" w:rsidP="00600B5F">
      <w:pPr>
        <w:ind w:left="2160"/>
        <w:rPr>
          <w:lang w:val="fr-FR"/>
        </w:rPr>
      </w:pPr>
    </w:p>
    <w:p w14:paraId="63ED12FA" w14:textId="77777777" w:rsidR="004E3B3E" w:rsidRPr="002C4DEF" w:rsidRDefault="004E3B3E" w:rsidP="0078600B">
      <w:pPr>
        <w:rPr>
          <w:lang w:val="fr-FR"/>
        </w:rPr>
        <w:sectPr w:rsidR="004E3B3E" w:rsidRPr="002C4DEF"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45792B01" w:rsidR="00675507"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54739336" w14:textId="70E37440" w:rsidR="00772BDC" w:rsidRDefault="00772BDC" w:rsidP="00675507">
      <w:pPr>
        <w:pStyle w:val="PrformatHTML"/>
        <w:shd w:val="clear" w:color="auto" w:fill="FFFFFF"/>
        <w:rPr>
          <w:rFonts w:ascii="inherit" w:hAnsi="inherit"/>
          <w:color w:val="212121"/>
          <w:sz w:val="22"/>
          <w:szCs w:val="22"/>
          <w:lang w:val="fr-FR"/>
        </w:rPr>
      </w:pPr>
    </w:p>
    <w:p w14:paraId="2BD70B10" w14:textId="77777777" w:rsidR="00772BDC" w:rsidRPr="005529F5" w:rsidRDefault="00772BDC" w:rsidP="00772BDC">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772BDC" w:rsidRPr="00962071" w14:paraId="581DBBA5" w14:textId="77777777" w:rsidTr="00BB2BB3">
        <w:trPr>
          <w:tblHeader/>
        </w:trPr>
        <w:tc>
          <w:tcPr>
            <w:tcW w:w="1530" w:type="dxa"/>
          </w:tcPr>
          <w:p w14:paraId="73D0416C" w14:textId="77777777" w:rsidR="00772BDC" w:rsidRPr="008172EF" w:rsidRDefault="00772BDC" w:rsidP="00BB2BB3">
            <w:pPr>
              <w:jc w:val="center"/>
              <w:rPr>
                <w:b/>
                <w:sz w:val="22"/>
                <w:szCs w:val="22"/>
                <w:lang w:val="fr-FR" w:eastAsia="en-US"/>
              </w:rPr>
            </w:pPr>
          </w:p>
        </w:tc>
        <w:tc>
          <w:tcPr>
            <w:tcW w:w="2070" w:type="dxa"/>
            <w:shd w:val="clear" w:color="auto" w:fill="EEECE1"/>
          </w:tcPr>
          <w:p w14:paraId="176AB98F" w14:textId="77777777" w:rsidR="00772BDC" w:rsidRPr="008172EF" w:rsidRDefault="00772BDC" w:rsidP="00BB2BB3">
            <w:pPr>
              <w:jc w:val="center"/>
              <w:rPr>
                <w:b/>
                <w:sz w:val="22"/>
                <w:szCs w:val="22"/>
                <w:lang w:val="fr-FR" w:eastAsia="en-US"/>
              </w:rPr>
            </w:pPr>
            <w:r w:rsidRPr="008172EF">
              <w:rPr>
                <w:b/>
                <w:sz w:val="22"/>
                <w:szCs w:val="22"/>
                <w:lang w:val="fr-FR" w:eastAsia="en-US"/>
              </w:rPr>
              <w:t>Indicateurs</w:t>
            </w:r>
          </w:p>
        </w:tc>
        <w:tc>
          <w:tcPr>
            <w:tcW w:w="1530" w:type="dxa"/>
            <w:shd w:val="clear" w:color="auto" w:fill="EEECE1"/>
          </w:tcPr>
          <w:p w14:paraId="745D5706" w14:textId="77777777" w:rsidR="00772BDC" w:rsidRPr="008172EF" w:rsidRDefault="00772BDC" w:rsidP="00BB2BB3">
            <w:pPr>
              <w:jc w:val="center"/>
              <w:rPr>
                <w:b/>
                <w:sz w:val="22"/>
                <w:szCs w:val="22"/>
                <w:lang w:val="fr-FR" w:eastAsia="en-US"/>
              </w:rPr>
            </w:pPr>
            <w:r w:rsidRPr="008172EF">
              <w:rPr>
                <w:b/>
                <w:sz w:val="22"/>
                <w:szCs w:val="22"/>
                <w:lang w:val="fr-FR" w:eastAsia="en-US"/>
              </w:rPr>
              <w:t xml:space="preserve">Base de </w:t>
            </w:r>
            <w:proofErr w:type="gramStart"/>
            <w:r w:rsidRPr="008172EF">
              <w:rPr>
                <w:b/>
                <w:sz w:val="22"/>
                <w:szCs w:val="22"/>
                <w:lang w:val="fr-FR" w:eastAsia="en-US"/>
              </w:rPr>
              <w:t>donnée</w:t>
            </w:r>
            <w:proofErr w:type="gramEnd"/>
          </w:p>
        </w:tc>
        <w:tc>
          <w:tcPr>
            <w:tcW w:w="1620" w:type="dxa"/>
            <w:shd w:val="clear" w:color="auto" w:fill="EEECE1"/>
          </w:tcPr>
          <w:p w14:paraId="3BE0643C" w14:textId="77777777" w:rsidR="00772BDC" w:rsidRPr="008172EF" w:rsidRDefault="00772BDC" w:rsidP="00BB2BB3">
            <w:pPr>
              <w:jc w:val="center"/>
              <w:rPr>
                <w:b/>
                <w:sz w:val="22"/>
                <w:szCs w:val="22"/>
                <w:lang w:val="fr-FR" w:eastAsia="en-US"/>
              </w:rPr>
            </w:pPr>
            <w:r w:rsidRPr="008172EF">
              <w:rPr>
                <w:b/>
                <w:sz w:val="22"/>
                <w:szCs w:val="22"/>
                <w:lang w:val="fr-FR" w:eastAsia="en-US"/>
              </w:rPr>
              <w:t>Cible de fin de projet</w:t>
            </w:r>
          </w:p>
        </w:tc>
        <w:tc>
          <w:tcPr>
            <w:tcW w:w="2070" w:type="dxa"/>
          </w:tcPr>
          <w:p w14:paraId="2A7230BC" w14:textId="77777777" w:rsidR="00772BDC" w:rsidRPr="008172EF" w:rsidRDefault="00772BDC" w:rsidP="00BB2BB3">
            <w:pPr>
              <w:jc w:val="center"/>
              <w:rPr>
                <w:b/>
                <w:sz w:val="22"/>
                <w:szCs w:val="22"/>
                <w:lang w:val="fr-FR" w:eastAsia="en-US"/>
              </w:rPr>
            </w:pPr>
            <w:r w:rsidRPr="008172EF">
              <w:rPr>
                <w:b/>
                <w:sz w:val="22"/>
                <w:szCs w:val="22"/>
                <w:lang w:val="fr-FR" w:eastAsia="en-US"/>
              </w:rPr>
              <w:t xml:space="preserve">Etapes d’indicateur/ </w:t>
            </w:r>
            <w:proofErr w:type="spellStart"/>
            <w:r w:rsidRPr="008172EF">
              <w:rPr>
                <w:b/>
                <w:sz w:val="22"/>
                <w:szCs w:val="22"/>
                <w:lang w:val="fr-FR" w:eastAsia="en-US"/>
              </w:rPr>
              <w:t>milestone</w:t>
            </w:r>
            <w:proofErr w:type="spellEnd"/>
          </w:p>
        </w:tc>
        <w:tc>
          <w:tcPr>
            <w:tcW w:w="2070" w:type="dxa"/>
          </w:tcPr>
          <w:p w14:paraId="79C45517" w14:textId="77777777" w:rsidR="00772BDC" w:rsidRPr="008172EF" w:rsidRDefault="00772BDC" w:rsidP="00BB2BB3">
            <w:pPr>
              <w:jc w:val="center"/>
              <w:rPr>
                <w:b/>
                <w:sz w:val="22"/>
                <w:szCs w:val="22"/>
                <w:lang w:val="fr-FR" w:eastAsia="en-US"/>
              </w:rPr>
            </w:pPr>
            <w:r w:rsidRPr="008172EF">
              <w:rPr>
                <w:b/>
                <w:sz w:val="22"/>
                <w:szCs w:val="22"/>
                <w:lang w:val="fr-FR" w:eastAsia="en-US"/>
              </w:rPr>
              <w:t>Progrès actuel de l’indicateur</w:t>
            </w:r>
          </w:p>
        </w:tc>
        <w:tc>
          <w:tcPr>
            <w:tcW w:w="4140" w:type="dxa"/>
          </w:tcPr>
          <w:p w14:paraId="7C01476B" w14:textId="77777777" w:rsidR="00772BDC" w:rsidRPr="008172EF" w:rsidRDefault="00772BDC" w:rsidP="00BB2BB3">
            <w:pPr>
              <w:jc w:val="center"/>
              <w:rPr>
                <w:b/>
                <w:sz w:val="22"/>
                <w:szCs w:val="22"/>
                <w:lang w:val="fr-FR" w:eastAsia="en-US"/>
              </w:rPr>
            </w:pPr>
            <w:r w:rsidRPr="008172EF">
              <w:rPr>
                <w:b/>
                <w:sz w:val="22"/>
                <w:szCs w:val="22"/>
                <w:lang w:val="fr-FR" w:eastAsia="en-US"/>
              </w:rPr>
              <w:t>Raisons pour les retards ou changements</w:t>
            </w:r>
          </w:p>
        </w:tc>
      </w:tr>
      <w:tr w:rsidR="00772BDC" w:rsidRPr="00962071" w14:paraId="5AC288CB" w14:textId="77777777" w:rsidTr="00BB2BB3">
        <w:trPr>
          <w:trHeight w:val="548"/>
        </w:trPr>
        <w:tc>
          <w:tcPr>
            <w:tcW w:w="1530" w:type="dxa"/>
            <w:vMerge w:val="restart"/>
          </w:tcPr>
          <w:p w14:paraId="07B498D0" w14:textId="77777777" w:rsidR="00772BDC" w:rsidRPr="008172EF" w:rsidRDefault="00772BDC" w:rsidP="00BB2BB3">
            <w:pPr>
              <w:rPr>
                <w:b/>
                <w:sz w:val="22"/>
                <w:szCs w:val="22"/>
                <w:lang w:val="fr-FR" w:eastAsia="en-US"/>
              </w:rPr>
            </w:pPr>
            <w:r w:rsidRPr="008172EF">
              <w:rPr>
                <w:b/>
                <w:sz w:val="22"/>
                <w:szCs w:val="22"/>
                <w:lang w:val="fr-FR" w:eastAsia="en-US"/>
              </w:rPr>
              <w:t>Résultat 1</w:t>
            </w:r>
          </w:p>
          <w:p w14:paraId="36571E4F" w14:textId="77777777" w:rsidR="00772BDC" w:rsidRPr="008172EF" w:rsidRDefault="00772BDC" w:rsidP="00BB2BB3">
            <w:pPr>
              <w:rPr>
                <w:b/>
                <w:sz w:val="22"/>
                <w:szCs w:val="22"/>
                <w:lang w:val="fr-FR" w:eastAsia="en-US"/>
              </w:rPr>
            </w:pPr>
            <w:r w:rsidRPr="008172EF">
              <w:rPr>
                <w:sz w:val="22"/>
                <w:szCs w:val="22"/>
                <w:lang w:val="fr-FR"/>
              </w:rPr>
              <w:t>La redevabilité et la transparence des services de police sont améliorées à travers le renforcement des mécanismes de contrôle interne et externes</w:t>
            </w:r>
          </w:p>
        </w:tc>
        <w:tc>
          <w:tcPr>
            <w:tcW w:w="2070" w:type="dxa"/>
            <w:shd w:val="clear" w:color="auto" w:fill="EEECE1"/>
          </w:tcPr>
          <w:p w14:paraId="47327FC3" w14:textId="77777777" w:rsidR="00772BDC" w:rsidRPr="008172EF" w:rsidRDefault="00772BDC" w:rsidP="00BB2BB3">
            <w:pPr>
              <w:jc w:val="both"/>
              <w:rPr>
                <w:sz w:val="22"/>
                <w:szCs w:val="22"/>
                <w:lang w:val="fr-FR" w:eastAsia="en-US"/>
              </w:rPr>
            </w:pPr>
            <w:r w:rsidRPr="008172EF">
              <w:rPr>
                <w:sz w:val="22"/>
                <w:szCs w:val="22"/>
                <w:lang w:val="fr-FR" w:eastAsia="en-US"/>
              </w:rPr>
              <w:t xml:space="preserve">Indicateur 1.1 : Niveau de confiance de la population dans les services de police  </w:t>
            </w:r>
          </w:p>
          <w:p w14:paraId="775C251E" w14:textId="77777777" w:rsidR="00772BDC" w:rsidRPr="008172EF" w:rsidRDefault="00772BDC" w:rsidP="00BB2BB3">
            <w:pPr>
              <w:jc w:val="both"/>
              <w:rPr>
                <w:sz w:val="22"/>
                <w:szCs w:val="22"/>
                <w:lang w:val="fr-FR" w:eastAsia="en-US"/>
              </w:rPr>
            </w:pPr>
            <w:r w:rsidRPr="008172EF">
              <w:rPr>
                <w:sz w:val="22"/>
                <w:szCs w:val="22"/>
                <w:lang w:val="fr-FR" w:eastAsia="en-US"/>
              </w:rPr>
              <w:t>.</w:t>
            </w:r>
          </w:p>
          <w:p w14:paraId="2508E277" w14:textId="77777777" w:rsidR="00772BDC" w:rsidRPr="008172EF" w:rsidRDefault="00772BDC" w:rsidP="00BB2BB3">
            <w:pPr>
              <w:rPr>
                <w:sz w:val="22"/>
                <w:szCs w:val="22"/>
                <w:lang w:val="fr-FR" w:eastAsia="en-US"/>
              </w:rPr>
            </w:pPr>
          </w:p>
          <w:p w14:paraId="60E4BEBA" w14:textId="77777777" w:rsidR="00772BDC" w:rsidRPr="008172EF" w:rsidRDefault="00772BDC" w:rsidP="00BB2BB3">
            <w:pPr>
              <w:jc w:val="both"/>
              <w:rPr>
                <w:sz w:val="22"/>
                <w:szCs w:val="22"/>
                <w:lang w:val="fr-FR" w:eastAsia="en-US"/>
              </w:rPr>
            </w:pPr>
          </w:p>
        </w:tc>
        <w:tc>
          <w:tcPr>
            <w:tcW w:w="1530" w:type="dxa"/>
            <w:shd w:val="clear" w:color="auto" w:fill="EEECE1"/>
          </w:tcPr>
          <w:p w14:paraId="4275DB0F" w14:textId="77777777" w:rsidR="00772BDC" w:rsidRPr="008172EF" w:rsidRDefault="00772BDC" w:rsidP="00BB2BB3">
            <w:pPr>
              <w:rPr>
                <w:sz w:val="22"/>
                <w:szCs w:val="22"/>
                <w:lang w:val="fr-FR" w:eastAsia="en-US"/>
              </w:rPr>
            </w:pPr>
            <w:r w:rsidRPr="008172EF">
              <w:rPr>
                <w:b/>
                <w:sz w:val="22"/>
                <w:szCs w:val="22"/>
                <w:lang w:val="fr-FR" w:eastAsia="en-US"/>
              </w:rPr>
              <w:t>4% (Enquête de perception des services de la police 2019).</w:t>
            </w:r>
          </w:p>
        </w:tc>
        <w:tc>
          <w:tcPr>
            <w:tcW w:w="1620" w:type="dxa"/>
            <w:shd w:val="clear" w:color="auto" w:fill="EEECE1"/>
          </w:tcPr>
          <w:p w14:paraId="3E61A118" w14:textId="77777777" w:rsidR="00772BDC" w:rsidRPr="008172EF" w:rsidRDefault="00772BDC" w:rsidP="00BB2BB3">
            <w:pPr>
              <w:rPr>
                <w:bCs/>
                <w:sz w:val="22"/>
                <w:szCs w:val="22"/>
                <w:lang w:val="fr-FR" w:eastAsia="en-US"/>
              </w:rPr>
            </w:pPr>
            <w:r w:rsidRPr="008172EF">
              <w:rPr>
                <w:bCs/>
                <w:sz w:val="22"/>
                <w:szCs w:val="22"/>
                <w:lang w:val="fr-FR" w:eastAsia="en-US"/>
              </w:rPr>
              <w:t>19%</w:t>
            </w:r>
          </w:p>
          <w:p w14:paraId="426DFCF8" w14:textId="77777777" w:rsidR="00772BDC" w:rsidRPr="008172EF" w:rsidRDefault="00772BDC" w:rsidP="00BB2BB3">
            <w:pPr>
              <w:rPr>
                <w:bCs/>
                <w:sz w:val="22"/>
                <w:szCs w:val="22"/>
                <w:lang w:val="fr-FR" w:eastAsia="en-US"/>
              </w:rPr>
            </w:pPr>
            <w:r w:rsidRPr="008172EF">
              <w:rPr>
                <w:bCs/>
                <w:sz w:val="22"/>
                <w:szCs w:val="22"/>
                <w:lang w:val="fr-FR" w:eastAsia="en-US"/>
              </w:rPr>
              <w:t xml:space="preserve">Amélioration de la confiance de +15 % </w:t>
            </w:r>
          </w:p>
          <w:p w14:paraId="108E9B7A" w14:textId="77777777" w:rsidR="00772BDC" w:rsidRPr="008172EF" w:rsidRDefault="00772BDC" w:rsidP="00BB2BB3">
            <w:pPr>
              <w:rPr>
                <w:sz w:val="22"/>
                <w:szCs w:val="22"/>
                <w:lang w:val="fr-FR"/>
              </w:rPr>
            </w:pPr>
            <w:r w:rsidRPr="008172EF">
              <w:rPr>
                <w:bCs/>
                <w:sz w:val="22"/>
                <w:szCs w:val="22"/>
                <w:lang w:val="fr-FR" w:eastAsia="en-US"/>
              </w:rPr>
              <w:t>Données désagrégées par sexe et tranches d’âge,</w:t>
            </w:r>
            <w:r w:rsidRPr="008172EF">
              <w:rPr>
                <w:b/>
                <w:sz w:val="22"/>
                <w:szCs w:val="22"/>
                <w:lang w:val="fr-FR" w:eastAsia="en-US"/>
              </w:rPr>
              <w:t xml:space="preserve">  </w:t>
            </w:r>
          </w:p>
        </w:tc>
        <w:tc>
          <w:tcPr>
            <w:tcW w:w="2070" w:type="dxa"/>
          </w:tcPr>
          <w:p w14:paraId="49EF4194" w14:textId="77777777" w:rsidR="00772BDC" w:rsidRPr="008172EF" w:rsidRDefault="00772BDC" w:rsidP="00BB2BB3">
            <w:pPr>
              <w:rPr>
                <w:bCs/>
                <w:sz w:val="22"/>
                <w:szCs w:val="22"/>
                <w:lang w:val="fr-FR"/>
              </w:rPr>
            </w:pPr>
            <w:r w:rsidRPr="008172EF">
              <w:rPr>
                <w:bCs/>
                <w:sz w:val="22"/>
                <w:szCs w:val="22"/>
                <w:lang w:val="fr-FR" w:eastAsia="en-US"/>
              </w:rPr>
              <w:t>NA</w:t>
            </w:r>
          </w:p>
        </w:tc>
        <w:tc>
          <w:tcPr>
            <w:tcW w:w="2070" w:type="dxa"/>
          </w:tcPr>
          <w:p w14:paraId="7AB3B5AF" w14:textId="77777777" w:rsidR="00772BDC" w:rsidRPr="008172EF" w:rsidRDefault="00772BDC" w:rsidP="00BB2BB3">
            <w:pPr>
              <w:rPr>
                <w:bCs/>
                <w:sz w:val="22"/>
                <w:szCs w:val="22"/>
                <w:lang w:val="fr-FR"/>
              </w:rPr>
            </w:pPr>
            <w:r w:rsidRPr="008172EF">
              <w:rPr>
                <w:bCs/>
                <w:sz w:val="22"/>
                <w:szCs w:val="22"/>
                <w:lang w:val="fr-FR" w:eastAsia="en-US"/>
              </w:rPr>
              <w:fldChar w:fldCharType="begin">
                <w:ffData>
                  <w:name w:val=""/>
                  <w:enabled/>
                  <w:calcOnExit w:val="0"/>
                  <w:textInput>
                    <w:maxLength w:val="300"/>
                  </w:textInput>
                </w:ffData>
              </w:fldChar>
            </w:r>
            <w:r w:rsidRPr="008172EF">
              <w:rPr>
                <w:bCs/>
                <w:sz w:val="22"/>
                <w:szCs w:val="22"/>
                <w:lang w:val="fr-FR" w:eastAsia="en-US"/>
              </w:rPr>
              <w:instrText xml:space="preserve"> FORMTEXT </w:instrText>
            </w:r>
            <w:r w:rsidRPr="008172EF">
              <w:rPr>
                <w:bCs/>
                <w:sz w:val="22"/>
                <w:szCs w:val="22"/>
                <w:lang w:val="fr-FR" w:eastAsia="en-US"/>
              </w:rPr>
            </w:r>
            <w:r w:rsidRPr="008172EF">
              <w:rPr>
                <w:bCs/>
                <w:sz w:val="22"/>
                <w:szCs w:val="22"/>
                <w:lang w:val="fr-FR" w:eastAsia="en-US"/>
              </w:rPr>
              <w:fldChar w:fldCharType="separate"/>
            </w:r>
            <w:r w:rsidRPr="008172EF">
              <w:rPr>
                <w:bCs/>
                <w:noProof/>
                <w:sz w:val="22"/>
                <w:szCs w:val="22"/>
                <w:lang w:val="fr-FR" w:eastAsia="en-US"/>
              </w:rPr>
              <w:t> </w:t>
            </w:r>
            <w:r w:rsidRPr="008172EF">
              <w:rPr>
                <w:bCs/>
                <w:noProof/>
                <w:sz w:val="22"/>
                <w:szCs w:val="22"/>
                <w:lang w:val="fr-FR" w:eastAsia="en-US"/>
              </w:rPr>
              <w:t> </w:t>
            </w:r>
            <w:r w:rsidRPr="008172EF">
              <w:rPr>
                <w:bCs/>
                <w:noProof/>
                <w:sz w:val="22"/>
                <w:szCs w:val="22"/>
                <w:lang w:val="fr-FR" w:eastAsia="en-US"/>
              </w:rPr>
              <w:t> </w:t>
            </w:r>
            <w:r w:rsidRPr="008172EF">
              <w:rPr>
                <w:bCs/>
                <w:noProof/>
                <w:sz w:val="22"/>
                <w:szCs w:val="22"/>
                <w:lang w:val="fr-FR" w:eastAsia="en-US"/>
              </w:rPr>
              <w:t> </w:t>
            </w:r>
            <w:r w:rsidRPr="008172EF">
              <w:rPr>
                <w:bCs/>
                <w:noProof/>
                <w:sz w:val="22"/>
                <w:szCs w:val="22"/>
                <w:lang w:val="fr-FR" w:eastAsia="en-US"/>
              </w:rPr>
              <w:t> </w:t>
            </w:r>
            <w:r w:rsidRPr="008172EF">
              <w:rPr>
                <w:bCs/>
                <w:sz w:val="22"/>
                <w:szCs w:val="22"/>
                <w:lang w:val="fr-FR" w:eastAsia="en-US"/>
              </w:rPr>
              <w:fldChar w:fldCharType="end"/>
            </w:r>
          </w:p>
        </w:tc>
        <w:tc>
          <w:tcPr>
            <w:tcW w:w="4140" w:type="dxa"/>
          </w:tcPr>
          <w:p w14:paraId="5B4E027E" w14:textId="77777777" w:rsidR="00772BDC" w:rsidRPr="008172EF" w:rsidRDefault="00772BDC" w:rsidP="00BB2BB3">
            <w:pPr>
              <w:rPr>
                <w:bCs/>
                <w:sz w:val="22"/>
                <w:szCs w:val="22"/>
                <w:lang w:val="fr-FR"/>
              </w:rPr>
            </w:pPr>
            <w:r w:rsidRPr="008172EF">
              <w:rPr>
                <w:bCs/>
                <w:sz w:val="22"/>
                <w:szCs w:val="22"/>
                <w:lang w:val="fr-FR" w:eastAsia="en-US"/>
              </w:rPr>
              <w:t>En attente de l’enquête de perception de fin projet.</w:t>
            </w:r>
          </w:p>
        </w:tc>
      </w:tr>
      <w:tr w:rsidR="00772BDC" w:rsidRPr="00962071" w14:paraId="300EE110" w14:textId="77777777" w:rsidTr="00BB2BB3">
        <w:trPr>
          <w:trHeight w:val="548"/>
        </w:trPr>
        <w:tc>
          <w:tcPr>
            <w:tcW w:w="1530" w:type="dxa"/>
            <w:vMerge/>
          </w:tcPr>
          <w:p w14:paraId="7406B899" w14:textId="77777777" w:rsidR="00772BDC" w:rsidRPr="008172EF" w:rsidRDefault="00772BDC" w:rsidP="00BB2BB3">
            <w:pPr>
              <w:rPr>
                <w:b/>
                <w:sz w:val="22"/>
                <w:szCs w:val="22"/>
                <w:lang w:val="fr-FR" w:eastAsia="en-US"/>
              </w:rPr>
            </w:pPr>
          </w:p>
        </w:tc>
        <w:tc>
          <w:tcPr>
            <w:tcW w:w="2070" w:type="dxa"/>
            <w:shd w:val="clear" w:color="auto" w:fill="EEECE1"/>
          </w:tcPr>
          <w:p w14:paraId="40E4B227" w14:textId="77777777" w:rsidR="00772BDC" w:rsidRPr="008172EF" w:rsidRDefault="00772BDC" w:rsidP="00BB2BB3">
            <w:pPr>
              <w:jc w:val="both"/>
              <w:rPr>
                <w:sz w:val="22"/>
                <w:szCs w:val="22"/>
                <w:lang w:val="fr-FR" w:eastAsia="en-US"/>
              </w:rPr>
            </w:pPr>
            <w:r w:rsidRPr="008172EF">
              <w:rPr>
                <w:sz w:val="22"/>
                <w:szCs w:val="22"/>
                <w:lang w:val="fr-FR" w:eastAsia="en-US"/>
              </w:rPr>
              <w:t>Indicateur 1.2 : Evolution du nombre de cas de mauvaises pratiques de la part des FDS signalées par les populations</w:t>
            </w:r>
          </w:p>
          <w:p w14:paraId="209363A7" w14:textId="77777777" w:rsidR="00772BDC" w:rsidRPr="008172EF" w:rsidRDefault="00772BDC" w:rsidP="00BB2BB3">
            <w:pPr>
              <w:rPr>
                <w:sz w:val="22"/>
                <w:szCs w:val="22"/>
                <w:lang w:val="fr-FR" w:eastAsia="en-US"/>
              </w:rPr>
            </w:pPr>
          </w:p>
          <w:p w14:paraId="5162BD35" w14:textId="77777777" w:rsidR="00772BDC" w:rsidRPr="008172EF" w:rsidRDefault="00772BDC" w:rsidP="00BB2BB3">
            <w:pPr>
              <w:jc w:val="both"/>
              <w:rPr>
                <w:sz w:val="22"/>
                <w:szCs w:val="22"/>
                <w:lang w:val="fr-FR" w:eastAsia="en-US"/>
              </w:rPr>
            </w:pPr>
          </w:p>
        </w:tc>
        <w:tc>
          <w:tcPr>
            <w:tcW w:w="1530" w:type="dxa"/>
            <w:shd w:val="clear" w:color="auto" w:fill="EEECE1"/>
          </w:tcPr>
          <w:p w14:paraId="5401754A" w14:textId="77777777" w:rsidR="00772BDC" w:rsidRPr="008172EF" w:rsidRDefault="00772BDC" w:rsidP="00BB2BB3">
            <w:pPr>
              <w:rPr>
                <w:b/>
                <w:sz w:val="22"/>
                <w:szCs w:val="22"/>
                <w:lang w:val="fr-FR" w:eastAsia="en-US"/>
              </w:rPr>
            </w:pPr>
            <w:r w:rsidRPr="008172EF">
              <w:rPr>
                <w:b/>
                <w:sz w:val="22"/>
                <w:szCs w:val="22"/>
                <w:lang w:val="fr-FR" w:eastAsia="en-US"/>
              </w:rPr>
              <w:t>60% (ne trouvent pas efficace les services de police</w:t>
            </w:r>
          </w:p>
          <w:p w14:paraId="56FD8C52" w14:textId="77777777" w:rsidR="00772BDC" w:rsidRPr="008172EF" w:rsidRDefault="00772BDC" w:rsidP="00BB2BB3">
            <w:pPr>
              <w:rPr>
                <w:sz w:val="22"/>
                <w:szCs w:val="22"/>
                <w:lang w:val="fr-FR"/>
              </w:rPr>
            </w:pPr>
            <w:r w:rsidRPr="008172EF">
              <w:rPr>
                <w:b/>
                <w:sz w:val="22"/>
                <w:szCs w:val="22"/>
                <w:lang w:val="fr-FR" w:eastAsia="en-US"/>
              </w:rPr>
              <w:t>(Enquête de perception des services de la police 2019)</w:t>
            </w:r>
          </w:p>
        </w:tc>
        <w:tc>
          <w:tcPr>
            <w:tcW w:w="1620" w:type="dxa"/>
            <w:shd w:val="clear" w:color="auto" w:fill="EEECE1"/>
          </w:tcPr>
          <w:p w14:paraId="57FD09F8" w14:textId="77777777" w:rsidR="00772BDC" w:rsidRPr="008172EF" w:rsidRDefault="00772BDC" w:rsidP="00BB2BB3">
            <w:pPr>
              <w:rPr>
                <w:sz w:val="22"/>
                <w:szCs w:val="22"/>
                <w:lang w:val="fr-FR"/>
              </w:rPr>
            </w:pPr>
            <w:r w:rsidRPr="008172EF">
              <w:rPr>
                <w:b/>
                <w:sz w:val="22"/>
                <w:szCs w:val="22"/>
                <w:lang w:val="fr-FR" w:eastAsia="en-US"/>
              </w:rPr>
              <w:t>45% (-15%) Cas</w:t>
            </w:r>
          </w:p>
        </w:tc>
        <w:tc>
          <w:tcPr>
            <w:tcW w:w="2070" w:type="dxa"/>
          </w:tcPr>
          <w:p w14:paraId="21744351" w14:textId="77777777" w:rsidR="00772BDC" w:rsidRPr="008172EF" w:rsidRDefault="00772BDC" w:rsidP="00BB2BB3">
            <w:pPr>
              <w:rPr>
                <w:sz w:val="22"/>
                <w:szCs w:val="22"/>
                <w:lang w:val="fr-FR"/>
              </w:rPr>
            </w:pPr>
            <w:r w:rsidRPr="008172EF">
              <w:rPr>
                <w:b/>
                <w:sz w:val="22"/>
                <w:szCs w:val="22"/>
                <w:lang w:val="fr-FR" w:eastAsia="en-US"/>
              </w:rPr>
              <w:t>NA</w:t>
            </w:r>
          </w:p>
        </w:tc>
        <w:tc>
          <w:tcPr>
            <w:tcW w:w="2070" w:type="dxa"/>
          </w:tcPr>
          <w:p w14:paraId="04473433" w14:textId="77777777" w:rsidR="00772BDC" w:rsidRPr="008172EF" w:rsidRDefault="00772BDC" w:rsidP="00BB2BB3">
            <w:pPr>
              <w:rPr>
                <w:sz w:val="22"/>
                <w:szCs w:val="22"/>
                <w:lang w:val="fr-FR"/>
              </w:rPr>
            </w:pPr>
            <w:r w:rsidRPr="008172EF">
              <w:rPr>
                <w:b/>
                <w:sz w:val="22"/>
                <w:szCs w:val="22"/>
                <w:lang w:val="fr-FR" w:eastAsia="en-US"/>
              </w:rPr>
              <w:t>NA</w:t>
            </w:r>
          </w:p>
        </w:tc>
        <w:tc>
          <w:tcPr>
            <w:tcW w:w="4140" w:type="dxa"/>
          </w:tcPr>
          <w:p w14:paraId="3AAA3DBA" w14:textId="77777777" w:rsidR="00772BDC" w:rsidRPr="008172EF" w:rsidRDefault="00772BDC" w:rsidP="00BB2BB3">
            <w:pPr>
              <w:rPr>
                <w:bCs/>
                <w:sz w:val="22"/>
                <w:szCs w:val="22"/>
                <w:lang w:val="fr-FR"/>
              </w:rPr>
            </w:pPr>
            <w:r w:rsidRPr="008172EF">
              <w:rPr>
                <w:bCs/>
                <w:sz w:val="22"/>
                <w:szCs w:val="22"/>
                <w:lang w:val="fr-FR" w:eastAsia="en-US"/>
              </w:rPr>
              <w:t>Attente de l’enquête de perception finale du projet</w:t>
            </w:r>
          </w:p>
        </w:tc>
      </w:tr>
      <w:tr w:rsidR="00772BDC" w:rsidRPr="00D451E5" w14:paraId="4BB81746" w14:textId="77777777" w:rsidTr="00BB2BB3">
        <w:trPr>
          <w:trHeight w:val="548"/>
        </w:trPr>
        <w:tc>
          <w:tcPr>
            <w:tcW w:w="1530" w:type="dxa"/>
            <w:vMerge/>
          </w:tcPr>
          <w:p w14:paraId="45DCEA25" w14:textId="77777777" w:rsidR="00772BDC" w:rsidRPr="008172EF" w:rsidRDefault="00772BDC" w:rsidP="00BB2BB3">
            <w:pPr>
              <w:rPr>
                <w:sz w:val="22"/>
                <w:szCs w:val="22"/>
                <w:lang w:val="fr-FR" w:eastAsia="en-US"/>
              </w:rPr>
            </w:pPr>
          </w:p>
        </w:tc>
        <w:tc>
          <w:tcPr>
            <w:tcW w:w="2070" w:type="dxa"/>
            <w:shd w:val="clear" w:color="auto" w:fill="EEECE1"/>
          </w:tcPr>
          <w:p w14:paraId="470F6448" w14:textId="77777777" w:rsidR="00772BDC" w:rsidRPr="008172EF" w:rsidRDefault="00772BDC" w:rsidP="00BB2BB3">
            <w:pPr>
              <w:jc w:val="both"/>
              <w:rPr>
                <w:sz w:val="22"/>
                <w:szCs w:val="22"/>
                <w:lang w:val="fr-FR" w:eastAsia="en-US"/>
              </w:rPr>
            </w:pPr>
            <w:r w:rsidRPr="008172EF">
              <w:rPr>
                <w:sz w:val="22"/>
                <w:szCs w:val="22"/>
                <w:lang w:val="fr-FR" w:eastAsia="en-US"/>
              </w:rPr>
              <w:t>Indicateur 1.3 : niveau de transparence et redevabilité perçu par les populations</w:t>
            </w:r>
          </w:p>
          <w:p w14:paraId="34870C01" w14:textId="77777777" w:rsidR="00772BDC" w:rsidRPr="008172EF" w:rsidRDefault="00772BDC" w:rsidP="00BB2BB3">
            <w:pPr>
              <w:rPr>
                <w:sz w:val="22"/>
                <w:szCs w:val="22"/>
                <w:lang w:val="fr-FR" w:eastAsia="en-US"/>
              </w:rPr>
            </w:pPr>
          </w:p>
          <w:p w14:paraId="3BE440C7" w14:textId="77777777" w:rsidR="00772BDC" w:rsidRPr="008172EF" w:rsidRDefault="00772BDC" w:rsidP="00BB2BB3">
            <w:pPr>
              <w:jc w:val="both"/>
              <w:rPr>
                <w:sz w:val="22"/>
                <w:szCs w:val="22"/>
                <w:lang w:val="fr-FR" w:eastAsia="en-US"/>
              </w:rPr>
            </w:pPr>
          </w:p>
        </w:tc>
        <w:tc>
          <w:tcPr>
            <w:tcW w:w="1530" w:type="dxa"/>
            <w:shd w:val="clear" w:color="auto" w:fill="EEECE1"/>
          </w:tcPr>
          <w:p w14:paraId="3E95F7E5" w14:textId="77777777" w:rsidR="00772BDC" w:rsidRPr="008172EF" w:rsidRDefault="00772BDC" w:rsidP="00BB2BB3">
            <w:pPr>
              <w:rPr>
                <w:sz w:val="22"/>
                <w:szCs w:val="22"/>
                <w:lang w:val="fr-FR"/>
              </w:rPr>
            </w:pPr>
            <w:r w:rsidRPr="008172EF">
              <w:rPr>
                <w:sz w:val="22"/>
                <w:szCs w:val="22"/>
                <w:lang w:val="fr-FR"/>
              </w:rPr>
              <w:t>Base de données : 55% font peu confiance à la police.</w:t>
            </w:r>
          </w:p>
          <w:p w14:paraId="1A53F1B9" w14:textId="77777777" w:rsidR="00772BDC" w:rsidRPr="008172EF" w:rsidRDefault="00772BDC" w:rsidP="00BB2BB3">
            <w:pPr>
              <w:rPr>
                <w:sz w:val="22"/>
                <w:szCs w:val="22"/>
                <w:lang w:val="fr-FR"/>
              </w:rPr>
            </w:pPr>
            <w:r w:rsidRPr="008172EF">
              <w:rPr>
                <w:b/>
                <w:sz w:val="22"/>
                <w:szCs w:val="22"/>
                <w:lang w:val="fr-FR" w:eastAsia="en-US"/>
              </w:rPr>
              <w:t>(Enquête de perception des services de la police 2019</w:t>
            </w:r>
            <w:r w:rsidRPr="008172EF">
              <w:rPr>
                <w:sz w:val="22"/>
                <w:szCs w:val="22"/>
                <w:lang w:val="fr-FR"/>
              </w:rPr>
              <w:t xml:space="preserve"> </w:t>
            </w:r>
          </w:p>
          <w:p w14:paraId="216CFE68" w14:textId="77777777" w:rsidR="00772BDC" w:rsidRPr="008172EF" w:rsidRDefault="00772BDC" w:rsidP="00BB2BB3">
            <w:pPr>
              <w:rPr>
                <w:sz w:val="22"/>
                <w:szCs w:val="22"/>
                <w:lang w:val="fr-FR"/>
              </w:rPr>
            </w:pPr>
          </w:p>
        </w:tc>
        <w:tc>
          <w:tcPr>
            <w:tcW w:w="1620" w:type="dxa"/>
            <w:shd w:val="clear" w:color="auto" w:fill="EEECE1"/>
          </w:tcPr>
          <w:p w14:paraId="6D689819" w14:textId="77777777" w:rsidR="00772BDC" w:rsidRPr="008172EF" w:rsidRDefault="00772BDC" w:rsidP="00BB2BB3">
            <w:pPr>
              <w:rPr>
                <w:sz w:val="22"/>
                <w:szCs w:val="22"/>
                <w:lang w:val="fr-FR"/>
              </w:rPr>
            </w:pPr>
            <w:r w:rsidRPr="008172EF">
              <w:rPr>
                <w:b/>
                <w:sz w:val="22"/>
                <w:szCs w:val="22"/>
                <w:lang w:val="fr-FR" w:eastAsia="en-US"/>
              </w:rPr>
              <w:t>40% (-15%) à la fin du projet.</w:t>
            </w:r>
          </w:p>
        </w:tc>
        <w:tc>
          <w:tcPr>
            <w:tcW w:w="2070" w:type="dxa"/>
          </w:tcPr>
          <w:p w14:paraId="609FD963" w14:textId="77777777" w:rsidR="00772BDC" w:rsidRPr="008172EF" w:rsidRDefault="00772BDC" w:rsidP="00BB2BB3">
            <w:pPr>
              <w:rPr>
                <w:sz w:val="22"/>
                <w:szCs w:val="22"/>
                <w:lang w:val="fr-FR"/>
              </w:rPr>
            </w:pPr>
            <w:r w:rsidRPr="008172EF">
              <w:rPr>
                <w:b/>
                <w:sz w:val="22"/>
                <w:szCs w:val="22"/>
                <w:lang w:val="fr-FR" w:eastAsia="en-US"/>
              </w:rPr>
              <w:t>NA</w:t>
            </w:r>
          </w:p>
        </w:tc>
        <w:tc>
          <w:tcPr>
            <w:tcW w:w="2070" w:type="dxa"/>
          </w:tcPr>
          <w:p w14:paraId="6F6390CA" w14:textId="77777777" w:rsidR="00772BDC" w:rsidRPr="008172EF" w:rsidRDefault="00772BDC" w:rsidP="00BB2BB3">
            <w:pPr>
              <w:rPr>
                <w:sz w:val="22"/>
                <w:szCs w:val="22"/>
                <w:lang w:val="fr-FR"/>
              </w:rPr>
            </w:pPr>
            <w:r w:rsidRPr="008172EF">
              <w:rPr>
                <w:b/>
                <w:sz w:val="22"/>
                <w:szCs w:val="22"/>
                <w:lang w:val="fr-FR" w:eastAsia="en-US"/>
              </w:rPr>
              <w:t>NA</w:t>
            </w:r>
          </w:p>
        </w:tc>
        <w:tc>
          <w:tcPr>
            <w:tcW w:w="4140" w:type="dxa"/>
          </w:tcPr>
          <w:p w14:paraId="59B68FD0" w14:textId="467A2795" w:rsidR="00772BDC" w:rsidRPr="00AB3625" w:rsidRDefault="00772BDC" w:rsidP="00BB2BB3">
            <w:pPr>
              <w:rPr>
                <w:bCs/>
                <w:sz w:val="22"/>
                <w:szCs w:val="22"/>
                <w:lang w:val="fr-FR"/>
              </w:rPr>
            </w:pPr>
            <w:r w:rsidRPr="00AB3625">
              <w:rPr>
                <w:bCs/>
                <w:sz w:val="22"/>
                <w:szCs w:val="22"/>
                <w:lang w:val="fr-FR" w:eastAsia="en-US"/>
              </w:rPr>
              <w:t>Enquête de perception projet</w:t>
            </w:r>
          </w:p>
        </w:tc>
      </w:tr>
      <w:tr w:rsidR="00772BDC" w:rsidRPr="008172EF" w14:paraId="48EFD59B" w14:textId="77777777" w:rsidTr="00BB2BB3">
        <w:trPr>
          <w:trHeight w:val="548"/>
        </w:trPr>
        <w:tc>
          <w:tcPr>
            <w:tcW w:w="1530" w:type="dxa"/>
            <w:vMerge w:val="restart"/>
          </w:tcPr>
          <w:p w14:paraId="7061A3CE" w14:textId="77777777" w:rsidR="00772BDC" w:rsidRPr="008172EF" w:rsidRDefault="00772BDC" w:rsidP="00BB2BB3">
            <w:pPr>
              <w:rPr>
                <w:b/>
                <w:bCs/>
                <w:sz w:val="22"/>
                <w:szCs w:val="22"/>
                <w:lang w:val="fr-FR" w:eastAsia="en-US"/>
              </w:rPr>
            </w:pPr>
            <w:r w:rsidRPr="008172EF">
              <w:rPr>
                <w:b/>
                <w:bCs/>
                <w:sz w:val="22"/>
                <w:szCs w:val="22"/>
                <w:lang w:val="fr-FR" w:eastAsia="en-US"/>
              </w:rPr>
              <w:t>Produit 1.1</w:t>
            </w:r>
          </w:p>
          <w:p w14:paraId="6CD60BB2" w14:textId="77777777" w:rsidR="00772BDC" w:rsidRPr="008172EF" w:rsidRDefault="00772BDC" w:rsidP="00BB2BB3">
            <w:pPr>
              <w:rPr>
                <w:b/>
                <w:bCs/>
                <w:sz w:val="22"/>
                <w:szCs w:val="22"/>
                <w:lang w:val="fr-FR" w:eastAsia="en-US"/>
              </w:rPr>
            </w:pPr>
            <w:r w:rsidRPr="008172EF">
              <w:rPr>
                <w:b/>
                <w:bCs/>
                <w:sz w:val="22"/>
                <w:szCs w:val="22"/>
                <w:lang w:val="fr-FR" w:eastAsia="en-US"/>
              </w:rPr>
              <w:t>Le cadre légal révisé et la formation des membres des Inspections pour réaliser des missions de contrôle efficaces sur l’application des lois et le comportement des agents</w:t>
            </w:r>
          </w:p>
          <w:p w14:paraId="6A8BA139" w14:textId="77777777" w:rsidR="00772BDC" w:rsidRPr="008172EF" w:rsidRDefault="00772BDC" w:rsidP="00BB2BB3">
            <w:pPr>
              <w:rPr>
                <w:b/>
                <w:bCs/>
                <w:sz w:val="22"/>
                <w:szCs w:val="22"/>
                <w:lang w:val="fr-FR" w:eastAsia="en-US"/>
              </w:rPr>
            </w:pPr>
          </w:p>
          <w:p w14:paraId="09B507C3" w14:textId="77777777" w:rsidR="00772BDC" w:rsidRPr="008172EF" w:rsidRDefault="00772BDC" w:rsidP="00BB2BB3">
            <w:pPr>
              <w:rPr>
                <w:b/>
                <w:bCs/>
                <w:sz w:val="22"/>
                <w:szCs w:val="22"/>
                <w:lang w:val="fr-FR" w:eastAsia="en-US"/>
              </w:rPr>
            </w:pPr>
          </w:p>
        </w:tc>
        <w:tc>
          <w:tcPr>
            <w:tcW w:w="2070" w:type="dxa"/>
            <w:shd w:val="clear" w:color="auto" w:fill="EEECE1"/>
          </w:tcPr>
          <w:p w14:paraId="00F78794" w14:textId="77777777" w:rsidR="00772BDC" w:rsidRPr="008172EF" w:rsidRDefault="00772BDC" w:rsidP="00BB2BB3">
            <w:pPr>
              <w:jc w:val="both"/>
              <w:rPr>
                <w:sz w:val="22"/>
                <w:szCs w:val="22"/>
                <w:lang w:val="fr-FR" w:eastAsia="en-US"/>
              </w:rPr>
            </w:pPr>
            <w:r w:rsidRPr="008172EF">
              <w:rPr>
                <w:sz w:val="22"/>
                <w:szCs w:val="22"/>
                <w:lang w:val="fr-FR" w:eastAsia="en-US"/>
              </w:rPr>
              <w:t>Indicateur 1.1.1</w:t>
            </w:r>
          </w:p>
          <w:p w14:paraId="3318F409" w14:textId="77777777" w:rsidR="00772BDC" w:rsidRPr="008172EF" w:rsidRDefault="00772BDC" w:rsidP="00BB2BB3">
            <w:pPr>
              <w:jc w:val="both"/>
              <w:rPr>
                <w:sz w:val="22"/>
                <w:szCs w:val="22"/>
                <w:lang w:val="fr-FR" w:eastAsia="en-US"/>
              </w:rPr>
            </w:pPr>
            <w:r w:rsidRPr="008172EF">
              <w:rPr>
                <w:sz w:val="22"/>
                <w:szCs w:val="22"/>
                <w:lang w:val="fr-FR"/>
              </w:rPr>
              <w:t>Nombre de mission de contrôle et de spot-check sur la police routière</w:t>
            </w:r>
          </w:p>
        </w:tc>
        <w:tc>
          <w:tcPr>
            <w:tcW w:w="1530" w:type="dxa"/>
            <w:shd w:val="clear" w:color="auto" w:fill="EEECE1"/>
          </w:tcPr>
          <w:p w14:paraId="5F56CABF" w14:textId="77777777" w:rsidR="00772BDC" w:rsidRPr="008172EF" w:rsidRDefault="00772BDC" w:rsidP="00BB2BB3">
            <w:pPr>
              <w:rPr>
                <w:sz w:val="22"/>
                <w:szCs w:val="22"/>
                <w:lang w:val="fr-FR"/>
              </w:rPr>
            </w:pPr>
            <w:r w:rsidRPr="008172EF">
              <w:rPr>
                <w:b/>
                <w:sz w:val="22"/>
                <w:szCs w:val="22"/>
                <w:lang w:val="fr-FR" w:eastAsia="en-US"/>
              </w:rPr>
              <w:t>00</w:t>
            </w:r>
          </w:p>
        </w:tc>
        <w:tc>
          <w:tcPr>
            <w:tcW w:w="1620" w:type="dxa"/>
            <w:shd w:val="clear" w:color="auto" w:fill="EEECE1"/>
          </w:tcPr>
          <w:p w14:paraId="1FACDFB0" w14:textId="77777777" w:rsidR="00772BDC" w:rsidRPr="008172EF" w:rsidRDefault="00772BDC" w:rsidP="00BB2BB3">
            <w:pPr>
              <w:rPr>
                <w:sz w:val="22"/>
                <w:szCs w:val="22"/>
                <w:lang w:val="fr-FR"/>
              </w:rPr>
            </w:pPr>
            <w:r w:rsidRPr="008172EF">
              <w:rPr>
                <w:b/>
                <w:sz w:val="22"/>
                <w:szCs w:val="22"/>
                <w:lang w:val="fr-FR" w:eastAsia="en-US"/>
              </w:rPr>
              <w:t>14</w:t>
            </w:r>
          </w:p>
        </w:tc>
        <w:tc>
          <w:tcPr>
            <w:tcW w:w="2070" w:type="dxa"/>
          </w:tcPr>
          <w:p w14:paraId="460E1A16" w14:textId="77777777" w:rsidR="00772BDC" w:rsidRPr="008172EF" w:rsidRDefault="00772BDC" w:rsidP="00BB2BB3">
            <w:pPr>
              <w:rPr>
                <w:sz w:val="22"/>
                <w:szCs w:val="22"/>
                <w:lang w:val="fr-FR"/>
              </w:rPr>
            </w:pPr>
            <w:r w:rsidRPr="008172EF">
              <w:rPr>
                <w:b/>
                <w:sz w:val="22"/>
                <w:szCs w:val="22"/>
                <w:lang w:val="fr-FR" w:eastAsia="en-US"/>
              </w:rPr>
              <w:t>14</w:t>
            </w:r>
          </w:p>
        </w:tc>
        <w:tc>
          <w:tcPr>
            <w:tcW w:w="2070" w:type="dxa"/>
          </w:tcPr>
          <w:p w14:paraId="260B8BD8" w14:textId="77777777" w:rsidR="00772BDC" w:rsidRPr="008172EF" w:rsidRDefault="00772BDC" w:rsidP="00BB2BB3">
            <w:pPr>
              <w:rPr>
                <w:sz w:val="22"/>
                <w:szCs w:val="22"/>
                <w:lang w:val="fr-FR"/>
              </w:rPr>
            </w:pPr>
            <w:r w:rsidRPr="008172EF">
              <w:rPr>
                <w:b/>
                <w:sz w:val="22"/>
                <w:szCs w:val="22"/>
                <w:lang w:val="fr-FR" w:eastAsia="en-US"/>
              </w:rPr>
              <w:t>100%</w:t>
            </w:r>
          </w:p>
        </w:tc>
        <w:tc>
          <w:tcPr>
            <w:tcW w:w="4140" w:type="dxa"/>
          </w:tcPr>
          <w:p w14:paraId="2400ACBF" w14:textId="5EEACC6E" w:rsidR="00772BDC" w:rsidRPr="008172EF" w:rsidRDefault="00772BDC" w:rsidP="00BB2BB3">
            <w:pPr>
              <w:rPr>
                <w:sz w:val="22"/>
                <w:szCs w:val="22"/>
                <w:lang w:val="fr-FR"/>
              </w:rPr>
            </w:pPr>
            <w:r w:rsidRPr="008172EF">
              <w:rPr>
                <w:b/>
                <w:sz w:val="22"/>
                <w:szCs w:val="22"/>
                <w:lang w:val="fr-FR" w:eastAsia="en-US"/>
              </w:rPr>
              <w:t xml:space="preserve">Pas </w:t>
            </w:r>
            <w:r w:rsidR="00AB3625">
              <w:rPr>
                <w:b/>
                <w:sz w:val="22"/>
                <w:szCs w:val="22"/>
                <w:lang w:val="fr-FR" w:eastAsia="en-US"/>
              </w:rPr>
              <w:t xml:space="preserve">eu </w:t>
            </w:r>
            <w:r w:rsidRPr="008172EF">
              <w:rPr>
                <w:b/>
                <w:sz w:val="22"/>
                <w:szCs w:val="22"/>
                <w:lang w:val="fr-FR" w:eastAsia="en-US"/>
              </w:rPr>
              <w:t>de retard</w:t>
            </w:r>
          </w:p>
        </w:tc>
      </w:tr>
      <w:tr w:rsidR="00772BDC" w:rsidRPr="008172EF" w14:paraId="5B2D08D0" w14:textId="77777777" w:rsidTr="00BB2BB3">
        <w:trPr>
          <w:trHeight w:val="512"/>
        </w:trPr>
        <w:tc>
          <w:tcPr>
            <w:tcW w:w="1530" w:type="dxa"/>
            <w:vMerge/>
          </w:tcPr>
          <w:p w14:paraId="33E27A52" w14:textId="77777777" w:rsidR="00772BDC" w:rsidRPr="008172EF" w:rsidRDefault="00772BDC" w:rsidP="00BB2BB3">
            <w:pPr>
              <w:rPr>
                <w:b/>
                <w:sz w:val="22"/>
                <w:szCs w:val="22"/>
                <w:lang w:val="fr-FR" w:eastAsia="en-US"/>
              </w:rPr>
            </w:pPr>
          </w:p>
        </w:tc>
        <w:tc>
          <w:tcPr>
            <w:tcW w:w="2070" w:type="dxa"/>
            <w:shd w:val="clear" w:color="auto" w:fill="EEECE1"/>
          </w:tcPr>
          <w:p w14:paraId="127B5B8E" w14:textId="77777777" w:rsidR="00772BDC" w:rsidRPr="008172EF" w:rsidRDefault="00772BDC" w:rsidP="00BB2BB3">
            <w:pPr>
              <w:rPr>
                <w:sz w:val="22"/>
                <w:szCs w:val="22"/>
                <w:lang w:val="fr-FR" w:eastAsia="en-US"/>
              </w:rPr>
            </w:pPr>
            <w:r w:rsidRPr="008172EF">
              <w:rPr>
                <w:sz w:val="22"/>
                <w:szCs w:val="22"/>
                <w:lang w:val="fr-FR" w:eastAsia="en-US"/>
              </w:rPr>
              <w:t xml:space="preserve">Indicateur 1.1.2 : Nombre d’acteurs formés et qui maitrisent les outils de contrôle </w:t>
            </w:r>
          </w:p>
          <w:p w14:paraId="2174202B" w14:textId="77777777" w:rsidR="00772BDC" w:rsidRPr="008172EF" w:rsidRDefault="00772BDC" w:rsidP="00BB2BB3">
            <w:pPr>
              <w:rPr>
                <w:sz w:val="22"/>
                <w:szCs w:val="22"/>
                <w:lang w:val="fr-FR" w:eastAsia="en-US"/>
              </w:rPr>
            </w:pPr>
          </w:p>
          <w:p w14:paraId="7F02D354" w14:textId="77777777" w:rsidR="00772BDC" w:rsidRPr="008172EF" w:rsidRDefault="00772BDC" w:rsidP="00BB2BB3">
            <w:pPr>
              <w:jc w:val="both"/>
              <w:rPr>
                <w:sz w:val="22"/>
                <w:szCs w:val="22"/>
                <w:lang w:val="fr-FR" w:eastAsia="en-US"/>
              </w:rPr>
            </w:pPr>
          </w:p>
        </w:tc>
        <w:tc>
          <w:tcPr>
            <w:tcW w:w="1530" w:type="dxa"/>
            <w:shd w:val="clear" w:color="auto" w:fill="EEECE1"/>
          </w:tcPr>
          <w:p w14:paraId="2A72492F" w14:textId="77777777" w:rsidR="00772BDC" w:rsidRPr="008172EF" w:rsidRDefault="00772BDC" w:rsidP="00BB2BB3">
            <w:pPr>
              <w:rPr>
                <w:sz w:val="22"/>
                <w:szCs w:val="22"/>
                <w:lang w:val="fr-FR"/>
              </w:rPr>
            </w:pPr>
            <w:r w:rsidRPr="008172EF">
              <w:rPr>
                <w:b/>
                <w:sz w:val="22"/>
                <w:szCs w:val="22"/>
                <w:lang w:val="fr-FR" w:eastAsia="en-US"/>
              </w:rPr>
              <w:t>10</w:t>
            </w:r>
          </w:p>
        </w:tc>
        <w:tc>
          <w:tcPr>
            <w:tcW w:w="1620" w:type="dxa"/>
            <w:shd w:val="clear" w:color="auto" w:fill="EEECE1"/>
          </w:tcPr>
          <w:p w14:paraId="7D6E59BA" w14:textId="77777777" w:rsidR="00772BDC" w:rsidRPr="008172EF" w:rsidRDefault="00772BDC" w:rsidP="00BB2BB3">
            <w:pPr>
              <w:rPr>
                <w:sz w:val="22"/>
                <w:szCs w:val="22"/>
                <w:lang w:val="fr-FR"/>
              </w:rPr>
            </w:pPr>
            <w:r w:rsidRPr="008172EF">
              <w:rPr>
                <w:b/>
                <w:sz w:val="22"/>
                <w:szCs w:val="22"/>
                <w:lang w:val="fr-FR" w:eastAsia="en-US"/>
              </w:rPr>
              <w:t>25</w:t>
            </w:r>
          </w:p>
        </w:tc>
        <w:tc>
          <w:tcPr>
            <w:tcW w:w="2070" w:type="dxa"/>
          </w:tcPr>
          <w:p w14:paraId="0D75239E" w14:textId="77777777" w:rsidR="00772BDC" w:rsidRPr="008172EF" w:rsidRDefault="00772BDC" w:rsidP="00BB2BB3">
            <w:pPr>
              <w:rPr>
                <w:sz w:val="22"/>
                <w:szCs w:val="22"/>
                <w:lang w:val="fr-FR"/>
              </w:rPr>
            </w:pPr>
            <w:r w:rsidRPr="008172EF">
              <w:rPr>
                <w:b/>
                <w:sz w:val="22"/>
                <w:szCs w:val="22"/>
                <w:lang w:val="fr-FR" w:eastAsia="en-US"/>
              </w:rPr>
              <w:t>30</w:t>
            </w:r>
          </w:p>
        </w:tc>
        <w:tc>
          <w:tcPr>
            <w:tcW w:w="2070" w:type="dxa"/>
          </w:tcPr>
          <w:p w14:paraId="61E41F5E" w14:textId="77777777" w:rsidR="00772BDC" w:rsidRPr="008172EF" w:rsidRDefault="00772BDC" w:rsidP="00BB2BB3">
            <w:pPr>
              <w:rPr>
                <w:sz w:val="22"/>
                <w:szCs w:val="22"/>
                <w:lang w:val="fr-FR"/>
              </w:rPr>
            </w:pPr>
            <w:r w:rsidRPr="008172EF">
              <w:rPr>
                <w:b/>
                <w:sz w:val="22"/>
                <w:szCs w:val="22"/>
                <w:lang w:val="fr-FR" w:eastAsia="en-US"/>
              </w:rPr>
              <w:t>120%</w:t>
            </w:r>
          </w:p>
        </w:tc>
        <w:tc>
          <w:tcPr>
            <w:tcW w:w="4140" w:type="dxa"/>
          </w:tcPr>
          <w:p w14:paraId="0794311E" w14:textId="60593314" w:rsidR="00772BDC" w:rsidRPr="008172EF" w:rsidRDefault="00772BDC" w:rsidP="00BB2BB3">
            <w:pPr>
              <w:rPr>
                <w:sz w:val="22"/>
                <w:szCs w:val="22"/>
                <w:lang w:val="fr-FR"/>
              </w:rPr>
            </w:pPr>
            <w:r w:rsidRPr="008172EF">
              <w:rPr>
                <w:b/>
                <w:sz w:val="22"/>
                <w:szCs w:val="22"/>
                <w:lang w:val="fr-FR" w:eastAsia="en-US"/>
              </w:rPr>
              <w:t xml:space="preserve">Pas </w:t>
            </w:r>
            <w:r w:rsidR="00AB3625">
              <w:rPr>
                <w:b/>
                <w:sz w:val="22"/>
                <w:szCs w:val="22"/>
                <w:lang w:val="fr-FR" w:eastAsia="en-US"/>
              </w:rPr>
              <w:t xml:space="preserve">eu </w:t>
            </w:r>
            <w:r w:rsidRPr="008172EF">
              <w:rPr>
                <w:b/>
                <w:sz w:val="22"/>
                <w:szCs w:val="22"/>
                <w:lang w:val="fr-FR" w:eastAsia="en-US"/>
              </w:rPr>
              <w:t>de retard</w:t>
            </w:r>
          </w:p>
        </w:tc>
      </w:tr>
      <w:tr w:rsidR="00772BDC" w:rsidRPr="008172EF" w14:paraId="7172593A" w14:textId="77777777" w:rsidTr="00BB2BB3">
        <w:trPr>
          <w:trHeight w:val="440"/>
        </w:trPr>
        <w:tc>
          <w:tcPr>
            <w:tcW w:w="1530" w:type="dxa"/>
            <w:vMerge w:val="restart"/>
          </w:tcPr>
          <w:p w14:paraId="69B80740" w14:textId="77777777" w:rsidR="00772BDC" w:rsidRPr="008172EF" w:rsidRDefault="00772BDC" w:rsidP="00BB2BB3">
            <w:pPr>
              <w:rPr>
                <w:sz w:val="22"/>
                <w:szCs w:val="22"/>
                <w:lang w:val="fr-FR" w:eastAsia="en-US"/>
              </w:rPr>
            </w:pPr>
            <w:r w:rsidRPr="008172EF">
              <w:rPr>
                <w:sz w:val="22"/>
                <w:szCs w:val="22"/>
                <w:lang w:val="fr-FR" w:eastAsia="en-US"/>
              </w:rPr>
              <w:lastRenderedPageBreak/>
              <w:t>Produit 1.2</w:t>
            </w:r>
          </w:p>
          <w:p w14:paraId="53FB0D79" w14:textId="32A73983" w:rsidR="00772BDC" w:rsidRPr="008172EF" w:rsidRDefault="00772BDC" w:rsidP="00BB2BB3">
            <w:pPr>
              <w:rPr>
                <w:sz w:val="22"/>
                <w:szCs w:val="22"/>
                <w:lang w:val="fr-FR" w:eastAsia="en-US"/>
              </w:rPr>
            </w:pPr>
            <w:r w:rsidRPr="008172EF">
              <w:rPr>
                <w:sz w:val="22"/>
                <w:szCs w:val="22"/>
                <w:lang w:val="fr-FR" w:eastAsia="en-US"/>
              </w:rPr>
              <w:t xml:space="preserve">Un mécanisme de recueil de plainte et avis des populations est mis en place </w:t>
            </w:r>
            <w:r w:rsidR="00A3307A" w:rsidRPr="008172EF">
              <w:rPr>
                <w:sz w:val="22"/>
                <w:szCs w:val="22"/>
                <w:lang w:val="fr-FR"/>
              </w:rPr>
              <w:t xml:space="preserve">avec </w:t>
            </w:r>
            <w:r w:rsidR="00A3307A" w:rsidRPr="008172EF">
              <w:rPr>
                <w:sz w:val="22"/>
                <w:szCs w:val="22"/>
                <w:lang w:val="fr-FR" w:eastAsia="en-US"/>
              </w:rPr>
              <w:t>l’Inspection</w:t>
            </w:r>
            <w:r w:rsidRPr="008172EF">
              <w:rPr>
                <w:sz w:val="22"/>
                <w:szCs w:val="22"/>
                <w:lang w:val="fr-FR" w:eastAsia="en-US"/>
              </w:rPr>
              <w:t xml:space="preserve"> générale des services de sécurité</w:t>
            </w:r>
          </w:p>
        </w:tc>
        <w:tc>
          <w:tcPr>
            <w:tcW w:w="2070" w:type="dxa"/>
            <w:shd w:val="clear" w:color="auto" w:fill="EEECE1"/>
          </w:tcPr>
          <w:p w14:paraId="6140B206" w14:textId="77777777" w:rsidR="00772BDC" w:rsidRPr="008172EF" w:rsidRDefault="00772BDC" w:rsidP="00BB2BB3">
            <w:pPr>
              <w:jc w:val="both"/>
              <w:rPr>
                <w:sz w:val="22"/>
                <w:szCs w:val="22"/>
                <w:lang w:val="fr-FR" w:eastAsia="en-US"/>
              </w:rPr>
            </w:pPr>
            <w:r w:rsidRPr="008172EF">
              <w:rPr>
                <w:sz w:val="22"/>
                <w:szCs w:val="22"/>
                <w:lang w:val="fr-FR" w:eastAsia="en-US"/>
              </w:rPr>
              <w:t xml:space="preserve">Indicateur 1.2.1 : existence d’un système de remontée de données et de monitoring  </w:t>
            </w:r>
          </w:p>
          <w:p w14:paraId="09FA6C92" w14:textId="77777777" w:rsidR="00772BDC" w:rsidRPr="008172EF" w:rsidRDefault="00772BDC" w:rsidP="00BB2BB3">
            <w:pPr>
              <w:rPr>
                <w:sz w:val="22"/>
                <w:szCs w:val="22"/>
                <w:lang w:val="fr-FR" w:eastAsia="en-US"/>
              </w:rPr>
            </w:pPr>
          </w:p>
          <w:p w14:paraId="6723CF17" w14:textId="77777777" w:rsidR="00772BDC" w:rsidRPr="008172EF" w:rsidRDefault="00772BDC" w:rsidP="00BB2BB3">
            <w:pPr>
              <w:rPr>
                <w:sz w:val="22"/>
                <w:szCs w:val="22"/>
                <w:lang w:val="fr-FR" w:eastAsia="en-US"/>
              </w:rPr>
            </w:pPr>
          </w:p>
          <w:p w14:paraId="63CC8C15" w14:textId="77777777" w:rsidR="00772BDC" w:rsidRPr="008172EF" w:rsidRDefault="00772BDC" w:rsidP="00BB2BB3">
            <w:pPr>
              <w:jc w:val="both"/>
              <w:rPr>
                <w:sz w:val="22"/>
                <w:szCs w:val="22"/>
                <w:lang w:val="fr-FR" w:eastAsia="en-US"/>
              </w:rPr>
            </w:pPr>
          </w:p>
        </w:tc>
        <w:tc>
          <w:tcPr>
            <w:tcW w:w="1530" w:type="dxa"/>
            <w:shd w:val="clear" w:color="auto" w:fill="EEECE1"/>
          </w:tcPr>
          <w:p w14:paraId="3926DC98" w14:textId="77777777" w:rsidR="00772BDC" w:rsidRPr="008172EF" w:rsidRDefault="00772BDC" w:rsidP="00BB2BB3">
            <w:pPr>
              <w:rPr>
                <w:sz w:val="22"/>
                <w:szCs w:val="22"/>
                <w:lang w:val="fr-FR" w:eastAsia="en-US"/>
              </w:rPr>
            </w:pPr>
            <w:r w:rsidRPr="008172EF">
              <w:rPr>
                <w:sz w:val="22"/>
                <w:szCs w:val="22"/>
                <w:lang w:val="fr-FR" w:eastAsia="en-US"/>
              </w:rPr>
              <w:t xml:space="preserve">  00</w:t>
            </w:r>
          </w:p>
          <w:p w14:paraId="22E97A54" w14:textId="77777777" w:rsidR="00772BDC" w:rsidRPr="008172EF" w:rsidRDefault="00772BDC" w:rsidP="00BB2BB3">
            <w:pPr>
              <w:rPr>
                <w:sz w:val="22"/>
                <w:szCs w:val="22"/>
                <w:lang w:val="fr-FR" w:eastAsia="en-US"/>
              </w:rPr>
            </w:pPr>
          </w:p>
          <w:p w14:paraId="7206AA73" w14:textId="77777777" w:rsidR="00772BDC" w:rsidRPr="008172EF" w:rsidRDefault="00772BDC" w:rsidP="00BB2BB3">
            <w:pPr>
              <w:rPr>
                <w:sz w:val="22"/>
                <w:szCs w:val="22"/>
                <w:lang w:val="fr-FR"/>
              </w:rPr>
            </w:pPr>
          </w:p>
        </w:tc>
        <w:tc>
          <w:tcPr>
            <w:tcW w:w="1620" w:type="dxa"/>
            <w:shd w:val="clear" w:color="auto" w:fill="EEECE1"/>
          </w:tcPr>
          <w:p w14:paraId="04C5F7FD" w14:textId="77777777" w:rsidR="00772BDC" w:rsidRPr="008172EF" w:rsidRDefault="00772BDC" w:rsidP="00BB2BB3">
            <w:pPr>
              <w:rPr>
                <w:sz w:val="22"/>
                <w:szCs w:val="22"/>
                <w:lang w:val="fr-FR" w:eastAsia="en-US"/>
              </w:rPr>
            </w:pPr>
            <w:r w:rsidRPr="008172EF">
              <w:rPr>
                <w:sz w:val="22"/>
                <w:szCs w:val="22"/>
                <w:lang w:val="fr-FR" w:eastAsia="en-US"/>
              </w:rPr>
              <w:t>Cible : 1</w:t>
            </w:r>
          </w:p>
          <w:p w14:paraId="39C76247" w14:textId="77777777" w:rsidR="00772BDC" w:rsidRPr="008172EF" w:rsidRDefault="00772BDC" w:rsidP="00BB2BB3">
            <w:pPr>
              <w:rPr>
                <w:sz w:val="22"/>
                <w:szCs w:val="22"/>
                <w:lang w:val="fr-FR"/>
              </w:rPr>
            </w:pPr>
          </w:p>
        </w:tc>
        <w:tc>
          <w:tcPr>
            <w:tcW w:w="2070" w:type="dxa"/>
          </w:tcPr>
          <w:p w14:paraId="31120E91" w14:textId="77777777" w:rsidR="00772BDC" w:rsidRPr="008172EF" w:rsidRDefault="00772BDC" w:rsidP="00BB2BB3">
            <w:pPr>
              <w:rPr>
                <w:sz w:val="22"/>
                <w:szCs w:val="22"/>
                <w:lang w:val="fr-FR"/>
              </w:rPr>
            </w:pPr>
            <w:r w:rsidRPr="008172EF">
              <w:rPr>
                <w:b/>
                <w:sz w:val="22"/>
                <w:szCs w:val="22"/>
                <w:lang w:val="fr-FR" w:eastAsia="en-US"/>
              </w:rPr>
              <w:t>1</w:t>
            </w:r>
          </w:p>
        </w:tc>
        <w:tc>
          <w:tcPr>
            <w:tcW w:w="2070" w:type="dxa"/>
          </w:tcPr>
          <w:p w14:paraId="1CC5A32D" w14:textId="77777777" w:rsidR="00772BDC" w:rsidRPr="008172EF" w:rsidRDefault="00772BDC" w:rsidP="00BB2BB3">
            <w:pPr>
              <w:rPr>
                <w:sz w:val="22"/>
                <w:szCs w:val="22"/>
                <w:lang w:val="fr-FR"/>
              </w:rPr>
            </w:pPr>
            <w:r w:rsidRPr="008172EF">
              <w:rPr>
                <w:b/>
                <w:sz w:val="22"/>
                <w:szCs w:val="22"/>
                <w:lang w:val="fr-FR" w:eastAsia="en-US"/>
              </w:rPr>
              <w:t>100%</w:t>
            </w:r>
          </w:p>
        </w:tc>
        <w:tc>
          <w:tcPr>
            <w:tcW w:w="4140" w:type="dxa"/>
          </w:tcPr>
          <w:p w14:paraId="6511A84C" w14:textId="77777777" w:rsidR="00772BDC" w:rsidRPr="008172EF" w:rsidRDefault="00772BDC" w:rsidP="00BB2BB3">
            <w:pPr>
              <w:rPr>
                <w:sz w:val="22"/>
                <w:szCs w:val="22"/>
                <w:lang w:val="fr-FR"/>
              </w:rPr>
            </w:pPr>
          </w:p>
        </w:tc>
      </w:tr>
      <w:tr w:rsidR="00772BDC" w:rsidRPr="008172EF" w14:paraId="6B638538" w14:textId="77777777" w:rsidTr="00BB2BB3">
        <w:trPr>
          <w:trHeight w:val="467"/>
        </w:trPr>
        <w:tc>
          <w:tcPr>
            <w:tcW w:w="1530" w:type="dxa"/>
            <w:vMerge/>
          </w:tcPr>
          <w:p w14:paraId="4AD5FC4F" w14:textId="77777777" w:rsidR="00772BDC" w:rsidRPr="008172EF" w:rsidRDefault="00772BDC" w:rsidP="00BB2BB3">
            <w:pPr>
              <w:rPr>
                <w:b/>
                <w:sz w:val="22"/>
                <w:szCs w:val="22"/>
                <w:lang w:val="fr-FR" w:eastAsia="en-US"/>
              </w:rPr>
            </w:pPr>
          </w:p>
        </w:tc>
        <w:tc>
          <w:tcPr>
            <w:tcW w:w="2070" w:type="dxa"/>
            <w:shd w:val="clear" w:color="auto" w:fill="EEECE1"/>
          </w:tcPr>
          <w:p w14:paraId="0E3D2E75" w14:textId="77777777" w:rsidR="00772BDC" w:rsidRPr="008172EF" w:rsidRDefault="00772BDC" w:rsidP="00BB2BB3">
            <w:pPr>
              <w:jc w:val="both"/>
              <w:rPr>
                <w:sz w:val="22"/>
                <w:szCs w:val="22"/>
                <w:lang w:val="fr-FR" w:eastAsia="en-US"/>
              </w:rPr>
            </w:pPr>
            <w:r w:rsidRPr="008172EF">
              <w:rPr>
                <w:sz w:val="22"/>
                <w:szCs w:val="22"/>
                <w:lang w:val="fr-FR" w:eastAsia="en-US"/>
              </w:rPr>
              <w:t>Indicateur 1.2.2</w:t>
            </w:r>
          </w:p>
          <w:p w14:paraId="5C2BE41E" w14:textId="77777777" w:rsidR="00772BDC" w:rsidRPr="008172EF" w:rsidRDefault="00772BDC" w:rsidP="00BB2BB3">
            <w:pPr>
              <w:rPr>
                <w:sz w:val="22"/>
                <w:szCs w:val="22"/>
                <w:lang w:val="fr-FR" w:eastAsia="en-US"/>
              </w:rPr>
            </w:pPr>
            <w:r w:rsidRPr="008172EF">
              <w:rPr>
                <w:sz w:val="22"/>
                <w:szCs w:val="22"/>
                <w:lang w:val="fr-FR" w:eastAsia="en-US"/>
              </w:rPr>
              <w:t>Nombre de plaintes/rapports traités par l’IGSS / par les ONG par le biais du mécanisme 1.2</w:t>
            </w:r>
          </w:p>
          <w:p w14:paraId="1ADB33C9" w14:textId="77777777" w:rsidR="00772BDC" w:rsidRPr="008172EF" w:rsidRDefault="00772BDC" w:rsidP="00BB2BB3">
            <w:pPr>
              <w:jc w:val="both"/>
              <w:rPr>
                <w:sz w:val="22"/>
                <w:szCs w:val="22"/>
                <w:lang w:val="fr-FR" w:eastAsia="en-US"/>
              </w:rPr>
            </w:pPr>
          </w:p>
        </w:tc>
        <w:tc>
          <w:tcPr>
            <w:tcW w:w="1530" w:type="dxa"/>
            <w:shd w:val="clear" w:color="auto" w:fill="EEECE1"/>
          </w:tcPr>
          <w:p w14:paraId="665E542C" w14:textId="77777777" w:rsidR="00772BDC" w:rsidRPr="008172EF" w:rsidRDefault="00772BDC" w:rsidP="00BB2BB3">
            <w:pPr>
              <w:rPr>
                <w:sz w:val="22"/>
                <w:szCs w:val="22"/>
                <w:lang w:val="fr-FR"/>
              </w:rPr>
            </w:pPr>
            <w:r w:rsidRPr="008172EF">
              <w:rPr>
                <w:b/>
                <w:sz w:val="22"/>
                <w:szCs w:val="22"/>
                <w:lang w:val="fr-FR" w:eastAsia="en-US"/>
              </w:rPr>
              <w:t>00</w:t>
            </w:r>
          </w:p>
        </w:tc>
        <w:tc>
          <w:tcPr>
            <w:tcW w:w="1620" w:type="dxa"/>
            <w:shd w:val="clear" w:color="auto" w:fill="EEECE1"/>
          </w:tcPr>
          <w:p w14:paraId="4BD017FE" w14:textId="77777777" w:rsidR="00772BDC" w:rsidRPr="008172EF" w:rsidRDefault="00772BDC" w:rsidP="00BB2BB3">
            <w:pPr>
              <w:rPr>
                <w:sz w:val="22"/>
                <w:szCs w:val="22"/>
                <w:lang w:val="fr-FR"/>
              </w:rPr>
            </w:pPr>
            <w:r w:rsidRPr="008172EF">
              <w:rPr>
                <w:b/>
                <w:sz w:val="22"/>
                <w:szCs w:val="22"/>
                <w:lang w:val="fr-FR" w:eastAsia="en-US"/>
              </w:rPr>
              <w:t>70</w:t>
            </w:r>
          </w:p>
        </w:tc>
        <w:tc>
          <w:tcPr>
            <w:tcW w:w="2070" w:type="dxa"/>
          </w:tcPr>
          <w:p w14:paraId="0935365B" w14:textId="77777777" w:rsidR="00772BDC" w:rsidRPr="008172EF" w:rsidRDefault="00772BDC" w:rsidP="00BB2BB3">
            <w:pPr>
              <w:rPr>
                <w:sz w:val="22"/>
                <w:szCs w:val="22"/>
                <w:lang w:val="fr-FR"/>
              </w:rPr>
            </w:pPr>
            <w:r w:rsidRPr="008172EF">
              <w:rPr>
                <w:b/>
                <w:sz w:val="22"/>
                <w:szCs w:val="22"/>
                <w:lang w:val="fr-FR" w:eastAsia="en-US"/>
              </w:rPr>
              <w:t>35</w:t>
            </w:r>
          </w:p>
        </w:tc>
        <w:tc>
          <w:tcPr>
            <w:tcW w:w="2070" w:type="dxa"/>
          </w:tcPr>
          <w:p w14:paraId="5972F4AF" w14:textId="77777777" w:rsidR="00772BDC" w:rsidRPr="008172EF" w:rsidRDefault="00772BDC" w:rsidP="00BB2BB3">
            <w:pPr>
              <w:rPr>
                <w:sz w:val="22"/>
                <w:szCs w:val="22"/>
                <w:lang w:val="fr-FR"/>
              </w:rPr>
            </w:pPr>
            <w:r w:rsidRPr="008172EF">
              <w:rPr>
                <w:b/>
                <w:sz w:val="22"/>
                <w:szCs w:val="22"/>
                <w:lang w:val="fr-FR" w:eastAsia="en-US"/>
              </w:rPr>
              <w:t>50%</w:t>
            </w:r>
          </w:p>
        </w:tc>
        <w:tc>
          <w:tcPr>
            <w:tcW w:w="4140" w:type="dxa"/>
          </w:tcPr>
          <w:p w14:paraId="2A21BD2F" w14:textId="77777777" w:rsidR="00772BDC" w:rsidRPr="008172EF" w:rsidRDefault="00772BDC" w:rsidP="00BB2BB3">
            <w:pPr>
              <w:rPr>
                <w:sz w:val="22"/>
                <w:szCs w:val="22"/>
                <w:lang w:val="fr-FR"/>
              </w:rPr>
            </w:pPr>
          </w:p>
        </w:tc>
      </w:tr>
      <w:tr w:rsidR="00772BDC" w:rsidRPr="008172EF" w14:paraId="637D5A7F" w14:textId="77777777" w:rsidTr="00BB2BB3">
        <w:trPr>
          <w:trHeight w:val="422"/>
        </w:trPr>
        <w:tc>
          <w:tcPr>
            <w:tcW w:w="1530" w:type="dxa"/>
            <w:vMerge/>
          </w:tcPr>
          <w:p w14:paraId="63FAAAAE" w14:textId="77777777" w:rsidR="00772BDC" w:rsidRPr="008172EF" w:rsidRDefault="00772BDC" w:rsidP="00BB2BB3">
            <w:pPr>
              <w:rPr>
                <w:sz w:val="22"/>
                <w:szCs w:val="22"/>
                <w:lang w:val="fr-FR" w:eastAsia="en-US"/>
              </w:rPr>
            </w:pPr>
          </w:p>
        </w:tc>
        <w:tc>
          <w:tcPr>
            <w:tcW w:w="2070" w:type="dxa"/>
            <w:shd w:val="clear" w:color="auto" w:fill="EEECE1"/>
          </w:tcPr>
          <w:p w14:paraId="2272C06F" w14:textId="77777777" w:rsidR="00772BDC" w:rsidRPr="008172EF" w:rsidRDefault="00772BDC" w:rsidP="00BB2BB3">
            <w:pPr>
              <w:jc w:val="both"/>
              <w:rPr>
                <w:sz w:val="22"/>
                <w:szCs w:val="22"/>
                <w:lang w:val="fr-FR" w:eastAsia="en-US"/>
              </w:rPr>
            </w:pPr>
            <w:r w:rsidRPr="008172EF">
              <w:rPr>
                <w:sz w:val="22"/>
                <w:szCs w:val="22"/>
                <w:lang w:val="fr-FR" w:eastAsia="en-US"/>
              </w:rPr>
              <w:t>Indicateur 1.2.3</w:t>
            </w:r>
          </w:p>
          <w:p w14:paraId="274D3965" w14:textId="77777777" w:rsidR="00772BDC" w:rsidRPr="008172EF" w:rsidRDefault="00772BDC" w:rsidP="00BB2BB3">
            <w:pPr>
              <w:rPr>
                <w:sz w:val="22"/>
                <w:szCs w:val="22"/>
                <w:lang w:val="fr-FR" w:eastAsia="en-US"/>
              </w:rPr>
            </w:pPr>
            <w:r w:rsidRPr="008172EF">
              <w:rPr>
                <w:sz w:val="22"/>
                <w:szCs w:val="22"/>
                <w:lang w:val="fr-FR" w:eastAsia="en-US"/>
              </w:rPr>
              <w:t xml:space="preserve">: Nombre d’ONG formées sur le mécanisme de remontée de données et l’utilisant </w:t>
            </w:r>
          </w:p>
          <w:p w14:paraId="589F8DB7" w14:textId="77777777" w:rsidR="00772BDC" w:rsidRPr="008172EF" w:rsidRDefault="00772BDC" w:rsidP="00BB2BB3">
            <w:pPr>
              <w:rPr>
                <w:color w:val="C00000"/>
                <w:sz w:val="22"/>
                <w:szCs w:val="22"/>
                <w:lang w:val="fr-FR" w:eastAsia="en-US"/>
              </w:rPr>
            </w:pPr>
            <w:r w:rsidRPr="008172EF">
              <w:rPr>
                <w:color w:val="C00000"/>
                <w:sz w:val="22"/>
                <w:szCs w:val="22"/>
                <w:lang w:val="fr-FR" w:eastAsia="en-US"/>
              </w:rPr>
              <w:t>(Réalisé)</w:t>
            </w:r>
          </w:p>
          <w:p w14:paraId="7C0C7DE4" w14:textId="77777777" w:rsidR="00772BDC" w:rsidRPr="008172EF" w:rsidRDefault="00772BDC" w:rsidP="00BB2BB3">
            <w:pPr>
              <w:rPr>
                <w:sz w:val="22"/>
                <w:szCs w:val="22"/>
                <w:lang w:val="fr-FR" w:eastAsia="en-US"/>
              </w:rPr>
            </w:pPr>
            <w:r w:rsidRPr="008172EF">
              <w:rPr>
                <w:sz w:val="22"/>
                <w:szCs w:val="22"/>
                <w:lang w:val="fr-FR" w:eastAsia="en-US"/>
              </w:rPr>
              <w:t>Base de données : 0</w:t>
            </w:r>
          </w:p>
          <w:p w14:paraId="0646A0EC" w14:textId="77777777" w:rsidR="00772BDC" w:rsidRPr="008172EF" w:rsidRDefault="00772BDC" w:rsidP="00BB2BB3">
            <w:pPr>
              <w:jc w:val="both"/>
              <w:rPr>
                <w:sz w:val="22"/>
                <w:szCs w:val="22"/>
                <w:lang w:val="fr-FR" w:eastAsia="en-US"/>
              </w:rPr>
            </w:pPr>
          </w:p>
        </w:tc>
        <w:tc>
          <w:tcPr>
            <w:tcW w:w="1530" w:type="dxa"/>
            <w:shd w:val="clear" w:color="auto" w:fill="EEECE1"/>
          </w:tcPr>
          <w:p w14:paraId="5E983268" w14:textId="77777777" w:rsidR="00772BDC" w:rsidRPr="008172EF" w:rsidRDefault="00772BDC" w:rsidP="00BB2BB3">
            <w:pPr>
              <w:rPr>
                <w:b/>
                <w:sz w:val="22"/>
                <w:szCs w:val="22"/>
                <w:lang w:val="fr-FR" w:eastAsia="en-US"/>
              </w:rPr>
            </w:pPr>
            <w:r w:rsidRPr="008172EF">
              <w:rPr>
                <w:b/>
                <w:sz w:val="22"/>
                <w:szCs w:val="22"/>
                <w:lang w:val="fr-FR" w:eastAsia="en-US"/>
              </w:rPr>
              <w:t>0</w:t>
            </w:r>
          </w:p>
        </w:tc>
        <w:tc>
          <w:tcPr>
            <w:tcW w:w="1620" w:type="dxa"/>
            <w:shd w:val="clear" w:color="auto" w:fill="EEECE1"/>
          </w:tcPr>
          <w:p w14:paraId="0FD2B439" w14:textId="77777777" w:rsidR="00772BDC" w:rsidRPr="008172EF" w:rsidRDefault="00772BDC" w:rsidP="00BB2BB3">
            <w:pPr>
              <w:rPr>
                <w:b/>
                <w:sz w:val="22"/>
                <w:szCs w:val="22"/>
                <w:lang w:val="fr-FR" w:eastAsia="en-US"/>
              </w:rPr>
            </w:pPr>
            <w:r w:rsidRPr="008172EF">
              <w:rPr>
                <w:b/>
                <w:sz w:val="22"/>
                <w:szCs w:val="22"/>
                <w:lang w:val="fr-FR" w:eastAsia="en-US"/>
              </w:rPr>
              <w:t>10</w:t>
            </w:r>
          </w:p>
        </w:tc>
        <w:tc>
          <w:tcPr>
            <w:tcW w:w="2070" w:type="dxa"/>
          </w:tcPr>
          <w:p w14:paraId="2158AC86" w14:textId="77777777" w:rsidR="00772BDC" w:rsidRPr="008172EF" w:rsidRDefault="00772BDC" w:rsidP="00BB2BB3">
            <w:pPr>
              <w:rPr>
                <w:b/>
                <w:sz w:val="22"/>
                <w:szCs w:val="22"/>
                <w:lang w:val="fr-FR" w:eastAsia="en-US"/>
              </w:rPr>
            </w:pPr>
            <w:r w:rsidRPr="008172EF">
              <w:rPr>
                <w:b/>
                <w:sz w:val="22"/>
                <w:szCs w:val="22"/>
                <w:lang w:val="fr-FR" w:eastAsia="en-US"/>
              </w:rPr>
              <w:t>10</w:t>
            </w:r>
          </w:p>
        </w:tc>
        <w:tc>
          <w:tcPr>
            <w:tcW w:w="2070" w:type="dxa"/>
          </w:tcPr>
          <w:p w14:paraId="61DF64E6" w14:textId="77777777" w:rsidR="00772BDC" w:rsidRPr="008172EF" w:rsidRDefault="00772BDC" w:rsidP="00BB2BB3">
            <w:pPr>
              <w:rPr>
                <w:b/>
                <w:sz w:val="22"/>
                <w:szCs w:val="22"/>
                <w:lang w:val="fr-FR" w:eastAsia="en-US"/>
              </w:rPr>
            </w:pPr>
            <w:r w:rsidRPr="008172EF">
              <w:rPr>
                <w:b/>
                <w:sz w:val="22"/>
                <w:szCs w:val="22"/>
                <w:lang w:val="fr-FR" w:eastAsia="en-US"/>
              </w:rPr>
              <w:t>100%</w:t>
            </w:r>
          </w:p>
        </w:tc>
        <w:tc>
          <w:tcPr>
            <w:tcW w:w="4140" w:type="dxa"/>
          </w:tcPr>
          <w:p w14:paraId="522EABB0" w14:textId="77777777" w:rsidR="00772BDC" w:rsidRPr="008172EF" w:rsidRDefault="00772BDC" w:rsidP="00BB2BB3">
            <w:pPr>
              <w:rPr>
                <w:b/>
                <w:sz w:val="22"/>
                <w:szCs w:val="22"/>
                <w:lang w:val="fr-FR" w:eastAsia="en-US"/>
              </w:rPr>
            </w:pPr>
          </w:p>
        </w:tc>
      </w:tr>
      <w:tr w:rsidR="00772BDC" w:rsidRPr="00962071" w14:paraId="0C5E7E0E" w14:textId="77777777" w:rsidTr="00BB2BB3">
        <w:trPr>
          <w:trHeight w:val="422"/>
        </w:trPr>
        <w:tc>
          <w:tcPr>
            <w:tcW w:w="1530" w:type="dxa"/>
            <w:vMerge w:val="restart"/>
          </w:tcPr>
          <w:p w14:paraId="5B05B8FD" w14:textId="77777777" w:rsidR="00772BDC" w:rsidRPr="008172EF" w:rsidRDefault="00772BDC" w:rsidP="00BB2BB3">
            <w:pPr>
              <w:rPr>
                <w:sz w:val="22"/>
                <w:szCs w:val="22"/>
                <w:lang w:val="fr-FR" w:eastAsia="en-US"/>
              </w:rPr>
            </w:pPr>
            <w:r w:rsidRPr="008172EF">
              <w:rPr>
                <w:sz w:val="22"/>
                <w:szCs w:val="22"/>
                <w:lang w:val="fr-FR" w:eastAsia="en-US"/>
              </w:rPr>
              <w:t>Produit 1.3</w:t>
            </w:r>
          </w:p>
          <w:p w14:paraId="0596AF9C" w14:textId="77777777" w:rsidR="00772BDC" w:rsidRPr="008172EF" w:rsidRDefault="00772BDC" w:rsidP="00BB2BB3">
            <w:pPr>
              <w:rPr>
                <w:b/>
                <w:sz w:val="22"/>
                <w:szCs w:val="22"/>
                <w:lang w:val="fr-FR" w:eastAsia="en-US"/>
              </w:rPr>
            </w:pPr>
            <w:r w:rsidRPr="008172EF">
              <w:rPr>
                <w:b/>
                <w:sz w:val="22"/>
                <w:szCs w:val="22"/>
                <w:lang w:val="fr-FR" w:eastAsia="en-US"/>
              </w:rPr>
              <w:lastRenderedPageBreak/>
              <w:t xml:space="preserve">Les missions de contrôle parlementaire sont réalisées sur l’application de la loi sur le maintien de l’ordre public et l’utilisation des ressources budgétaires </w:t>
            </w:r>
          </w:p>
          <w:p w14:paraId="00DBA428" w14:textId="77777777" w:rsidR="00772BDC" w:rsidRPr="008172EF" w:rsidRDefault="00772BDC" w:rsidP="00BB2BB3">
            <w:pPr>
              <w:rPr>
                <w:sz w:val="22"/>
                <w:szCs w:val="22"/>
                <w:lang w:val="fr-FR" w:eastAsia="en-US"/>
              </w:rPr>
            </w:pPr>
          </w:p>
        </w:tc>
        <w:tc>
          <w:tcPr>
            <w:tcW w:w="2070" w:type="dxa"/>
            <w:shd w:val="clear" w:color="auto" w:fill="EEECE1"/>
          </w:tcPr>
          <w:p w14:paraId="053533A7" w14:textId="77777777" w:rsidR="00772BDC" w:rsidRPr="008172EF" w:rsidRDefault="00772BDC" w:rsidP="00BB2BB3">
            <w:pPr>
              <w:rPr>
                <w:sz w:val="22"/>
                <w:szCs w:val="22"/>
                <w:lang w:val="fr-FR" w:eastAsia="en-US"/>
              </w:rPr>
            </w:pPr>
            <w:r w:rsidRPr="008172EF">
              <w:rPr>
                <w:sz w:val="22"/>
                <w:szCs w:val="22"/>
                <w:lang w:val="fr-FR" w:eastAsia="en-US"/>
              </w:rPr>
              <w:lastRenderedPageBreak/>
              <w:t xml:space="preserve">Indicateur 1.3.1 : Nombre de missions </w:t>
            </w:r>
            <w:r w:rsidRPr="008172EF">
              <w:rPr>
                <w:sz w:val="22"/>
                <w:szCs w:val="22"/>
                <w:lang w:val="fr-FR" w:eastAsia="en-US"/>
              </w:rPr>
              <w:lastRenderedPageBreak/>
              <w:t xml:space="preserve">de contrôle parlementaire </w:t>
            </w:r>
          </w:p>
          <w:p w14:paraId="650B4C15" w14:textId="77777777" w:rsidR="00772BDC" w:rsidRPr="008172EF" w:rsidRDefault="00772BDC" w:rsidP="00BB2BB3">
            <w:pPr>
              <w:rPr>
                <w:sz w:val="22"/>
                <w:szCs w:val="22"/>
                <w:lang w:val="fr-FR" w:eastAsia="en-US"/>
              </w:rPr>
            </w:pPr>
          </w:p>
          <w:p w14:paraId="7D72B2BA" w14:textId="77777777" w:rsidR="00772BDC" w:rsidRPr="008172EF" w:rsidRDefault="00772BDC" w:rsidP="00BB2BB3">
            <w:pPr>
              <w:rPr>
                <w:sz w:val="22"/>
                <w:szCs w:val="22"/>
                <w:lang w:val="fr-FR" w:eastAsia="en-US"/>
              </w:rPr>
            </w:pPr>
          </w:p>
          <w:p w14:paraId="343F7624" w14:textId="77777777" w:rsidR="00772BDC" w:rsidRPr="008172EF" w:rsidRDefault="00772BDC" w:rsidP="00BB2BB3">
            <w:pPr>
              <w:rPr>
                <w:sz w:val="22"/>
                <w:szCs w:val="22"/>
                <w:lang w:val="fr-FR" w:eastAsia="en-US"/>
              </w:rPr>
            </w:pPr>
          </w:p>
          <w:p w14:paraId="01A42490" w14:textId="77777777" w:rsidR="00772BDC" w:rsidRPr="008172EF" w:rsidRDefault="00772BDC" w:rsidP="00BB2BB3">
            <w:pPr>
              <w:jc w:val="both"/>
              <w:rPr>
                <w:sz w:val="22"/>
                <w:szCs w:val="22"/>
                <w:lang w:val="fr-FR" w:eastAsia="en-US"/>
              </w:rPr>
            </w:pPr>
          </w:p>
          <w:p w14:paraId="111B67DB" w14:textId="77777777" w:rsidR="00772BDC" w:rsidRPr="008172EF" w:rsidRDefault="00772BDC" w:rsidP="00BB2BB3">
            <w:pPr>
              <w:jc w:val="both"/>
              <w:rPr>
                <w:sz w:val="22"/>
                <w:szCs w:val="22"/>
                <w:lang w:val="fr-FR" w:eastAsia="en-US"/>
              </w:rPr>
            </w:pPr>
          </w:p>
          <w:p w14:paraId="636BF13C" w14:textId="77777777" w:rsidR="00772BDC" w:rsidRPr="008172EF" w:rsidRDefault="00772BDC" w:rsidP="00BB2BB3">
            <w:pPr>
              <w:jc w:val="both"/>
              <w:rPr>
                <w:sz w:val="22"/>
                <w:szCs w:val="22"/>
                <w:lang w:val="fr-FR" w:eastAsia="en-US"/>
              </w:rPr>
            </w:pPr>
          </w:p>
        </w:tc>
        <w:tc>
          <w:tcPr>
            <w:tcW w:w="1530" w:type="dxa"/>
            <w:shd w:val="clear" w:color="auto" w:fill="EEECE1"/>
          </w:tcPr>
          <w:p w14:paraId="3F126460" w14:textId="77777777" w:rsidR="00772BDC" w:rsidRPr="008172EF" w:rsidRDefault="00772BDC" w:rsidP="00BB2BB3">
            <w:pPr>
              <w:rPr>
                <w:sz w:val="22"/>
                <w:szCs w:val="22"/>
                <w:lang w:val="fr-FR"/>
              </w:rPr>
            </w:pPr>
            <w:r w:rsidRPr="008172EF">
              <w:rPr>
                <w:sz w:val="22"/>
                <w:szCs w:val="22"/>
                <w:lang w:val="fr-FR"/>
              </w:rPr>
              <w:lastRenderedPageBreak/>
              <w:t>02</w:t>
            </w:r>
          </w:p>
        </w:tc>
        <w:tc>
          <w:tcPr>
            <w:tcW w:w="1620" w:type="dxa"/>
            <w:shd w:val="clear" w:color="auto" w:fill="EEECE1"/>
          </w:tcPr>
          <w:p w14:paraId="3FA1834D" w14:textId="77777777" w:rsidR="00772BDC" w:rsidRPr="008172EF" w:rsidRDefault="00772BDC" w:rsidP="00BB2BB3">
            <w:pPr>
              <w:rPr>
                <w:sz w:val="22"/>
                <w:szCs w:val="22"/>
                <w:lang w:val="fr-FR"/>
              </w:rPr>
            </w:pPr>
            <w:r w:rsidRPr="008172EF">
              <w:rPr>
                <w:sz w:val="22"/>
                <w:szCs w:val="22"/>
                <w:lang w:val="fr-FR"/>
              </w:rPr>
              <w:t>(+2)</w:t>
            </w:r>
          </w:p>
        </w:tc>
        <w:tc>
          <w:tcPr>
            <w:tcW w:w="2070" w:type="dxa"/>
          </w:tcPr>
          <w:p w14:paraId="3237054E" w14:textId="77777777" w:rsidR="00772BDC" w:rsidRPr="008172EF" w:rsidRDefault="00772BDC" w:rsidP="00BB2BB3">
            <w:pPr>
              <w:rPr>
                <w:sz w:val="22"/>
                <w:szCs w:val="22"/>
                <w:lang w:val="fr-FR"/>
              </w:rPr>
            </w:pPr>
            <w:r w:rsidRPr="008172EF">
              <w:rPr>
                <w:sz w:val="22"/>
                <w:szCs w:val="22"/>
                <w:lang w:val="fr-FR"/>
              </w:rPr>
              <w:t>4</w:t>
            </w:r>
          </w:p>
        </w:tc>
        <w:tc>
          <w:tcPr>
            <w:tcW w:w="2070" w:type="dxa"/>
          </w:tcPr>
          <w:p w14:paraId="03D33D22" w14:textId="77777777" w:rsidR="00772BDC" w:rsidRPr="008172EF" w:rsidRDefault="00772BDC" w:rsidP="00BB2BB3">
            <w:pPr>
              <w:rPr>
                <w:sz w:val="22"/>
                <w:szCs w:val="22"/>
                <w:lang w:val="fr-FR"/>
              </w:rPr>
            </w:pPr>
            <w:r w:rsidRPr="008172EF">
              <w:rPr>
                <w:sz w:val="22"/>
                <w:szCs w:val="22"/>
                <w:lang w:val="fr-FR"/>
              </w:rPr>
              <w:t>100%</w:t>
            </w:r>
          </w:p>
        </w:tc>
        <w:tc>
          <w:tcPr>
            <w:tcW w:w="4140" w:type="dxa"/>
          </w:tcPr>
          <w:p w14:paraId="59DCF2E1" w14:textId="77777777" w:rsidR="00772BDC" w:rsidRPr="008172EF" w:rsidRDefault="00772BDC" w:rsidP="00BB2BB3">
            <w:pPr>
              <w:rPr>
                <w:sz w:val="22"/>
                <w:szCs w:val="22"/>
                <w:lang w:val="fr-FR"/>
              </w:rPr>
            </w:pPr>
            <w:r w:rsidRPr="008172EF">
              <w:rPr>
                <w:sz w:val="22"/>
                <w:szCs w:val="22"/>
                <w:lang w:val="fr-FR"/>
              </w:rPr>
              <w:t>Deux autres missions de contrôles se sont tenues</w:t>
            </w:r>
          </w:p>
        </w:tc>
      </w:tr>
      <w:tr w:rsidR="00772BDC" w:rsidRPr="00962071" w14:paraId="582FEFD1" w14:textId="77777777" w:rsidTr="00BB2BB3">
        <w:trPr>
          <w:trHeight w:val="422"/>
        </w:trPr>
        <w:tc>
          <w:tcPr>
            <w:tcW w:w="1530" w:type="dxa"/>
            <w:vMerge/>
          </w:tcPr>
          <w:p w14:paraId="20168A2C" w14:textId="77777777" w:rsidR="00772BDC" w:rsidRPr="008172EF" w:rsidRDefault="00772BDC" w:rsidP="00BB2BB3">
            <w:pPr>
              <w:rPr>
                <w:b/>
                <w:sz w:val="22"/>
                <w:szCs w:val="22"/>
                <w:lang w:val="fr-FR" w:eastAsia="en-US"/>
              </w:rPr>
            </w:pPr>
          </w:p>
        </w:tc>
        <w:tc>
          <w:tcPr>
            <w:tcW w:w="2070" w:type="dxa"/>
            <w:shd w:val="clear" w:color="auto" w:fill="EEECE1"/>
          </w:tcPr>
          <w:p w14:paraId="1BBF7E79" w14:textId="77777777" w:rsidR="00772BDC" w:rsidRPr="008172EF" w:rsidRDefault="00772BDC" w:rsidP="00BB2BB3">
            <w:pPr>
              <w:rPr>
                <w:sz w:val="22"/>
                <w:szCs w:val="22"/>
                <w:lang w:val="fr-FR" w:eastAsia="en-US"/>
              </w:rPr>
            </w:pPr>
            <w:r w:rsidRPr="008172EF">
              <w:rPr>
                <w:sz w:val="22"/>
                <w:szCs w:val="22"/>
                <w:lang w:val="fr-FR" w:eastAsia="en-US"/>
              </w:rPr>
              <w:t>Indicateur 1.3.2 : Nombre de députés formés sur le guide de contrôle parlementaire des FDS</w:t>
            </w:r>
          </w:p>
          <w:p w14:paraId="1C639C2F" w14:textId="77777777" w:rsidR="00772BDC" w:rsidRPr="008172EF" w:rsidRDefault="00772BDC" w:rsidP="00BB2BB3">
            <w:pPr>
              <w:rPr>
                <w:sz w:val="22"/>
                <w:szCs w:val="22"/>
                <w:lang w:val="fr-FR" w:eastAsia="en-US"/>
              </w:rPr>
            </w:pPr>
          </w:p>
          <w:p w14:paraId="346B81B4" w14:textId="77777777" w:rsidR="00772BDC" w:rsidRPr="008172EF" w:rsidRDefault="00772BDC" w:rsidP="00BB2BB3">
            <w:pPr>
              <w:jc w:val="both"/>
              <w:rPr>
                <w:sz w:val="22"/>
                <w:szCs w:val="22"/>
                <w:lang w:val="fr-FR" w:eastAsia="en-US"/>
              </w:rPr>
            </w:pPr>
          </w:p>
        </w:tc>
        <w:tc>
          <w:tcPr>
            <w:tcW w:w="1530" w:type="dxa"/>
            <w:shd w:val="clear" w:color="auto" w:fill="EEECE1"/>
          </w:tcPr>
          <w:p w14:paraId="1B5BACEF" w14:textId="77777777" w:rsidR="00772BDC" w:rsidRPr="008172EF" w:rsidRDefault="00772BDC" w:rsidP="00BB2BB3">
            <w:pPr>
              <w:rPr>
                <w:sz w:val="22"/>
                <w:szCs w:val="22"/>
                <w:lang w:val="fr-FR"/>
              </w:rPr>
            </w:pPr>
            <w:r w:rsidRPr="008172EF">
              <w:rPr>
                <w:b/>
                <w:sz w:val="22"/>
                <w:szCs w:val="22"/>
                <w:lang w:val="fr-FR" w:eastAsia="en-US"/>
              </w:rPr>
              <w:t>00</w:t>
            </w:r>
          </w:p>
        </w:tc>
        <w:tc>
          <w:tcPr>
            <w:tcW w:w="1620" w:type="dxa"/>
            <w:shd w:val="clear" w:color="auto" w:fill="EEECE1"/>
          </w:tcPr>
          <w:p w14:paraId="27061ECC" w14:textId="77777777" w:rsidR="00772BDC" w:rsidRPr="008172EF" w:rsidRDefault="00772BDC" w:rsidP="00BB2BB3">
            <w:pPr>
              <w:rPr>
                <w:sz w:val="22"/>
                <w:szCs w:val="22"/>
                <w:lang w:val="fr-FR"/>
              </w:rPr>
            </w:pPr>
            <w:r w:rsidRPr="008172EF">
              <w:rPr>
                <w:b/>
                <w:sz w:val="22"/>
                <w:szCs w:val="22"/>
                <w:lang w:val="fr-FR" w:eastAsia="en-US"/>
              </w:rPr>
              <w:t>25</w:t>
            </w:r>
          </w:p>
        </w:tc>
        <w:tc>
          <w:tcPr>
            <w:tcW w:w="2070" w:type="dxa"/>
          </w:tcPr>
          <w:p w14:paraId="30D84703" w14:textId="5F241492" w:rsidR="00772BDC" w:rsidRPr="008172EF" w:rsidRDefault="00772BDC" w:rsidP="00BB2BB3">
            <w:pPr>
              <w:rPr>
                <w:sz w:val="22"/>
                <w:szCs w:val="22"/>
                <w:lang w:val="fr-FR"/>
              </w:rPr>
            </w:pPr>
            <w:r w:rsidRPr="008172EF">
              <w:rPr>
                <w:b/>
                <w:sz w:val="22"/>
                <w:szCs w:val="22"/>
                <w:lang w:val="fr-FR" w:eastAsia="en-US"/>
              </w:rPr>
              <w:t>1</w:t>
            </w:r>
            <w:r w:rsidR="00A3307A">
              <w:rPr>
                <w:b/>
                <w:sz w:val="22"/>
                <w:szCs w:val="22"/>
                <w:lang w:val="fr-FR" w:eastAsia="en-US"/>
              </w:rPr>
              <w:t>5</w:t>
            </w:r>
          </w:p>
        </w:tc>
        <w:tc>
          <w:tcPr>
            <w:tcW w:w="2070" w:type="dxa"/>
          </w:tcPr>
          <w:p w14:paraId="7428FBD4" w14:textId="4AA7E675" w:rsidR="00772BDC" w:rsidRPr="008172EF" w:rsidRDefault="00A3307A" w:rsidP="00BB2BB3">
            <w:pPr>
              <w:rPr>
                <w:sz w:val="22"/>
                <w:szCs w:val="22"/>
                <w:lang w:val="fr-FR"/>
              </w:rPr>
            </w:pPr>
            <w:r>
              <w:rPr>
                <w:sz w:val="22"/>
                <w:szCs w:val="22"/>
                <w:lang w:val="fr-FR"/>
              </w:rPr>
              <w:t xml:space="preserve">60 </w:t>
            </w:r>
            <w:r w:rsidR="00772BDC" w:rsidRPr="008172EF">
              <w:rPr>
                <w:sz w:val="22"/>
                <w:szCs w:val="22"/>
                <w:lang w:val="fr-FR"/>
              </w:rPr>
              <w:t>%</w:t>
            </w:r>
          </w:p>
        </w:tc>
        <w:tc>
          <w:tcPr>
            <w:tcW w:w="4140" w:type="dxa"/>
          </w:tcPr>
          <w:p w14:paraId="6351E7A1" w14:textId="6483D3BE" w:rsidR="00772BDC" w:rsidRPr="008172EF" w:rsidRDefault="0084122F" w:rsidP="00BB2BB3">
            <w:pPr>
              <w:rPr>
                <w:sz w:val="22"/>
                <w:szCs w:val="22"/>
                <w:lang w:val="fr-FR"/>
              </w:rPr>
            </w:pPr>
            <w:r>
              <w:rPr>
                <w:sz w:val="22"/>
                <w:szCs w:val="22"/>
                <w:lang w:val="fr-FR"/>
              </w:rPr>
              <w:t>Les activités se rapportant à la formation</w:t>
            </w:r>
            <w:r w:rsidR="00A3307A">
              <w:rPr>
                <w:sz w:val="22"/>
                <w:szCs w:val="22"/>
                <w:lang w:val="fr-FR"/>
              </w:rPr>
              <w:t xml:space="preserve"> et au déploiement </w:t>
            </w:r>
            <w:r>
              <w:rPr>
                <w:sz w:val="22"/>
                <w:szCs w:val="22"/>
                <w:lang w:val="fr-FR"/>
              </w:rPr>
              <w:t xml:space="preserve">des </w:t>
            </w:r>
            <w:r w:rsidR="00A3307A">
              <w:rPr>
                <w:sz w:val="22"/>
                <w:szCs w:val="22"/>
                <w:lang w:val="fr-FR"/>
              </w:rPr>
              <w:t>dix</w:t>
            </w:r>
            <w:r>
              <w:rPr>
                <w:sz w:val="22"/>
                <w:szCs w:val="22"/>
                <w:lang w:val="fr-FR"/>
              </w:rPr>
              <w:t xml:space="preserve"> </w:t>
            </w:r>
            <w:r w:rsidR="009A2C6C">
              <w:rPr>
                <w:sz w:val="22"/>
                <w:szCs w:val="22"/>
                <w:lang w:val="fr-FR"/>
              </w:rPr>
              <w:t>députés pour</w:t>
            </w:r>
            <w:r w:rsidR="00A3307A">
              <w:rPr>
                <w:sz w:val="22"/>
                <w:szCs w:val="22"/>
                <w:lang w:val="fr-FR"/>
              </w:rPr>
              <w:t xml:space="preserve"> le contrôle parlementaire </w:t>
            </w:r>
            <w:r>
              <w:rPr>
                <w:sz w:val="22"/>
                <w:szCs w:val="22"/>
                <w:lang w:val="fr-FR"/>
              </w:rPr>
              <w:t>se sont heurtées aux crises</w:t>
            </w:r>
            <w:r w:rsidR="00AB3625">
              <w:rPr>
                <w:sz w:val="22"/>
                <w:szCs w:val="22"/>
                <w:lang w:val="fr-FR"/>
              </w:rPr>
              <w:t xml:space="preserve"> sociales &amp;</w:t>
            </w:r>
            <w:r>
              <w:rPr>
                <w:sz w:val="22"/>
                <w:szCs w:val="22"/>
                <w:lang w:val="fr-FR"/>
              </w:rPr>
              <w:t xml:space="preserve"> politiques </w:t>
            </w:r>
            <w:r w:rsidR="00AB3625">
              <w:rPr>
                <w:sz w:val="22"/>
                <w:szCs w:val="22"/>
                <w:lang w:val="fr-FR"/>
              </w:rPr>
              <w:t>ainsi qu’</w:t>
            </w:r>
            <w:r>
              <w:rPr>
                <w:sz w:val="22"/>
                <w:szCs w:val="22"/>
                <w:lang w:val="fr-FR"/>
              </w:rPr>
              <w:t xml:space="preserve">au renouvellement de l’Assemblée Nationale. </w:t>
            </w:r>
          </w:p>
        </w:tc>
      </w:tr>
      <w:tr w:rsidR="00772BDC" w:rsidRPr="008172EF" w14:paraId="6F91D963" w14:textId="77777777" w:rsidTr="00BB2BB3">
        <w:trPr>
          <w:trHeight w:val="422"/>
        </w:trPr>
        <w:tc>
          <w:tcPr>
            <w:tcW w:w="1530" w:type="dxa"/>
            <w:vMerge w:val="restart"/>
          </w:tcPr>
          <w:p w14:paraId="42100715" w14:textId="77777777" w:rsidR="00772BDC" w:rsidRPr="008172EF" w:rsidRDefault="00772BDC" w:rsidP="00BB2BB3">
            <w:pPr>
              <w:rPr>
                <w:b/>
                <w:sz w:val="22"/>
                <w:szCs w:val="22"/>
                <w:lang w:val="fr-FR" w:eastAsia="en-US"/>
              </w:rPr>
            </w:pPr>
            <w:r w:rsidRPr="008172EF">
              <w:rPr>
                <w:b/>
                <w:sz w:val="22"/>
                <w:szCs w:val="22"/>
                <w:lang w:val="fr-FR" w:eastAsia="en-US"/>
              </w:rPr>
              <w:t>Résultat 2</w:t>
            </w:r>
          </w:p>
          <w:p w14:paraId="7BEC8884" w14:textId="77777777" w:rsidR="00772BDC" w:rsidRPr="008172EF" w:rsidRDefault="00772BDC" w:rsidP="00BB2BB3">
            <w:pPr>
              <w:rPr>
                <w:b/>
                <w:sz w:val="22"/>
                <w:szCs w:val="22"/>
                <w:lang w:val="fr-FR" w:eastAsia="en-US"/>
              </w:rPr>
            </w:pPr>
            <w:r w:rsidRPr="008172EF">
              <w:rPr>
                <w:b/>
                <w:sz w:val="22"/>
                <w:szCs w:val="22"/>
                <w:lang w:val="fr-FR" w:eastAsia="en-US"/>
              </w:rPr>
              <w:t xml:space="preserve">Les capacités techniques et matérielles des services de sécurités sont renforcées en vue d’améliorer l’offre de service et </w:t>
            </w:r>
            <w:r w:rsidRPr="008172EF">
              <w:rPr>
                <w:b/>
                <w:sz w:val="22"/>
                <w:szCs w:val="22"/>
                <w:lang w:val="fr-FR" w:eastAsia="en-US"/>
              </w:rPr>
              <w:lastRenderedPageBreak/>
              <w:t xml:space="preserve">l’image de la police l’image </w:t>
            </w:r>
          </w:p>
          <w:p w14:paraId="3C3E32A1" w14:textId="77777777" w:rsidR="00772BDC" w:rsidRPr="008172EF" w:rsidRDefault="00772BDC" w:rsidP="00BB2BB3">
            <w:pPr>
              <w:rPr>
                <w:b/>
                <w:sz w:val="22"/>
                <w:szCs w:val="22"/>
                <w:lang w:val="fr-FR" w:eastAsia="en-US"/>
              </w:rPr>
            </w:pPr>
          </w:p>
        </w:tc>
        <w:tc>
          <w:tcPr>
            <w:tcW w:w="2070" w:type="dxa"/>
            <w:shd w:val="clear" w:color="auto" w:fill="EEECE1"/>
          </w:tcPr>
          <w:p w14:paraId="39291BF0" w14:textId="77777777" w:rsidR="00772BDC" w:rsidRPr="008172EF" w:rsidRDefault="00772BDC" w:rsidP="00BB2BB3">
            <w:pPr>
              <w:jc w:val="both"/>
              <w:rPr>
                <w:sz w:val="22"/>
                <w:szCs w:val="22"/>
                <w:lang w:val="fr-FR" w:eastAsia="en-US"/>
              </w:rPr>
            </w:pPr>
            <w:r w:rsidRPr="008172EF">
              <w:rPr>
                <w:sz w:val="22"/>
                <w:szCs w:val="22"/>
                <w:lang w:val="fr-FR" w:eastAsia="en-US"/>
              </w:rPr>
              <w:lastRenderedPageBreak/>
              <w:t>Indicateur 2.1: Évolution de la perception de l’offre de service de la police par la population</w:t>
            </w:r>
          </w:p>
          <w:p w14:paraId="79218AAB" w14:textId="77777777" w:rsidR="00772BDC" w:rsidRPr="008172EF" w:rsidRDefault="00772BDC" w:rsidP="00BB2BB3">
            <w:pPr>
              <w:rPr>
                <w:sz w:val="22"/>
                <w:szCs w:val="22"/>
                <w:lang w:val="fr-FR" w:eastAsia="en-US"/>
              </w:rPr>
            </w:pPr>
          </w:p>
          <w:p w14:paraId="16D1C313" w14:textId="77777777" w:rsidR="00772BDC" w:rsidRPr="008172EF" w:rsidRDefault="00772BDC" w:rsidP="00BB2BB3">
            <w:pPr>
              <w:rPr>
                <w:sz w:val="22"/>
                <w:szCs w:val="22"/>
                <w:lang w:val="fr-FR" w:eastAsia="en-US"/>
              </w:rPr>
            </w:pPr>
            <w:r w:rsidRPr="008172EF">
              <w:rPr>
                <w:sz w:val="22"/>
                <w:szCs w:val="22"/>
                <w:lang w:val="fr-FR" w:eastAsia="en-US"/>
              </w:rPr>
              <w:t>Base de données : NA (enquête de perception en cours</w:t>
            </w:r>
          </w:p>
          <w:p w14:paraId="08357A9C" w14:textId="77777777" w:rsidR="00772BDC" w:rsidRPr="008172EF" w:rsidRDefault="00772BDC" w:rsidP="00BB2BB3">
            <w:pPr>
              <w:rPr>
                <w:sz w:val="22"/>
                <w:szCs w:val="22"/>
                <w:lang w:val="fr-FR" w:eastAsia="en-US"/>
              </w:rPr>
            </w:pPr>
          </w:p>
          <w:p w14:paraId="06AD69D3" w14:textId="77777777" w:rsidR="00772BDC" w:rsidRPr="008172EF" w:rsidRDefault="00772BDC" w:rsidP="00BB2BB3">
            <w:pPr>
              <w:rPr>
                <w:sz w:val="22"/>
                <w:szCs w:val="22"/>
                <w:lang w:val="fr-FR" w:eastAsia="en-US"/>
              </w:rPr>
            </w:pPr>
          </w:p>
        </w:tc>
        <w:tc>
          <w:tcPr>
            <w:tcW w:w="1530" w:type="dxa"/>
            <w:shd w:val="clear" w:color="auto" w:fill="EEECE1"/>
          </w:tcPr>
          <w:p w14:paraId="45C16B24" w14:textId="77777777" w:rsidR="00772BDC" w:rsidRPr="008172EF" w:rsidRDefault="00772BDC" w:rsidP="00BB2BB3">
            <w:pPr>
              <w:rPr>
                <w:sz w:val="22"/>
                <w:szCs w:val="22"/>
                <w:lang w:val="fr-FR" w:eastAsia="en-US"/>
              </w:rPr>
            </w:pPr>
            <w:r w:rsidRPr="008172EF">
              <w:rPr>
                <w:sz w:val="22"/>
                <w:szCs w:val="22"/>
                <w:lang w:val="fr-FR" w:eastAsia="en-US"/>
              </w:rPr>
              <w:t xml:space="preserve">4% </w:t>
            </w:r>
          </w:p>
          <w:p w14:paraId="2838135B" w14:textId="77777777" w:rsidR="00772BDC" w:rsidRPr="008172EF" w:rsidRDefault="00772BDC" w:rsidP="00BB2BB3">
            <w:pPr>
              <w:rPr>
                <w:sz w:val="22"/>
                <w:szCs w:val="22"/>
                <w:lang w:val="fr-FR" w:eastAsia="en-US"/>
              </w:rPr>
            </w:pPr>
            <w:r w:rsidRPr="008172EF">
              <w:rPr>
                <w:sz w:val="22"/>
                <w:szCs w:val="22"/>
                <w:lang w:val="fr-FR" w:eastAsia="en-US"/>
              </w:rPr>
              <w:t xml:space="preserve"> </w:t>
            </w:r>
            <w:proofErr w:type="gramStart"/>
            <w:r w:rsidRPr="008172EF">
              <w:rPr>
                <w:sz w:val="22"/>
                <w:szCs w:val="22"/>
                <w:lang w:val="fr-FR" w:eastAsia="en-US"/>
              </w:rPr>
              <w:t>font</w:t>
            </w:r>
            <w:proofErr w:type="gramEnd"/>
            <w:r w:rsidRPr="008172EF">
              <w:rPr>
                <w:sz w:val="22"/>
                <w:szCs w:val="22"/>
                <w:lang w:val="fr-FR" w:eastAsia="en-US"/>
              </w:rPr>
              <w:t xml:space="preserve"> totalement confiance à la police (Enquête de perception 2019)</w:t>
            </w:r>
          </w:p>
        </w:tc>
        <w:tc>
          <w:tcPr>
            <w:tcW w:w="1620" w:type="dxa"/>
            <w:shd w:val="clear" w:color="auto" w:fill="EEECE1"/>
          </w:tcPr>
          <w:p w14:paraId="0A4B4448" w14:textId="77777777" w:rsidR="00772BDC" w:rsidRPr="008172EF" w:rsidRDefault="00772BDC" w:rsidP="00BB2BB3">
            <w:pPr>
              <w:rPr>
                <w:sz w:val="22"/>
                <w:szCs w:val="22"/>
                <w:lang w:val="fr-FR" w:eastAsia="en-US"/>
              </w:rPr>
            </w:pPr>
            <w:r w:rsidRPr="008172EF">
              <w:rPr>
                <w:sz w:val="22"/>
                <w:szCs w:val="22"/>
                <w:lang w:val="fr-FR" w:eastAsia="en-US"/>
              </w:rPr>
              <w:t xml:space="preserve">Cible </w:t>
            </w:r>
          </w:p>
          <w:p w14:paraId="048736CE" w14:textId="77777777" w:rsidR="00772BDC" w:rsidRPr="008172EF" w:rsidRDefault="00772BDC" w:rsidP="00BB2BB3">
            <w:pPr>
              <w:rPr>
                <w:sz w:val="22"/>
                <w:szCs w:val="22"/>
                <w:lang w:val="fr-FR" w:eastAsia="en-US"/>
              </w:rPr>
            </w:pPr>
            <w:r w:rsidRPr="008172EF">
              <w:rPr>
                <w:sz w:val="22"/>
                <w:szCs w:val="22"/>
                <w:lang w:val="fr-FR" w:eastAsia="en-US"/>
              </w:rPr>
              <w:t>14%</w:t>
            </w:r>
          </w:p>
          <w:p w14:paraId="524E3C99" w14:textId="77777777" w:rsidR="00772BDC" w:rsidRPr="008172EF" w:rsidRDefault="00772BDC" w:rsidP="00BB2BB3">
            <w:pPr>
              <w:rPr>
                <w:sz w:val="22"/>
                <w:szCs w:val="22"/>
                <w:lang w:val="fr-FR" w:eastAsia="en-US"/>
              </w:rPr>
            </w:pPr>
            <w:r w:rsidRPr="008172EF">
              <w:rPr>
                <w:sz w:val="22"/>
                <w:szCs w:val="22"/>
                <w:lang w:val="fr-FR" w:eastAsia="en-US"/>
              </w:rPr>
              <w:t xml:space="preserve"> Amélioration de + 10 %</w:t>
            </w:r>
          </w:p>
          <w:p w14:paraId="1E77A987" w14:textId="77777777" w:rsidR="00772BDC" w:rsidRPr="008172EF" w:rsidRDefault="00772BDC" w:rsidP="00BB2BB3">
            <w:pPr>
              <w:rPr>
                <w:sz w:val="22"/>
                <w:szCs w:val="22"/>
                <w:lang w:val="fr-FR" w:eastAsia="en-US"/>
              </w:rPr>
            </w:pPr>
            <w:r w:rsidRPr="008172EF">
              <w:rPr>
                <w:sz w:val="22"/>
                <w:szCs w:val="22"/>
                <w:lang w:val="fr-FR" w:eastAsia="en-US"/>
              </w:rPr>
              <w:t xml:space="preserve">Données désagrégées par sexe et tranche d’âge </w:t>
            </w:r>
          </w:p>
          <w:p w14:paraId="6FAF61C1" w14:textId="77777777" w:rsidR="00772BDC" w:rsidRPr="008172EF" w:rsidRDefault="00772BDC" w:rsidP="00BB2BB3">
            <w:pPr>
              <w:rPr>
                <w:sz w:val="22"/>
                <w:szCs w:val="22"/>
                <w:lang w:val="fr-FR"/>
              </w:rPr>
            </w:pPr>
            <w:r w:rsidRPr="008172EF">
              <w:rPr>
                <w:sz w:val="22"/>
                <w:szCs w:val="22"/>
                <w:lang w:val="fr-FR" w:eastAsia="en-US"/>
              </w:rPr>
              <w:t>Données spécifiques sur la police routière</w:t>
            </w:r>
          </w:p>
        </w:tc>
        <w:tc>
          <w:tcPr>
            <w:tcW w:w="2070" w:type="dxa"/>
          </w:tcPr>
          <w:p w14:paraId="36460E6B" w14:textId="77777777" w:rsidR="00772BDC" w:rsidRPr="008172EF" w:rsidRDefault="00772BDC" w:rsidP="00BB2BB3">
            <w:pPr>
              <w:rPr>
                <w:sz w:val="22"/>
                <w:szCs w:val="22"/>
                <w:lang w:val="fr-FR"/>
              </w:rPr>
            </w:pPr>
            <w:r w:rsidRPr="008172EF">
              <w:rPr>
                <w:b/>
                <w:sz w:val="22"/>
                <w:szCs w:val="22"/>
                <w:lang w:val="fr-FR" w:eastAsia="en-US"/>
              </w:rPr>
              <w:t>NA</w:t>
            </w:r>
          </w:p>
        </w:tc>
        <w:tc>
          <w:tcPr>
            <w:tcW w:w="2070" w:type="dxa"/>
          </w:tcPr>
          <w:p w14:paraId="38A3E887" w14:textId="77777777" w:rsidR="00772BDC" w:rsidRPr="008172EF" w:rsidRDefault="00772BDC" w:rsidP="00BB2BB3">
            <w:pPr>
              <w:rPr>
                <w:sz w:val="22"/>
                <w:szCs w:val="22"/>
                <w:lang w:val="fr-FR"/>
              </w:rPr>
            </w:pPr>
            <w:r w:rsidRPr="008172EF">
              <w:rPr>
                <w:b/>
                <w:sz w:val="22"/>
                <w:szCs w:val="22"/>
                <w:lang w:val="fr-FR" w:eastAsia="en-US"/>
              </w:rPr>
              <w:t>NA</w:t>
            </w:r>
          </w:p>
        </w:tc>
        <w:tc>
          <w:tcPr>
            <w:tcW w:w="4140" w:type="dxa"/>
          </w:tcPr>
          <w:p w14:paraId="031C4BBA" w14:textId="77777777" w:rsidR="00772BDC" w:rsidRPr="00AB3625" w:rsidRDefault="00772BDC" w:rsidP="00BB2BB3">
            <w:pPr>
              <w:rPr>
                <w:bCs/>
                <w:sz w:val="22"/>
                <w:szCs w:val="22"/>
                <w:lang w:val="fr-FR"/>
              </w:rPr>
            </w:pPr>
            <w:r w:rsidRPr="00AB3625">
              <w:rPr>
                <w:bCs/>
                <w:sz w:val="22"/>
                <w:szCs w:val="22"/>
                <w:lang w:val="fr-FR" w:eastAsia="en-US"/>
              </w:rPr>
              <w:t>Attente enquête de perception</w:t>
            </w:r>
          </w:p>
        </w:tc>
      </w:tr>
      <w:tr w:rsidR="00772BDC" w:rsidRPr="008172EF" w14:paraId="431FF65F" w14:textId="77777777" w:rsidTr="00BB2BB3">
        <w:trPr>
          <w:trHeight w:val="422"/>
        </w:trPr>
        <w:tc>
          <w:tcPr>
            <w:tcW w:w="1530" w:type="dxa"/>
            <w:vMerge/>
          </w:tcPr>
          <w:p w14:paraId="494D9B5C" w14:textId="77777777" w:rsidR="00772BDC" w:rsidRPr="008172EF" w:rsidRDefault="00772BDC" w:rsidP="00BB2BB3">
            <w:pPr>
              <w:rPr>
                <w:sz w:val="22"/>
                <w:szCs w:val="22"/>
                <w:lang w:val="fr-FR" w:eastAsia="en-US"/>
              </w:rPr>
            </w:pPr>
          </w:p>
        </w:tc>
        <w:tc>
          <w:tcPr>
            <w:tcW w:w="2070" w:type="dxa"/>
            <w:shd w:val="clear" w:color="auto" w:fill="EEECE1"/>
          </w:tcPr>
          <w:p w14:paraId="414DF4A9" w14:textId="77777777" w:rsidR="00772BDC" w:rsidRPr="008172EF" w:rsidRDefault="00772BDC" w:rsidP="00BB2BB3">
            <w:pPr>
              <w:jc w:val="both"/>
              <w:rPr>
                <w:sz w:val="22"/>
                <w:szCs w:val="22"/>
                <w:lang w:val="fr-FR" w:eastAsia="en-US"/>
              </w:rPr>
            </w:pPr>
            <w:r w:rsidRPr="008172EF">
              <w:rPr>
                <w:sz w:val="22"/>
                <w:szCs w:val="22"/>
                <w:lang w:val="fr-FR" w:eastAsia="en-US"/>
              </w:rPr>
              <w:t>Indicateur 2.2</w:t>
            </w:r>
          </w:p>
          <w:p w14:paraId="66AFC1DF" w14:textId="77777777" w:rsidR="00772BDC" w:rsidRPr="008172EF" w:rsidRDefault="00772BDC" w:rsidP="00BB2BB3">
            <w:pPr>
              <w:rPr>
                <w:sz w:val="22"/>
                <w:szCs w:val="22"/>
                <w:lang w:val="fr-FR" w:eastAsia="en-US"/>
              </w:rPr>
            </w:pPr>
            <w:r w:rsidRPr="008172EF">
              <w:rPr>
                <w:sz w:val="22"/>
                <w:szCs w:val="22"/>
                <w:lang w:val="fr-FR" w:eastAsia="en-US"/>
              </w:rPr>
              <w:t>:  Évolution de la perception de l’image de la police par la population</w:t>
            </w:r>
          </w:p>
          <w:p w14:paraId="7FAD76FA" w14:textId="77777777" w:rsidR="00772BDC" w:rsidRPr="008172EF" w:rsidRDefault="00772BDC" w:rsidP="00BB2BB3">
            <w:pPr>
              <w:rPr>
                <w:sz w:val="22"/>
                <w:szCs w:val="22"/>
                <w:lang w:val="fr-FR" w:eastAsia="en-US"/>
              </w:rPr>
            </w:pPr>
          </w:p>
          <w:p w14:paraId="3CBA5566" w14:textId="77777777" w:rsidR="00772BDC" w:rsidRPr="008172EF" w:rsidRDefault="00772BDC" w:rsidP="00BB2BB3">
            <w:pPr>
              <w:rPr>
                <w:sz w:val="22"/>
                <w:szCs w:val="22"/>
                <w:lang w:val="fr-FR" w:eastAsia="en-US"/>
              </w:rPr>
            </w:pPr>
            <w:r w:rsidRPr="008172EF">
              <w:rPr>
                <w:sz w:val="22"/>
                <w:szCs w:val="22"/>
                <w:lang w:val="fr-FR" w:eastAsia="en-US"/>
              </w:rPr>
              <w:t>Base de données : NA (enquête de perception en cours)</w:t>
            </w:r>
          </w:p>
          <w:p w14:paraId="536AF834" w14:textId="77777777" w:rsidR="00772BDC" w:rsidRPr="008172EF" w:rsidRDefault="00772BDC" w:rsidP="00BB2BB3">
            <w:pPr>
              <w:rPr>
                <w:sz w:val="22"/>
                <w:szCs w:val="22"/>
                <w:lang w:val="fr-FR" w:eastAsia="en-US"/>
              </w:rPr>
            </w:pPr>
            <w:r w:rsidRPr="008172EF">
              <w:rPr>
                <w:sz w:val="22"/>
                <w:szCs w:val="22"/>
                <w:lang w:val="fr-FR" w:eastAsia="en-US"/>
              </w:rPr>
              <w:t>Cible : Amélioration de + 10 %</w:t>
            </w:r>
          </w:p>
          <w:p w14:paraId="49C0CE0A" w14:textId="77777777" w:rsidR="00772BDC" w:rsidRPr="008172EF" w:rsidRDefault="00772BDC" w:rsidP="00BB2BB3">
            <w:pPr>
              <w:rPr>
                <w:sz w:val="22"/>
                <w:szCs w:val="22"/>
                <w:lang w:val="fr-FR" w:eastAsia="en-US"/>
              </w:rPr>
            </w:pPr>
            <w:r w:rsidRPr="008172EF">
              <w:rPr>
                <w:sz w:val="22"/>
                <w:szCs w:val="22"/>
                <w:lang w:val="fr-FR" w:eastAsia="en-US"/>
              </w:rPr>
              <w:t xml:space="preserve">Données désagrégées par sexe et tranche d’âge </w:t>
            </w:r>
          </w:p>
          <w:p w14:paraId="04AD25BC" w14:textId="77777777" w:rsidR="00772BDC" w:rsidRPr="008172EF" w:rsidRDefault="00772BDC" w:rsidP="00BB2BB3">
            <w:pPr>
              <w:jc w:val="both"/>
              <w:rPr>
                <w:sz w:val="22"/>
                <w:szCs w:val="22"/>
                <w:lang w:val="fr-FR" w:eastAsia="en-US"/>
              </w:rPr>
            </w:pPr>
          </w:p>
        </w:tc>
        <w:tc>
          <w:tcPr>
            <w:tcW w:w="1530" w:type="dxa"/>
            <w:shd w:val="clear" w:color="auto" w:fill="EEECE1"/>
          </w:tcPr>
          <w:p w14:paraId="018D5772" w14:textId="77777777" w:rsidR="00772BDC" w:rsidRPr="008172EF" w:rsidRDefault="00772BDC" w:rsidP="00BB2BB3">
            <w:pPr>
              <w:rPr>
                <w:sz w:val="22"/>
                <w:szCs w:val="22"/>
                <w:lang w:val="fr-FR" w:eastAsia="en-US"/>
              </w:rPr>
            </w:pPr>
            <w:r w:rsidRPr="008172EF">
              <w:rPr>
                <w:sz w:val="22"/>
                <w:szCs w:val="22"/>
                <w:lang w:val="fr-FR" w:eastAsia="en-US"/>
              </w:rPr>
              <w:t xml:space="preserve">4% </w:t>
            </w:r>
          </w:p>
          <w:p w14:paraId="26606218" w14:textId="77777777" w:rsidR="00772BDC" w:rsidRPr="008172EF" w:rsidRDefault="00772BDC" w:rsidP="00BB2BB3">
            <w:pPr>
              <w:rPr>
                <w:sz w:val="22"/>
                <w:szCs w:val="22"/>
                <w:lang w:val="fr-FR"/>
              </w:rPr>
            </w:pPr>
            <w:r w:rsidRPr="008172EF">
              <w:rPr>
                <w:sz w:val="22"/>
                <w:szCs w:val="22"/>
                <w:lang w:val="fr-FR" w:eastAsia="en-US"/>
              </w:rPr>
              <w:t xml:space="preserve"> </w:t>
            </w:r>
            <w:proofErr w:type="gramStart"/>
            <w:r w:rsidRPr="008172EF">
              <w:rPr>
                <w:sz w:val="22"/>
                <w:szCs w:val="22"/>
                <w:lang w:val="fr-FR" w:eastAsia="en-US"/>
              </w:rPr>
              <w:t>font</w:t>
            </w:r>
            <w:proofErr w:type="gramEnd"/>
            <w:r w:rsidRPr="008172EF">
              <w:rPr>
                <w:sz w:val="22"/>
                <w:szCs w:val="22"/>
                <w:lang w:val="fr-FR" w:eastAsia="en-US"/>
              </w:rPr>
              <w:t xml:space="preserve"> totalement confiance à la police (Enquête de perception 2019)</w:t>
            </w:r>
          </w:p>
        </w:tc>
        <w:tc>
          <w:tcPr>
            <w:tcW w:w="1620" w:type="dxa"/>
            <w:shd w:val="clear" w:color="auto" w:fill="EEECE1"/>
          </w:tcPr>
          <w:p w14:paraId="5A9FF69B" w14:textId="77777777" w:rsidR="00772BDC" w:rsidRPr="008172EF" w:rsidRDefault="00772BDC" w:rsidP="00BB2BB3">
            <w:pPr>
              <w:rPr>
                <w:sz w:val="22"/>
                <w:szCs w:val="22"/>
                <w:lang w:val="fr-FR" w:eastAsia="en-US"/>
              </w:rPr>
            </w:pPr>
            <w:r w:rsidRPr="008172EF">
              <w:rPr>
                <w:sz w:val="22"/>
                <w:szCs w:val="22"/>
                <w:lang w:val="fr-FR" w:eastAsia="en-US"/>
              </w:rPr>
              <w:t xml:space="preserve">Cible </w:t>
            </w:r>
          </w:p>
          <w:p w14:paraId="45C46D04" w14:textId="77777777" w:rsidR="00772BDC" w:rsidRPr="008172EF" w:rsidRDefault="00772BDC" w:rsidP="00BB2BB3">
            <w:pPr>
              <w:rPr>
                <w:sz w:val="22"/>
                <w:szCs w:val="22"/>
                <w:lang w:val="fr-FR" w:eastAsia="en-US"/>
              </w:rPr>
            </w:pPr>
            <w:r w:rsidRPr="008172EF">
              <w:rPr>
                <w:sz w:val="22"/>
                <w:szCs w:val="22"/>
                <w:lang w:val="fr-FR" w:eastAsia="en-US"/>
              </w:rPr>
              <w:t>14%</w:t>
            </w:r>
          </w:p>
          <w:p w14:paraId="1B970660" w14:textId="77777777" w:rsidR="00772BDC" w:rsidRPr="008172EF" w:rsidRDefault="00772BDC" w:rsidP="00BB2BB3">
            <w:pPr>
              <w:rPr>
                <w:sz w:val="22"/>
                <w:szCs w:val="22"/>
                <w:lang w:val="fr-FR" w:eastAsia="en-US"/>
              </w:rPr>
            </w:pPr>
            <w:r w:rsidRPr="008172EF">
              <w:rPr>
                <w:sz w:val="22"/>
                <w:szCs w:val="22"/>
                <w:lang w:val="fr-FR" w:eastAsia="en-US"/>
              </w:rPr>
              <w:t xml:space="preserve"> Amélioration de + 10 %</w:t>
            </w:r>
          </w:p>
          <w:p w14:paraId="0BDC5523" w14:textId="77777777" w:rsidR="00772BDC" w:rsidRPr="008172EF" w:rsidRDefault="00772BDC" w:rsidP="00BB2BB3">
            <w:pPr>
              <w:rPr>
                <w:sz w:val="22"/>
                <w:szCs w:val="22"/>
                <w:lang w:val="fr-FR" w:eastAsia="en-US"/>
              </w:rPr>
            </w:pPr>
            <w:r w:rsidRPr="008172EF">
              <w:rPr>
                <w:sz w:val="22"/>
                <w:szCs w:val="22"/>
                <w:lang w:val="fr-FR" w:eastAsia="en-US"/>
              </w:rPr>
              <w:t xml:space="preserve">Données désagrégées par sexe et tranche d’âge </w:t>
            </w:r>
          </w:p>
          <w:p w14:paraId="1EBAE567" w14:textId="77777777" w:rsidR="00772BDC" w:rsidRPr="008172EF" w:rsidRDefault="00772BDC" w:rsidP="00BB2BB3">
            <w:pPr>
              <w:rPr>
                <w:sz w:val="22"/>
                <w:szCs w:val="22"/>
                <w:lang w:val="fr-FR"/>
              </w:rPr>
            </w:pPr>
            <w:r w:rsidRPr="008172EF">
              <w:rPr>
                <w:sz w:val="22"/>
                <w:szCs w:val="22"/>
                <w:lang w:val="fr-FR" w:eastAsia="en-US"/>
              </w:rPr>
              <w:t>Données spécifiques sur la police routière</w:t>
            </w:r>
          </w:p>
        </w:tc>
        <w:tc>
          <w:tcPr>
            <w:tcW w:w="2070" w:type="dxa"/>
          </w:tcPr>
          <w:p w14:paraId="02FF510D" w14:textId="77777777" w:rsidR="00772BDC" w:rsidRPr="008172EF" w:rsidRDefault="00772BDC" w:rsidP="00BB2BB3">
            <w:pPr>
              <w:rPr>
                <w:sz w:val="22"/>
                <w:szCs w:val="22"/>
                <w:lang w:val="fr-FR"/>
              </w:rPr>
            </w:pPr>
            <w:r w:rsidRPr="008172EF">
              <w:rPr>
                <w:b/>
                <w:sz w:val="22"/>
                <w:szCs w:val="22"/>
                <w:lang w:val="fr-FR" w:eastAsia="en-US"/>
              </w:rPr>
              <w:t>NA</w:t>
            </w:r>
          </w:p>
        </w:tc>
        <w:tc>
          <w:tcPr>
            <w:tcW w:w="2070" w:type="dxa"/>
          </w:tcPr>
          <w:p w14:paraId="17D50EC8" w14:textId="77777777" w:rsidR="00772BDC" w:rsidRPr="008172EF" w:rsidRDefault="00772BDC" w:rsidP="00BB2BB3">
            <w:pPr>
              <w:rPr>
                <w:sz w:val="22"/>
                <w:szCs w:val="22"/>
                <w:lang w:val="fr-FR"/>
              </w:rPr>
            </w:pPr>
            <w:r w:rsidRPr="008172EF">
              <w:rPr>
                <w:b/>
                <w:sz w:val="22"/>
                <w:szCs w:val="22"/>
                <w:lang w:val="fr-FR" w:eastAsia="en-US"/>
              </w:rPr>
              <w:t>NA</w:t>
            </w:r>
          </w:p>
        </w:tc>
        <w:tc>
          <w:tcPr>
            <w:tcW w:w="4140" w:type="dxa"/>
          </w:tcPr>
          <w:p w14:paraId="63A4C4D4" w14:textId="77777777" w:rsidR="00772BDC" w:rsidRPr="00AB3625" w:rsidRDefault="00772BDC" w:rsidP="00BB2BB3">
            <w:pPr>
              <w:rPr>
                <w:bCs/>
                <w:sz w:val="22"/>
                <w:szCs w:val="22"/>
                <w:lang w:val="fr-FR"/>
              </w:rPr>
            </w:pPr>
            <w:r w:rsidRPr="00AB3625">
              <w:rPr>
                <w:bCs/>
                <w:sz w:val="22"/>
                <w:szCs w:val="22"/>
                <w:lang w:val="fr-FR" w:eastAsia="en-US"/>
              </w:rPr>
              <w:t>Attente enquête de perception</w:t>
            </w:r>
          </w:p>
        </w:tc>
      </w:tr>
      <w:tr w:rsidR="00772BDC" w:rsidRPr="008172EF" w14:paraId="0B219903" w14:textId="77777777" w:rsidTr="00BB2BB3">
        <w:trPr>
          <w:trHeight w:val="422"/>
        </w:trPr>
        <w:tc>
          <w:tcPr>
            <w:tcW w:w="1530" w:type="dxa"/>
            <w:vMerge w:val="restart"/>
          </w:tcPr>
          <w:p w14:paraId="3C3B6FEE" w14:textId="77777777" w:rsidR="00772BDC" w:rsidRPr="008172EF" w:rsidRDefault="00772BDC" w:rsidP="00BB2BB3">
            <w:pPr>
              <w:rPr>
                <w:b/>
                <w:bCs/>
                <w:sz w:val="22"/>
                <w:szCs w:val="22"/>
                <w:lang w:val="fr-FR" w:eastAsia="en-US"/>
              </w:rPr>
            </w:pPr>
            <w:r w:rsidRPr="008172EF">
              <w:rPr>
                <w:b/>
                <w:bCs/>
                <w:sz w:val="22"/>
                <w:szCs w:val="22"/>
                <w:lang w:val="fr-FR" w:eastAsia="en-US"/>
              </w:rPr>
              <w:t>Produit 2.1</w:t>
            </w:r>
          </w:p>
          <w:p w14:paraId="4F41D9FF" w14:textId="77777777" w:rsidR="00772BDC" w:rsidRPr="008172EF" w:rsidRDefault="00772BDC" w:rsidP="00BB2BB3">
            <w:pPr>
              <w:rPr>
                <w:b/>
                <w:sz w:val="22"/>
                <w:szCs w:val="22"/>
                <w:lang w:val="fr-FR" w:eastAsia="en-US"/>
              </w:rPr>
            </w:pPr>
            <w:r w:rsidRPr="008172EF">
              <w:rPr>
                <w:b/>
                <w:sz w:val="22"/>
                <w:szCs w:val="22"/>
                <w:lang w:val="fr-FR" w:eastAsia="en-US"/>
              </w:rPr>
              <w:t xml:space="preserve">Les capacités des cadres du Ministère de la Sécurité sont renforcées pour la mise en œuvre efficace de la politique et stratégie de </w:t>
            </w:r>
            <w:r w:rsidRPr="008172EF">
              <w:rPr>
                <w:b/>
                <w:sz w:val="22"/>
                <w:szCs w:val="22"/>
                <w:lang w:val="fr-FR" w:eastAsia="en-US"/>
              </w:rPr>
              <w:lastRenderedPageBreak/>
              <w:t>lutte contre l’insécurité.</w:t>
            </w:r>
          </w:p>
          <w:p w14:paraId="2C54F1FE" w14:textId="77777777" w:rsidR="00772BDC" w:rsidRPr="008172EF" w:rsidRDefault="00772BDC" w:rsidP="00BB2BB3">
            <w:pPr>
              <w:rPr>
                <w:b/>
                <w:sz w:val="22"/>
                <w:szCs w:val="22"/>
                <w:lang w:val="fr-FR" w:eastAsia="en-US"/>
              </w:rPr>
            </w:pPr>
          </w:p>
          <w:p w14:paraId="51D45565" w14:textId="77777777" w:rsidR="00772BDC" w:rsidRPr="008172EF" w:rsidRDefault="00772BDC" w:rsidP="00BB2BB3">
            <w:pPr>
              <w:rPr>
                <w:sz w:val="22"/>
                <w:szCs w:val="22"/>
                <w:lang w:val="fr-FR" w:eastAsia="en-US"/>
              </w:rPr>
            </w:pPr>
          </w:p>
          <w:p w14:paraId="59DCDF67" w14:textId="77777777" w:rsidR="00772BDC" w:rsidRPr="008172EF" w:rsidRDefault="00772BDC" w:rsidP="00BB2BB3">
            <w:pPr>
              <w:rPr>
                <w:b/>
                <w:sz w:val="22"/>
                <w:szCs w:val="22"/>
                <w:lang w:val="fr-FR" w:eastAsia="en-US"/>
              </w:rPr>
            </w:pPr>
          </w:p>
        </w:tc>
        <w:tc>
          <w:tcPr>
            <w:tcW w:w="2070" w:type="dxa"/>
            <w:shd w:val="clear" w:color="auto" w:fill="EEECE1"/>
          </w:tcPr>
          <w:p w14:paraId="097358D9" w14:textId="77777777" w:rsidR="00772BDC" w:rsidRPr="008172EF" w:rsidRDefault="00772BDC" w:rsidP="00BB2BB3">
            <w:pPr>
              <w:jc w:val="both"/>
              <w:rPr>
                <w:sz w:val="22"/>
                <w:szCs w:val="22"/>
                <w:lang w:val="fr-FR" w:eastAsia="en-US"/>
              </w:rPr>
            </w:pPr>
            <w:r w:rsidRPr="008172EF">
              <w:rPr>
                <w:sz w:val="22"/>
                <w:szCs w:val="22"/>
                <w:lang w:val="fr-FR" w:eastAsia="en-US"/>
              </w:rPr>
              <w:lastRenderedPageBreak/>
              <w:t>Indicateur 2.1.1:  Disponibilité d’une stratégie de communication pour le MSPC</w:t>
            </w:r>
          </w:p>
          <w:p w14:paraId="29243BEC" w14:textId="77777777" w:rsidR="00772BDC" w:rsidRPr="008172EF" w:rsidRDefault="00772BDC" w:rsidP="00BB2BB3">
            <w:pPr>
              <w:rPr>
                <w:sz w:val="22"/>
                <w:szCs w:val="22"/>
                <w:lang w:val="fr-FR" w:eastAsia="en-US"/>
              </w:rPr>
            </w:pPr>
          </w:p>
          <w:p w14:paraId="6E1BA453" w14:textId="77777777" w:rsidR="00772BDC" w:rsidRPr="008172EF" w:rsidRDefault="00772BDC" w:rsidP="00BB2BB3">
            <w:pPr>
              <w:rPr>
                <w:sz w:val="22"/>
                <w:szCs w:val="22"/>
                <w:lang w:val="fr-FR" w:eastAsia="en-US"/>
              </w:rPr>
            </w:pPr>
            <w:r w:rsidRPr="008172EF">
              <w:rPr>
                <w:sz w:val="22"/>
                <w:szCs w:val="22"/>
                <w:lang w:val="fr-FR" w:eastAsia="en-US"/>
              </w:rPr>
              <w:t>Base de données : XX</w:t>
            </w:r>
          </w:p>
          <w:p w14:paraId="357BEAF4" w14:textId="77777777" w:rsidR="00772BDC" w:rsidRPr="008172EF" w:rsidRDefault="00772BDC" w:rsidP="00BB2BB3">
            <w:pPr>
              <w:rPr>
                <w:sz w:val="22"/>
                <w:szCs w:val="22"/>
                <w:lang w:val="fr-FR" w:eastAsia="en-US"/>
              </w:rPr>
            </w:pPr>
          </w:p>
          <w:p w14:paraId="6DF17492" w14:textId="77777777" w:rsidR="00772BDC" w:rsidRPr="008172EF" w:rsidRDefault="00772BDC" w:rsidP="00BB2BB3">
            <w:pPr>
              <w:rPr>
                <w:sz w:val="22"/>
                <w:szCs w:val="22"/>
                <w:lang w:val="fr-FR" w:eastAsia="en-US"/>
              </w:rPr>
            </w:pPr>
            <w:r w:rsidRPr="008172EF">
              <w:rPr>
                <w:sz w:val="22"/>
                <w:szCs w:val="22"/>
                <w:lang w:val="fr-FR" w:eastAsia="en-US"/>
              </w:rPr>
              <w:t xml:space="preserve">Cible : 1 </w:t>
            </w:r>
          </w:p>
          <w:p w14:paraId="6311EE63" w14:textId="77777777" w:rsidR="00772BDC" w:rsidRPr="008172EF" w:rsidRDefault="00772BDC" w:rsidP="00BB2BB3">
            <w:pPr>
              <w:jc w:val="both"/>
              <w:rPr>
                <w:sz w:val="22"/>
                <w:szCs w:val="22"/>
                <w:lang w:val="fr-FR" w:eastAsia="en-US"/>
              </w:rPr>
            </w:pPr>
          </w:p>
        </w:tc>
        <w:tc>
          <w:tcPr>
            <w:tcW w:w="1530" w:type="dxa"/>
            <w:shd w:val="clear" w:color="auto" w:fill="EEECE1"/>
          </w:tcPr>
          <w:p w14:paraId="41F334CA" w14:textId="77777777" w:rsidR="00772BDC" w:rsidRPr="008172EF" w:rsidRDefault="00772BDC" w:rsidP="00BB2BB3">
            <w:pPr>
              <w:rPr>
                <w:sz w:val="22"/>
                <w:szCs w:val="22"/>
                <w:lang w:val="fr-FR"/>
              </w:rPr>
            </w:pPr>
            <w:r w:rsidRPr="008172EF">
              <w:rPr>
                <w:b/>
                <w:sz w:val="22"/>
                <w:szCs w:val="22"/>
                <w:lang w:val="fr-FR" w:eastAsia="en-US"/>
              </w:rPr>
              <w:t>0</w:t>
            </w:r>
          </w:p>
        </w:tc>
        <w:tc>
          <w:tcPr>
            <w:tcW w:w="1620" w:type="dxa"/>
            <w:shd w:val="clear" w:color="auto" w:fill="EEECE1"/>
          </w:tcPr>
          <w:p w14:paraId="2A3D07A5" w14:textId="77777777" w:rsidR="00772BDC" w:rsidRPr="008172EF" w:rsidRDefault="00772BDC" w:rsidP="00BB2BB3">
            <w:pPr>
              <w:rPr>
                <w:sz w:val="22"/>
                <w:szCs w:val="22"/>
                <w:lang w:val="fr-FR"/>
              </w:rPr>
            </w:pPr>
            <w:r w:rsidRPr="008172EF">
              <w:rPr>
                <w:b/>
                <w:sz w:val="22"/>
                <w:szCs w:val="22"/>
                <w:lang w:val="fr-FR" w:eastAsia="en-US"/>
              </w:rPr>
              <w:t>1</w:t>
            </w:r>
          </w:p>
        </w:tc>
        <w:tc>
          <w:tcPr>
            <w:tcW w:w="2070" w:type="dxa"/>
          </w:tcPr>
          <w:p w14:paraId="025B0BC1" w14:textId="77777777" w:rsidR="00772BDC" w:rsidRPr="008172EF" w:rsidRDefault="00772BDC" w:rsidP="00BB2BB3">
            <w:pPr>
              <w:rPr>
                <w:sz w:val="22"/>
                <w:szCs w:val="22"/>
                <w:lang w:val="fr-FR"/>
              </w:rPr>
            </w:pPr>
            <w:r w:rsidRPr="008172EF">
              <w:rPr>
                <w:b/>
                <w:sz w:val="22"/>
                <w:szCs w:val="22"/>
                <w:lang w:val="fr-FR" w:eastAsia="en-US"/>
              </w:rPr>
              <w:t>1</w:t>
            </w:r>
          </w:p>
        </w:tc>
        <w:tc>
          <w:tcPr>
            <w:tcW w:w="2070" w:type="dxa"/>
          </w:tcPr>
          <w:p w14:paraId="79DE912C" w14:textId="77777777" w:rsidR="00772BDC" w:rsidRPr="008172EF" w:rsidRDefault="00772BDC" w:rsidP="00BB2BB3">
            <w:pPr>
              <w:rPr>
                <w:sz w:val="22"/>
                <w:szCs w:val="22"/>
                <w:lang w:val="fr-FR"/>
              </w:rPr>
            </w:pPr>
            <w:r w:rsidRPr="008172EF">
              <w:rPr>
                <w:b/>
                <w:sz w:val="22"/>
                <w:szCs w:val="22"/>
                <w:lang w:val="fr-FR" w:eastAsia="en-US"/>
              </w:rPr>
              <w:t>100%</w:t>
            </w:r>
          </w:p>
        </w:tc>
        <w:tc>
          <w:tcPr>
            <w:tcW w:w="4140" w:type="dxa"/>
          </w:tcPr>
          <w:p w14:paraId="6A744FAD" w14:textId="77777777" w:rsidR="00772BDC" w:rsidRPr="008172EF" w:rsidRDefault="00772BDC" w:rsidP="00BB2BB3">
            <w:pPr>
              <w:rPr>
                <w:sz w:val="22"/>
                <w:szCs w:val="22"/>
                <w:lang w:val="fr-FR"/>
              </w:rPr>
            </w:pPr>
          </w:p>
        </w:tc>
      </w:tr>
      <w:tr w:rsidR="00772BDC" w:rsidRPr="008172EF" w14:paraId="392B1E56" w14:textId="77777777" w:rsidTr="00262382">
        <w:trPr>
          <w:trHeight w:val="458"/>
        </w:trPr>
        <w:tc>
          <w:tcPr>
            <w:tcW w:w="1530" w:type="dxa"/>
            <w:vMerge/>
          </w:tcPr>
          <w:p w14:paraId="22F7B08E" w14:textId="77777777" w:rsidR="00772BDC" w:rsidRPr="008172EF" w:rsidRDefault="00772BDC" w:rsidP="00BB2BB3">
            <w:pPr>
              <w:rPr>
                <w:b/>
                <w:sz w:val="22"/>
                <w:szCs w:val="22"/>
                <w:lang w:val="fr-FR" w:eastAsia="en-US"/>
              </w:rPr>
            </w:pPr>
          </w:p>
        </w:tc>
        <w:tc>
          <w:tcPr>
            <w:tcW w:w="2070" w:type="dxa"/>
            <w:shd w:val="clear" w:color="auto" w:fill="D9D9D9" w:themeFill="background1" w:themeFillShade="D9"/>
          </w:tcPr>
          <w:p w14:paraId="133CEE5D" w14:textId="77777777" w:rsidR="00772BDC" w:rsidRPr="008172EF" w:rsidRDefault="00772BDC" w:rsidP="009A2C6C">
            <w:pPr>
              <w:jc w:val="both"/>
              <w:rPr>
                <w:sz w:val="22"/>
                <w:szCs w:val="22"/>
                <w:lang w:val="fr-FR" w:eastAsia="en-US"/>
              </w:rPr>
            </w:pPr>
            <w:r w:rsidRPr="008172EF">
              <w:rPr>
                <w:sz w:val="22"/>
                <w:szCs w:val="22"/>
                <w:lang w:val="fr-FR" w:eastAsia="en-US"/>
              </w:rPr>
              <w:t xml:space="preserve">Indicateur 2.1.2 : Nombre de séances </w:t>
            </w:r>
            <w:r w:rsidRPr="008172EF">
              <w:rPr>
                <w:sz w:val="22"/>
                <w:szCs w:val="22"/>
                <w:lang w:val="fr-FR" w:eastAsia="en-US"/>
              </w:rPr>
              <w:lastRenderedPageBreak/>
              <w:t>de sensibilisation et de vulgarisation des textes clés de la Police et PC, réforme</w:t>
            </w:r>
          </w:p>
          <w:p w14:paraId="239110CC" w14:textId="77777777" w:rsidR="00772BDC" w:rsidRPr="008172EF" w:rsidRDefault="00772BDC" w:rsidP="009A2C6C">
            <w:pPr>
              <w:jc w:val="both"/>
              <w:rPr>
                <w:sz w:val="22"/>
                <w:szCs w:val="22"/>
                <w:lang w:val="fr-FR" w:eastAsia="en-US"/>
              </w:rPr>
            </w:pPr>
          </w:p>
        </w:tc>
        <w:tc>
          <w:tcPr>
            <w:tcW w:w="1530" w:type="dxa"/>
            <w:shd w:val="clear" w:color="auto" w:fill="EEECE1"/>
          </w:tcPr>
          <w:p w14:paraId="0F3E1FA1" w14:textId="77777777" w:rsidR="00772BDC" w:rsidRPr="008172EF" w:rsidRDefault="00772BDC" w:rsidP="00BB2BB3">
            <w:pPr>
              <w:rPr>
                <w:sz w:val="22"/>
                <w:szCs w:val="22"/>
                <w:lang w:val="fr-FR"/>
              </w:rPr>
            </w:pPr>
            <w:r w:rsidRPr="008172EF">
              <w:rPr>
                <w:b/>
                <w:sz w:val="22"/>
                <w:szCs w:val="22"/>
                <w:lang w:val="fr-FR" w:eastAsia="en-US"/>
              </w:rPr>
              <w:lastRenderedPageBreak/>
              <w:t>1</w:t>
            </w:r>
          </w:p>
        </w:tc>
        <w:tc>
          <w:tcPr>
            <w:tcW w:w="1620" w:type="dxa"/>
            <w:shd w:val="clear" w:color="auto" w:fill="EEECE1"/>
          </w:tcPr>
          <w:p w14:paraId="5D501BD5" w14:textId="77777777" w:rsidR="00772BDC" w:rsidRPr="008172EF" w:rsidRDefault="00772BDC" w:rsidP="00BB2BB3">
            <w:pPr>
              <w:rPr>
                <w:sz w:val="22"/>
                <w:szCs w:val="22"/>
                <w:lang w:val="fr-FR"/>
              </w:rPr>
            </w:pPr>
            <w:r w:rsidRPr="008172EF">
              <w:rPr>
                <w:b/>
                <w:sz w:val="22"/>
                <w:szCs w:val="22"/>
                <w:lang w:val="fr-FR" w:eastAsia="en-US"/>
              </w:rPr>
              <w:t>5 (+4)</w:t>
            </w:r>
          </w:p>
        </w:tc>
        <w:tc>
          <w:tcPr>
            <w:tcW w:w="2070" w:type="dxa"/>
          </w:tcPr>
          <w:p w14:paraId="6548AAFF" w14:textId="77777777" w:rsidR="00772BDC" w:rsidRPr="008172EF" w:rsidRDefault="00772BDC" w:rsidP="00BB2BB3">
            <w:pPr>
              <w:rPr>
                <w:sz w:val="22"/>
                <w:szCs w:val="22"/>
                <w:lang w:val="fr-FR"/>
              </w:rPr>
            </w:pPr>
            <w:r w:rsidRPr="008172EF">
              <w:rPr>
                <w:b/>
                <w:sz w:val="22"/>
                <w:szCs w:val="22"/>
                <w:lang w:val="fr-FR" w:eastAsia="en-US"/>
              </w:rPr>
              <w:t>5</w:t>
            </w:r>
          </w:p>
        </w:tc>
        <w:tc>
          <w:tcPr>
            <w:tcW w:w="2070" w:type="dxa"/>
          </w:tcPr>
          <w:p w14:paraId="2FD4D2B4" w14:textId="77777777" w:rsidR="00772BDC" w:rsidRPr="008172EF" w:rsidRDefault="00772BDC" w:rsidP="00BB2BB3">
            <w:pPr>
              <w:rPr>
                <w:sz w:val="22"/>
                <w:szCs w:val="22"/>
                <w:lang w:val="fr-FR"/>
              </w:rPr>
            </w:pPr>
            <w:r w:rsidRPr="008172EF">
              <w:rPr>
                <w:b/>
                <w:sz w:val="22"/>
                <w:szCs w:val="22"/>
                <w:lang w:val="fr-FR" w:eastAsia="en-US"/>
              </w:rPr>
              <w:t>100%</w:t>
            </w:r>
          </w:p>
        </w:tc>
        <w:tc>
          <w:tcPr>
            <w:tcW w:w="4140" w:type="dxa"/>
          </w:tcPr>
          <w:p w14:paraId="12A4039B" w14:textId="77777777" w:rsidR="00772BDC" w:rsidRPr="008172EF" w:rsidRDefault="00772BDC" w:rsidP="00BB2BB3">
            <w:pPr>
              <w:rPr>
                <w:sz w:val="22"/>
                <w:szCs w:val="22"/>
                <w:lang w:val="fr-FR"/>
              </w:rPr>
            </w:pPr>
          </w:p>
        </w:tc>
      </w:tr>
      <w:tr w:rsidR="00772BDC" w:rsidRPr="008172EF" w14:paraId="7A16F019" w14:textId="77777777" w:rsidTr="00BB2BB3">
        <w:trPr>
          <w:trHeight w:val="512"/>
        </w:trPr>
        <w:tc>
          <w:tcPr>
            <w:tcW w:w="1530" w:type="dxa"/>
            <w:vMerge w:val="restart"/>
          </w:tcPr>
          <w:p w14:paraId="46379897" w14:textId="77777777" w:rsidR="00772BDC" w:rsidRPr="008172EF" w:rsidRDefault="00772BDC" w:rsidP="00BB2BB3">
            <w:pPr>
              <w:rPr>
                <w:b/>
                <w:sz w:val="22"/>
                <w:szCs w:val="22"/>
                <w:lang w:val="fr-FR" w:eastAsia="en-US"/>
              </w:rPr>
            </w:pPr>
          </w:p>
          <w:p w14:paraId="5DE5C068" w14:textId="77777777" w:rsidR="00772BDC" w:rsidRPr="008172EF" w:rsidRDefault="00772BDC" w:rsidP="00BB2BB3">
            <w:pPr>
              <w:rPr>
                <w:b/>
                <w:bCs/>
                <w:sz w:val="22"/>
                <w:szCs w:val="22"/>
                <w:lang w:val="fr-FR" w:eastAsia="en-US"/>
              </w:rPr>
            </w:pPr>
            <w:r w:rsidRPr="008172EF">
              <w:rPr>
                <w:b/>
                <w:bCs/>
                <w:sz w:val="22"/>
                <w:szCs w:val="22"/>
                <w:lang w:val="fr-FR" w:eastAsia="en-US"/>
              </w:rPr>
              <w:t>Produit 2.2</w:t>
            </w:r>
          </w:p>
          <w:p w14:paraId="521330AB" w14:textId="77777777" w:rsidR="00772BDC" w:rsidRPr="008172EF" w:rsidRDefault="00772BDC" w:rsidP="00BB2BB3">
            <w:pPr>
              <w:rPr>
                <w:b/>
                <w:sz w:val="22"/>
                <w:szCs w:val="22"/>
                <w:lang w:val="fr-FR" w:eastAsia="en-US"/>
              </w:rPr>
            </w:pPr>
            <w:r w:rsidRPr="008172EF">
              <w:rPr>
                <w:b/>
                <w:sz w:val="22"/>
                <w:szCs w:val="22"/>
                <w:lang w:val="fr-FR" w:eastAsia="en-US"/>
              </w:rPr>
              <w:t>L’amélioration des prestations et du comportement des agents de terrain de la police de circulation routière contribue à la restauration de la confiance avec le public.</w:t>
            </w:r>
          </w:p>
          <w:p w14:paraId="453EF69F" w14:textId="77777777" w:rsidR="00772BDC" w:rsidRPr="008172EF" w:rsidRDefault="00772BDC" w:rsidP="00BB2BB3">
            <w:pPr>
              <w:rPr>
                <w:b/>
                <w:sz w:val="22"/>
                <w:szCs w:val="22"/>
                <w:lang w:val="fr-FR" w:eastAsia="en-US"/>
              </w:rPr>
            </w:pPr>
          </w:p>
          <w:p w14:paraId="1B881E2F" w14:textId="77777777" w:rsidR="00772BDC" w:rsidRPr="008172EF" w:rsidRDefault="00772BDC" w:rsidP="00BB2BB3">
            <w:pPr>
              <w:rPr>
                <w:sz w:val="22"/>
                <w:szCs w:val="22"/>
                <w:lang w:val="fr-FR" w:eastAsia="en-US"/>
              </w:rPr>
            </w:pPr>
          </w:p>
        </w:tc>
        <w:tc>
          <w:tcPr>
            <w:tcW w:w="2070" w:type="dxa"/>
            <w:shd w:val="clear" w:color="auto" w:fill="EEECE1"/>
          </w:tcPr>
          <w:p w14:paraId="4FFAC48B" w14:textId="77777777" w:rsidR="00772BDC" w:rsidRPr="008172EF" w:rsidRDefault="00772BDC" w:rsidP="00BB2BB3">
            <w:pPr>
              <w:jc w:val="both"/>
              <w:rPr>
                <w:sz w:val="22"/>
                <w:szCs w:val="22"/>
                <w:lang w:val="fr-FR" w:eastAsia="en-US"/>
              </w:rPr>
            </w:pPr>
            <w:r w:rsidRPr="008172EF">
              <w:rPr>
                <w:sz w:val="22"/>
                <w:szCs w:val="22"/>
                <w:lang w:val="fr-FR" w:eastAsia="en-US"/>
              </w:rPr>
              <w:t>Indicateur 2.2.1</w:t>
            </w:r>
          </w:p>
          <w:p w14:paraId="6252EFAC" w14:textId="77777777" w:rsidR="00772BDC" w:rsidRPr="008172EF" w:rsidRDefault="00772BDC" w:rsidP="00BB2BB3">
            <w:pPr>
              <w:rPr>
                <w:sz w:val="22"/>
                <w:szCs w:val="22"/>
                <w:lang w:val="fr-FR" w:eastAsia="en-US"/>
              </w:rPr>
            </w:pPr>
            <w:r w:rsidRPr="008172EF">
              <w:rPr>
                <w:sz w:val="22"/>
                <w:szCs w:val="22"/>
                <w:lang w:val="fr-FR" w:eastAsia="en-US"/>
              </w:rPr>
              <w:t xml:space="preserve">Perception de la qualité de la prestation technique des agents de la routière </w:t>
            </w:r>
          </w:p>
          <w:p w14:paraId="22C177E5" w14:textId="77777777" w:rsidR="00772BDC" w:rsidRPr="008172EF" w:rsidRDefault="00772BDC" w:rsidP="00BB2BB3">
            <w:pPr>
              <w:rPr>
                <w:sz w:val="22"/>
                <w:szCs w:val="22"/>
                <w:lang w:val="fr-FR" w:eastAsia="en-US"/>
              </w:rPr>
            </w:pPr>
            <w:r w:rsidRPr="008172EF">
              <w:rPr>
                <w:sz w:val="22"/>
                <w:szCs w:val="22"/>
                <w:lang w:val="fr-FR" w:eastAsia="en-US"/>
              </w:rPr>
              <w:t xml:space="preserve"> </w:t>
            </w:r>
          </w:p>
          <w:p w14:paraId="732160EF" w14:textId="77777777" w:rsidR="00772BDC" w:rsidRPr="008172EF" w:rsidRDefault="00772BDC" w:rsidP="00BB2BB3">
            <w:pPr>
              <w:rPr>
                <w:sz w:val="22"/>
                <w:szCs w:val="22"/>
                <w:lang w:val="fr-FR" w:eastAsia="en-US"/>
              </w:rPr>
            </w:pPr>
          </w:p>
          <w:p w14:paraId="62909B5F" w14:textId="77777777" w:rsidR="00772BDC" w:rsidRPr="008172EF" w:rsidRDefault="00772BDC" w:rsidP="00BB2BB3">
            <w:pPr>
              <w:rPr>
                <w:sz w:val="22"/>
                <w:szCs w:val="22"/>
                <w:lang w:val="fr-FR" w:eastAsia="en-US"/>
              </w:rPr>
            </w:pPr>
            <w:r w:rsidRPr="008172EF">
              <w:rPr>
                <w:sz w:val="22"/>
                <w:szCs w:val="22"/>
                <w:lang w:val="fr-FR" w:eastAsia="en-US"/>
              </w:rPr>
              <w:t>Base de données : NA</w:t>
            </w:r>
          </w:p>
          <w:p w14:paraId="60A570BD" w14:textId="4F163A22" w:rsidR="00772BDC" w:rsidRPr="008172EF" w:rsidRDefault="00772BDC" w:rsidP="00BB2BB3">
            <w:pPr>
              <w:rPr>
                <w:sz w:val="22"/>
                <w:szCs w:val="22"/>
                <w:lang w:val="fr-FR" w:eastAsia="en-US"/>
              </w:rPr>
            </w:pPr>
            <w:r w:rsidRPr="008172EF">
              <w:rPr>
                <w:sz w:val="22"/>
                <w:szCs w:val="22"/>
                <w:lang w:val="fr-FR" w:eastAsia="en-US"/>
              </w:rPr>
              <w:t>Cible : Amélioration de 20% (</w:t>
            </w:r>
            <w:r w:rsidRPr="00772BDC">
              <w:rPr>
                <w:color w:val="000000" w:themeColor="text1"/>
                <w:sz w:val="22"/>
                <w:szCs w:val="22"/>
                <w:lang w:val="fr-FR" w:eastAsia="en-US"/>
              </w:rPr>
              <w:t>réalisé, étude de démarrage</w:t>
            </w:r>
            <w:r w:rsidRPr="008172EF">
              <w:rPr>
                <w:sz w:val="22"/>
                <w:szCs w:val="22"/>
                <w:lang w:val="fr-FR" w:eastAsia="en-US"/>
              </w:rPr>
              <w:t>)</w:t>
            </w:r>
          </w:p>
          <w:p w14:paraId="45E2EBB6" w14:textId="77777777" w:rsidR="00772BDC" w:rsidRPr="008172EF" w:rsidRDefault="00772BDC" w:rsidP="00BB2BB3">
            <w:pPr>
              <w:jc w:val="both"/>
              <w:rPr>
                <w:sz w:val="22"/>
                <w:szCs w:val="22"/>
                <w:lang w:val="fr-FR" w:eastAsia="en-US"/>
              </w:rPr>
            </w:pPr>
          </w:p>
        </w:tc>
        <w:tc>
          <w:tcPr>
            <w:tcW w:w="1530" w:type="dxa"/>
            <w:shd w:val="clear" w:color="auto" w:fill="EEECE1"/>
          </w:tcPr>
          <w:p w14:paraId="2D7971EC" w14:textId="77777777" w:rsidR="00772BDC" w:rsidRPr="008172EF" w:rsidRDefault="00772BDC" w:rsidP="00BB2BB3">
            <w:pPr>
              <w:rPr>
                <w:sz w:val="22"/>
                <w:szCs w:val="22"/>
                <w:lang w:val="fr-FR"/>
              </w:rPr>
            </w:pPr>
            <w:r w:rsidRPr="008172EF">
              <w:rPr>
                <w:b/>
                <w:sz w:val="22"/>
                <w:szCs w:val="22"/>
                <w:lang w:val="fr-FR" w:eastAsia="en-US"/>
              </w:rPr>
              <w:t>40% apprécient la prestation</w:t>
            </w:r>
          </w:p>
        </w:tc>
        <w:tc>
          <w:tcPr>
            <w:tcW w:w="1620" w:type="dxa"/>
            <w:shd w:val="clear" w:color="auto" w:fill="EEECE1"/>
          </w:tcPr>
          <w:p w14:paraId="2714252E" w14:textId="77777777" w:rsidR="00772BDC" w:rsidRPr="008172EF" w:rsidRDefault="00772BDC" w:rsidP="00BB2BB3">
            <w:pPr>
              <w:spacing w:line="480" w:lineRule="auto"/>
              <w:rPr>
                <w:sz w:val="22"/>
                <w:szCs w:val="22"/>
                <w:vertAlign w:val="subscript"/>
                <w:lang w:val="fr-FR"/>
              </w:rPr>
            </w:pPr>
            <w:r w:rsidRPr="008172EF">
              <w:rPr>
                <w:b/>
                <w:sz w:val="22"/>
                <w:szCs w:val="22"/>
                <w:lang w:val="fr-FR" w:eastAsia="en-US"/>
              </w:rPr>
              <w:t>60% (20%)</w:t>
            </w:r>
          </w:p>
        </w:tc>
        <w:tc>
          <w:tcPr>
            <w:tcW w:w="2070" w:type="dxa"/>
          </w:tcPr>
          <w:p w14:paraId="4AE32343" w14:textId="77777777" w:rsidR="00772BDC" w:rsidRPr="008172EF" w:rsidRDefault="00772BDC" w:rsidP="00BB2BB3">
            <w:pPr>
              <w:rPr>
                <w:sz w:val="22"/>
                <w:szCs w:val="22"/>
                <w:lang w:val="fr-FR"/>
              </w:rPr>
            </w:pPr>
            <w:r w:rsidRPr="008172EF">
              <w:rPr>
                <w:b/>
                <w:sz w:val="22"/>
                <w:szCs w:val="22"/>
                <w:lang w:val="fr-FR" w:eastAsia="en-US"/>
              </w:rPr>
              <w:t>NA</w:t>
            </w:r>
          </w:p>
        </w:tc>
        <w:tc>
          <w:tcPr>
            <w:tcW w:w="2070" w:type="dxa"/>
          </w:tcPr>
          <w:p w14:paraId="06CC9B1C" w14:textId="77777777" w:rsidR="00772BDC" w:rsidRPr="008172EF" w:rsidRDefault="00772BDC" w:rsidP="00BB2BB3">
            <w:pPr>
              <w:rPr>
                <w:sz w:val="22"/>
                <w:szCs w:val="22"/>
                <w:lang w:val="fr-FR"/>
              </w:rPr>
            </w:pPr>
            <w:r w:rsidRPr="008172EF">
              <w:rPr>
                <w:b/>
                <w:sz w:val="22"/>
                <w:szCs w:val="22"/>
                <w:lang w:val="fr-FR" w:eastAsia="en-US"/>
              </w:rPr>
              <w:t>NA</w:t>
            </w:r>
          </w:p>
        </w:tc>
        <w:tc>
          <w:tcPr>
            <w:tcW w:w="4140" w:type="dxa"/>
          </w:tcPr>
          <w:p w14:paraId="72672582" w14:textId="77777777" w:rsidR="00772BDC" w:rsidRPr="00AB3625" w:rsidRDefault="00772BDC" w:rsidP="00BB2BB3">
            <w:pPr>
              <w:rPr>
                <w:bCs/>
                <w:sz w:val="22"/>
                <w:szCs w:val="22"/>
                <w:lang w:val="fr-FR"/>
              </w:rPr>
            </w:pPr>
            <w:r w:rsidRPr="00AB3625">
              <w:rPr>
                <w:bCs/>
                <w:sz w:val="22"/>
                <w:szCs w:val="22"/>
                <w:lang w:val="fr-FR" w:eastAsia="en-US"/>
              </w:rPr>
              <w:t>Attente enquête de perception.</w:t>
            </w:r>
          </w:p>
        </w:tc>
      </w:tr>
      <w:tr w:rsidR="00772BDC" w:rsidRPr="008172EF" w14:paraId="4EFA7CEC" w14:textId="77777777" w:rsidTr="00BB2BB3">
        <w:trPr>
          <w:trHeight w:val="458"/>
        </w:trPr>
        <w:tc>
          <w:tcPr>
            <w:tcW w:w="1530" w:type="dxa"/>
            <w:vMerge/>
          </w:tcPr>
          <w:p w14:paraId="5D05E34B" w14:textId="77777777" w:rsidR="00772BDC" w:rsidRPr="008172EF" w:rsidRDefault="00772BDC" w:rsidP="00BB2BB3">
            <w:pPr>
              <w:rPr>
                <w:b/>
                <w:sz w:val="22"/>
                <w:szCs w:val="22"/>
                <w:lang w:val="fr-FR" w:eastAsia="en-US"/>
              </w:rPr>
            </w:pPr>
          </w:p>
        </w:tc>
        <w:tc>
          <w:tcPr>
            <w:tcW w:w="2070" w:type="dxa"/>
            <w:shd w:val="clear" w:color="auto" w:fill="EEECE1"/>
          </w:tcPr>
          <w:p w14:paraId="45EDA9F5" w14:textId="77777777" w:rsidR="00772BDC" w:rsidRPr="008172EF" w:rsidRDefault="00772BDC" w:rsidP="00BB2BB3">
            <w:pPr>
              <w:rPr>
                <w:sz w:val="22"/>
                <w:szCs w:val="22"/>
                <w:lang w:val="fr-FR" w:eastAsia="en-US"/>
              </w:rPr>
            </w:pPr>
            <w:r w:rsidRPr="008172EF">
              <w:rPr>
                <w:sz w:val="22"/>
                <w:szCs w:val="22"/>
                <w:lang w:val="fr-FR" w:eastAsia="en-US"/>
              </w:rPr>
              <w:t xml:space="preserve">Indicateur 2.2.2 : Nombre d’agent de la police routière formés </w:t>
            </w:r>
          </w:p>
          <w:p w14:paraId="499E038E" w14:textId="77777777" w:rsidR="00772BDC" w:rsidRPr="008172EF" w:rsidRDefault="00772BDC" w:rsidP="00BB2BB3">
            <w:pPr>
              <w:rPr>
                <w:sz w:val="22"/>
                <w:szCs w:val="22"/>
                <w:lang w:val="fr-FR" w:eastAsia="en-US"/>
              </w:rPr>
            </w:pPr>
          </w:p>
          <w:p w14:paraId="4DFB3979" w14:textId="77777777" w:rsidR="00772BDC" w:rsidRPr="008172EF" w:rsidRDefault="00772BDC" w:rsidP="00BB2BB3">
            <w:pPr>
              <w:jc w:val="both"/>
              <w:rPr>
                <w:sz w:val="22"/>
                <w:szCs w:val="22"/>
                <w:lang w:val="fr-FR" w:eastAsia="en-US"/>
              </w:rPr>
            </w:pPr>
          </w:p>
        </w:tc>
        <w:tc>
          <w:tcPr>
            <w:tcW w:w="1530" w:type="dxa"/>
            <w:shd w:val="clear" w:color="auto" w:fill="EEECE1"/>
          </w:tcPr>
          <w:p w14:paraId="39D8BD76" w14:textId="77777777" w:rsidR="00772BDC" w:rsidRPr="008172EF" w:rsidRDefault="00772BDC" w:rsidP="00BB2BB3">
            <w:pPr>
              <w:rPr>
                <w:sz w:val="22"/>
                <w:szCs w:val="22"/>
                <w:lang w:val="fr-FR"/>
              </w:rPr>
            </w:pPr>
            <w:r w:rsidRPr="008172EF">
              <w:rPr>
                <w:b/>
                <w:sz w:val="22"/>
                <w:szCs w:val="22"/>
                <w:lang w:val="fr-FR" w:eastAsia="en-US"/>
              </w:rPr>
              <w:t>25</w:t>
            </w:r>
          </w:p>
        </w:tc>
        <w:tc>
          <w:tcPr>
            <w:tcW w:w="1620" w:type="dxa"/>
            <w:shd w:val="clear" w:color="auto" w:fill="EEECE1"/>
          </w:tcPr>
          <w:p w14:paraId="4AE91DED" w14:textId="77777777" w:rsidR="00772BDC" w:rsidRPr="008172EF" w:rsidRDefault="00772BDC" w:rsidP="00BB2BB3">
            <w:pPr>
              <w:rPr>
                <w:sz w:val="22"/>
                <w:szCs w:val="22"/>
                <w:lang w:val="fr-FR"/>
              </w:rPr>
            </w:pPr>
            <w:r w:rsidRPr="008172EF">
              <w:rPr>
                <w:b/>
                <w:sz w:val="22"/>
                <w:szCs w:val="22"/>
                <w:lang w:val="fr-FR" w:eastAsia="en-US"/>
              </w:rPr>
              <w:t>500 (+475)</w:t>
            </w:r>
          </w:p>
        </w:tc>
        <w:tc>
          <w:tcPr>
            <w:tcW w:w="2070" w:type="dxa"/>
          </w:tcPr>
          <w:p w14:paraId="6C2DE091" w14:textId="77777777" w:rsidR="00772BDC" w:rsidRPr="008172EF" w:rsidRDefault="00772BDC" w:rsidP="00BB2BB3">
            <w:pPr>
              <w:rPr>
                <w:sz w:val="22"/>
                <w:szCs w:val="22"/>
                <w:lang w:val="fr-FR"/>
              </w:rPr>
            </w:pPr>
            <w:r w:rsidRPr="008172EF">
              <w:rPr>
                <w:b/>
                <w:sz w:val="22"/>
                <w:szCs w:val="22"/>
                <w:lang w:val="fr-FR" w:eastAsia="en-US"/>
              </w:rPr>
              <w:t>400</w:t>
            </w:r>
          </w:p>
        </w:tc>
        <w:tc>
          <w:tcPr>
            <w:tcW w:w="2070" w:type="dxa"/>
          </w:tcPr>
          <w:p w14:paraId="370D01DA" w14:textId="77777777" w:rsidR="00772BDC" w:rsidRPr="008172EF" w:rsidRDefault="00772BDC" w:rsidP="00BB2BB3">
            <w:pPr>
              <w:rPr>
                <w:sz w:val="22"/>
                <w:szCs w:val="22"/>
                <w:lang w:val="fr-FR"/>
              </w:rPr>
            </w:pPr>
            <w:r w:rsidRPr="008172EF">
              <w:rPr>
                <w:b/>
                <w:sz w:val="22"/>
                <w:szCs w:val="22"/>
                <w:lang w:val="fr-FR" w:eastAsia="en-US"/>
              </w:rPr>
              <w:t>80%</w:t>
            </w:r>
          </w:p>
        </w:tc>
        <w:tc>
          <w:tcPr>
            <w:tcW w:w="4140" w:type="dxa"/>
          </w:tcPr>
          <w:p w14:paraId="090CE6AF" w14:textId="77777777" w:rsidR="00772BDC" w:rsidRPr="008172EF" w:rsidRDefault="00772BDC" w:rsidP="00BB2BB3">
            <w:pPr>
              <w:rPr>
                <w:sz w:val="22"/>
                <w:szCs w:val="22"/>
                <w:lang w:val="fr-FR"/>
              </w:rPr>
            </w:pPr>
          </w:p>
        </w:tc>
      </w:tr>
      <w:tr w:rsidR="00772BDC" w:rsidRPr="008172EF" w14:paraId="3C2C7617" w14:textId="77777777" w:rsidTr="00BB2BB3">
        <w:trPr>
          <w:trHeight w:val="458"/>
        </w:trPr>
        <w:tc>
          <w:tcPr>
            <w:tcW w:w="1530" w:type="dxa"/>
            <w:vMerge w:val="restart"/>
          </w:tcPr>
          <w:p w14:paraId="7A975028" w14:textId="77777777" w:rsidR="00772BDC" w:rsidRPr="008172EF" w:rsidRDefault="00772BDC" w:rsidP="00BB2BB3">
            <w:pPr>
              <w:rPr>
                <w:b/>
                <w:sz w:val="22"/>
                <w:szCs w:val="22"/>
                <w:lang w:val="fr-FR" w:eastAsia="en-US"/>
              </w:rPr>
            </w:pPr>
          </w:p>
          <w:p w14:paraId="19EB1A5A" w14:textId="77777777" w:rsidR="00772BDC" w:rsidRPr="008172EF" w:rsidRDefault="00772BDC" w:rsidP="00BB2BB3">
            <w:pPr>
              <w:rPr>
                <w:b/>
                <w:bCs/>
                <w:sz w:val="22"/>
                <w:szCs w:val="22"/>
                <w:lang w:val="fr-FR" w:eastAsia="en-US"/>
              </w:rPr>
            </w:pPr>
            <w:r w:rsidRPr="008172EF">
              <w:rPr>
                <w:b/>
                <w:bCs/>
                <w:sz w:val="22"/>
                <w:szCs w:val="22"/>
                <w:lang w:val="fr-FR" w:eastAsia="en-US"/>
              </w:rPr>
              <w:lastRenderedPageBreak/>
              <w:t>Produit 2.3</w:t>
            </w:r>
          </w:p>
          <w:p w14:paraId="6B5EA012" w14:textId="77777777" w:rsidR="00772BDC" w:rsidRPr="008172EF" w:rsidRDefault="00772BDC" w:rsidP="00BB2BB3">
            <w:pPr>
              <w:rPr>
                <w:b/>
                <w:sz w:val="22"/>
                <w:szCs w:val="22"/>
                <w:lang w:val="fr-FR" w:eastAsia="en-US"/>
              </w:rPr>
            </w:pPr>
            <w:r w:rsidRPr="008172EF">
              <w:rPr>
                <w:b/>
                <w:sz w:val="22"/>
                <w:szCs w:val="22"/>
                <w:lang w:val="fr-FR" w:eastAsia="en-US"/>
              </w:rPr>
              <w:t xml:space="preserve">Les capacités des Cellules Genre dans les zones minières et en Moyenne guinée sont renforcées pour lutter contre les </w:t>
            </w:r>
            <w:proofErr w:type="gramStart"/>
            <w:r w:rsidRPr="008172EF">
              <w:rPr>
                <w:b/>
                <w:sz w:val="22"/>
                <w:szCs w:val="22"/>
                <w:lang w:val="fr-FR" w:eastAsia="en-US"/>
              </w:rPr>
              <w:t>VBG  (</w:t>
            </w:r>
            <w:proofErr w:type="gramEnd"/>
            <w:r w:rsidRPr="008172EF">
              <w:rPr>
                <w:b/>
                <w:sz w:val="22"/>
                <w:szCs w:val="22"/>
                <w:lang w:val="fr-FR" w:eastAsia="en-US"/>
              </w:rPr>
              <w:t>réalisé)</w:t>
            </w:r>
          </w:p>
          <w:p w14:paraId="282FC747" w14:textId="77777777" w:rsidR="00772BDC" w:rsidRPr="008172EF" w:rsidRDefault="00772BDC" w:rsidP="00BB2BB3">
            <w:pPr>
              <w:rPr>
                <w:sz w:val="22"/>
                <w:szCs w:val="22"/>
                <w:lang w:val="fr-FR" w:eastAsia="en-US"/>
              </w:rPr>
            </w:pPr>
          </w:p>
        </w:tc>
        <w:tc>
          <w:tcPr>
            <w:tcW w:w="2070" w:type="dxa"/>
            <w:shd w:val="clear" w:color="auto" w:fill="EEECE1"/>
          </w:tcPr>
          <w:p w14:paraId="4BFCC8A2" w14:textId="77777777" w:rsidR="00772BDC" w:rsidRPr="008172EF" w:rsidRDefault="00772BDC" w:rsidP="00BB2BB3">
            <w:pPr>
              <w:jc w:val="both"/>
              <w:rPr>
                <w:sz w:val="22"/>
                <w:szCs w:val="22"/>
                <w:lang w:val="fr-FR" w:eastAsia="en-US"/>
              </w:rPr>
            </w:pPr>
            <w:proofErr w:type="gramStart"/>
            <w:r w:rsidRPr="008172EF">
              <w:rPr>
                <w:sz w:val="22"/>
                <w:szCs w:val="22"/>
                <w:lang w:val="fr-FR" w:eastAsia="en-US"/>
              </w:rPr>
              <w:lastRenderedPageBreak/>
              <w:t>Indicateur  2.3.1</w:t>
            </w:r>
            <w:proofErr w:type="gramEnd"/>
          </w:p>
          <w:p w14:paraId="3BA9C086" w14:textId="77777777" w:rsidR="00772BDC" w:rsidRPr="008172EF" w:rsidRDefault="00772BDC" w:rsidP="00BB2BB3">
            <w:pPr>
              <w:rPr>
                <w:sz w:val="22"/>
                <w:szCs w:val="22"/>
                <w:lang w:val="fr-FR" w:eastAsia="en-US"/>
              </w:rPr>
            </w:pPr>
            <w:r w:rsidRPr="008172EF">
              <w:rPr>
                <w:sz w:val="22"/>
                <w:szCs w:val="22"/>
                <w:lang w:val="fr-FR" w:eastAsia="en-US"/>
              </w:rPr>
              <w:lastRenderedPageBreak/>
              <w:t>Nombre de plaintes faisant l’objet d’un suivi et d’un rapport</w:t>
            </w:r>
          </w:p>
          <w:p w14:paraId="7A4BAE11" w14:textId="77777777" w:rsidR="00772BDC" w:rsidRPr="008172EF" w:rsidRDefault="00772BDC" w:rsidP="00BB2BB3">
            <w:pPr>
              <w:jc w:val="both"/>
              <w:rPr>
                <w:sz w:val="22"/>
                <w:szCs w:val="22"/>
                <w:lang w:val="fr-FR" w:eastAsia="en-US"/>
              </w:rPr>
            </w:pPr>
          </w:p>
        </w:tc>
        <w:tc>
          <w:tcPr>
            <w:tcW w:w="1530" w:type="dxa"/>
            <w:shd w:val="clear" w:color="auto" w:fill="EEECE1"/>
          </w:tcPr>
          <w:p w14:paraId="4461B6C4" w14:textId="77777777" w:rsidR="00772BDC" w:rsidRPr="008172EF" w:rsidRDefault="00772BDC" w:rsidP="00BB2BB3">
            <w:pPr>
              <w:rPr>
                <w:sz w:val="22"/>
                <w:szCs w:val="22"/>
                <w:lang w:val="fr-FR"/>
              </w:rPr>
            </w:pPr>
            <w:r w:rsidRPr="008172EF">
              <w:rPr>
                <w:b/>
                <w:sz w:val="22"/>
                <w:szCs w:val="22"/>
                <w:lang w:val="fr-FR" w:eastAsia="en-US"/>
              </w:rPr>
              <w:lastRenderedPageBreak/>
              <w:t>10</w:t>
            </w:r>
          </w:p>
        </w:tc>
        <w:tc>
          <w:tcPr>
            <w:tcW w:w="1620" w:type="dxa"/>
            <w:shd w:val="clear" w:color="auto" w:fill="EEECE1"/>
          </w:tcPr>
          <w:p w14:paraId="73AD48F4" w14:textId="77777777" w:rsidR="00772BDC" w:rsidRPr="008172EF" w:rsidRDefault="00772BDC" w:rsidP="00BB2BB3">
            <w:pPr>
              <w:rPr>
                <w:sz w:val="22"/>
                <w:szCs w:val="22"/>
                <w:lang w:val="fr-FR"/>
              </w:rPr>
            </w:pPr>
            <w:r w:rsidRPr="008172EF">
              <w:rPr>
                <w:b/>
                <w:sz w:val="22"/>
                <w:szCs w:val="22"/>
                <w:lang w:val="fr-FR" w:eastAsia="en-US"/>
              </w:rPr>
              <w:t>100</w:t>
            </w:r>
          </w:p>
        </w:tc>
        <w:tc>
          <w:tcPr>
            <w:tcW w:w="2070" w:type="dxa"/>
          </w:tcPr>
          <w:p w14:paraId="59D4AAFB" w14:textId="6C0706BB" w:rsidR="00772BDC" w:rsidRPr="008172EF" w:rsidRDefault="00262382" w:rsidP="00BB2BB3">
            <w:pPr>
              <w:rPr>
                <w:sz w:val="22"/>
                <w:szCs w:val="22"/>
                <w:lang w:val="fr-FR"/>
              </w:rPr>
            </w:pPr>
            <w:r>
              <w:rPr>
                <w:sz w:val="22"/>
                <w:szCs w:val="22"/>
                <w:lang w:val="fr-FR"/>
              </w:rPr>
              <w:t>NA</w:t>
            </w:r>
          </w:p>
        </w:tc>
        <w:tc>
          <w:tcPr>
            <w:tcW w:w="2070" w:type="dxa"/>
          </w:tcPr>
          <w:p w14:paraId="4EB04037" w14:textId="77777777" w:rsidR="00772BDC" w:rsidRPr="008172EF" w:rsidRDefault="00772BDC" w:rsidP="00BB2BB3">
            <w:pPr>
              <w:rPr>
                <w:sz w:val="22"/>
                <w:szCs w:val="22"/>
                <w:lang w:val="fr-FR"/>
              </w:rPr>
            </w:pPr>
            <w:r w:rsidRPr="008172EF">
              <w:rPr>
                <w:b/>
                <w:sz w:val="22"/>
                <w:szCs w:val="22"/>
                <w:lang w:val="fr-FR" w:eastAsia="en-US"/>
              </w:rPr>
              <w:t>%</w:t>
            </w:r>
          </w:p>
        </w:tc>
        <w:tc>
          <w:tcPr>
            <w:tcW w:w="4140" w:type="dxa"/>
          </w:tcPr>
          <w:p w14:paraId="5A9C606F" w14:textId="77777777" w:rsidR="00772BDC" w:rsidRPr="008172EF" w:rsidRDefault="00772BDC" w:rsidP="00BB2BB3">
            <w:pPr>
              <w:rPr>
                <w:sz w:val="22"/>
                <w:szCs w:val="22"/>
                <w:lang w:val="fr-FR"/>
              </w:rPr>
            </w:pPr>
            <w:r w:rsidRPr="008172EF">
              <w:rPr>
                <w:b/>
                <w:sz w:val="22"/>
                <w:szCs w:val="22"/>
                <w:lang w:val="fr-FR" w:eastAsia="en-US"/>
              </w:rPr>
              <w:fldChar w:fldCharType="begin">
                <w:ffData>
                  <w:name w:val=""/>
                  <w:enabled/>
                  <w:calcOnExit w:val="0"/>
                  <w:textInput>
                    <w:maxLength w:val="300"/>
                  </w:textInput>
                </w:ffData>
              </w:fldChar>
            </w:r>
            <w:r w:rsidRPr="008172EF">
              <w:rPr>
                <w:b/>
                <w:sz w:val="22"/>
                <w:szCs w:val="22"/>
                <w:lang w:val="fr-FR" w:eastAsia="en-US"/>
              </w:rPr>
              <w:instrText xml:space="preserve"> FORMTEXT </w:instrText>
            </w:r>
            <w:r w:rsidRPr="008172EF">
              <w:rPr>
                <w:b/>
                <w:sz w:val="22"/>
                <w:szCs w:val="22"/>
                <w:lang w:val="fr-FR" w:eastAsia="en-US"/>
              </w:rPr>
            </w:r>
            <w:r w:rsidRPr="008172EF">
              <w:rPr>
                <w:b/>
                <w:sz w:val="22"/>
                <w:szCs w:val="22"/>
                <w:lang w:val="fr-FR" w:eastAsia="en-US"/>
              </w:rPr>
              <w:fldChar w:fldCharType="separate"/>
            </w:r>
            <w:r w:rsidRPr="008172EF">
              <w:rPr>
                <w:b/>
                <w:noProof/>
                <w:sz w:val="22"/>
                <w:szCs w:val="22"/>
                <w:lang w:val="fr-FR" w:eastAsia="en-US"/>
              </w:rPr>
              <w:t> </w:t>
            </w:r>
            <w:r w:rsidRPr="008172EF">
              <w:rPr>
                <w:b/>
                <w:noProof/>
                <w:sz w:val="22"/>
                <w:szCs w:val="22"/>
                <w:lang w:val="fr-FR" w:eastAsia="en-US"/>
              </w:rPr>
              <w:t> </w:t>
            </w:r>
            <w:r w:rsidRPr="008172EF">
              <w:rPr>
                <w:b/>
                <w:noProof/>
                <w:sz w:val="22"/>
                <w:szCs w:val="22"/>
                <w:lang w:val="fr-FR" w:eastAsia="en-US"/>
              </w:rPr>
              <w:t> </w:t>
            </w:r>
            <w:r w:rsidRPr="008172EF">
              <w:rPr>
                <w:b/>
                <w:noProof/>
                <w:sz w:val="22"/>
                <w:szCs w:val="22"/>
                <w:lang w:val="fr-FR" w:eastAsia="en-US"/>
              </w:rPr>
              <w:t> </w:t>
            </w:r>
            <w:r w:rsidRPr="008172EF">
              <w:rPr>
                <w:b/>
                <w:noProof/>
                <w:sz w:val="22"/>
                <w:szCs w:val="22"/>
                <w:lang w:val="fr-FR" w:eastAsia="en-US"/>
              </w:rPr>
              <w:t> </w:t>
            </w:r>
            <w:r w:rsidRPr="008172EF">
              <w:rPr>
                <w:b/>
                <w:sz w:val="22"/>
                <w:szCs w:val="22"/>
                <w:lang w:val="fr-FR" w:eastAsia="en-US"/>
              </w:rPr>
              <w:fldChar w:fldCharType="end"/>
            </w:r>
          </w:p>
        </w:tc>
      </w:tr>
      <w:tr w:rsidR="00772BDC" w:rsidRPr="008172EF" w14:paraId="56D0C27F" w14:textId="77777777" w:rsidTr="00BB2BB3">
        <w:trPr>
          <w:trHeight w:val="458"/>
        </w:trPr>
        <w:tc>
          <w:tcPr>
            <w:tcW w:w="1530" w:type="dxa"/>
            <w:vMerge/>
          </w:tcPr>
          <w:p w14:paraId="10BB1C30" w14:textId="77777777" w:rsidR="00772BDC" w:rsidRPr="008172EF" w:rsidRDefault="00772BDC" w:rsidP="00BB2BB3">
            <w:pPr>
              <w:rPr>
                <w:b/>
                <w:sz w:val="22"/>
                <w:szCs w:val="22"/>
                <w:lang w:val="fr-FR" w:eastAsia="en-US"/>
              </w:rPr>
            </w:pPr>
          </w:p>
        </w:tc>
        <w:tc>
          <w:tcPr>
            <w:tcW w:w="2070" w:type="dxa"/>
            <w:shd w:val="clear" w:color="auto" w:fill="EEECE1"/>
          </w:tcPr>
          <w:p w14:paraId="75350A04" w14:textId="0C423494" w:rsidR="00772BDC" w:rsidRPr="008172EF" w:rsidRDefault="00772BDC" w:rsidP="00BB2BB3">
            <w:pPr>
              <w:jc w:val="both"/>
              <w:rPr>
                <w:sz w:val="22"/>
                <w:szCs w:val="22"/>
                <w:lang w:val="fr-FR" w:eastAsia="en-US"/>
              </w:rPr>
            </w:pPr>
            <w:r w:rsidRPr="008172EF">
              <w:rPr>
                <w:sz w:val="22"/>
                <w:szCs w:val="22"/>
                <w:lang w:val="fr-FR" w:eastAsia="en-US"/>
              </w:rPr>
              <w:t>Indicateur 2.3.2</w:t>
            </w:r>
          </w:p>
          <w:p w14:paraId="0ECE3E95" w14:textId="77777777" w:rsidR="00772BDC" w:rsidRPr="008172EF" w:rsidRDefault="00772BDC" w:rsidP="00BB2BB3">
            <w:pPr>
              <w:rPr>
                <w:sz w:val="22"/>
                <w:szCs w:val="22"/>
                <w:lang w:val="fr-FR" w:eastAsia="en-US"/>
              </w:rPr>
            </w:pPr>
            <w:r w:rsidRPr="008172EF">
              <w:rPr>
                <w:sz w:val="22"/>
                <w:szCs w:val="22"/>
                <w:lang w:val="fr-FR" w:eastAsia="en-US"/>
              </w:rPr>
              <w:t>: diminution du nombre de cas de retrait de plaintes en VBG</w:t>
            </w:r>
          </w:p>
          <w:p w14:paraId="194388D0" w14:textId="77777777" w:rsidR="00772BDC" w:rsidRPr="008172EF" w:rsidRDefault="00772BDC" w:rsidP="00BB2BB3">
            <w:pPr>
              <w:jc w:val="both"/>
              <w:rPr>
                <w:sz w:val="22"/>
                <w:szCs w:val="22"/>
                <w:lang w:val="fr-FR" w:eastAsia="en-US"/>
              </w:rPr>
            </w:pPr>
          </w:p>
        </w:tc>
        <w:tc>
          <w:tcPr>
            <w:tcW w:w="1530" w:type="dxa"/>
            <w:shd w:val="clear" w:color="auto" w:fill="EEECE1"/>
          </w:tcPr>
          <w:p w14:paraId="4EE44D42" w14:textId="77777777" w:rsidR="00772BDC" w:rsidRPr="008172EF" w:rsidRDefault="00772BDC" w:rsidP="00BB2BB3">
            <w:pPr>
              <w:rPr>
                <w:sz w:val="22"/>
                <w:szCs w:val="22"/>
                <w:lang w:val="fr-FR"/>
              </w:rPr>
            </w:pPr>
            <w:r w:rsidRPr="008172EF">
              <w:rPr>
                <w:b/>
                <w:sz w:val="22"/>
                <w:szCs w:val="22"/>
                <w:lang w:val="fr-FR" w:eastAsia="en-US"/>
              </w:rPr>
              <w:t>NA</w:t>
            </w:r>
          </w:p>
        </w:tc>
        <w:tc>
          <w:tcPr>
            <w:tcW w:w="1620" w:type="dxa"/>
            <w:shd w:val="clear" w:color="auto" w:fill="EEECE1"/>
          </w:tcPr>
          <w:p w14:paraId="2774B193" w14:textId="77777777" w:rsidR="00772BDC" w:rsidRPr="008172EF" w:rsidRDefault="00772BDC" w:rsidP="00BB2BB3">
            <w:pPr>
              <w:rPr>
                <w:sz w:val="22"/>
                <w:szCs w:val="22"/>
                <w:lang w:val="fr-FR"/>
              </w:rPr>
            </w:pPr>
            <w:r w:rsidRPr="008172EF">
              <w:rPr>
                <w:b/>
                <w:sz w:val="22"/>
                <w:szCs w:val="22"/>
                <w:lang w:val="fr-FR" w:eastAsia="en-US"/>
              </w:rPr>
              <w:t>-30%</w:t>
            </w:r>
          </w:p>
        </w:tc>
        <w:tc>
          <w:tcPr>
            <w:tcW w:w="2070" w:type="dxa"/>
          </w:tcPr>
          <w:p w14:paraId="42CD0AA7" w14:textId="77777777" w:rsidR="00772BDC" w:rsidRPr="008172EF" w:rsidRDefault="00772BDC" w:rsidP="00BB2BB3">
            <w:pPr>
              <w:rPr>
                <w:sz w:val="22"/>
                <w:szCs w:val="22"/>
                <w:lang w:val="fr-FR"/>
              </w:rPr>
            </w:pPr>
            <w:r w:rsidRPr="008172EF">
              <w:rPr>
                <w:b/>
                <w:sz w:val="22"/>
                <w:szCs w:val="22"/>
                <w:lang w:val="fr-FR" w:eastAsia="en-US"/>
              </w:rPr>
              <w:t>NA</w:t>
            </w:r>
          </w:p>
        </w:tc>
        <w:tc>
          <w:tcPr>
            <w:tcW w:w="2070" w:type="dxa"/>
          </w:tcPr>
          <w:p w14:paraId="4F1E6FA0" w14:textId="77777777" w:rsidR="00772BDC" w:rsidRPr="008172EF" w:rsidRDefault="00772BDC" w:rsidP="00BB2BB3">
            <w:pPr>
              <w:rPr>
                <w:sz w:val="22"/>
                <w:szCs w:val="22"/>
                <w:lang w:val="fr-FR"/>
              </w:rPr>
            </w:pPr>
            <w:r w:rsidRPr="008172EF">
              <w:rPr>
                <w:b/>
                <w:sz w:val="22"/>
                <w:szCs w:val="22"/>
                <w:lang w:val="fr-FR" w:eastAsia="en-US"/>
              </w:rPr>
              <w:t>NA</w:t>
            </w:r>
          </w:p>
        </w:tc>
        <w:tc>
          <w:tcPr>
            <w:tcW w:w="4140" w:type="dxa"/>
          </w:tcPr>
          <w:p w14:paraId="5DAD277D" w14:textId="77777777" w:rsidR="00772BDC" w:rsidRPr="008172EF" w:rsidRDefault="00772BDC" w:rsidP="00BB2BB3">
            <w:pPr>
              <w:rPr>
                <w:sz w:val="22"/>
                <w:szCs w:val="22"/>
                <w:lang w:val="fr-FR"/>
              </w:rPr>
            </w:pPr>
            <w:r w:rsidRPr="008172EF">
              <w:rPr>
                <w:b/>
                <w:sz w:val="22"/>
                <w:szCs w:val="22"/>
                <w:lang w:val="fr-FR" w:eastAsia="en-US"/>
              </w:rPr>
              <w:fldChar w:fldCharType="begin">
                <w:ffData>
                  <w:name w:val=""/>
                  <w:enabled/>
                  <w:calcOnExit w:val="0"/>
                  <w:textInput>
                    <w:maxLength w:val="300"/>
                  </w:textInput>
                </w:ffData>
              </w:fldChar>
            </w:r>
            <w:r w:rsidRPr="008172EF">
              <w:rPr>
                <w:b/>
                <w:sz w:val="22"/>
                <w:szCs w:val="22"/>
                <w:lang w:val="fr-FR" w:eastAsia="en-US"/>
              </w:rPr>
              <w:instrText xml:space="preserve"> FORMTEXT </w:instrText>
            </w:r>
            <w:r w:rsidRPr="008172EF">
              <w:rPr>
                <w:b/>
                <w:sz w:val="22"/>
                <w:szCs w:val="22"/>
                <w:lang w:val="fr-FR" w:eastAsia="en-US"/>
              </w:rPr>
            </w:r>
            <w:r w:rsidRPr="008172EF">
              <w:rPr>
                <w:b/>
                <w:sz w:val="22"/>
                <w:szCs w:val="22"/>
                <w:lang w:val="fr-FR" w:eastAsia="en-US"/>
              </w:rPr>
              <w:fldChar w:fldCharType="separate"/>
            </w:r>
            <w:r w:rsidRPr="008172EF">
              <w:rPr>
                <w:b/>
                <w:noProof/>
                <w:sz w:val="22"/>
                <w:szCs w:val="22"/>
                <w:lang w:val="fr-FR" w:eastAsia="en-US"/>
              </w:rPr>
              <w:t> </w:t>
            </w:r>
            <w:r w:rsidRPr="008172EF">
              <w:rPr>
                <w:b/>
                <w:noProof/>
                <w:sz w:val="22"/>
                <w:szCs w:val="22"/>
                <w:lang w:val="fr-FR" w:eastAsia="en-US"/>
              </w:rPr>
              <w:t> </w:t>
            </w:r>
            <w:r w:rsidRPr="008172EF">
              <w:rPr>
                <w:b/>
                <w:noProof/>
                <w:sz w:val="22"/>
                <w:szCs w:val="22"/>
                <w:lang w:val="fr-FR" w:eastAsia="en-US"/>
              </w:rPr>
              <w:t> </w:t>
            </w:r>
            <w:r w:rsidRPr="008172EF">
              <w:rPr>
                <w:b/>
                <w:noProof/>
                <w:sz w:val="22"/>
                <w:szCs w:val="22"/>
                <w:lang w:val="fr-FR" w:eastAsia="en-US"/>
              </w:rPr>
              <w:t> </w:t>
            </w:r>
            <w:r w:rsidRPr="008172EF">
              <w:rPr>
                <w:b/>
                <w:noProof/>
                <w:sz w:val="22"/>
                <w:szCs w:val="22"/>
                <w:lang w:val="fr-FR" w:eastAsia="en-US"/>
              </w:rPr>
              <w:t> </w:t>
            </w:r>
            <w:r w:rsidRPr="008172EF">
              <w:rPr>
                <w:b/>
                <w:sz w:val="22"/>
                <w:szCs w:val="22"/>
                <w:lang w:val="fr-FR" w:eastAsia="en-US"/>
              </w:rPr>
              <w:fldChar w:fldCharType="end"/>
            </w:r>
          </w:p>
        </w:tc>
      </w:tr>
    </w:tbl>
    <w:p w14:paraId="21C2650B" w14:textId="77777777" w:rsidR="00772BDC" w:rsidRDefault="00772BDC" w:rsidP="00772BDC">
      <w:pPr>
        <w:jc w:val="both"/>
        <w:rPr>
          <w:b/>
          <w:lang w:val="en-US" w:eastAsia="en-US"/>
        </w:rPr>
      </w:pPr>
    </w:p>
    <w:p w14:paraId="60EFC232" w14:textId="68F9D73F" w:rsidR="00772BDC" w:rsidRDefault="00772BDC" w:rsidP="00675507">
      <w:pPr>
        <w:pStyle w:val="PrformatHTML"/>
        <w:shd w:val="clear" w:color="auto" w:fill="FFFFFF"/>
        <w:rPr>
          <w:rFonts w:ascii="inherit" w:hAnsi="inherit"/>
          <w:color w:val="212121"/>
          <w:sz w:val="22"/>
          <w:szCs w:val="22"/>
          <w:lang w:val="fr-FR"/>
        </w:rPr>
      </w:pPr>
    </w:p>
    <w:p w14:paraId="53C378FB" w14:textId="0D052102" w:rsidR="00772BDC" w:rsidRDefault="00772BDC" w:rsidP="00675507">
      <w:pPr>
        <w:pStyle w:val="PrformatHTML"/>
        <w:shd w:val="clear" w:color="auto" w:fill="FFFFFF"/>
        <w:rPr>
          <w:rFonts w:ascii="inherit" w:hAnsi="inherit"/>
          <w:color w:val="212121"/>
          <w:sz w:val="22"/>
          <w:szCs w:val="22"/>
          <w:lang w:val="fr-FR"/>
        </w:rPr>
      </w:pPr>
    </w:p>
    <w:p w14:paraId="18D00BD1" w14:textId="00620C59" w:rsidR="00772BDC" w:rsidRDefault="00772BDC" w:rsidP="00675507">
      <w:pPr>
        <w:pStyle w:val="PrformatHTML"/>
        <w:shd w:val="clear" w:color="auto" w:fill="FFFFFF"/>
        <w:rPr>
          <w:rFonts w:ascii="inherit" w:hAnsi="inherit"/>
          <w:color w:val="212121"/>
          <w:sz w:val="22"/>
          <w:szCs w:val="22"/>
          <w:lang w:val="fr-FR"/>
        </w:rPr>
      </w:pPr>
    </w:p>
    <w:p w14:paraId="4C806761" w14:textId="750AE527" w:rsidR="00772BDC" w:rsidRDefault="00772BDC" w:rsidP="00675507">
      <w:pPr>
        <w:pStyle w:val="PrformatHTML"/>
        <w:shd w:val="clear" w:color="auto" w:fill="FFFFFF"/>
        <w:rPr>
          <w:rFonts w:ascii="inherit" w:hAnsi="inherit"/>
          <w:color w:val="212121"/>
          <w:sz w:val="22"/>
          <w:szCs w:val="22"/>
          <w:lang w:val="fr-FR"/>
        </w:rPr>
      </w:pPr>
    </w:p>
    <w:p w14:paraId="3E060D7E" w14:textId="09406C39" w:rsidR="00772BDC" w:rsidRDefault="00772BDC" w:rsidP="00675507">
      <w:pPr>
        <w:pStyle w:val="PrformatHTML"/>
        <w:shd w:val="clear" w:color="auto" w:fill="FFFFFF"/>
        <w:rPr>
          <w:rFonts w:ascii="inherit" w:hAnsi="inherit"/>
          <w:color w:val="212121"/>
          <w:sz w:val="22"/>
          <w:szCs w:val="22"/>
          <w:lang w:val="fr-FR"/>
        </w:rPr>
      </w:pPr>
    </w:p>
    <w:p w14:paraId="07848B32" w14:textId="02DCB165" w:rsidR="00772BDC" w:rsidRDefault="00772BDC" w:rsidP="00675507">
      <w:pPr>
        <w:pStyle w:val="PrformatHTML"/>
        <w:shd w:val="clear" w:color="auto" w:fill="FFFFFF"/>
        <w:rPr>
          <w:rFonts w:ascii="inherit" w:hAnsi="inherit"/>
          <w:color w:val="212121"/>
          <w:sz w:val="22"/>
          <w:szCs w:val="22"/>
          <w:lang w:val="fr-FR"/>
        </w:rPr>
      </w:pPr>
    </w:p>
    <w:p w14:paraId="678E13F4" w14:textId="50A0748C" w:rsidR="00772BDC" w:rsidRDefault="00772BDC" w:rsidP="00675507">
      <w:pPr>
        <w:pStyle w:val="PrformatHTML"/>
        <w:shd w:val="clear" w:color="auto" w:fill="FFFFFF"/>
        <w:rPr>
          <w:rFonts w:ascii="inherit" w:hAnsi="inherit"/>
          <w:color w:val="212121"/>
          <w:sz w:val="22"/>
          <w:szCs w:val="22"/>
          <w:lang w:val="fr-FR"/>
        </w:rPr>
      </w:pPr>
    </w:p>
    <w:p w14:paraId="36A407D6" w14:textId="4DCD6293" w:rsidR="00772BDC" w:rsidRDefault="00772BDC" w:rsidP="00675507">
      <w:pPr>
        <w:pStyle w:val="PrformatHTML"/>
        <w:shd w:val="clear" w:color="auto" w:fill="FFFFFF"/>
        <w:rPr>
          <w:rFonts w:ascii="inherit" w:hAnsi="inherit"/>
          <w:color w:val="212121"/>
          <w:sz w:val="22"/>
          <w:szCs w:val="22"/>
          <w:lang w:val="fr-FR"/>
        </w:rPr>
      </w:pPr>
    </w:p>
    <w:p w14:paraId="5B4B8654" w14:textId="7B6D380D" w:rsidR="00772BDC" w:rsidRDefault="00772BDC" w:rsidP="00675507">
      <w:pPr>
        <w:pStyle w:val="PrformatHTML"/>
        <w:shd w:val="clear" w:color="auto" w:fill="FFFFFF"/>
        <w:rPr>
          <w:rFonts w:ascii="inherit" w:hAnsi="inherit"/>
          <w:color w:val="212121"/>
          <w:sz w:val="22"/>
          <w:szCs w:val="22"/>
          <w:lang w:val="fr-FR"/>
        </w:rPr>
      </w:pPr>
    </w:p>
    <w:p w14:paraId="280C4E60" w14:textId="7B2771E4" w:rsidR="00772BDC" w:rsidRDefault="00772BDC" w:rsidP="00675507">
      <w:pPr>
        <w:pStyle w:val="PrformatHTML"/>
        <w:shd w:val="clear" w:color="auto" w:fill="FFFFFF"/>
        <w:rPr>
          <w:rFonts w:ascii="inherit" w:hAnsi="inherit"/>
          <w:color w:val="212121"/>
          <w:sz w:val="22"/>
          <w:szCs w:val="22"/>
          <w:lang w:val="fr-FR"/>
        </w:rPr>
      </w:pPr>
    </w:p>
    <w:p w14:paraId="334940CC" w14:textId="1C47AD73" w:rsidR="00772BDC" w:rsidRDefault="00772BDC" w:rsidP="00675507">
      <w:pPr>
        <w:pStyle w:val="PrformatHTML"/>
        <w:shd w:val="clear" w:color="auto" w:fill="FFFFFF"/>
        <w:rPr>
          <w:rFonts w:ascii="inherit" w:hAnsi="inherit"/>
          <w:color w:val="212121"/>
          <w:sz w:val="22"/>
          <w:szCs w:val="22"/>
          <w:lang w:val="fr-FR"/>
        </w:rPr>
      </w:pPr>
    </w:p>
    <w:p w14:paraId="04D5D85E" w14:textId="1ADA3B7C" w:rsidR="00772BDC" w:rsidRDefault="00772BDC" w:rsidP="00675507">
      <w:pPr>
        <w:pStyle w:val="PrformatHTML"/>
        <w:shd w:val="clear" w:color="auto" w:fill="FFFFFF"/>
        <w:rPr>
          <w:rFonts w:ascii="inherit" w:hAnsi="inherit"/>
          <w:color w:val="212121"/>
          <w:sz w:val="22"/>
          <w:szCs w:val="22"/>
          <w:lang w:val="fr-FR"/>
        </w:rPr>
      </w:pPr>
    </w:p>
    <w:sectPr w:rsidR="00772BD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B8FF9" w14:textId="77777777" w:rsidR="00940ACD" w:rsidRDefault="00940ACD" w:rsidP="00E76CA1">
      <w:r>
        <w:separator/>
      </w:r>
    </w:p>
  </w:endnote>
  <w:endnote w:type="continuationSeparator" w:id="0">
    <w:p w14:paraId="34E4D826" w14:textId="77777777" w:rsidR="00940ACD" w:rsidRDefault="00940ACD"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241946" w:rsidRDefault="00241946">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241946" w:rsidRDefault="002419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824BF" w14:textId="77777777" w:rsidR="00940ACD" w:rsidRDefault="00940ACD" w:rsidP="00E76CA1">
      <w:r>
        <w:separator/>
      </w:r>
    </w:p>
  </w:footnote>
  <w:footnote w:type="continuationSeparator" w:id="0">
    <w:p w14:paraId="61055F61" w14:textId="77777777" w:rsidR="00940ACD" w:rsidRDefault="00940ACD"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241946" w:rsidRDefault="00241946">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7"/>
  </w:num>
  <w:num w:numId="9">
    <w:abstractNumId w:val="18"/>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63D78"/>
    <w:rsid w:val="00066FFE"/>
    <w:rsid w:val="000731D0"/>
    <w:rsid w:val="00075D98"/>
    <w:rsid w:val="0008134A"/>
    <w:rsid w:val="0008233D"/>
    <w:rsid w:val="00082738"/>
    <w:rsid w:val="00084F64"/>
    <w:rsid w:val="00091CFD"/>
    <w:rsid w:val="00092442"/>
    <w:rsid w:val="000A45F4"/>
    <w:rsid w:val="000A4660"/>
    <w:rsid w:val="000A51DA"/>
    <w:rsid w:val="000A6719"/>
    <w:rsid w:val="000B47FF"/>
    <w:rsid w:val="000B4E5C"/>
    <w:rsid w:val="000B7954"/>
    <w:rsid w:val="000C7EA0"/>
    <w:rsid w:val="000D4F4B"/>
    <w:rsid w:val="000E05AE"/>
    <w:rsid w:val="000E6A96"/>
    <w:rsid w:val="000F05A2"/>
    <w:rsid w:val="000F13B1"/>
    <w:rsid w:val="000F43A8"/>
    <w:rsid w:val="00102C0E"/>
    <w:rsid w:val="00112741"/>
    <w:rsid w:val="00113D2B"/>
    <w:rsid w:val="00113EC4"/>
    <w:rsid w:val="00115FD1"/>
    <w:rsid w:val="00116449"/>
    <w:rsid w:val="0011666C"/>
    <w:rsid w:val="00121B2D"/>
    <w:rsid w:val="001307FA"/>
    <w:rsid w:val="00131824"/>
    <w:rsid w:val="00133BE0"/>
    <w:rsid w:val="00136B32"/>
    <w:rsid w:val="001444EE"/>
    <w:rsid w:val="00145766"/>
    <w:rsid w:val="001458E9"/>
    <w:rsid w:val="00153CD9"/>
    <w:rsid w:val="00156AFA"/>
    <w:rsid w:val="00156C4C"/>
    <w:rsid w:val="00157BF2"/>
    <w:rsid w:val="001607B2"/>
    <w:rsid w:val="0016088D"/>
    <w:rsid w:val="00161D02"/>
    <w:rsid w:val="001745E8"/>
    <w:rsid w:val="0017460D"/>
    <w:rsid w:val="0018095F"/>
    <w:rsid w:val="0018313E"/>
    <w:rsid w:val="0018446E"/>
    <w:rsid w:val="00185425"/>
    <w:rsid w:val="00186529"/>
    <w:rsid w:val="00192F1D"/>
    <w:rsid w:val="001948EA"/>
    <w:rsid w:val="00194D4C"/>
    <w:rsid w:val="00196AA8"/>
    <w:rsid w:val="001A1E86"/>
    <w:rsid w:val="001A3157"/>
    <w:rsid w:val="001A374F"/>
    <w:rsid w:val="001A4786"/>
    <w:rsid w:val="001A7401"/>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5F7C"/>
    <w:rsid w:val="0020791D"/>
    <w:rsid w:val="002129DA"/>
    <w:rsid w:val="0021550A"/>
    <w:rsid w:val="00215F41"/>
    <w:rsid w:val="00217A2E"/>
    <w:rsid w:val="00217EB6"/>
    <w:rsid w:val="002247C2"/>
    <w:rsid w:val="002322E6"/>
    <w:rsid w:val="00233827"/>
    <w:rsid w:val="00234A5E"/>
    <w:rsid w:val="00236072"/>
    <w:rsid w:val="0023672E"/>
    <w:rsid w:val="00236AB3"/>
    <w:rsid w:val="00241946"/>
    <w:rsid w:val="002436F0"/>
    <w:rsid w:val="00245E73"/>
    <w:rsid w:val="00246135"/>
    <w:rsid w:val="00247F4E"/>
    <w:rsid w:val="00251E92"/>
    <w:rsid w:val="0025220B"/>
    <w:rsid w:val="00252B39"/>
    <w:rsid w:val="00254AC2"/>
    <w:rsid w:val="0025525B"/>
    <w:rsid w:val="00262382"/>
    <w:rsid w:val="00262C7A"/>
    <w:rsid w:val="0027242A"/>
    <w:rsid w:val="00272A58"/>
    <w:rsid w:val="002739E6"/>
    <w:rsid w:val="00273AD0"/>
    <w:rsid w:val="00280FEA"/>
    <w:rsid w:val="002822AF"/>
    <w:rsid w:val="00282BD9"/>
    <w:rsid w:val="00286F66"/>
    <w:rsid w:val="00287878"/>
    <w:rsid w:val="002940E8"/>
    <w:rsid w:val="00296C15"/>
    <w:rsid w:val="002A1877"/>
    <w:rsid w:val="002A3227"/>
    <w:rsid w:val="002B0F98"/>
    <w:rsid w:val="002B3207"/>
    <w:rsid w:val="002B346A"/>
    <w:rsid w:val="002B351E"/>
    <w:rsid w:val="002B4426"/>
    <w:rsid w:val="002B4474"/>
    <w:rsid w:val="002B5196"/>
    <w:rsid w:val="002B5F4F"/>
    <w:rsid w:val="002B740B"/>
    <w:rsid w:val="002C187A"/>
    <w:rsid w:val="002C20A8"/>
    <w:rsid w:val="002C4DEF"/>
    <w:rsid w:val="002C5DD0"/>
    <w:rsid w:val="002C7051"/>
    <w:rsid w:val="002D2FBB"/>
    <w:rsid w:val="002D4247"/>
    <w:rsid w:val="002D68D7"/>
    <w:rsid w:val="002D6DA0"/>
    <w:rsid w:val="002E10E6"/>
    <w:rsid w:val="002E1CED"/>
    <w:rsid w:val="002E2811"/>
    <w:rsid w:val="002E5250"/>
    <w:rsid w:val="002E61AA"/>
    <w:rsid w:val="002E6F58"/>
    <w:rsid w:val="002E745D"/>
    <w:rsid w:val="002F10F6"/>
    <w:rsid w:val="002F15D9"/>
    <w:rsid w:val="002F26EC"/>
    <w:rsid w:val="002F2F7A"/>
    <w:rsid w:val="002F42EA"/>
    <w:rsid w:val="002F489A"/>
    <w:rsid w:val="003040D8"/>
    <w:rsid w:val="0030455E"/>
    <w:rsid w:val="00305626"/>
    <w:rsid w:val="003107C9"/>
    <w:rsid w:val="00316D58"/>
    <w:rsid w:val="003212BB"/>
    <w:rsid w:val="00321C92"/>
    <w:rsid w:val="003235DF"/>
    <w:rsid w:val="00323ABC"/>
    <w:rsid w:val="00324A7C"/>
    <w:rsid w:val="00324FE5"/>
    <w:rsid w:val="00331B36"/>
    <w:rsid w:val="00333EC9"/>
    <w:rsid w:val="0033515C"/>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44CE"/>
    <w:rsid w:val="00425AF8"/>
    <w:rsid w:val="00426FE9"/>
    <w:rsid w:val="00437FF5"/>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B6B52"/>
    <w:rsid w:val="004C3DC3"/>
    <w:rsid w:val="004C4272"/>
    <w:rsid w:val="004C4F3B"/>
    <w:rsid w:val="004D141E"/>
    <w:rsid w:val="004D735E"/>
    <w:rsid w:val="004E33A8"/>
    <w:rsid w:val="004E3B3E"/>
    <w:rsid w:val="004E3BD7"/>
    <w:rsid w:val="004E6614"/>
    <w:rsid w:val="004F016F"/>
    <w:rsid w:val="004F6810"/>
    <w:rsid w:val="004F7D22"/>
    <w:rsid w:val="00500587"/>
    <w:rsid w:val="00504379"/>
    <w:rsid w:val="00505758"/>
    <w:rsid w:val="005129DA"/>
    <w:rsid w:val="00513612"/>
    <w:rsid w:val="00513D8E"/>
    <w:rsid w:val="00515EEF"/>
    <w:rsid w:val="005174D6"/>
    <w:rsid w:val="0051786C"/>
    <w:rsid w:val="005208FF"/>
    <w:rsid w:val="00521468"/>
    <w:rsid w:val="005216B2"/>
    <w:rsid w:val="00523FF4"/>
    <w:rsid w:val="00526655"/>
    <w:rsid w:val="00526735"/>
    <w:rsid w:val="00526B32"/>
    <w:rsid w:val="005305D1"/>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8153F"/>
    <w:rsid w:val="0058301B"/>
    <w:rsid w:val="005871A3"/>
    <w:rsid w:val="00590937"/>
    <w:rsid w:val="0059166A"/>
    <w:rsid w:val="00592733"/>
    <w:rsid w:val="005932DC"/>
    <w:rsid w:val="00593B59"/>
    <w:rsid w:val="00595DBA"/>
    <w:rsid w:val="005A2661"/>
    <w:rsid w:val="005A26F8"/>
    <w:rsid w:val="005A56E0"/>
    <w:rsid w:val="005C187A"/>
    <w:rsid w:val="005C1FC7"/>
    <w:rsid w:val="005C4963"/>
    <w:rsid w:val="005C4BBA"/>
    <w:rsid w:val="005C68B4"/>
    <w:rsid w:val="005C7C0C"/>
    <w:rsid w:val="005D15A3"/>
    <w:rsid w:val="005D2343"/>
    <w:rsid w:val="005D545C"/>
    <w:rsid w:val="005D5A4A"/>
    <w:rsid w:val="005D653E"/>
    <w:rsid w:val="005E3B28"/>
    <w:rsid w:val="005F0CC2"/>
    <w:rsid w:val="005F439F"/>
    <w:rsid w:val="005F77DA"/>
    <w:rsid w:val="00600B5F"/>
    <w:rsid w:val="006017A2"/>
    <w:rsid w:val="00605275"/>
    <w:rsid w:val="006073A2"/>
    <w:rsid w:val="006073AB"/>
    <w:rsid w:val="0060796B"/>
    <w:rsid w:val="006100F5"/>
    <w:rsid w:val="00613AF9"/>
    <w:rsid w:val="006142A6"/>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A7086"/>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C01"/>
    <w:rsid w:val="00751DAF"/>
    <w:rsid w:val="00753159"/>
    <w:rsid w:val="007569BB"/>
    <w:rsid w:val="00761508"/>
    <w:rsid w:val="007626C9"/>
    <w:rsid w:val="00764773"/>
    <w:rsid w:val="00764B9C"/>
    <w:rsid w:val="0076624E"/>
    <w:rsid w:val="007712FB"/>
    <w:rsid w:val="007717E2"/>
    <w:rsid w:val="00772BDC"/>
    <w:rsid w:val="007740D4"/>
    <w:rsid w:val="007756B0"/>
    <w:rsid w:val="00782959"/>
    <w:rsid w:val="00782E30"/>
    <w:rsid w:val="00785E5E"/>
    <w:rsid w:val="0078600B"/>
    <w:rsid w:val="00790676"/>
    <w:rsid w:val="00791410"/>
    <w:rsid w:val="007937AE"/>
    <w:rsid w:val="00793DE6"/>
    <w:rsid w:val="00793E8B"/>
    <w:rsid w:val="007958F2"/>
    <w:rsid w:val="007A1B5F"/>
    <w:rsid w:val="007A4D45"/>
    <w:rsid w:val="007A4F3E"/>
    <w:rsid w:val="007A5985"/>
    <w:rsid w:val="007A68D3"/>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26923"/>
    <w:rsid w:val="00834556"/>
    <w:rsid w:val="0083461E"/>
    <w:rsid w:val="00834A9F"/>
    <w:rsid w:val="008364E5"/>
    <w:rsid w:val="00837B04"/>
    <w:rsid w:val="0084122F"/>
    <w:rsid w:val="0084180D"/>
    <w:rsid w:val="0084221C"/>
    <w:rsid w:val="0084393C"/>
    <w:rsid w:val="00847A89"/>
    <w:rsid w:val="00851BD6"/>
    <w:rsid w:val="00853068"/>
    <w:rsid w:val="00861669"/>
    <w:rsid w:val="008632DB"/>
    <w:rsid w:val="008640A5"/>
    <w:rsid w:val="00865821"/>
    <w:rsid w:val="00865AFA"/>
    <w:rsid w:val="00865FA0"/>
    <w:rsid w:val="008664A8"/>
    <w:rsid w:val="00866E96"/>
    <w:rsid w:val="00874634"/>
    <w:rsid w:val="00875EA5"/>
    <w:rsid w:val="00881D4B"/>
    <w:rsid w:val="00891AE7"/>
    <w:rsid w:val="008A1155"/>
    <w:rsid w:val="008A3181"/>
    <w:rsid w:val="008B1B75"/>
    <w:rsid w:val="008B3518"/>
    <w:rsid w:val="008B5A12"/>
    <w:rsid w:val="008B7E23"/>
    <w:rsid w:val="008C782A"/>
    <w:rsid w:val="008D39BE"/>
    <w:rsid w:val="008E1083"/>
    <w:rsid w:val="008E3872"/>
    <w:rsid w:val="008E729D"/>
    <w:rsid w:val="008F5112"/>
    <w:rsid w:val="008F6703"/>
    <w:rsid w:val="00900D78"/>
    <w:rsid w:val="00901329"/>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0ACD"/>
    <w:rsid w:val="00945925"/>
    <w:rsid w:val="00952DE4"/>
    <w:rsid w:val="00953C30"/>
    <w:rsid w:val="009568EF"/>
    <w:rsid w:val="00956B79"/>
    <w:rsid w:val="00962071"/>
    <w:rsid w:val="00965F6B"/>
    <w:rsid w:val="00970D92"/>
    <w:rsid w:val="00970F4C"/>
    <w:rsid w:val="0097130A"/>
    <w:rsid w:val="00974D94"/>
    <w:rsid w:val="009774FE"/>
    <w:rsid w:val="009832F8"/>
    <w:rsid w:val="009839DA"/>
    <w:rsid w:val="00985CF8"/>
    <w:rsid w:val="00985E49"/>
    <w:rsid w:val="00991418"/>
    <w:rsid w:val="00994476"/>
    <w:rsid w:val="00994B0E"/>
    <w:rsid w:val="00995A33"/>
    <w:rsid w:val="0099700D"/>
    <w:rsid w:val="00997347"/>
    <w:rsid w:val="009A012A"/>
    <w:rsid w:val="009A1CD3"/>
    <w:rsid w:val="009A2C6C"/>
    <w:rsid w:val="009A44A4"/>
    <w:rsid w:val="009A4A5D"/>
    <w:rsid w:val="009A5EEF"/>
    <w:rsid w:val="009B18EB"/>
    <w:rsid w:val="009B5D1A"/>
    <w:rsid w:val="009C153E"/>
    <w:rsid w:val="009C28DE"/>
    <w:rsid w:val="009C2C5E"/>
    <w:rsid w:val="009C6B10"/>
    <w:rsid w:val="009D0838"/>
    <w:rsid w:val="009D0C9F"/>
    <w:rsid w:val="009D10B2"/>
    <w:rsid w:val="009D2543"/>
    <w:rsid w:val="009D64E4"/>
    <w:rsid w:val="009E20F1"/>
    <w:rsid w:val="009E28A3"/>
    <w:rsid w:val="009E329B"/>
    <w:rsid w:val="009E38EA"/>
    <w:rsid w:val="009E5594"/>
    <w:rsid w:val="009F517D"/>
    <w:rsid w:val="009F6554"/>
    <w:rsid w:val="009F7F98"/>
    <w:rsid w:val="00A02F58"/>
    <w:rsid w:val="00A032AE"/>
    <w:rsid w:val="00A048D2"/>
    <w:rsid w:val="00A07C70"/>
    <w:rsid w:val="00A10DAC"/>
    <w:rsid w:val="00A31988"/>
    <w:rsid w:val="00A3307A"/>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625"/>
    <w:rsid w:val="00AB37F4"/>
    <w:rsid w:val="00AB6561"/>
    <w:rsid w:val="00AB6BAD"/>
    <w:rsid w:val="00AC433F"/>
    <w:rsid w:val="00AC4B04"/>
    <w:rsid w:val="00AC4F6A"/>
    <w:rsid w:val="00AC5D55"/>
    <w:rsid w:val="00AC7088"/>
    <w:rsid w:val="00AD0A31"/>
    <w:rsid w:val="00AD1B06"/>
    <w:rsid w:val="00AD6104"/>
    <w:rsid w:val="00AD6C55"/>
    <w:rsid w:val="00AD73D3"/>
    <w:rsid w:val="00AE0D84"/>
    <w:rsid w:val="00AF2D89"/>
    <w:rsid w:val="00AF7DA4"/>
    <w:rsid w:val="00B00156"/>
    <w:rsid w:val="00B00EBD"/>
    <w:rsid w:val="00B0370E"/>
    <w:rsid w:val="00B03E68"/>
    <w:rsid w:val="00B05E35"/>
    <w:rsid w:val="00B124BD"/>
    <w:rsid w:val="00B12FB8"/>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401E"/>
    <w:rsid w:val="00B652A1"/>
    <w:rsid w:val="00B702C0"/>
    <w:rsid w:val="00B735DD"/>
    <w:rsid w:val="00B737D1"/>
    <w:rsid w:val="00B7459B"/>
    <w:rsid w:val="00B749E2"/>
    <w:rsid w:val="00B74CE9"/>
    <w:rsid w:val="00B7553C"/>
    <w:rsid w:val="00B75C20"/>
    <w:rsid w:val="00B82635"/>
    <w:rsid w:val="00B82C51"/>
    <w:rsid w:val="00B82E71"/>
    <w:rsid w:val="00B87C16"/>
    <w:rsid w:val="00B91CE2"/>
    <w:rsid w:val="00B91F39"/>
    <w:rsid w:val="00BA4F96"/>
    <w:rsid w:val="00BA5D85"/>
    <w:rsid w:val="00BA6688"/>
    <w:rsid w:val="00BA6F4B"/>
    <w:rsid w:val="00BB2BB3"/>
    <w:rsid w:val="00BC1A5D"/>
    <w:rsid w:val="00BC2B79"/>
    <w:rsid w:val="00BC34D3"/>
    <w:rsid w:val="00BC6808"/>
    <w:rsid w:val="00BC71E1"/>
    <w:rsid w:val="00BD2962"/>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064F"/>
    <w:rsid w:val="00C52BDA"/>
    <w:rsid w:val="00C55327"/>
    <w:rsid w:val="00C578BE"/>
    <w:rsid w:val="00C61129"/>
    <w:rsid w:val="00C6209B"/>
    <w:rsid w:val="00C640B2"/>
    <w:rsid w:val="00C65AB4"/>
    <w:rsid w:val="00C72CF8"/>
    <w:rsid w:val="00C74E37"/>
    <w:rsid w:val="00C83082"/>
    <w:rsid w:val="00C846A4"/>
    <w:rsid w:val="00C847EE"/>
    <w:rsid w:val="00C853D5"/>
    <w:rsid w:val="00C94B79"/>
    <w:rsid w:val="00C955F4"/>
    <w:rsid w:val="00C96336"/>
    <w:rsid w:val="00CA013A"/>
    <w:rsid w:val="00CA1B43"/>
    <w:rsid w:val="00CA6C99"/>
    <w:rsid w:val="00CB02F7"/>
    <w:rsid w:val="00CB25A2"/>
    <w:rsid w:val="00CB4B5C"/>
    <w:rsid w:val="00CB5499"/>
    <w:rsid w:val="00CC2015"/>
    <w:rsid w:val="00CC26EB"/>
    <w:rsid w:val="00CC424E"/>
    <w:rsid w:val="00CC59E5"/>
    <w:rsid w:val="00CD2F67"/>
    <w:rsid w:val="00CD3754"/>
    <w:rsid w:val="00CD5E04"/>
    <w:rsid w:val="00CD5E74"/>
    <w:rsid w:val="00CE0239"/>
    <w:rsid w:val="00CE132D"/>
    <w:rsid w:val="00CE3BEA"/>
    <w:rsid w:val="00CE3E81"/>
    <w:rsid w:val="00CE499C"/>
    <w:rsid w:val="00CE7C3A"/>
    <w:rsid w:val="00CF04AE"/>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451E5"/>
    <w:rsid w:val="00D5552B"/>
    <w:rsid w:val="00D557FD"/>
    <w:rsid w:val="00D569A1"/>
    <w:rsid w:val="00D61557"/>
    <w:rsid w:val="00D632A3"/>
    <w:rsid w:val="00D64F36"/>
    <w:rsid w:val="00D65589"/>
    <w:rsid w:val="00D65AD3"/>
    <w:rsid w:val="00D65BB5"/>
    <w:rsid w:val="00D6788F"/>
    <w:rsid w:val="00D70EC5"/>
    <w:rsid w:val="00D755D9"/>
    <w:rsid w:val="00D76947"/>
    <w:rsid w:val="00D82C29"/>
    <w:rsid w:val="00D84A39"/>
    <w:rsid w:val="00D85131"/>
    <w:rsid w:val="00D8543B"/>
    <w:rsid w:val="00DA064C"/>
    <w:rsid w:val="00DA2795"/>
    <w:rsid w:val="00DA2CD8"/>
    <w:rsid w:val="00DA7B93"/>
    <w:rsid w:val="00DC1151"/>
    <w:rsid w:val="00DC3579"/>
    <w:rsid w:val="00DC3612"/>
    <w:rsid w:val="00DC4D0A"/>
    <w:rsid w:val="00DC5066"/>
    <w:rsid w:val="00DD25E7"/>
    <w:rsid w:val="00DD5DFB"/>
    <w:rsid w:val="00DE2383"/>
    <w:rsid w:val="00DF24B9"/>
    <w:rsid w:val="00DF3624"/>
    <w:rsid w:val="00DF5EB7"/>
    <w:rsid w:val="00DF5FD1"/>
    <w:rsid w:val="00DF6A23"/>
    <w:rsid w:val="00E021C1"/>
    <w:rsid w:val="00E04A24"/>
    <w:rsid w:val="00E0564D"/>
    <w:rsid w:val="00E07987"/>
    <w:rsid w:val="00E104F1"/>
    <w:rsid w:val="00E10926"/>
    <w:rsid w:val="00E10BD3"/>
    <w:rsid w:val="00E13590"/>
    <w:rsid w:val="00E271E4"/>
    <w:rsid w:val="00E31B37"/>
    <w:rsid w:val="00E33CB7"/>
    <w:rsid w:val="00E34912"/>
    <w:rsid w:val="00E3564C"/>
    <w:rsid w:val="00E35E72"/>
    <w:rsid w:val="00E41079"/>
    <w:rsid w:val="00E42721"/>
    <w:rsid w:val="00E43490"/>
    <w:rsid w:val="00E44AF0"/>
    <w:rsid w:val="00E477D9"/>
    <w:rsid w:val="00E5082E"/>
    <w:rsid w:val="00E513CC"/>
    <w:rsid w:val="00E51A66"/>
    <w:rsid w:val="00E5415A"/>
    <w:rsid w:val="00E5487E"/>
    <w:rsid w:val="00E54C30"/>
    <w:rsid w:val="00E55349"/>
    <w:rsid w:val="00E55557"/>
    <w:rsid w:val="00E62ED2"/>
    <w:rsid w:val="00E658A1"/>
    <w:rsid w:val="00E671FC"/>
    <w:rsid w:val="00E673EA"/>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E6F"/>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07502"/>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6F3"/>
    <w:rsid w:val="00F80B98"/>
    <w:rsid w:val="00F81B93"/>
    <w:rsid w:val="00F84319"/>
    <w:rsid w:val="00F858BA"/>
    <w:rsid w:val="00F86077"/>
    <w:rsid w:val="00F86697"/>
    <w:rsid w:val="00F90494"/>
    <w:rsid w:val="00F90BC0"/>
    <w:rsid w:val="00F92DC8"/>
    <w:rsid w:val="00F933A1"/>
    <w:rsid w:val="00F95943"/>
    <w:rsid w:val="00FA0393"/>
    <w:rsid w:val="00FA1F56"/>
    <w:rsid w:val="00FA2ECD"/>
    <w:rsid w:val="00FA49A7"/>
    <w:rsid w:val="00FA703B"/>
    <w:rsid w:val="00FB1CB1"/>
    <w:rsid w:val="00FB27F5"/>
    <w:rsid w:val="00FB5C17"/>
    <w:rsid w:val="00FC14D4"/>
    <w:rsid w:val="00FC1C72"/>
    <w:rsid w:val="00FC5060"/>
    <w:rsid w:val="00FC7475"/>
    <w:rsid w:val="00FD00AA"/>
    <w:rsid w:val="00FD0105"/>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303CD5-BAB8-407F-992D-305F9FA6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4510</Words>
  <Characters>24809</Characters>
  <Application>Microsoft Office Word</Application>
  <DocSecurity>0</DocSecurity>
  <Lines>206</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Joachim Ouedraogo</cp:lastModifiedBy>
  <cp:revision>3</cp:revision>
  <cp:lastPrinted>2014-02-10T17:12:00Z</cp:lastPrinted>
  <dcterms:created xsi:type="dcterms:W3CDTF">2020-12-08T23:33:00Z</dcterms:created>
  <dcterms:modified xsi:type="dcterms:W3CDTF">2020-12-11T09:26:00Z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