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978E3AE"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8F2C23" w:rsidRPr="008F2C23">
        <w:rPr>
          <w:bCs/>
          <w:iCs/>
          <w:snapToGrid w:val="0"/>
          <w:szCs w:val="28"/>
          <w:lang w:val="fr-FR"/>
        </w:rPr>
        <w:t>Guinée</w:t>
      </w:r>
    </w:p>
    <w:p w14:paraId="35B8BCCA" w14:textId="6142658E" w:rsidR="000F43A8" w:rsidRPr="009D2E92" w:rsidRDefault="000F43A8" w:rsidP="000F43A8">
      <w:pPr>
        <w:jc w:val="center"/>
        <w:rPr>
          <w:b/>
          <w:bCs/>
          <w:caps/>
          <w:color w:val="FF0000"/>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1948EA" w:rsidRPr="00EA13D1">
        <w:rPr>
          <w:b/>
          <w:bCs/>
          <w:caps/>
          <w:sz w:val="22"/>
          <w:szCs w:val="22"/>
          <w:lang w:val="fr-FR"/>
        </w:rPr>
        <w:t>:</w:t>
      </w:r>
      <w:r w:rsidR="009D2E92" w:rsidRPr="00EA13D1">
        <w:rPr>
          <w:b/>
          <w:bCs/>
          <w:caps/>
          <w:sz w:val="22"/>
          <w:szCs w:val="22"/>
          <w:lang w:val="fr-FR"/>
        </w:rPr>
        <w:t xml:space="preserve"> Final</w:t>
      </w:r>
      <w:r w:rsidR="009D2E92">
        <w:rPr>
          <w:b/>
          <w:bCs/>
          <w:caps/>
          <w:sz w:val="22"/>
          <w:szCs w:val="22"/>
          <w:lang w:val="fr-FR"/>
        </w:rPr>
        <w:t xml:space="preserve"> </w:t>
      </w:r>
    </w:p>
    <w:p w14:paraId="0B2F56D8" w14:textId="47973225" w:rsidR="000554F8" w:rsidRDefault="00500587" w:rsidP="008F2C23">
      <w:pPr>
        <w:jc w:val="center"/>
        <w:rPr>
          <w:bCs/>
          <w:iCs/>
          <w:snapToGrid w:val="0"/>
          <w:szCs w:val="28"/>
        </w:rPr>
      </w:pPr>
      <w:r>
        <w:rPr>
          <w:b/>
          <w:bCs/>
          <w:caps/>
        </w:rPr>
        <w:t>ANNEE</w:t>
      </w:r>
      <w:r w:rsidR="000F43A8">
        <w:rPr>
          <w:b/>
          <w:bCs/>
          <w:caps/>
        </w:rPr>
        <w:t xml:space="preserve"> DE RAPPORT: </w:t>
      </w:r>
      <w:r w:rsidR="008F2C23">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3D2D3A" w14:paraId="26E9F2DE" w14:textId="77777777" w:rsidTr="00F23D0F">
        <w:trPr>
          <w:trHeight w:val="422"/>
        </w:trPr>
        <w:tc>
          <w:tcPr>
            <w:tcW w:w="10080" w:type="dxa"/>
            <w:gridSpan w:val="2"/>
          </w:tcPr>
          <w:p w14:paraId="11EF4F5F" w14:textId="5A1D7F05"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056D05" w:rsidRPr="008F2C23">
              <w:rPr>
                <w:bCs/>
                <w:iCs/>
                <w:snapToGrid w:val="0"/>
                <w:szCs w:val="28"/>
                <w:lang w:val="fr-FR"/>
              </w:rPr>
              <w:t>Secrétariat</w:t>
            </w:r>
            <w:r w:rsidR="008F2C23" w:rsidRPr="008F2C23">
              <w:rPr>
                <w:bCs/>
                <w:iCs/>
                <w:snapToGrid w:val="0"/>
                <w:szCs w:val="28"/>
                <w:lang w:val="fr-FR"/>
              </w:rPr>
              <w:t xml:space="preserve"> Permanent, Réconciliation et cohésion sociale</w:t>
            </w:r>
          </w:p>
          <w:p w14:paraId="24C4A490" w14:textId="311159BF" w:rsidR="00793DE6" w:rsidRPr="003D2D3A" w:rsidRDefault="000F43A8" w:rsidP="000F43A8">
            <w:pPr>
              <w:rPr>
                <w:b/>
                <w:lang w:val="en-US"/>
              </w:rPr>
            </w:pPr>
            <w:proofErr w:type="spellStart"/>
            <w:r w:rsidRPr="003D2D3A">
              <w:rPr>
                <w:b/>
                <w:lang w:val="en-US"/>
              </w:rPr>
              <w:t>Numéro</w:t>
            </w:r>
            <w:proofErr w:type="spellEnd"/>
            <w:r w:rsidRPr="003D2D3A">
              <w:rPr>
                <w:b/>
                <w:lang w:val="en-US"/>
              </w:rPr>
              <w:t xml:space="preserve"> </w:t>
            </w:r>
            <w:proofErr w:type="spellStart"/>
            <w:r w:rsidRPr="003D2D3A">
              <w:rPr>
                <w:b/>
                <w:lang w:val="en-US"/>
              </w:rPr>
              <w:t>Projet</w:t>
            </w:r>
            <w:proofErr w:type="spellEnd"/>
            <w:r w:rsidRPr="003D2D3A">
              <w:rPr>
                <w:b/>
                <w:lang w:val="en-US"/>
              </w:rPr>
              <w:t xml:space="preserve"> / MPTF Gateway</w:t>
            </w:r>
            <w:r w:rsidR="00793DE6" w:rsidRPr="003D2D3A">
              <w:rPr>
                <w:b/>
                <w:lang w:val="en-US"/>
              </w:rPr>
              <w:t>:</w:t>
            </w:r>
            <w:r w:rsidR="00AD16CD" w:rsidRPr="003D2D3A">
              <w:rPr>
                <w:b/>
              </w:rPr>
              <w:t xml:space="preserve"> ID </w:t>
            </w:r>
            <w:r w:rsidR="00056D05" w:rsidRPr="003D2D3A">
              <w:rPr>
                <w:b/>
              </w:rPr>
              <w:t>00105553</w:t>
            </w:r>
            <w:r w:rsidR="00056D05" w:rsidRPr="003D2D3A">
              <w:rPr>
                <w:b/>
                <w:lang w:val="en-US"/>
              </w:rPr>
              <w:t xml:space="preserve"> PBF</w:t>
            </w:r>
            <w:r w:rsidR="003D2D3A" w:rsidRPr="003D2D3A">
              <w:rPr>
                <w:b/>
              </w:rPr>
              <w:t xml:space="preserve">/IRF- 167 </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64CC4">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64CC4">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288646A6"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9D2E92">
              <w:rPr>
                <w:rFonts w:ascii="Times New Roman" w:hAnsi="Times New Roman" w:cs="Times New Roman"/>
                <w:b/>
                <w:sz w:val="24"/>
                <w:szCs w:val="24"/>
                <w:lang w:val="fr-FR"/>
              </w:rPr>
              <w:t xml:space="preserve">    </w:t>
            </w:r>
            <w:r w:rsidR="00AD16CD">
              <w:rPr>
                <w:rFonts w:ascii="Times New Roman" w:hAnsi="Times New Roman" w:cs="Times New Roman"/>
                <w:b/>
                <w:sz w:val="24"/>
                <w:szCs w:val="24"/>
              </w:rPr>
              <w:t>PNUD</w:t>
            </w:r>
            <w:r w:rsidR="00AD16CD"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Pr="00627A1C">
              <w:rPr>
                <w:rFonts w:ascii="Times New Roman" w:hAnsi="Times New Roman" w:cs="Times New Roman"/>
                <w:b/>
                <w:sz w:val="24"/>
                <w:szCs w:val="24"/>
              </w:rPr>
              <w:t>)</w:t>
            </w:r>
          </w:p>
          <w:p w14:paraId="28F5F181" w14:textId="69FD4663"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p w14:paraId="46214C2B" w14:textId="0046977C"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p w14:paraId="0673E8AA" w14:textId="727CFD2E"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AD16CD" w14:paraId="72CE853D" w14:textId="77777777" w:rsidTr="00F23D0F">
        <w:trPr>
          <w:trHeight w:val="368"/>
        </w:trPr>
        <w:tc>
          <w:tcPr>
            <w:tcW w:w="10080" w:type="dxa"/>
            <w:gridSpan w:val="2"/>
          </w:tcPr>
          <w:p w14:paraId="5C2804C5" w14:textId="2ED06033" w:rsidR="00793DE6" w:rsidRPr="009D2E92"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9D2E92" w:rsidRPr="00EA13D1">
              <w:rPr>
                <w:bCs/>
                <w:iCs/>
                <w:snapToGrid w:val="0"/>
                <w:lang w:val="fr-FR"/>
              </w:rPr>
              <w:t>09 mai 2017</w:t>
            </w:r>
          </w:p>
          <w:p w14:paraId="064BF427" w14:textId="413E5188"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AD16CD" w:rsidRPr="00EA13D1">
              <w:rPr>
                <w:bCs/>
                <w:iCs/>
                <w:snapToGrid w:val="0"/>
                <w:lang w:val="fr-FR"/>
              </w:rPr>
              <w:t>30 juin 2020</w:t>
            </w:r>
            <w:r w:rsidR="0025220B" w:rsidRPr="000F43A8">
              <w:rPr>
                <w:bCs/>
                <w:iCs/>
                <w:snapToGrid w:val="0"/>
                <w:lang w:val="fr-FR"/>
              </w:rPr>
              <w:t xml:space="preserve">     </w:t>
            </w:r>
          </w:p>
          <w:p w14:paraId="2AE235F0" w14:textId="721C015E"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AD16CD">
              <w:rPr>
                <w:bCs/>
                <w:iCs/>
                <w:snapToGrid w:val="0"/>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64CC4">
              <w:rPr>
                <w:lang w:val="fr-FR"/>
              </w:rPr>
            </w:r>
            <w:r w:rsidR="00364CC4">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64CC4">
              <w:rPr>
                <w:lang w:val="fr-FR"/>
              </w:rPr>
            </w:r>
            <w:r w:rsidR="00364CC4">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64CC4">
              <w:rPr>
                <w:lang w:val="fr-FR"/>
              </w:rPr>
            </w:r>
            <w:r w:rsidR="00364CC4">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64CC4">
              <w:rPr>
                <w:lang w:val="fr-FR"/>
              </w:rPr>
            </w:r>
            <w:r w:rsidR="00364CC4">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364CC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46D62DE9" w:rsidR="00793DE6" w:rsidRPr="00A3658C" w:rsidRDefault="00AD16CD" w:rsidP="00F23D0F">
            <w:pPr>
              <w:rPr>
                <w:bCs/>
                <w:iCs/>
                <w:snapToGrid w:val="0"/>
                <w:lang w:val="fr-FR"/>
              </w:rPr>
            </w:pPr>
            <w:r w:rsidRPr="00AD16CD">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proofErr w:type="gramStart"/>
            <w:r w:rsidR="00793DE6" w:rsidRPr="007C7B57">
              <w:rPr>
                <w:iCs/>
                <w:lang w:val="fr-FR"/>
              </w:rPr>
              <w:t xml:space="preserve">$ </w:t>
            </w:r>
            <w:r w:rsidR="009D2E92" w:rsidRPr="00A3658C">
              <w:rPr>
                <w:iCs/>
                <w:lang w:val="fr-FR"/>
              </w:rPr>
              <w:t xml:space="preserve"> 1</w:t>
            </w:r>
            <w:proofErr w:type="gramEnd"/>
            <w:r w:rsidR="009D2E92" w:rsidRPr="00A3658C">
              <w:rPr>
                <w:bCs/>
                <w:iCs/>
                <w:snapToGrid w:val="0"/>
                <w:lang w:val="fr-FR"/>
              </w:rPr>
              <w:t> 882 553</w:t>
            </w:r>
          </w:p>
          <w:p w14:paraId="07354C81" w14:textId="21AC2BDF" w:rsidR="009D2E92" w:rsidRPr="007C7B57" w:rsidRDefault="009D2E92" w:rsidP="00F23D0F">
            <w:pPr>
              <w:rPr>
                <w:iCs/>
                <w:lang w:val="fr-FR"/>
              </w:rPr>
            </w:pPr>
            <w:r w:rsidRPr="00A3658C">
              <w:rPr>
                <w:bCs/>
                <w:iCs/>
                <w:snapToGrid w:val="0"/>
                <w:lang w:val="fr-FR"/>
              </w:rPr>
              <w:t>OHCHR                                                     $     150 000</w:t>
            </w:r>
          </w:p>
          <w:p w14:paraId="7AA2D079" w14:textId="5B63605A"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w:t>
            </w:r>
            <w:r w:rsidR="009D2E92">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9D2E92" w:rsidRPr="00A3658C">
              <w:rPr>
                <w:rFonts w:ascii="Times New Roman" w:hAnsi="Times New Roman" w:cs="Times New Roman"/>
                <w:bCs/>
                <w:iCs/>
                <w:snapToGrid w:val="0"/>
                <w:sz w:val="24"/>
                <w:szCs w:val="24"/>
                <w:lang w:val="fr-FR"/>
              </w:rPr>
              <w:t>2 032 553</w:t>
            </w:r>
            <w:r w:rsidR="00C12D6A" w:rsidRPr="007C7B57">
              <w:rPr>
                <w:rFonts w:ascii="Times New Roman" w:hAnsi="Times New Roman" w:cs="Times New Roman"/>
                <w:bCs/>
                <w:iCs/>
                <w:snapToGrid w:val="0"/>
                <w:sz w:val="24"/>
                <w:szCs w:val="24"/>
                <w:lang w:val="fr-FR"/>
              </w:rPr>
              <w:t xml:space="preserve"> </w:t>
            </w:r>
          </w:p>
          <w:p w14:paraId="5324AF29" w14:textId="1C741629" w:rsidR="001C56B8" w:rsidRPr="00A3658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AD16CD">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A3658C" w:rsidRPr="00A3658C">
              <w:rPr>
                <w:rFonts w:ascii="Times New Roman" w:hAnsi="Times New Roman" w:cs="Times New Roman"/>
                <w:bCs/>
                <w:iCs/>
                <w:snapToGrid w:val="0"/>
                <w:sz w:val="24"/>
                <w:szCs w:val="24"/>
                <w:lang w:val="fr-FR"/>
              </w:rPr>
              <w:t>8</w:t>
            </w:r>
            <w:r w:rsidR="00A3658C">
              <w:rPr>
                <w:rFonts w:ascii="Times New Roman" w:hAnsi="Times New Roman" w:cs="Times New Roman"/>
                <w:bCs/>
                <w:iCs/>
                <w:snapToGrid w:val="0"/>
                <w:sz w:val="24"/>
                <w:szCs w:val="24"/>
                <w:lang w:val="fr-FR"/>
              </w:rPr>
              <w:t>3% (</w:t>
            </w:r>
            <w:r w:rsidR="00A3658C" w:rsidRPr="00A3658C">
              <w:rPr>
                <w:rFonts w:ascii="Times New Roman" w:hAnsi="Times New Roman" w:cs="Times New Roman"/>
                <w:b/>
                <w:iCs/>
                <w:snapToGrid w:val="0"/>
                <w:sz w:val="24"/>
                <w:szCs w:val="24"/>
                <w:lang w:val="fr-FR"/>
              </w:rPr>
              <w:t>hors OHCHR</w:t>
            </w:r>
            <w:r w:rsidR="00A3658C">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B71FBE3" w:rsidR="00006EC0" w:rsidRPr="000F43A8" w:rsidRDefault="00916E2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AD16CD">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5DF24897" w:rsidR="00970F4C" w:rsidRPr="000263D6"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AD16CD">
              <w:rPr>
                <w:lang w:val="fr-FR"/>
              </w:rPr>
              <w:t xml:space="preserve"> </w:t>
            </w:r>
            <w:r w:rsidR="00970F4C" w:rsidRPr="000F43A8">
              <w:rPr>
                <w:lang w:val="fr-FR"/>
              </w:rPr>
              <w:t xml:space="preserve">: </w:t>
            </w:r>
            <w:r w:rsidR="000263D6" w:rsidRPr="00EA13D1">
              <w:rPr>
                <w:lang w:val="fr-FR"/>
              </w:rPr>
              <w:t>N/A</w:t>
            </w:r>
          </w:p>
          <w:p w14:paraId="00AF6414" w14:textId="78071BF8" w:rsidR="00006EC0" w:rsidRPr="000263D6"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AD16CD">
              <w:rPr>
                <w:lang w:val="fr-FR"/>
              </w:rPr>
              <w:t xml:space="preserve"> </w:t>
            </w:r>
            <w:r w:rsidR="00006EC0" w:rsidRPr="000F43A8">
              <w:rPr>
                <w:lang w:val="fr-FR"/>
              </w:rPr>
              <w:t xml:space="preserve">: </w:t>
            </w:r>
            <w:r w:rsidR="000263D6" w:rsidRPr="00EA13D1">
              <w:rPr>
                <w:lang w:val="fr-FR"/>
              </w:rPr>
              <w:t>N/A</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64CC4" w14:paraId="0DF7F010" w14:textId="77777777" w:rsidTr="00F23D0F">
        <w:trPr>
          <w:trHeight w:val="1124"/>
        </w:trPr>
        <w:tc>
          <w:tcPr>
            <w:tcW w:w="10080" w:type="dxa"/>
            <w:gridSpan w:val="2"/>
          </w:tcPr>
          <w:p w14:paraId="0084A294" w14:textId="095E2CAB" w:rsidR="009B18EB" w:rsidRPr="00AD16CD"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D16CD" w:rsidRPr="00AD16CD">
              <w:rPr>
                <w:b/>
                <w:bCs/>
                <w:iCs/>
                <w:lang w:val="fr-FR"/>
              </w:rPr>
              <w:t>G</w:t>
            </w:r>
            <w:r w:rsidR="00AD16CD">
              <w:rPr>
                <w:b/>
                <w:bCs/>
                <w:iCs/>
                <w:lang w:val="fr-FR"/>
              </w:rPr>
              <w:t>M 2</w:t>
            </w:r>
          </w:p>
          <w:p w14:paraId="7B5DB9E4" w14:textId="571C7513" w:rsidR="009B18EB" w:rsidRPr="00AD16CD"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D16CD" w:rsidRPr="00AD16CD">
              <w:rPr>
                <w:b/>
                <w:bCs/>
                <w:iCs/>
                <w:lang w:val="fr-FR"/>
              </w:rPr>
              <w:t>M</w:t>
            </w:r>
            <w:r w:rsidR="00AD16CD">
              <w:rPr>
                <w:b/>
                <w:bCs/>
                <w:iCs/>
                <w:lang w:val="fr-FR"/>
              </w:rPr>
              <w:t>oyen</w:t>
            </w:r>
          </w:p>
          <w:p w14:paraId="55B14D86" w14:textId="004CB02C"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0263D6">
              <w:rPr>
                <w:b/>
                <w:bCs/>
                <w:iCs/>
                <w:lang w:val="fr-FR"/>
              </w:rPr>
              <w:t>Dialogue Politique/Consolidation de la Paix</w:t>
            </w:r>
          </w:p>
        </w:tc>
      </w:tr>
      <w:tr w:rsidR="00793DE6" w:rsidRPr="00364CC4"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4B2AF13F"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916E28">
              <w:rPr>
                <w:lang w:val="fr-FR"/>
              </w:rPr>
              <w:t>Emmanuel Djounoumbi M&amp;E secrétariat PBF</w:t>
            </w:r>
          </w:p>
          <w:p w14:paraId="4F7F6063" w14:textId="2182CB94"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00AD16CD">
              <w:rPr>
                <w:lang w:val="fr-FR"/>
              </w:rPr>
              <w:t xml:space="preserve"> </w:t>
            </w:r>
            <w:r w:rsidR="00916E28">
              <w:rPr>
                <w:lang w:val="fr-FR"/>
              </w:rPr>
              <w:t xml:space="preserve">Ibrahima Barry, Coordonnateur secrétariat PBF </w:t>
            </w:r>
          </w:p>
          <w:p w14:paraId="64A19D37" w14:textId="2720C3A3"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AD16CD">
              <w:rPr>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3CBFA0BF" w:rsidR="00F778A1" w:rsidRPr="00BB2636" w:rsidRDefault="00F778A1" w:rsidP="004A3333">
      <w:pPr>
        <w:ind w:left="-810"/>
        <w:jc w:val="both"/>
        <w:rPr>
          <w:b/>
          <w:bCs/>
          <w:lang w:val="fr-FR"/>
        </w:rPr>
      </w:pPr>
      <w:r w:rsidRPr="00BB2636">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BB2636">
        <w:rPr>
          <w:b/>
          <w:bCs/>
          <w:lang w:val="fr-FR"/>
        </w:rPr>
        <w:t>):</w:t>
      </w:r>
      <w:proofErr w:type="gramEnd"/>
      <w:r w:rsidRPr="00BB2636">
        <w:rPr>
          <w:b/>
          <w:bCs/>
          <w:lang w:val="fr-FR"/>
        </w:rPr>
        <w:t xml:space="preserve"> </w:t>
      </w:r>
    </w:p>
    <w:p w14:paraId="1E86A1C5" w14:textId="77777777" w:rsidR="00BB2636" w:rsidRPr="00BB2636" w:rsidRDefault="00BB2636" w:rsidP="00F778A1">
      <w:pPr>
        <w:ind w:left="-810"/>
        <w:rPr>
          <w:lang w:val="fr-FR"/>
        </w:rPr>
      </w:pPr>
    </w:p>
    <w:p w14:paraId="0CBF5A24" w14:textId="5F1987EB" w:rsidR="00BB2636" w:rsidRPr="002E6998" w:rsidRDefault="00BB2636" w:rsidP="00BB2636">
      <w:pPr>
        <w:jc w:val="both"/>
        <w:rPr>
          <w:lang w:val="fr-FR"/>
        </w:rPr>
      </w:pPr>
      <w:r w:rsidRPr="002E6998">
        <w:rPr>
          <w:lang w:val="fr-FR"/>
        </w:rPr>
        <w:t xml:space="preserve">Le projet de transition Secrétariat, Réconciliation et réconciliation nationale </w:t>
      </w:r>
      <w:r w:rsidR="000263D6">
        <w:rPr>
          <w:lang w:val="fr-FR"/>
        </w:rPr>
        <w:t xml:space="preserve">a </w:t>
      </w:r>
      <w:r w:rsidRPr="002E6998">
        <w:rPr>
          <w:lang w:val="fr-FR"/>
        </w:rPr>
        <w:t>conn</w:t>
      </w:r>
      <w:r w:rsidR="000263D6">
        <w:rPr>
          <w:lang w:val="fr-FR"/>
        </w:rPr>
        <w:t>u</w:t>
      </w:r>
      <w:r w:rsidRPr="002E6998">
        <w:rPr>
          <w:lang w:val="fr-FR"/>
        </w:rPr>
        <w:t xml:space="preserve"> une mise en œuvre relativement fluide. L'ensemble des activités préparatoires</w:t>
      </w:r>
      <w:r w:rsidR="000263D6">
        <w:rPr>
          <w:lang w:val="fr-FR"/>
        </w:rPr>
        <w:t xml:space="preserve"> y compris le recrutement du staff</w:t>
      </w:r>
      <w:r w:rsidRPr="002E6998">
        <w:rPr>
          <w:lang w:val="fr-FR"/>
        </w:rPr>
        <w:t xml:space="preserve"> ont été mises en œuvre depuis 2017 et le projet a fait l'objet en décembre 2017 d'une extension avec coût additionnel jusqu'en juin 2019</w:t>
      </w:r>
      <w:r w:rsidRPr="00B63902">
        <w:rPr>
          <w:lang w:val="fr-FR"/>
        </w:rPr>
        <w:t xml:space="preserve">, </w:t>
      </w:r>
      <w:r w:rsidRPr="00EA13D1">
        <w:rPr>
          <w:lang w:val="fr-FR"/>
        </w:rPr>
        <w:t>puis d'une extension avec coût jusqu'en juin 2020</w:t>
      </w:r>
      <w:r w:rsidRPr="002E6998">
        <w:rPr>
          <w:lang w:val="fr-FR"/>
        </w:rPr>
        <w:t xml:space="preserve"> pour que le Secrétariat puisse accompagner la mise en œuvre du nouveau portefeuille de projets. </w:t>
      </w:r>
    </w:p>
    <w:p w14:paraId="23F1C503" w14:textId="77777777" w:rsidR="00BB2636" w:rsidRPr="002E6998" w:rsidRDefault="00BB2636" w:rsidP="00BB2636">
      <w:pPr>
        <w:jc w:val="both"/>
        <w:rPr>
          <w:lang w:val="fr-FR"/>
        </w:rPr>
      </w:pPr>
    </w:p>
    <w:p w14:paraId="0D1FC4D5" w14:textId="434FBD97" w:rsidR="00BB2636" w:rsidRDefault="00BB2636" w:rsidP="00BB2636">
      <w:pPr>
        <w:jc w:val="both"/>
        <w:rPr>
          <w:lang w:val="fr-FR"/>
        </w:rPr>
      </w:pPr>
      <w:r w:rsidRPr="002E6998">
        <w:rPr>
          <w:lang w:val="fr-FR"/>
        </w:rPr>
        <w:t>La mise en œuvre du volet cohésion sociale avec l'appui à l'élaboration de la Stratégie Nationale de Prévention et de Gestion des Conflits a connu quelques retard</w:t>
      </w:r>
      <w:r w:rsidRPr="00024C69">
        <w:rPr>
          <w:lang w:val="fr-FR"/>
        </w:rPr>
        <w:t>s</w:t>
      </w:r>
      <w:r w:rsidRPr="002E6998">
        <w:rPr>
          <w:lang w:val="fr-FR"/>
        </w:rPr>
        <w:t xml:space="preserve"> dus à la priorisation des activités au sein du Ministère de l'Unité Nationale et de la Citoyenneté. </w:t>
      </w:r>
      <w:r w:rsidR="000263D6">
        <w:rPr>
          <w:lang w:val="fr-FR"/>
        </w:rPr>
        <w:t>Toutefois, l</w:t>
      </w:r>
      <w:r w:rsidRPr="002E6998">
        <w:rPr>
          <w:lang w:val="fr-FR"/>
        </w:rPr>
        <w:t>a Stratégie</w:t>
      </w:r>
      <w:r w:rsidRPr="007459F6">
        <w:rPr>
          <w:lang w:val="fr-FR"/>
        </w:rPr>
        <w:t>, assortie d'un plan d'action sur 3 ans,</w:t>
      </w:r>
      <w:r w:rsidRPr="002E6998">
        <w:rPr>
          <w:lang w:val="fr-FR"/>
        </w:rPr>
        <w:t xml:space="preserve"> </w:t>
      </w:r>
      <w:r w:rsidRPr="007459F6">
        <w:rPr>
          <w:lang w:val="fr-FR"/>
        </w:rPr>
        <w:t xml:space="preserve">a été techniquement </w:t>
      </w:r>
      <w:r w:rsidRPr="002E6998">
        <w:rPr>
          <w:lang w:val="fr-FR"/>
        </w:rPr>
        <w:t xml:space="preserve">validée au cours d'un atelier national </w:t>
      </w:r>
      <w:r w:rsidRPr="007459F6">
        <w:rPr>
          <w:lang w:val="fr-FR"/>
        </w:rPr>
        <w:t>tenu</w:t>
      </w:r>
      <w:r w:rsidRPr="001A3240">
        <w:rPr>
          <w:lang w:val="fr-FR"/>
        </w:rPr>
        <w:t xml:space="preserve"> les </w:t>
      </w:r>
      <w:r w:rsidRPr="007459F6">
        <w:rPr>
          <w:lang w:val="fr-FR"/>
        </w:rPr>
        <w:t>13</w:t>
      </w:r>
      <w:r w:rsidRPr="00056CF6">
        <w:rPr>
          <w:lang w:val="fr-FR"/>
        </w:rPr>
        <w:t xml:space="preserve">, </w:t>
      </w:r>
      <w:r w:rsidRPr="001A3240">
        <w:rPr>
          <w:lang w:val="fr-FR"/>
        </w:rPr>
        <w:t>14</w:t>
      </w:r>
      <w:r w:rsidRPr="00056CF6">
        <w:rPr>
          <w:lang w:val="fr-FR"/>
        </w:rPr>
        <w:t xml:space="preserve"> et</w:t>
      </w:r>
      <w:r w:rsidRPr="001A3240">
        <w:rPr>
          <w:lang w:val="fr-FR"/>
        </w:rPr>
        <w:t xml:space="preserve"> 15 novembre 2018.</w:t>
      </w:r>
      <w:r w:rsidRPr="002E6998">
        <w:rPr>
          <w:lang w:val="fr-FR"/>
        </w:rPr>
        <w:t xml:space="preserve"> </w:t>
      </w:r>
      <w:r w:rsidRPr="00B63902">
        <w:rPr>
          <w:lang w:val="fr-FR"/>
        </w:rPr>
        <w:t>Après un changement à la tête du Ministère de l'Unité Nationale et de la Citoyenneté</w:t>
      </w:r>
      <w:r w:rsidRPr="00056CF6">
        <w:rPr>
          <w:lang w:val="fr-FR"/>
        </w:rPr>
        <w:t xml:space="preserve"> (nomination d'un nouveau ministre)</w:t>
      </w:r>
      <w:r w:rsidRPr="00B63902">
        <w:rPr>
          <w:lang w:val="fr-FR"/>
        </w:rPr>
        <w:t xml:space="preserve">, la Stratégie Nationale de Prévention et de Gestion des Conflits a été politiquement validée en Conseil des Ministres </w:t>
      </w:r>
      <w:r w:rsidRPr="00056CF6">
        <w:rPr>
          <w:lang w:val="fr-FR"/>
        </w:rPr>
        <w:t>courant</w:t>
      </w:r>
      <w:r w:rsidRPr="00B63902">
        <w:rPr>
          <w:lang w:val="fr-FR"/>
        </w:rPr>
        <w:t xml:space="preserve"> avril 2019. </w:t>
      </w:r>
    </w:p>
    <w:p w14:paraId="5D51853E" w14:textId="77777777" w:rsidR="000263D6" w:rsidRDefault="000263D6" w:rsidP="00BB2636">
      <w:pPr>
        <w:jc w:val="both"/>
        <w:rPr>
          <w:lang w:val="fr-FR"/>
        </w:rPr>
      </w:pPr>
    </w:p>
    <w:p w14:paraId="702DD954" w14:textId="40A6E2A4" w:rsidR="00F778A1" w:rsidRDefault="00BB2636" w:rsidP="00BB2636">
      <w:pPr>
        <w:jc w:val="both"/>
        <w:rPr>
          <w:lang w:val="fr-FR"/>
        </w:rPr>
      </w:pPr>
      <w:r w:rsidRPr="002E6998">
        <w:rPr>
          <w:lang w:val="fr-FR"/>
        </w:rPr>
        <w:t xml:space="preserve">Le volet Réconciliation Nationale quant à lui est </w:t>
      </w:r>
      <w:r w:rsidRPr="0043373C">
        <w:rPr>
          <w:lang w:val="fr-FR"/>
        </w:rPr>
        <w:t xml:space="preserve">toujours </w:t>
      </w:r>
      <w:r w:rsidRPr="002E6998">
        <w:rPr>
          <w:lang w:val="fr-FR"/>
        </w:rPr>
        <w:t>à l'arrêt, étant tributaire de la transmission de l'avant-projet de loi sur la "Commission Vérité</w:t>
      </w:r>
      <w:r w:rsidRPr="00056CF6">
        <w:rPr>
          <w:lang w:val="fr-FR"/>
        </w:rPr>
        <w:t xml:space="preserve"> Réconciliation</w:t>
      </w:r>
      <w:r w:rsidRPr="002E6998">
        <w:rPr>
          <w:lang w:val="fr-FR"/>
        </w:rPr>
        <w:t>" à l'Assemblée Nationale</w:t>
      </w:r>
      <w:r w:rsidR="000263D6">
        <w:rPr>
          <w:lang w:val="fr-FR"/>
        </w:rPr>
        <w:t xml:space="preserve"> </w:t>
      </w:r>
      <w:r w:rsidR="000263D6" w:rsidRPr="00EA13D1">
        <w:rPr>
          <w:lang w:val="fr-FR"/>
        </w:rPr>
        <w:t>qui vient d’être renouvelée à la suite du double scrutin du 22 mars 2020</w:t>
      </w:r>
      <w:r w:rsidRPr="00EA13D1">
        <w:rPr>
          <w:lang w:val="fr-FR"/>
        </w:rPr>
        <w:t>.</w:t>
      </w:r>
      <w:r w:rsidRPr="002E6998">
        <w:rPr>
          <w:lang w:val="fr-FR"/>
        </w:rPr>
        <w:t xml:space="preserve"> Cette décision est conditionnée par des décisions hautement politiques.</w:t>
      </w:r>
    </w:p>
    <w:p w14:paraId="0A97D454" w14:textId="77777777" w:rsidR="00BB2636" w:rsidRPr="00BB2636" w:rsidRDefault="00BB2636" w:rsidP="00BB2636">
      <w:pPr>
        <w:ind w:left="-810"/>
        <w:rPr>
          <w:lang w:val="fr-FR"/>
        </w:rPr>
      </w:pPr>
    </w:p>
    <w:p w14:paraId="29F76E31" w14:textId="1AF70415" w:rsidR="00161D02" w:rsidRPr="004A3333" w:rsidRDefault="00F778A1" w:rsidP="004A3333">
      <w:pPr>
        <w:ind w:left="-810"/>
        <w:jc w:val="both"/>
        <w:rPr>
          <w:b/>
          <w:bCs/>
          <w:lang w:val="fr-FR"/>
        </w:rPr>
      </w:pPr>
      <w:r w:rsidRPr="004A3333">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4A3333">
        <w:rPr>
          <w:b/>
          <w:bCs/>
          <w:lang w:val="fr-FR"/>
        </w:rPr>
        <w:t>(</w:t>
      </w:r>
      <w:r w:rsidRPr="004A3333">
        <w:rPr>
          <w:b/>
          <w:bCs/>
          <w:lang w:val="fr-FR"/>
        </w:rPr>
        <w:t>limite de 1000 caractères</w:t>
      </w:r>
      <w:proofErr w:type="gramStart"/>
      <w:r w:rsidR="00161D02" w:rsidRPr="004A3333">
        <w:rPr>
          <w:b/>
          <w:bCs/>
          <w:lang w:val="fr-FR"/>
        </w:rPr>
        <w:t>):</w:t>
      </w:r>
      <w:proofErr w:type="gramEnd"/>
      <w:r w:rsidR="00161D02" w:rsidRPr="004A3333">
        <w:rPr>
          <w:b/>
          <w:bCs/>
          <w:lang w:val="fr-FR"/>
        </w:rPr>
        <w:t xml:space="preserve"> </w:t>
      </w:r>
    </w:p>
    <w:p w14:paraId="1EF272CA" w14:textId="6C4A4711" w:rsidR="004A3333" w:rsidRDefault="004A3333" w:rsidP="004A3333">
      <w:pPr>
        <w:ind w:right="-154"/>
        <w:rPr>
          <w:lang w:val="fr-FR"/>
        </w:rPr>
      </w:pPr>
      <w:r>
        <w:rPr>
          <w:lang w:val="fr-FR"/>
        </w:rPr>
        <w:t xml:space="preserve"> Le projet est en voie de clôture. </w:t>
      </w:r>
      <w:r w:rsidR="00783D5C">
        <w:rPr>
          <w:lang w:val="fr-FR"/>
        </w:rPr>
        <w:t>L’évaluation du PPC2 a été réalisée en 2017, le rapport est disponible.</w:t>
      </w:r>
    </w:p>
    <w:p w14:paraId="5AF44368" w14:textId="77777777" w:rsidR="004A3333" w:rsidRPr="004A3333" w:rsidRDefault="004A3333" w:rsidP="004A3333">
      <w:pPr>
        <w:ind w:right="-154"/>
        <w:rPr>
          <w:lang w:val="fr-FR"/>
        </w:rPr>
      </w:pPr>
    </w:p>
    <w:p w14:paraId="49A86CE3" w14:textId="77777777" w:rsidR="00F778A1" w:rsidRPr="004A3333" w:rsidRDefault="00F778A1" w:rsidP="004A3333">
      <w:pPr>
        <w:ind w:left="-810" w:right="-154"/>
        <w:jc w:val="both"/>
        <w:rPr>
          <w:b/>
          <w:bCs/>
          <w:lang w:val="fr-FR"/>
        </w:rPr>
      </w:pPr>
      <w:r w:rsidRPr="004A3333">
        <w:rPr>
          <w:b/>
          <w:bCs/>
          <w:lang w:val="fr-FR"/>
        </w:rPr>
        <w:t>POUR LES PROJETS DANS LES SIX DERNIERS MOIS DE MISE EN ŒUVRE :</w:t>
      </w:r>
    </w:p>
    <w:p w14:paraId="5D660B18" w14:textId="798CF29F" w:rsidR="008C782A" w:rsidRPr="004A3333" w:rsidRDefault="00476758" w:rsidP="004A3333">
      <w:pPr>
        <w:ind w:left="-810" w:right="-154"/>
        <w:jc w:val="both"/>
        <w:rPr>
          <w:b/>
          <w:bCs/>
          <w:lang w:val="fr-FR"/>
        </w:rPr>
      </w:pPr>
      <w:r w:rsidRPr="004A3333">
        <w:rPr>
          <w:b/>
          <w:bCs/>
          <w:lang w:val="fr-FR"/>
        </w:rPr>
        <w:t>Résumez</w:t>
      </w:r>
      <w:r w:rsidR="00F778A1" w:rsidRPr="004A3333">
        <w:rPr>
          <w:b/>
          <w:bCs/>
          <w:lang w:val="fr-FR"/>
        </w:rPr>
        <w:t xml:space="preserve"> </w:t>
      </w:r>
      <w:r w:rsidRPr="004A3333">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A3333">
        <w:rPr>
          <w:b/>
          <w:bCs/>
          <w:lang w:val="fr-FR"/>
        </w:rPr>
        <w:t xml:space="preserve"> </w:t>
      </w:r>
      <w:r w:rsidR="008C782A" w:rsidRPr="004A3333">
        <w:rPr>
          <w:b/>
          <w:bCs/>
          <w:lang w:val="fr-FR"/>
        </w:rPr>
        <w:t>(</w:t>
      </w:r>
      <w:proofErr w:type="gramStart"/>
      <w:r w:rsidR="008C782A" w:rsidRPr="004A3333">
        <w:rPr>
          <w:b/>
          <w:bCs/>
          <w:lang w:val="fr-FR"/>
        </w:rPr>
        <w:t>limit</w:t>
      </w:r>
      <w:r w:rsidRPr="004A3333">
        <w:rPr>
          <w:b/>
          <w:bCs/>
          <w:lang w:val="fr-FR"/>
        </w:rPr>
        <w:t>e</w:t>
      </w:r>
      <w:proofErr w:type="gramEnd"/>
      <w:r w:rsidR="00916E28">
        <w:rPr>
          <w:b/>
          <w:bCs/>
          <w:lang w:val="fr-FR"/>
        </w:rPr>
        <w:t xml:space="preserve"> </w:t>
      </w:r>
      <w:r w:rsidRPr="004A3333">
        <w:rPr>
          <w:b/>
          <w:bCs/>
          <w:lang w:val="fr-FR"/>
        </w:rPr>
        <w:t>de 1500 caractères</w:t>
      </w:r>
      <w:r w:rsidR="008C782A" w:rsidRPr="004A3333">
        <w:rPr>
          <w:b/>
          <w:bCs/>
          <w:lang w:val="fr-FR"/>
        </w:rPr>
        <w:t xml:space="preserve">): </w:t>
      </w:r>
    </w:p>
    <w:p w14:paraId="53D431A0" w14:textId="77777777" w:rsidR="004A3333" w:rsidRPr="003B60E5" w:rsidRDefault="004A3333" w:rsidP="004A3333">
      <w:pPr>
        <w:jc w:val="both"/>
        <w:rPr>
          <w:lang w:val="fr-FR"/>
        </w:rPr>
      </w:pPr>
      <w:r w:rsidRPr="003B60E5">
        <w:rPr>
          <w:lang w:val="fr-FR"/>
        </w:rPr>
        <w:t>Le projet en lui-même n'a pas produit de résultats majeurs de consolidation de la Paix, les principaux résultats devant être atteint par les projets du portefeuille.</w:t>
      </w:r>
    </w:p>
    <w:p w14:paraId="0E80B2E0" w14:textId="77777777" w:rsidR="004A3333" w:rsidRPr="003B60E5" w:rsidRDefault="004A3333" w:rsidP="004A3333">
      <w:pPr>
        <w:jc w:val="both"/>
        <w:rPr>
          <w:lang w:val="fr-FR"/>
        </w:rPr>
      </w:pPr>
    </w:p>
    <w:p w14:paraId="7A5AF67D" w14:textId="400EC6CB" w:rsidR="004A3333" w:rsidRPr="003B60E5" w:rsidRDefault="004A3333" w:rsidP="004A3333">
      <w:pPr>
        <w:jc w:val="both"/>
        <w:rPr>
          <w:lang w:val="fr-FR"/>
        </w:rPr>
      </w:pPr>
      <w:r w:rsidRPr="003B60E5">
        <w:rPr>
          <w:lang w:val="fr-FR"/>
        </w:rPr>
        <w:lastRenderedPageBreak/>
        <w:t xml:space="preserve">Les processus pour l'atteinte de résultats importants de consolidation de la Paix sont en cours dans le volet cohésion sociale : la Stratégie Nationale de Prévention et Gestion des Conflits ainsi que l'Architecture Nationale de </w:t>
      </w:r>
      <w:r w:rsidR="00066B9B" w:rsidRPr="003B60E5">
        <w:rPr>
          <w:lang w:val="fr-FR"/>
        </w:rPr>
        <w:t>Paix permettront</w:t>
      </w:r>
      <w:r w:rsidRPr="003B60E5">
        <w:rPr>
          <w:lang w:val="fr-FR"/>
        </w:rPr>
        <w:t xml:space="preserve"> de jeter des bases durables et uniques de la consolidation de la Paix en Guinée</w:t>
      </w:r>
      <w:r w:rsidR="00783D5C">
        <w:rPr>
          <w:lang w:val="fr-FR"/>
        </w:rPr>
        <w:t xml:space="preserve"> à travers </w:t>
      </w:r>
      <w:r w:rsidR="00783D5C" w:rsidRPr="00EA13D1">
        <w:rPr>
          <w:lang w:val="fr-FR"/>
        </w:rPr>
        <w:t>le projet ISP en Guinée Forestière</w:t>
      </w:r>
      <w:r w:rsidR="00783D5C">
        <w:rPr>
          <w:lang w:val="fr-FR"/>
        </w:rPr>
        <w:t xml:space="preserve"> qui servira de base pour la mise en place de ladite architecture nationale</w:t>
      </w:r>
      <w:r w:rsidRPr="003B60E5">
        <w:rPr>
          <w:lang w:val="fr-FR"/>
        </w:rPr>
        <w:t>.</w:t>
      </w:r>
    </w:p>
    <w:p w14:paraId="0EAF25AE" w14:textId="174C8E77" w:rsidR="004A3333" w:rsidRPr="003B60E5" w:rsidRDefault="004A3333" w:rsidP="004A3333">
      <w:pPr>
        <w:jc w:val="both"/>
        <w:rPr>
          <w:lang w:val="fr-FR"/>
        </w:rPr>
      </w:pPr>
      <w:r w:rsidRPr="002D541C">
        <w:rPr>
          <w:lang w:val="fr-FR"/>
        </w:rPr>
        <w:t>A la primature, les conseillers sectoriels du Premier Ministre prennent part aux différents comités techniques de suivi des projets</w:t>
      </w:r>
      <w:r w:rsidR="00D215E4">
        <w:rPr>
          <w:lang w:val="fr-FR"/>
        </w:rPr>
        <w:t xml:space="preserve"> </w:t>
      </w:r>
      <w:r w:rsidR="00D215E4" w:rsidRPr="00EA13D1">
        <w:rPr>
          <w:lang w:val="fr-FR"/>
        </w:rPr>
        <w:t>et assurent si nécessaire des interventions auprès des ministères en leur charge</w:t>
      </w:r>
      <w:r w:rsidRPr="00EA13D1">
        <w:rPr>
          <w:lang w:val="fr-FR"/>
        </w:rPr>
        <w:t>.</w:t>
      </w:r>
      <w:r w:rsidRPr="002D541C">
        <w:rPr>
          <w:lang w:val="fr-FR"/>
        </w:rPr>
        <w:t xml:space="preserve"> </w:t>
      </w:r>
    </w:p>
    <w:p w14:paraId="6910DC5F" w14:textId="4EFF36CD" w:rsidR="00364CC4" w:rsidRPr="00066B9B" w:rsidRDefault="004A3333" w:rsidP="004A3333">
      <w:pPr>
        <w:jc w:val="both"/>
        <w:rPr>
          <w:i/>
          <w:iCs/>
          <w:lang w:val="fr-FR"/>
        </w:rPr>
      </w:pPr>
      <w:r w:rsidRPr="008509F4">
        <w:rPr>
          <w:lang w:val="fr-FR"/>
        </w:rPr>
        <w:t xml:space="preserve">Pour le Conseiller en charge du Partenariat Public Privé du premier Ministre, " </w:t>
      </w:r>
      <w:r w:rsidRPr="00066B9B">
        <w:rPr>
          <w:b/>
          <w:bCs/>
          <w:i/>
          <w:iCs/>
          <w:lang w:val="fr-FR"/>
        </w:rPr>
        <w:t xml:space="preserve">…le PBF est un excellent partenaire de notre pays pour améliorer les méthodes de travail de nos administrations et un bon outil de mobilisation des </w:t>
      </w:r>
      <w:r w:rsidR="00066B9B" w:rsidRPr="00066B9B">
        <w:rPr>
          <w:b/>
          <w:bCs/>
          <w:i/>
          <w:iCs/>
          <w:lang w:val="fr-FR"/>
        </w:rPr>
        <w:t>ressources</w:t>
      </w:r>
      <w:r w:rsidRPr="00066B9B">
        <w:rPr>
          <w:b/>
          <w:bCs/>
          <w:i/>
          <w:iCs/>
          <w:lang w:val="fr-FR"/>
        </w:rPr>
        <w:t xml:space="preserve"> dont le pays a besoin pour répondre aux défis de consolidation de la paix et de cohésion sociale en Guinée…</w:t>
      </w:r>
      <w:r w:rsidRPr="00066B9B">
        <w:rPr>
          <w:i/>
          <w:iCs/>
          <w:lang w:val="fr-FR"/>
        </w:rPr>
        <w:t>".</w:t>
      </w:r>
      <w:r w:rsidR="00066B9B">
        <w:rPr>
          <w:i/>
          <w:iCs/>
          <w:lang w:val="fr-FR"/>
        </w:rPr>
        <w:t xml:space="preserve"> Fin de citation</w:t>
      </w:r>
      <w:r w:rsidR="00364CC4">
        <w:rPr>
          <w:i/>
          <w:iCs/>
          <w:lang w:val="fr-FR"/>
        </w:rPr>
        <w:t>.</w:t>
      </w:r>
    </w:p>
    <w:p w14:paraId="40C6D250" w14:textId="77777777" w:rsidR="00476758" w:rsidRPr="004A3333" w:rsidRDefault="00476758" w:rsidP="008C782A">
      <w:pPr>
        <w:ind w:left="-810"/>
        <w:rPr>
          <w:lang w:val="fr-FR"/>
        </w:rPr>
      </w:pPr>
    </w:p>
    <w:p w14:paraId="267F15F7" w14:textId="05AC99C5" w:rsidR="008C782A" w:rsidRDefault="00476758" w:rsidP="004A3333">
      <w:pPr>
        <w:ind w:left="-810"/>
        <w:jc w:val="both"/>
        <w:rPr>
          <w:b/>
          <w:bCs/>
          <w:lang w:val="fr-FR"/>
        </w:rPr>
      </w:pPr>
      <w:r w:rsidRPr="004A3333">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066B9B" w:rsidRPr="004A3333">
        <w:rPr>
          <w:b/>
          <w:bCs/>
          <w:lang w:val="fr-FR"/>
        </w:rPr>
        <w:t>Limite</w:t>
      </w:r>
      <w:r w:rsidRPr="004A3333">
        <w:rPr>
          <w:b/>
          <w:bCs/>
          <w:lang w:val="fr-FR"/>
        </w:rPr>
        <w:t xml:space="preserve"> de 2000 caractères)</w:t>
      </w:r>
      <w:r w:rsidR="00D215E4">
        <w:rPr>
          <w:b/>
          <w:bCs/>
          <w:lang w:val="fr-FR"/>
        </w:rPr>
        <w:t xml:space="preserve"> </w:t>
      </w:r>
      <w:r w:rsidRPr="004A3333">
        <w:rPr>
          <w:b/>
          <w:bCs/>
          <w:lang w:val="fr-FR"/>
        </w:rPr>
        <w:t>:</w:t>
      </w:r>
    </w:p>
    <w:p w14:paraId="5AD14E7B" w14:textId="77777777" w:rsidR="004A3333" w:rsidRPr="004A3333" w:rsidRDefault="004A3333" w:rsidP="004A3333">
      <w:pPr>
        <w:ind w:left="-810"/>
        <w:jc w:val="both"/>
        <w:rPr>
          <w:b/>
          <w:bCs/>
          <w:lang w:val="fr-FR"/>
        </w:rPr>
      </w:pPr>
    </w:p>
    <w:p w14:paraId="2A736DB9" w14:textId="70CE845B" w:rsidR="004A3333" w:rsidRDefault="004A3333" w:rsidP="004A3333">
      <w:pPr>
        <w:jc w:val="both"/>
        <w:rPr>
          <w:lang w:val="fr-FR"/>
        </w:rPr>
      </w:pPr>
      <w:r w:rsidRPr="003B60E5">
        <w:rPr>
          <w:lang w:val="fr-FR"/>
        </w:rPr>
        <w:t>Le projet en lui-même n'a pas eu un impact humain réel, ceux-ci devant être atteint par l</w:t>
      </w:r>
      <w:r w:rsidR="000A62DC">
        <w:rPr>
          <w:lang w:val="fr-FR"/>
        </w:rPr>
        <w:t>’</w:t>
      </w:r>
      <w:r w:rsidRPr="003B60E5">
        <w:rPr>
          <w:lang w:val="fr-FR"/>
        </w:rPr>
        <w:t>e</w:t>
      </w:r>
      <w:r w:rsidR="000A62DC">
        <w:rPr>
          <w:lang w:val="fr-FR"/>
        </w:rPr>
        <w:t>nsemble des projets du</w:t>
      </w:r>
      <w:r w:rsidRPr="003B60E5">
        <w:rPr>
          <w:lang w:val="fr-FR"/>
        </w:rPr>
        <w:t xml:space="preserve"> portefeuille</w:t>
      </w:r>
      <w:r w:rsidR="00066B9B">
        <w:rPr>
          <w:lang w:val="fr-FR"/>
        </w:rPr>
        <w:t>. L</w:t>
      </w:r>
      <w:r w:rsidRPr="00442800">
        <w:rPr>
          <w:lang w:val="fr-FR"/>
        </w:rPr>
        <w:t>es retards des volets cohésion sociale et réconciliation nationale n'ont pas permis d'influer substantiveme</w:t>
      </w:r>
      <w:r w:rsidRPr="000C72AE">
        <w:rPr>
          <w:lang w:val="fr-FR"/>
        </w:rPr>
        <w:t>n</w:t>
      </w:r>
      <w:r w:rsidRPr="00442800">
        <w:rPr>
          <w:lang w:val="fr-FR"/>
        </w:rPr>
        <w:t>t sur la vie des bénéficiaires indirects.</w:t>
      </w:r>
      <w:r w:rsidR="00066B9B">
        <w:rPr>
          <w:lang w:val="fr-FR"/>
        </w:rPr>
        <w:t xml:space="preserve"> </w:t>
      </w:r>
    </w:p>
    <w:p w14:paraId="10BCF363" w14:textId="77777777" w:rsidR="00A3658C" w:rsidRDefault="00A3658C" w:rsidP="00A3658C">
      <w:pPr>
        <w:jc w:val="both"/>
        <w:rPr>
          <w:lang w:val="fr-FR"/>
        </w:rPr>
      </w:pPr>
    </w:p>
    <w:p w14:paraId="6BE08A7C" w14:textId="202D9BC1" w:rsidR="00A3658C" w:rsidRPr="002B021A" w:rsidRDefault="00A3658C" w:rsidP="00A3658C">
      <w:pPr>
        <w:jc w:val="both"/>
        <w:rPr>
          <w:lang w:val="fr-FR"/>
        </w:rPr>
      </w:pPr>
      <w:r w:rsidRPr="00EA13D1">
        <w:rPr>
          <w:lang w:val="fr-FR"/>
        </w:rPr>
        <w:t>Le projet a permis aux conseillers du Premier Ministre points focaux du PBF d’effectuer des missions de terrain à l’intérieur du pays, ce qui leur a permis de comprendre les méthodes et les pratiques des services déconcentrés de l’administration dans leur mission d’accompagnement des initiatives et de leur implication effective dans la mise en œuvre des projets.</w:t>
      </w:r>
    </w:p>
    <w:p w14:paraId="3DB88C06" w14:textId="77777777" w:rsidR="00A3658C" w:rsidRPr="00442800" w:rsidRDefault="00A3658C" w:rsidP="004A3333">
      <w:pPr>
        <w:jc w:val="both"/>
        <w:rPr>
          <w:lang w:val="fr-FR"/>
        </w:rPr>
      </w:pPr>
    </w:p>
    <w:p w14:paraId="5CD4843F" w14:textId="12DE2B9A" w:rsidR="004A3333" w:rsidRPr="00594CFC" w:rsidRDefault="004A3333" w:rsidP="004A3333">
      <w:pPr>
        <w:jc w:val="both"/>
        <w:rPr>
          <w:lang w:val="fr-FR"/>
        </w:rPr>
      </w:pPr>
      <w:r w:rsidRPr="00175AC7">
        <w:rPr>
          <w:lang w:val="fr-FR"/>
        </w:rPr>
        <w:t>Le M</w:t>
      </w:r>
      <w:r w:rsidR="00066B9B">
        <w:rPr>
          <w:lang w:val="fr-FR"/>
        </w:rPr>
        <w:t>inistère de la Citoyenneté et de l’</w:t>
      </w:r>
      <w:r w:rsidRPr="00175AC7">
        <w:rPr>
          <w:lang w:val="fr-FR"/>
        </w:rPr>
        <w:t>U</w:t>
      </w:r>
      <w:r w:rsidR="00066B9B">
        <w:rPr>
          <w:lang w:val="fr-FR"/>
        </w:rPr>
        <w:t xml:space="preserve">nité </w:t>
      </w:r>
      <w:r w:rsidRPr="00175AC7">
        <w:rPr>
          <w:lang w:val="fr-FR"/>
        </w:rPr>
        <w:t>N</w:t>
      </w:r>
      <w:r w:rsidR="00066B9B">
        <w:rPr>
          <w:lang w:val="fr-FR"/>
        </w:rPr>
        <w:t>ationale</w:t>
      </w:r>
      <w:r w:rsidR="000A62DC">
        <w:rPr>
          <w:lang w:val="fr-FR"/>
        </w:rPr>
        <w:t xml:space="preserve"> (MCUN)</w:t>
      </w:r>
      <w:r w:rsidRPr="00175AC7">
        <w:rPr>
          <w:lang w:val="fr-FR"/>
        </w:rPr>
        <w:t xml:space="preserve"> a été fortement appuyé par le projet au cours de la période de référence et les efforts ont abouti à la validation technique</w:t>
      </w:r>
      <w:r w:rsidRPr="000C72AE">
        <w:rPr>
          <w:lang w:val="fr-FR"/>
        </w:rPr>
        <w:t xml:space="preserve"> (novembre 2018) et politique (avril 2019)</w:t>
      </w:r>
      <w:r w:rsidRPr="00175AC7">
        <w:rPr>
          <w:lang w:val="fr-FR"/>
        </w:rPr>
        <w:t xml:space="preserve"> de la stratégie nationale de prévention des conflits. </w:t>
      </w:r>
    </w:p>
    <w:p w14:paraId="37855B68" w14:textId="77777777" w:rsidR="00066B9B" w:rsidRDefault="00066B9B" w:rsidP="004A3333">
      <w:pPr>
        <w:jc w:val="both"/>
        <w:rPr>
          <w:lang w:val="fr-FR"/>
        </w:rPr>
      </w:pPr>
    </w:p>
    <w:p w14:paraId="75634B0E" w14:textId="3AEBE7DD" w:rsidR="000A62DC" w:rsidRDefault="004A3333" w:rsidP="004A3333">
      <w:pPr>
        <w:jc w:val="both"/>
        <w:rPr>
          <w:lang w:val="fr-FR"/>
        </w:rPr>
      </w:pPr>
      <w:r w:rsidRPr="00175AC7">
        <w:rPr>
          <w:lang w:val="fr-FR"/>
        </w:rPr>
        <w:t xml:space="preserve">M. Baldé, </w:t>
      </w:r>
      <w:r w:rsidRPr="000C72AE">
        <w:rPr>
          <w:lang w:val="fr-FR"/>
        </w:rPr>
        <w:t xml:space="preserve">ancien </w:t>
      </w:r>
      <w:r w:rsidRPr="00175AC7">
        <w:rPr>
          <w:lang w:val="fr-FR"/>
        </w:rPr>
        <w:t xml:space="preserve">directeur </w:t>
      </w:r>
      <w:r w:rsidRPr="000C72AE">
        <w:rPr>
          <w:lang w:val="fr-FR"/>
        </w:rPr>
        <w:t xml:space="preserve">national </w:t>
      </w:r>
      <w:r w:rsidRPr="00175AC7">
        <w:rPr>
          <w:lang w:val="fr-FR"/>
        </w:rPr>
        <w:t>de la prévention des conflits du M</w:t>
      </w:r>
      <w:r w:rsidRPr="002B021A">
        <w:rPr>
          <w:lang w:val="fr-FR"/>
        </w:rPr>
        <w:t>C</w:t>
      </w:r>
      <w:r w:rsidR="000A62DC">
        <w:rPr>
          <w:lang w:val="fr-FR"/>
        </w:rPr>
        <w:t>UN dis, citation</w:t>
      </w:r>
      <w:r w:rsidRPr="00175AC7">
        <w:rPr>
          <w:lang w:val="fr-FR"/>
        </w:rPr>
        <w:t>: "</w:t>
      </w:r>
      <w:r w:rsidRPr="000A62DC">
        <w:rPr>
          <w:i/>
          <w:iCs/>
          <w:lang w:val="fr-FR"/>
        </w:rPr>
        <w:t>l'appui technique du projet et du PBF a été primordial dans la conception et la mise en œuvre du processus d'élaboration et de validation de la stratégie nationale de prévention des conflits et de renforcement de la citoyenneté, qui est un document phare pour la promotion de la bonne gouvernance, de la cohésion sociale, la pérennisation de la paix et la prospérité future de la Guinée dans le cadre de la vision Guinée 2040 du Gouvernemen</w:t>
      </w:r>
      <w:r w:rsidRPr="002B021A">
        <w:rPr>
          <w:lang w:val="fr-FR"/>
        </w:rPr>
        <w:t>t".</w:t>
      </w:r>
      <w:r w:rsidR="000A62DC">
        <w:rPr>
          <w:lang w:val="fr-FR"/>
        </w:rPr>
        <w:t xml:space="preserve"> Fin de citation</w:t>
      </w:r>
    </w:p>
    <w:p w14:paraId="1C5FB50B" w14:textId="77777777" w:rsidR="0016319A" w:rsidRDefault="0016319A" w:rsidP="004A3333">
      <w:pPr>
        <w:jc w:val="both"/>
        <w:rPr>
          <w:lang w:val="fr-FR"/>
        </w:rPr>
      </w:pPr>
    </w:p>
    <w:p w14:paraId="793C9A94" w14:textId="4993CE1E" w:rsidR="00F5504F" w:rsidRPr="00476758" w:rsidRDefault="00476758" w:rsidP="00476758">
      <w:pPr>
        <w:rPr>
          <w:b/>
          <w:u w:val="single"/>
          <w:lang w:val="fr-FR"/>
        </w:rPr>
      </w:pPr>
      <w:r w:rsidRPr="00476758">
        <w:rPr>
          <w:b/>
          <w:u w:val="single"/>
          <w:lang w:val="fr-FR"/>
        </w:rPr>
        <w:t>Partie II</w:t>
      </w:r>
      <w:r w:rsidR="00D215E4">
        <w:rPr>
          <w:b/>
          <w:u w:val="single"/>
          <w:lang w:val="fr-FR"/>
        </w:rPr>
        <w:t xml:space="preserve"> </w:t>
      </w:r>
      <w:r w:rsidRPr="00476758">
        <w:rPr>
          <w:b/>
          <w:u w:val="single"/>
          <w:lang w:val="fr-FR"/>
        </w:rPr>
        <w:t>: Progrès par Résultat du projet</w:t>
      </w:r>
    </w:p>
    <w:p w14:paraId="25032849" w14:textId="77777777" w:rsidR="00476758" w:rsidRPr="00476758" w:rsidRDefault="00476758" w:rsidP="00476758">
      <w:pPr>
        <w:rPr>
          <w:b/>
          <w:u w:val="single"/>
          <w:lang w:val="fr-FR"/>
        </w:rPr>
      </w:pPr>
    </w:p>
    <w:p w14:paraId="052D5090" w14:textId="51CCE987" w:rsidR="005D15A3" w:rsidRPr="00BF4E1E" w:rsidRDefault="005D15A3" w:rsidP="005D15A3">
      <w:pPr>
        <w:ind w:left="-810"/>
        <w:rPr>
          <w:i/>
          <w:lang w:val="fr-FR"/>
        </w:rPr>
      </w:pPr>
      <w:r w:rsidRPr="005D15A3">
        <w:rPr>
          <w:i/>
          <w:lang w:val="fr-FR"/>
        </w:rPr>
        <w:t>Décrire les principaux progrès réalisés au cours de la période considérée (pour les rapports de juin</w:t>
      </w:r>
      <w:r w:rsidR="00A3658C">
        <w:rPr>
          <w:i/>
          <w:lang w:val="fr-FR"/>
        </w:rPr>
        <w:t xml:space="preserve"> </w:t>
      </w:r>
      <w:r w:rsidRPr="005D15A3">
        <w:rPr>
          <w:i/>
          <w:lang w:val="fr-FR"/>
        </w:rPr>
        <w:t>: janvier-juin</w:t>
      </w:r>
      <w:r>
        <w:rPr>
          <w:i/>
          <w:lang w:val="fr-FR"/>
        </w:rPr>
        <w:t> ;</w:t>
      </w:r>
      <w:r w:rsidRPr="005D15A3">
        <w:rPr>
          <w:i/>
          <w:lang w:val="fr-FR"/>
        </w:rPr>
        <w:t xml:space="preserve"> pour les rapports de novembre</w:t>
      </w:r>
      <w:r w:rsidR="00A3658C">
        <w:rPr>
          <w:i/>
          <w:lang w:val="fr-FR"/>
        </w:rPr>
        <w:t xml:space="preserve"> </w:t>
      </w:r>
      <w:r w:rsidRPr="005D15A3">
        <w:rPr>
          <w:i/>
          <w:lang w:val="fr-FR"/>
        </w:rPr>
        <w:t>: janvier-novembre</w:t>
      </w:r>
      <w:r>
        <w:rPr>
          <w:i/>
          <w:lang w:val="fr-FR"/>
        </w:rPr>
        <w:t> ;</w:t>
      </w:r>
      <w:r w:rsidRPr="005D15A3">
        <w:rPr>
          <w:i/>
          <w:lang w:val="fr-FR"/>
        </w:rPr>
        <w:t xml:space="preserve"> pour les rapports finaux</w:t>
      </w:r>
      <w:r w:rsidR="00A3658C">
        <w:rPr>
          <w:i/>
          <w:lang w:val="fr-FR"/>
        </w:rPr>
        <w:t xml:space="preserve"> </w:t>
      </w:r>
      <w:r w:rsidRPr="005D15A3">
        <w:rPr>
          <w:i/>
          <w:lang w:val="fr-FR"/>
        </w:rPr>
        <w:t>: durée totale du projet)</w:t>
      </w:r>
      <w:r>
        <w:rPr>
          <w:i/>
          <w:lang w:val="fr-FR"/>
        </w:rPr>
        <w:t>. Prière de ne pas</w:t>
      </w:r>
      <w:r w:rsidRPr="005D15A3">
        <w:rPr>
          <w:i/>
          <w:lang w:val="fr-FR"/>
        </w:rPr>
        <w:t xml:space="preserve"> énumérer toutes les activités individuelles). </w:t>
      </w:r>
      <w:r w:rsidRPr="00BF4E1E">
        <w:rPr>
          <w:i/>
          <w:lang w:val="fr-FR"/>
        </w:rPr>
        <w:t xml:space="preserve">Si le projet commence à faire / a fait une différence au niveau des résultats, fournissez des </w:t>
      </w:r>
      <w:r w:rsidRPr="00BF4E1E">
        <w:rPr>
          <w:i/>
          <w:lang w:val="fr-FR"/>
        </w:rPr>
        <w:lastRenderedPageBreak/>
        <w:t>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5F95CF8"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4A3333" w:rsidRPr="00A71841">
        <w:rPr>
          <w:lang w:val="fr-FR"/>
        </w:rPr>
        <w:t>Le Secrétariat Permanent accompagne la clôture du Second Plan Prioritaire de Consolidation de la Paix, met en place les mécanismes nécessaires à l’élaboration participative de projets pour la prochaine phase d’appui du PBF et accompagne la mise en œuvre de ces projets.</w:t>
      </w:r>
    </w:p>
    <w:p w14:paraId="6A528501" w14:textId="77777777" w:rsidR="005D15A3" w:rsidRPr="00615EA3" w:rsidRDefault="005D15A3" w:rsidP="005D15A3">
      <w:pPr>
        <w:ind w:left="-720"/>
        <w:rPr>
          <w:b/>
          <w:lang w:val="fr-FR"/>
        </w:rPr>
      </w:pPr>
    </w:p>
    <w:p w14:paraId="7AC56A13" w14:textId="77F157F5" w:rsidR="005D15A3" w:rsidRPr="004A333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9D1215">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CB4867" w:rsidRPr="005D15A3">
        <w:rPr>
          <w:i/>
          <w:lang w:val="fr-FR"/>
        </w:rPr>
        <w:t xml:space="preserve">On </w:t>
      </w:r>
      <w:proofErr w:type="spellStart"/>
      <w:r w:rsidR="00CB4867" w:rsidRPr="005D15A3">
        <w:rPr>
          <w:i/>
          <w:lang w:val="fr-FR"/>
        </w:rPr>
        <w:t>track</w:t>
      </w:r>
      <w:proofErr w:type="spellEnd"/>
      <w:r w:rsidR="00CB4867" w:rsidRPr="005D15A3">
        <w:rPr>
          <w:i/>
          <w:lang w:val="fr-FR"/>
        </w:rPr>
        <w:t xml:space="preserve"> </w:t>
      </w:r>
      <w:proofErr w:type="spellStart"/>
      <w:r w:rsidR="00CB4867" w:rsidRPr="005D15A3">
        <w:rPr>
          <w:i/>
          <w:lang w:val="fr-FR"/>
        </w:rPr>
        <w:t>with</w:t>
      </w:r>
      <w:proofErr w:type="spellEnd"/>
      <w:r w:rsidR="00CB4867" w:rsidRPr="005D15A3">
        <w:rPr>
          <w:i/>
          <w:lang w:val="fr-FR"/>
        </w:rPr>
        <w:t xml:space="preserve"> </w:t>
      </w:r>
      <w:proofErr w:type="spellStart"/>
      <w:r w:rsidR="00CB4867" w:rsidRPr="005D15A3">
        <w:rPr>
          <w:i/>
          <w:lang w:val="fr-FR"/>
        </w:rPr>
        <w:t>peacebuilding</w:t>
      </w:r>
      <w:proofErr w:type="spellEnd"/>
      <w:r w:rsidR="00CB4867" w:rsidRPr="005D15A3">
        <w:rPr>
          <w:i/>
          <w:lang w:val="fr-FR"/>
        </w:rPr>
        <w:t xml:space="preserve"> </w:t>
      </w:r>
      <w:proofErr w:type="spellStart"/>
      <w:r w:rsidR="00CB4867" w:rsidRPr="005D15A3">
        <w:rPr>
          <w:i/>
          <w:lang w:val="fr-FR"/>
        </w:rPr>
        <w:t>results</w:t>
      </w:r>
      <w:proofErr w:type="spellEnd"/>
    </w:p>
    <w:p w14:paraId="02835EA1" w14:textId="77777777" w:rsidR="002E1CED" w:rsidRPr="005D15A3" w:rsidRDefault="002E1CED" w:rsidP="00323ABC">
      <w:pPr>
        <w:ind w:left="-720"/>
        <w:jc w:val="both"/>
        <w:rPr>
          <w:b/>
          <w:lang w:val="fr-FR"/>
        </w:rPr>
      </w:pPr>
    </w:p>
    <w:p w14:paraId="04D2068E" w14:textId="004875AE" w:rsidR="005216B2" w:rsidRPr="005D15A3" w:rsidRDefault="004A3333" w:rsidP="005D15A3">
      <w:pPr>
        <w:ind w:left="-720"/>
        <w:jc w:val="both"/>
        <w:rPr>
          <w:i/>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sidR="009D1215">
        <w:rPr>
          <w:rFonts w:ascii="inherit" w:hAnsi="inherit"/>
          <w:b/>
          <w:bCs/>
          <w:color w:val="212121"/>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17808F9F" w14:textId="77777777" w:rsidR="00C04D17" w:rsidRPr="00C04D17" w:rsidRDefault="00C04D17" w:rsidP="00736709">
      <w:pPr>
        <w:autoSpaceDE w:val="0"/>
        <w:spacing w:after="120"/>
        <w:jc w:val="both"/>
        <w:rPr>
          <w:rFonts w:ascii="Arial Italic" w:hAnsi="Arial Italic" w:cs="Arial"/>
          <w:lang w:val="fr-FR"/>
        </w:rPr>
      </w:pPr>
    </w:p>
    <w:p w14:paraId="630B2B19" w14:textId="23D5A957" w:rsidR="00736709" w:rsidRPr="00C04D17" w:rsidRDefault="00736709" w:rsidP="00736709">
      <w:pPr>
        <w:autoSpaceDE w:val="0"/>
        <w:spacing w:after="120"/>
        <w:jc w:val="both"/>
        <w:rPr>
          <w:lang w:val="fr-FR"/>
        </w:rPr>
      </w:pPr>
      <w:r w:rsidRPr="00C04D17">
        <w:rPr>
          <w:lang w:val="fr-FR"/>
        </w:rPr>
        <w:t>Dans le cadre de la 1</w:t>
      </w:r>
      <w:r w:rsidRPr="00C04D17">
        <w:rPr>
          <w:vertAlign w:val="superscript"/>
          <w:lang w:val="fr-FR"/>
        </w:rPr>
        <w:t>ère</w:t>
      </w:r>
      <w:r w:rsidRPr="00C04D17">
        <w:rPr>
          <w:lang w:val="fr-FR"/>
        </w:rPr>
        <w:t xml:space="preserve"> période de la troisième phase d’appui, janvier 2017 à juin 2019 ; ce sont 8,7 millions USD qui ont été mobilisés tandis que la 2</w:t>
      </w:r>
      <w:r w:rsidRPr="00C04D17">
        <w:rPr>
          <w:vertAlign w:val="superscript"/>
          <w:lang w:val="fr-FR"/>
        </w:rPr>
        <w:t>nd</w:t>
      </w:r>
      <w:r w:rsidRPr="00C04D17">
        <w:rPr>
          <w:lang w:val="fr-FR"/>
        </w:rPr>
        <w:t xml:space="preserve"> période actuelle couvrant juin 2019 à décembre 2022 </w:t>
      </w:r>
      <w:r w:rsidR="00364CC4">
        <w:rPr>
          <w:lang w:val="fr-FR"/>
        </w:rPr>
        <w:t>mobilise</w:t>
      </w:r>
      <w:r w:rsidRPr="00C04D17">
        <w:rPr>
          <w:lang w:val="fr-FR"/>
        </w:rPr>
        <w:t xml:space="preserve"> environ $18 millions</w:t>
      </w:r>
      <w:r w:rsidR="00C04D17" w:rsidRPr="00C04D17">
        <w:rPr>
          <w:lang w:val="fr-FR"/>
        </w:rPr>
        <w:t xml:space="preserve"> (nouveaux et anciens projets)</w:t>
      </w:r>
      <w:r w:rsidR="00C04D17">
        <w:rPr>
          <w:lang w:val="fr-FR"/>
        </w:rPr>
        <w:t xml:space="preserve"> pour </w:t>
      </w:r>
      <w:r w:rsidR="00171856">
        <w:rPr>
          <w:lang w:val="fr-FR"/>
        </w:rPr>
        <w:t>une quinzaine de 15 projets</w:t>
      </w:r>
      <w:r w:rsidRPr="00C04D17">
        <w:rPr>
          <w:lang w:val="fr-FR"/>
        </w:rPr>
        <w:t>.</w:t>
      </w:r>
    </w:p>
    <w:p w14:paraId="458B3559" w14:textId="5E473E00" w:rsidR="004A3333" w:rsidRPr="00A71841" w:rsidRDefault="004A3333" w:rsidP="004A3333">
      <w:pPr>
        <w:jc w:val="both"/>
        <w:rPr>
          <w:lang w:val="fr-FR"/>
        </w:rPr>
      </w:pPr>
      <w:r w:rsidRPr="00A71841">
        <w:rPr>
          <w:lang w:val="fr-FR"/>
        </w:rPr>
        <w:t>L'élaboration de ces projets est le fruit de processus participatifs impliquant le Gouvernement</w:t>
      </w:r>
      <w:r w:rsidR="009D1215">
        <w:rPr>
          <w:lang w:val="fr-FR"/>
        </w:rPr>
        <w:t>,</w:t>
      </w:r>
      <w:r w:rsidRPr="00A71841">
        <w:rPr>
          <w:lang w:val="fr-FR"/>
        </w:rPr>
        <w:t xml:space="preserve"> les agences du SNU</w:t>
      </w:r>
      <w:r w:rsidR="009D1215">
        <w:rPr>
          <w:lang w:val="fr-FR"/>
        </w:rPr>
        <w:t xml:space="preserve"> et des </w:t>
      </w:r>
      <w:proofErr w:type="spellStart"/>
      <w:r w:rsidR="009D1215">
        <w:rPr>
          <w:lang w:val="fr-FR"/>
        </w:rPr>
        <w:t>ONGs</w:t>
      </w:r>
      <w:proofErr w:type="spellEnd"/>
      <w:r w:rsidRPr="00A71841">
        <w:rPr>
          <w:lang w:val="fr-FR"/>
        </w:rPr>
        <w:t xml:space="preserve">. Ils se basent sur les leçons apprises de la mise en œuvre du Second Plan Prioritaire de Consolidation de la Paix (PPCP2) et notamment son évaluation indépendante, les recommandations de la revue de la Déclaration d'engagements Mutuels menées par la Commission de Consolidation de la Paix ainsi que les conclusions de l'analyse participative nationale des conflits (juillet 2017). </w:t>
      </w:r>
    </w:p>
    <w:p w14:paraId="088A7153" w14:textId="77777777" w:rsidR="004A3333" w:rsidRPr="00A71841" w:rsidRDefault="004A3333" w:rsidP="004A3333">
      <w:pPr>
        <w:jc w:val="both"/>
        <w:rPr>
          <w:lang w:val="fr-FR"/>
        </w:rPr>
      </w:pPr>
    </w:p>
    <w:p w14:paraId="422A3666" w14:textId="33AB4DC7" w:rsidR="004A3333" w:rsidRDefault="004A3333" w:rsidP="004A3333">
      <w:pPr>
        <w:jc w:val="both"/>
        <w:rPr>
          <w:lang w:val="fr-FR"/>
        </w:rPr>
      </w:pPr>
      <w:r w:rsidRPr="000C72AE">
        <w:rPr>
          <w:lang w:val="fr-FR"/>
        </w:rPr>
        <w:t>L</w:t>
      </w:r>
      <w:r w:rsidRPr="00A71841">
        <w:rPr>
          <w:lang w:val="fr-FR"/>
        </w:rPr>
        <w:t xml:space="preserve">e Secrétariat a soutenu le renforcement de la redevabilité mutuelle entre agences du SNU et Gouvernement : </w:t>
      </w:r>
      <w:r w:rsidR="00876B5B">
        <w:rPr>
          <w:lang w:val="fr-FR"/>
        </w:rPr>
        <w:t>14</w:t>
      </w:r>
      <w:r w:rsidRPr="00A71841">
        <w:rPr>
          <w:lang w:val="fr-FR"/>
        </w:rPr>
        <w:t xml:space="preserve"> comités de pilotages</w:t>
      </w:r>
      <w:r w:rsidRPr="00C430FE">
        <w:rPr>
          <w:lang w:val="fr-FR"/>
        </w:rPr>
        <w:t xml:space="preserve">, </w:t>
      </w:r>
      <w:r w:rsidR="00876B5B">
        <w:rPr>
          <w:lang w:val="fr-FR"/>
        </w:rPr>
        <w:t>28</w:t>
      </w:r>
      <w:r w:rsidRPr="00C430FE">
        <w:rPr>
          <w:lang w:val="fr-FR"/>
        </w:rPr>
        <w:t xml:space="preserve"> comités techniques de suivi</w:t>
      </w:r>
      <w:r w:rsidRPr="00A71841">
        <w:rPr>
          <w:lang w:val="fr-FR"/>
        </w:rPr>
        <w:t xml:space="preserve"> et </w:t>
      </w:r>
      <w:r w:rsidRPr="00C430FE">
        <w:rPr>
          <w:lang w:val="fr-FR"/>
        </w:rPr>
        <w:t>plusieurs autres</w:t>
      </w:r>
      <w:r w:rsidRPr="00A71841">
        <w:rPr>
          <w:lang w:val="fr-FR"/>
        </w:rPr>
        <w:t xml:space="preserve"> rencontres techniques, </w:t>
      </w:r>
      <w:r w:rsidR="00171856">
        <w:rPr>
          <w:lang w:val="fr-FR"/>
        </w:rPr>
        <w:t>4</w:t>
      </w:r>
      <w:r w:rsidRPr="00A71841">
        <w:rPr>
          <w:lang w:val="fr-FR"/>
        </w:rPr>
        <w:t xml:space="preserve"> mission</w:t>
      </w:r>
      <w:r w:rsidRPr="008106C2">
        <w:rPr>
          <w:lang w:val="fr-FR"/>
        </w:rPr>
        <w:t>s</w:t>
      </w:r>
      <w:r w:rsidRPr="00A71841">
        <w:rPr>
          <w:lang w:val="fr-FR"/>
        </w:rPr>
        <w:t xml:space="preserve"> </w:t>
      </w:r>
      <w:r w:rsidRPr="000C72AE">
        <w:rPr>
          <w:lang w:val="fr-FR"/>
        </w:rPr>
        <w:t>de suivi conjointe</w:t>
      </w:r>
      <w:r w:rsidRPr="008106C2">
        <w:rPr>
          <w:lang w:val="fr-FR"/>
        </w:rPr>
        <w:t>s</w:t>
      </w:r>
      <w:r w:rsidRPr="000C72AE">
        <w:rPr>
          <w:lang w:val="fr-FR"/>
        </w:rPr>
        <w:t xml:space="preserve"> avec la Primature en Guinée Forestière</w:t>
      </w:r>
      <w:r w:rsidR="009D1215">
        <w:rPr>
          <w:lang w:val="fr-FR"/>
        </w:rPr>
        <w:t xml:space="preserve"> et</w:t>
      </w:r>
      <w:r w:rsidRPr="008106C2">
        <w:rPr>
          <w:lang w:val="fr-FR"/>
        </w:rPr>
        <w:t xml:space="preserve"> Basse Guinée. </w:t>
      </w:r>
    </w:p>
    <w:p w14:paraId="6875B833" w14:textId="77777777" w:rsidR="004A3333" w:rsidRDefault="004A3333" w:rsidP="004A3333">
      <w:pPr>
        <w:jc w:val="both"/>
        <w:rPr>
          <w:lang w:val="fr-FR"/>
        </w:rPr>
      </w:pPr>
    </w:p>
    <w:p w14:paraId="072871DE" w14:textId="6F941100" w:rsidR="004A3333" w:rsidRPr="00FE7A43" w:rsidRDefault="00171856" w:rsidP="004A3333">
      <w:pPr>
        <w:jc w:val="both"/>
        <w:rPr>
          <w:lang w:val="fr-FR"/>
        </w:rPr>
      </w:pPr>
      <w:r w:rsidRPr="00FE7A43">
        <w:rPr>
          <w:lang w:val="fr-FR"/>
        </w:rPr>
        <w:t>L</w:t>
      </w:r>
      <w:r w:rsidR="004A3333" w:rsidRPr="00FE7A43">
        <w:rPr>
          <w:lang w:val="fr-FR"/>
        </w:rPr>
        <w:t xml:space="preserve">e Secrétariat a aussi fortement appuyé les agences dans la préparation des projets en réponse </w:t>
      </w:r>
      <w:r w:rsidRPr="00FE7A43">
        <w:rPr>
          <w:lang w:val="fr-FR"/>
        </w:rPr>
        <w:t xml:space="preserve">aux </w:t>
      </w:r>
      <w:r w:rsidR="004A3333" w:rsidRPr="00FE7A43">
        <w:rPr>
          <w:lang w:val="fr-FR"/>
        </w:rPr>
        <w:t>appel</w:t>
      </w:r>
      <w:r w:rsidRPr="00FE7A43">
        <w:rPr>
          <w:lang w:val="fr-FR"/>
        </w:rPr>
        <w:t>s</w:t>
      </w:r>
      <w:r w:rsidR="004A3333" w:rsidRPr="00FE7A43">
        <w:rPr>
          <w:lang w:val="fr-FR"/>
        </w:rPr>
        <w:t xml:space="preserve"> à proposition GYPI</w:t>
      </w:r>
      <w:r w:rsidRPr="00FE7A43">
        <w:rPr>
          <w:lang w:val="fr-FR"/>
        </w:rPr>
        <w:t xml:space="preserve"> 201</w:t>
      </w:r>
      <w:r w:rsidR="00FE7A43" w:rsidRPr="00FE7A43">
        <w:rPr>
          <w:lang w:val="fr-FR"/>
        </w:rPr>
        <w:t>8</w:t>
      </w:r>
      <w:r w:rsidRPr="00FE7A43">
        <w:rPr>
          <w:lang w:val="fr-FR"/>
        </w:rPr>
        <w:t xml:space="preserve">, </w:t>
      </w:r>
      <w:r w:rsidR="004A3333" w:rsidRPr="00FE7A43">
        <w:rPr>
          <w:lang w:val="fr-FR"/>
        </w:rPr>
        <w:t>2019</w:t>
      </w:r>
      <w:r w:rsidR="00FE7A43" w:rsidRPr="00FE7A43">
        <w:rPr>
          <w:lang w:val="fr-FR"/>
        </w:rPr>
        <w:t xml:space="preserve"> et 2020</w:t>
      </w:r>
      <w:r w:rsidRPr="00FE7A43">
        <w:rPr>
          <w:lang w:val="fr-FR"/>
        </w:rPr>
        <w:t xml:space="preserve"> </w:t>
      </w:r>
      <w:r w:rsidR="004A3333" w:rsidRPr="00FE7A43">
        <w:rPr>
          <w:lang w:val="fr-FR"/>
        </w:rPr>
        <w:t xml:space="preserve">et </w:t>
      </w:r>
      <w:r w:rsidR="00FE7A43" w:rsidRPr="00FE7A43">
        <w:rPr>
          <w:lang w:val="fr-FR"/>
        </w:rPr>
        <w:t xml:space="preserve">à </w:t>
      </w:r>
      <w:r w:rsidR="004A3333" w:rsidRPr="00FE7A43">
        <w:rPr>
          <w:lang w:val="fr-FR"/>
        </w:rPr>
        <w:t>a</w:t>
      </w:r>
      <w:r w:rsidR="00FE7A43" w:rsidRPr="00FE7A43">
        <w:rPr>
          <w:lang w:val="fr-FR"/>
        </w:rPr>
        <w:t>ccompagner</w:t>
      </w:r>
      <w:r w:rsidR="004A3333" w:rsidRPr="00FE7A43">
        <w:rPr>
          <w:lang w:val="fr-FR"/>
        </w:rPr>
        <w:t xml:space="preserve"> l'élaboration </w:t>
      </w:r>
      <w:r w:rsidR="00FE7A43" w:rsidRPr="00FE7A43">
        <w:rPr>
          <w:lang w:val="fr-FR"/>
        </w:rPr>
        <w:t xml:space="preserve">de plusieurs notes conceptuelles dans le cadre de la programmation régulière </w:t>
      </w:r>
      <w:r w:rsidR="004A3333" w:rsidRPr="00FE7A43">
        <w:rPr>
          <w:lang w:val="fr-FR"/>
        </w:rPr>
        <w:t>visant à répondre aux défis annoncés du nouveau cycle électoral 2019-2020 (législatives, présidentielle, référendum sur la constitution). Pour le GYPI 2019, trois projets sur quatre soumis au second tour ont été retenu pour la Guinée.</w:t>
      </w:r>
    </w:p>
    <w:p w14:paraId="6AEEDD42" w14:textId="77777777" w:rsidR="0016319A" w:rsidRDefault="0016319A" w:rsidP="004A3333">
      <w:pPr>
        <w:jc w:val="both"/>
        <w:rPr>
          <w:lang w:val="fr-FR"/>
        </w:rPr>
      </w:pPr>
    </w:p>
    <w:p w14:paraId="35A5165C" w14:textId="396ECE58" w:rsidR="004A3333" w:rsidRDefault="004A3333" w:rsidP="004A3333">
      <w:pPr>
        <w:jc w:val="both"/>
        <w:rPr>
          <w:lang w:val="fr-FR"/>
        </w:rPr>
      </w:pPr>
      <w:r w:rsidRPr="00FE7A43">
        <w:rPr>
          <w:lang w:val="fr-FR"/>
        </w:rPr>
        <w:t>Enfin le Secrétariat a appuyé le renforcement de l'inter-communication des départements ministériels sur les projets menés conjointement.</w:t>
      </w:r>
    </w:p>
    <w:p w14:paraId="3D816E9B" w14:textId="07B5091F" w:rsidR="0016319A" w:rsidRDefault="0016319A" w:rsidP="0016319A">
      <w:pPr>
        <w:jc w:val="both"/>
        <w:rPr>
          <w:lang w:val="fr-FR"/>
        </w:rPr>
      </w:pPr>
      <w:r>
        <w:rPr>
          <w:lang w:val="fr-FR"/>
        </w:rPr>
        <w:lastRenderedPageBreak/>
        <w:t xml:space="preserve">Une enquête de perception réalisée auprès des agences du SNU, les administrations publiques et </w:t>
      </w:r>
      <w:proofErr w:type="spellStart"/>
      <w:r>
        <w:rPr>
          <w:lang w:val="fr-FR"/>
        </w:rPr>
        <w:t>ONGs</w:t>
      </w:r>
      <w:proofErr w:type="spellEnd"/>
      <w:r>
        <w:rPr>
          <w:lang w:val="fr-FR"/>
        </w:rPr>
        <w:t xml:space="preserve"> partenaires en 2019 a révélé que 52% des répondants sont satisfait de l’appui technique du Secrétariat sur la conception et la rédaction des projets. </w:t>
      </w:r>
    </w:p>
    <w:p w14:paraId="297CF279" w14:textId="77777777" w:rsidR="0016319A" w:rsidRPr="004A3333" w:rsidRDefault="0016319A" w:rsidP="0016319A">
      <w:pPr>
        <w:jc w:val="both"/>
        <w:rPr>
          <w:b/>
          <w:lang w:val="fr-FR"/>
        </w:rPr>
      </w:pPr>
    </w:p>
    <w:p w14:paraId="4B6AAB29" w14:textId="603BE3B1" w:rsidR="00323ABC" w:rsidRDefault="005D15A3" w:rsidP="002B497B">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9D1215">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49AD916" w14:textId="73870E62" w:rsidR="002B497B" w:rsidRDefault="002B497B" w:rsidP="002B497B">
      <w:pPr>
        <w:ind w:left="-720"/>
        <w:rPr>
          <w:b/>
          <w:lang w:val="fr-FR"/>
        </w:rPr>
      </w:pPr>
    </w:p>
    <w:p w14:paraId="1F3FCD4D" w14:textId="53990746" w:rsidR="002B497B" w:rsidRDefault="002B497B" w:rsidP="00E814D4">
      <w:pPr>
        <w:ind w:left="-720"/>
        <w:jc w:val="both"/>
        <w:rPr>
          <w:bCs/>
          <w:lang w:val="fr-FR"/>
        </w:rPr>
      </w:pPr>
      <w:r w:rsidRPr="002B497B">
        <w:rPr>
          <w:bCs/>
          <w:lang w:val="fr-FR"/>
        </w:rPr>
        <w:t>Une attention particulière a été accordée à la prise en compte du genre</w:t>
      </w:r>
      <w:r>
        <w:rPr>
          <w:bCs/>
          <w:lang w:val="fr-FR"/>
        </w:rPr>
        <w:t xml:space="preserve"> et de l’autonomisation des femmes </w:t>
      </w:r>
      <w:r w:rsidRPr="002B497B">
        <w:rPr>
          <w:bCs/>
          <w:lang w:val="fr-FR"/>
        </w:rPr>
        <w:t>dans l’ensemble des projets du portefeuille</w:t>
      </w:r>
      <w:r>
        <w:rPr>
          <w:bCs/>
          <w:lang w:val="fr-FR"/>
        </w:rPr>
        <w:t>. Ainsi</w:t>
      </w:r>
      <w:r w:rsidRPr="002B497B">
        <w:rPr>
          <w:bCs/>
          <w:lang w:val="fr-FR"/>
        </w:rPr>
        <w:t xml:space="preserve"> </w:t>
      </w:r>
      <w:r w:rsidR="00E814D4">
        <w:rPr>
          <w:bCs/>
          <w:lang w:val="fr-FR"/>
        </w:rPr>
        <w:t xml:space="preserve">pendant </w:t>
      </w:r>
      <w:r w:rsidRPr="002B497B">
        <w:rPr>
          <w:bCs/>
          <w:lang w:val="fr-FR"/>
        </w:rPr>
        <w:t>la conception et la rédaction</w:t>
      </w:r>
      <w:r w:rsidR="00E814D4">
        <w:rPr>
          <w:bCs/>
          <w:lang w:val="fr-FR"/>
        </w:rPr>
        <w:t xml:space="preserve"> des projets, les orientations du Secrétariat ont permis aux Agences et autres </w:t>
      </w:r>
      <w:proofErr w:type="spellStart"/>
      <w:r w:rsidR="00E814D4">
        <w:rPr>
          <w:bCs/>
          <w:lang w:val="fr-FR"/>
        </w:rPr>
        <w:t>ONGs</w:t>
      </w:r>
      <w:proofErr w:type="spellEnd"/>
      <w:r w:rsidR="00E814D4">
        <w:rPr>
          <w:bCs/>
          <w:lang w:val="fr-FR"/>
        </w:rPr>
        <w:t xml:space="preserve">, d’intégrer systématiquement les questions de l’égalité de sexe et d’autonomisation des femmes/inclusion et la réactivité aux besoins des jeunes dans les documents de projet. </w:t>
      </w:r>
    </w:p>
    <w:p w14:paraId="52C1FBC3" w14:textId="77777777" w:rsidR="002B497B" w:rsidRPr="002B497B" w:rsidRDefault="002B497B" w:rsidP="002B497B">
      <w:pPr>
        <w:ind w:left="-720"/>
        <w:rPr>
          <w:bCs/>
          <w:lang w:val="fr-FR"/>
        </w:rPr>
      </w:pPr>
    </w:p>
    <w:p w14:paraId="563533E9" w14:textId="30504588" w:rsidR="00675507" w:rsidRPr="003A0013" w:rsidRDefault="00675507" w:rsidP="008E6CE8">
      <w:pPr>
        <w:ind w:left="-720"/>
        <w:jc w:val="both"/>
        <w:rPr>
          <w:b/>
          <w:lang w:val="fr-FR"/>
        </w:rPr>
      </w:pPr>
      <w:r w:rsidRPr="003A0013">
        <w:rPr>
          <w:b/>
          <w:u w:val="single"/>
          <w:lang w:val="fr-FR"/>
        </w:rPr>
        <w:t xml:space="preserve">Résultat </w:t>
      </w:r>
      <w:proofErr w:type="gramStart"/>
      <w:r w:rsidRPr="003A0013">
        <w:rPr>
          <w:b/>
          <w:u w:val="single"/>
          <w:lang w:val="fr-FR"/>
        </w:rPr>
        <w:t>2:</w:t>
      </w:r>
      <w:proofErr w:type="gramEnd"/>
      <w:r w:rsidRPr="003A0013">
        <w:rPr>
          <w:b/>
          <w:lang w:val="fr-FR"/>
        </w:rPr>
        <w:t xml:space="preserve">  </w:t>
      </w:r>
      <w:r w:rsidR="008E6CE8" w:rsidRPr="003A0013">
        <w:rPr>
          <w:b/>
          <w:lang w:val="fr-FR"/>
        </w:rPr>
        <w:t>La primature opérationnalise les recommandations urgentes et prioritaires de la Commission Provisoire de Réflexion sur la Réconciliation Nationale en posant les bases institutionnelles du processus de réconciliation qui intègre la justice transitionnelle avec l’appui du HCDH.</w:t>
      </w:r>
    </w:p>
    <w:p w14:paraId="521560B0" w14:textId="77777777" w:rsidR="00675507" w:rsidRPr="00615EA3" w:rsidRDefault="00675507" w:rsidP="00675507">
      <w:pPr>
        <w:ind w:left="-720"/>
        <w:rPr>
          <w:b/>
          <w:lang w:val="fr-FR"/>
        </w:rPr>
      </w:pPr>
    </w:p>
    <w:p w14:paraId="192B211F" w14:textId="3269B345" w:rsidR="00675507" w:rsidRPr="008E6CE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FE7A43">
        <w:rPr>
          <w:rFonts w:ascii="inherit" w:hAnsi="inherit"/>
          <w:color w:val="212121"/>
          <w:lang w:val="fr-FR"/>
        </w:rPr>
        <w:t xml:space="preserve"> </w:t>
      </w:r>
      <w:r w:rsidRPr="009C39D0">
        <w:rPr>
          <w:rFonts w:ascii="inherit" w:hAnsi="inherit"/>
          <w:color w:val="212121"/>
          <w:lang w:val="fr-FR"/>
        </w:rPr>
        <w:t>:</w:t>
      </w:r>
      <w:r w:rsidR="008E6CE8" w:rsidRPr="008E6CE8">
        <w:rPr>
          <w:rFonts w:ascii="Arial Narrow" w:hAnsi="Arial Narrow"/>
          <w:b/>
          <w:sz w:val="22"/>
          <w:szCs w:val="22"/>
          <w:lang w:val="fr-FR"/>
        </w:rPr>
        <w:t xml:space="preserve"> </w:t>
      </w:r>
      <w:r w:rsidR="00CB4867" w:rsidRPr="00CB4867">
        <w:rPr>
          <w:b/>
          <w:bCs/>
          <w:i/>
          <w:lang w:val="fr-FR"/>
        </w:rPr>
        <w:t>off track</w:t>
      </w:r>
    </w:p>
    <w:p w14:paraId="26A26C4B" w14:textId="77777777" w:rsidR="00675507" w:rsidRPr="005D15A3" w:rsidRDefault="00675507" w:rsidP="00675507">
      <w:pPr>
        <w:ind w:left="-720"/>
        <w:jc w:val="both"/>
        <w:rPr>
          <w:b/>
          <w:lang w:val="fr-FR"/>
        </w:rPr>
      </w:pPr>
    </w:p>
    <w:p w14:paraId="40213E68" w14:textId="03D888B6" w:rsidR="00675507" w:rsidRDefault="009D1215" w:rsidP="00675507">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250157A1" w14:textId="77777777" w:rsidR="003A0013" w:rsidRPr="005D15A3" w:rsidRDefault="003A0013" w:rsidP="00675507">
      <w:pPr>
        <w:ind w:left="-720"/>
        <w:jc w:val="both"/>
        <w:rPr>
          <w:i/>
          <w:lang w:val="fr-FR"/>
        </w:rPr>
      </w:pPr>
    </w:p>
    <w:p w14:paraId="4FCEF352" w14:textId="2CA98DFC" w:rsidR="008E6CE8" w:rsidRPr="00594CFC" w:rsidRDefault="008E6CE8" w:rsidP="008E6CE8">
      <w:pPr>
        <w:jc w:val="both"/>
        <w:rPr>
          <w:lang w:val="fr-FR"/>
        </w:rPr>
      </w:pPr>
      <w:r w:rsidRPr="000254FC">
        <w:rPr>
          <w:lang w:val="fr-FR"/>
        </w:rPr>
        <w:t xml:space="preserve">Si le projet a permis une effective appropriation par la Primature des recommandations de la CPRN et qu'un comité technique multisectoriel a été mis en place et un avant-projet de loi élaboré, les bases institutionnelles du processus de réconciliation intégrant la justice transitionnelle n'ont pas été posées, car l'avant-projet de loi </w:t>
      </w:r>
      <w:r w:rsidR="00876B5B" w:rsidRPr="000254FC">
        <w:rPr>
          <w:lang w:val="fr-FR"/>
        </w:rPr>
        <w:t>n’a pas</w:t>
      </w:r>
      <w:r w:rsidRPr="000254FC">
        <w:rPr>
          <w:lang w:val="fr-FR"/>
        </w:rPr>
        <w:t xml:space="preserve"> été adopté par le Conseil des Ministres. La question étant toujours en </w:t>
      </w:r>
      <w:r w:rsidR="00876B5B">
        <w:rPr>
          <w:lang w:val="fr-FR"/>
        </w:rPr>
        <w:t>examen</w:t>
      </w:r>
      <w:r w:rsidRPr="000254FC">
        <w:rPr>
          <w:lang w:val="fr-FR"/>
        </w:rPr>
        <w:t xml:space="preserve"> au sein des institutions étatiques notamment, entre la Présidence de la République et la primature.</w:t>
      </w:r>
    </w:p>
    <w:p w14:paraId="51596036" w14:textId="77777777" w:rsidR="008E6CE8" w:rsidRPr="00594CFC" w:rsidRDefault="008E6CE8" w:rsidP="008E6CE8">
      <w:pPr>
        <w:jc w:val="both"/>
        <w:rPr>
          <w:lang w:val="fr-FR"/>
        </w:rPr>
      </w:pPr>
    </w:p>
    <w:p w14:paraId="6C7D8CB5" w14:textId="54E59472" w:rsidR="008E6CE8" w:rsidRPr="005A0C4A" w:rsidRDefault="008E6CE8" w:rsidP="008E6CE8">
      <w:pPr>
        <w:jc w:val="both"/>
        <w:rPr>
          <w:lang w:val="fr-FR"/>
        </w:rPr>
      </w:pPr>
      <w:r w:rsidRPr="005E1BA4">
        <w:rPr>
          <w:lang w:val="fr-FR"/>
        </w:rPr>
        <w:t xml:space="preserve">Le processus est resté en veilleuse malgré le plaidoyer continu du SNU. Cependant, en septembre 2018, à la suite de plaidoyers et d’échanges entre la RC, le Représentant du HCDH, le Premier Ministre et le </w:t>
      </w:r>
      <w:r w:rsidR="00CB4867" w:rsidRPr="005E1BA4">
        <w:rPr>
          <w:lang w:val="fr-FR"/>
        </w:rPr>
        <w:t>S</w:t>
      </w:r>
      <w:r w:rsidR="00CB4867">
        <w:rPr>
          <w:lang w:val="fr-FR"/>
        </w:rPr>
        <w:t xml:space="preserve">ecrétaire </w:t>
      </w:r>
      <w:r w:rsidRPr="005E1BA4">
        <w:rPr>
          <w:lang w:val="fr-FR"/>
        </w:rPr>
        <w:t>G</w:t>
      </w:r>
      <w:r w:rsidR="00CB4867">
        <w:rPr>
          <w:lang w:val="fr-FR"/>
        </w:rPr>
        <w:t>énéral</w:t>
      </w:r>
      <w:r w:rsidRPr="005E1BA4">
        <w:rPr>
          <w:lang w:val="fr-FR"/>
        </w:rPr>
        <w:t xml:space="preserve"> de la Présidence de la République, un consensus a semblé émergé sur la poursuite du processus sous le leadership de la primature. Dans l’immédiat, le SNU a été sollicité pour appuyer la relance du processus de mise en place du Groupe de Travail Restreint sur la Réconciliation Nationale</w:t>
      </w:r>
      <w:r w:rsidR="00CB4867">
        <w:rPr>
          <w:lang w:val="fr-FR"/>
        </w:rPr>
        <w:t xml:space="preserve"> mais, à date</w:t>
      </w:r>
      <w:r w:rsidRPr="005E1BA4">
        <w:rPr>
          <w:lang w:val="fr-FR"/>
        </w:rPr>
        <w:t xml:space="preserve"> </w:t>
      </w:r>
      <w:r w:rsidRPr="005A0C4A">
        <w:rPr>
          <w:lang w:val="fr-FR"/>
        </w:rPr>
        <w:t>cette dynamique n'a pas été relancée.</w:t>
      </w:r>
    </w:p>
    <w:p w14:paraId="51D5DD53" w14:textId="77777777" w:rsidR="00675507" w:rsidRPr="008E6CE8" w:rsidRDefault="00675507" w:rsidP="00675507">
      <w:pPr>
        <w:ind w:left="-720"/>
        <w:rPr>
          <w:b/>
          <w:lang w:val="fr-FR"/>
        </w:rPr>
      </w:pPr>
    </w:p>
    <w:p w14:paraId="14989312" w14:textId="067CADB6"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CB4867">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0FABBE33" w:rsidR="00675507" w:rsidRPr="00056D05" w:rsidRDefault="003A0013" w:rsidP="00675507">
      <w:pPr>
        <w:ind w:left="-720"/>
        <w:rPr>
          <w:bCs/>
          <w:lang w:val="fr-FR"/>
        </w:rPr>
      </w:pPr>
      <w:r w:rsidRPr="00056D05">
        <w:rPr>
          <w:bCs/>
          <w:lang w:val="fr-FR"/>
        </w:rPr>
        <w:t>N/A</w:t>
      </w:r>
    </w:p>
    <w:p w14:paraId="35EDE632" w14:textId="77777777" w:rsidR="00627A1C" w:rsidRPr="00056D05" w:rsidRDefault="00627A1C" w:rsidP="00627A1C">
      <w:pPr>
        <w:ind w:left="-720"/>
        <w:rPr>
          <w:b/>
          <w:lang w:val="fr-FR"/>
        </w:rPr>
      </w:pPr>
    </w:p>
    <w:p w14:paraId="02A4DAC5" w14:textId="772C0BFF" w:rsidR="00675507" w:rsidRPr="003A0013" w:rsidRDefault="00675507" w:rsidP="00675507">
      <w:pPr>
        <w:ind w:left="-720"/>
        <w:rPr>
          <w:b/>
          <w:lang w:val="fr-FR"/>
        </w:rPr>
      </w:pPr>
      <w:r w:rsidRPr="003A0013">
        <w:rPr>
          <w:b/>
          <w:u w:val="single"/>
          <w:lang w:val="fr-FR"/>
        </w:rPr>
        <w:t xml:space="preserve">Résultat </w:t>
      </w:r>
      <w:proofErr w:type="gramStart"/>
      <w:r w:rsidRPr="003A0013">
        <w:rPr>
          <w:b/>
          <w:u w:val="single"/>
          <w:lang w:val="fr-FR"/>
        </w:rPr>
        <w:t>3:</w:t>
      </w:r>
      <w:proofErr w:type="gramEnd"/>
      <w:r w:rsidRPr="003A0013">
        <w:rPr>
          <w:b/>
          <w:lang w:val="fr-FR"/>
        </w:rPr>
        <w:t xml:space="preserve">  </w:t>
      </w:r>
      <w:r w:rsidR="008E6CE8" w:rsidRPr="003A0013">
        <w:rPr>
          <w:b/>
          <w:lang w:val="fr-FR"/>
        </w:rPr>
        <w:t>Les autorités nationales disposent d'outils et des mécanismes pour assurer la prévention des conflits, promouvoir la paix et la cohésion sociale.</w:t>
      </w:r>
    </w:p>
    <w:p w14:paraId="09695970" w14:textId="77777777" w:rsidR="00675507" w:rsidRPr="00615EA3" w:rsidRDefault="00675507" w:rsidP="00675507">
      <w:pPr>
        <w:ind w:left="-720"/>
        <w:rPr>
          <w:b/>
          <w:lang w:val="fr-FR"/>
        </w:rPr>
      </w:pPr>
    </w:p>
    <w:p w14:paraId="2998D510" w14:textId="7820DFDA" w:rsidR="00675507" w:rsidRPr="008E6CE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CB4867">
        <w:rPr>
          <w:rFonts w:ascii="inherit" w:hAnsi="inherit"/>
          <w:color w:val="212121"/>
          <w:lang w:val="fr-FR"/>
        </w:rPr>
        <w:t xml:space="preserve"> </w:t>
      </w:r>
      <w:r w:rsidRPr="009C39D0">
        <w:rPr>
          <w:rFonts w:ascii="inherit" w:hAnsi="inherit"/>
          <w:color w:val="212121"/>
          <w:lang w:val="fr-FR"/>
        </w:rPr>
        <w:t>:</w:t>
      </w:r>
      <w:r w:rsidR="008E6CE8" w:rsidRPr="008E6CE8">
        <w:rPr>
          <w:rFonts w:ascii="Arial Narrow" w:hAnsi="Arial Narrow"/>
          <w:b/>
          <w:sz w:val="22"/>
          <w:szCs w:val="22"/>
          <w:lang w:val="fr-FR"/>
        </w:rPr>
        <w:t xml:space="preserve"> </w:t>
      </w:r>
      <w:r w:rsidR="008E6CE8">
        <w:rPr>
          <w:rFonts w:ascii="Arial Narrow" w:hAnsi="Arial Narrow"/>
          <w:b/>
          <w:sz w:val="22"/>
          <w:szCs w:val="22"/>
          <w:lang w:val="fr-FR"/>
        </w:rPr>
        <w:t>On track</w:t>
      </w:r>
    </w:p>
    <w:p w14:paraId="67329A32" w14:textId="77777777" w:rsidR="00675507" w:rsidRPr="005D15A3" w:rsidRDefault="00675507" w:rsidP="00675507">
      <w:pPr>
        <w:ind w:left="-720"/>
        <w:jc w:val="both"/>
        <w:rPr>
          <w:b/>
          <w:lang w:val="fr-FR"/>
        </w:rPr>
      </w:pPr>
    </w:p>
    <w:p w14:paraId="1B52677D" w14:textId="09B727C8" w:rsidR="00675507" w:rsidRPr="005D15A3" w:rsidRDefault="008E6CE8"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CB4867">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72C48460" w14:textId="10D30017" w:rsidR="008E6CE8" w:rsidRPr="00E514D3" w:rsidRDefault="008E6CE8" w:rsidP="008E6CE8">
      <w:pPr>
        <w:jc w:val="both"/>
        <w:rPr>
          <w:lang w:val="fr-FR"/>
        </w:rPr>
      </w:pPr>
      <w:r w:rsidRPr="00E514D3">
        <w:rPr>
          <w:lang w:val="fr-FR"/>
        </w:rPr>
        <w:lastRenderedPageBreak/>
        <w:t>Trois de</w:t>
      </w:r>
      <w:r w:rsidRPr="002069F8">
        <w:rPr>
          <w:lang w:val="fr-FR"/>
        </w:rPr>
        <w:t>s</w:t>
      </w:r>
      <w:r w:rsidRPr="00E514D3">
        <w:rPr>
          <w:lang w:val="fr-FR"/>
        </w:rPr>
        <w:t xml:space="preserve"> quatre résultats clé ont été atteint dans le contexte de la mise en œuvre du dit projet. Il s'agit de</w:t>
      </w:r>
      <w:r w:rsidR="00CB4867">
        <w:rPr>
          <w:lang w:val="fr-FR"/>
        </w:rPr>
        <w:t xml:space="preserve"> </w:t>
      </w:r>
      <w:r w:rsidRPr="00E514D3">
        <w:rPr>
          <w:lang w:val="fr-FR"/>
        </w:rPr>
        <w:t>:</w:t>
      </w:r>
    </w:p>
    <w:p w14:paraId="781745D7" w14:textId="1C0F2853" w:rsidR="008E6CE8" w:rsidRPr="00E514D3" w:rsidRDefault="008E6CE8" w:rsidP="008E6CE8">
      <w:pPr>
        <w:jc w:val="both"/>
        <w:rPr>
          <w:lang w:val="fr-FR"/>
        </w:rPr>
      </w:pPr>
      <w:r w:rsidRPr="00E514D3">
        <w:rPr>
          <w:lang w:val="fr-FR"/>
        </w:rPr>
        <w:t>- l'organisation d'un diagnostic sur le terrain des infrastructures sociales de la paix (ISP) sur l'entendue du territoire. Cette activité a permis d'identifier tous les acteurs dans le secteur de prévention et gestion des conflits. Il s'agit de l'identification des causes et forces motrices de la paix, de l'évaluation des ISP et l'élaboration de la stratégie nationale de prévention et gestion des conflits et le renforcement de la citoyenneté</w:t>
      </w:r>
      <w:r w:rsidR="00CB4867">
        <w:rPr>
          <w:lang w:val="fr-FR"/>
        </w:rPr>
        <w:t xml:space="preserve"> </w:t>
      </w:r>
      <w:r w:rsidRPr="00E514D3">
        <w:rPr>
          <w:lang w:val="fr-FR"/>
        </w:rPr>
        <w:t>;</w:t>
      </w:r>
    </w:p>
    <w:p w14:paraId="2FDF49C2" w14:textId="5B240B51" w:rsidR="008E6CE8" w:rsidRPr="00E514D3" w:rsidRDefault="008E6CE8" w:rsidP="008E6CE8">
      <w:pPr>
        <w:jc w:val="both"/>
        <w:rPr>
          <w:lang w:val="fr-FR"/>
        </w:rPr>
      </w:pPr>
      <w:r w:rsidRPr="00E514D3">
        <w:rPr>
          <w:lang w:val="fr-FR"/>
        </w:rPr>
        <w:t>- Revue littéraire des différents causes et type</w:t>
      </w:r>
      <w:r w:rsidRPr="002069F8">
        <w:rPr>
          <w:lang w:val="fr-FR"/>
        </w:rPr>
        <w:t>s</w:t>
      </w:r>
      <w:r w:rsidRPr="00E514D3">
        <w:rPr>
          <w:lang w:val="fr-FR"/>
        </w:rPr>
        <w:t xml:space="preserve"> de conflits en Guinée. La revue a fait</w:t>
      </w:r>
      <w:r w:rsidRPr="002069F8">
        <w:rPr>
          <w:lang w:val="fr-FR"/>
        </w:rPr>
        <w:t xml:space="preserve"> le</w:t>
      </w:r>
      <w:r w:rsidRPr="00E514D3">
        <w:rPr>
          <w:lang w:val="fr-FR"/>
        </w:rPr>
        <w:t xml:space="preserve"> point sur l’état des lieux de la connaissance des facteurs de conflits et mécanismes existants ainsi que d’une étude d’évaluation des structures de prévention et de gestion des conflits existant</w:t>
      </w:r>
      <w:r w:rsidRPr="002069F8">
        <w:rPr>
          <w:lang w:val="fr-FR"/>
        </w:rPr>
        <w:t>s</w:t>
      </w:r>
      <w:r w:rsidRPr="00E514D3">
        <w:rPr>
          <w:lang w:val="fr-FR"/>
        </w:rPr>
        <w:t xml:space="preserve"> en Guinée. Les résultats ont </w:t>
      </w:r>
      <w:r w:rsidRPr="002069F8">
        <w:rPr>
          <w:lang w:val="fr-FR"/>
        </w:rPr>
        <w:t>é</w:t>
      </w:r>
      <w:r w:rsidRPr="00E514D3">
        <w:rPr>
          <w:lang w:val="fr-FR"/>
        </w:rPr>
        <w:t>t</w:t>
      </w:r>
      <w:r w:rsidRPr="002069F8">
        <w:rPr>
          <w:lang w:val="fr-FR"/>
        </w:rPr>
        <w:t>é</w:t>
      </w:r>
      <w:r w:rsidRPr="00E514D3">
        <w:rPr>
          <w:lang w:val="fr-FR"/>
        </w:rPr>
        <w:t xml:space="preserve"> validé à un atelier national sur la prévention et </w:t>
      </w:r>
      <w:r w:rsidR="00CB4867" w:rsidRPr="00E514D3">
        <w:rPr>
          <w:lang w:val="fr-FR"/>
        </w:rPr>
        <w:t>gestion des</w:t>
      </w:r>
      <w:r w:rsidRPr="00E514D3">
        <w:rPr>
          <w:lang w:val="fr-FR"/>
        </w:rPr>
        <w:t xml:space="preserve"> </w:t>
      </w:r>
      <w:r w:rsidR="00CB4867" w:rsidRPr="00E514D3">
        <w:rPr>
          <w:lang w:val="fr-FR"/>
        </w:rPr>
        <w:t>conflits :</w:t>
      </w:r>
    </w:p>
    <w:p w14:paraId="241D6CAC" w14:textId="6F5D1507" w:rsidR="008E6CE8" w:rsidRPr="00E514D3" w:rsidRDefault="008E6CE8" w:rsidP="008E6CE8">
      <w:pPr>
        <w:jc w:val="both"/>
        <w:rPr>
          <w:lang w:val="fr-FR"/>
        </w:rPr>
      </w:pPr>
      <w:r w:rsidRPr="00E514D3">
        <w:rPr>
          <w:lang w:val="fr-FR"/>
        </w:rPr>
        <w:t>- L'élaboration d'une stratégie nationale de prévention des conflits et le renforcement de la citoyenneté. L'</w:t>
      </w:r>
      <w:r w:rsidRPr="002069F8">
        <w:rPr>
          <w:lang w:val="fr-FR"/>
        </w:rPr>
        <w:t>é</w:t>
      </w:r>
      <w:r w:rsidRPr="00E514D3">
        <w:rPr>
          <w:lang w:val="fr-FR"/>
        </w:rPr>
        <w:t>laboration de la strat</w:t>
      </w:r>
      <w:r w:rsidRPr="002069F8">
        <w:rPr>
          <w:lang w:val="fr-FR"/>
        </w:rPr>
        <w:t>é</w:t>
      </w:r>
      <w:r w:rsidRPr="00E514D3">
        <w:rPr>
          <w:lang w:val="fr-FR"/>
        </w:rPr>
        <w:t xml:space="preserve">gie </w:t>
      </w:r>
      <w:r w:rsidRPr="002069F8">
        <w:rPr>
          <w:lang w:val="fr-FR"/>
        </w:rPr>
        <w:t>é</w:t>
      </w:r>
      <w:r w:rsidRPr="00E514D3">
        <w:rPr>
          <w:lang w:val="fr-FR"/>
        </w:rPr>
        <w:t xml:space="preserve">tait la phase clé du projet et consistait entre autres </w:t>
      </w:r>
      <w:r w:rsidRPr="002069F8">
        <w:rPr>
          <w:lang w:val="fr-FR"/>
        </w:rPr>
        <w:t>à la tenue de</w:t>
      </w:r>
      <w:r w:rsidRPr="00E514D3">
        <w:rPr>
          <w:lang w:val="fr-FR"/>
        </w:rPr>
        <w:t xml:space="preserve"> plusieur</w:t>
      </w:r>
      <w:r w:rsidRPr="002069F8">
        <w:rPr>
          <w:lang w:val="fr-FR"/>
        </w:rPr>
        <w:t>s</w:t>
      </w:r>
      <w:r w:rsidRPr="00E514D3">
        <w:rPr>
          <w:lang w:val="fr-FR"/>
        </w:rPr>
        <w:t xml:space="preserve"> s</w:t>
      </w:r>
      <w:r w:rsidRPr="002069F8">
        <w:rPr>
          <w:lang w:val="fr-FR"/>
        </w:rPr>
        <w:t>é</w:t>
      </w:r>
      <w:r w:rsidRPr="00E514D3">
        <w:rPr>
          <w:lang w:val="fr-FR"/>
        </w:rPr>
        <w:t>ance</w:t>
      </w:r>
      <w:r w:rsidRPr="002069F8">
        <w:rPr>
          <w:lang w:val="fr-FR"/>
        </w:rPr>
        <w:t>s</w:t>
      </w:r>
      <w:r w:rsidRPr="00E514D3">
        <w:rPr>
          <w:lang w:val="fr-FR"/>
        </w:rPr>
        <w:t xml:space="preserve"> de travail avec le comité technique du projet. Pour </w:t>
      </w:r>
      <w:r w:rsidRPr="000C72AE">
        <w:rPr>
          <w:lang w:val="fr-FR"/>
        </w:rPr>
        <w:t>s</w:t>
      </w:r>
      <w:r w:rsidRPr="00E514D3">
        <w:rPr>
          <w:lang w:val="fr-FR"/>
        </w:rPr>
        <w:t>a par</w:t>
      </w:r>
      <w:r w:rsidRPr="000C72AE">
        <w:rPr>
          <w:lang w:val="fr-FR"/>
        </w:rPr>
        <w:t>t</w:t>
      </w:r>
      <w:r w:rsidRPr="00E514D3">
        <w:rPr>
          <w:lang w:val="fr-FR"/>
        </w:rPr>
        <w:t>, le comité technique regroupait 14 différents minist</w:t>
      </w:r>
      <w:r w:rsidRPr="002069F8">
        <w:rPr>
          <w:lang w:val="fr-FR"/>
        </w:rPr>
        <w:t>è</w:t>
      </w:r>
      <w:r w:rsidRPr="00E514D3">
        <w:rPr>
          <w:lang w:val="fr-FR"/>
        </w:rPr>
        <w:t>res avec mandat (direct ou indirect</w:t>
      </w:r>
      <w:r w:rsidRPr="000254FC">
        <w:rPr>
          <w:lang w:val="fr-FR"/>
        </w:rPr>
        <w:t>)</w:t>
      </w:r>
      <w:r w:rsidRPr="00E514D3">
        <w:rPr>
          <w:lang w:val="fr-FR"/>
        </w:rPr>
        <w:t xml:space="preserve"> lié aux questions de prévention et </w:t>
      </w:r>
      <w:r w:rsidRPr="002069F8">
        <w:rPr>
          <w:lang w:val="fr-FR"/>
        </w:rPr>
        <w:t xml:space="preserve">de </w:t>
      </w:r>
      <w:r w:rsidRPr="00E514D3">
        <w:rPr>
          <w:lang w:val="fr-FR"/>
        </w:rPr>
        <w:t>gestion des conflits. Le comité technique si</w:t>
      </w:r>
      <w:r w:rsidRPr="002069F8">
        <w:rPr>
          <w:lang w:val="fr-FR"/>
        </w:rPr>
        <w:t>é</w:t>
      </w:r>
      <w:r w:rsidRPr="00E514D3">
        <w:rPr>
          <w:lang w:val="fr-FR"/>
        </w:rPr>
        <w:t xml:space="preserve">geant avec l'appui technique d'un consultant national </w:t>
      </w:r>
      <w:r w:rsidRPr="002069F8">
        <w:rPr>
          <w:lang w:val="fr-FR"/>
        </w:rPr>
        <w:t>a</w:t>
      </w:r>
      <w:r w:rsidRPr="00E514D3">
        <w:rPr>
          <w:lang w:val="fr-FR"/>
        </w:rPr>
        <w:t xml:space="preserve"> rédig</w:t>
      </w:r>
      <w:r w:rsidRPr="002069F8">
        <w:rPr>
          <w:lang w:val="fr-FR"/>
        </w:rPr>
        <w:t>é</w:t>
      </w:r>
      <w:r w:rsidRPr="00E514D3">
        <w:rPr>
          <w:lang w:val="fr-FR"/>
        </w:rPr>
        <w:t>, revu et validé les premier</w:t>
      </w:r>
      <w:r w:rsidRPr="002069F8">
        <w:rPr>
          <w:lang w:val="fr-FR"/>
        </w:rPr>
        <w:t>s</w:t>
      </w:r>
      <w:r w:rsidRPr="00E514D3">
        <w:rPr>
          <w:lang w:val="fr-FR"/>
        </w:rPr>
        <w:t xml:space="preserve"> drafts de la stratégie. Après cette phase, le Ministre de </w:t>
      </w:r>
      <w:r w:rsidR="00CB4867" w:rsidRPr="00E514D3">
        <w:rPr>
          <w:lang w:val="fr-FR"/>
        </w:rPr>
        <w:t xml:space="preserve">la </w:t>
      </w:r>
      <w:r w:rsidR="00CB4867" w:rsidRPr="002069F8">
        <w:rPr>
          <w:lang w:val="fr-FR"/>
        </w:rPr>
        <w:t>C</w:t>
      </w:r>
      <w:r w:rsidR="00CB4867" w:rsidRPr="00E514D3">
        <w:rPr>
          <w:lang w:val="fr-FR"/>
        </w:rPr>
        <w:t>itoyenneté</w:t>
      </w:r>
      <w:r w:rsidR="00CB4867">
        <w:rPr>
          <w:lang w:val="fr-FR"/>
        </w:rPr>
        <w:t xml:space="preserve"> et de</w:t>
      </w:r>
      <w:r w:rsidR="00CB4867" w:rsidRPr="00E514D3">
        <w:rPr>
          <w:lang w:val="fr-FR"/>
        </w:rPr>
        <w:t xml:space="preserve"> </w:t>
      </w:r>
      <w:r w:rsidRPr="002069F8">
        <w:rPr>
          <w:lang w:val="fr-FR"/>
        </w:rPr>
        <w:t>l</w:t>
      </w:r>
      <w:r w:rsidRPr="00E514D3">
        <w:rPr>
          <w:lang w:val="fr-FR"/>
        </w:rPr>
        <w:t>'</w:t>
      </w:r>
      <w:r w:rsidRPr="002069F8">
        <w:rPr>
          <w:lang w:val="fr-FR"/>
        </w:rPr>
        <w:t>U</w:t>
      </w:r>
      <w:r w:rsidRPr="00E514D3">
        <w:rPr>
          <w:lang w:val="fr-FR"/>
        </w:rPr>
        <w:t xml:space="preserve">nité </w:t>
      </w:r>
      <w:r w:rsidR="00CB4867" w:rsidRPr="002069F8">
        <w:rPr>
          <w:lang w:val="fr-FR"/>
        </w:rPr>
        <w:t>N</w:t>
      </w:r>
      <w:r w:rsidR="00CB4867" w:rsidRPr="00E514D3">
        <w:rPr>
          <w:lang w:val="fr-FR"/>
        </w:rPr>
        <w:t>ationale a</w:t>
      </w:r>
      <w:r w:rsidRPr="00E514D3">
        <w:rPr>
          <w:lang w:val="fr-FR"/>
        </w:rPr>
        <w:t xml:space="preserve"> convoqué le comité de pilotage qui </w:t>
      </w:r>
      <w:r w:rsidRPr="002069F8">
        <w:rPr>
          <w:lang w:val="fr-FR"/>
        </w:rPr>
        <w:t>à</w:t>
      </w:r>
      <w:r w:rsidRPr="00E514D3">
        <w:rPr>
          <w:lang w:val="fr-FR"/>
        </w:rPr>
        <w:t xml:space="preserve"> son tou</w:t>
      </w:r>
      <w:r w:rsidRPr="000C72AE">
        <w:rPr>
          <w:lang w:val="fr-FR"/>
        </w:rPr>
        <w:t>r</w:t>
      </w:r>
      <w:r w:rsidRPr="00E514D3">
        <w:rPr>
          <w:lang w:val="fr-FR"/>
        </w:rPr>
        <w:t xml:space="preserve"> a revue et validé la strat</w:t>
      </w:r>
      <w:r w:rsidRPr="002069F8">
        <w:rPr>
          <w:lang w:val="fr-FR"/>
        </w:rPr>
        <w:t>é</w:t>
      </w:r>
      <w:r w:rsidRPr="00E514D3">
        <w:rPr>
          <w:lang w:val="fr-FR"/>
        </w:rPr>
        <w:t>gie.</w:t>
      </w:r>
    </w:p>
    <w:p w14:paraId="17DECA1E" w14:textId="328EE4B2" w:rsidR="008E6CE8" w:rsidRDefault="008E6CE8" w:rsidP="008E6CE8">
      <w:pPr>
        <w:jc w:val="both"/>
        <w:rPr>
          <w:lang w:val="fr-FR"/>
        </w:rPr>
      </w:pPr>
      <w:r w:rsidRPr="000254FC">
        <w:rPr>
          <w:lang w:val="fr-FR"/>
        </w:rPr>
        <w:t xml:space="preserve">La stratégie a été </w:t>
      </w:r>
      <w:r w:rsidRPr="002069F8">
        <w:rPr>
          <w:lang w:val="fr-FR"/>
        </w:rPr>
        <w:t xml:space="preserve">donc </w:t>
      </w:r>
      <w:r w:rsidRPr="000254FC">
        <w:rPr>
          <w:lang w:val="fr-FR"/>
        </w:rPr>
        <w:t>validée techniquement au cours d'un atelier réunissant 100 participants d'horizons divers les 13 et 14 novembre 201</w:t>
      </w:r>
      <w:r w:rsidRPr="005E1BA4">
        <w:rPr>
          <w:lang w:val="fr-FR"/>
        </w:rPr>
        <w:t>8.</w:t>
      </w:r>
      <w:r w:rsidRPr="000C72AE">
        <w:rPr>
          <w:lang w:val="fr-FR"/>
        </w:rPr>
        <w:t xml:space="preserve"> Elle a été par la suite validée politiquement en Conseil des Ministres en avril 2019.</w:t>
      </w:r>
    </w:p>
    <w:p w14:paraId="58FCAD40" w14:textId="77777777" w:rsidR="008E6CE8" w:rsidRPr="000C72AE" w:rsidRDefault="008E6CE8" w:rsidP="008E6CE8">
      <w:pPr>
        <w:jc w:val="both"/>
        <w:rPr>
          <w:lang w:val="fr-FR"/>
        </w:rPr>
      </w:pPr>
    </w:p>
    <w:p w14:paraId="7DAC5F64" w14:textId="77777777" w:rsidR="00CB4867" w:rsidRDefault="008E6CE8" w:rsidP="008E6CE8">
      <w:pPr>
        <w:jc w:val="both"/>
        <w:rPr>
          <w:lang w:val="fr-FR"/>
        </w:rPr>
      </w:pPr>
      <w:r w:rsidRPr="00E514D3">
        <w:rPr>
          <w:lang w:val="fr-FR"/>
        </w:rPr>
        <w:t xml:space="preserve"> La</w:t>
      </w:r>
      <w:r w:rsidRPr="007F456D">
        <w:rPr>
          <w:lang w:val="fr-FR"/>
        </w:rPr>
        <w:t>dite</w:t>
      </w:r>
      <w:r w:rsidRPr="00E514D3">
        <w:rPr>
          <w:lang w:val="fr-FR"/>
        </w:rPr>
        <w:t xml:space="preserve"> strat</w:t>
      </w:r>
      <w:r w:rsidRPr="007F456D">
        <w:rPr>
          <w:lang w:val="fr-FR"/>
        </w:rPr>
        <w:t>é</w:t>
      </w:r>
      <w:r w:rsidRPr="00E514D3">
        <w:rPr>
          <w:lang w:val="fr-FR"/>
        </w:rPr>
        <w:t xml:space="preserve">gie s'aligne avec le Programme National de </w:t>
      </w:r>
      <w:r w:rsidR="00CB4867" w:rsidRPr="00E514D3">
        <w:rPr>
          <w:lang w:val="fr-FR"/>
        </w:rPr>
        <w:t>D</w:t>
      </w:r>
      <w:r w:rsidR="00CB4867" w:rsidRPr="007F456D">
        <w:rPr>
          <w:lang w:val="fr-FR"/>
        </w:rPr>
        <w:t>é</w:t>
      </w:r>
      <w:r w:rsidR="00CB4867" w:rsidRPr="00E514D3">
        <w:rPr>
          <w:lang w:val="fr-FR"/>
        </w:rPr>
        <w:t>veloppement Economique</w:t>
      </w:r>
      <w:r w:rsidRPr="00E514D3">
        <w:rPr>
          <w:lang w:val="fr-FR"/>
        </w:rPr>
        <w:t xml:space="preserve"> et Social (PNDES) et </w:t>
      </w:r>
      <w:r w:rsidR="00CB4867" w:rsidRPr="00E514D3">
        <w:rPr>
          <w:lang w:val="fr-FR"/>
        </w:rPr>
        <w:t>contient :</w:t>
      </w:r>
      <w:r w:rsidRPr="00E514D3">
        <w:rPr>
          <w:lang w:val="fr-FR"/>
        </w:rPr>
        <w:t xml:space="preserve"> une vision, </w:t>
      </w:r>
      <w:r w:rsidRPr="007F456D">
        <w:rPr>
          <w:lang w:val="fr-FR"/>
        </w:rPr>
        <w:t xml:space="preserve">des </w:t>
      </w:r>
      <w:r w:rsidRPr="00E514D3">
        <w:rPr>
          <w:lang w:val="fr-FR"/>
        </w:rPr>
        <w:t xml:space="preserve">objectifs </w:t>
      </w:r>
      <w:r w:rsidRPr="007F456D">
        <w:rPr>
          <w:lang w:val="fr-FR"/>
        </w:rPr>
        <w:t>et d</w:t>
      </w:r>
      <w:r w:rsidRPr="00E514D3">
        <w:rPr>
          <w:lang w:val="fr-FR"/>
        </w:rPr>
        <w:t>es axes strat</w:t>
      </w:r>
      <w:r w:rsidRPr="007F456D">
        <w:rPr>
          <w:lang w:val="fr-FR"/>
        </w:rPr>
        <w:t>é</w:t>
      </w:r>
      <w:r w:rsidRPr="00E514D3">
        <w:rPr>
          <w:lang w:val="fr-FR"/>
        </w:rPr>
        <w:t>gique</w:t>
      </w:r>
      <w:r w:rsidRPr="007F456D">
        <w:rPr>
          <w:lang w:val="fr-FR"/>
        </w:rPr>
        <w:t>s</w:t>
      </w:r>
      <w:r w:rsidRPr="00E514D3">
        <w:rPr>
          <w:lang w:val="fr-FR"/>
        </w:rPr>
        <w:t xml:space="preserve">, </w:t>
      </w:r>
      <w:r w:rsidRPr="007F456D">
        <w:rPr>
          <w:lang w:val="fr-FR"/>
        </w:rPr>
        <w:t>d</w:t>
      </w:r>
      <w:r w:rsidRPr="00E514D3">
        <w:rPr>
          <w:lang w:val="fr-FR"/>
        </w:rPr>
        <w:t>es activités</w:t>
      </w:r>
      <w:r w:rsidRPr="007F456D">
        <w:rPr>
          <w:lang w:val="fr-FR"/>
        </w:rPr>
        <w:t xml:space="preserve"> contenus dans</w:t>
      </w:r>
      <w:r w:rsidRPr="00E514D3">
        <w:rPr>
          <w:lang w:val="fr-FR"/>
        </w:rPr>
        <w:t xml:space="preserve"> un plan op</w:t>
      </w:r>
      <w:r w:rsidRPr="007F456D">
        <w:rPr>
          <w:lang w:val="fr-FR"/>
        </w:rPr>
        <w:t>é</w:t>
      </w:r>
      <w:r w:rsidRPr="00E514D3">
        <w:rPr>
          <w:lang w:val="fr-FR"/>
        </w:rPr>
        <w:t xml:space="preserve">rationnel et un budget.  </w:t>
      </w:r>
      <w:r w:rsidRPr="007F456D">
        <w:rPr>
          <w:lang w:val="fr-FR"/>
        </w:rPr>
        <w:t>Validée</w:t>
      </w:r>
      <w:r w:rsidRPr="00E514D3">
        <w:rPr>
          <w:lang w:val="fr-FR"/>
        </w:rPr>
        <w:t>, elle ser</w:t>
      </w:r>
      <w:r w:rsidRPr="007F456D">
        <w:rPr>
          <w:lang w:val="fr-FR"/>
        </w:rPr>
        <w:t>t</w:t>
      </w:r>
      <w:r w:rsidRPr="00E514D3">
        <w:rPr>
          <w:lang w:val="fr-FR"/>
        </w:rPr>
        <w:t xml:space="preserve"> comme </w:t>
      </w:r>
      <w:r w:rsidRPr="007F456D">
        <w:rPr>
          <w:lang w:val="fr-FR"/>
        </w:rPr>
        <w:t>de</w:t>
      </w:r>
      <w:r w:rsidRPr="00E514D3">
        <w:rPr>
          <w:lang w:val="fr-FR"/>
        </w:rPr>
        <w:t xml:space="preserve"> feuille de route et un outil r</w:t>
      </w:r>
      <w:r w:rsidRPr="007F456D">
        <w:rPr>
          <w:lang w:val="fr-FR"/>
        </w:rPr>
        <w:t>é</w:t>
      </w:r>
      <w:r w:rsidRPr="00E514D3">
        <w:rPr>
          <w:lang w:val="fr-FR"/>
        </w:rPr>
        <w:t>f</w:t>
      </w:r>
      <w:r w:rsidRPr="007F456D">
        <w:rPr>
          <w:lang w:val="fr-FR"/>
        </w:rPr>
        <w:t>é</w:t>
      </w:r>
      <w:r w:rsidRPr="00E514D3">
        <w:rPr>
          <w:lang w:val="fr-FR"/>
        </w:rPr>
        <w:t xml:space="preserve">rentiel </w:t>
      </w:r>
      <w:r w:rsidRPr="007F456D">
        <w:rPr>
          <w:lang w:val="fr-FR"/>
        </w:rPr>
        <w:t>de la</w:t>
      </w:r>
      <w:r w:rsidRPr="00E514D3">
        <w:rPr>
          <w:lang w:val="fr-FR"/>
        </w:rPr>
        <w:t xml:space="preserve"> question de prévention et gestion des conflits en guinée.  </w:t>
      </w:r>
    </w:p>
    <w:p w14:paraId="791F24DE" w14:textId="1DFC9351" w:rsidR="008E6CE8" w:rsidRPr="00E514D3" w:rsidRDefault="008E6CE8" w:rsidP="008E6CE8">
      <w:pPr>
        <w:jc w:val="both"/>
        <w:rPr>
          <w:lang w:val="fr-FR"/>
        </w:rPr>
      </w:pPr>
      <w:r w:rsidRPr="000C72AE">
        <w:rPr>
          <w:lang w:val="fr-FR"/>
        </w:rPr>
        <w:t xml:space="preserve">Maintenant que </w:t>
      </w:r>
      <w:r w:rsidRPr="00E514D3">
        <w:rPr>
          <w:lang w:val="fr-FR"/>
        </w:rPr>
        <w:t>la stratégie</w:t>
      </w:r>
      <w:r w:rsidRPr="000C72AE">
        <w:rPr>
          <w:lang w:val="fr-FR"/>
        </w:rPr>
        <w:t xml:space="preserve"> a été formalisée</w:t>
      </w:r>
      <w:r w:rsidRPr="00E514D3">
        <w:rPr>
          <w:lang w:val="fr-FR"/>
        </w:rPr>
        <w:t xml:space="preserve">, il </w:t>
      </w:r>
      <w:r w:rsidRPr="000C72AE">
        <w:rPr>
          <w:lang w:val="fr-FR"/>
        </w:rPr>
        <w:t xml:space="preserve">est nécessaire de </w:t>
      </w:r>
      <w:r w:rsidRPr="00E514D3">
        <w:rPr>
          <w:lang w:val="fr-FR"/>
        </w:rPr>
        <w:t xml:space="preserve">rechercher </w:t>
      </w:r>
      <w:r w:rsidRPr="006314D4">
        <w:rPr>
          <w:lang w:val="fr-FR"/>
        </w:rPr>
        <w:t>à</w:t>
      </w:r>
      <w:r w:rsidRPr="00E514D3">
        <w:rPr>
          <w:lang w:val="fr-FR"/>
        </w:rPr>
        <w:t xml:space="preserve"> l'interne comme </w:t>
      </w:r>
      <w:r w:rsidRPr="006314D4">
        <w:rPr>
          <w:lang w:val="fr-FR"/>
        </w:rPr>
        <w:t>à</w:t>
      </w:r>
      <w:r w:rsidRPr="00E514D3">
        <w:rPr>
          <w:lang w:val="fr-FR"/>
        </w:rPr>
        <w:t xml:space="preserve"> l'externe des r</w:t>
      </w:r>
      <w:r w:rsidRPr="006314D4">
        <w:rPr>
          <w:lang w:val="fr-FR"/>
        </w:rPr>
        <w:t>e</w:t>
      </w:r>
      <w:r w:rsidRPr="00E514D3">
        <w:rPr>
          <w:lang w:val="fr-FR"/>
        </w:rPr>
        <w:t>ssources adéquat</w:t>
      </w:r>
      <w:r w:rsidRPr="006314D4">
        <w:rPr>
          <w:lang w:val="fr-FR"/>
        </w:rPr>
        <w:t>es</w:t>
      </w:r>
      <w:r w:rsidRPr="00E514D3">
        <w:rPr>
          <w:lang w:val="fr-FR"/>
        </w:rPr>
        <w:t xml:space="preserve"> pour assurer son op</w:t>
      </w:r>
      <w:r w:rsidRPr="007F456D">
        <w:rPr>
          <w:lang w:val="fr-FR"/>
        </w:rPr>
        <w:t>é</w:t>
      </w:r>
      <w:r w:rsidRPr="00E514D3">
        <w:rPr>
          <w:lang w:val="fr-FR"/>
        </w:rPr>
        <w:t>rationnalisation</w:t>
      </w:r>
      <w:r w:rsidRPr="006314D4">
        <w:rPr>
          <w:lang w:val="fr-FR"/>
        </w:rPr>
        <w:t>.</w:t>
      </w:r>
    </w:p>
    <w:p w14:paraId="3AD63F73" w14:textId="77777777" w:rsidR="008E6CE8" w:rsidRPr="00E514D3" w:rsidRDefault="008E6CE8" w:rsidP="008E6CE8">
      <w:pPr>
        <w:rPr>
          <w:lang w:val="fr-FR"/>
        </w:rPr>
      </w:pPr>
    </w:p>
    <w:p w14:paraId="470F9892" w14:textId="1E4D5E0F" w:rsidR="00675507" w:rsidRPr="008E6CE8" w:rsidRDefault="008E6CE8" w:rsidP="003A0013">
      <w:pPr>
        <w:rPr>
          <w:b/>
          <w:lang w:val="fr-FR"/>
        </w:rPr>
      </w:pPr>
      <w:r w:rsidRPr="00E514D3">
        <w:rPr>
          <w:lang w:val="fr-FR"/>
        </w:rPr>
        <w:t>Une fois la stratégie</w:t>
      </w:r>
      <w:r w:rsidR="00946339">
        <w:rPr>
          <w:lang w:val="fr-FR"/>
        </w:rPr>
        <w:t xml:space="preserve"> nationale de prévention et de résolution des conflits</w:t>
      </w:r>
      <w:r w:rsidRPr="00E514D3">
        <w:rPr>
          <w:lang w:val="fr-FR"/>
        </w:rPr>
        <w:t xml:space="preserve"> opérationnalisé</w:t>
      </w:r>
      <w:r w:rsidR="00946339">
        <w:rPr>
          <w:lang w:val="fr-FR"/>
        </w:rPr>
        <w:t>e</w:t>
      </w:r>
      <w:r w:rsidRPr="00E514D3">
        <w:rPr>
          <w:lang w:val="fr-FR"/>
        </w:rPr>
        <w:t xml:space="preserve"> ainsi que l</w:t>
      </w:r>
      <w:r w:rsidR="00946339">
        <w:rPr>
          <w:lang w:val="fr-FR"/>
        </w:rPr>
        <w:t xml:space="preserve">’architecture nationale des </w:t>
      </w:r>
      <w:r w:rsidR="00946339" w:rsidRPr="00E514D3">
        <w:rPr>
          <w:lang w:val="fr-FR"/>
        </w:rPr>
        <w:t>I</w:t>
      </w:r>
      <w:r w:rsidR="00946339">
        <w:rPr>
          <w:lang w:val="fr-FR"/>
        </w:rPr>
        <w:t xml:space="preserve">nfrastructures </w:t>
      </w:r>
      <w:r w:rsidRPr="00E514D3">
        <w:rPr>
          <w:lang w:val="fr-FR"/>
        </w:rPr>
        <w:t>S</w:t>
      </w:r>
      <w:r w:rsidR="00946339">
        <w:rPr>
          <w:lang w:val="fr-FR"/>
        </w:rPr>
        <w:t xml:space="preserve">ociales de </w:t>
      </w:r>
      <w:r w:rsidRPr="00E514D3">
        <w:rPr>
          <w:lang w:val="fr-FR"/>
        </w:rPr>
        <w:t>P</w:t>
      </w:r>
      <w:r w:rsidR="00946339">
        <w:rPr>
          <w:lang w:val="fr-FR"/>
        </w:rPr>
        <w:t>aix</w:t>
      </w:r>
      <w:r w:rsidRPr="00E514D3">
        <w:rPr>
          <w:lang w:val="fr-FR"/>
        </w:rPr>
        <w:t>, elles contribuer</w:t>
      </w:r>
      <w:r w:rsidR="00946339">
        <w:rPr>
          <w:lang w:val="fr-FR"/>
        </w:rPr>
        <w:t>ont</w:t>
      </w:r>
      <w:r w:rsidRPr="00E514D3">
        <w:rPr>
          <w:lang w:val="fr-FR"/>
        </w:rPr>
        <w:t xml:space="preserve"> durable</w:t>
      </w:r>
      <w:r w:rsidR="00946339">
        <w:rPr>
          <w:lang w:val="fr-FR"/>
        </w:rPr>
        <w:t>ment et efficacement</w:t>
      </w:r>
      <w:r w:rsidRPr="00E514D3">
        <w:rPr>
          <w:lang w:val="fr-FR"/>
        </w:rPr>
        <w:t xml:space="preserve"> à </w:t>
      </w:r>
      <w:r w:rsidR="00CB4867" w:rsidRPr="00E514D3">
        <w:rPr>
          <w:lang w:val="fr-FR"/>
        </w:rPr>
        <w:t>la consolidation</w:t>
      </w:r>
      <w:r w:rsidRPr="00E514D3">
        <w:rPr>
          <w:lang w:val="fr-FR"/>
        </w:rPr>
        <w:t xml:space="preserve"> de la paix et la cohésion sociale en Guinée.</w:t>
      </w:r>
    </w:p>
    <w:p w14:paraId="6B109772" w14:textId="77777777" w:rsidR="00CB4867" w:rsidRDefault="00CB4867" w:rsidP="00675507">
      <w:pPr>
        <w:ind w:left="-720"/>
        <w:rPr>
          <w:b/>
          <w:bCs/>
          <w:color w:val="000000"/>
          <w:lang w:val="fr-FR" w:eastAsia="en-US"/>
        </w:rPr>
      </w:pPr>
    </w:p>
    <w:p w14:paraId="3C5CF25B" w14:textId="7FF3B776"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2B497B">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3D22187" w14:textId="77777777" w:rsidR="003A0013" w:rsidRPr="005D15A3" w:rsidRDefault="003A0013" w:rsidP="00675507">
      <w:pPr>
        <w:ind w:left="-720"/>
        <w:rPr>
          <w:b/>
          <w:lang w:val="fr-FR"/>
        </w:rPr>
      </w:pPr>
    </w:p>
    <w:p w14:paraId="58138575" w14:textId="13928264" w:rsidR="003A0013" w:rsidRDefault="003A0013" w:rsidP="003A0013">
      <w:pPr>
        <w:ind w:left="-720"/>
        <w:jc w:val="both"/>
        <w:rPr>
          <w:bCs/>
          <w:lang w:val="fr-FR"/>
        </w:rPr>
      </w:pPr>
      <w:r>
        <w:rPr>
          <w:bCs/>
          <w:lang w:val="fr-FR"/>
        </w:rPr>
        <w:t xml:space="preserve">L’analyse des conflits </w:t>
      </w:r>
      <w:r w:rsidR="00852BC7">
        <w:rPr>
          <w:bCs/>
          <w:lang w:val="fr-FR"/>
        </w:rPr>
        <w:t xml:space="preserve">réalisée dans le cadre de ce résultat </w:t>
      </w:r>
      <w:r>
        <w:rPr>
          <w:bCs/>
          <w:lang w:val="fr-FR"/>
        </w:rPr>
        <w:t xml:space="preserve">a </w:t>
      </w:r>
      <w:r w:rsidR="00852BC7">
        <w:rPr>
          <w:bCs/>
          <w:lang w:val="fr-FR"/>
        </w:rPr>
        <w:t xml:space="preserve">été sensible à l’égalité des sexes, à l’autonomisation des femmes et à l’inclusion des jeunes. Ce qui s’est traduit dans les projets élaborés en faveur des femmes et des jeunes pendant la période considérée. </w:t>
      </w:r>
    </w:p>
    <w:p w14:paraId="7111774C" w14:textId="30B8E56B" w:rsidR="00627A1C" w:rsidRDefault="00627A1C" w:rsidP="00627A1C">
      <w:pPr>
        <w:ind w:left="-720"/>
        <w:rPr>
          <w:b/>
          <w:lang w:val="fr-FR"/>
        </w:rPr>
      </w:pPr>
    </w:p>
    <w:p w14:paraId="4045FD4F" w14:textId="77777777" w:rsidR="003A0013" w:rsidRPr="00E814D4" w:rsidRDefault="003A0013" w:rsidP="00627A1C">
      <w:pPr>
        <w:ind w:left="-720"/>
        <w:rPr>
          <w:b/>
          <w:lang w:val="fr-FR"/>
        </w:rPr>
      </w:pPr>
    </w:p>
    <w:p w14:paraId="74E0D3E8" w14:textId="77777777" w:rsidR="00F5504F" w:rsidRPr="00852BC7" w:rsidRDefault="00F5504F" w:rsidP="0078600B">
      <w:pPr>
        <w:rPr>
          <w:b/>
          <w:lang w:val="fr-FR"/>
        </w:rPr>
      </w:pPr>
    </w:p>
    <w:p w14:paraId="702E72D3" w14:textId="77777777" w:rsidR="00675507" w:rsidRPr="00852BC7" w:rsidRDefault="00675507" w:rsidP="0078600B">
      <w:pPr>
        <w:rPr>
          <w:b/>
          <w:lang w:val="fr-FR"/>
        </w:rPr>
      </w:pPr>
    </w:p>
    <w:p w14:paraId="40F7F91F" w14:textId="77777777" w:rsidR="00675507" w:rsidRPr="00852BC7" w:rsidRDefault="00675507"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852BC7"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F2C23"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21BD62AD" w14:textId="720DBBB6" w:rsidR="007118F5" w:rsidRPr="008E6CE8" w:rsidRDefault="005F3B93" w:rsidP="005F3B93">
            <w:pPr>
              <w:rPr>
                <w:lang w:val="fr-FR"/>
              </w:rPr>
            </w:pPr>
            <w:r>
              <w:rPr>
                <w:i/>
                <w:iCs/>
                <w:lang w:val="fr-FR"/>
              </w:rPr>
              <w:t xml:space="preserve">Plusieurs missions conjointes de suivi ont été effectuées sur le terrain ainsi que la tenue des réunions des instances de gouvernance du portefeuille. </w:t>
            </w:r>
          </w:p>
        </w:tc>
        <w:tc>
          <w:tcPr>
            <w:tcW w:w="5940" w:type="dxa"/>
            <w:shd w:val="clear" w:color="auto" w:fill="auto"/>
          </w:tcPr>
          <w:p w14:paraId="797F499B" w14:textId="2E9B529C" w:rsidR="00997347" w:rsidRPr="00675507" w:rsidRDefault="00675507" w:rsidP="00AD73D3">
            <w:pPr>
              <w:rPr>
                <w:lang w:val="fr-FR"/>
              </w:rPr>
            </w:pPr>
            <w:r w:rsidRPr="00675507">
              <w:rPr>
                <w:lang w:val="fr-FR"/>
              </w:rPr>
              <w:t xml:space="preserve">Est-ce que les indicateurs des résultats ont des bases de </w:t>
            </w:r>
            <w:r w:rsidR="00876B5B" w:rsidRPr="00675507">
              <w:rPr>
                <w:lang w:val="fr-FR"/>
              </w:rPr>
              <w:t>référe</w:t>
            </w:r>
            <w:r w:rsidR="00876B5B">
              <w:rPr>
                <w:lang w:val="fr-FR"/>
              </w:rPr>
              <w:t>nce</w:t>
            </w:r>
            <w:r w:rsidR="00876B5B" w:rsidRPr="00675507">
              <w:rPr>
                <w:lang w:val="fr-FR"/>
              </w:rPr>
              <w:t xml:space="preserve"> ?</w:t>
            </w:r>
            <w:r w:rsidR="007118F5" w:rsidRPr="00675507">
              <w:rPr>
                <w:lang w:val="fr-FR"/>
              </w:rPr>
              <w:t xml:space="preserve"> </w:t>
            </w:r>
            <w:r w:rsidR="008E6CE8" w:rsidRPr="00AD16CD">
              <w:rPr>
                <w:lang w:val="fr-FR"/>
              </w:rPr>
              <w:t>Non</w:t>
            </w:r>
          </w:p>
          <w:p w14:paraId="2337B972" w14:textId="77777777" w:rsidR="007118F5" w:rsidRPr="00675507" w:rsidRDefault="007118F5" w:rsidP="00AD73D3">
            <w:pPr>
              <w:rPr>
                <w:lang w:val="fr-FR"/>
              </w:rPr>
            </w:pPr>
          </w:p>
          <w:p w14:paraId="2BD200E3" w14:textId="04026A82" w:rsidR="007118F5" w:rsidRPr="00675507" w:rsidRDefault="00675507" w:rsidP="00AD73D3">
            <w:pPr>
              <w:rPr>
                <w:lang w:val="fr-FR"/>
              </w:rPr>
            </w:pPr>
            <w:r w:rsidRPr="00675507">
              <w:rPr>
                <w:lang w:val="fr-FR"/>
              </w:rPr>
              <w:t xml:space="preserve">Le projet a-t-il lancé des enquêtes de perception ou d'autres collectes de données </w:t>
            </w:r>
            <w:r w:rsidR="00876B5B" w:rsidRPr="00675507">
              <w:rPr>
                <w:lang w:val="fr-FR"/>
              </w:rPr>
              <w:t>communautaires ?</w:t>
            </w:r>
            <w:r w:rsidR="007118F5" w:rsidRPr="00675507">
              <w:rPr>
                <w:lang w:val="fr-FR"/>
              </w:rPr>
              <w:t xml:space="preserve"> </w:t>
            </w:r>
            <w:r w:rsidR="008E6CE8">
              <w:t>Non</w:t>
            </w:r>
          </w:p>
        </w:tc>
      </w:tr>
      <w:tr w:rsidR="006C1819" w:rsidRPr="00364CC4" w14:paraId="36A88C83" w14:textId="77777777" w:rsidTr="007F7257">
        <w:tc>
          <w:tcPr>
            <w:tcW w:w="4230" w:type="dxa"/>
            <w:shd w:val="clear" w:color="auto" w:fill="auto"/>
          </w:tcPr>
          <w:p w14:paraId="3679D92A" w14:textId="297D9786" w:rsidR="007118F5" w:rsidRPr="008E6CE8" w:rsidRDefault="00876B5B" w:rsidP="007118F5">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proofErr w:type="gramStart"/>
            <w:r w:rsidR="00675507">
              <w:rPr>
                <w:lang w:val="fr-FR"/>
              </w:rPr>
              <w:t>rapport</w:t>
            </w:r>
            <w:r w:rsidR="007118F5" w:rsidRPr="00675507">
              <w:rPr>
                <w:lang w:val="fr-FR"/>
              </w:rPr>
              <w:t>?</w:t>
            </w:r>
            <w:proofErr w:type="gramEnd"/>
            <w:r w:rsidR="008E6CE8">
              <w:rPr>
                <w:lang w:val="fr-FR"/>
              </w:rPr>
              <w:t xml:space="preserve"> Non</w:t>
            </w:r>
          </w:p>
        </w:tc>
        <w:tc>
          <w:tcPr>
            <w:tcW w:w="5940" w:type="dxa"/>
            <w:shd w:val="clear" w:color="auto" w:fill="auto"/>
          </w:tcPr>
          <w:p w14:paraId="7B8CF898" w14:textId="31114204" w:rsidR="006C1819" w:rsidRPr="005F3B93"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5F3B93" w:rsidRPr="005F3B93">
              <w:rPr>
                <w:lang w:val="fr-FR"/>
              </w:rPr>
              <w:t>N</w:t>
            </w:r>
            <w:r w:rsidR="005F3B93">
              <w:rPr>
                <w:lang w:val="fr-FR"/>
              </w:rPr>
              <w:t>/A</w:t>
            </w:r>
          </w:p>
          <w:p w14:paraId="6A29E557" w14:textId="77777777" w:rsidR="004D141E" w:rsidRPr="00675507" w:rsidRDefault="004D141E" w:rsidP="00E76CA1">
            <w:pPr>
              <w:rPr>
                <w:lang w:val="fr-FR"/>
              </w:rPr>
            </w:pPr>
          </w:p>
          <w:p w14:paraId="645019D6" w14:textId="7E1E6D37" w:rsidR="004D141E" w:rsidRPr="008E6CE8"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p>
          <w:p w14:paraId="6FFC21C6" w14:textId="77777777" w:rsidR="00156C4C" w:rsidRPr="00675507" w:rsidRDefault="00156C4C" w:rsidP="00E76CA1">
            <w:pPr>
              <w:rPr>
                <w:lang w:val="fr-FR"/>
              </w:rPr>
            </w:pPr>
          </w:p>
        </w:tc>
      </w:tr>
      <w:tr w:rsidR="00997347" w:rsidRPr="00364CC4"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5A8B49D1" w:rsidR="00997347" w:rsidRPr="00A02A9B" w:rsidRDefault="00675507" w:rsidP="00156C4C">
            <w:pPr>
              <w:rPr>
                <w:lang w:val="fr-FR"/>
              </w:rPr>
            </w:pPr>
            <w:r w:rsidRPr="00A02A9B">
              <w:rPr>
                <w:lang w:val="fr-FR"/>
              </w:rPr>
              <w:t xml:space="preserve">Nom de </w:t>
            </w:r>
            <w:r w:rsidR="00120861" w:rsidRPr="00A02A9B">
              <w:rPr>
                <w:lang w:val="fr-FR"/>
              </w:rPr>
              <w:t>donateur</w:t>
            </w:r>
            <w:r w:rsidR="00120861">
              <w:rPr>
                <w:lang w:val="fr-FR"/>
              </w:rPr>
              <w:t xml:space="preserve"> </w:t>
            </w:r>
            <w:r w:rsidR="00156C4C" w:rsidRPr="00A02A9B">
              <w:rPr>
                <w:lang w:val="fr-FR"/>
              </w:rPr>
              <w:t xml:space="preserve">:     </w:t>
            </w:r>
            <w:r w:rsidRPr="00A02A9B">
              <w:rPr>
                <w:lang w:val="fr-FR"/>
              </w:rPr>
              <w:t>Montant ($</w:t>
            </w:r>
            <w:proofErr w:type="gramStart"/>
            <w:r w:rsidRPr="00A02A9B">
              <w:rPr>
                <w:lang w:val="fr-FR"/>
              </w:rPr>
              <w:t>)</w:t>
            </w:r>
            <w:r w:rsidR="00156C4C" w:rsidRPr="00A02A9B">
              <w:rPr>
                <w:lang w:val="fr-FR"/>
              </w:rPr>
              <w:t>:</w:t>
            </w:r>
            <w:proofErr w:type="gramEnd"/>
          </w:p>
          <w:p w14:paraId="5EA842B9" w14:textId="6CCEEE75" w:rsidR="00156C4C" w:rsidRPr="00056D05" w:rsidRDefault="00A02A9B" w:rsidP="00120861">
            <w:pPr>
              <w:rPr>
                <w:lang w:val="fr-FR"/>
              </w:rPr>
            </w:pPr>
            <w:r w:rsidRPr="00A02A9B">
              <w:rPr>
                <w:lang w:val="fr-FR"/>
              </w:rPr>
              <w:t>Gouvernement</w:t>
            </w:r>
            <w:r w:rsidR="00156C4C" w:rsidRPr="00A02A9B">
              <w:rPr>
                <w:lang w:val="fr-FR"/>
              </w:rPr>
              <w:t xml:space="preserve"> </w:t>
            </w:r>
            <w:r w:rsidRPr="00A02A9B">
              <w:rPr>
                <w:lang w:val="fr-FR"/>
              </w:rPr>
              <w:t xml:space="preserve"> </w:t>
            </w:r>
            <w:r w:rsidR="00120861">
              <w:rPr>
                <w:lang w:val="fr-FR"/>
              </w:rPr>
              <w:t xml:space="preserve">   :      </w:t>
            </w:r>
            <w:r w:rsidR="00120861" w:rsidRPr="00A02A9B">
              <w:rPr>
                <w:lang w:val="fr-FR"/>
              </w:rPr>
              <w:t>$</w:t>
            </w:r>
            <w:r w:rsidR="00120861">
              <w:rPr>
                <w:lang w:val="fr-FR"/>
              </w:rPr>
              <w:t xml:space="preserve"> </w:t>
            </w:r>
            <w:r w:rsidR="00120861" w:rsidRPr="00120861">
              <w:rPr>
                <w:lang w:val="fr-FR"/>
              </w:rPr>
              <w:t>25</w:t>
            </w:r>
            <w:r w:rsidR="00876B5B">
              <w:rPr>
                <w:lang w:val="fr-FR"/>
              </w:rPr>
              <w:t> </w:t>
            </w:r>
            <w:r w:rsidR="00120861" w:rsidRPr="00120861">
              <w:rPr>
                <w:lang w:val="fr-FR"/>
              </w:rPr>
              <w:t>000</w:t>
            </w:r>
            <w:r w:rsidR="00876B5B">
              <w:rPr>
                <w:lang w:val="fr-FR"/>
              </w:rPr>
              <w:t>/an</w:t>
            </w:r>
            <w:bookmarkStart w:id="1" w:name="_GoBack"/>
            <w:bookmarkEnd w:id="1"/>
            <w:r w:rsidR="00120861" w:rsidRPr="00A02A9B">
              <w:rPr>
                <w:lang w:val="fr-FR"/>
              </w:rPr>
              <w:t xml:space="preserve"> </w:t>
            </w:r>
            <w:r w:rsidRPr="00A02A9B">
              <w:rPr>
                <w:lang w:val="fr-FR"/>
              </w:rPr>
              <w:t xml:space="preserve">(frais </w:t>
            </w:r>
            <w:r>
              <w:rPr>
                <w:lang w:val="fr-FR"/>
              </w:rPr>
              <w:t>de lo</w:t>
            </w:r>
            <w:r w:rsidR="00120861">
              <w:rPr>
                <w:lang w:val="fr-FR"/>
              </w:rPr>
              <w:t>yer</w:t>
            </w:r>
            <w:r>
              <w:rPr>
                <w:lang w:val="fr-FR"/>
              </w:rPr>
              <w:t xml:space="preserve"> des bureaux du Secrétariat )</w:t>
            </w:r>
            <w:r w:rsidR="00156C4C" w:rsidRPr="00A02A9B">
              <w:rPr>
                <w:lang w:val="fr-FR"/>
              </w:rPr>
              <w:t xml:space="preserve">                        </w:t>
            </w:r>
            <w:r w:rsidR="00156C4C" w:rsidRPr="00056D05">
              <w:rPr>
                <w:lang w:val="fr-FR"/>
              </w:rPr>
              <w:t xml:space="preserve">                       </w:t>
            </w:r>
          </w:p>
        </w:tc>
      </w:tr>
      <w:tr w:rsidR="002C187A" w:rsidRPr="00364CC4"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187770E" w14:textId="1A73C8A6" w:rsidR="002C187A" w:rsidRPr="006E6ADB" w:rsidRDefault="006E6ADB" w:rsidP="00E76CA1">
            <w:pPr>
              <w:rPr>
                <w:lang w:val="fr-FR"/>
              </w:rPr>
            </w:pPr>
            <w:r w:rsidRPr="006E6ADB">
              <w:rPr>
                <w:lang w:val="fr-FR"/>
              </w:rPr>
              <w:t xml:space="preserve">La pandémie </w:t>
            </w:r>
            <w:r w:rsidR="00322E72">
              <w:rPr>
                <w:lang w:val="fr-FR"/>
              </w:rPr>
              <w:t xml:space="preserve">de la COVID-19 </w:t>
            </w:r>
            <w:r w:rsidRPr="006E6ADB">
              <w:rPr>
                <w:lang w:val="fr-FR"/>
              </w:rPr>
              <w:t>a constitué u</w:t>
            </w:r>
            <w:r>
              <w:rPr>
                <w:lang w:val="fr-FR"/>
              </w:rPr>
              <w:t>n frein dans le déroulement des activités du projet, notamment l’accompagnement des agences et OSC dans la tenue des réunions techniques</w:t>
            </w:r>
            <w:r w:rsidR="00322E72">
              <w:rPr>
                <w:lang w:val="fr-FR"/>
              </w:rPr>
              <w:t xml:space="preserve"> et la réalisation des missions de suivi des projets sur le terrain</w:t>
            </w:r>
            <w:r>
              <w:rPr>
                <w:lang w:val="fr-FR"/>
              </w:rPr>
              <w:t xml:space="preserve">. </w:t>
            </w:r>
          </w:p>
        </w:tc>
      </w:tr>
    </w:tbl>
    <w:p w14:paraId="682EBE58" w14:textId="77777777" w:rsidR="00673D6E" w:rsidRPr="006E6ADB" w:rsidRDefault="00673D6E" w:rsidP="00E76CA1">
      <w:pPr>
        <w:rPr>
          <w:b/>
          <w:lang w:val="fr-FR"/>
        </w:rPr>
      </w:pPr>
    </w:p>
    <w:p w14:paraId="64491D11" w14:textId="77777777" w:rsidR="00673D6E" w:rsidRPr="006E6ADB" w:rsidRDefault="00673D6E" w:rsidP="00411A5F">
      <w:pPr>
        <w:rPr>
          <w:lang w:val="fr-FR"/>
        </w:rPr>
      </w:pPr>
    </w:p>
    <w:p w14:paraId="63ED12FA" w14:textId="77777777" w:rsidR="004E3B3E" w:rsidRPr="006E6ADB" w:rsidRDefault="004E3B3E" w:rsidP="0078600B">
      <w:pPr>
        <w:rPr>
          <w:lang w:val="fr-FR"/>
        </w:rPr>
        <w:sectPr w:rsidR="004E3B3E" w:rsidRPr="006E6ADB" w:rsidSect="0078600B">
          <w:pgSz w:w="11906" w:h="16838"/>
          <w:pgMar w:top="1440" w:right="1800" w:bottom="1440" w:left="1800" w:header="720" w:footer="720" w:gutter="0"/>
          <w:cols w:space="720"/>
          <w:docGrid w:linePitch="360"/>
        </w:sectPr>
      </w:pPr>
    </w:p>
    <w:p w14:paraId="18FE000D"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364CC4" w14:paraId="55AC7DE0" w14:textId="77777777" w:rsidTr="008B4C3D">
        <w:trPr>
          <w:tblHeader/>
          <w:jc w:val="cent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36145B62"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r w:rsidR="00857E2F">
              <w:rPr>
                <w:rFonts w:cs="Tahoma"/>
                <w:b/>
                <w:szCs w:val="20"/>
                <w:lang w:val="fr-FR" w:eastAsia="en-US"/>
              </w:rPr>
              <w:t>s</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6C0F3F30"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r w:rsidR="00857E2F">
              <w:rPr>
                <w:rFonts w:cs="Tahoma"/>
                <w:b/>
                <w:szCs w:val="20"/>
                <w:lang w:val="fr-FR" w:eastAsia="en-US"/>
              </w:rPr>
              <w:t>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B4C3D">
        <w:trPr>
          <w:trHeight w:val="548"/>
          <w:jc w:val="center"/>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21E6FCF7" w:rsidR="00826923" w:rsidRPr="005A6420" w:rsidRDefault="00022522" w:rsidP="00826923">
            <w:pPr>
              <w:rPr>
                <w:rFonts w:cs="Tahoma"/>
                <w:b/>
                <w:szCs w:val="20"/>
                <w:lang w:val="fr-FR" w:eastAsia="en-US"/>
              </w:rPr>
            </w:pPr>
            <w:r w:rsidRPr="002476F1">
              <w:rPr>
                <w:lang w:val="fr-FR" w:eastAsia="en-US"/>
              </w:rPr>
              <w:t xml:space="preserve">Le Secrétariat Permanent accompagne la clôture du Second Plan Prioritaire de Consolidation de la Paix, met en place les mécanismes nécessaires à l’élaboration participative de projets pour la prochaine phase </w:t>
            </w:r>
            <w:r w:rsidRPr="002476F1">
              <w:rPr>
                <w:lang w:val="fr-FR" w:eastAsia="en-US"/>
              </w:rPr>
              <w:lastRenderedPageBreak/>
              <w:t>d’appui du PBF et accompagne la mise en œuvre de ces projets.</w:t>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1.1</w:t>
            </w:r>
          </w:p>
          <w:p w14:paraId="0BAA20C5" w14:textId="2A5D2C0D" w:rsidR="00826923" w:rsidRPr="005A6420" w:rsidRDefault="009912F8" w:rsidP="00826923">
            <w:pPr>
              <w:jc w:val="both"/>
              <w:rPr>
                <w:rFonts w:cs="Tahoma"/>
                <w:szCs w:val="20"/>
                <w:lang w:val="fr-FR" w:eastAsia="en-US"/>
              </w:rPr>
            </w:pPr>
            <w:r w:rsidRPr="002476F1">
              <w:rPr>
                <w:lang w:val="fr-FR" w:eastAsia="en-US"/>
              </w:rPr>
              <w:t>La République de Guinée dispose d’une prochaine phase d’appui du Fonds de Consolidation de la Paix</w:t>
            </w:r>
          </w:p>
        </w:tc>
        <w:tc>
          <w:tcPr>
            <w:tcW w:w="1530" w:type="dxa"/>
            <w:shd w:val="clear" w:color="auto" w:fill="EEECE1"/>
          </w:tcPr>
          <w:p w14:paraId="18B7E13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479E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9B2B9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7B8E1BF3" w:rsidR="00826923" w:rsidRPr="005A6420" w:rsidRDefault="009912F8" w:rsidP="00826923">
            <w:pPr>
              <w:rPr>
                <w:lang w:val="fr-FR"/>
              </w:rPr>
            </w:pPr>
            <w:r w:rsidRPr="002476F1">
              <w:rPr>
                <w:lang w:val="fr-FR" w:eastAsia="en-US"/>
              </w:rPr>
              <w:t>Réalisé, l</w:t>
            </w:r>
            <w:r w:rsidR="00916E28">
              <w:rPr>
                <w:lang w:val="fr-FR" w:eastAsia="en-US"/>
              </w:rPr>
              <w:t xml:space="preserve">a </w:t>
            </w:r>
            <w:r w:rsidRPr="002476F1">
              <w:rPr>
                <w:lang w:val="fr-FR" w:eastAsia="en-US"/>
              </w:rPr>
              <w:t>nouvelle phase d'appui a commencé au cours du premier trimestre 2018</w:t>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8556BB5" w14:textId="77777777" w:rsidTr="008B4C3D">
        <w:trPr>
          <w:trHeight w:val="548"/>
          <w:jc w:val="center"/>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5D5F05AE" w:rsidR="00826923" w:rsidRPr="005A6420" w:rsidRDefault="009912F8" w:rsidP="00826923">
            <w:pPr>
              <w:jc w:val="both"/>
              <w:rPr>
                <w:rFonts w:cs="Tahoma"/>
                <w:szCs w:val="20"/>
                <w:lang w:val="fr-FR" w:eastAsia="en-US"/>
              </w:rPr>
            </w:pPr>
            <w:r w:rsidRPr="002476F1">
              <w:rPr>
                <w:lang w:val="fr-FR" w:eastAsia="en-US"/>
              </w:rPr>
              <w:t xml:space="preserve">  La République de Guinée bénéficie d’un appui flexible de la Commission de Consolidation de la Paix  </w:t>
            </w:r>
          </w:p>
        </w:tc>
        <w:tc>
          <w:tcPr>
            <w:tcW w:w="1530" w:type="dxa"/>
            <w:shd w:val="clear" w:color="auto" w:fill="EEECE1"/>
          </w:tcPr>
          <w:p w14:paraId="3C10E6DE" w14:textId="2A878748" w:rsidR="00826923" w:rsidRPr="005A6420" w:rsidRDefault="009912F8" w:rsidP="00826923">
            <w:pPr>
              <w:rPr>
                <w:lang w:val="fr-FR"/>
              </w:rPr>
            </w:pPr>
            <w:r w:rsidRPr="002476F1">
              <w:rPr>
                <w:lang w:val="fr-FR" w:eastAsia="en-US"/>
              </w:rPr>
              <w:t>Inscription de la Guinée à l’ordre du jour de la Commission de Consolidation de la Paix</w:t>
            </w:r>
          </w:p>
        </w:tc>
        <w:tc>
          <w:tcPr>
            <w:tcW w:w="1620" w:type="dxa"/>
            <w:shd w:val="clear" w:color="auto" w:fill="EEECE1"/>
          </w:tcPr>
          <w:p w14:paraId="6F75A704" w14:textId="626C0941" w:rsidR="00826923" w:rsidRPr="005A6420" w:rsidRDefault="009912F8" w:rsidP="00826923">
            <w:pPr>
              <w:rPr>
                <w:lang w:val="fr-FR"/>
              </w:rPr>
            </w:pPr>
            <w:r w:rsidRPr="003D720E">
              <w:rPr>
                <w:lang w:val="fr-FR" w:eastAsia="en-US"/>
              </w:rPr>
              <w:t>La Guinée bénéficie d’un appui plus flexible de la part de la Commission de Consolidation de la Paix</w:t>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6142ED05" w:rsidR="00826923" w:rsidRPr="005A6420" w:rsidRDefault="009912F8" w:rsidP="00826923">
            <w:pPr>
              <w:rPr>
                <w:lang w:val="fr-FR"/>
              </w:rPr>
            </w:pPr>
            <w:r w:rsidRPr="003D720E">
              <w:rPr>
                <w:lang w:val="fr-FR" w:eastAsia="en-US"/>
              </w:rPr>
              <w:t>Réalisé, l</w:t>
            </w:r>
            <w:r w:rsidR="00916E28">
              <w:rPr>
                <w:lang w:val="fr-FR" w:eastAsia="en-US"/>
              </w:rPr>
              <w:t>a</w:t>
            </w:r>
            <w:r w:rsidRPr="003D720E">
              <w:rPr>
                <w:lang w:val="fr-FR" w:eastAsia="en-US"/>
              </w:rPr>
              <w:t xml:space="preserve"> nouvelle phase d'appui a commencé au cours du premier trimestre 2018</w:t>
            </w:r>
          </w:p>
        </w:tc>
        <w:tc>
          <w:tcPr>
            <w:tcW w:w="4140"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860399" w14:textId="77777777" w:rsidTr="008B4C3D">
        <w:trPr>
          <w:trHeight w:val="548"/>
          <w:jc w:val="center"/>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431A0581" w:rsidR="00826923" w:rsidRPr="005A6420" w:rsidRDefault="009912F8" w:rsidP="00826923">
            <w:pPr>
              <w:jc w:val="both"/>
              <w:rPr>
                <w:rFonts w:cs="Tahoma"/>
                <w:szCs w:val="20"/>
                <w:lang w:val="fr-FR" w:eastAsia="en-US"/>
              </w:rPr>
            </w:pPr>
            <w:r w:rsidRPr="003D720E">
              <w:rPr>
                <w:lang w:val="fr-FR" w:eastAsia="en-US"/>
              </w:rPr>
              <w:t xml:space="preserve">La communication entre le Secrétariat </w:t>
            </w:r>
            <w:r w:rsidRPr="003D720E">
              <w:rPr>
                <w:lang w:val="fr-FR" w:eastAsia="en-US"/>
              </w:rPr>
              <w:lastRenderedPageBreak/>
              <w:t>et le Bureau d’appui à la consolidation de la Paix est renforcée.</w:t>
            </w:r>
          </w:p>
        </w:tc>
        <w:tc>
          <w:tcPr>
            <w:tcW w:w="1530" w:type="dxa"/>
            <w:shd w:val="clear" w:color="auto" w:fill="EEECE1"/>
          </w:tcPr>
          <w:p w14:paraId="73A1EFF3" w14:textId="53EA2E1C" w:rsidR="00826923" w:rsidRPr="005A6420" w:rsidRDefault="009912F8" w:rsidP="00826923">
            <w:pPr>
              <w:rPr>
                <w:lang w:val="fr-FR"/>
              </w:rPr>
            </w:pPr>
            <w:r w:rsidRPr="009912F8">
              <w:rPr>
                <w:lang w:val="fr-FR"/>
              </w:rPr>
              <w:lastRenderedPageBreak/>
              <w:t xml:space="preserve">    Communication ad hoc, en </w:t>
            </w:r>
            <w:r w:rsidRPr="009912F8">
              <w:rPr>
                <w:lang w:val="fr-FR"/>
              </w:rPr>
              <w:lastRenderedPageBreak/>
              <w:t xml:space="preserve">fonction des besoins   </w:t>
            </w:r>
          </w:p>
        </w:tc>
        <w:tc>
          <w:tcPr>
            <w:tcW w:w="1620" w:type="dxa"/>
            <w:shd w:val="clear" w:color="auto" w:fill="EEECE1"/>
          </w:tcPr>
          <w:p w14:paraId="267F2402" w14:textId="078DD3BF" w:rsidR="00826923" w:rsidRPr="005A6420" w:rsidRDefault="00857E2F" w:rsidP="00826923">
            <w:pPr>
              <w:rPr>
                <w:lang w:val="fr-FR"/>
              </w:rPr>
            </w:pPr>
            <w:r w:rsidRPr="003D720E">
              <w:rPr>
                <w:lang w:val="fr-FR" w:eastAsia="en-US"/>
              </w:rPr>
              <w:lastRenderedPageBreak/>
              <w:t>La</w:t>
            </w:r>
            <w:r w:rsidR="009912F8" w:rsidRPr="003D720E">
              <w:rPr>
                <w:lang w:val="fr-FR" w:eastAsia="en-US"/>
              </w:rPr>
              <w:t xml:space="preserve"> Communication est </w:t>
            </w:r>
            <w:r w:rsidR="009912F8" w:rsidRPr="003D720E">
              <w:rPr>
                <w:lang w:val="fr-FR" w:eastAsia="en-US"/>
              </w:rPr>
              <w:lastRenderedPageBreak/>
              <w:t xml:space="preserve">améliorée : en plus des communications ad hoc, des discussions régulières sont institutionnalisées  </w:t>
            </w:r>
          </w:p>
        </w:tc>
        <w:tc>
          <w:tcPr>
            <w:tcW w:w="2070" w:type="dxa"/>
          </w:tcPr>
          <w:p w14:paraId="76951566"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B307D45" w:rsidR="00826923" w:rsidRPr="005A6420" w:rsidRDefault="009912F8" w:rsidP="00826923">
            <w:pPr>
              <w:rPr>
                <w:lang w:val="fr-FR"/>
              </w:rPr>
            </w:pPr>
            <w:r w:rsidRPr="003D720E">
              <w:rPr>
                <w:lang w:val="fr-FR" w:eastAsia="en-US"/>
              </w:rPr>
              <w:t xml:space="preserve">Les communications entre le Secrétariat </w:t>
            </w:r>
            <w:r w:rsidRPr="003D720E">
              <w:rPr>
                <w:lang w:val="fr-FR" w:eastAsia="en-US"/>
              </w:rPr>
              <w:lastRenderedPageBreak/>
              <w:t>et PBSO permettent une bonne circulation de l'information et permettent de prendre des mesures rapides en cas de besoin</w:t>
            </w:r>
          </w:p>
        </w:tc>
        <w:tc>
          <w:tcPr>
            <w:tcW w:w="4140" w:type="dxa"/>
          </w:tcPr>
          <w:p w14:paraId="7BFE6C19"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B4C3D">
        <w:trPr>
          <w:trHeight w:val="548"/>
          <w:jc w:val="center"/>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033DE4FD" w:rsidR="00826923" w:rsidRPr="005A6420" w:rsidRDefault="009912F8" w:rsidP="00826923">
            <w:pPr>
              <w:rPr>
                <w:rFonts w:cs="Tahoma"/>
                <w:b/>
                <w:szCs w:val="20"/>
                <w:lang w:val="fr-FR" w:eastAsia="en-US"/>
              </w:rPr>
            </w:pPr>
            <w:r w:rsidRPr="003D720E">
              <w:rPr>
                <w:lang w:val="fr-FR" w:eastAsia="en-US"/>
              </w:rPr>
              <w:t xml:space="preserve">Les besoins critiques de Consolidation de la Paix sont identifiés et des réponses programmatiques adaptées sont élaborées conjointement, puis examinées et approuvées </w:t>
            </w:r>
            <w:r w:rsidRPr="003D720E">
              <w:rPr>
                <w:lang w:val="fr-FR" w:eastAsia="en-US"/>
              </w:rPr>
              <w:lastRenderedPageBreak/>
              <w:t>par le COPIL puis PBSO.</w:t>
            </w: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lastRenderedPageBreak/>
              <w:t>Indicateur  1.1.1</w:t>
            </w:r>
            <w:proofErr w:type="gramEnd"/>
          </w:p>
          <w:p w14:paraId="2625E4F1" w14:textId="12FB867C" w:rsidR="00826923" w:rsidRPr="005A6420" w:rsidRDefault="009912F8" w:rsidP="00826923">
            <w:pPr>
              <w:jc w:val="both"/>
              <w:rPr>
                <w:rFonts w:cs="Tahoma"/>
                <w:szCs w:val="20"/>
                <w:lang w:val="fr-FR" w:eastAsia="en-US"/>
              </w:rPr>
            </w:pPr>
            <w:r w:rsidRPr="003D720E">
              <w:rPr>
                <w:lang w:val="fr-FR" w:eastAsia="en-US"/>
              </w:rPr>
              <w:t>Nombre de rencontre de coordination et de préparation des nouveaux projets</w:t>
            </w:r>
          </w:p>
        </w:tc>
        <w:tc>
          <w:tcPr>
            <w:tcW w:w="1530" w:type="dxa"/>
            <w:shd w:val="clear" w:color="auto" w:fill="EEECE1"/>
          </w:tcPr>
          <w:p w14:paraId="16CCB956" w14:textId="146C58BD" w:rsidR="00826923" w:rsidRPr="00FB48AF" w:rsidRDefault="009912F8" w:rsidP="00826923">
            <w:pPr>
              <w:rPr>
                <w:bCs/>
                <w:lang w:val="fr-FR"/>
              </w:rPr>
            </w:pPr>
            <w:r w:rsidRPr="00FB48AF">
              <w:rPr>
                <w:bCs/>
                <w:sz w:val="22"/>
                <w:szCs w:val="22"/>
                <w:lang w:val="fr-FR" w:eastAsia="en-US"/>
              </w:rPr>
              <w:t>0</w:t>
            </w:r>
          </w:p>
        </w:tc>
        <w:tc>
          <w:tcPr>
            <w:tcW w:w="1620" w:type="dxa"/>
            <w:shd w:val="clear" w:color="auto" w:fill="EEECE1"/>
          </w:tcPr>
          <w:p w14:paraId="46EECC2B" w14:textId="4A49C6CB" w:rsidR="00826923" w:rsidRPr="00FB48AF" w:rsidRDefault="009912F8" w:rsidP="00826923">
            <w:pPr>
              <w:rPr>
                <w:bCs/>
                <w:lang w:val="fr-FR"/>
              </w:rPr>
            </w:pPr>
            <w:r w:rsidRPr="00FB48AF">
              <w:rPr>
                <w:bCs/>
                <w:sz w:val="22"/>
                <w:szCs w:val="22"/>
                <w:lang w:val="fr-FR" w:eastAsia="en-US"/>
              </w:rPr>
              <w:t>15</w:t>
            </w:r>
          </w:p>
        </w:tc>
        <w:tc>
          <w:tcPr>
            <w:tcW w:w="2070" w:type="dxa"/>
          </w:tcPr>
          <w:p w14:paraId="521B62BD" w14:textId="77777777" w:rsidR="00826923" w:rsidRPr="00FB48AF" w:rsidRDefault="00826923" w:rsidP="00826923">
            <w:pPr>
              <w:rPr>
                <w:bCs/>
                <w:lang w:val="fr-FR"/>
              </w:rPr>
            </w:pPr>
            <w:r w:rsidRPr="00FB48AF">
              <w:rPr>
                <w:bCs/>
                <w:sz w:val="22"/>
                <w:szCs w:val="22"/>
                <w:lang w:val="fr-FR" w:eastAsia="en-US"/>
              </w:rPr>
              <w:fldChar w:fldCharType="begin">
                <w:ffData>
                  <w:name w:val=""/>
                  <w:enabled/>
                  <w:calcOnExit w:val="0"/>
                  <w:textInput>
                    <w:maxLength w:val="300"/>
                  </w:textInput>
                </w:ffData>
              </w:fldChar>
            </w:r>
            <w:r w:rsidRPr="00FB48AF">
              <w:rPr>
                <w:bCs/>
                <w:sz w:val="22"/>
                <w:szCs w:val="22"/>
                <w:lang w:val="fr-FR" w:eastAsia="en-US"/>
              </w:rPr>
              <w:instrText xml:space="preserve"> FORMTEXT </w:instrText>
            </w:r>
            <w:r w:rsidRPr="00FB48AF">
              <w:rPr>
                <w:bCs/>
                <w:sz w:val="22"/>
                <w:szCs w:val="22"/>
                <w:lang w:val="fr-FR" w:eastAsia="en-US"/>
              </w:rPr>
            </w:r>
            <w:r w:rsidRPr="00FB48AF">
              <w:rPr>
                <w:bCs/>
                <w:sz w:val="22"/>
                <w:szCs w:val="22"/>
                <w:lang w:val="fr-FR" w:eastAsia="en-US"/>
              </w:rPr>
              <w:fldChar w:fldCharType="separate"/>
            </w:r>
            <w:r w:rsidRPr="00FB48AF">
              <w:rPr>
                <w:bCs/>
                <w:noProof/>
                <w:sz w:val="22"/>
                <w:szCs w:val="22"/>
                <w:lang w:val="fr-FR" w:eastAsia="en-US"/>
              </w:rPr>
              <w:t> </w:t>
            </w:r>
            <w:r w:rsidRPr="00FB48AF">
              <w:rPr>
                <w:bCs/>
                <w:noProof/>
                <w:sz w:val="22"/>
                <w:szCs w:val="22"/>
                <w:lang w:val="fr-FR" w:eastAsia="en-US"/>
              </w:rPr>
              <w:t> </w:t>
            </w:r>
            <w:r w:rsidRPr="00FB48AF">
              <w:rPr>
                <w:bCs/>
                <w:noProof/>
                <w:sz w:val="22"/>
                <w:szCs w:val="22"/>
                <w:lang w:val="fr-FR" w:eastAsia="en-US"/>
              </w:rPr>
              <w:t> </w:t>
            </w:r>
            <w:r w:rsidRPr="00FB48AF">
              <w:rPr>
                <w:bCs/>
                <w:noProof/>
                <w:sz w:val="22"/>
                <w:szCs w:val="22"/>
                <w:lang w:val="fr-FR" w:eastAsia="en-US"/>
              </w:rPr>
              <w:t> </w:t>
            </w:r>
            <w:r w:rsidRPr="00FB48AF">
              <w:rPr>
                <w:bCs/>
                <w:noProof/>
                <w:sz w:val="22"/>
                <w:szCs w:val="22"/>
                <w:lang w:val="fr-FR" w:eastAsia="en-US"/>
              </w:rPr>
              <w:t> </w:t>
            </w:r>
            <w:r w:rsidRPr="00FB48AF">
              <w:rPr>
                <w:bCs/>
                <w:sz w:val="22"/>
                <w:szCs w:val="22"/>
                <w:lang w:val="fr-FR" w:eastAsia="en-US"/>
              </w:rPr>
              <w:fldChar w:fldCharType="end"/>
            </w:r>
          </w:p>
        </w:tc>
        <w:tc>
          <w:tcPr>
            <w:tcW w:w="2070" w:type="dxa"/>
          </w:tcPr>
          <w:p w14:paraId="7FA7D3AF" w14:textId="3C51E795" w:rsidR="00826923" w:rsidRPr="00FB48AF" w:rsidRDefault="009912F8" w:rsidP="00826923">
            <w:pPr>
              <w:rPr>
                <w:bCs/>
                <w:lang w:val="fr-FR"/>
              </w:rPr>
            </w:pPr>
            <w:r w:rsidRPr="00FB48AF">
              <w:rPr>
                <w:bCs/>
                <w:sz w:val="22"/>
                <w:szCs w:val="22"/>
                <w:lang w:val="fr-FR" w:eastAsia="en-US"/>
              </w:rPr>
              <w:t>30</w:t>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364CC4" w14:paraId="15BD3BE2" w14:textId="77777777" w:rsidTr="008B4C3D">
        <w:trPr>
          <w:trHeight w:val="512"/>
          <w:jc w:val="center"/>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174E8DCD" w:rsidR="00826923" w:rsidRPr="005A6420" w:rsidRDefault="009912F8" w:rsidP="00826923">
            <w:pPr>
              <w:jc w:val="both"/>
              <w:rPr>
                <w:rFonts w:cs="Tahoma"/>
                <w:szCs w:val="20"/>
                <w:lang w:val="fr-FR" w:eastAsia="en-US"/>
              </w:rPr>
            </w:pPr>
            <w:r w:rsidRPr="003D720E">
              <w:rPr>
                <w:lang w:val="fr-FR" w:eastAsia="en-US"/>
              </w:rPr>
              <w:t>Nombre de nouveaux projets validés et approuvés</w:t>
            </w:r>
          </w:p>
        </w:tc>
        <w:tc>
          <w:tcPr>
            <w:tcW w:w="1530" w:type="dxa"/>
            <w:shd w:val="clear" w:color="auto" w:fill="EEECE1"/>
          </w:tcPr>
          <w:p w14:paraId="408334AB" w14:textId="5E805CBE" w:rsidR="00826923" w:rsidRPr="00FB48AF" w:rsidRDefault="009912F8" w:rsidP="00826923">
            <w:pPr>
              <w:rPr>
                <w:bCs/>
                <w:lang w:val="fr-FR"/>
              </w:rPr>
            </w:pPr>
            <w:r w:rsidRPr="00FB48AF">
              <w:rPr>
                <w:bCs/>
                <w:sz w:val="22"/>
                <w:szCs w:val="22"/>
                <w:lang w:val="fr-FR" w:eastAsia="en-US"/>
              </w:rPr>
              <w:t>0</w:t>
            </w:r>
          </w:p>
        </w:tc>
        <w:tc>
          <w:tcPr>
            <w:tcW w:w="1620" w:type="dxa"/>
            <w:shd w:val="clear" w:color="auto" w:fill="EEECE1"/>
          </w:tcPr>
          <w:p w14:paraId="04885E44" w14:textId="3B0D3C89" w:rsidR="00826923" w:rsidRPr="00FB48AF" w:rsidRDefault="009912F8" w:rsidP="00826923">
            <w:pPr>
              <w:rPr>
                <w:bCs/>
                <w:lang w:val="fr-FR"/>
              </w:rPr>
            </w:pPr>
            <w:r w:rsidRPr="00FB48AF">
              <w:rPr>
                <w:bCs/>
                <w:sz w:val="22"/>
                <w:szCs w:val="22"/>
                <w:lang w:val="fr-FR" w:eastAsia="en-US"/>
              </w:rPr>
              <w:t>4</w:t>
            </w:r>
          </w:p>
        </w:tc>
        <w:tc>
          <w:tcPr>
            <w:tcW w:w="2070" w:type="dxa"/>
          </w:tcPr>
          <w:p w14:paraId="7E94F785" w14:textId="77777777" w:rsidR="00826923" w:rsidRPr="00FB48AF" w:rsidRDefault="00826923" w:rsidP="00826923">
            <w:pPr>
              <w:rPr>
                <w:bCs/>
                <w:lang w:val="fr-FR"/>
              </w:rPr>
            </w:pPr>
            <w:r w:rsidRPr="00FB48AF">
              <w:rPr>
                <w:bCs/>
                <w:sz w:val="22"/>
                <w:szCs w:val="22"/>
                <w:lang w:val="fr-FR" w:eastAsia="en-US"/>
              </w:rPr>
              <w:fldChar w:fldCharType="begin">
                <w:ffData>
                  <w:name w:val=""/>
                  <w:enabled/>
                  <w:calcOnExit w:val="0"/>
                  <w:textInput>
                    <w:maxLength w:val="300"/>
                  </w:textInput>
                </w:ffData>
              </w:fldChar>
            </w:r>
            <w:r w:rsidRPr="00FB48AF">
              <w:rPr>
                <w:bCs/>
                <w:sz w:val="22"/>
                <w:szCs w:val="22"/>
                <w:lang w:val="fr-FR" w:eastAsia="en-US"/>
              </w:rPr>
              <w:instrText xml:space="preserve"> FORMTEXT </w:instrText>
            </w:r>
            <w:r w:rsidRPr="00FB48AF">
              <w:rPr>
                <w:bCs/>
                <w:sz w:val="22"/>
                <w:szCs w:val="22"/>
                <w:lang w:val="fr-FR" w:eastAsia="en-US"/>
              </w:rPr>
            </w:r>
            <w:r w:rsidRPr="00FB48AF">
              <w:rPr>
                <w:bCs/>
                <w:sz w:val="22"/>
                <w:szCs w:val="22"/>
                <w:lang w:val="fr-FR" w:eastAsia="en-US"/>
              </w:rPr>
              <w:fldChar w:fldCharType="separate"/>
            </w:r>
            <w:r w:rsidRPr="00FB48AF">
              <w:rPr>
                <w:bCs/>
                <w:noProof/>
                <w:sz w:val="22"/>
                <w:szCs w:val="22"/>
                <w:lang w:val="fr-FR" w:eastAsia="en-US"/>
              </w:rPr>
              <w:t> </w:t>
            </w:r>
            <w:r w:rsidRPr="00FB48AF">
              <w:rPr>
                <w:bCs/>
                <w:noProof/>
                <w:sz w:val="22"/>
                <w:szCs w:val="22"/>
                <w:lang w:val="fr-FR" w:eastAsia="en-US"/>
              </w:rPr>
              <w:t> </w:t>
            </w:r>
            <w:r w:rsidRPr="00FB48AF">
              <w:rPr>
                <w:bCs/>
                <w:noProof/>
                <w:sz w:val="22"/>
                <w:szCs w:val="22"/>
                <w:lang w:val="fr-FR" w:eastAsia="en-US"/>
              </w:rPr>
              <w:t> </w:t>
            </w:r>
            <w:r w:rsidRPr="00FB48AF">
              <w:rPr>
                <w:bCs/>
                <w:noProof/>
                <w:sz w:val="22"/>
                <w:szCs w:val="22"/>
                <w:lang w:val="fr-FR" w:eastAsia="en-US"/>
              </w:rPr>
              <w:t> </w:t>
            </w:r>
            <w:r w:rsidRPr="00FB48AF">
              <w:rPr>
                <w:bCs/>
                <w:noProof/>
                <w:sz w:val="22"/>
                <w:szCs w:val="22"/>
                <w:lang w:val="fr-FR" w:eastAsia="en-US"/>
              </w:rPr>
              <w:t> </w:t>
            </w:r>
            <w:r w:rsidRPr="00FB48AF">
              <w:rPr>
                <w:bCs/>
                <w:sz w:val="22"/>
                <w:szCs w:val="22"/>
                <w:lang w:val="fr-FR" w:eastAsia="en-US"/>
              </w:rPr>
              <w:fldChar w:fldCharType="end"/>
            </w:r>
          </w:p>
        </w:tc>
        <w:tc>
          <w:tcPr>
            <w:tcW w:w="2070" w:type="dxa"/>
          </w:tcPr>
          <w:p w14:paraId="33E89896" w14:textId="530F77AF" w:rsidR="00826923" w:rsidRPr="00FB48AF" w:rsidRDefault="009912F8" w:rsidP="00826923">
            <w:pPr>
              <w:rPr>
                <w:bCs/>
                <w:lang w:val="fr-FR"/>
              </w:rPr>
            </w:pPr>
            <w:r w:rsidRPr="00FB48AF">
              <w:rPr>
                <w:bCs/>
                <w:sz w:val="22"/>
                <w:szCs w:val="22"/>
                <w:lang w:val="fr-FR" w:eastAsia="en-US"/>
              </w:rPr>
              <w:t>9</w:t>
            </w:r>
          </w:p>
        </w:tc>
        <w:tc>
          <w:tcPr>
            <w:tcW w:w="4140" w:type="dxa"/>
          </w:tcPr>
          <w:p w14:paraId="7D32824A" w14:textId="5740C2F9" w:rsidR="00826923" w:rsidRPr="005A6420" w:rsidRDefault="009912F8" w:rsidP="00826923">
            <w:pPr>
              <w:rPr>
                <w:lang w:val="fr-FR"/>
              </w:rPr>
            </w:pPr>
            <w:r w:rsidRPr="00916E28">
              <w:rPr>
                <w:b/>
                <w:bCs/>
                <w:lang w:val="fr-FR"/>
              </w:rPr>
              <w:t>NB</w:t>
            </w:r>
            <w:r w:rsidRPr="00FB0D02">
              <w:rPr>
                <w:lang w:val="fr-FR"/>
              </w:rPr>
              <w:t xml:space="preserve">. </w:t>
            </w:r>
            <w:r w:rsidR="00CA622F">
              <w:rPr>
                <w:lang w:val="fr-FR"/>
              </w:rPr>
              <w:t>6 projets</w:t>
            </w:r>
            <w:r w:rsidRPr="00B12591">
              <w:rPr>
                <w:lang w:val="fr-FR"/>
              </w:rPr>
              <w:t xml:space="preserve"> </w:t>
            </w:r>
            <w:r w:rsidR="00916E28">
              <w:rPr>
                <w:lang w:val="fr-FR"/>
              </w:rPr>
              <w:t>ont été validés/</w:t>
            </w:r>
            <w:r w:rsidR="00CA622F">
              <w:rPr>
                <w:lang w:val="fr-FR"/>
              </w:rPr>
              <w:t>approuvés</w:t>
            </w:r>
            <w:r w:rsidRPr="00666544">
              <w:rPr>
                <w:lang w:val="fr-FR"/>
              </w:rPr>
              <w:t xml:space="preserve"> </w:t>
            </w:r>
            <w:r w:rsidR="00CA622F">
              <w:rPr>
                <w:lang w:val="fr-FR"/>
              </w:rPr>
              <w:t xml:space="preserve">et 1 </w:t>
            </w:r>
            <w:r w:rsidRPr="00666544">
              <w:rPr>
                <w:lang w:val="fr-FR"/>
              </w:rPr>
              <w:t xml:space="preserve">en préparation pour </w:t>
            </w:r>
            <w:r w:rsidR="00CA622F">
              <w:rPr>
                <w:lang w:val="fr-FR"/>
              </w:rPr>
              <w:t xml:space="preserve">la période </w:t>
            </w:r>
            <w:r w:rsidRPr="00666544">
              <w:rPr>
                <w:lang w:val="fr-FR"/>
              </w:rPr>
              <w:t>2019-2020</w:t>
            </w:r>
            <w:r w:rsidR="00CA622F">
              <w:rPr>
                <w:lang w:val="fr-FR"/>
              </w:rPr>
              <w:t xml:space="preserve"> (dont 3 GYPI et 3 programmation régulière).</w:t>
            </w:r>
          </w:p>
        </w:tc>
      </w:tr>
      <w:tr w:rsidR="00826923" w:rsidRPr="00364CC4" w14:paraId="0B2EE17F" w14:textId="77777777" w:rsidTr="008B4C3D">
        <w:trPr>
          <w:trHeight w:val="440"/>
          <w:jc w:val="center"/>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5D285FEC" w:rsidR="00826923" w:rsidRPr="005A6420" w:rsidRDefault="009A7206" w:rsidP="00826923">
            <w:pPr>
              <w:rPr>
                <w:rFonts w:cs="Tahoma"/>
                <w:szCs w:val="20"/>
                <w:lang w:val="fr-FR" w:eastAsia="en-US"/>
              </w:rPr>
            </w:pPr>
            <w:r w:rsidRPr="003D720E">
              <w:rPr>
                <w:lang w:val="fr-FR" w:eastAsia="en-US"/>
              </w:rPr>
              <w:t xml:space="preserve">Le SP du Copil est doté de suffisamment de ressources techniques pour accompagner efficacement le gouvernement dans l'élaboration et la mise en </w:t>
            </w:r>
            <w:proofErr w:type="spellStart"/>
            <w:r w:rsidRPr="003D720E">
              <w:rPr>
                <w:lang w:val="fr-FR" w:eastAsia="en-US"/>
              </w:rPr>
              <w:t>oeuvre</w:t>
            </w:r>
            <w:proofErr w:type="spellEnd"/>
            <w:r w:rsidRPr="003D720E">
              <w:rPr>
                <w:lang w:val="fr-FR" w:eastAsia="en-US"/>
              </w:rPr>
              <w:t xml:space="preserve"> de la nouvelle phase d'appui</w:t>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3DEA4C71" w:rsidR="00826923" w:rsidRPr="005A6420" w:rsidRDefault="00056D05" w:rsidP="00826923">
            <w:pPr>
              <w:jc w:val="both"/>
              <w:rPr>
                <w:rFonts w:cs="Tahoma"/>
                <w:szCs w:val="20"/>
                <w:lang w:val="fr-FR" w:eastAsia="en-US"/>
              </w:rPr>
            </w:pPr>
            <w:r w:rsidRPr="00056D05">
              <w:rPr>
                <w:lang w:val="fr-FR" w:eastAsia="en-US"/>
              </w:rPr>
              <w:t>Nombre de réunions de COPIL</w:t>
            </w:r>
          </w:p>
        </w:tc>
        <w:tc>
          <w:tcPr>
            <w:tcW w:w="1530" w:type="dxa"/>
            <w:shd w:val="clear" w:color="auto" w:fill="EEECE1"/>
          </w:tcPr>
          <w:p w14:paraId="2F1437DA" w14:textId="76A2C191" w:rsidR="00826923" w:rsidRPr="00056D05" w:rsidRDefault="00056D05" w:rsidP="00826923">
            <w:pPr>
              <w:rPr>
                <w:bCs/>
                <w:lang w:val="fr-FR"/>
              </w:rPr>
            </w:pPr>
            <w:r w:rsidRPr="00056D05">
              <w:rPr>
                <w:bCs/>
                <w:sz w:val="22"/>
                <w:szCs w:val="22"/>
                <w:lang w:val="fr-FR" w:eastAsia="en-US"/>
              </w:rPr>
              <w:t>0</w:t>
            </w:r>
          </w:p>
        </w:tc>
        <w:tc>
          <w:tcPr>
            <w:tcW w:w="1620" w:type="dxa"/>
            <w:shd w:val="clear" w:color="auto" w:fill="EEECE1"/>
          </w:tcPr>
          <w:p w14:paraId="35AF67C2" w14:textId="55E383C2" w:rsidR="00826923" w:rsidRPr="00056D05" w:rsidRDefault="00857E2F" w:rsidP="00826923">
            <w:pPr>
              <w:rPr>
                <w:bCs/>
                <w:lang w:val="fr-FR"/>
              </w:rPr>
            </w:pPr>
            <w:r>
              <w:rPr>
                <w:bCs/>
                <w:sz w:val="22"/>
                <w:szCs w:val="22"/>
                <w:lang w:val="fr-FR" w:eastAsia="en-US"/>
              </w:rPr>
              <w:t>4</w:t>
            </w:r>
          </w:p>
        </w:tc>
        <w:tc>
          <w:tcPr>
            <w:tcW w:w="2070" w:type="dxa"/>
          </w:tcPr>
          <w:p w14:paraId="252C5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0BFB45E" w14:textId="6DCA1E29" w:rsidR="00826923" w:rsidRPr="005A6420" w:rsidRDefault="00056D05" w:rsidP="00826923">
            <w:pPr>
              <w:rPr>
                <w:lang w:val="fr-FR"/>
              </w:rPr>
            </w:pPr>
            <w:r w:rsidRPr="00056D05">
              <w:rPr>
                <w:lang w:val="fr-FR"/>
              </w:rPr>
              <w:t>13</w:t>
            </w:r>
            <w:r w:rsidRPr="00056D05">
              <w:rPr>
                <w:lang w:val="fr-FR" w:eastAsia="en-US"/>
              </w:rPr>
              <w:t xml:space="preserve"> réunions de Copil ont été organisées</w:t>
            </w:r>
          </w:p>
        </w:tc>
        <w:tc>
          <w:tcPr>
            <w:tcW w:w="4140" w:type="dxa"/>
          </w:tcPr>
          <w:p w14:paraId="45774214" w14:textId="33746CDC" w:rsidR="00826923" w:rsidRPr="005A6420" w:rsidRDefault="00056D05" w:rsidP="00826923">
            <w:pPr>
              <w:rPr>
                <w:lang w:val="fr-FR"/>
              </w:rPr>
            </w:pPr>
            <w:r w:rsidRPr="00056D05">
              <w:rPr>
                <w:lang w:val="fr-FR"/>
              </w:rPr>
              <w:t xml:space="preserve">NB. Le </w:t>
            </w:r>
            <w:r w:rsidR="00120861" w:rsidRPr="00056D05">
              <w:rPr>
                <w:lang w:val="fr-FR"/>
              </w:rPr>
              <w:t>portefeuille ne</w:t>
            </w:r>
            <w:r w:rsidRPr="00056D05">
              <w:rPr>
                <w:lang w:val="fr-FR"/>
              </w:rPr>
              <w:t xml:space="preserve"> </w:t>
            </w:r>
            <w:r w:rsidR="00857E2F" w:rsidRPr="00056D05">
              <w:rPr>
                <w:lang w:val="fr-FR"/>
              </w:rPr>
              <w:t>dispose</w:t>
            </w:r>
            <w:r w:rsidRPr="00056D05">
              <w:rPr>
                <w:lang w:val="fr-FR"/>
              </w:rPr>
              <w:t xml:space="preserve"> pas d'un comité de pilotage. </w:t>
            </w:r>
            <w:r w:rsidR="00857E2F" w:rsidRPr="00056D05">
              <w:rPr>
                <w:lang w:val="fr-FR"/>
              </w:rPr>
              <w:t>Les</w:t>
            </w:r>
            <w:r w:rsidRPr="00056D05">
              <w:rPr>
                <w:lang w:val="fr-FR"/>
              </w:rPr>
              <w:t xml:space="preserve"> comités de pilotage mentionnés sont des comités de pilotage de projets.</w:t>
            </w:r>
          </w:p>
        </w:tc>
      </w:tr>
      <w:tr w:rsidR="00826923" w:rsidRPr="00364CC4" w14:paraId="3F95CC23" w14:textId="77777777" w:rsidTr="008B4C3D">
        <w:trPr>
          <w:trHeight w:val="467"/>
          <w:jc w:val="center"/>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51ACFDF4" w:rsidR="00826923" w:rsidRPr="005A6420" w:rsidRDefault="00056D05" w:rsidP="00826923">
            <w:pPr>
              <w:jc w:val="both"/>
              <w:rPr>
                <w:rFonts w:cs="Tahoma"/>
                <w:szCs w:val="20"/>
                <w:lang w:val="fr-FR" w:eastAsia="en-US"/>
              </w:rPr>
            </w:pPr>
            <w:r w:rsidRPr="00056D05">
              <w:rPr>
                <w:lang w:val="fr-FR" w:eastAsia="en-US"/>
              </w:rPr>
              <w:t>Nombre de missions conjointes de suivi</w:t>
            </w:r>
          </w:p>
        </w:tc>
        <w:tc>
          <w:tcPr>
            <w:tcW w:w="1530" w:type="dxa"/>
            <w:shd w:val="clear" w:color="auto" w:fill="EEECE1"/>
          </w:tcPr>
          <w:p w14:paraId="0A000B97" w14:textId="7E3D2539" w:rsidR="00826923" w:rsidRPr="00056D05" w:rsidRDefault="00056D05" w:rsidP="00826923">
            <w:pPr>
              <w:rPr>
                <w:bCs/>
                <w:lang w:val="fr-FR"/>
              </w:rPr>
            </w:pPr>
            <w:r w:rsidRPr="00056D05">
              <w:rPr>
                <w:bCs/>
                <w:sz w:val="22"/>
                <w:szCs w:val="22"/>
                <w:lang w:val="fr-FR" w:eastAsia="en-US"/>
              </w:rPr>
              <w:t>0</w:t>
            </w:r>
          </w:p>
        </w:tc>
        <w:tc>
          <w:tcPr>
            <w:tcW w:w="1620" w:type="dxa"/>
            <w:shd w:val="clear" w:color="auto" w:fill="EEECE1"/>
          </w:tcPr>
          <w:p w14:paraId="3EC9670A" w14:textId="7F902575" w:rsidR="00826923" w:rsidRPr="00056D05" w:rsidRDefault="00056D05" w:rsidP="00826923">
            <w:pPr>
              <w:rPr>
                <w:bCs/>
                <w:lang w:val="fr-FR"/>
              </w:rPr>
            </w:pPr>
            <w:r w:rsidRPr="00056D05">
              <w:rPr>
                <w:bCs/>
                <w:sz w:val="22"/>
                <w:szCs w:val="22"/>
                <w:lang w:val="fr-FR" w:eastAsia="en-US"/>
              </w:rPr>
              <w:t>4</w:t>
            </w:r>
          </w:p>
        </w:tc>
        <w:tc>
          <w:tcPr>
            <w:tcW w:w="2070" w:type="dxa"/>
          </w:tcPr>
          <w:p w14:paraId="4F82B38A" w14:textId="77777777" w:rsidR="00826923" w:rsidRPr="00056D05" w:rsidRDefault="00826923" w:rsidP="00826923">
            <w:pPr>
              <w:rPr>
                <w:bCs/>
                <w:lang w:val="fr-FR"/>
              </w:rPr>
            </w:pPr>
            <w:r w:rsidRPr="00056D05">
              <w:rPr>
                <w:bCs/>
                <w:sz w:val="22"/>
                <w:szCs w:val="22"/>
                <w:lang w:val="fr-FR" w:eastAsia="en-US"/>
              </w:rPr>
              <w:fldChar w:fldCharType="begin">
                <w:ffData>
                  <w:name w:val=""/>
                  <w:enabled/>
                  <w:calcOnExit w:val="0"/>
                  <w:textInput>
                    <w:maxLength w:val="300"/>
                  </w:textInput>
                </w:ffData>
              </w:fldChar>
            </w:r>
            <w:r w:rsidRPr="00056D05">
              <w:rPr>
                <w:bCs/>
                <w:sz w:val="22"/>
                <w:szCs w:val="22"/>
                <w:lang w:val="fr-FR" w:eastAsia="en-US"/>
              </w:rPr>
              <w:instrText xml:space="preserve"> FORMTEXT </w:instrText>
            </w:r>
            <w:r w:rsidRPr="00056D05">
              <w:rPr>
                <w:bCs/>
                <w:sz w:val="22"/>
                <w:szCs w:val="22"/>
                <w:lang w:val="fr-FR" w:eastAsia="en-US"/>
              </w:rPr>
            </w:r>
            <w:r w:rsidRPr="00056D05">
              <w:rPr>
                <w:bCs/>
                <w:sz w:val="22"/>
                <w:szCs w:val="22"/>
                <w:lang w:val="fr-FR" w:eastAsia="en-US"/>
              </w:rPr>
              <w:fldChar w:fldCharType="separate"/>
            </w:r>
            <w:r w:rsidRPr="00056D05">
              <w:rPr>
                <w:bCs/>
                <w:noProof/>
                <w:sz w:val="22"/>
                <w:szCs w:val="22"/>
                <w:lang w:val="fr-FR" w:eastAsia="en-US"/>
              </w:rPr>
              <w:t> </w:t>
            </w:r>
            <w:r w:rsidRPr="00056D05">
              <w:rPr>
                <w:bCs/>
                <w:noProof/>
                <w:sz w:val="22"/>
                <w:szCs w:val="22"/>
                <w:lang w:val="fr-FR" w:eastAsia="en-US"/>
              </w:rPr>
              <w:t> </w:t>
            </w:r>
            <w:r w:rsidRPr="00056D05">
              <w:rPr>
                <w:bCs/>
                <w:noProof/>
                <w:sz w:val="22"/>
                <w:szCs w:val="22"/>
                <w:lang w:val="fr-FR" w:eastAsia="en-US"/>
              </w:rPr>
              <w:t> </w:t>
            </w:r>
            <w:r w:rsidRPr="00056D05">
              <w:rPr>
                <w:bCs/>
                <w:noProof/>
                <w:sz w:val="22"/>
                <w:szCs w:val="22"/>
                <w:lang w:val="fr-FR" w:eastAsia="en-US"/>
              </w:rPr>
              <w:t> </w:t>
            </w:r>
            <w:r w:rsidRPr="00056D05">
              <w:rPr>
                <w:bCs/>
                <w:noProof/>
                <w:sz w:val="22"/>
                <w:szCs w:val="22"/>
                <w:lang w:val="fr-FR" w:eastAsia="en-US"/>
              </w:rPr>
              <w:t> </w:t>
            </w:r>
            <w:r w:rsidRPr="00056D05">
              <w:rPr>
                <w:bCs/>
                <w:sz w:val="22"/>
                <w:szCs w:val="22"/>
                <w:lang w:val="fr-FR" w:eastAsia="en-US"/>
              </w:rPr>
              <w:fldChar w:fldCharType="end"/>
            </w:r>
          </w:p>
        </w:tc>
        <w:tc>
          <w:tcPr>
            <w:tcW w:w="2070" w:type="dxa"/>
          </w:tcPr>
          <w:p w14:paraId="642E84DB" w14:textId="223B420A" w:rsidR="00826923" w:rsidRPr="00056D05" w:rsidRDefault="00056D05" w:rsidP="00826923">
            <w:pPr>
              <w:rPr>
                <w:bCs/>
                <w:lang w:val="fr-FR"/>
              </w:rPr>
            </w:pPr>
            <w:r w:rsidRPr="00056D05">
              <w:rPr>
                <w:bCs/>
                <w:sz w:val="22"/>
                <w:szCs w:val="22"/>
                <w:lang w:val="fr-FR" w:eastAsia="en-US"/>
              </w:rPr>
              <w:t>2</w:t>
            </w:r>
          </w:p>
        </w:tc>
        <w:tc>
          <w:tcPr>
            <w:tcW w:w="4140" w:type="dxa"/>
          </w:tcPr>
          <w:p w14:paraId="67ABA996" w14:textId="073C6F15" w:rsidR="00826923" w:rsidRPr="00857E2F" w:rsidRDefault="00857E2F" w:rsidP="00826923">
            <w:pPr>
              <w:rPr>
                <w:bCs/>
                <w:lang w:val="fr-FR"/>
              </w:rPr>
            </w:pPr>
            <w:r w:rsidRPr="00120861">
              <w:rPr>
                <w:b/>
                <w:sz w:val="22"/>
                <w:szCs w:val="22"/>
                <w:lang w:val="fr-FR" w:eastAsia="en-US"/>
              </w:rPr>
              <w:t>NB</w:t>
            </w:r>
            <w:r w:rsidRPr="00857E2F">
              <w:rPr>
                <w:bCs/>
                <w:sz w:val="22"/>
                <w:szCs w:val="22"/>
                <w:lang w:val="fr-FR" w:eastAsia="en-US"/>
              </w:rPr>
              <w:t> : ne sont pas comptabilisées les deux missions conjointes exploratoires pour le projet de prévention de la radicalisation au cours desquelles un mapping des conflits spécifiques a été effectué deux missions d’accompagnement des projets dialogue et justice</w:t>
            </w:r>
          </w:p>
        </w:tc>
      </w:tr>
      <w:tr w:rsidR="00826923" w:rsidRPr="00364CC4" w14:paraId="0CA7A1F1" w14:textId="77777777" w:rsidTr="008B4C3D">
        <w:trPr>
          <w:trHeight w:val="422"/>
          <w:jc w:val="center"/>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73249FC4" w14:textId="286CB23E" w:rsidR="00826923" w:rsidRPr="005A6420" w:rsidRDefault="009A7206" w:rsidP="00826923">
            <w:pPr>
              <w:rPr>
                <w:rFonts w:cs="Tahoma"/>
                <w:b/>
                <w:szCs w:val="20"/>
                <w:lang w:val="fr-FR" w:eastAsia="en-US"/>
              </w:rPr>
            </w:pPr>
            <w:r w:rsidRPr="00F67249">
              <w:rPr>
                <w:lang w:val="fr-FR" w:eastAsia="en-US"/>
              </w:rPr>
              <w:t xml:space="preserve">La primature opérationnalise les recommandations urgentes </w:t>
            </w:r>
            <w:r w:rsidRPr="00F67249">
              <w:rPr>
                <w:lang w:val="fr-FR" w:eastAsia="en-US"/>
              </w:rPr>
              <w:lastRenderedPageBreak/>
              <w:t>et prioritaires de la Commission Provisoire de Réflexion sur la Réconciliation Nationale en posant les bases institutionnelles du processus de réconciliation qui intègre la justice transitionnelle avec l’appui du HCDH</w:t>
            </w: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w:t>
            </w:r>
          </w:p>
          <w:p w14:paraId="5579C4A1" w14:textId="4FDD855A" w:rsidR="00826923" w:rsidRPr="005A6420" w:rsidRDefault="00056D05" w:rsidP="00826923">
            <w:pPr>
              <w:jc w:val="both"/>
              <w:rPr>
                <w:rFonts w:cs="Tahoma"/>
                <w:szCs w:val="20"/>
                <w:lang w:val="fr-FR" w:eastAsia="en-US"/>
              </w:rPr>
            </w:pPr>
            <w:r w:rsidRPr="00056D05">
              <w:rPr>
                <w:lang w:val="fr-FR" w:eastAsia="en-US"/>
              </w:rPr>
              <w:t xml:space="preserve">Le texte de loi opérationnalisant le mécanisme de Justice transitionnelle est </w:t>
            </w:r>
            <w:r w:rsidRPr="00056D05">
              <w:rPr>
                <w:lang w:val="fr-FR" w:eastAsia="en-US"/>
              </w:rPr>
              <w:lastRenderedPageBreak/>
              <w:t>transmis à l’Assemblée Nationale</w:t>
            </w:r>
          </w:p>
        </w:tc>
        <w:tc>
          <w:tcPr>
            <w:tcW w:w="1530" w:type="dxa"/>
            <w:shd w:val="clear" w:color="auto" w:fill="EEECE1"/>
          </w:tcPr>
          <w:p w14:paraId="3B794B07" w14:textId="6D955533" w:rsidR="00826923" w:rsidRPr="00056D05" w:rsidRDefault="00056D05" w:rsidP="00826923">
            <w:pPr>
              <w:rPr>
                <w:bCs/>
                <w:lang w:val="fr-FR"/>
              </w:rPr>
            </w:pPr>
            <w:r w:rsidRPr="00056D05">
              <w:rPr>
                <w:bCs/>
                <w:sz w:val="22"/>
                <w:szCs w:val="22"/>
                <w:lang w:val="fr-FR" w:eastAsia="en-US"/>
              </w:rPr>
              <w:lastRenderedPageBreak/>
              <w:t>0</w:t>
            </w:r>
          </w:p>
        </w:tc>
        <w:tc>
          <w:tcPr>
            <w:tcW w:w="1620" w:type="dxa"/>
            <w:shd w:val="clear" w:color="auto" w:fill="EEECE1"/>
          </w:tcPr>
          <w:p w14:paraId="37400CA8" w14:textId="364930F5" w:rsidR="00826923" w:rsidRPr="00056D05" w:rsidRDefault="00056D05" w:rsidP="00826923">
            <w:pPr>
              <w:rPr>
                <w:bCs/>
                <w:lang w:val="fr-FR"/>
              </w:rPr>
            </w:pPr>
            <w:r w:rsidRPr="00056D05">
              <w:rPr>
                <w:bCs/>
                <w:sz w:val="22"/>
                <w:szCs w:val="22"/>
                <w:lang w:val="fr-FR" w:eastAsia="en-US"/>
              </w:rPr>
              <w:t>1</w:t>
            </w:r>
          </w:p>
        </w:tc>
        <w:tc>
          <w:tcPr>
            <w:tcW w:w="2070" w:type="dxa"/>
          </w:tcPr>
          <w:p w14:paraId="2F325CF4" w14:textId="7F7B7497" w:rsidR="00826923" w:rsidRPr="00857E2F" w:rsidRDefault="00826923" w:rsidP="00826923">
            <w:pPr>
              <w:rPr>
                <w:bCs/>
                <w:lang w:val="fr-FR"/>
              </w:rPr>
            </w:pPr>
          </w:p>
        </w:tc>
        <w:tc>
          <w:tcPr>
            <w:tcW w:w="2070" w:type="dxa"/>
          </w:tcPr>
          <w:p w14:paraId="3A24C0E7" w14:textId="0B265EE7" w:rsidR="00826923" w:rsidRPr="00857E2F" w:rsidRDefault="00056D05" w:rsidP="00826923">
            <w:pPr>
              <w:rPr>
                <w:bCs/>
                <w:lang w:val="fr-FR"/>
              </w:rPr>
            </w:pPr>
            <w:r w:rsidRPr="00857E2F">
              <w:rPr>
                <w:bCs/>
                <w:sz w:val="22"/>
                <w:szCs w:val="22"/>
                <w:lang w:val="fr-FR" w:eastAsia="en-US"/>
              </w:rPr>
              <w:t>0</w:t>
            </w:r>
          </w:p>
        </w:tc>
        <w:tc>
          <w:tcPr>
            <w:tcW w:w="4140" w:type="dxa"/>
          </w:tcPr>
          <w:p w14:paraId="2F09239A" w14:textId="78CF8779" w:rsidR="00826923" w:rsidRPr="005A6420" w:rsidRDefault="00056D05" w:rsidP="00826923">
            <w:pPr>
              <w:rPr>
                <w:lang w:val="fr-FR"/>
              </w:rPr>
            </w:pPr>
            <w:r w:rsidRPr="00056D05">
              <w:rPr>
                <w:lang w:val="fr-FR" w:eastAsia="en-US"/>
              </w:rPr>
              <w:t xml:space="preserve">Suspendu, en attente de la décision </w:t>
            </w:r>
            <w:r w:rsidR="00120861" w:rsidRPr="00056D05">
              <w:rPr>
                <w:lang w:val="fr-FR" w:eastAsia="en-US"/>
              </w:rPr>
              <w:t>politique</w:t>
            </w:r>
            <w:r w:rsidR="00120861">
              <w:rPr>
                <w:lang w:val="fr-FR" w:eastAsia="en-US"/>
              </w:rPr>
              <w:t xml:space="preserve"> de</w:t>
            </w:r>
            <w:r w:rsidR="00120861" w:rsidRPr="00056D05">
              <w:rPr>
                <w:lang w:val="fr-FR" w:eastAsia="en-US"/>
              </w:rPr>
              <w:t xml:space="preserve"> transmission</w:t>
            </w:r>
            <w:r w:rsidRPr="00056D05">
              <w:rPr>
                <w:lang w:val="fr-FR" w:eastAsia="en-US"/>
              </w:rPr>
              <w:t xml:space="preserve"> de l'</w:t>
            </w:r>
            <w:r w:rsidR="00857E2F" w:rsidRPr="00056D05">
              <w:rPr>
                <w:lang w:val="fr-FR" w:eastAsia="en-US"/>
              </w:rPr>
              <w:t>avant-projet</w:t>
            </w:r>
            <w:r w:rsidRPr="00056D05">
              <w:rPr>
                <w:lang w:val="fr-FR" w:eastAsia="en-US"/>
              </w:rPr>
              <w:t xml:space="preserve"> de loi à l'Assemblée Nationale ou bien de la création d'un nouveau groupe de travail</w:t>
            </w:r>
          </w:p>
        </w:tc>
      </w:tr>
      <w:tr w:rsidR="00826923" w:rsidRPr="00364CC4" w14:paraId="6DDA32A5" w14:textId="77777777" w:rsidTr="008B4C3D">
        <w:trPr>
          <w:trHeight w:val="422"/>
          <w:jc w:val="center"/>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08BBABB5" w:rsidR="00826923" w:rsidRPr="005A6420" w:rsidRDefault="000E27BE" w:rsidP="00826923">
            <w:pPr>
              <w:jc w:val="both"/>
              <w:rPr>
                <w:rFonts w:cs="Tahoma"/>
                <w:szCs w:val="20"/>
                <w:lang w:val="fr-FR" w:eastAsia="en-US"/>
              </w:rPr>
            </w:pPr>
            <w:r w:rsidRPr="00056D05">
              <w:rPr>
                <w:lang w:val="fr-FR" w:eastAsia="en-US"/>
              </w:rPr>
              <w:t>Nombre</w:t>
            </w:r>
            <w:r w:rsidR="00056D05" w:rsidRPr="00056D05">
              <w:rPr>
                <w:lang w:val="fr-FR" w:eastAsia="en-US"/>
              </w:rPr>
              <w:t xml:space="preserve"> de recommandations de la CPRN opérationnalisées</w:t>
            </w:r>
          </w:p>
        </w:tc>
        <w:tc>
          <w:tcPr>
            <w:tcW w:w="1530" w:type="dxa"/>
            <w:shd w:val="clear" w:color="auto" w:fill="EEECE1"/>
          </w:tcPr>
          <w:p w14:paraId="423EBDC6" w14:textId="6C3CC594" w:rsidR="00826923" w:rsidRPr="005A6420" w:rsidRDefault="00056D05" w:rsidP="00826923">
            <w:pPr>
              <w:rPr>
                <w:lang w:val="fr-FR"/>
              </w:rPr>
            </w:pPr>
            <w:r w:rsidRPr="00056D05">
              <w:t>0/23</w:t>
            </w:r>
          </w:p>
        </w:tc>
        <w:tc>
          <w:tcPr>
            <w:tcW w:w="1620" w:type="dxa"/>
            <w:shd w:val="clear" w:color="auto" w:fill="EEECE1"/>
          </w:tcPr>
          <w:p w14:paraId="7C0330A3" w14:textId="3E563846" w:rsidR="00826923" w:rsidRPr="005A6420" w:rsidRDefault="00056D05" w:rsidP="00826923">
            <w:pPr>
              <w:rPr>
                <w:lang w:val="fr-FR"/>
              </w:rPr>
            </w:pPr>
            <w:r w:rsidRPr="00056D05">
              <w:t>11/23</w:t>
            </w:r>
          </w:p>
        </w:tc>
        <w:tc>
          <w:tcPr>
            <w:tcW w:w="2070" w:type="dxa"/>
          </w:tcPr>
          <w:p w14:paraId="216DEA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3900420B" w:rsidR="00826923" w:rsidRPr="000E27BE" w:rsidRDefault="00056D05" w:rsidP="00826923">
            <w:pPr>
              <w:rPr>
                <w:bCs/>
                <w:lang w:val="fr-FR"/>
              </w:rPr>
            </w:pPr>
            <w:r w:rsidRPr="000E27BE">
              <w:rPr>
                <w:bCs/>
                <w:sz w:val="22"/>
                <w:szCs w:val="22"/>
                <w:lang w:val="fr-FR" w:eastAsia="en-US"/>
              </w:rPr>
              <w:t>0</w:t>
            </w:r>
          </w:p>
        </w:tc>
        <w:tc>
          <w:tcPr>
            <w:tcW w:w="4140" w:type="dxa"/>
          </w:tcPr>
          <w:p w14:paraId="599CC263" w14:textId="60CDA3B7" w:rsidR="00826923" w:rsidRPr="005A6420" w:rsidRDefault="00056D05" w:rsidP="00826923">
            <w:pPr>
              <w:rPr>
                <w:lang w:val="fr-FR"/>
              </w:rPr>
            </w:pPr>
            <w:r w:rsidRPr="00056D05">
              <w:rPr>
                <w:lang w:val="fr-FR" w:eastAsia="en-US"/>
              </w:rPr>
              <w:t>Suspendu, en attente de la décision politique de transmission de l'</w:t>
            </w:r>
            <w:r w:rsidR="000E27BE" w:rsidRPr="00056D05">
              <w:rPr>
                <w:lang w:val="fr-FR" w:eastAsia="en-US"/>
              </w:rPr>
              <w:t>avant-projet</w:t>
            </w:r>
            <w:r w:rsidRPr="00056D05">
              <w:rPr>
                <w:lang w:val="fr-FR" w:eastAsia="en-US"/>
              </w:rPr>
              <w:t xml:space="preserve"> de loi à l'Assemblée Nationale ou bien de la création d'un nouveau groupe de travail</w:t>
            </w:r>
          </w:p>
        </w:tc>
      </w:tr>
      <w:tr w:rsidR="000E27BE" w:rsidRPr="00364CC4" w14:paraId="24D5CF99" w14:textId="77777777" w:rsidTr="008B4C3D">
        <w:trPr>
          <w:trHeight w:val="422"/>
          <w:jc w:val="center"/>
        </w:trPr>
        <w:tc>
          <w:tcPr>
            <w:tcW w:w="1530" w:type="dxa"/>
            <w:vMerge w:val="restart"/>
          </w:tcPr>
          <w:p w14:paraId="26C8010E" w14:textId="77777777" w:rsidR="000E27BE" w:rsidRPr="005A6420" w:rsidRDefault="000E27BE" w:rsidP="00826923">
            <w:pPr>
              <w:rPr>
                <w:rFonts w:cs="Tahoma"/>
                <w:szCs w:val="20"/>
                <w:lang w:val="fr-FR" w:eastAsia="en-US"/>
              </w:rPr>
            </w:pPr>
            <w:r w:rsidRPr="005A6420">
              <w:rPr>
                <w:rFonts w:cs="Tahoma"/>
                <w:szCs w:val="20"/>
                <w:lang w:val="fr-FR" w:eastAsia="en-US"/>
              </w:rPr>
              <w:t>Produit 2.1</w:t>
            </w:r>
          </w:p>
          <w:p w14:paraId="0075BE1D" w14:textId="384F175D" w:rsidR="000E27BE" w:rsidRPr="005A6420" w:rsidRDefault="000E27BE" w:rsidP="00826923">
            <w:pPr>
              <w:rPr>
                <w:rFonts w:cs="Tahoma"/>
                <w:b/>
                <w:szCs w:val="20"/>
                <w:lang w:val="fr-FR" w:eastAsia="en-US"/>
              </w:rPr>
            </w:pPr>
            <w:r w:rsidRPr="00F67249">
              <w:rPr>
                <w:lang w:val="fr-FR" w:eastAsia="en-US"/>
              </w:rPr>
              <w:t xml:space="preserve">Le Cabinet du PM cerne davantage son rôle sur </w:t>
            </w:r>
            <w:r w:rsidRPr="00F67249">
              <w:rPr>
                <w:lang w:val="fr-FR" w:eastAsia="en-US"/>
              </w:rPr>
              <w:lastRenderedPageBreak/>
              <w:t xml:space="preserve">l’opérationnalisation des recommandations de la CPRN et réalise les activités </w:t>
            </w:r>
          </w:p>
        </w:tc>
        <w:tc>
          <w:tcPr>
            <w:tcW w:w="2070" w:type="dxa"/>
            <w:shd w:val="clear" w:color="auto" w:fill="EEECE1"/>
          </w:tcPr>
          <w:p w14:paraId="400B06FF" w14:textId="77777777" w:rsidR="000E27BE" w:rsidRPr="005A6420" w:rsidRDefault="000E27BE" w:rsidP="00826923">
            <w:pPr>
              <w:jc w:val="both"/>
              <w:rPr>
                <w:rFonts w:cs="Tahoma"/>
                <w:szCs w:val="20"/>
                <w:lang w:val="fr-FR" w:eastAsia="en-US"/>
              </w:rPr>
            </w:pPr>
            <w:proofErr w:type="gramStart"/>
            <w:r w:rsidRPr="005A6420">
              <w:rPr>
                <w:rFonts w:cs="Tahoma"/>
                <w:szCs w:val="20"/>
                <w:lang w:val="fr-FR" w:eastAsia="en-US"/>
              </w:rPr>
              <w:lastRenderedPageBreak/>
              <w:t>Indicateur  2.1.1</w:t>
            </w:r>
            <w:proofErr w:type="gramEnd"/>
          </w:p>
          <w:p w14:paraId="021841C7" w14:textId="5E10BBA0" w:rsidR="000E27BE" w:rsidRPr="005A6420" w:rsidRDefault="000E27BE" w:rsidP="00826923">
            <w:pPr>
              <w:jc w:val="both"/>
              <w:rPr>
                <w:rFonts w:cs="Tahoma"/>
                <w:szCs w:val="20"/>
                <w:lang w:val="fr-FR" w:eastAsia="en-US"/>
              </w:rPr>
            </w:pPr>
            <w:r w:rsidRPr="00056D05">
              <w:rPr>
                <w:lang w:val="fr-FR" w:eastAsia="en-US"/>
              </w:rPr>
              <w:t xml:space="preserve">Nombre de séances de travail/briefing organisées à l’intention du PM </w:t>
            </w:r>
            <w:r w:rsidRPr="00056D05">
              <w:rPr>
                <w:lang w:val="fr-FR" w:eastAsia="en-US"/>
              </w:rPr>
              <w:lastRenderedPageBreak/>
              <w:t>et de l’équipe de son Cabinet</w:t>
            </w:r>
          </w:p>
        </w:tc>
        <w:tc>
          <w:tcPr>
            <w:tcW w:w="1530" w:type="dxa"/>
            <w:shd w:val="clear" w:color="auto" w:fill="EEECE1"/>
          </w:tcPr>
          <w:p w14:paraId="77A025C3" w14:textId="28484A86" w:rsidR="000E27BE" w:rsidRPr="00970107" w:rsidRDefault="000E27BE" w:rsidP="00826923">
            <w:pPr>
              <w:rPr>
                <w:bCs/>
                <w:lang w:val="fr-FR"/>
              </w:rPr>
            </w:pPr>
            <w:r w:rsidRPr="00970107">
              <w:rPr>
                <w:bCs/>
                <w:sz w:val="22"/>
                <w:szCs w:val="22"/>
                <w:lang w:val="fr-FR" w:eastAsia="en-US"/>
              </w:rPr>
              <w:lastRenderedPageBreak/>
              <w:t>0</w:t>
            </w:r>
          </w:p>
        </w:tc>
        <w:tc>
          <w:tcPr>
            <w:tcW w:w="1620" w:type="dxa"/>
            <w:shd w:val="clear" w:color="auto" w:fill="EEECE1"/>
          </w:tcPr>
          <w:p w14:paraId="55D5AC11" w14:textId="0F08CD68" w:rsidR="000E27BE" w:rsidRPr="00970107" w:rsidRDefault="000E27BE" w:rsidP="00826923">
            <w:pPr>
              <w:rPr>
                <w:bCs/>
                <w:lang w:val="fr-FR"/>
              </w:rPr>
            </w:pPr>
            <w:r w:rsidRPr="00970107">
              <w:rPr>
                <w:bCs/>
                <w:sz w:val="22"/>
                <w:szCs w:val="22"/>
                <w:lang w:val="fr-FR" w:eastAsia="en-US"/>
              </w:rPr>
              <w:t>3</w:t>
            </w:r>
          </w:p>
        </w:tc>
        <w:tc>
          <w:tcPr>
            <w:tcW w:w="2070" w:type="dxa"/>
          </w:tcPr>
          <w:p w14:paraId="0136ED42" w14:textId="77777777" w:rsidR="000E27BE" w:rsidRPr="00970107" w:rsidRDefault="000E27BE" w:rsidP="00826923">
            <w:pPr>
              <w:rPr>
                <w:bCs/>
                <w:lang w:val="fr-FR"/>
              </w:rPr>
            </w:pPr>
            <w:r w:rsidRPr="00970107">
              <w:rPr>
                <w:bCs/>
                <w:sz w:val="22"/>
                <w:szCs w:val="22"/>
                <w:lang w:val="fr-FR" w:eastAsia="en-US"/>
              </w:rPr>
              <w:fldChar w:fldCharType="begin">
                <w:ffData>
                  <w:name w:val=""/>
                  <w:enabled/>
                  <w:calcOnExit w:val="0"/>
                  <w:textInput>
                    <w:maxLength w:val="300"/>
                  </w:textInput>
                </w:ffData>
              </w:fldChar>
            </w:r>
            <w:r w:rsidRPr="00970107">
              <w:rPr>
                <w:bCs/>
                <w:sz w:val="22"/>
                <w:szCs w:val="22"/>
                <w:lang w:val="fr-FR" w:eastAsia="en-US"/>
              </w:rPr>
              <w:instrText xml:space="preserve"> FORMTEXT </w:instrText>
            </w:r>
            <w:r w:rsidRPr="00970107">
              <w:rPr>
                <w:bCs/>
                <w:sz w:val="22"/>
                <w:szCs w:val="22"/>
                <w:lang w:val="fr-FR" w:eastAsia="en-US"/>
              </w:rPr>
            </w:r>
            <w:r w:rsidRPr="00970107">
              <w:rPr>
                <w:bCs/>
                <w:sz w:val="22"/>
                <w:szCs w:val="22"/>
                <w:lang w:val="fr-FR" w:eastAsia="en-US"/>
              </w:rPr>
              <w:fldChar w:fldCharType="separate"/>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sz w:val="22"/>
                <w:szCs w:val="22"/>
                <w:lang w:val="fr-FR" w:eastAsia="en-US"/>
              </w:rPr>
              <w:fldChar w:fldCharType="end"/>
            </w:r>
          </w:p>
        </w:tc>
        <w:tc>
          <w:tcPr>
            <w:tcW w:w="2070" w:type="dxa"/>
          </w:tcPr>
          <w:p w14:paraId="3338B1BA" w14:textId="1FB0B572" w:rsidR="000E27BE" w:rsidRPr="00970107" w:rsidRDefault="000E27BE" w:rsidP="00826923">
            <w:pPr>
              <w:rPr>
                <w:bCs/>
                <w:lang w:val="fr-FR"/>
              </w:rPr>
            </w:pPr>
            <w:r w:rsidRPr="00970107">
              <w:rPr>
                <w:bCs/>
                <w:sz w:val="22"/>
                <w:szCs w:val="22"/>
                <w:lang w:val="fr-FR" w:eastAsia="en-US"/>
              </w:rPr>
              <w:t>10</w:t>
            </w:r>
          </w:p>
        </w:tc>
        <w:tc>
          <w:tcPr>
            <w:tcW w:w="4140" w:type="dxa"/>
          </w:tcPr>
          <w:p w14:paraId="2107019E" w14:textId="1624EC03" w:rsidR="000E27BE" w:rsidRPr="005A6420" w:rsidRDefault="000E27BE" w:rsidP="00826923">
            <w:pPr>
              <w:rPr>
                <w:lang w:val="fr-FR"/>
              </w:rPr>
            </w:pPr>
            <w:r w:rsidRPr="00970107">
              <w:rPr>
                <w:lang w:val="fr-FR" w:eastAsia="en-US"/>
              </w:rPr>
              <w:t xml:space="preserve">Séances de travail/briefing organisées (1 avec le Premier Ministre et </w:t>
            </w:r>
            <w:r w:rsidRPr="00970107">
              <w:rPr>
                <w:lang w:val="fr-FR"/>
              </w:rPr>
              <w:t>9</w:t>
            </w:r>
            <w:r w:rsidRPr="00970107">
              <w:rPr>
                <w:lang w:val="fr-FR" w:eastAsia="en-US"/>
              </w:rPr>
              <w:t xml:space="preserve"> autres avec l'équipe de son Cabinet) ont permis l'appropriation des recommandations de la CPR</w:t>
            </w:r>
          </w:p>
        </w:tc>
      </w:tr>
      <w:tr w:rsidR="000E27BE" w:rsidRPr="00364CC4" w14:paraId="3E4237A1" w14:textId="77777777" w:rsidTr="008B4C3D">
        <w:trPr>
          <w:trHeight w:val="458"/>
          <w:jc w:val="center"/>
        </w:trPr>
        <w:tc>
          <w:tcPr>
            <w:tcW w:w="1530" w:type="dxa"/>
            <w:vMerge/>
          </w:tcPr>
          <w:p w14:paraId="3989DD76" w14:textId="77777777" w:rsidR="000E27BE" w:rsidRPr="005A6420" w:rsidRDefault="000E27BE" w:rsidP="00826923">
            <w:pPr>
              <w:rPr>
                <w:rFonts w:cs="Tahoma"/>
                <w:b/>
                <w:szCs w:val="20"/>
                <w:lang w:val="fr-FR" w:eastAsia="en-US"/>
              </w:rPr>
            </w:pPr>
          </w:p>
        </w:tc>
        <w:tc>
          <w:tcPr>
            <w:tcW w:w="2070" w:type="dxa"/>
            <w:shd w:val="clear" w:color="auto" w:fill="EEECE1"/>
          </w:tcPr>
          <w:p w14:paraId="7901D4E3" w14:textId="77777777" w:rsidR="000E27BE" w:rsidRPr="005A6420" w:rsidRDefault="000E27BE" w:rsidP="00826923">
            <w:pPr>
              <w:jc w:val="both"/>
              <w:rPr>
                <w:rFonts w:cs="Tahoma"/>
                <w:szCs w:val="20"/>
                <w:lang w:val="fr-FR" w:eastAsia="en-US"/>
              </w:rPr>
            </w:pPr>
            <w:proofErr w:type="gramStart"/>
            <w:r w:rsidRPr="005A6420">
              <w:rPr>
                <w:rFonts w:cs="Tahoma"/>
                <w:szCs w:val="20"/>
                <w:lang w:val="fr-FR" w:eastAsia="en-US"/>
              </w:rPr>
              <w:t>Indicateur  2.1.2</w:t>
            </w:r>
            <w:proofErr w:type="gramEnd"/>
          </w:p>
          <w:p w14:paraId="0E8719D8" w14:textId="77777777" w:rsidR="000E27BE" w:rsidRPr="00970107" w:rsidRDefault="000E27BE" w:rsidP="00970107">
            <w:pPr>
              <w:jc w:val="both"/>
              <w:rPr>
                <w:lang w:val="fr-FR"/>
              </w:rPr>
            </w:pPr>
            <w:r w:rsidRPr="00970107">
              <w:rPr>
                <w:lang w:val="fr-FR" w:eastAsia="en-US"/>
              </w:rPr>
              <w:t>Disponibilité du rapport de séminaire sur la Commission vérité</w:t>
            </w:r>
          </w:p>
          <w:p w14:paraId="565108E4" w14:textId="03D7F2B7" w:rsidR="000E27BE" w:rsidRPr="005A6420" w:rsidRDefault="000E27BE" w:rsidP="00826923">
            <w:pPr>
              <w:jc w:val="both"/>
              <w:rPr>
                <w:rFonts w:cs="Tahoma"/>
                <w:szCs w:val="20"/>
                <w:lang w:val="fr-FR" w:eastAsia="en-US"/>
              </w:rPr>
            </w:pPr>
          </w:p>
        </w:tc>
        <w:tc>
          <w:tcPr>
            <w:tcW w:w="1530" w:type="dxa"/>
            <w:shd w:val="clear" w:color="auto" w:fill="EEECE1"/>
          </w:tcPr>
          <w:p w14:paraId="7DCEF98D" w14:textId="38DDFF48" w:rsidR="000E27BE" w:rsidRPr="000E27BE" w:rsidRDefault="000E27BE" w:rsidP="00826923">
            <w:pPr>
              <w:rPr>
                <w:bCs/>
                <w:lang w:val="fr-FR"/>
              </w:rPr>
            </w:pPr>
            <w:r w:rsidRPr="000E27BE">
              <w:rPr>
                <w:bCs/>
                <w:sz w:val="22"/>
                <w:szCs w:val="22"/>
                <w:lang w:val="fr-FR" w:eastAsia="en-US"/>
              </w:rPr>
              <w:t>0</w:t>
            </w:r>
          </w:p>
        </w:tc>
        <w:tc>
          <w:tcPr>
            <w:tcW w:w="1620" w:type="dxa"/>
            <w:shd w:val="clear" w:color="auto" w:fill="EEECE1"/>
          </w:tcPr>
          <w:p w14:paraId="0848978D" w14:textId="42F5A603" w:rsidR="000E27BE" w:rsidRPr="000E27BE" w:rsidRDefault="000E27BE" w:rsidP="00826923">
            <w:pPr>
              <w:rPr>
                <w:bCs/>
                <w:lang w:val="fr-FR"/>
              </w:rPr>
            </w:pPr>
            <w:r w:rsidRPr="000E27BE">
              <w:rPr>
                <w:bCs/>
                <w:sz w:val="22"/>
                <w:szCs w:val="22"/>
                <w:lang w:val="fr-FR" w:eastAsia="en-US"/>
              </w:rPr>
              <w:t>1</w:t>
            </w:r>
          </w:p>
        </w:tc>
        <w:tc>
          <w:tcPr>
            <w:tcW w:w="2070" w:type="dxa"/>
          </w:tcPr>
          <w:p w14:paraId="63EAC37A" w14:textId="2DF9BA9C" w:rsidR="000E27BE" w:rsidRPr="000E27BE" w:rsidRDefault="000E27BE" w:rsidP="00826923">
            <w:pPr>
              <w:rPr>
                <w:bCs/>
                <w:lang w:val="fr-FR"/>
              </w:rPr>
            </w:pPr>
          </w:p>
        </w:tc>
        <w:tc>
          <w:tcPr>
            <w:tcW w:w="2070" w:type="dxa"/>
          </w:tcPr>
          <w:p w14:paraId="405A158F" w14:textId="1575AD53" w:rsidR="000E27BE" w:rsidRPr="000E27BE" w:rsidRDefault="000E27BE" w:rsidP="00826923">
            <w:pPr>
              <w:rPr>
                <w:bCs/>
                <w:lang w:val="fr-FR"/>
              </w:rPr>
            </w:pPr>
            <w:r w:rsidRPr="000E27BE">
              <w:rPr>
                <w:bCs/>
                <w:sz w:val="22"/>
                <w:szCs w:val="22"/>
                <w:lang w:val="fr-FR" w:eastAsia="en-US"/>
              </w:rPr>
              <w:t>0</w:t>
            </w:r>
          </w:p>
        </w:tc>
        <w:tc>
          <w:tcPr>
            <w:tcW w:w="4140" w:type="dxa"/>
          </w:tcPr>
          <w:p w14:paraId="7DC14532" w14:textId="7FEA3CE3" w:rsidR="000E27BE" w:rsidRPr="00970107" w:rsidRDefault="000E27BE" w:rsidP="00970107">
            <w:pPr>
              <w:rPr>
                <w:lang w:val="fr-FR" w:eastAsia="en-US"/>
              </w:rPr>
            </w:pPr>
            <w:r w:rsidRPr="00970107">
              <w:rPr>
                <w:lang w:val="fr-FR" w:eastAsia="en-US"/>
              </w:rPr>
              <w:t>Suspendu, en attente de la décision politique de transmission de l'avant-projet de loi à l'Assemblée Nationale ou bien de la création d'un nouveau groupe de travail</w:t>
            </w:r>
          </w:p>
          <w:p w14:paraId="5AF9DA8D" w14:textId="5E870B16" w:rsidR="000E27BE" w:rsidRPr="005A6420" w:rsidRDefault="000E27BE" w:rsidP="00826923">
            <w:pPr>
              <w:rPr>
                <w:lang w:val="fr-FR"/>
              </w:rPr>
            </w:pPr>
          </w:p>
        </w:tc>
      </w:tr>
      <w:tr w:rsidR="000E27BE" w:rsidRPr="00970107" w14:paraId="333CA095" w14:textId="77777777" w:rsidTr="008B4C3D">
        <w:trPr>
          <w:trHeight w:val="458"/>
          <w:jc w:val="center"/>
        </w:trPr>
        <w:tc>
          <w:tcPr>
            <w:tcW w:w="1530" w:type="dxa"/>
            <w:vMerge/>
          </w:tcPr>
          <w:p w14:paraId="243AB00F" w14:textId="77777777" w:rsidR="000E27BE" w:rsidRPr="005A6420" w:rsidRDefault="000E27BE" w:rsidP="00826923">
            <w:pPr>
              <w:rPr>
                <w:rFonts w:cs="Tahoma"/>
                <w:b/>
                <w:szCs w:val="20"/>
                <w:lang w:val="fr-FR" w:eastAsia="en-US"/>
              </w:rPr>
            </w:pPr>
          </w:p>
        </w:tc>
        <w:tc>
          <w:tcPr>
            <w:tcW w:w="2070" w:type="dxa"/>
            <w:shd w:val="clear" w:color="auto" w:fill="EEECE1"/>
          </w:tcPr>
          <w:p w14:paraId="18E44DD4" w14:textId="4D85A4C1" w:rsidR="000E27BE" w:rsidRPr="005A6420" w:rsidRDefault="000E27BE" w:rsidP="000E27BE">
            <w:pPr>
              <w:jc w:val="both"/>
              <w:rPr>
                <w:rFonts w:cs="Tahoma"/>
                <w:szCs w:val="20"/>
                <w:lang w:val="fr-FR" w:eastAsia="en-US"/>
              </w:rPr>
            </w:pPr>
            <w:proofErr w:type="gramStart"/>
            <w:r w:rsidRPr="005A6420">
              <w:rPr>
                <w:rFonts w:cs="Tahoma"/>
                <w:szCs w:val="20"/>
                <w:lang w:val="fr-FR" w:eastAsia="en-US"/>
              </w:rPr>
              <w:t>Indicateur  2.1.</w:t>
            </w:r>
            <w:r>
              <w:rPr>
                <w:rFonts w:cs="Tahoma"/>
                <w:szCs w:val="20"/>
                <w:lang w:val="fr-FR" w:eastAsia="en-US"/>
              </w:rPr>
              <w:t>3</w:t>
            </w:r>
            <w:proofErr w:type="gramEnd"/>
            <w:r>
              <w:rPr>
                <w:rFonts w:cs="Tahoma"/>
                <w:szCs w:val="20"/>
                <w:lang w:val="fr-FR" w:eastAsia="en-US"/>
              </w:rPr>
              <w:t xml:space="preserve"> Intégration du genre et du rôle de la femme dans les processus de justice transitionnelle dans le séminaire</w:t>
            </w:r>
          </w:p>
          <w:p w14:paraId="7A8105C3" w14:textId="6EFF698E" w:rsidR="000E27BE" w:rsidRPr="005A6420" w:rsidRDefault="000E27BE" w:rsidP="00826923">
            <w:pPr>
              <w:jc w:val="both"/>
              <w:rPr>
                <w:rFonts w:cs="Tahoma"/>
                <w:szCs w:val="20"/>
                <w:lang w:val="fr-FR" w:eastAsia="en-US"/>
              </w:rPr>
            </w:pPr>
          </w:p>
        </w:tc>
        <w:tc>
          <w:tcPr>
            <w:tcW w:w="1530" w:type="dxa"/>
            <w:shd w:val="clear" w:color="auto" w:fill="EEECE1"/>
          </w:tcPr>
          <w:p w14:paraId="42C713A2" w14:textId="77777777" w:rsidR="000E27BE" w:rsidRPr="000E27BE" w:rsidRDefault="000E27BE" w:rsidP="00826923">
            <w:pPr>
              <w:rPr>
                <w:bCs/>
                <w:sz w:val="22"/>
                <w:szCs w:val="22"/>
                <w:lang w:val="fr-FR" w:eastAsia="en-US"/>
              </w:rPr>
            </w:pPr>
          </w:p>
        </w:tc>
        <w:tc>
          <w:tcPr>
            <w:tcW w:w="1620" w:type="dxa"/>
            <w:shd w:val="clear" w:color="auto" w:fill="EEECE1"/>
          </w:tcPr>
          <w:p w14:paraId="6A490930" w14:textId="77777777" w:rsidR="000E27BE" w:rsidRPr="000E27BE" w:rsidRDefault="000E27BE" w:rsidP="00826923">
            <w:pPr>
              <w:rPr>
                <w:bCs/>
                <w:sz w:val="22"/>
                <w:szCs w:val="22"/>
                <w:lang w:val="fr-FR" w:eastAsia="en-US"/>
              </w:rPr>
            </w:pPr>
          </w:p>
        </w:tc>
        <w:tc>
          <w:tcPr>
            <w:tcW w:w="2070" w:type="dxa"/>
          </w:tcPr>
          <w:p w14:paraId="0EF26064" w14:textId="77777777" w:rsidR="000E27BE" w:rsidRPr="000E27BE" w:rsidRDefault="000E27BE" w:rsidP="00826923">
            <w:pPr>
              <w:rPr>
                <w:bCs/>
                <w:lang w:val="fr-FR"/>
              </w:rPr>
            </w:pPr>
          </w:p>
        </w:tc>
        <w:tc>
          <w:tcPr>
            <w:tcW w:w="2070" w:type="dxa"/>
          </w:tcPr>
          <w:p w14:paraId="036889AA" w14:textId="1B0E5649" w:rsidR="000E27BE" w:rsidRPr="000E27BE" w:rsidRDefault="000E27BE" w:rsidP="00826923">
            <w:pPr>
              <w:rPr>
                <w:bCs/>
                <w:sz w:val="22"/>
                <w:szCs w:val="22"/>
                <w:lang w:val="fr-FR" w:eastAsia="en-US"/>
              </w:rPr>
            </w:pPr>
            <w:r>
              <w:rPr>
                <w:bCs/>
                <w:sz w:val="22"/>
                <w:szCs w:val="22"/>
                <w:lang w:val="fr-FR" w:eastAsia="en-US"/>
              </w:rPr>
              <w:t>0</w:t>
            </w:r>
          </w:p>
        </w:tc>
        <w:tc>
          <w:tcPr>
            <w:tcW w:w="4140" w:type="dxa"/>
          </w:tcPr>
          <w:p w14:paraId="5C75EE1C" w14:textId="77777777" w:rsidR="000E27BE" w:rsidRPr="00970107" w:rsidRDefault="000E27BE" w:rsidP="00970107">
            <w:pPr>
              <w:rPr>
                <w:lang w:val="fr-FR" w:eastAsia="en-US"/>
              </w:rPr>
            </w:pPr>
          </w:p>
        </w:tc>
      </w:tr>
      <w:tr w:rsidR="00826923" w:rsidRPr="00364CC4" w14:paraId="2407E0AE" w14:textId="77777777" w:rsidTr="008B4C3D">
        <w:trPr>
          <w:trHeight w:val="512"/>
          <w:jc w:val="center"/>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71BA31A9" w:rsidR="00826923" w:rsidRPr="005A6420" w:rsidRDefault="009A7206" w:rsidP="00826923">
            <w:pPr>
              <w:rPr>
                <w:rFonts w:cs="Tahoma"/>
                <w:szCs w:val="20"/>
                <w:lang w:val="fr-FR" w:eastAsia="en-US"/>
              </w:rPr>
            </w:pPr>
            <w:r w:rsidRPr="00F67249">
              <w:rPr>
                <w:lang w:val="fr-FR" w:eastAsia="en-US"/>
              </w:rPr>
              <w:t xml:space="preserve">Le Bureau du Haut-Commissariat des Nations Unies aux Droits de l’Homme en </w:t>
            </w:r>
            <w:r w:rsidRPr="00F67249">
              <w:rPr>
                <w:lang w:val="fr-FR" w:eastAsia="en-US"/>
              </w:rPr>
              <w:lastRenderedPageBreak/>
              <w:t>Guinée (HCDH) est doté de suffisamment de ressources pour accompagner efficacement le Cabinet du Premier ministre dans la mise en œuvre des recommandations des consultations nationales pour la réconciliation nationale</w:t>
            </w:r>
          </w:p>
        </w:tc>
        <w:tc>
          <w:tcPr>
            <w:tcW w:w="2070" w:type="dxa"/>
            <w:shd w:val="clear" w:color="auto" w:fill="EEECE1"/>
          </w:tcPr>
          <w:p w14:paraId="2AEA46A0" w14:textId="0461B366" w:rsidR="00826923" w:rsidRPr="005A6420" w:rsidRDefault="000E27BE" w:rsidP="00826923">
            <w:pPr>
              <w:jc w:val="both"/>
              <w:rPr>
                <w:rFonts w:cs="Tahoma"/>
                <w:szCs w:val="20"/>
                <w:lang w:val="fr-FR" w:eastAsia="en-US"/>
              </w:rPr>
            </w:pPr>
            <w:proofErr w:type="gramStart"/>
            <w:r w:rsidRPr="005A6420">
              <w:rPr>
                <w:rFonts w:cs="Tahoma"/>
                <w:szCs w:val="20"/>
                <w:lang w:val="fr-FR" w:eastAsia="en-US"/>
              </w:rPr>
              <w:lastRenderedPageBreak/>
              <w:t>Indicateur  2.</w:t>
            </w:r>
            <w:r>
              <w:rPr>
                <w:rFonts w:cs="Tahoma"/>
                <w:szCs w:val="20"/>
                <w:lang w:val="fr-FR" w:eastAsia="en-US"/>
              </w:rPr>
              <w:t>2</w:t>
            </w:r>
            <w:r w:rsidRPr="005A6420">
              <w:rPr>
                <w:rFonts w:cs="Tahoma"/>
                <w:szCs w:val="20"/>
                <w:lang w:val="fr-FR" w:eastAsia="en-US"/>
              </w:rPr>
              <w:t>.</w:t>
            </w:r>
            <w:r>
              <w:rPr>
                <w:rFonts w:cs="Tahoma"/>
                <w:szCs w:val="20"/>
                <w:lang w:val="fr-FR" w:eastAsia="en-US"/>
              </w:rPr>
              <w:t>1</w:t>
            </w:r>
            <w:proofErr w:type="gramEnd"/>
            <w:r>
              <w:rPr>
                <w:rFonts w:cs="Tahoma"/>
                <w:szCs w:val="20"/>
                <w:lang w:val="fr-FR" w:eastAsia="en-US"/>
              </w:rPr>
              <w:t xml:space="preserve"> </w:t>
            </w:r>
            <w:r w:rsidR="00970107" w:rsidRPr="00970107">
              <w:rPr>
                <w:lang w:val="fr-FR" w:eastAsia="en-US"/>
              </w:rPr>
              <w:t>Nombre d’émissions (Radio/TV) organisées autour des activités du Projet</w:t>
            </w:r>
          </w:p>
        </w:tc>
        <w:tc>
          <w:tcPr>
            <w:tcW w:w="1530" w:type="dxa"/>
            <w:shd w:val="clear" w:color="auto" w:fill="EEECE1"/>
          </w:tcPr>
          <w:p w14:paraId="78A44495" w14:textId="400CAEE4" w:rsidR="00826923" w:rsidRPr="000E27BE" w:rsidRDefault="00970107" w:rsidP="00826923">
            <w:pPr>
              <w:rPr>
                <w:bCs/>
                <w:lang w:val="fr-FR"/>
              </w:rPr>
            </w:pPr>
            <w:r w:rsidRPr="000E27BE">
              <w:rPr>
                <w:bCs/>
                <w:sz w:val="22"/>
                <w:szCs w:val="22"/>
                <w:lang w:val="fr-FR" w:eastAsia="en-US"/>
              </w:rPr>
              <w:t>0</w:t>
            </w:r>
          </w:p>
        </w:tc>
        <w:tc>
          <w:tcPr>
            <w:tcW w:w="1620" w:type="dxa"/>
            <w:shd w:val="clear" w:color="auto" w:fill="EEECE1"/>
          </w:tcPr>
          <w:p w14:paraId="50E80DE0" w14:textId="6F5FD6BA" w:rsidR="00826923" w:rsidRPr="000E27BE" w:rsidRDefault="00970107" w:rsidP="00826923">
            <w:pPr>
              <w:rPr>
                <w:bCs/>
                <w:lang w:val="fr-FR"/>
              </w:rPr>
            </w:pPr>
            <w:r w:rsidRPr="000E27BE">
              <w:rPr>
                <w:bCs/>
                <w:sz w:val="22"/>
                <w:szCs w:val="22"/>
                <w:lang w:val="fr-FR" w:eastAsia="en-US"/>
              </w:rPr>
              <w:t>3</w:t>
            </w:r>
          </w:p>
        </w:tc>
        <w:tc>
          <w:tcPr>
            <w:tcW w:w="2070" w:type="dxa"/>
          </w:tcPr>
          <w:p w14:paraId="71692D0E" w14:textId="77777777" w:rsidR="00826923" w:rsidRPr="000E27BE" w:rsidRDefault="00826923" w:rsidP="00826923">
            <w:pPr>
              <w:rPr>
                <w:bCs/>
                <w:lang w:val="fr-FR"/>
              </w:rPr>
            </w:pPr>
            <w:r w:rsidRPr="000E27BE">
              <w:rPr>
                <w:bCs/>
                <w:sz w:val="22"/>
                <w:szCs w:val="22"/>
                <w:lang w:val="fr-FR" w:eastAsia="en-US"/>
              </w:rPr>
              <w:fldChar w:fldCharType="begin">
                <w:ffData>
                  <w:name w:val=""/>
                  <w:enabled/>
                  <w:calcOnExit w:val="0"/>
                  <w:textInput>
                    <w:maxLength w:val="300"/>
                  </w:textInput>
                </w:ffData>
              </w:fldChar>
            </w:r>
            <w:r w:rsidRPr="000E27BE">
              <w:rPr>
                <w:bCs/>
                <w:sz w:val="22"/>
                <w:szCs w:val="22"/>
                <w:lang w:val="fr-FR" w:eastAsia="en-US"/>
              </w:rPr>
              <w:instrText xml:space="preserve"> FORMTEXT </w:instrText>
            </w:r>
            <w:r w:rsidRPr="000E27BE">
              <w:rPr>
                <w:bCs/>
                <w:sz w:val="22"/>
                <w:szCs w:val="22"/>
                <w:lang w:val="fr-FR" w:eastAsia="en-US"/>
              </w:rPr>
            </w:r>
            <w:r w:rsidRPr="000E27BE">
              <w:rPr>
                <w:bCs/>
                <w:sz w:val="22"/>
                <w:szCs w:val="22"/>
                <w:lang w:val="fr-FR" w:eastAsia="en-US"/>
              </w:rPr>
              <w:fldChar w:fldCharType="separate"/>
            </w:r>
            <w:r w:rsidRPr="000E27BE">
              <w:rPr>
                <w:bCs/>
                <w:noProof/>
                <w:sz w:val="22"/>
                <w:szCs w:val="22"/>
                <w:lang w:val="fr-FR" w:eastAsia="en-US"/>
              </w:rPr>
              <w:t> </w:t>
            </w:r>
            <w:r w:rsidRPr="000E27BE">
              <w:rPr>
                <w:bCs/>
                <w:noProof/>
                <w:sz w:val="22"/>
                <w:szCs w:val="22"/>
                <w:lang w:val="fr-FR" w:eastAsia="en-US"/>
              </w:rPr>
              <w:t> </w:t>
            </w:r>
            <w:r w:rsidRPr="000E27BE">
              <w:rPr>
                <w:bCs/>
                <w:noProof/>
                <w:sz w:val="22"/>
                <w:szCs w:val="22"/>
                <w:lang w:val="fr-FR" w:eastAsia="en-US"/>
              </w:rPr>
              <w:t> </w:t>
            </w:r>
            <w:r w:rsidRPr="000E27BE">
              <w:rPr>
                <w:bCs/>
                <w:noProof/>
                <w:sz w:val="22"/>
                <w:szCs w:val="22"/>
                <w:lang w:val="fr-FR" w:eastAsia="en-US"/>
              </w:rPr>
              <w:t> </w:t>
            </w:r>
            <w:r w:rsidRPr="000E27BE">
              <w:rPr>
                <w:bCs/>
                <w:noProof/>
                <w:sz w:val="22"/>
                <w:szCs w:val="22"/>
                <w:lang w:val="fr-FR" w:eastAsia="en-US"/>
              </w:rPr>
              <w:t> </w:t>
            </w:r>
            <w:r w:rsidRPr="000E27BE">
              <w:rPr>
                <w:bCs/>
                <w:sz w:val="22"/>
                <w:szCs w:val="22"/>
                <w:lang w:val="fr-FR" w:eastAsia="en-US"/>
              </w:rPr>
              <w:fldChar w:fldCharType="end"/>
            </w:r>
          </w:p>
        </w:tc>
        <w:tc>
          <w:tcPr>
            <w:tcW w:w="2070" w:type="dxa"/>
          </w:tcPr>
          <w:p w14:paraId="6AF25464" w14:textId="0198BA7E" w:rsidR="00826923" w:rsidRPr="000E27BE" w:rsidRDefault="00970107" w:rsidP="00826923">
            <w:pPr>
              <w:rPr>
                <w:bCs/>
                <w:lang w:val="fr-FR"/>
              </w:rPr>
            </w:pPr>
            <w:r w:rsidRPr="000E27BE">
              <w:rPr>
                <w:bCs/>
                <w:sz w:val="22"/>
                <w:szCs w:val="22"/>
                <w:lang w:val="fr-FR" w:eastAsia="en-US"/>
              </w:rPr>
              <w:t>0</w:t>
            </w:r>
          </w:p>
        </w:tc>
        <w:tc>
          <w:tcPr>
            <w:tcW w:w="4140" w:type="dxa"/>
          </w:tcPr>
          <w:p w14:paraId="6D9C6627" w14:textId="3CA41227" w:rsidR="00826923" w:rsidRPr="005A6420" w:rsidRDefault="00970107" w:rsidP="00826923">
            <w:pPr>
              <w:rPr>
                <w:lang w:val="fr-FR"/>
              </w:rPr>
            </w:pPr>
            <w:r w:rsidRPr="00970107">
              <w:rPr>
                <w:lang w:val="fr-FR" w:eastAsia="en-US"/>
              </w:rPr>
              <w:t>Suspendu, en attente de la décision politique de transmission de l'</w:t>
            </w:r>
            <w:r w:rsidR="000E27BE" w:rsidRPr="00970107">
              <w:rPr>
                <w:lang w:val="fr-FR" w:eastAsia="en-US"/>
              </w:rPr>
              <w:t>avant-projet</w:t>
            </w:r>
            <w:r w:rsidRPr="00970107">
              <w:rPr>
                <w:lang w:val="fr-FR" w:eastAsia="en-US"/>
              </w:rPr>
              <w:t xml:space="preserve"> de loi à l'Assemblée Nationale ou bien de la création d'un nouveau groupe de travail</w:t>
            </w:r>
          </w:p>
        </w:tc>
      </w:tr>
      <w:tr w:rsidR="00826923" w:rsidRPr="005A6420" w14:paraId="3C8B8D9B" w14:textId="77777777" w:rsidTr="008B4C3D">
        <w:trPr>
          <w:trHeight w:val="458"/>
          <w:jc w:val="center"/>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916E28" w14:paraId="4D0CB0B0" w14:textId="77777777" w:rsidTr="008B4C3D">
        <w:trPr>
          <w:trHeight w:val="458"/>
          <w:jc w:val="center"/>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51A90FE0" w:rsidR="00826923" w:rsidRPr="005A6420" w:rsidRDefault="009A7206" w:rsidP="00826923">
            <w:pPr>
              <w:rPr>
                <w:rFonts w:cs="Tahoma"/>
                <w:b/>
                <w:szCs w:val="20"/>
                <w:lang w:val="fr-FR" w:eastAsia="en-US"/>
              </w:rPr>
            </w:pPr>
            <w:r w:rsidRPr="00F67249">
              <w:rPr>
                <w:lang w:val="fr-FR" w:eastAsia="en-US"/>
              </w:rPr>
              <w:t xml:space="preserve">Les autorités nationales assurent la coordination de </w:t>
            </w:r>
            <w:r w:rsidRPr="00F67249">
              <w:rPr>
                <w:lang w:val="fr-FR" w:eastAsia="en-US"/>
              </w:rPr>
              <w:lastRenderedPageBreak/>
              <w:t xml:space="preserve">mécanismes de la prévention des conflits, la promotion de la paix, la citoyenneté et la cohésion sociale.  </w:t>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w:t>
            </w:r>
          </w:p>
          <w:p w14:paraId="5ACB1910" w14:textId="5FB38E71" w:rsidR="00826923" w:rsidRPr="005A6420" w:rsidRDefault="00970107" w:rsidP="00826923">
            <w:pPr>
              <w:jc w:val="both"/>
              <w:rPr>
                <w:rFonts w:cs="Tahoma"/>
                <w:szCs w:val="20"/>
                <w:lang w:val="fr-FR" w:eastAsia="en-US"/>
              </w:rPr>
            </w:pPr>
            <w:r w:rsidRPr="00970107">
              <w:rPr>
                <w:lang w:val="fr-FR" w:eastAsia="en-US"/>
              </w:rPr>
              <w:t xml:space="preserve">Une stratégie nationale de prévention des conflits, sensible au genre, élaborée </w:t>
            </w:r>
            <w:r w:rsidRPr="00970107">
              <w:rPr>
                <w:lang w:val="fr-FR" w:eastAsia="en-US"/>
              </w:rPr>
              <w:lastRenderedPageBreak/>
              <w:t>de manière inclusive est élaborée et appropriée par les différents acteurs</w:t>
            </w:r>
          </w:p>
        </w:tc>
        <w:tc>
          <w:tcPr>
            <w:tcW w:w="1530" w:type="dxa"/>
            <w:shd w:val="clear" w:color="auto" w:fill="EEECE1"/>
          </w:tcPr>
          <w:p w14:paraId="3C8D73D2" w14:textId="77777777" w:rsidR="00826923" w:rsidRPr="00970107" w:rsidRDefault="00826923" w:rsidP="00826923">
            <w:pPr>
              <w:rPr>
                <w:bCs/>
                <w:lang w:val="fr-FR"/>
              </w:rPr>
            </w:pPr>
            <w:r w:rsidRPr="00970107">
              <w:rPr>
                <w:bCs/>
                <w:sz w:val="22"/>
                <w:szCs w:val="22"/>
                <w:lang w:val="fr-FR" w:eastAsia="en-US"/>
              </w:rPr>
              <w:lastRenderedPageBreak/>
              <w:fldChar w:fldCharType="begin">
                <w:ffData>
                  <w:name w:val=""/>
                  <w:enabled/>
                  <w:calcOnExit w:val="0"/>
                  <w:textInput>
                    <w:maxLength w:val="300"/>
                  </w:textInput>
                </w:ffData>
              </w:fldChar>
            </w:r>
            <w:r w:rsidRPr="00970107">
              <w:rPr>
                <w:bCs/>
                <w:sz w:val="22"/>
                <w:szCs w:val="22"/>
                <w:lang w:val="fr-FR" w:eastAsia="en-US"/>
              </w:rPr>
              <w:instrText xml:space="preserve"> FORMTEXT </w:instrText>
            </w:r>
            <w:r w:rsidRPr="00970107">
              <w:rPr>
                <w:bCs/>
                <w:sz w:val="22"/>
                <w:szCs w:val="22"/>
                <w:lang w:val="fr-FR" w:eastAsia="en-US"/>
              </w:rPr>
            </w:r>
            <w:r w:rsidRPr="00970107">
              <w:rPr>
                <w:bCs/>
                <w:sz w:val="22"/>
                <w:szCs w:val="22"/>
                <w:lang w:val="fr-FR" w:eastAsia="en-US"/>
              </w:rPr>
              <w:fldChar w:fldCharType="separate"/>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sz w:val="22"/>
                <w:szCs w:val="22"/>
                <w:lang w:val="fr-FR" w:eastAsia="en-US"/>
              </w:rPr>
              <w:fldChar w:fldCharType="end"/>
            </w:r>
          </w:p>
        </w:tc>
        <w:tc>
          <w:tcPr>
            <w:tcW w:w="1620" w:type="dxa"/>
            <w:shd w:val="clear" w:color="auto" w:fill="EEECE1"/>
          </w:tcPr>
          <w:p w14:paraId="19A1268B" w14:textId="77777777" w:rsidR="00826923" w:rsidRPr="00970107" w:rsidRDefault="00826923" w:rsidP="00826923">
            <w:pPr>
              <w:rPr>
                <w:bCs/>
                <w:lang w:val="fr-FR"/>
              </w:rPr>
            </w:pPr>
            <w:r w:rsidRPr="00970107">
              <w:rPr>
                <w:bCs/>
                <w:sz w:val="22"/>
                <w:szCs w:val="22"/>
                <w:lang w:val="fr-FR" w:eastAsia="en-US"/>
              </w:rPr>
              <w:fldChar w:fldCharType="begin">
                <w:ffData>
                  <w:name w:val=""/>
                  <w:enabled/>
                  <w:calcOnExit w:val="0"/>
                  <w:textInput>
                    <w:maxLength w:val="300"/>
                  </w:textInput>
                </w:ffData>
              </w:fldChar>
            </w:r>
            <w:r w:rsidRPr="00970107">
              <w:rPr>
                <w:bCs/>
                <w:sz w:val="22"/>
                <w:szCs w:val="22"/>
                <w:lang w:val="fr-FR" w:eastAsia="en-US"/>
              </w:rPr>
              <w:instrText xml:space="preserve"> FORMTEXT </w:instrText>
            </w:r>
            <w:r w:rsidRPr="00970107">
              <w:rPr>
                <w:bCs/>
                <w:sz w:val="22"/>
                <w:szCs w:val="22"/>
                <w:lang w:val="fr-FR" w:eastAsia="en-US"/>
              </w:rPr>
            </w:r>
            <w:r w:rsidRPr="00970107">
              <w:rPr>
                <w:bCs/>
                <w:sz w:val="22"/>
                <w:szCs w:val="22"/>
                <w:lang w:val="fr-FR" w:eastAsia="en-US"/>
              </w:rPr>
              <w:fldChar w:fldCharType="separate"/>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sz w:val="22"/>
                <w:szCs w:val="22"/>
                <w:lang w:val="fr-FR" w:eastAsia="en-US"/>
              </w:rPr>
              <w:fldChar w:fldCharType="end"/>
            </w:r>
          </w:p>
        </w:tc>
        <w:tc>
          <w:tcPr>
            <w:tcW w:w="2070" w:type="dxa"/>
          </w:tcPr>
          <w:p w14:paraId="56506182" w14:textId="77777777" w:rsidR="00826923" w:rsidRPr="00970107" w:rsidRDefault="00826923" w:rsidP="00826923">
            <w:pPr>
              <w:rPr>
                <w:bCs/>
                <w:lang w:val="fr-FR"/>
              </w:rPr>
            </w:pPr>
            <w:r w:rsidRPr="00970107">
              <w:rPr>
                <w:bCs/>
                <w:sz w:val="22"/>
                <w:szCs w:val="22"/>
                <w:lang w:val="fr-FR" w:eastAsia="en-US"/>
              </w:rPr>
              <w:fldChar w:fldCharType="begin">
                <w:ffData>
                  <w:name w:val=""/>
                  <w:enabled/>
                  <w:calcOnExit w:val="0"/>
                  <w:textInput>
                    <w:maxLength w:val="300"/>
                  </w:textInput>
                </w:ffData>
              </w:fldChar>
            </w:r>
            <w:r w:rsidRPr="00970107">
              <w:rPr>
                <w:bCs/>
                <w:sz w:val="22"/>
                <w:szCs w:val="22"/>
                <w:lang w:val="fr-FR" w:eastAsia="en-US"/>
              </w:rPr>
              <w:instrText xml:space="preserve"> FORMTEXT </w:instrText>
            </w:r>
            <w:r w:rsidRPr="00970107">
              <w:rPr>
                <w:bCs/>
                <w:sz w:val="22"/>
                <w:szCs w:val="22"/>
                <w:lang w:val="fr-FR" w:eastAsia="en-US"/>
              </w:rPr>
            </w:r>
            <w:r w:rsidRPr="00970107">
              <w:rPr>
                <w:bCs/>
                <w:sz w:val="22"/>
                <w:szCs w:val="22"/>
                <w:lang w:val="fr-FR" w:eastAsia="en-US"/>
              </w:rPr>
              <w:fldChar w:fldCharType="separate"/>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noProof/>
                <w:sz w:val="22"/>
                <w:szCs w:val="22"/>
                <w:lang w:val="fr-FR" w:eastAsia="en-US"/>
              </w:rPr>
              <w:t> </w:t>
            </w:r>
            <w:r w:rsidRPr="00970107">
              <w:rPr>
                <w:bCs/>
                <w:sz w:val="22"/>
                <w:szCs w:val="22"/>
                <w:lang w:val="fr-FR" w:eastAsia="en-US"/>
              </w:rPr>
              <w:fldChar w:fldCharType="end"/>
            </w:r>
          </w:p>
        </w:tc>
        <w:tc>
          <w:tcPr>
            <w:tcW w:w="2070" w:type="dxa"/>
          </w:tcPr>
          <w:p w14:paraId="64B9AF36" w14:textId="15096C32" w:rsidR="00826923" w:rsidRPr="00970107" w:rsidRDefault="00970107" w:rsidP="00826923">
            <w:pPr>
              <w:rPr>
                <w:bCs/>
                <w:lang w:val="fr-FR"/>
              </w:rPr>
            </w:pPr>
            <w:r w:rsidRPr="00970107">
              <w:rPr>
                <w:bCs/>
                <w:sz w:val="22"/>
                <w:szCs w:val="22"/>
                <w:lang w:val="fr-FR" w:eastAsia="en-US"/>
              </w:rPr>
              <w:t>1</w:t>
            </w:r>
          </w:p>
        </w:tc>
        <w:tc>
          <w:tcPr>
            <w:tcW w:w="4140" w:type="dxa"/>
          </w:tcPr>
          <w:p w14:paraId="4283958A" w14:textId="5F270E59" w:rsidR="00826923" w:rsidRPr="005A6420" w:rsidRDefault="00970107" w:rsidP="00826923">
            <w:pPr>
              <w:rPr>
                <w:lang w:val="fr-FR"/>
              </w:rPr>
            </w:pPr>
            <w:r w:rsidRPr="00970107">
              <w:rPr>
                <w:lang w:val="fr-FR"/>
              </w:rPr>
              <w:t xml:space="preserve">Validation technique de la stratégie nationale de prévention des conflits le 14 novembre 2018. </w:t>
            </w:r>
            <w:r w:rsidR="009D34F2">
              <w:rPr>
                <w:lang w:val="fr-FR"/>
              </w:rPr>
              <w:t>L</w:t>
            </w:r>
            <w:r w:rsidRPr="00970107">
              <w:rPr>
                <w:lang w:val="fr-FR"/>
              </w:rPr>
              <w:t xml:space="preserve">a validation politique </w:t>
            </w:r>
            <w:r w:rsidR="009D34F2">
              <w:rPr>
                <w:lang w:val="fr-FR"/>
              </w:rPr>
              <w:t xml:space="preserve">a </w:t>
            </w:r>
            <w:r w:rsidR="00120861">
              <w:rPr>
                <w:lang w:val="fr-FR"/>
              </w:rPr>
              <w:t>eu</w:t>
            </w:r>
            <w:r w:rsidR="009D34F2">
              <w:rPr>
                <w:lang w:val="fr-FR"/>
              </w:rPr>
              <w:t xml:space="preserve"> lieu </w:t>
            </w:r>
            <w:r w:rsidRPr="00970107">
              <w:rPr>
                <w:lang w:val="fr-FR"/>
              </w:rPr>
              <w:t>en avril 2019</w:t>
            </w:r>
          </w:p>
        </w:tc>
      </w:tr>
      <w:tr w:rsidR="00826923" w:rsidRPr="005A6420" w14:paraId="6F255D0F" w14:textId="77777777" w:rsidTr="008B4C3D">
        <w:trPr>
          <w:trHeight w:val="458"/>
          <w:jc w:val="center"/>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32AFF7F7" w:rsidR="00826923" w:rsidRPr="005A6420" w:rsidRDefault="00970107" w:rsidP="00826923">
            <w:pPr>
              <w:jc w:val="both"/>
              <w:rPr>
                <w:rFonts w:cs="Tahoma"/>
                <w:szCs w:val="20"/>
                <w:lang w:val="fr-FR" w:eastAsia="en-US"/>
              </w:rPr>
            </w:pPr>
            <w:r w:rsidRPr="00970107">
              <w:rPr>
                <w:lang w:val="fr-FR" w:eastAsia="en-US"/>
              </w:rPr>
              <w:t>Une coordination nationale des ISP est fonctionnelle et les acteurs clés sont capables de jouer leur rôle de prévention et de gestion de conflits</w:t>
            </w:r>
          </w:p>
        </w:tc>
        <w:tc>
          <w:tcPr>
            <w:tcW w:w="1530" w:type="dxa"/>
            <w:shd w:val="clear" w:color="auto" w:fill="EEECE1"/>
          </w:tcPr>
          <w:p w14:paraId="3DFD18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5BEA8C11" w:rsidR="00826923" w:rsidRPr="000E27BE" w:rsidRDefault="00970107" w:rsidP="00826923">
            <w:pPr>
              <w:rPr>
                <w:bCs/>
                <w:lang w:val="fr-FR"/>
              </w:rPr>
            </w:pPr>
            <w:r w:rsidRPr="000E27BE">
              <w:rPr>
                <w:bCs/>
                <w:sz w:val="22"/>
                <w:szCs w:val="22"/>
                <w:lang w:val="fr-FR" w:eastAsia="en-US"/>
              </w:rPr>
              <w:t>0</w:t>
            </w:r>
          </w:p>
        </w:tc>
        <w:tc>
          <w:tcPr>
            <w:tcW w:w="4140" w:type="dxa"/>
          </w:tcPr>
          <w:p w14:paraId="7FF4D8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3E17286" w14:textId="77777777" w:rsidTr="008B4C3D">
        <w:trPr>
          <w:trHeight w:val="458"/>
          <w:jc w:val="center"/>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5F87058B" w:rsidR="00826923" w:rsidRPr="005A6420" w:rsidRDefault="00970107" w:rsidP="00826923">
            <w:pPr>
              <w:jc w:val="both"/>
              <w:rPr>
                <w:rFonts w:cs="Tahoma"/>
                <w:szCs w:val="20"/>
                <w:lang w:val="fr-FR" w:eastAsia="en-US"/>
              </w:rPr>
            </w:pPr>
            <w:r w:rsidRPr="00970107">
              <w:rPr>
                <w:lang w:val="fr-FR" w:eastAsia="en-US"/>
              </w:rPr>
              <w:t>Un système de national de monitoring des conflits est élaboré</w:t>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640982C4" w:rsidR="00826923" w:rsidRPr="000E27BE" w:rsidRDefault="000E27BE" w:rsidP="00826923">
            <w:pPr>
              <w:rPr>
                <w:bCs/>
                <w:lang w:val="fr-FR"/>
              </w:rPr>
            </w:pPr>
            <w:r w:rsidRPr="000E27BE">
              <w:rPr>
                <w:bCs/>
                <w:sz w:val="22"/>
                <w:szCs w:val="22"/>
                <w:lang w:val="fr-FR" w:eastAsia="en-US"/>
              </w:rPr>
              <w:t>0</w:t>
            </w:r>
          </w:p>
        </w:tc>
        <w:tc>
          <w:tcPr>
            <w:tcW w:w="4140"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E27BE" w:rsidRPr="005A6420" w14:paraId="5C42158F" w14:textId="77777777" w:rsidTr="008B4C3D">
        <w:trPr>
          <w:trHeight w:val="458"/>
          <w:jc w:val="center"/>
        </w:trPr>
        <w:tc>
          <w:tcPr>
            <w:tcW w:w="1530" w:type="dxa"/>
            <w:vMerge w:val="restart"/>
          </w:tcPr>
          <w:p w14:paraId="5AF379A3" w14:textId="77777777" w:rsidR="000E27BE" w:rsidRPr="005A6420" w:rsidRDefault="000E27BE" w:rsidP="00826923">
            <w:pPr>
              <w:rPr>
                <w:rFonts w:cs="Tahoma"/>
                <w:szCs w:val="20"/>
                <w:lang w:val="fr-FR" w:eastAsia="en-US"/>
              </w:rPr>
            </w:pPr>
            <w:r w:rsidRPr="005A6420">
              <w:rPr>
                <w:rFonts w:cs="Tahoma"/>
                <w:szCs w:val="20"/>
                <w:lang w:val="fr-FR" w:eastAsia="en-US"/>
              </w:rPr>
              <w:t>Produit 3.1</w:t>
            </w:r>
          </w:p>
          <w:p w14:paraId="498E3ED3" w14:textId="38750580" w:rsidR="000E27BE" w:rsidRPr="005A6420" w:rsidRDefault="000E27BE" w:rsidP="00826923">
            <w:pPr>
              <w:rPr>
                <w:rFonts w:cs="Tahoma"/>
                <w:szCs w:val="20"/>
                <w:lang w:val="fr-FR" w:eastAsia="en-US"/>
              </w:rPr>
            </w:pPr>
            <w:r w:rsidRPr="00F67249">
              <w:rPr>
                <w:lang w:val="fr-FR" w:eastAsia="en-US"/>
              </w:rPr>
              <w:t xml:space="preserve">Les causes et les facteurs de conflits récurrents, ainsi que les forces </w:t>
            </w:r>
            <w:r w:rsidRPr="00F67249">
              <w:rPr>
                <w:lang w:val="fr-FR" w:eastAsia="en-US"/>
              </w:rPr>
              <w:lastRenderedPageBreak/>
              <w:t>motrices existantes sont connus</w:t>
            </w:r>
          </w:p>
        </w:tc>
        <w:tc>
          <w:tcPr>
            <w:tcW w:w="2070" w:type="dxa"/>
            <w:shd w:val="clear" w:color="auto" w:fill="EEECE1"/>
          </w:tcPr>
          <w:p w14:paraId="710D11F8" w14:textId="77777777" w:rsidR="000E27BE" w:rsidRPr="005A6420" w:rsidRDefault="000E27BE" w:rsidP="00826923">
            <w:pPr>
              <w:jc w:val="both"/>
              <w:rPr>
                <w:rFonts w:cs="Tahoma"/>
                <w:szCs w:val="20"/>
                <w:lang w:val="fr-FR" w:eastAsia="en-US"/>
              </w:rPr>
            </w:pPr>
            <w:r w:rsidRPr="005A6420">
              <w:rPr>
                <w:rFonts w:cs="Tahoma"/>
                <w:szCs w:val="20"/>
                <w:lang w:val="fr-FR" w:eastAsia="en-US"/>
              </w:rPr>
              <w:lastRenderedPageBreak/>
              <w:t>Indicateur 3.1.1</w:t>
            </w:r>
          </w:p>
          <w:p w14:paraId="1D7757D3" w14:textId="07EF8D84" w:rsidR="000E27BE" w:rsidRPr="005A6420" w:rsidRDefault="000E27BE" w:rsidP="00826923">
            <w:pPr>
              <w:jc w:val="both"/>
              <w:rPr>
                <w:rFonts w:cs="Tahoma"/>
                <w:szCs w:val="20"/>
                <w:lang w:val="fr-FR" w:eastAsia="en-US"/>
              </w:rPr>
            </w:pPr>
            <w:r w:rsidRPr="00970107">
              <w:rPr>
                <w:lang w:val="fr-FR" w:eastAsia="en-US"/>
              </w:rPr>
              <w:t xml:space="preserve">Un rapport synthèse, ainsi qu’une cartographie des causes et facteurs de conflits et des </w:t>
            </w:r>
            <w:r w:rsidRPr="00970107">
              <w:rPr>
                <w:lang w:val="fr-FR" w:eastAsia="en-US"/>
              </w:rPr>
              <w:lastRenderedPageBreak/>
              <w:t>ISP est disponible et vulgarisé</w:t>
            </w:r>
          </w:p>
        </w:tc>
        <w:tc>
          <w:tcPr>
            <w:tcW w:w="1530" w:type="dxa"/>
            <w:shd w:val="clear" w:color="auto" w:fill="EEECE1"/>
          </w:tcPr>
          <w:p w14:paraId="0670EF88" w14:textId="77777777" w:rsidR="000E27BE" w:rsidRPr="005A6420" w:rsidRDefault="000E27BE"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0E27BE" w:rsidRPr="005A6420" w:rsidRDefault="000E27BE"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0E27BE" w:rsidRPr="005A6420" w:rsidRDefault="000E27BE"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03EB26FF" w:rsidR="000E27BE" w:rsidRPr="000E27BE" w:rsidRDefault="000E27BE" w:rsidP="00826923">
            <w:pPr>
              <w:rPr>
                <w:bCs/>
                <w:lang w:val="fr-FR"/>
              </w:rPr>
            </w:pPr>
            <w:r w:rsidRPr="000E27BE">
              <w:rPr>
                <w:bCs/>
                <w:sz w:val="22"/>
                <w:szCs w:val="22"/>
                <w:lang w:val="fr-FR" w:eastAsia="en-US"/>
              </w:rPr>
              <w:t>1</w:t>
            </w:r>
          </w:p>
        </w:tc>
        <w:tc>
          <w:tcPr>
            <w:tcW w:w="4140" w:type="dxa"/>
          </w:tcPr>
          <w:p w14:paraId="72A91972" w14:textId="77777777" w:rsidR="000E27BE" w:rsidRPr="005A6420" w:rsidRDefault="000E27BE"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E27BE" w:rsidRPr="005A6420" w14:paraId="100B110C" w14:textId="77777777" w:rsidTr="008B4C3D">
        <w:trPr>
          <w:trHeight w:val="458"/>
          <w:jc w:val="center"/>
        </w:trPr>
        <w:tc>
          <w:tcPr>
            <w:tcW w:w="1530" w:type="dxa"/>
            <w:vMerge/>
          </w:tcPr>
          <w:p w14:paraId="6E42058F" w14:textId="77777777" w:rsidR="000E27BE" w:rsidRPr="005A6420" w:rsidRDefault="000E27BE" w:rsidP="00826923">
            <w:pPr>
              <w:rPr>
                <w:rFonts w:cs="Tahoma"/>
                <w:szCs w:val="20"/>
                <w:lang w:val="fr-FR" w:eastAsia="en-US"/>
              </w:rPr>
            </w:pPr>
          </w:p>
        </w:tc>
        <w:tc>
          <w:tcPr>
            <w:tcW w:w="2070" w:type="dxa"/>
            <w:shd w:val="clear" w:color="auto" w:fill="EEECE1"/>
          </w:tcPr>
          <w:p w14:paraId="75DC2D64" w14:textId="77777777" w:rsidR="000E27BE" w:rsidRPr="005A6420" w:rsidRDefault="000E27BE" w:rsidP="00826923">
            <w:pPr>
              <w:jc w:val="both"/>
              <w:rPr>
                <w:rFonts w:cs="Tahoma"/>
                <w:szCs w:val="20"/>
                <w:lang w:val="fr-FR" w:eastAsia="en-US"/>
              </w:rPr>
            </w:pPr>
            <w:r w:rsidRPr="005A6420">
              <w:rPr>
                <w:rFonts w:cs="Tahoma"/>
                <w:szCs w:val="20"/>
                <w:lang w:val="fr-FR" w:eastAsia="en-US"/>
              </w:rPr>
              <w:t>Indicateur 3.1.2</w:t>
            </w:r>
          </w:p>
          <w:p w14:paraId="2BBA7226" w14:textId="77777777" w:rsidR="000E27BE" w:rsidRPr="00970107" w:rsidRDefault="000E27BE" w:rsidP="00970107">
            <w:pPr>
              <w:jc w:val="both"/>
              <w:rPr>
                <w:lang w:val="fr-FR"/>
              </w:rPr>
            </w:pPr>
            <w:r w:rsidRPr="00970107">
              <w:rPr>
                <w:lang w:val="fr-FR" w:eastAsia="en-US"/>
              </w:rPr>
              <w:t xml:space="preserve">150 personnes </w:t>
            </w:r>
            <w:proofErr w:type="gramStart"/>
            <w:r w:rsidRPr="00970107">
              <w:rPr>
                <w:lang w:val="fr-FR" w:eastAsia="en-US"/>
              </w:rPr>
              <w:t>issues  des</w:t>
            </w:r>
            <w:proofErr w:type="gramEnd"/>
            <w:r w:rsidRPr="00970107">
              <w:rPr>
                <w:lang w:val="fr-FR" w:eastAsia="en-US"/>
              </w:rPr>
              <w:t xml:space="preserve">  institutions nationales (MUNC, MINJ, AN, INIDH) et les OSC et acteurs clés disposent de cet outil et sont informés sur son contenu</w:t>
            </w:r>
          </w:p>
          <w:p w14:paraId="1AC64BA4" w14:textId="231D07A1" w:rsidR="000E27BE" w:rsidRPr="005A6420" w:rsidRDefault="000E27BE" w:rsidP="00826923">
            <w:pPr>
              <w:jc w:val="both"/>
              <w:rPr>
                <w:rFonts w:cs="Tahoma"/>
                <w:szCs w:val="20"/>
                <w:lang w:val="fr-FR" w:eastAsia="en-US"/>
              </w:rPr>
            </w:pPr>
          </w:p>
        </w:tc>
        <w:tc>
          <w:tcPr>
            <w:tcW w:w="1530" w:type="dxa"/>
            <w:shd w:val="clear" w:color="auto" w:fill="EEECE1"/>
          </w:tcPr>
          <w:p w14:paraId="4450A539" w14:textId="77777777" w:rsidR="000E27BE" w:rsidRPr="005A6420" w:rsidRDefault="000E27BE"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0E27BE" w:rsidRPr="005A6420" w:rsidRDefault="000E27BE"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0E27BE" w:rsidRPr="005A6420" w:rsidRDefault="000E27BE"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13BEA4ED" w:rsidR="000E27BE" w:rsidRPr="000E27BE" w:rsidRDefault="000E27BE" w:rsidP="00826923">
            <w:pPr>
              <w:rPr>
                <w:bCs/>
                <w:lang w:val="fr-FR"/>
              </w:rPr>
            </w:pPr>
            <w:r w:rsidRPr="000E27BE">
              <w:rPr>
                <w:bCs/>
                <w:sz w:val="22"/>
                <w:szCs w:val="22"/>
                <w:lang w:val="fr-FR" w:eastAsia="en-US"/>
              </w:rPr>
              <w:t>1</w:t>
            </w:r>
          </w:p>
        </w:tc>
        <w:tc>
          <w:tcPr>
            <w:tcW w:w="4140" w:type="dxa"/>
          </w:tcPr>
          <w:p w14:paraId="2A1F5BA2" w14:textId="77777777" w:rsidR="000E27BE" w:rsidRPr="005A6420" w:rsidRDefault="000E27BE"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E27BE" w:rsidRPr="00364CC4" w14:paraId="5A64F7F2" w14:textId="77777777" w:rsidTr="008B4C3D">
        <w:trPr>
          <w:trHeight w:val="458"/>
          <w:jc w:val="center"/>
        </w:trPr>
        <w:tc>
          <w:tcPr>
            <w:tcW w:w="1530" w:type="dxa"/>
            <w:vMerge/>
          </w:tcPr>
          <w:p w14:paraId="3599D8DC" w14:textId="77777777" w:rsidR="000E27BE" w:rsidRPr="005A6420" w:rsidRDefault="000E27BE" w:rsidP="00826923">
            <w:pPr>
              <w:rPr>
                <w:rFonts w:cs="Tahoma"/>
                <w:szCs w:val="20"/>
                <w:lang w:val="fr-FR" w:eastAsia="en-US"/>
              </w:rPr>
            </w:pPr>
          </w:p>
        </w:tc>
        <w:tc>
          <w:tcPr>
            <w:tcW w:w="2070" w:type="dxa"/>
            <w:shd w:val="clear" w:color="auto" w:fill="EEECE1"/>
          </w:tcPr>
          <w:p w14:paraId="746F77ED" w14:textId="2D0651DC" w:rsidR="000E27BE" w:rsidRPr="005A6420" w:rsidRDefault="000E27BE" w:rsidP="00A94D7E">
            <w:pPr>
              <w:jc w:val="both"/>
              <w:rPr>
                <w:rFonts w:cs="Tahoma"/>
                <w:szCs w:val="20"/>
                <w:lang w:val="fr-FR" w:eastAsia="en-US"/>
              </w:rPr>
            </w:pPr>
            <w:r w:rsidRPr="005A6420">
              <w:rPr>
                <w:rFonts w:cs="Tahoma"/>
                <w:szCs w:val="20"/>
                <w:lang w:val="fr-FR" w:eastAsia="en-US"/>
              </w:rPr>
              <w:t>Indicateur 3.1.</w:t>
            </w:r>
            <w:r>
              <w:rPr>
                <w:rFonts w:cs="Tahoma"/>
                <w:szCs w:val="20"/>
                <w:lang w:val="fr-FR" w:eastAsia="en-US"/>
              </w:rPr>
              <w:t>3</w:t>
            </w:r>
          </w:p>
          <w:p w14:paraId="6A214F61" w14:textId="6E88F094" w:rsidR="000E27BE" w:rsidRPr="005A6420" w:rsidRDefault="000E27BE" w:rsidP="00826923">
            <w:pPr>
              <w:jc w:val="both"/>
              <w:rPr>
                <w:rFonts w:cs="Tahoma"/>
                <w:szCs w:val="20"/>
                <w:lang w:val="fr-FR" w:eastAsia="en-US"/>
              </w:rPr>
            </w:pPr>
            <w:r w:rsidRPr="00A94D7E">
              <w:rPr>
                <w:lang w:val="fr-FR" w:eastAsia="en-US"/>
              </w:rPr>
              <w:t>Une réponse stratégique est définie avec 150 acteurs clés</w:t>
            </w:r>
          </w:p>
        </w:tc>
        <w:tc>
          <w:tcPr>
            <w:tcW w:w="1530" w:type="dxa"/>
            <w:shd w:val="clear" w:color="auto" w:fill="EEECE1"/>
          </w:tcPr>
          <w:p w14:paraId="1AEF25D1" w14:textId="77777777" w:rsidR="000E27BE" w:rsidRPr="005A6420" w:rsidRDefault="000E27BE" w:rsidP="00826923">
            <w:pPr>
              <w:rPr>
                <w:b/>
                <w:sz w:val="22"/>
                <w:szCs w:val="22"/>
                <w:lang w:val="fr-FR" w:eastAsia="en-US"/>
              </w:rPr>
            </w:pPr>
          </w:p>
        </w:tc>
        <w:tc>
          <w:tcPr>
            <w:tcW w:w="1620" w:type="dxa"/>
            <w:shd w:val="clear" w:color="auto" w:fill="EEECE1"/>
          </w:tcPr>
          <w:p w14:paraId="638A73C7" w14:textId="77777777" w:rsidR="000E27BE" w:rsidRPr="005A6420" w:rsidRDefault="000E27BE" w:rsidP="00826923">
            <w:pPr>
              <w:rPr>
                <w:b/>
                <w:sz w:val="22"/>
                <w:szCs w:val="22"/>
                <w:lang w:val="fr-FR" w:eastAsia="en-US"/>
              </w:rPr>
            </w:pPr>
          </w:p>
        </w:tc>
        <w:tc>
          <w:tcPr>
            <w:tcW w:w="2070" w:type="dxa"/>
          </w:tcPr>
          <w:p w14:paraId="5188839E" w14:textId="77777777" w:rsidR="000E27BE" w:rsidRPr="005A6420" w:rsidRDefault="000E27BE" w:rsidP="00826923">
            <w:pPr>
              <w:rPr>
                <w:b/>
                <w:sz w:val="22"/>
                <w:szCs w:val="22"/>
                <w:lang w:val="fr-FR" w:eastAsia="en-US"/>
              </w:rPr>
            </w:pPr>
          </w:p>
        </w:tc>
        <w:tc>
          <w:tcPr>
            <w:tcW w:w="2070" w:type="dxa"/>
          </w:tcPr>
          <w:p w14:paraId="7D2E1491" w14:textId="77777777" w:rsidR="000E27BE" w:rsidRPr="005A6420" w:rsidRDefault="000E27BE" w:rsidP="00826923">
            <w:pPr>
              <w:rPr>
                <w:b/>
                <w:sz w:val="22"/>
                <w:szCs w:val="22"/>
                <w:lang w:val="fr-FR" w:eastAsia="en-US"/>
              </w:rPr>
            </w:pPr>
          </w:p>
        </w:tc>
        <w:tc>
          <w:tcPr>
            <w:tcW w:w="4140" w:type="dxa"/>
          </w:tcPr>
          <w:p w14:paraId="6BD80C83" w14:textId="77777777" w:rsidR="000E27BE" w:rsidRPr="005A6420" w:rsidRDefault="000E27BE" w:rsidP="00826923">
            <w:pPr>
              <w:rPr>
                <w:b/>
                <w:sz w:val="22"/>
                <w:szCs w:val="22"/>
                <w:lang w:val="fr-FR" w:eastAsia="en-US"/>
              </w:rPr>
            </w:pPr>
          </w:p>
        </w:tc>
      </w:tr>
      <w:tr w:rsidR="00826923" w:rsidRPr="00364CC4" w14:paraId="4A002238" w14:textId="77777777" w:rsidTr="008B4C3D">
        <w:trPr>
          <w:trHeight w:val="458"/>
          <w:jc w:val="center"/>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16786788" w:rsidR="00826923" w:rsidRPr="005A6420" w:rsidRDefault="009A7206" w:rsidP="00826923">
            <w:pPr>
              <w:rPr>
                <w:rFonts w:cs="Tahoma"/>
                <w:szCs w:val="20"/>
                <w:lang w:val="fr-FR" w:eastAsia="en-US"/>
              </w:rPr>
            </w:pPr>
            <w:r w:rsidRPr="00F67249">
              <w:rPr>
                <w:lang w:val="fr-FR" w:eastAsia="en-US"/>
              </w:rPr>
              <w:t xml:space="preserve">La stratégie nationale de prévention, de gestion des conflits </w:t>
            </w:r>
            <w:r w:rsidRPr="00F67249">
              <w:rPr>
                <w:lang w:val="fr-FR" w:eastAsia="en-US"/>
              </w:rPr>
              <w:lastRenderedPageBreak/>
              <w:t>et de renforcement de la cohésion sociale, assorti d’un plan d’action est élaborée et validée</w:t>
            </w:r>
          </w:p>
        </w:tc>
        <w:tc>
          <w:tcPr>
            <w:tcW w:w="2070" w:type="dxa"/>
            <w:shd w:val="clear" w:color="auto" w:fill="EEECE1"/>
          </w:tcPr>
          <w:p w14:paraId="399E4F20"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3.2.1</w:t>
            </w:r>
          </w:p>
          <w:p w14:paraId="094E5F49" w14:textId="70F54A2E" w:rsidR="00826923" w:rsidRPr="005A6420" w:rsidRDefault="00A94D7E" w:rsidP="00826923">
            <w:pPr>
              <w:jc w:val="both"/>
              <w:rPr>
                <w:rFonts w:cs="Tahoma"/>
                <w:szCs w:val="20"/>
                <w:lang w:val="fr-FR" w:eastAsia="en-US"/>
              </w:rPr>
            </w:pPr>
            <w:r w:rsidRPr="00A94D7E">
              <w:rPr>
                <w:lang w:val="fr-FR" w:eastAsia="en-US"/>
              </w:rPr>
              <w:t xml:space="preserve">Une stratégie nationale de prévention et de gestion des conflits est disponible et </w:t>
            </w:r>
            <w:r w:rsidRPr="00A94D7E">
              <w:rPr>
                <w:lang w:val="fr-FR" w:eastAsia="en-US"/>
              </w:rPr>
              <w:lastRenderedPageBreak/>
              <w:t xml:space="preserve">validée </w:t>
            </w:r>
            <w:proofErr w:type="gramStart"/>
            <w:r w:rsidRPr="00A94D7E">
              <w:rPr>
                <w:lang w:val="fr-FR" w:eastAsia="en-US"/>
              </w:rPr>
              <w:t>avec  la</w:t>
            </w:r>
            <w:proofErr w:type="gramEnd"/>
            <w:r w:rsidRPr="00A94D7E">
              <w:rPr>
                <w:lang w:val="fr-FR" w:eastAsia="en-US"/>
              </w:rPr>
              <w:t xml:space="preserve"> participation des OSC et des institutions nationales</w:t>
            </w:r>
          </w:p>
        </w:tc>
        <w:tc>
          <w:tcPr>
            <w:tcW w:w="1530" w:type="dxa"/>
            <w:shd w:val="clear" w:color="auto" w:fill="EEECE1"/>
          </w:tcPr>
          <w:p w14:paraId="1EAA3323"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826923" w:rsidRPr="008B4C3D" w:rsidRDefault="00826923" w:rsidP="00826923">
            <w:pPr>
              <w:rPr>
                <w:bCs/>
                <w:lang w:val="fr-FR"/>
              </w:rPr>
            </w:pPr>
            <w:r w:rsidRPr="008B4C3D">
              <w:rPr>
                <w:bCs/>
                <w:sz w:val="22"/>
                <w:szCs w:val="22"/>
                <w:lang w:val="fr-FR" w:eastAsia="en-US"/>
              </w:rPr>
              <w:fldChar w:fldCharType="begin">
                <w:ffData>
                  <w:name w:val=""/>
                  <w:enabled/>
                  <w:calcOnExit w:val="0"/>
                  <w:textInput>
                    <w:maxLength w:val="300"/>
                  </w:textInput>
                </w:ffData>
              </w:fldChar>
            </w:r>
            <w:r w:rsidRPr="008B4C3D">
              <w:rPr>
                <w:bCs/>
                <w:sz w:val="22"/>
                <w:szCs w:val="22"/>
                <w:lang w:val="fr-FR" w:eastAsia="en-US"/>
              </w:rPr>
              <w:instrText xml:space="preserve"> FORMTEXT </w:instrText>
            </w:r>
            <w:r w:rsidRPr="008B4C3D">
              <w:rPr>
                <w:bCs/>
                <w:sz w:val="22"/>
                <w:szCs w:val="22"/>
                <w:lang w:val="fr-FR" w:eastAsia="en-US"/>
              </w:rPr>
            </w:r>
            <w:r w:rsidRPr="008B4C3D">
              <w:rPr>
                <w:bCs/>
                <w:sz w:val="22"/>
                <w:szCs w:val="22"/>
                <w:lang w:val="fr-FR" w:eastAsia="en-US"/>
              </w:rPr>
              <w:fldChar w:fldCharType="separate"/>
            </w:r>
            <w:r w:rsidRPr="008B4C3D">
              <w:rPr>
                <w:bCs/>
                <w:noProof/>
                <w:sz w:val="22"/>
                <w:szCs w:val="22"/>
                <w:lang w:val="fr-FR" w:eastAsia="en-US"/>
              </w:rPr>
              <w:t> </w:t>
            </w:r>
            <w:r w:rsidRPr="008B4C3D">
              <w:rPr>
                <w:bCs/>
                <w:noProof/>
                <w:sz w:val="22"/>
                <w:szCs w:val="22"/>
                <w:lang w:val="fr-FR" w:eastAsia="en-US"/>
              </w:rPr>
              <w:t> </w:t>
            </w:r>
            <w:r w:rsidRPr="008B4C3D">
              <w:rPr>
                <w:bCs/>
                <w:noProof/>
                <w:sz w:val="22"/>
                <w:szCs w:val="22"/>
                <w:lang w:val="fr-FR" w:eastAsia="en-US"/>
              </w:rPr>
              <w:t> </w:t>
            </w:r>
            <w:r w:rsidRPr="008B4C3D">
              <w:rPr>
                <w:bCs/>
                <w:noProof/>
                <w:sz w:val="22"/>
                <w:szCs w:val="22"/>
                <w:lang w:val="fr-FR" w:eastAsia="en-US"/>
              </w:rPr>
              <w:t> </w:t>
            </w:r>
            <w:r w:rsidRPr="008B4C3D">
              <w:rPr>
                <w:bCs/>
                <w:noProof/>
                <w:sz w:val="22"/>
                <w:szCs w:val="22"/>
                <w:lang w:val="fr-FR" w:eastAsia="en-US"/>
              </w:rPr>
              <w:t> </w:t>
            </w:r>
            <w:r w:rsidRPr="008B4C3D">
              <w:rPr>
                <w:bCs/>
                <w:sz w:val="22"/>
                <w:szCs w:val="22"/>
                <w:lang w:val="fr-FR" w:eastAsia="en-US"/>
              </w:rPr>
              <w:fldChar w:fldCharType="end"/>
            </w:r>
          </w:p>
        </w:tc>
        <w:tc>
          <w:tcPr>
            <w:tcW w:w="2070" w:type="dxa"/>
          </w:tcPr>
          <w:p w14:paraId="0C6EF76F" w14:textId="68A954C6" w:rsidR="00826923" w:rsidRPr="008B4C3D" w:rsidRDefault="00A94D7E" w:rsidP="00826923">
            <w:pPr>
              <w:rPr>
                <w:bCs/>
                <w:lang w:val="fr-FR"/>
              </w:rPr>
            </w:pPr>
            <w:r w:rsidRPr="008B4C3D">
              <w:rPr>
                <w:bCs/>
                <w:sz w:val="22"/>
                <w:szCs w:val="22"/>
                <w:lang w:val="fr-FR" w:eastAsia="en-US"/>
              </w:rPr>
              <w:t>1</w:t>
            </w:r>
          </w:p>
        </w:tc>
        <w:tc>
          <w:tcPr>
            <w:tcW w:w="4140" w:type="dxa"/>
          </w:tcPr>
          <w:p w14:paraId="18171EAA" w14:textId="4174F628" w:rsidR="00826923" w:rsidRPr="005A6420" w:rsidRDefault="00A94D7E" w:rsidP="00826923">
            <w:pPr>
              <w:rPr>
                <w:lang w:val="fr-FR"/>
              </w:rPr>
            </w:pPr>
            <w:r w:rsidRPr="00A94D7E">
              <w:rPr>
                <w:lang w:val="fr-FR"/>
              </w:rPr>
              <w:t xml:space="preserve">NB. </w:t>
            </w:r>
            <w:r w:rsidR="008B4C3D" w:rsidRPr="00A94D7E">
              <w:rPr>
                <w:lang w:val="fr-FR"/>
              </w:rPr>
              <w:t>La</w:t>
            </w:r>
            <w:r w:rsidRPr="00A94D7E">
              <w:rPr>
                <w:lang w:val="fr-FR"/>
              </w:rPr>
              <w:t xml:space="preserve"> stratégie a simplement fait l'objet d'une validation technique le 14 novembre 2018 au cours d'un atelier national, et d'une validation politique en Conseil des Ministres (avril 2019)</w:t>
            </w:r>
          </w:p>
        </w:tc>
      </w:tr>
      <w:tr w:rsidR="00826923" w:rsidRPr="00364CC4" w14:paraId="4E815455" w14:textId="77777777" w:rsidTr="008B4C3D">
        <w:trPr>
          <w:trHeight w:val="458"/>
          <w:jc w:val="center"/>
        </w:trPr>
        <w:tc>
          <w:tcPr>
            <w:tcW w:w="1530" w:type="dxa"/>
            <w:vMerge/>
          </w:tcPr>
          <w:p w14:paraId="022D9C9C" w14:textId="77777777" w:rsidR="00826923" w:rsidRPr="005A6420" w:rsidRDefault="00826923" w:rsidP="00826923">
            <w:pPr>
              <w:rPr>
                <w:rFonts w:cs="Tahoma"/>
                <w:b/>
                <w:szCs w:val="20"/>
                <w:lang w:val="fr-FR" w:eastAsia="en-US"/>
              </w:rPr>
            </w:pPr>
          </w:p>
        </w:tc>
        <w:tc>
          <w:tcPr>
            <w:tcW w:w="2070" w:type="dxa"/>
            <w:shd w:val="clear" w:color="auto" w:fill="EEECE1"/>
          </w:tcPr>
          <w:p w14:paraId="2ADDAD1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14:paraId="15472455" w14:textId="44A33AD6" w:rsidR="00826923" w:rsidRPr="005A6420" w:rsidRDefault="00A94D7E" w:rsidP="00826923">
            <w:pPr>
              <w:jc w:val="both"/>
              <w:rPr>
                <w:rFonts w:cs="Tahoma"/>
                <w:szCs w:val="20"/>
                <w:lang w:val="fr-FR" w:eastAsia="en-US"/>
              </w:rPr>
            </w:pPr>
            <w:r w:rsidRPr="00A94D7E">
              <w:rPr>
                <w:lang w:val="fr-FR" w:eastAsia="en-US"/>
              </w:rPr>
              <w:t>Le document de stratégie nationale de prévention des conflits et de cohésion sociale est édité et disponible en ligne</w:t>
            </w:r>
          </w:p>
        </w:tc>
        <w:tc>
          <w:tcPr>
            <w:tcW w:w="1530" w:type="dxa"/>
            <w:shd w:val="clear" w:color="auto" w:fill="EEECE1"/>
          </w:tcPr>
          <w:p w14:paraId="65497F7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826923" w:rsidRPr="008B4C3D" w:rsidRDefault="00826923" w:rsidP="00826923">
            <w:pPr>
              <w:rPr>
                <w:bCs/>
                <w:lang w:val="fr-FR"/>
              </w:rPr>
            </w:pPr>
            <w:r w:rsidRPr="008B4C3D">
              <w:rPr>
                <w:bCs/>
                <w:sz w:val="22"/>
                <w:szCs w:val="22"/>
                <w:lang w:val="fr-FR" w:eastAsia="en-US"/>
              </w:rPr>
              <w:fldChar w:fldCharType="begin">
                <w:ffData>
                  <w:name w:val=""/>
                  <w:enabled/>
                  <w:calcOnExit w:val="0"/>
                  <w:textInput>
                    <w:maxLength w:val="300"/>
                  </w:textInput>
                </w:ffData>
              </w:fldChar>
            </w:r>
            <w:r w:rsidRPr="008B4C3D">
              <w:rPr>
                <w:bCs/>
                <w:sz w:val="22"/>
                <w:szCs w:val="22"/>
                <w:lang w:val="fr-FR" w:eastAsia="en-US"/>
              </w:rPr>
              <w:instrText xml:space="preserve"> FORMTEXT </w:instrText>
            </w:r>
            <w:r w:rsidRPr="008B4C3D">
              <w:rPr>
                <w:bCs/>
                <w:sz w:val="22"/>
                <w:szCs w:val="22"/>
                <w:lang w:val="fr-FR" w:eastAsia="en-US"/>
              </w:rPr>
            </w:r>
            <w:r w:rsidRPr="008B4C3D">
              <w:rPr>
                <w:bCs/>
                <w:sz w:val="22"/>
                <w:szCs w:val="22"/>
                <w:lang w:val="fr-FR" w:eastAsia="en-US"/>
              </w:rPr>
              <w:fldChar w:fldCharType="separate"/>
            </w:r>
            <w:r w:rsidRPr="008B4C3D">
              <w:rPr>
                <w:bCs/>
                <w:noProof/>
                <w:sz w:val="22"/>
                <w:szCs w:val="22"/>
                <w:lang w:val="fr-FR" w:eastAsia="en-US"/>
              </w:rPr>
              <w:t> </w:t>
            </w:r>
            <w:r w:rsidRPr="008B4C3D">
              <w:rPr>
                <w:bCs/>
                <w:noProof/>
                <w:sz w:val="22"/>
                <w:szCs w:val="22"/>
                <w:lang w:val="fr-FR" w:eastAsia="en-US"/>
              </w:rPr>
              <w:t> </w:t>
            </w:r>
            <w:r w:rsidRPr="008B4C3D">
              <w:rPr>
                <w:bCs/>
                <w:noProof/>
                <w:sz w:val="22"/>
                <w:szCs w:val="22"/>
                <w:lang w:val="fr-FR" w:eastAsia="en-US"/>
              </w:rPr>
              <w:t> </w:t>
            </w:r>
            <w:r w:rsidRPr="008B4C3D">
              <w:rPr>
                <w:bCs/>
                <w:noProof/>
                <w:sz w:val="22"/>
                <w:szCs w:val="22"/>
                <w:lang w:val="fr-FR" w:eastAsia="en-US"/>
              </w:rPr>
              <w:t> </w:t>
            </w:r>
            <w:r w:rsidRPr="008B4C3D">
              <w:rPr>
                <w:bCs/>
                <w:noProof/>
                <w:sz w:val="22"/>
                <w:szCs w:val="22"/>
                <w:lang w:val="fr-FR" w:eastAsia="en-US"/>
              </w:rPr>
              <w:t> </w:t>
            </w:r>
            <w:r w:rsidRPr="008B4C3D">
              <w:rPr>
                <w:bCs/>
                <w:sz w:val="22"/>
                <w:szCs w:val="22"/>
                <w:lang w:val="fr-FR" w:eastAsia="en-US"/>
              </w:rPr>
              <w:fldChar w:fldCharType="end"/>
            </w:r>
          </w:p>
        </w:tc>
        <w:tc>
          <w:tcPr>
            <w:tcW w:w="2070" w:type="dxa"/>
          </w:tcPr>
          <w:p w14:paraId="44A48C33" w14:textId="0AF0E3D9" w:rsidR="00826923" w:rsidRPr="008B4C3D" w:rsidRDefault="00A12D52" w:rsidP="00826923">
            <w:pPr>
              <w:rPr>
                <w:bCs/>
                <w:lang w:val="fr-FR"/>
              </w:rPr>
            </w:pPr>
            <w:r>
              <w:rPr>
                <w:bCs/>
                <w:sz w:val="22"/>
                <w:szCs w:val="22"/>
                <w:lang w:val="fr-FR" w:eastAsia="en-US"/>
              </w:rPr>
              <w:t xml:space="preserve">2000 exemplaires </w:t>
            </w:r>
            <w:r w:rsidR="00520D54">
              <w:rPr>
                <w:bCs/>
                <w:sz w:val="22"/>
                <w:szCs w:val="22"/>
                <w:lang w:val="fr-FR" w:eastAsia="en-US"/>
              </w:rPr>
              <w:t>disponibles</w:t>
            </w:r>
          </w:p>
        </w:tc>
        <w:tc>
          <w:tcPr>
            <w:tcW w:w="4140" w:type="dxa"/>
          </w:tcPr>
          <w:p w14:paraId="77A34B01" w14:textId="3D8C2BBF" w:rsidR="00826923" w:rsidRPr="005A6420" w:rsidRDefault="00120861" w:rsidP="00826923">
            <w:pPr>
              <w:rPr>
                <w:lang w:val="fr-FR"/>
              </w:rPr>
            </w:pPr>
            <w:r>
              <w:rPr>
                <w:lang w:val="fr-FR"/>
              </w:rPr>
              <w:t xml:space="preserve">Le document de stratégie a été édité en </w:t>
            </w:r>
            <w:r w:rsidR="0035647E">
              <w:rPr>
                <w:lang w:val="fr-FR"/>
              </w:rPr>
              <w:t xml:space="preserve">2000 </w:t>
            </w:r>
            <w:r>
              <w:rPr>
                <w:lang w:val="fr-FR"/>
              </w:rPr>
              <w:t>exemplaires</w:t>
            </w:r>
            <w:r w:rsidR="0035647E">
              <w:rPr>
                <w:lang w:val="fr-FR"/>
              </w:rPr>
              <w:t xml:space="preserve"> (version logue de 75 pages &amp; version synthèse de 30 pages)</w:t>
            </w:r>
          </w:p>
        </w:tc>
      </w:tr>
      <w:tr w:rsidR="00826923" w:rsidRPr="00916E28" w14:paraId="43035B13" w14:textId="77777777" w:rsidTr="008B4C3D">
        <w:trPr>
          <w:trHeight w:val="458"/>
          <w:jc w:val="center"/>
        </w:trPr>
        <w:tc>
          <w:tcPr>
            <w:tcW w:w="1530" w:type="dxa"/>
            <w:vMerge w:val="restart"/>
          </w:tcPr>
          <w:p w14:paraId="528D1B2B"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0A5815BE" w14:textId="23EE4560" w:rsidR="00826923" w:rsidRPr="005A6420" w:rsidRDefault="009A7206" w:rsidP="00826923">
            <w:pPr>
              <w:rPr>
                <w:rFonts w:cs="Tahoma"/>
                <w:szCs w:val="20"/>
                <w:lang w:val="fr-FR" w:eastAsia="en-US"/>
              </w:rPr>
            </w:pPr>
            <w:r w:rsidRPr="00F67249">
              <w:rPr>
                <w:lang w:val="fr-FR" w:eastAsia="en-US"/>
              </w:rPr>
              <w:t>Une structure nationale des Infrastructures sociales de paix (ISP) est définie, mise en place et les acteurs renforcés</w:t>
            </w:r>
          </w:p>
        </w:tc>
        <w:tc>
          <w:tcPr>
            <w:tcW w:w="2070" w:type="dxa"/>
            <w:shd w:val="clear" w:color="auto" w:fill="EEECE1"/>
          </w:tcPr>
          <w:p w14:paraId="7046DA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69406269" w14:textId="6F6C0F80" w:rsidR="00826923" w:rsidRPr="005A6420" w:rsidRDefault="00A94D7E" w:rsidP="00826923">
            <w:pPr>
              <w:jc w:val="both"/>
              <w:rPr>
                <w:rFonts w:cs="Tahoma"/>
                <w:szCs w:val="20"/>
                <w:lang w:val="fr-FR" w:eastAsia="en-US"/>
              </w:rPr>
            </w:pPr>
            <w:r w:rsidRPr="00A94D7E">
              <w:rPr>
                <w:lang w:val="fr-FR" w:eastAsia="en-US"/>
              </w:rPr>
              <w:t>Un arrêté conjoint sur les ISP est élaboré et signé</w:t>
            </w:r>
          </w:p>
        </w:tc>
        <w:tc>
          <w:tcPr>
            <w:tcW w:w="1530" w:type="dxa"/>
            <w:shd w:val="clear" w:color="auto" w:fill="EEECE1"/>
          </w:tcPr>
          <w:p w14:paraId="660C33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0700730C" w:rsidR="00826923" w:rsidRPr="008B4C3D" w:rsidRDefault="00A94D7E" w:rsidP="00826923">
            <w:pPr>
              <w:rPr>
                <w:bCs/>
                <w:lang w:val="fr-FR"/>
              </w:rPr>
            </w:pPr>
            <w:r w:rsidRPr="008B4C3D">
              <w:rPr>
                <w:bCs/>
                <w:sz w:val="22"/>
                <w:szCs w:val="22"/>
                <w:lang w:val="fr-FR" w:eastAsia="en-US"/>
              </w:rPr>
              <w:t>0</w:t>
            </w:r>
          </w:p>
        </w:tc>
        <w:tc>
          <w:tcPr>
            <w:tcW w:w="4140" w:type="dxa"/>
          </w:tcPr>
          <w:p w14:paraId="18BDC38B" w14:textId="6442A69A" w:rsidR="00826923" w:rsidRPr="005A6420" w:rsidRDefault="00826923" w:rsidP="00826923">
            <w:pPr>
              <w:rPr>
                <w:lang w:val="fr-FR"/>
              </w:rPr>
            </w:pPr>
          </w:p>
        </w:tc>
      </w:tr>
      <w:tr w:rsidR="00826923" w:rsidRPr="00364CC4" w14:paraId="5A09C3B1" w14:textId="77777777" w:rsidTr="008B4C3D">
        <w:trPr>
          <w:trHeight w:val="458"/>
          <w:jc w:val="center"/>
        </w:trPr>
        <w:tc>
          <w:tcPr>
            <w:tcW w:w="1530" w:type="dxa"/>
            <w:vMerge/>
          </w:tcPr>
          <w:p w14:paraId="72C9CEDA" w14:textId="77777777" w:rsidR="00826923" w:rsidRPr="005A6420" w:rsidRDefault="00826923" w:rsidP="00826923">
            <w:pPr>
              <w:rPr>
                <w:rFonts w:cs="Tahoma"/>
                <w:b/>
                <w:szCs w:val="20"/>
                <w:lang w:val="fr-FR" w:eastAsia="en-US"/>
              </w:rPr>
            </w:pPr>
          </w:p>
        </w:tc>
        <w:tc>
          <w:tcPr>
            <w:tcW w:w="2070" w:type="dxa"/>
            <w:shd w:val="clear" w:color="auto" w:fill="EEECE1"/>
          </w:tcPr>
          <w:p w14:paraId="4311711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F2B53FF" w14:textId="61B1FE5E" w:rsidR="00826923" w:rsidRPr="005A6420" w:rsidRDefault="00A94D7E" w:rsidP="00826923">
            <w:pPr>
              <w:jc w:val="both"/>
              <w:rPr>
                <w:rFonts w:cs="Tahoma"/>
                <w:szCs w:val="20"/>
                <w:lang w:val="fr-FR" w:eastAsia="en-US"/>
              </w:rPr>
            </w:pPr>
            <w:r w:rsidRPr="00A94D7E">
              <w:rPr>
                <w:lang w:val="fr-FR" w:eastAsia="en-US"/>
              </w:rPr>
              <w:t>Une structure nationale de coordination des ISP est mise en place équipée</w:t>
            </w:r>
          </w:p>
        </w:tc>
        <w:tc>
          <w:tcPr>
            <w:tcW w:w="1530" w:type="dxa"/>
            <w:shd w:val="clear" w:color="auto" w:fill="EEECE1"/>
          </w:tcPr>
          <w:p w14:paraId="0C4227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03A8674E" w:rsidR="00826923" w:rsidRPr="008B4C3D" w:rsidRDefault="00A94D7E" w:rsidP="00826923">
            <w:pPr>
              <w:rPr>
                <w:bCs/>
                <w:lang w:val="fr-FR"/>
              </w:rPr>
            </w:pPr>
            <w:r w:rsidRPr="008B4C3D">
              <w:rPr>
                <w:bCs/>
                <w:sz w:val="22"/>
                <w:szCs w:val="22"/>
                <w:lang w:val="fr-FR" w:eastAsia="en-US"/>
              </w:rPr>
              <w:t>0</w:t>
            </w:r>
          </w:p>
        </w:tc>
        <w:tc>
          <w:tcPr>
            <w:tcW w:w="4140" w:type="dxa"/>
          </w:tcPr>
          <w:p w14:paraId="6C642C70" w14:textId="29153705" w:rsidR="00826923" w:rsidRPr="0035647E" w:rsidRDefault="00120861" w:rsidP="00826923">
            <w:pPr>
              <w:rPr>
                <w:i/>
                <w:iCs/>
                <w:lang w:val="fr-FR"/>
              </w:rPr>
            </w:pPr>
            <w:r>
              <w:rPr>
                <w:lang w:val="fr-FR"/>
              </w:rPr>
              <w:t>Une expérimentation est envisagée en Guinée forestière</w:t>
            </w:r>
            <w:r w:rsidR="00A12D52">
              <w:rPr>
                <w:lang w:val="fr-FR"/>
              </w:rPr>
              <w:t xml:space="preserve"> à travers le projet PBF/GIN/D-7</w:t>
            </w:r>
            <w:r>
              <w:rPr>
                <w:lang w:val="fr-FR"/>
              </w:rPr>
              <w:t xml:space="preserve"> avant le passage à l’échelle </w:t>
            </w:r>
          </w:p>
        </w:tc>
      </w:tr>
      <w:tr w:rsidR="00A94D7E" w:rsidRPr="00364CC4" w14:paraId="57AC789B" w14:textId="77777777" w:rsidTr="008B4C3D">
        <w:trPr>
          <w:trHeight w:val="458"/>
          <w:jc w:val="center"/>
        </w:trPr>
        <w:tc>
          <w:tcPr>
            <w:tcW w:w="1530" w:type="dxa"/>
          </w:tcPr>
          <w:p w14:paraId="1A1C6F77" w14:textId="77777777" w:rsidR="00A94D7E" w:rsidRPr="005A6420" w:rsidRDefault="00A94D7E" w:rsidP="00826923">
            <w:pPr>
              <w:rPr>
                <w:rFonts w:cs="Tahoma"/>
                <w:b/>
                <w:szCs w:val="20"/>
                <w:lang w:val="fr-FR" w:eastAsia="en-US"/>
              </w:rPr>
            </w:pPr>
          </w:p>
        </w:tc>
        <w:tc>
          <w:tcPr>
            <w:tcW w:w="2070" w:type="dxa"/>
            <w:shd w:val="clear" w:color="auto" w:fill="EEECE1"/>
          </w:tcPr>
          <w:p w14:paraId="4FECE166" w14:textId="0A65DAB0" w:rsidR="00A94D7E" w:rsidRPr="005A6420" w:rsidRDefault="00A94D7E" w:rsidP="00826923">
            <w:pPr>
              <w:jc w:val="both"/>
              <w:rPr>
                <w:rFonts w:cs="Tahoma"/>
                <w:szCs w:val="20"/>
                <w:lang w:val="fr-FR" w:eastAsia="en-US"/>
              </w:rPr>
            </w:pPr>
            <w:r w:rsidRPr="00A94D7E">
              <w:rPr>
                <w:lang w:val="fr-FR"/>
              </w:rPr>
              <w:t xml:space="preserve">Indicateur 3.3.3.: Les outils de travail et d’action </w:t>
            </w:r>
            <w:r w:rsidRPr="00A94D7E">
              <w:rPr>
                <w:lang w:val="fr-FR"/>
              </w:rPr>
              <w:lastRenderedPageBreak/>
              <w:t>des ISP sont élaborés et édités</w:t>
            </w:r>
          </w:p>
        </w:tc>
        <w:tc>
          <w:tcPr>
            <w:tcW w:w="1530" w:type="dxa"/>
            <w:shd w:val="clear" w:color="auto" w:fill="EEECE1"/>
          </w:tcPr>
          <w:p w14:paraId="4D8FF699" w14:textId="77777777" w:rsidR="00A94D7E" w:rsidRPr="005A6420" w:rsidRDefault="00A94D7E" w:rsidP="00826923">
            <w:pPr>
              <w:rPr>
                <w:b/>
                <w:sz w:val="22"/>
                <w:szCs w:val="22"/>
                <w:lang w:val="fr-FR" w:eastAsia="en-US"/>
              </w:rPr>
            </w:pPr>
          </w:p>
        </w:tc>
        <w:tc>
          <w:tcPr>
            <w:tcW w:w="1620" w:type="dxa"/>
            <w:shd w:val="clear" w:color="auto" w:fill="EEECE1"/>
          </w:tcPr>
          <w:p w14:paraId="26F41EAE" w14:textId="77777777" w:rsidR="00A94D7E" w:rsidRPr="005A6420" w:rsidRDefault="00A94D7E" w:rsidP="00826923">
            <w:pPr>
              <w:rPr>
                <w:b/>
                <w:sz w:val="22"/>
                <w:szCs w:val="22"/>
                <w:lang w:val="fr-FR" w:eastAsia="en-US"/>
              </w:rPr>
            </w:pPr>
          </w:p>
        </w:tc>
        <w:tc>
          <w:tcPr>
            <w:tcW w:w="2070" w:type="dxa"/>
          </w:tcPr>
          <w:p w14:paraId="7E49BD8B" w14:textId="77777777" w:rsidR="00A94D7E" w:rsidRPr="005A6420" w:rsidRDefault="00A94D7E" w:rsidP="00826923">
            <w:pPr>
              <w:rPr>
                <w:b/>
                <w:sz w:val="22"/>
                <w:szCs w:val="22"/>
                <w:lang w:val="fr-FR" w:eastAsia="en-US"/>
              </w:rPr>
            </w:pPr>
          </w:p>
        </w:tc>
        <w:tc>
          <w:tcPr>
            <w:tcW w:w="2070" w:type="dxa"/>
          </w:tcPr>
          <w:p w14:paraId="6DF97082" w14:textId="77777777" w:rsidR="00A94D7E" w:rsidRDefault="00A94D7E" w:rsidP="00826923">
            <w:pPr>
              <w:rPr>
                <w:b/>
                <w:sz w:val="22"/>
                <w:szCs w:val="22"/>
                <w:lang w:val="fr-FR" w:eastAsia="en-US"/>
              </w:rPr>
            </w:pPr>
          </w:p>
        </w:tc>
        <w:tc>
          <w:tcPr>
            <w:tcW w:w="4140" w:type="dxa"/>
          </w:tcPr>
          <w:p w14:paraId="155E248A" w14:textId="77777777" w:rsidR="00A94D7E" w:rsidRPr="00A94D7E" w:rsidRDefault="00A94D7E" w:rsidP="00826923">
            <w:pPr>
              <w:rPr>
                <w:lang w:val="fr-FR"/>
              </w:rPr>
            </w:pPr>
          </w:p>
        </w:tc>
      </w:tr>
      <w:tr w:rsidR="00A94D7E" w:rsidRPr="00364CC4" w14:paraId="501FAC40" w14:textId="77777777" w:rsidTr="008B4C3D">
        <w:trPr>
          <w:trHeight w:val="458"/>
          <w:jc w:val="center"/>
        </w:trPr>
        <w:tc>
          <w:tcPr>
            <w:tcW w:w="1530" w:type="dxa"/>
          </w:tcPr>
          <w:p w14:paraId="52740234" w14:textId="77777777" w:rsidR="00A94D7E" w:rsidRPr="005A6420" w:rsidRDefault="00A94D7E" w:rsidP="00826923">
            <w:pPr>
              <w:rPr>
                <w:rFonts w:cs="Tahoma"/>
                <w:b/>
                <w:szCs w:val="20"/>
                <w:lang w:val="fr-FR" w:eastAsia="en-US"/>
              </w:rPr>
            </w:pPr>
          </w:p>
        </w:tc>
        <w:tc>
          <w:tcPr>
            <w:tcW w:w="2070" w:type="dxa"/>
            <w:shd w:val="clear" w:color="auto" w:fill="EEECE1"/>
          </w:tcPr>
          <w:p w14:paraId="478577D5" w14:textId="559F2FCE" w:rsidR="00A94D7E" w:rsidRPr="00A94D7E" w:rsidRDefault="00A94D7E" w:rsidP="00826923">
            <w:pPr>
              <w:jc w:val="both"/>
              <w:rPr>
                <w:lang w:val="fr-FR"/>
              </w:rPr>
            </w:pPr>
            <w:r w:rsidRPr="00A94D7E">
              <w:rPr>
                <w:lang w:val="fr-FR" w:eastAsia="en-US"/>
              </w:rPr>
              <w:t>Indicateur 3.3.4 : Nombre de membres des ISP formés sur le</w:t>
            </w:r>
            <w:r w:rsidR="00A12D52">
              <w:rPr>
                <w:lang w:val="fr-FR" w:eastAsia="en-US"/>
              </w:rPr>
              <w:t>ur</w:t>
            </w:r>
            <w:r w:rsidRPr="00A94D7E">
              <w:rPr>
                <w:lang w:val="fr-FR" w:eastAsia="en-US"/>
              </w:rPr>
              <w:t>s missions et rôle</w:t>
            </w:r>
            <w:r w:rsidR="00A12D52">
              <w:rPr>
                <w:lang w:val="fr-FR" w:eastAsia="en-US"/>
              </w:rPr>
              <w:t>s</w:t>
            </w:r>
            <w:r w:rsidRPr="00A94D7E">
              <w:rPr>
                <w:lang w:val="fr-FR" w:eastAsia="en-US"/>
              </w:rPr>
              <w:t xml:space="preserve"> </w:t>
            </w:r>
          </w:p>
        </w:tc>
        <w:tc>
          <w:tcPr>
            <w:tcW w:w="1530" w:type="dxa"/>
            <w:shd w:val="clear" w:color="auto" w:fill="EEECE1"/>
          </w:tcPr>
          <w:p w14:paraId="6652F247" w14:textId="77777777" w:rsidR="00A94D7E" w:rsidRPr="005A6420" w:rsidRDefault="00A94D7E" w:rsidP="00826923">
            <w:pPr>
              <w:rPr>
                <w:b/>
                <w:sz w:val="22"/>
                <w:szCs w:val="22"/>
                <w:lang w:val="fr-FR" w:eastAsia="en-US"/>
              </w:rPr>
            </w:pPr>
          </w:p>
        </w:tc>
        <w:tc>
          <w:tcPr>
            <w:tcW w:w="1620" w:type="dxa"/>
            <w:shd w:val="clear" w:color="auto" w:fill="EEECE1"/>
          </w:tcPr>
          <w:p w14:paraId="17258E13" w14:textId="77777777" w:rsidR="00A94D7E" w:rsidRPr="005A6420" w:rsidRDefault="00A94D7E" w:rsidP="00826923">
            <w:pPr>
              <w:rPr>
                <w:b/>
                <w:sz w:val="22"/>
                <w:szCs w:val="22"/>
                <w:lang w:val="fr-FR" w:eastAsia="en-US"/>
              </w:rPr>
            </w:pPr>
          </w:p>
        </w:tc>
        <w:tc>
          <w:tcPr>
            <w:tcW w:w="2070" w:type="dxa"/>
          </w:tcPr>
          <w:p w14:paraId="16C8212F" w14:textId="77777777" w:rsidR="00A94D7E" w:rsidRPr="005A6420" w:rsidRDefault="00A94D7E" w:rsidP="00826923">
            <w:pPr>
              <w:rPr>
                <w:b/>
                <w:sz w:val="22"/>
                <w:szCs w:val="22"/>
                <w:lang w:val="fr-FR" w:eastAsia="en-US"/>
              </w:rPr>
            </w:pPr>
          </w:p>
        </w:tc>
        <w:tc>
          <w:tcPr>
            <w:tcW w:w="2070" w:type="dxa"/>
          </w:tcPr>
          <w:p w14:paraId="16ADB6FB" w14:textId="77777777" w:rsidR="00A94D7E" w:rsidRDefault="00A94D7E" w:rsidP="00826923">
            <w:pPr>
              <w:rPr>
                <w:b/>
                <w:sz w:val="22"/>
                <w:szCs w:val="22"/>
                <w:lang w:val="fr-FR" w:eastAsia="en-US"/>
              </w:rPr>
            </w:pPr>
          </w:p>
        </w:tc>
        <w:tc>
          <w:tcPr>
            <w:tcW w:w="4140" w:type="dxa"/>
          </w:tcPr>
          <w:p w14:paraId="215189C9" w14:textId="406EEE6F" w:rsidR="00A94D7E" w:rsidRPr="00A94D7E" w:rsidRDefault="00A94D7E" w:rsidP="00826923">
            <w:pPr>
              <w:rPr>
                <w:lang w:val="fr-FR"/>
              </w:rPr>
            </w:pPr>
            <w:r w:rsidRPr="00A94D7E">
              <w:rPr>
                <w:lang w:val="fr-FR"/>
              </w:rPr>
              <w:t>La stratégie n'a été adoptée qu'en avril 2019</w:t>
            </w:r>
          </w:p>
        </w:tc>
      </w:tr>
    </w:tbl>
    <w:p w14:paraId="3F1ED818" w14:textId="77777777" w:rsidR="00675507" w:rsidRPr="009912F8" w:rsidRDefault="00675507" w:rsidP="0078600B">
      <w:pPr>
        <w:jc w:val="both"/>
        <w:rPr>
          <w:b/>
          <w:lang w:val="fr-FR" w:eastAsia="en-US"/>
        </w:rPr>
      </w:pPr>
    </w:p>
    <w:sectPr w:rsidR="00675507" w:rsidRPr="009912F8"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1B690" w14:textId="77777777" w:rsidR="00963378" w:rsidRDefault="00963378" w:rsidP="00E76CA1">
      <w:r>
        <w:separator/>
      </w:r>
    </w:p>
  </w:endnote>
  <w:endnote w:type="continuationSeparator" w:id="0">
    <w:p w14:paraId="78545A75" w14:textId="77777777" w:rsidR="00963378" w:rsidRDefault="0096337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Italic">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364CC4" w:rsidRDefault="00364CC4">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364CC4" w:rsidRDefault="00364C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BAB1A" w14:textId="77777777" w:rsidR="00963378" w:rsidRDefault="00963378" w:rsidP="00E76CA1">
      <w:r>
        <w:separator/>
      </w:r>
    </w:p>
  </w:footnote>
  <w:footnote w:type="continuationSeparator" w:id="0">
    <w:p w14:paraId="03C02B0A" w14:textId="77777777" w:rsidR="00963378" w:rsidRDefault="0096337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364CC4" w:rsidRDefault="00364CC4">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5FD9801A">
          <wp:simplePos x="0" y="0"/>
          <wp:positionH relativeFrom="column">
            <wp:posOffset>8547100</wp:posOffset>
          </wp:positionH>
          <wp:positionV relativeFrom="paragraph">
            <wp:posOffset>-367665</wp:posOffset>
          </wp:positionV>
          <wp:extent cx="965200" cy="979614"/>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979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633188D"/>
    <w:multiLevelType w:val="hybridMultilevel"/>
    <w:tmpl w:val="3FB6BD4C"/>
    <w:lvl w:ilvl="0" w:tplc="BCD6FDC0">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8"/>
  </w:num>
  <w:num w:numId="7">
    <w:abstractNumId w:val="36"/>
  </w:num>
  <w:num w:numId="8">
    <w:abstractNumId w:val="46"/>
  </w:num>
  <w:num w:numId="9">
    <w:abstractNumId w:val="17"/>
  </w:num>
  <w:num w:numId="10">
    <w:abstractNumId w:val="31"/>
  </w:num>
  <w:num w:numId="11">
    <w:abstractNumId w:val="4"/>
  </w:num>
  <w:num w:numId="12">
    <w:abstractNumId w:val="32"/>
  </w:num>
  <w:num w:numId="13">
    <w:abstractNumId w:val="35"/>
  </w:num>
  <w:num w:numId="14">
    <w:abstractNumId w:val="45"/>
  </w:num>
  <w:num w:numId="15">
    <w:abstractNumId w:val="41"/>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2"/>
  </w:num>
  <w:num w:numId="24">
    <w:abstractNumId w:val="15"/>
  </w:num>
  <w:num w:numId="25">
    <w:abstractNumId w:val="24"/>
  </w:num>
  <w:num w:numId="26">
    <w:abstractNumId w:val="47"/>
  </w:num>
  <w:num w:numId="27">
    <w:abstractNumId w:val="19"/>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7"/>
  </w:num>
  <w:num w:numId="40">
    <w:abstractNumId w:val="3"/>
  </w:num>
  <w:num w:numId="41">
    <w:abstractNumId w:val="21"/>
  </w:num>
  <w:num w:numId="42">
    <w:abstractNumId w:val="22"/>
  </w:num>
  <w:num w:numId="43">
    <w:abstractNumId w:val="33"/>
  </w:num>
  <w:num w:numId="44">
    <w:abstractNumId w:val="43"/>
  </w:num>
  <w:num w:numId="45">
    <w:abstractNumId w:val="10"/>
  </w:num>
  <w:num w:numId="46">
    <w:abstractNumId w:val="40"/>
  </w:num>
  <w:num w:numId="47">
    <w:abstractNumId w:val="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B55"/>
    <w:rsid w:val="000022C4"/>
    <w:rsid w:val="00002815"/>
    <w:rsid w:val="00005737"/>
    <w:rsid w:val="00006DBE"/>
    <w:rsid w:val="00006EC0"/>
    <w:rsid w:val="00010EB0"/>
    <w:rsid w:val="0001109A"/>
    <w:rsid w:val="00013D36"/>
    <w:rsid w:val="00013D69"/>
    <w:rsid w:val="00014B13"/>
    <w:rsid w:val="00022522"/>
    <w:rsid w:val="00025EFA"/>
    <w:rsid w:val="000263D6"/>
    <w:rsid w:val="00031640"/>
    <w:rsid w:val="00045C24"/>
    <w:rsid w:val="00050759"/>
    <w:rsid w:val="00051F71"/>
    <w:rsid w:val="0005216F"/>
    <w:rsid w:val="00052745"/>
    <w:rsid w:val="00052DE5"/>
    <w:rsid w:val="000554F8"/>
    <w:rsid w:val="00056D05"/>
    <w:rsid w:val="00063017"/>
    <w:rsid w:val="00066B9B"/>
    <w:rsid w:val="000731D0"/>
    <w:rsid w:val="00075D98"/>
    <w:rsid w:val="0008134A"/>
    <w:rsid w:val="0008233D"/>
    <w:rsid w:val="00082738"/>
    <w:rsid w:val="00084F64"/>
    <w:rsid w:val="00091CFD"/>
    <w:rsid w:val="00092442"/>
    <w:rsid w:val="000A45F4"/>
    <w:rsid w:val="000A4660"/>
    <w:rsid w:val="000A51DA"/>
    <w:rsid w:val="000A62DC"/>
    <w:rsid w:val="000A6719"/>
    <w:rsid w:val="000B4E5C"/>
    <w:rsid w:val="000B7954"/>
    <w:rsid w:val="000C7EA0"/>
    <w:rsid w:val="000D4F4B"/>
    <w:rsid w:val="000E05AE"/>
    <w:rsid w:val="000E27BE"/>
    <w:rsid w:val="000E6A96"/>
    <w:rsid w:val="000E750F"/>
    <w:rsid w:val="000F05A2"/>
    <w:rsid w:val="000F13B1"/>
    <w:rsid w:val="000F43A8"/>
    <w:rsid w:val="00102C0E"/>
    <w:rsid w:val="00112741"/>
    <w:rsid w:val="00113D2B"/>
    <w:rsid w:val="00113EC4"/>
    <w:rsid w:val="00116449"/>
    <w:rsid w:val="0011666C"/>
    <w:rsid w:val="00120861"/>
    <w:rsid w:val="00121B2D"/>
    <w:rsid w:val="001307FA"/>
    <w:rsid w:val="00131824"/>
    <w:rsid w:val="00136B32"/>
    <w:rsid w:val="00137190"/>
    <w:rsid w:val="001444EE"/>
    <w:rsid w:val="00145766"/>
    <w:rsid w:val="001458E9"/>
    <w:rsid w:val="00153CD9"/>
    <w:rsid w:val="00156AFA"/>
    <w:rsid w:val="00156C4C"/>
    <w:rsid w:val="00157BF2"/>
    <w:rsid w:val="001607B2"/>
    <w:rsid w:val="0016088D"/>
    <w:rsid w:val="00161D02"/>
    <w:rsid w:val="0016319A"/>
    <w:rsid w:val="00171856"/>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497B"/>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2E72"/>
    <w:rsid w:val="003235DF"/>
    <w:rsid w:val="00323ABC"/>
    <w:rsid w:val="00324A7C"/>
    <w:rsid w:val="00324FE5"/>
    <w:rsid w:val="00333EC9"/>
    <w:rsid w:val="0033515C"/>
    <w:rsid w:val="00336BF8"/>
    <w:rsid w:val="00342356"/>
    <w:rsid w:val="00343425"/>
    <w:rsid w:val="0034386B"/>
    <w:rsid w:val="00346D73"/>
    <w:rsid w:val="003473C6"/>
    <w:rsid w:val="00355C69"/>
    <w:rsid w:val="0035647E"/>
    <w:rsid w:val="0035676B"/>
    <w:rsid w:val="0036386A"/>
    <w:rsid w:val="00364CC4"/>
    <w:rsid w:val="00366549"/>
    <w:rsid w:val="00372156"/>
    <w:rsid w:val="003722AE"/>
    <w:rsid w:val="0037561F"/>
    <w:rsid w:val="0037563A"/>
    <w:rsid w:val="00380849"/>
    <w:rsid w:val="003818DB"/>
    <w:rsid w:val="003834CD"/>
    <w:rsid w:val="00383908"/>
    <w:rsid w:val="0038773D"/>
    <w:rsid w:val="00391614"/>
    <w:rsid w:val="003966E6"/>
    <w:rsid w:val="003968D7"/>
    <w:rsid w:val="003A0013"/>
    <w:rsid w:val="003A613D"/>
    <w:rsid w:val="003A6341"/>
    <w:rsid w:val="003B3A5F"/>
    <w:rsid w:val="003B4F6E"/>
    <w:rsid w:val="003B5338"/>
    <w:rsid w:val="003C5283"/>
    <w:rsid w:val="003C5CC6"/>
    <w:rsid w:val="003D12C7"/>
    <w:rsid w:val="003D228B"/>
    <w:rsid w:val="003D2D3A"/>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276F9"/>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3333"/>
    <w:rsid w:val="004A49E6"/>
    <w:rsid w:val="004B1E1E"/>
    <w:rsid w:val="004B5601"/>
    <w:rsid w:val="004B5B20"/>
    <w:rsid w:val="004C3DC3"/>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0D54"/>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E3B28"/>
    <w:rsid w:val="005F0CC2"/>
    <w:rsid w:val="005F3B93"/>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360B"/>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6ADB"/>
    <w:rsid w:val="006E7CF8"/>
    <w:rsid w:val="006F0257"/>
    <w:rsid w:val="006F0654"/>
    <w:rsid w:val="006F08DA"/>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36709"/>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3D5C"/>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7A89"/>
    <w:rsid w:val="00852BC7"/>
    <w:rsid w:val="00853068"/>
    <w:rsid w:val="00857E2F"/>
    <w:rsid w:val="00861669"/>
    <w:rsid w:val="008632DB"/>
    <w:rsid w:val="008640A5"/>
    <w:rsid w:val="00865821"/>
    <w:rsid w:val="00865AFA"/>
    <w:rsid w:val="00865FA0"/>
    <w:rsid w:val="008664A8"/>
    <w:rsid w:val="00866E96"/>
    <w:rsid w:val="00874634"/>
    <w:rsid w:val="00875EA5"/>
    <w:rsid w:val="00876B5B"/>
    <w:rsid w:val="00881D4B"/>
    <w:rsid w:val="00891AE7"/>
    <w:rsid w:val="008A1155"/>
    <w:rsid w:val="008A3181"/>
    <w:rsid w:val="008B1B75"/>
    <w:rsid w:val="008B3518"/>
    <w:rsid w:val="008B4C3D"/>
    <w:rsid w:val="008B5A12"/>
    <w:rsid w:val="008B7E23"/>
    <w:rsid w:val="008C782A"/>
    <w:rsid w:val="008E1083"/>
    <w:rsid w:val="008E3872"/>
    <w:rsid w:val="008E6CE8"/>
    <w:rsid w:val="008E729D"/>
    <w:rsid w:val="008F2C23"/>
    <w:rsid w:val="008F5112"/>
    <w:rsid w:val="008F6703"/>
    <w:rsid w:val="00900D78"/>
    <w:rsid w:val="00901C1E"/>
    <w:rsid w:val="00910FE1"/>
    <w:rsid w:val="0091229B"/>
    <w:rsid w:val="00912D25"/>
    <w:rsid w:val="00915C96"/>
    <w:rsid w:val="00915D77"/>
    <w:rsid w:val="00916DF8"/>
    <w:rsid w:val="00916E28"/>
    <w:rsid w:val="0091758E"/>
    <w:rsid w:val="009216A8"/>
    <w:rsid w:val="00921C68"/>
    <w:rsid w:val="0092673B"/>
    <w:rsid w:val="0093134E"/>
    <w:rsid w:val="00931786"/>
    <w:rsid w:val="00937ABE"/>
    <w:rsid w:val="00945925"/>
    <w:rsid w:val="00946339"/>
    <w:rsid w:val="00952DE4"/>
    <w:rsid w:val="009568EF"/>
    <w:rsid w:val="00956B79"/>
    <w:rsid w:val="00963378"/>
    <w:rsid w:val="00965F6B"/>
    <w:rsid w:val="00970107"/>
    <w:rsid w:val="00970F4C"/>
    <w:rsid w:val="0097130A"/>
    <w:rsid w:val="00974D94"/>
    <w:rsid w:val="009774FE"/>
    <w:rsid w:val="009832F8"/>
    <w:rsid w:val="009839DA"/>
    <w:rsid w:val="00985E49"/>
    <w:rsid w:val="009912F8"/>
    <w:rsid w:val="00991418"/>
    <w:rsid w:val="00994476"/>
    <w:rsid w:val="00994B0E"/>
    <w:rsid w:val="0099700D"/>
    <w:rsid w:val="00997347"/>
    <w:rsid w:val="009A012A"/>
    <w:rsid w:val="009A1CD3"/>
    <w:rsid w:val="009A44A4"/>
    <w:rsid w:val="009A4A5D"/>
    <w:rsid w:val="009A5EEF"/>
    <w:rsid w:val="009A7206"/>
    <w:rsid w:val="009B18EB"/>
    <w:rsid w:val="009B5D1A"/>
    <w:rsid w:val="009C153E"/>
    <w:rsid w:val="009C28DE"/>
    <w:rsid w:val="009C2C5E"/>
    <w:rsid w:val="009D0838"/>
    <w:rsid w:val="009D0C9F"/>
    <w:rsid w:val="009D10B2"/>
    <w:rsid w:val="009D1215"/>
    <w:rsid w:val="009D2543"/>
    <w:rsid w:val="009D2E92"/>
    <w:rsid w:val="009D34F2"/>
    <w:rsid w:val="009D64E4"/>
    <w:rsid w:val="009E20F1"/>
    <w:rsid w:val="009E38EA"/>
    <w:rsid w:val="009E5594"/>
    <w:rsid w:val="009F517D"/>
    <w:rsid w:val="009F6554"/>
    <w:rsid w:val="009F7F98"/>
    <w:rsid w:val="00A02A9B"/>
    <w:rsid w:val="00A02F58"/>
    <w:rsid w:val="00A032AE"/>
    <w:rsid w:val="00A10DAC"/>
    <w:rsid w:val="00A12D52"/>
    <w:rsid w:val="00A31988"/>
    <w:rsid w:val="00A34FE2"/>
    <w:rsid w:val="00A35FDA"/>
    <w:rsid w:val="00A360E8"/>
    <w:rsid w:val="00A3658C"/>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4D7E"/>
    <w:rsid w:val="00A96579"/>
    <w:rsid w:val="00A9791E"/>
    <w:rsid w:val="00AA1DFA"/>
    <w:rsid w:val="00AA363D"/>
    <w:rsid w:val="00AA7C77"/>
    <w:rsid w:val="00AB1368"/>
    <w:rsid w:val="00AB37F4"/>
    <w:rsid w:val="00AB6561"/>
    <w:rsid w:val="00AB6BAD"/>
    <w:rsid w:val="00AC433F"/>
    <w:rsid w:val="00AC4B04"/>
    <w:rsid w:val="00AC5D55"/>
    <w:rsid w:val="00AD0A31"/>
    <w:rsid w:val="00AD16CD"/>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6401E"/>
    <w:rsid w:val="00B652A1"/>
    <w:rsid w:val="00B702C0"/>
    <w:rsid w:val="00B735DD"/>
    <w:rsid w:val="00B737D1"/>
    <w:rsid w:val="00B7459B"/>
    <w:rsid w:val="00B749E2"/>
    <w:rsid w:val="00B74CE9"/>
    <w:rsid w:val="00B7553C"/>
    <w:rsid w:val="00B75C20"/>
    <w:rsid w:val="00B82635"/>
    <w:rsid w:val="00B82C51"/>
    <w:rsid w:val="00B91F39"/>
    <w:rsid w:val="00BA4F96"/>
    <w:rsid w:val="00BA5D85"/>
    <w:rsid w:val="00BA6688"/>
    <w:rsid w:val="00BA6F4B"/>
    <w:rsid w:val="00BB2636"/>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4D17"/>
    <w:rsid w:val="00C0670D"/>
    <w:rsid w:val="00C07A0C"/>
    <w:rsid w:val="00C107F6"/>
    <w:rsid w:val="00C12D6A"/>
    <w:rsid w:val="00C13590"/>
    <w:rsid w:val="00C145CF"/>
    <w:rsid w:val="00C221D7"/>
    <w:rsid w:val="00C2331C"/>
    <w:rsid w:val="00C27302"/>
    <w:rsid w:val="00C30188"/>
    <w:rsid w:val="00C30F72"/>
    <w:rsid w:val="00C312C0"/>
    <w:rsid w:val="00C37A65"/>
    <w:rsid w:val="00C41926"/>
    <w:rsid w:val="00C42FB9"/>
    <w:rsid w:val="00C52BDA"/>
    <w:rsid w:val="00C578BE"/>
    <w:rsid w:val="00C61129"/>
    <w:rsid w:val="00C640B2"/>
    <w:rsid w:val="00C72CF8"/>
    <w:rsid w:val="00C74E37"/>
    <w:rsid w:val="00C846A4"/>
    <w:rsid w:val="00C847EE"/>
    <w:rsid w:val="00C853D5"/>
    <w:rsid w:val="00C96336"/>
    <w:rsid w:val="00CA1B43"/>
    <w:rsid w:val="00CA622F"/>
    <w:rsid w:val="00CA6C99"/>
    <w:rsid w:val="00CB02F7"/>
    <w:rsid w:val="00CB25A2"/>
    <w:rsid w:val="00CB4867"/>
    <w:rsid w:val="00CB4B5C"/>
    <w:rsid w:val="00CC2015"/>
    <w:rsid w:val="00CC26EB"/>
    <w:rsid w:val="00CC59E5"/>
    <w:rsid w:val="00CD2F67"/>
    <w:rsid w:val="00CD3754"/>
    <w:rsid w:val="00CD5E04"/>
    <w:rsid w:val="00CD5E74"/>
    <w:rsid w:val="00CE0239"/>
    <w:rsid w:val="00CE132D"/>
    <w:rsid w:val="00CE3BEA"/>
    <w:rsid w:val="00CE499C"/>
    <w:rsid w:val="00CE7C3A"/>
    <w:rsid w:val="00CF04AE"/>
    <w:rsid w:val="00D016CC"/>
    <w:rsid w:val="00D03D06"/>
    <w:rsid w:val="00D06A43"/>
    <w:rsid w:val="00D079BC"/>
    <w:rsid w:val="00D12CC9"/>
    <w:rsid w:val="00D13792"/>
    <w:rsid w:val="00D147C9"/>
    <w:rsid w:val="00D215E4"/>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EC5"/>
    <w:rsid w:val="00D755D9"/>
    <w:rsid w:val="00D76947"/>
    <w:rsid w:val="00D82C29"/>
    <w:rsid w:val="00D84A39"/>
    <w:rsid w:val="00D85131"/>
    <w:rsid w:val="00DA064C"/>
    <w:rsid w:val="00DA2795"/>
    <w:rsid w:val="00DA2CD8"/>
    <w:rsid w:val="00DA7B93"/>
    <w:rsid w:val="00DC1151"/>
    <w:rsid w:val="00DC3579"/>
    <w:rsid w:val="00DC3612"/>
    <w:rsid w:val="00DC4D0A"/>
    <w:rsid w:val="00DC5066"/>
    <w:rsid w:val="00DE2383"/>
    <w:rsid w:val="00DF3624"/>
    <w:rsid w:val="00DF5EB7"/>
    <w:rsid w:val="00DF5FD1"/>
    <w:rsid w:val="00DF6A23"/>
    <w:rsid w:val="00E021C1"/>
    <w:rsid w:val="00E04A24"/>
    <w:rsid w:val="00E0564D"/>
    <w:rsid w:val="00E07987"/>
    <w:rsid w:val="00E10926"/>
    <w:rsid w:val="00E13590"/>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14D4"/>
    <w:rsid w:val="00E84BB9"/>
    <w:rsid w:val="00E84FA2"/>
    <w:rsid w:val="00E876A0"/>
    <w:rsid w:val="00E928D7"/>
    <w:rsid w:val="00E97C4A"/>
    <w:rsid w:val="00EA0448"/>
    <w:rsid w:val="00EA13D1"/>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0A57"/>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48AF"/>
    <w:rsid w:val="00FB5C17"/>
    <w:rsid w:val="00FC14D4"/>
    <w:rsid w:val="00FC1C72"/>
    <w:rsid w:val="00FC5060"/>
    <w:rsid w:val="00FC7475"/>
    <w:rsid w:val="00FD00AA"/>
    <w:rsid w:val="00FD0B1C"/>
    <w:rsid w:val="00FD2745"/>
    <w:rsid w:val="00FD7A4A"/>
    <w:rsid w:val="00FE2242"/>
    <w:rsid w:val="00FE41B0"/>
    <w:rsid w:val="00FE63C1"/>
    <w:rsid w:val="00FE7A43"/>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D8D7F4-0A72-451B-9E9E-3C2518E7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4412</Words>
  <Characters>24268</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Ibrahima Barry</cp:lastModifiedBy>
  <cp:revision>2</cp:revision>
  <cp:lastPrinted>2014-02-10T17:12:00Z</cp:lastPrinted>
  <dcterms:created xsi:type="dcterms:W3CDTF">2020-09-10T16:05:00Z</dcterms:created>
  <dcterms:modified xsi:type="dcterms:W3CDTF">2020-09-10T16:05:00Z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