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C90E06" w:rsidRDefault="00527E52" w:rsidP="007C288F">
      <w:pPr>
        <w:rPr>
          <w:b/>
        </w:rPr>
      </w:pPr>
      <w:r w:rsidRPr="00C90E06">
        <w:rPr>
          <w:b/>
          <w:noProof/>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C90E06">
        <w:rPr>
          <w:b/>
        </w:rPr>
        <w:tab/>
      </w:r>
    </w:p>
    <w:p w14:paraId="0C2587EF" w14:textId="77777777" w:rsidR="00CB02F7" w:rsidRPr="00C90E06" w:rsidRDefault="00B12FB8" w:rsidP="007C288F">
      <w:pPr>
        <w:numPr>
          <w:ilvl w:val="12"/>
          <w:numId w:val="0"/>
        </w:numPr>
        <w:tabs>
          <w:tab w:val="left" w:pos="0"/>
        </w:tabs>
        <w:suppressAutoHyphens/>
        <w:rPr>
          <w:b/>
          <w:bCs/>
          <w:caps/>
        </w:rPr>
      </w:pPr>
      <w:r w:rsidRPr="00C90E06">
        <w:rPr>
          <w:spacing w:val="-3"/>
        </w:rPr>
        <w:t xml:space="preserve"> </w:t>
      </w:r>
      <w:r w:rsidRPr="00C90E06">
        <w:rPr>
          <w:spacing w:val="-3"/>
        </w:rPr>
        <w:tab/>
      </w:r>
      <w:r w:rsidRPr="00C90E06">
        <w:rPr>
          <w:spacing w:val="-3"/>
        </w:rPr>
        <w:tab/>
      </w:r>
      <w:r w:rsidR="00ED6399" w:rsidRPr="00C90E06">
        <w:rPr>
          <w:spacing w:val="-3"/>
        </w:rPr>
        <w:tab/>
      </w:r>
      <w:r w:rsidR="00793DE6" w:rsidRPr="00C90E06">
        <w:rPr>
          <w:b/>
        </w:rPr>
        <w:t>PBF</w:t>
      </w:r>
      <w:r w:rsidR="008640A5" w:rsidRPr="00C90E06">
        <w:rPr>
          <w:b/>
        </w:rPr>
        <w:t xml:space="preserve"> </w:t>
      </w:r>
      <w:r w:rsidR="00CB02F7" w:rsidRPr="00C90E06">
        <w:rPr>
          <w:b/>
          <w:bCs/>
          <w:caps/>
        </w:rPr>
        <w:t>PROJECT progress report</w:t>
      </w:r>
    </w:p>
    <w:p w14:paraId="16DC9E23" w14:textId="4F8E96C4" w:rsidR="00CB02F7" w:rsidRPr="00C90E06" w:rsidRDefault="00CB02F7" w:rsidP="008364E5">
      <w:pPr>
        <w:jc w:val="center"/>
        <w:rPr>
          <w:b/>
          <w:bCs/>
          <w:caps/>
        </w:rPr>
      </w:pPr>
      <w:r w:rsidRPr="00C90E06">
        <w:rPr>
          <w:b/>
          <w:bCs/>
          <w:caps/>
        </w:rPr>
        <w:t>COUNTRY:</w:t>
      </w:r>
      <w:r w:rsidR="00A47DDA" w:rsidRPr="00C90E06">
        <w:rPr>
          <w:bCs/>
          <w:iCs/>
          <w:snapToGrid w:val="0"/>
        </w:rPr>
        <w:t xml:space="preserve"> </w:t>
      </w:r>
      <w:r w:rsidR="003B3AA2" w:rsidRPr="00C90E06">
        <w:rPr>
          <w:bCs/>
          <w:iCs/>
          <w:snapToGrid w:val="0"/>
        </w:rPr>
        <w:fldChar w:fldCharType="begin">
          <w:ffData>
            <w:name w:val=""/>
            <w:enabled/>
            <w:calcOnExit w:val="0"/>
            <w:textInput>
              <w:default w:val="South Sudan"/>
              <w:format w:val="FIRST CAPITAL"/>
            </w:textInput>
          </w:ffData>
        </w:fldChar>
      </w:r>
      <w:r w:rsidR="003B3AA2" w:rsidRPr="00C90E06">
        <w:rPr>
          <w:bCs/>
          <w:iCs/>
          <w:snapToGrid w:val="0"/>
        </w:rPr>
        <w:instrText xml:space="preserve"> FORMTEXT </w:instrText>
      </w:r>
      <w:r w:rsidR="003B3AA2" w:rsidRPr="00C90E06">
        <w:rPr>
          <w:bCs/>
          <w:iCs/>
          <w:snapToGrid w:val="0"/>
        </w:rPr>
      </w:r>
      <w:r w:rsidR="003B3AA2" w:rsidRPr="00C90E06">
        <w:rPr>
          <w:bCs/>
          <w:iCs/>
          <w:snapToGrid w:val="0"/>
        </w:rPr>
        <w:fldChar w:fldCharType="separate"/>
      </w:r>
      <w:r w:rsidR="003B3AA2" w:rsidRPr="00C90E06">
        <w:rPr>
          <w:bCs/>
          <w:iCs/>
          <w:noProof/>
          <w:snapToGrid w:val="0"/>
        </w:rPr>
        <w:t>South Sudan</w:t>
      </w:r>
      <w:r w:rsidR="003B3AA2" w:rsidRPr="00C90E06">
        <w:rPr>
          <w:bCs/>
          <w:iCs/>
          <w:snapToGrid w:val="0"/>
        </w:rPr>
        <w:fldChar w:fldCharType="end"/>
      </w:r>
    </w:p>
    <w:p w14:paraId="28AB750A" w14:textId="131B73EB" w:rsidR="008640A5" w:rsidRPr="00C90E06" w:rsidRDefault="008640A5" w:rsidP="008364E5">
      <w:pPr>
        <w:jc w:val="center"/>
        <w:rPr>
          <w:b/>
          <w:bCs/>
          <w:caps/>
        </w:rPr>
      </w:pPr>
      <w:r w:rsidRPr="00C90E06">
        <w:rPr>
          <w:b/>
          <w:bCs/>
          <w:caps/>
        </w:rPr>
        <w:t xml:space="preserve">TYPE OF REPORT: </w:t>
      </w:r>
      <w:r w:rsidR="00793DE6" w:rsidRPr="00C90E06">
        <w:rPr>
          <w:b/>
          <w:bCs/>
          <w:caps/>
        </w:rPr>
        <w:t>annual</w:t>
      </w:r>
      <w:r w:rsidR="008F6703" w:rsidRPr="00C90E06">
        <w:rPr>
          <w:b/>
          <w:bCs/>
          <w:caps/>
        </w:rPr>
        <w:t xml:space="preserve"> </w:t>
      </w:r>
    </w:p>
    <w:p w14:paraId="54B5CFAE" w14:textId="076D83EF" w:rsidR="00CB02F7" w:rsidRPr="00C90E06" w:rsidRDefault="007C288F" w:rsidP="008364E5">
      <w:pPr>
        <w:jc w:val="center"/>
        <w:rPr>
          <w:b/>
          <w:bCs/>
          <w:caps/>
        </w:rPr>
      </w:pPr>
      <w:r w:rsidRPr="00C90E06">
        <w:rPr>
          <w:b/>
          <w:bCs/>
          <w:caps/>
        </w:rPr>
        <w:t>YEAR</w:t>
      </w:r>
      <w:r w:rsidR="00793DE6" w:rsidRPr="00C90E06">
        <w:rPr>
          <w:b/>
          <w:bCs/>
          <w:caps/>
        </w:rPr>
        <w:t xml:space="preserve"> of report</w:t>
      </w:r>
      <w:r w:rsidR="00F05682" w:rsidRPr="00C90E06">
        <w:rPr>
          <w:b/>
          <w:bCs/>
          <w:caps/>
        </w:rPr>
        <w:t xml:space="preserve">: </w:t>
      </w:r>
      <w:r w:rsidR="003B3AA2" w:rsidRPr="00C90E06">
        <w:rPr>
          <w:bCs/>
          <w:iCs/>
          <w:snapToGrid w:val="0"/>
        </w:rPr>
        <w:t>2020</w:t>
      </w:r>
    </w:p>
    <w:p w14:paraId="5DED3840" w14:textId="77777777" w:rsidR="000554F8" w:rsidRPr="00C90E06"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C90E06" w14:paraId="1CD9355A" w14:textId="77777777" w:rsidTr="00F23D0F">
        <w:trPr>
          <w:trHeight w:val="422"/>
        </w:trPr>
        <w:tc>
          <w:tcPr>
            <w:tcW w:w="10080" w:type="dxa"/>
            <w:gridSpan w:val="2"/>
          </w:tcPr>
          <w:p w14:paraId="7093DA9F" w14:textId="103BAE17" w:rsidR="00793DE6" w:rsidRPr="00C90E06"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C90E06">
              <w:rPr>
                <w:rFonts w:ascii="Times New Roman" w:hAnsi="Times New Roman" w:cs="Times New Roman"/>
                <w:b/>
                <w:sz w:val="24"/>
                <w:szCs w:val="24"/>
                <w:lang w:val="en-US"/>
              </w:rPr>
              <w:t xml:space="preserve">Project </w:t>
            </w:r>
            <w:r w:rsidRPr="00C90E06">
              <w:rPr>
                <w:rFonts w:ascii="Times New Roman" w:hAnsi="Times New Roman" w:cs="Times New Roman"/>
                <w:b/>
                <w:sz w:val="24"/>
                <w:szCs w:val="24"/>
              </w:rPr>
              <w:t>Title</w:t>
            </w:r>
            <w:r w:rsidRPr="00C90E06">
              <w:rPr>
                <w:rFonts w:ascii="Times New Roman" w:hAnsi="Times New Roman" w:cs="Times New Roman"/>
                <w:b/>
                <w:sz w:val="24"/>
                <w:szCs w:val="24"/>
                <w:lang w:val="en-US"/>
              </w:rPr>
              <w:t xml:space="preserve">: </w:t>
            </w:r>
            <w:r w:rsidR="00993D30" w:rsidRPr="00C90E06">
              <w:rPr>
                <w:rFonts w:ascii="Times New Roman" w:hAnsi="Times New Roman" w:cs="Times New Roman"/>
                <w:bCs/>
                <w:iCs/>
                <w:snapToGrid w:val="0"/>
                <w:sz w:val="24"/>
                <w:szCs w:val="24"/>
              </w:rPr>
              <w:t>Protecting women and girls in South Sudan: Addressing GBV as catalyst for peace</w:t>
            </w:r>
          </w:p>
          <w:p w14:paraId="7336EAC3" w14:textId="34A4CC8C" w:rsidR="00793DE6" w:rsidRPr="00C90E06" w:rsidRDefault="00793DE6" w:rsidP="00993D30">
            <w:pPr>
              <w:rPr>
                <w:b/>
              </w:rPr>
            </w:pPr>
            <w:r w:rsidRPr="00C90E06">
              <w:rPr>
                <w:b/>
              </w:rPr>
              <w:t>Project Number from MPTF-O Gateway:</w:t>
            </w:r>
            <w:r w:rsidR="00993D30" w:rsidRPr="00C90E06">
              <w:rPr>
                <w:b/>
              </w:rPr>
              <w:t xml:space="preserve"> PRF</w:t>
            </w:r>
            <w:r w:rsidR="00A43B9C" w:rsidRPr="00C90E06">
              <w:rPr>
                <w:b/>
              </w:rPr>
              <w:t xml:space="preserve"> </w:t>
            </w:r>
            <w:r w:rsidR="00993D30" w:rsidRPr="00C90E06">
              <w:rPr>
                <w:color w:val="333333"/>
                <w:shd w:val="clear" w:color="auto" w:fill="FFFFFF"/>
              </w:rPr>
              <w:t>00117249</w:t>
            </w:r>
          </w:p>
        </w:tc>
      </w:tr>
      <w:tr w:rsidR="00A43B9C" w:rsidRPr="00C90E06" w14:paraId="23080537" w14:textId="77777777" w:rsidTr="00A43B9C">
        <w:trPr>
          <w:trHeight w:val="422"/>
        </w:trPr>
        <w:tc>
          <w:tcPr>
            <w:tcW w:w="4163" w:type="dxa"/>
          </w:tcPr>
          <w:p w14:paraId="53E07092" w14:textId="77777777" w:rsidR="00A43B9C" w:rsidRPr="00C90E06"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C90E06">
              <w:rPr>
                <w:rFonts w:ascii="Times New Roman" w:hAnsi="Times New Roman" w:cs="Times New Roman"/>
                <w:b/>
                <w:sz w:val="24"/>
                <w:szCs w:val="24"/>
              </w:rPr>
              <w:t xml:space="preserve">If funding is disbursed into a national or regional trust fund: </w:t>
            </w:r>
          </w:p>
          <w:p w14:paraId="644B77B0" w14:textId="11CEEC6F" w:rsidR="00A43B9C" w:rsidRPr="00C90E06" w:rsidRDefault="00C755CC" w:rsidP="00F23D0F">
            <w:pPr>
              <w:tabs>
                <w:tab w:val="left" w:pos="0"/>
              </w:tabs>
              <w:suppressAutoHyphens/>
              <w:jc w:val="both"/>
              <w:rPr>
                <w:b/>
                <w:spacing w:val="-3"/>
              </w:rPr>
            </w:pPr>
            <w:r w:rsidRPr="00C90E06">
              <w:fldChar w:fldCharType="begin">
                <w:ffData>
                  <w:name w:val="Check1"/>
                  <w:enabled/>
                  <w:calcOnExit w:val="0"/>
                  <w:checkBox>
                    <w:sizeAuto/>
                    <w:default w:val="1"/>
                  </w:checkBox>
                </w:ffData>
              </w:fldChar>
            </w:r>
            <w:bookmarkStart w:id="0" w:name="Check1"/>
            <w:r w:rsidRPr="00C90E06">
              <w:instrText xml:space="preserve"> FORMCHECKBOX </w:instrText>
            </w:r>
            <w:r w:rsidR="00F20E22">
              <w:fldChar w:fldCharType="separate"/>
            </w:r>
            <w:r w:rsidRPr="00C90E06">
              <w:fldChar w:fldCharType="end"/>
            </w:r>
            <w:bookmarkEnd w:id="0"/>
            <w:r w:rsidR="00A43B9C" w:rsidRPr="00C90E06">
              <w:tab/>
            </w:r>
            <w:r w:rsidR="00A43B9C" w:rsidRPr="00C90E06">
              <w:tab/>
            </w:r>
            <w:r w:rsidR="00A43B9C" w:rsidRPr="00C90E06">
              <w:rPr>
                <w:spacing w:val="-3"/>
              </w:rPr>
              <w:t>Country Trust Fund</w:t>
            </w:r>
            <w:r w:rsidR="00A43B9C" w:rsidRPr="00C90E06">
              <w:rPr>
                <w:b/>
                <w:spacing w:val="-3"/>
              </w:rPr>
              <w:t xml:space="preserve"> </w:t>
            </w:r>
          </w:p>
          <w:p w14:paraId="3E3B954C" w14:textId="77777777" w:rsidR="00A43B9C" w:rsidRPr="00C90E06" w:rsidRDefault="00A43B9C" w:rsidP="00F23D0F">
            <w:pPr>
              <w:tabs>
                <w:tab w:val="left" w:pos="0"/>
              </w:tabs>
              <w:suppressAutoHyphens/>
              <w:jc w:val="both"/>
              <w:rPr>
                <w:b/>
              </w:rPr>
            </w:pPr>
            <w:r w:rsidRPr="00C90E06">
              <w:fldChar w:fldCharType="begin">
                <w:ffData>
                  <w:name w:val="Check1"/>
                  <w:enabled/>
                  <w:calcOnExit w:val="0"/>
                  <w:checkBox>
                    <w:sizeAuto/>
                    <w:default w:val="0"/>
                  </w:checkBox>
                </w:ffData>
              </w:fldChar>
            </w:r>
            <w:r w:rsidRPr="00C90E06">
              <w:instrText xml:space="preserve"> FORMCHECKBOX </w:instrText>
            </w:r>
            <w:r w:rsidR="00F20E22">
              <w:fldChar w:fldCharType="separate"/>
            </w:r>
            <w:r w:rsidRPr="00C90E06">
              <w:fldChar w:fldCharType="end"/>
            </w:r>
            <w:r w:rsidRPr="00C90E06">
              <w:tab/>
            </w:r>
            <w:r w:rsidRPr="00C90E06">
              <w:tab/>
              <w:t>Regional Trust Fund</w:t>
            </w:r>
            <w:r w:rsidRPr="00C90E06">
              <w:rPr>
                <w:b/>
              </w:rPr>
              <w:t xml:space="preserve"> </w:t>
            </w:r>
          </w:p>
          <w:p w14:paraId="0EDB4FD7" w14:textId="77777777" w:rsidR="00A43B9C" w:rsidRPr="00C90E06" w:rsidRDefault="00A43B9C" w:rsidP="00F23D0F">
            <w:pPr>
              <w:tabs>
                <w:tab w:val="left" w:pos="0"/>
              </w:tabs>
              <w:suppressAutoHyphens/>
              <w:jc w:val="both"/>
              <w:rPr>
                <w:b/>
              </w:rPr>
            </w:pPr>
          </w:p>
          <w:p w14:paraId="0E92ACAC" w14:textId="77777777" w:rsidR="00A43B9C" w:rsidRPr="00C90E06"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C90E06">
              <w:rPr>
                <w:rFonts w:ascii="Times New Roman" w:hAnsi="Times New Roman" w:cs="Times New Roman"/>
                <w:b/>
                <w:sz w:val="24"/>
                <w:szCs w:val="24"/>
              </w:rPr>
              <w:t xml:space="preserve">Name of Recipient Fund: </w:t>
            </w:r>
            <w:r w:rsidRPr="00C90E06">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C90E06">
              <w:rPr>
                <w:rFonts w:ascii="Times New Roman" w:hAnsi="Times New Roman" w:cs="Times New Roman"/>
                <w:bCs/>
                <w:iCs/>
                <w:snapToGrid w:val="0"/>
                <w:sz w:val="24"/>
                <w:szCs w:val="24"/>
              </w:rPr>
              <w:instrText xml:space="preserve"> FORMTEXT </w:instrText>
            </w:r>
            <w:r w:rsidRPr="00C90E06">
              <w:rPr>
                <w:rFonts w:ascii="Times New Roman" w:hAnsi="Times New Roman" w:cs="Times New Roman"/>
                <w:bCs/>
                <w:iCs/>
                <w:snapToGrid w:val="0"/>
                <w:sz w:val="24"/>
                <w:szCs w:val="24"/>
              </w:rPr>
            </w:r>
            <w:r w:rsidRPr="00C90E06">
              <w:rPr>
                <w:rFonts w:ascii="Times New Roman" w:hAnsi="Times New Roman" w:cs="Times New Roman"/>
                <w:bCs/>
                <w:iCs/>
                <w:snapToGrid w:val="0"/>
                <w:sz w:val="24"/>
                <w:szCs w:val="24"/>
              </w:rPr>
              <w:fldChar w:fldCharType="separate"/>
            </w:r>
            <w:r w:rsidRPr="00C90E06">
              <w:rPr>
                <w:rFonts w:ascii="Times New Roman" w:hAnsi="Times New Roman" w:cs="Times New Roman"/>
                <w:bCs/>
                <w:iCs/>
                <w:snapToGrid w:val="0"/>
                <w:sz w:val="24"/>
                <w:szCs w:val="24"/>
              </w:rPr>
              <w:t> </w:t>
            </w:r>
            <w:r w:rsidRPr="00C90E06">
              <w:rPr>
                <w:rFonts w:ascii="Times New Roman" w:hAnsi="Times New Roman" w:cs="Times New Roman"/>
                <w:bCs/>
                <w:iCs/>
                <w:snapToGrid w:val="0"/>
                <w:sz w:val="24"/>
                <w:szCs w:val="24"/>
              </w:rPr>
              <w:t> </w:t>
            </w:r>
            <w:r w:rsidRPr="00C90E06">
              <w:rPr>
                <w:rFonts w:ascii="Times New Roman" w:hAnsi="Times New Roman" w:cs="Times New Roman"/>
                <w:bCs/>
                <w:iCs/>
                <w:snapToGrid w:val="0"/>
                <w:sz w:val="24"/>
                <w:szCs w:val="24"/>
              </w:rPr>
              <w:t> </w:t>
            </w:r>
            <w:r w:rsidRPr="00C90E06">
              <w:rPr>
                <w:rFonts w:ascii="Times New Roman" w:hAnsi="Times New Roman" w:cs="Times New Roman"/>
                <w:bCs/>
                <w:iCs/>
                <w:snapToGrid w:val="0"/>
                <w:sz w:val="24"/>
                <w:szCs w:val="24"/>
              </w:rPr>
              <w:t> </w:t>
            </w:r>
            <w:r w:rsidRPr="00C90E06">
              <w:rPr>
                <w:rFonts w:ascii="Times New Roman" w:hAnsi="Times New Roman" w:cs="Times New Roman"/>
                <w:bCs/>
                <w:iCs/>
                <w:snapToGrid w:val="0"/>
                <w:sz w:val="24"/>
                <w:szCs w:val="24"/>
              </w:rPr>
              <w:t> </w:t>
            </w:r>
            <w:r w:rsidRPr="00C90E06">
              <w:rPr>
                <w:rFonts w:ascii="Times New Roman" w:hAnsi="Times New Roman" w:cs="Times New Roman"/>
                <w:bCs/>
                <w:iCs/>
                <w:snapToGrid w:val="0"/>
                <w:sz w:val="24"/>
                <w:szCs w:val="24"/>
              </w:rPr>
              <w:fldChar w:fldCharType="end"/>
            </w:r>
          </w:p>
          <w:p w14:paraId="2BF6F37D" w14:textId="77777777" w:rsidR="00A43B9C" w:rsidRPr="00C90E06" w:rsidRDefault="00A43B9C" w:rsidP="00F23D0F">
            <w:pPr>
              <w:tabs>
                <w:tab w:val="left" w:pos="0"/>
              </w:tabs>
              <w:suppressAutoHyphens/>
              <w:jc w:val="both"/>
              <w:rPr>
                <w:b/>
              </w:rPr>
            </w:pPr>
          </w:p>
        </w:tc>
        <w:tc>
          <w:tcPr>
            <w:tcW w:w="5917" w:type="dxa"/>
          </w:tcPr>
          <w:p w14:paraId="3BE7D44F" w14:textId="77777777" w:rsidR="00A43B9C" w:rsidRPr="00C90E06" w:rsidRDefault="00A43B9C" w:rsidP="00A43B9C">
            <w:pPr>
              <w:rPr>
                <w:b/>
                <w:bCs/>
                <w:iCs/>
              </w:rPr>
            </w:pPr>
            <w:r w:rsidRPr="00C90E06">
              <w:rPr>
                <w:b/>
                <w:bCs/>
                <w:iCs/>
              </w:rPr>
              <w:t xml:space="preserve">Type and name of recipient organizations: </w:t>
            </w:r>
          </w:p>
          <w:p w14:paraId="47C8A2A1" w14:textId="77777777" w:rsidR="00A43B9C" w:rsidRPr="00C90E06" w:rsidRDefault="00A43B9C" w:rsidP="00A43B9C">
            <w:pPr>
              <w:rPr>
                <w:b/>
                <w:bCs/>
                <w:iCs/>
              </w:rPr>
            </w:pPr>
          </w:p>
          <w:p w14:paraId="7713E2B6" w14:textId="309917EE" w:rsidR="00A43B9C" w:rsidRPr="00C90E06" w:rsidRDefault="00993D30" w:rsidP="00A43B9C">
            <w:pPr>
              <w:pStyle w:val="BalloonText"/>
              <w:numPr>
                <w:ilvl w:val="12"/>
                <w:numId w:val="0"/>
              </w:numPr>
              <w:tabs>
                <w:tab w:val="left" w:pos="-720"/>
                <w:tab w:val="left" w:pos="4500"/>
              </w:tabs>
              <w:rPr>
                <w:rFonts w:ascii="Times New Roman" w:hAnsi="Times New Roman" w:cs="Times New Roman"/>
                <w:b/>
                <w:sz w:val="24"/>
                <w:szCs w:val="24"/>
              </w:rPr>
            </w:pPr>
            <w:r w:rsidRPr="00C90E06">
              <w:rPr>
                <w:rFonts w:ascii="Times New Roman" w:hAnsi="Times New Roman" w:cs="Times New Roman"/>
                <w:b/>
                <w:sz w:val="24"/>
                <w:szCs w:val="24"/>
              </w:rPr>
              <w:fldChar w:fldCharType="begin">
                <w:ffData>
                  <w:name w:val=""/>
                  <w:enabled/>
                  <w:calcOnExit w:val="0"/>
                  <w:ddList>
                    <w:listEntry w:val="NUNO"/>
                    <w:listEntry w:val="please select"/>
                    <w:listEntry w:val="RUNO"/>
                    <w:listEntry w:val="NUNO"/>
                  </w:ddList>
                </w:ffData>
              </w:fldChar>
            </w:r>
            <w:r w:rsidRPr="00C90E06">
              <w:rPr>
                <w:rFonts w:ascii="Times New Roman" w:hAnsi="Times New Roman" w:cs="Times New Roman"/>
                <w:b/>
                <w:sz w:val="24"/>
                <w:szCs w:val="24"/>
              </w:rPr>
              <w:instrText xml:space="preserve"> FORMDROPDOWN </w:instrText>
            </w:r>
            <w:r w:rsidR="00F20E22">
              <w:rPr>
                <w:rFonts w:ascii="Times New Roman" w:hAnsi="Times New Roman" w:cs="Times New Roman"/>
                <w:b/>
                <w:sz w:val="24"/>
                <w:szCs w:val="24"/>
              </w:rPr>
            </w:r>
            <w:r w:rsidR="00F20E22">
              <w:rPr>
                <w:rFonts w:ascii="Times New Roman" w:hAnsi="Times New Roman" w:cs="Times New Roman"/>
                <w:b/>
                <w:sz w:val="24"/>
                <w:szCs w:val="24"/>
              </w:rPr>
              <w:fldChar w:fldCharType="separate"/>
            </w:r>
            <w:r w:rsidRPr="00C90E06">
              <w:rPr>
                <w:rFonts w:ascii="Times New Roman" w:hAnsi="Times New Roman" w:cs="Times New Roman"/>
                <w:b/>
                <w:sz w:val="24"/>
                <w:szCs w:val="24"/>
              </w:rPr>
              <w:fldChar w:fldCharType="end"/>
            </w:r>
            <w:r w:rsidR="00A43B9C" w:rsidRPr="00C90E06">
              <w:rPr>
                <w:rFonts w:ascii="Times New Roman" w:hAnsi="Times New Roman" w:cs="Times New Roman"/>
                <w:b/>
                <w:sz w:val="24"/>
                <w:szCs w:val="24"/>
              </w:rPr>
              <w:t xml:space="preserve">     </w:t>
            </w:r>
            <w:r w:rsidR="00C755CC" w:rsidRPr="00C90E06">
              <w:rPr>
                <w:rFonts w:ascii="Times New Roman" w:hAnsi="Times New Roman" w:cs="Times New Roman"/>
                <w:b/>
                <w:sz w:val="24"/>
                <w:szCs w:val="24"/>
              </w:rPr>
              <w:t>UNFPA</w:t>
            </w:r>
            <w:r w:rsidRPr="00C90E06">
              <w:rPr>
                <w:rFonts w:ascii="Times New Roman" w:hAnsi="Times New Roman" w:cs="Times New Roman"/>
                <w:b/>
                <w:sz w:val="24"/>
                <w:szCs w:val="24"/>
              </w:rPr>
              <w:t xml:space="preserve"> </w:t>
            </w:r>
            <w:r w:rsidR="00A43B9C" w:rsidRPr="00C90E06">
              <w:rPr>
                <w:rFonts w:ascii="Times New Roman" w:hAnsi="Times New Roman" w:cs="Times New Roman"/>
                <w:b/>
                <w:sz w:val="24"/>
                <w:szCs w:val="24"/>
              </w:rPr>
              <w:t>(Convening Agency)</w:t>
            </w:r>
          </w:p>
          <w:p w14:paraId="50ED535B" w14:textId="1432B710" w:rsidR="00A43B9C" w:rsidRPr="00C90E06" w:rsidRDefault="00993D30" w:rsidP="00A43B9C">
            <w:pPr>
              <w:pStyle w:val="BalloonText"/>
              <w:numPr>
                <w:ilvl w:val="12"/>
                <w:numId w:val="0"/>
              </w:numPr>
              <w:tabs>
                <w:tab w:val="left" w:pos="-720"/>
                <w:tab w:val="left" w:pos="4500"/>
              </w:tabs>
              <w:rPr>
                <w:rFonts w:ascii="Times New Roman" w:hAnsi="Times New Roman" w:cs="Times New Roman"/>
                <w:b/>
                <w:sz w:val="24"/>
                <w:szCs w:val="24"/>
              </w:rPr>
            </w:pPr>
            <w:r w:rsidRPr="00C90E06">
              <w:rPr>
                <w:rFonts w:ascii="Times New Roman" w:hAnsi="Times New Roman" w:cs="Times New Roman"/>
                <w:b/>
                <w:sz w:val="24"/>
                <w:szCs w:val="24"/>
              </w:rPr>
              <w:fldChar w:fldCharType="begin">
                <w:ffData>
                  <w:name w:val=""/>
                  <w:enabled/>
                  <w:calcOnExit w:val="0"/>
                  <w:ddList>
                    <w:listEntry w:val="NUNO"/>
                    <w:listEntry w:val="please select"/>
                    <w:listEntry w:val="RUNO"/>
                    <w:listEntry w:val="NUNO"/>
                  </w:ddList>
                </w:ffData>
              </w:fldChar>
            </w:r>
            <w:r w:rsidRPr="00C90E06">
              <w:rPr>
                <w:rFonts w:ascii="Times New Roman" w:hAnsi="Times New Roman" w:cs="Times New Roman"/>
                <w:b/>
                <w:sz w:val="24"/>
                <w:szCs w:val="24"/>
              </w:rPr>
              <w:instrText xml:space="preserve"> FORMDROPDOWN </w:instrText>
            </w:r>
            <w:r w:rsidR="00F20E22">
              <w:rPr>
                <w:rFonts w:ascii="Times New Roman" w:hAnsi="Times New Roman" w:cs="Times New Roman"/>
                <w:b/>
                <w:sz w:val="24"/>
                <w:szCs w:val="24"/>
              </w:rPr>
            </w:r>
            <w:r w:rsidR="00F20E22">
              <w:rPr>
                <w:rFonts w:ascii="Times New Roman" w:hAnsi="Times New Roman" w:cs="Times New Roman"/>
                <w:b/>
                <w:sz w:val="24"/>
                <w:szCs w:val="24"/>
              </w:rPr>
              <w:fldChar w:fldCharType="separate"/>
            </w:r>
            <w:r w:rsidRPr="00C90E06">
              <w:rPr>
                <w:rFonts w:ascii="Times New Roman" w:hAnsi="Times New Roman" w:cs="Times New Roman"/>
                <w:b/>
                <w:sz w:val="24"/>
                <w:szCs w:val="24"/>
              </w:rPr>
              <w:fldChar w:fldCharType="end"/>
            </w:r>
            <w:r w:rsidR="00A43B9C" w:rsidRPr="00C90E06">
              <w:rPr>
                <w:rFonts w:ascii="Times New Roman" w:hAnsi="Times New Roman" w:cs="Times New Roman"/>
                <w:b/>
                <w:sz w:val="24"/>
                <w:szCs w:val="24"/>
              </w:rPr>
              <w:t xml:space="preserve">     </w:t>
            </w:r>
            <w:r w:rsidR="00C755CC" w:rsidRPr="00C90E06">
              <w:rPr>
                <w:rFonts w:ascii="Times New Roman" w:hAnsi="Times New Roman" w:cs="Times New Roman"/>
                <w:b/>
                <w:sz w:val="24"/>
                <w:szCs w:val="24"/>
              </w:rPr>
              <w:t>UNDP</w:t>
            </w:r>
          </w:p>
          <w:p w14:paraId="3BA3B1FC" w14:textId="0CE305BB" w:rsidR="00A43B9C" w:rsidRPr="00C90E06" w:rsidRDefault="00993D30" w:rsidP="00A43B9C">
            <w:pPr>
              <w:pStyle w:val="BalloonText"/>
              <w:numPr>
                <w:ilvl w:val="12"/>
                <w:numId w:val="0"/>
              </w:numPr>
              <w:tabs>
                <w:tab w:val="left" w:pos="-720"/>
                <w:tab w:val="left" w:pos="4500"/>
              </w:tabs>
              <w:rPr>
                <w:rFonts w:ascii="Times New Roman" w:hAnsi="Times New Roman" w:cs="Times New Roman"/>
                <w:b/>
                <w:sz w:val="24"/>
                <w:szCs w:val="24"/>
              </w:rPr>
            </w:pPr>
            <w:r w:rsidRPr="00C90E06">
              <w:rPr>
                <w:rFonts w:ascii="Times New Roman" w:hAnsi="Times New Roman" w:cs="Times New Roman"/>
                <w:b/>
                <w:sz w:val="24"/>
                <w:szCs w:val="24"/>
              </w:rPr>
              <w:fldChar w:fldCharType="begin">
                <w:ffData>
                  <w:name w:val=""/>
                  <w:enabled/>
                  <w:calcOnExit w:val="0"/>
                  <w:ddList>
                    <w:listEntry w:val="NUNO"/>
                    <w:listEntry w:val="please select"/>
                    <w:listEntry w:val="RUNO"/>
                    <w:listEntry w:val="NUNO"/>
                  </w:ddList>
                </w:ffData>
              </w:fldChar>
            </w:r>
            <w:r w:rsidRPr="00C90E06">
              <w:rPr>
                <w:rFonts w:ascii="Times New Roman" w:hAnsi="Times New Roman" w:cs="Times New Roman"/>
                <w:b/>
                <w:sz w:val="24"/>
                <w:szCs w:val="24"/>
              </w:rPr>
              <w:instrText xml:space="preserve"> FORMDROPDOWN </w:instrText>
            </w:r>
            <w:r w:rsidR="00F20E22">
              <w:rPr>
                <w:rFonts w:ascii="Times New Roman" w:hAnsi="Times New Roman" w:cs="Times New Roman"/>
                <w:b/>
                <w:sz w:val="24"/>
                <w:szCs w:val="24"/>
              </w:rPr>
            </w:r>
            <w:r w:rsidR="00F20E22">
              <w:rPr>
                <w:rFonts w:ascii="Times New Roman" w:hAnsi="Times New Roman" w:cs="Times New Roman"/>
                <w:b/>
                <w:sz w:val="24"/>
                <w:szCs w:val="24"/>
              </w:rPr>
              <w:fldChar w:fldCharType="separate"/>
            </w:r>
            <w:r w:rsidRPr="00C90E06">
              <w:rPr>
                <w:rFonts w:ascii="Times New Roman" w:hAnsi="Times New Roman" w:cs="Times New Roman"/>
                <w:b/>
                <w:sz w:val="24"/>
                <w:szCs w:val="24"/>
              </w:rPr>
              <w:fldChar w:fldCharType="end"/>
            </w:r>
            <w:r w:rsidR="00A43B9C" w:rsidRPr="00C90E06">
              <w:rPr>
                <w:rFonts w:ascii="Times New Roman" w:hAnsi="Times New Roman" w:cs="Times New Roman"/>
                <w:b/>
                <w:sz w:val="24"/>
                <w:szCs w:val="24"/>
              </w:rPr>
              <w:t xml:space="preserve">     </w:t>
            </w:r>
            <w:r w:rsidR="00C755CC" w:rsidRPr="00C90E06">
              <w:rPr>
                <w:rFonts w:ascii="Times New Roman" w:hAnsi="Times New Roman" w:cs="Times New Roman"/>
                <w:b/>
                <w:sz w:val="24"/>
                <w:szCs w:val="24"/>
              </w:rPr>
              <w:t>UN Women</w:t>
            </w:r>
          </w:p>
          <w:p w14:paraId="11EFE7EB" w14:textId="15477D3F" w:rsidR="00A43B9C" w:rsidRPr="00C90E06" w:rsidRDefault="00993D30" w:rsidP="00A43B9C">
            <w:pPr>
              <w:pStyle w:val="BalloonText"/>
              <w:numPr>
                <w:ilvl w:val="12"/>
                <w:numId w:val="0"/>
              </w:numPr>
              <w:tabs>
                <w:tab w:val="left" w:pos="-720"/>
                <w:tab w:val="left" w:pos="4500"/>
              </w:tabs>
              <w:rPr>
                <w:rFonts w:ascii="Times New Roman" w:hAnsi="Times New Roman" w:cs="Times New Roman"/>
                <w:b/>
                <w:sz w:val="24"/>
                <w:szCs w:val="24"/>
              </w:rPr>
            </w:pPr>
            <w:r w:rsidRPr="00C90E06">
              <w:rPr>
                <w:rFonts w:ascii="Times New Roman" w:hAnsi="Times New Roman" w:cs="Times New Roman"/>
                <w:b/>
                <w:sz w:val="24"/>
                <w:szCs w:val="24"/>
              </w:rPr>
              <w:fldChar w:fldCharType="begin">
                <w:ffData>
                  <w:name w:val=""/>
                  <w:enabled/>
                  <w:calcOnExit w:val="0"/>
                  <w:ddList>
                    <w:listEntry w:val="NUNO"/>
                    <w:listEntry w:val="please select"/>
                    <w:listEntry w:val="RUNO"/>
                    <w:listEntry w:val="NUNO"/>
                  </w:ddList>
                </w:ffData>
              </w:fldChar>
            </w:r>
            <w:r w:rsidRPr="00C90E06">
              <w:rPr>
                <w:rFonts w:ascii="Times New Roman" w:hAnsi="Times New Roman" w:cs="Times New Roman"/>
                <w:b/>
                <w:sz w:val="24"/>
                <w:szCs w:val="24"/>
              </w:rPr>
              <w:instrText xml:space="preserve"> FORMDROPDOWN </w:instrText>
            </w:r>
            <w:r w:rsidR="00F20E22">
              <w:rPr>
                <w:rFonts w:ascii="Times New Roman" w:hAnsi="Times New Roman" w:cs="Times New Roman"/>
                <w:b/>
                <w:sz w:val="24"/>
                <w:szCs w:val="24"/>
              </w:rPr>
            </w:r>
            <w:r w:rsidR="00F20E22">
              <w:rPr>
                <w:rFonts w:ascii="Times New Roman" w:hAnsi="Times New Roman" w:cs="Times New Roman"/>
                <w:b/>
                <w:sz w:val="24"/>
                <w:szCs w:val="24"/>
              </w:rPr>
              <w:fldChar w:fldCharType="separate"/>
            </w:r>
            <w:r w:rsidRPr="00C90E06">
              <w:rPr>
                <w:rFonts w:ascii="Times New Roman" w:hAnsi="Times New Roman" w:cs="Times New Roman"/>
                <w:b/>
                <w:sz w:val="24"/>
                <w:szCs w:val="24"/>
              </w:rPr>
              <w:fldChar w:fldCharType="end"/>
            </w:r>
            <w:r w:rsidR="00A43B9C" w:rsidRPr="00C90E06">
              <w:rPr>
                <w:rFonts w:ascii="Times New Roman" w:hAnsi="Times New Roman" w:cs="Times New Roman"/>
                <w:b/>
                <w:sz w:val="24"/>
                <w:szCs w:val="24"/>
              </w:rPr>
              <w:t xml:space="preserve">     </w:t>
            </w:r>
            <w:r w:rsidR="00C755CC" w:rsidRPr="00C90E06">
              <w:rPr>
                <w:rFonts w:ascii="Times New Roman" w:hAnsi="Times New Roman" w:cs="Times New Roman"/>
                <w:b/>
                <w:sz w:val="24"/>
                <w:szCs w:val="24"/>
              </w:rPr>
              <w:t>UNICEF</w:t>
            </w:r>
          </w:p>
          <w:p w14:paraId="3BA0CDE8" w14:textId="052C4E17" w:rsidR="00A43B9C" w:rsidRPr="00C90E06" w:rsidRDefault="00A43B9C" w:rsidP="00C755C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C90E06" w14:paraId="3B6DAA11" w14:textId="77777777" w:rsidTr="00F23D0F">
        <w:trPr>
          <w:trHeight w:val="368"/>
        </w:trPr>
        <w:tc>
          <w:tcPr>
            <w:tcW w:w="10080" w:type="dxa"/>
            <w:gridSpan w:val="2"/>
          </w:tcPr>
          <w:p w14:paraId="4BE0D8A5" w14:textId="77777777" w:rsidR="00993D30" w:rsidRPr="00C90E06" w:rsidRDefault="00993D30" w:rsidP="00993D30">
            <w:pPr>
              <w:jc w:val="both"/>
              <w:rPr>
                <w:b/>
                <w:bCs/>
                <w:iCs/>
              </w:rPr>
            </w:pPr>
            <w:r w:rsidRPr="00C90E06">
              <w:rPr>
                <w:b/>
                <w:bCs/>
                <w:iCs/>
              </w:rPr>
              <w:t xml:space="preserve">Date of first transfer: </w:t>
            </w:r>
            <w:r w:rsidRPr="00C90E06">
              <w:rPr>
                <w:bCs/>
                <w:iCs/>
              </w:rPr>
              <w:t>05/ 09/2019</w:t>
            </w:r>
          </w:p>
          <w:p w14:paraId="0BE41A18" w14:textId="77777777" w:rsidR="00993D30" w:rsidRPr="00C90E06" w:rsidRDefault="00993D30" w:rsidP="00993D30">
            <w:pPr>
              <w:jc w:val="both"/>
              <w:rPr>
                <w:bCs/>
                <w:iCs/>
                <w:snapToGrid w:val="0"/>
              </w:rPr>
            </w:pPr>
            <w:r w:rsidRPr="00C90E06">
              <w:rPr>
                <w:b/>
                <w:bCs/>
                <w:iCs/>
              </w:rPr>
              <w:t xml:space="preserve">Project end date: </w:t>
            </w:r>
            <w:r w:rsidRPr="00C90E06">
              <w:rPr>
                <w:bCs/>
                <w:iCs/>
              </w:rPr>
              <w:t>25/02/2021</w:t>
            </w:r>
            <w:r w:rsidRPr="00C90E06">
              <w:rPr>
                <w:bCs/>
                <w:iCs/>
                <w:snapToGrid w:val="0"/>
              </w:rPr>
              <w:t xml:space="preserve">     </w:t>
            </w:r>
          </w:p>
          <w:p w14:paraId="267396D1" w14:textId="2ED5299C" w:rsidR="00793DE6" w:rsidRPr="00C90E06" w:rsidRDefault="00993D30" w:rsidP="00B0211D">
            <w:pPr>
              <w:jc w:val="both"/>
              <w:rPr>
                <w:b/>
                <w:bCs/>
                <w:iCs/>
              </w:rPr>
            </w:pPr>
            <w:r w:rsidRPr="00C90E06">
              <w:rPr>
                <w:b/>
                <w:iCs/>
                <w:snapToGrid w:val="0"/>
              </w:rPr>
              <w:t>Is the current project end date within 6 months?</w:t>
            </w:r>
            <w:r w:rsidRPr="00C90E06">
              <w:rPr>
                <w:bCs/>
                <w:iCs/>
                <w:snapToGrid w:val="0"/>
              </w:rPr>
              <w:t xml:space="preserve"> Yes</w:t>
            </w:r>
          </w:p>
        </w:tc>
      </w:tr>
      <w:tr w:rsidR="00793DE6" w:rsidRPr="00C90E06" w14:paraId="0A32218D" w14:textId="77777777" w:rsidTr="00F23D0F">
        <w:trPr>
          <w:trHeight w:val="368"/>
        </w:trPr>
        <w:tc>
          <w:tcPr>
            <w:tcW w:w="10080" w:type="dxa"/>
            <w:gridSpan w:val="2"/>
          </w:tcPr>
          <w:p w14:paraId="7922155B" w14:textId="77777777" w:rsidR="00793DE6" w:rsidRPr="00C90E06" w:rsidRDefault="004D141E" w:rsidP="00F23D0F">
            <w:pPr>
              <w:rPr>
                <w:b/>
                <w:bCs/>
                <w:iCs/>
              </w:rPr>
            </w:pPr>
            <w:r w:rsidRPr="00C90E06">
              <w:rPr>
                <w:b/>
                <w:bCs/>
                <w:iCs/>
              </w:rPr>
              <w:t>Check if the</w:t>
            </w:r>
            <w:r w:rsidR="00793DE6" w:rsidRPr="00C90E06">
              <w:rPr>
                <w:b/>
                <w:bCs/>
                <w:iCs/>
              </w:rPr>
              <w:t xml:space="preserve"> project fall</w:t>
            </w:r>
            <w:r w:rsidRPr="00C90E06">
              <w:rPr>
                <w:b/>
                <w:bCs/>
                <w:iCs/>
              </w:rPr>
              <w:t>s</w:t>
            </w:r>
            <w:r w:rsidR="00793DE6" w:rsidRPr="00C90E06">
              <w:rPr>
                <w:b/>
                <w:bCs/>
                <w:iCs/>
              </w:rPr>
              <w:t xml:space="preserve"> under one</w:t>
            </w:r>
            <w:r w:rsidR="00BC71E1" w:rsidRPr="00C90E06">
              <w:rPr>
                <w:b/>
                <w:bCs/>
                <w:iCs/>
              </w:rPr>
              <w:t xml:space="preserve"> or more</w:t>
            </w:r>
            <w:r w:rsidR="00793DE6" w:rsidRPr="00C90E06">
              <w:rPr>
                <w:b/>
                <w:bCs/>
                <w:iCs/>
              </w:rPr>
              <w:t xml:space="preserve"> PBF priority window</w:t>
            </w:r>
            <w:r w:rsidRPr="00C90E06">
              <w:rPr>
                <w:b/>
                <w:bCs/>
                <w:iCs/>
              </w:rPr>
              <w:t>s</w:t>
            </w:r>
            <w:r w:rsidR="00793DE6" w:rsidRPr="00C90E06">
              <w:rPr>
                <w:b/>
                <w:bCs/>
                <w:iCs/>
              </w:rPr>
              <w:t>:</w:t>
            </w:r>
          </w:p>
          <w:p w14:paraId="2B9A3354" w14:textId="45292356" w:rsidR="00793DE6" w:rsidRPr="00C90E06" w:rsidRDefault="00F20E22" w:rsidP="00F23D0F">
            <w:r>
              <w:fldChar w:fldCharType="begin">
                <w:ffData>
                  <w:name w:val=""/>
                  <w:enabled/>
                  <w:calcOnExit w:val="0"/>
                  <w:checkBox>
                    <w:sizeAuto/>
                    <w:default w:val="0"/>
                  </w:checkBox>
                </w:ffData>
              </w:fldChar>
            </w:r>
            <w:r>
              <w:instrText xml:space="preserve"> FORMCHECKBOX </w:instrText>
            </w:r>
            <w:r>
              <w:fldChar w:fldCharType="end"/>
            </w:r>
            <w:r w:rsidR="00793DE6" w:rsidRPr="00C90E06">
              <w:t xml:space="preserve"> Gender promotion initiative</w:t>
            </w:r>
          </w:p>
          <w:p w14:paraId="55AFED50" w14:textId="77777777" w:rsidR="00793DE6" w:rsidRPr="00C90E06" w:rsidRDefault="00793DE6" w:rsidP="00F23D0F">
            <w:r w:rsidRPr="00C90E06">
              <w:fldChar w:fldCharType="begin">
                <w:ffData>
                  <w:name w:val=""/>
                  <w:enabled/>
                  <w:calcOnExit w:val="0"/>
                  <w:checkBox>
                    <w:sizeAuto/>
                    <w:default w:val="0"/>
                  </w:checkBox>
                </w:ffData>
              </w:fldChar>
            </w:r>
            <w:r w:rsidRPr="00C90E06">
              <w:instrText xml:space="preserve"> FORMCHECKBOX </w:instrText>
            </w:r>
            <w:r w:rsidR="00F20E22">
              <w:fldChar w:fldCharType="separate"/>
            </w:r>
            <w:r w:rsidRPr="00C90E06">
              <w:fldChar w:fldCharType="end"/>
            </w:r>
            <w:r w:rsidRPr="00C90E06">
              <w:t xml:space="preserve"> Youth promotion initiative</w:t>
            </w:r>
          </w:p>
          <w:p w14:paraId="5930010F" w14:textId="77777777" w:rsidR="00793DE6" w:rsidRPr="00C90E06" w:rsidRDefault="00793DE6" w:rsidP="00F23D0F">
            <w:r w:rsidRPr="00C90E06">
              <w:fldChar w:fldCharType="begin">
                <w:ffData>
                  <w:name w:val=""/>
                  <w:enabled/>
                  <w:calcOnExit w:val="0"/>
                  <w:checkBox>
                    <w:sizeAuto/>
                    <w:default w:val="0"/>
                  </w:checkBox>
                </w:ffData>
              </w:fldChar>
            </w:r>
            <w:r w:rsidRPr="00C90E06">
              <w:instrText xml:space="preserve"> FORMCHECKBOX </w:instrText>
            </w:r>
            <w:r w:rsidR="00F20E22">
              <w:fldChar w:fldCharType="separate"/>
            </w:r>
            <w:r w:rsidRPr="00C90E06">
              <w:fldChar w:fldCharType="end"/>
            </w:r>
            <w:r w:rsidRPr="00C90E06">
              <w:t xml:space="preserve"> Transition from UN or regional peacekeeping or special political missions</w:t>
            </w:r>
          </w:p>
          <w:p w14:paraId="65EB2D34" w14:textId="0CB4BAC9" w:rsidR="00793DE6" w:rsidRPr="00C90E06" w:rsidRDefault="00793DE6" w:rsidP="00F23D0F">
            <w:r w:rsidRPr="00C90E06">
              <w:fldChar w:fldCharType="begin">
                <w:ffData>
                  <w:name w:val=""/>
                  <w:enabled/>
                  <w:calcOnExit w:val="0"/>
                  <w:checkBox>
                    <w:sizeAuto/>
                    <w:default w:val="0"/>
                  </w:checkBox>
                </w:ffData>
              </w:fldChar>
            </w:r>
            <w:r w:rsidRPr="00C90E06">
              <w:instrText xml:space="preserve"> FORMCHECKBOX </w:instrText>
            </w:r>
            <w:r w:rsidR="00F20E22">
              <w:fldChar w:fldCharType="separate"/>
            </w:r>
            <w:r w:rsidRPr="00C90E06">
              <w:fldChar w:fldCharType="end"/>
            </w:r>
            <w:r w:rsidRPr="00C90E06">
              <w:t xml:space="preserve"> C</w:t>
            </w:r>
            <w:r w:rsidR="00B0211D" w:rsidRPr="00C90E06">
              <w:t>ross-border or regional project</w:t>
            </w:r>
          </w:p>
        </w:tc>
      </w:tr>
      <w:tr w:rsidR="00793DE6" w:rsidRPr="00C90E06" w14:paraId="481DE647" w14:textId="77777777" w:rsidTr="00F23D0F">
        <w:trPr>
          <w:trHeight w:val="1124"/>
        </w:trPr>
        <w:tc>
          <w:tcPr>
            <w:tcW w:w="10080" w:type="dxa"/>
            <w:gridSpan w:val="2"/>
          </w:tcPr>
          <w:p w14:paraId="403DC2CA" w14:textId="77777777" w:rsidR="00793DE6" w:rsidRPr="00C90E06" w:rsidRDefault="00793DE6" w:rsidP="00F23D0F">
            <w:pPr>
              <w:rPr>
                <w:b/>
                <w:bCs/>
                <w:iCs/>
              </w:rPr>
            </w:pPr>
            <w:r w:rsidRPr="00C90E06">
              <w:rPr>
                <w:b/>
                <w:bCs/>
                <w:iCs/>
              </w:rPr>
              <w:t xml:space="preserve">Total PBF approved project budget (by recipient organization): </w:t>
            </w:r>
          </w:p>
          <w:p w14:paraId="1C668B70" w14:textId="77777777" w:rsidR="00006EC0" w:rsidRPr="00C90E06" w:rsidRDefault="00006EC0" w:rsidP="00F23D0F">
            <w:pPr>
              <w:rPr>
                <w:b/>
                <w:iCs/>
                <w:snapToGrid w:val="0"/>
              </w:rPr>
            </w:pPr>
            <w:bookmarkStart w:id="1" w:name="_Hlk39507683"/>
            <w:r w:rsidRPr="00C90E06">
              <w:rPr>
                <w:b/>
                <w:iCs/>
                <w:snapToGrid w:val="0"/>
              </w:rPr>
              <w:t xml:space="preserve">Recipient Organization              Amount  </w:t>
            </w:r>
          </w:p>
          <w:bookmarkEnd w:id="1"/>
          <w:p w14:paraId="0D6CD3C0" w14:textId="5FFD24D9" w:rsidR="00793DE6" w:rsidRPr="00C90E06" w:rsidRDefault="001D75A9" w:rsidP="00F23D0F">
            <w:pPr>
              <w:rPr>
                <w:iCs/>
              </w:rPr>
            </w:pPr>
            <w:r w:rsidRPr="00C90E06">
              <w:rPr>
                <w:bCs/>
                <w:iCs/>
                <w:snapToGrid w:val="0"/>
              </w:rPr>
              <w:t>UNFPA</w:t>
            </w:r>
            <w:r w:rsidR="00006EC0" w:rsidRPr="00C90E06">
              <w:rPr>
                <w:bCs/>
                <w:iCs/>
                <w:snapToGrid w:val="0"/>
              </w:rPr>
              <w:t xml:space="preserve"> </w:t>
            </w:r>
            <w:r w:rsidR="00006EC0" w:rsidRPr="00C90E06">
              <w:rPr>
                <w:b/>
                <w:bCs/>
                <w:iCs/>
              </w:rPr>
              <w:t xml:space="preserve">                                        </w:t>
            </w:r>
            <w:r w:rsidR="00793DE6" w:rsidRPr="00C90E06">
              <w:rPr>
                <w:iCs/>
              </w:rPr>
              <w:t xml:space="preserve">$ </w:t>
            </w:r>
            <w:r w:rsidR="00BB0F68" w:rsidRPr="00C90E06">
              <w:rPr>
                <w:bCs/>
                <w:iCs/>
                <w:snapToGrid w:val="0"/>
              </w:rPr>
              <w:t>1,000,000</w:t>
            </w:r>
          </w:p>
          <w:p w14:paraId="23041C68" w14:textId="4FFCD0FA" w:rsidR="00793DE6" w:rsidRPr="00C90E06" w:rsidRDefault="00BB0F68"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C90E06">
              <w:rPr>
                <w:rFonts w:ascii="Times New Roman" w:hAnsi="Times New Roman" w:cs="Times New Roman"/>
                <w:bCs/>
                <w:iCs/>
                <w:snapToGrid w:val="0"/>
                <w:sz w:val="24"/>
                <w:szCs w:val="24"/>
              </w:rPr>
              <w:t xml:space="preserve">UNDP </w:t>
            </w:r>
            <w:r w:rsidR="00C12D6A" w:rsidRPr="00C90E06">
              <w:rPr>
                <w:rFonts w:ascii="Times New Roman" w:hAnsi="Times New Roman" w:cs="Times New Roman"/>
                <w:bCs/>
                <w:iCs/>
                <w:snapToGrid w:val="0"/>
                <w:sz w:val="24"/>
                <w:szCs w:val="24"/>
              </w:rPr>
              <w:t xml:space="preserve"> </w:t>
            </w:r>
            <w:r w:rsidR="00006EC0" w:rsidRPr="00C90E06">
              <w:rPr>
                <w:rFonts w:ascii="Times New Roman" w:hAnsi="Times New Roman" w:cs="Times New Roman"/>
                <w:bCs/>
                <w:iCs/>
                <w:snapToGrid w:val="0"/>
                <w:sz w:val="24"/>
                <w:szCs w:val="24"/>
              </w:rPr>
              <w:t xml:space="preserve">                                         </w:t>
            </w:r>
            <w:r w:rsidR="00793DE6" w:rsidRPr="00C90E06">
              <w:rPr>
                <w:rFonts w:ascii="Times New Roman" w:hAnsi="Times New Roman" w:cs="Times New Roman"/>
                <w:sz w:val="24"/>
                <w:szCs w:val="24"/>
              </w:rPr>
              <w:t xml:space="preserve">$ </w:t>
            </w:r>
            <w:r w:rsidRPr="00C90E06">
              <w:rPr>
                <w:rFonts w:ascii="Times New Roman" w:hAnsi="Times New Roman" w:cs="Times New Roman"/>
                <w:bCs/>
                <w:iCs/>
                <w:snapToGrid w:val="0"/>
                <w:sz w:val="24"/>
                <w:szCs w:val="24"/>
              </w:rPr>
              <w:t>500,000</w:t>
            </w:r>
          </w:p>
          <w:p w14:paraId="6FC28956" w14:textId="1FF07916" w:rsidR="00793DE6" w:rsidRPr="00C90E06" w:rsidRDefault="00BB0F68"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C90E06">
              <w:rPr>
                <w:rFonts w:ascii="Times New Roman" w:hAnsi="Times New Roman" w:cs="Times New Roman"/>
                <w:bCs/>
                <w:iCs/>
                <w:snapToGrid w:val="0"/>
                <w:sz w:val="24"/>
                <w:szCs w:val="24"/>
              </w:rPr>
              <w:t xml:space="preserve">UN Women </w:t>
            </w:r>
            <w:r w:rsidR="00006EC0" w:rsidRPr="00C90E06">
              <w:rPr>
                <w:rFonts w:ascii="Times New Roman" w:hAnsi="Times New Roman" w:cs="Times New Roman"/>
                <w:bCs/>
                <w:iCs/>
                <w:snapToGrid w:val="0"/>
                <w:sz w:val="24"/>
                <w:szCs w:val="24"/>
              </w:rPr>
              <w:t xml:space="preserve">                                  </w:t>
            </w:r>
            <w:r w:rsidR="00793DE6" w:rsidRPr="00C90E06">
              <w:rPr>
                <w:rFonts w:ascii="Times New Roman" w:hAnsi="Times New Roman" w:cs="Times New Roman"/>
                <w:sz w:val="24"/>
                <w:szCs w:val="24"/>
              </w:rPr>
              <w:t xml:space="preserve">$ </w:t>
            </w:r>
            <w:r w:rsidRPr="00C90E06">
              <w:rPr>
                <w:rFonts w:ascii="Times New Roman" w:hAnsi="Times New Roman" w:cs="Times New Roman"/>
                <w:sz w:val="24"/>
                <w:szCs w:val="24"/>
              </w:rPr>
              <w:t>500,000</w:t>
            </w:r>
          </w:p>
          <w:p w14:paraId="151B93FE" w14:textId="181D3C3E" w:rsidR="00C12D6A" w:rsidRPr="00C90E06" w:rsidRDefault="00BB0F68"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C90E06">
              <w:rPr>
                <w:rFonts w:ascii="Times New Roman" w:hAnsi="Times New Roman" w:cs="Times New Roman"/>
                <w:bCs/>
                <w:iCs/>
                <w:snapToGrid w:val="0"/>
                <w:sz w:val="24"/>
                <w:szCs w:val="24"/>
              </w:rPr>
              <w:t>UNICEF</w:t>
            </w:r>
            <w:r w:rsidR="00006EC0" w:rsidRPr="00C90E06">
              <w:rPr>
                <w:rFonts w:ascii="Times New Roman" w:hAnsi="Times New Roman" w:cs="Times New Roman"/>
                <w:bCs/>
                <w:iCs/>
                <w:snapToGrid w:val="0"/>
                <w:sz w:val="24"/>
                <w:szCs w:val="24"/>
              </w:rPr>
              <w:t xml:space="preserve">                                       </w:t>
            </w:r>
            <w:r w:rsidR="00C12D6A" w:rsidRPr="00C90E06">
              <w:rPr>
                <w:rFonts w:ascii="Times New Roman" w:hAnsi="Times New Roman" w:cs="Times New Roman"/>
                <w:sz w:val="24"/>
                <w:szCs w:val="24"/>
              </w:rPr>
              <w:t xml:space="preserve">$ </w:t>
            </w:r>
            <w:r w:rsidRPr="00C90E06">
              <w:rPr>
                <w:rFonts w:ascii="Times New Roman" w:hAnsi="Times New Roman" w:cs="Times New Roman"/>
                <w:bCs/>
                <w:iCs/>
                <w:snapToGrid w:val="0"/>
                <w:sz w:val="24"/>
                <w:szCs w:val="24"/>
              </w:rPr>
              <w:t>1,000,000</w:t>
            </w:r>
          </w:p>
          <w:p w14:paraId="5E09328A" w14:textId="21BB4A8E" w:rsidR="00793DE6" w:rsidRPr="00C90E06"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C90E06">
              <w:rPr>
                <w:rFonts w:ascii="Times New Roman" w:hAnsi="Times New Roman" w:cs="Times New Roman"/>
                <w:sz w:val="24"/>
                <w:szCs w:val="24"/>
              </w:rPr>
              <w:t xml:space="preserve">                                           </w:t>
            </w:r>
            <w:r w:rsidR="00793DE6" w:rsidRPr="00C90E06">
              <w:rPr>
                <w:rFonts w:ascii="Times New Roman" w:hAnsi="Times New Roman" w:cs="Times New Roman"/>
                <w:sz w:val="24"/>
                <w:szCs w:val="24"/>
              </w:rPr>
              <w:t>Total:</w:t>
            </w:r>
            <w:r w:rsidRPr="00C90E06">
              <w:rPr>
                <w:rFonts w:ascii="Times New Roman" w:hAnsi="Times New Roman" w:cs="Times New Roman"/>
                <w:sz w:val="24"/>
                <w:szCs w:val="24"/>
              </w:rPr>
              <w:t xml:space="preserve"> $ </w:t>
            </w:r>
            <w:r w:rsidR="00BB0F68" w:rsidRPr="00C90E06">
              <w:rPr>
                <w:rFonts w:ascii="Times New Roman" w:hAnsi="Times New Roman" w:cs="Times New Roman"/>
                <w:bCs/>
                <w:iCs/>
                <w:snapToGrid w:val="0"/>
                <w:sz w:val="24"/>
                <w:szCs w:val="24"/>
              </w:rPr>
              <w:t>3,000,000</w:t>
            </w:r>
          </w:p>
          <w:p w14:paraId="21E4CBF9" w14:textId="5DFC1C0F" w:rsidR="001C56B8" w:rsidRPr="00C90E06"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C90E06">
              <w:rPr>
                <w:rFonts w:ascii="Times New Roman" w:hAnsi="Times New Roman" w:cs="Times New Roman"/>
                <w:bCs/>
                <w:iCs/>
                <w:snapToGrid w:val="0"/>
                <w:sz w:val="24"/>
                <w:szCs w:val="24"/>
              </w:rPr>
              <w:t xml:space="preserve">Approximate implementation rate as percentage of total project budget: </w:t>
            </w:r>
            <w:r w:rsidR="00735FD2" w:rsidRPr="00C90E06">
              <w:rPr>
                <w:rFonts w:ascii="Times New Roman" w:hAnsi="Times New Roman" w:cs="Times New Roman"/>
                <w:bCs/>
                <w:iCs/>
                <w:snapToGrid w:val="0"/>
                <w:sz w:val="24"/>
                <w:szCs w:val="24"/>
              </w:rPr>
              <w:t>52.26 (as on 31 August 2020)</w:t>
            </w:r>
          </w:p>
          <w:p w14:paraId="6171E240" w14:textId="77777777" w:rsidR="007C288F" w:rsidRPr="00C90E06"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C90E06">
              <w:rPr>
                <w:rFonts w:ascii="Times New Roman" w:hAnsi="Times New Roman" w:cs="Times New Roman"/>
                <w:bCs/>
                <w:iCs/>
                <w:snapToGrid w:val="0"/>
                <w:sz w:val="24"/>
                <w:szCs w:val="24"/>
              </w:rPr>
              <w:t>*ATTACH PROJECT EXCEL BUDGET SHOWING CURRENT APPROXIMATE EXPENDITURE*</w:t>
            </w:r>
          </w:p>
          <w:p w14:paraId="6901A670" w14:textId="77777777" w:rsidR="00793DE6" w:rsidRPr="00C90E06"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C90E06"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C90E06">
              <w:rPr>
                <w:rFonts w:ascii="Times New Roman" w:hAnsi="Times New Roman" w:cs="Times New Roman"/>
                <w:b/>
                <w:bCs/>
                <w:sz w:val="24"/>
                <w:szCs w:val="24"/>
              </w:rPr>
              <w:t>Gender-responsive Budgeting:</w:t>
            </w:r>
          </w:p>
          <w:p w14:paraId="5F48B706" w14:textId="77777777" w:rsidR="00006EC0" w:rsidRPr="00C90E06"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5995FF4B" w:rsidR="00970F4C" w:rsidRPr="00C90E06" w:rsidRDefault="00006EC0" w:rsidP="00006EC0">
            <w:r w:rsidRPr="00C90E06">
              <w:t>I</w:t>
            </w:r>
            <w:r w:rsidR="00970F4C" w:rsidRPr="00C90E06">
              <w:t xml:space="preserve">ndicate </w:t>
            </w:r>
            <w:r w:rsidRPr="00C90E06">
              <w:t xml:space="preserve">dollar amount from the project document </w:t>
            </w:r>
            <w:r w:rsidR="00970F4C" w:rsidRPr="00C90E06">
              <w:t xml:space="preserve">to be allocated to activities focussed on gender equality or women’s empowerment: </w:t>
            </w:r>
            <w:r w:rsidR="00BB0F68" w:rsidRPr="00C90E06">
              <w:t>100%</w:t>
            </w:r>
          </w:p>
          <w:p w14:paraId="0345EEE7" w14:textId="00A9D003" w:rsidR="00006EC0" w:rsidRPr="00C90E06" w:rsidRDefault="00006EC0" w:rsidP="00006EC0">
            <w:r w:rsidRPr="00C90E06">
              <w:t xml:space="preserve">Amount expended to date on activities focussed on gender equality or women’s empowerment: </w:t>
            </w:r>
            <w:r w:rsidR="00735FD2" w:rsidRPr="00C90E06">
              <w:t>$1,567,884</w:t>
            </w:r>
            <w:r w:rsidR="00433992" w:rsidRPr="00C90E06">
              <w:t xml:space="preserve"> (as on 31 August 2020)</w:t>
            </w:r>
          </w:p>
          <w:p w14:paraId="2CEAD5EE" w14:textId="77777777" w:rsidR="00952DE4" w:rsidRPr="00C90E06"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C90E06" w14:paraId="5ACD9B9B" w14:textId="77777777" w:rsidTr="00F23D0F">
        <w:trPr>
          <w:trHeight w:val="1124"/>
        </w:trPr>
        <w:tc>
          <w:tcPr>
            <w:tcW w:w="10080" w:type="dxa"/>
            <w:gridSpan w:val="2"/>
          </w:tcPr>
          <w:p w14:paraId="3E1801F7" w14:textId="6EFCC521" w:rsidR="009B18EB" w:rsidRPr="00C90E06" w:rsidRDefault="009B18EB" w:rsidP="00F23D0F">
            <w:pPr>
              <w:rPr>
                <w:b/>
                <w:bCs/>
                <w:iCs/>
              </w:rPr>
            </w:pPr>
            <w:r w:rsidRPr="00C90E06">
              <w:rPr>
                <w:b/>
                <w:bCs/>
                <w:iCs/>
              </w:rPr>
              <w:t xml:space="preserve">Project Gender Marker: </w:t>
            </w:r>
            <w:r w:rsidR="00BB0F68" w:rsidRPr="00C90E06">
              <w:rPr>
                <w:b/>
                <w:bCs/>
                <w:iCs/>
              </w:rPr>
              <w:t>GM3</w:t>
            </w:r>
          </w:p>
          <w:p w14:paraId="3A104835" w14:textId="77088F18" w:rsidR="009B18EB" w:rsidRPr="00C90E06" w:rsidRDefault="009B18EB" w:rsidP="00F23D0F">
            <w:pPr>
              <w:rPr>
                <w:b/>
                <w:bCs/>
                <w:iCs/>
              </w:rPr>
            </w:pPr>
            <w:r w:rsidRPr="00C90E06">
              <w:rPr>
                <w:b/>
                <w:bCs/>
                <w:iCs/>
              </w:rPr>
              <w:t xml:space="preserve">Project Risk Marker: </w:t>
            </w:r>
            <w:r w:rsidR="00BB0F68" w:rsidRPr="00C90E06">
              <w:rPr>
                <w:b/>
                <w:bCs/>
                <w:iCs/>
              </w:rPr>
              <w:t>Low</w:t>
            </w:r>
          </w:p>
          <w:p w14:paraId="1DAEED2D" w14:textId="759215E3" w:rsidR="009B18EB" w:rsidRPr="00C90E06" w:rsidRDefault="00BB0F68" w:rsidP="00BB0F68">
            <w:pPr>
              <w:rPr>
                <w:b/>
                <w:bCs/>
                <w:iCs/>
              </w:rPr>
            </w:pPr>
            <w:r w:rsidRPr="00C90E06">
              <w:rPr>
                <w:b/>
                <w:bCs/>
                <w:iCs/>
              </w:rPr>
              <w:t xml:space="preserve">Project PBF focus area: </w:t>
            </w:r>
            <w:r w:rsidRPr="00C90E06">
              <w:rPr>
                <w:bCs/>
                <w:iCs/>
              </w:rPr>
              <w:t>3.2; equitable access to social services</w:t>
            </w:r>
          </w:p>
        </w:tc>
      </w:tr>
      <w:tr w:rsidR="00793DE6" w:rsidRPr="00C90E06" w14:paraId="277CF964" w14:textId="77777777" w:rsidTr="00F23D0F">
        <w:trPr>
          <w:trHeight w:val="1124"/>
        </w:trPr>
        <w:tc>
          <w:tcPr>
            <w:tcW w:w="10080" w:type="dxa"/>
            <w:gridSpan w:val="2"/>
          </w:tcPr>
          <w:p w14:paraId="1CD7755C" w14:textId="77777777" w:rsidR="00793DE6" w:rsidRPr="00C90E06" w:rsidRDefault="00793DE6" w:rsidP="00793DE6">
            <w:pPr>
              <w:rPr>
                <w:b/>
                <w:bCs/>
              </w:rPr>
            </w:pPr>
            <w:r w:rsidRPr="00C90E06">
              <w:rPr>
                <w:b/>
                <w:bCs/>
              </w:rPr>
              <w:t>Report preparation:</w:t>
            </w:r>
          </w:p>
          <w:p w14:paraId="10BDFB0E" w14:textId="4453EF84" w:rsidR="00793DE6" w:rsidRPr="00C90E06" w:rsidRDefault="00793DE6" w:rsidP="00793DE6">
            <w:r w:rsidRPr="00C90E06">
              <w:t xml:space="preserve">Project report prepared by: </w:t>
            </w:r>
            <w:r w:rsidR="00BB0F68" w:rsidRPr="00C90E06">
              <w:rPr>
                <w:bCs/>
                <w:iCs/>
                <w:snapToGrid w:val="0"/>
              </w:rPr>
              <w:t>UNFPA</w:t>
            </w:r>
          </w:p>
          <w:p w14:paraId="6354F724" w14:textId="3255EB3E" w:rsidR="00793DE6" w:rsidRPr="00C90E06" w:rsidRDefault="00793DE6" w:rsidP="00793DE6">
            <w:r w:rsidRPr="00C90E06">
              <w:t xml:space="preserve">Project report approved by: </w:t>
            </w:r>
            <w:r w:rsidR="00BB0F68" w:rsidRPr="00C90E06">
              <w:t>RCO</w:t>
            </w:r>
          </w:p>
          <w:p w14:paraId="4D99FC9D" w14:textId="170D0EFC" w:rsidR="00793DE6" w:rsidRPr="00C90E06" w:rsidRDefault="00793DE6" w:rsidP="00BB0F68">
            <w:r w:rsidRPr="00C90E06">
              <w:t xml:space="preserve">Did PBF Secretariat </w:t>
            </w:r>
            <w:r w:rsidR="009B18EB" w:rsidRPr="00C90E06">
              <w:t xml:space="preserve">review </w:t>
            </w:r>
            <w:r w:rsidRPr="00C90E06">
              <w:t xml:space="preserve">the report: </w:t>
            </w:r>
            <w:r w:rsidR="00F20E22">
              <w:t>Reviewed by PBF Focal Point.</w:t>
            </w:r>
          </w:p>
        </w:tc>
      </w:tr>
    </w:tbl>
    <w:p w14:paraId="00782974" w14:textId="77777777" w:rsidR="00272A58" w:rsidRPr="00C90E06" w:rsidRDefault="00272A58" w:rsidP="00E76CA1">
      <w:pPr>
        <w:rPr>
          <w:b/>
        </w:rPr>
        <w:sectPr w:rsidR="00272A58" w:rsidRPr="00C90E06" w:rsidSect="0078600B">
          <w:footerReference w:type="default" r:id="rId13"/>
          <w:pgSz w:w="11906" w:h="16838"/>
          <w:pgMar w:top="1440" w:right="1800" w:bottom="1440" w:left="1800" w:header="720" w:footer="720" w:gutter="0"/>
          <w:cols w:space="720"/>
          <w:docGrid w:linePitch="360"/>
        </w:sectPr>
      </w:pPr>
    </w:p>
    <w:p w14:paraId="64B90F08" w14:textId="77777777" w:rsidR="00207B24" w:rsidRPr="00C90E06" w:rsidRDefault="00207B24" w:rsidP="00207B24">
      <w:pPr>
        <w:shd w:val="clear" w:color="auto" w:fill="8EAADB" w:themeFill="accent1" w:themeFillTint="99"/>
        <w:ind w:hanging="810"/>
        <w:jc w:val="both"/>
        <w:rPr>
          <w:b/>
          <w:u w:val="single"/>
        </w:rPr>
      </w:pPr>
      <w:r w:rsidRPr="00C90E06">
        <w:rPr>
          <w:b/>
          <w:u w:val="single"/>
        </w:rPr>
        <w:lastRenderedPageBreak/>
        <w:t>PART 1: OVERALL PROJECT PROGRESS</w:t>
      </w:r>
    </w:p>
    <w:p w14:paraId="53D3D9A6" w14:textId="77777777" w:rsidR="00A02F58" w:rsidRPr="00C90E06" w:rsidRDefault="00A02F58" w:rsidP="00206D45">
      <w:pPr>
        <w:rPr>
          <w:b/>
        </w:rPr>
      </w:pPr>
    </w:p>
    <w:p w14:paraId="2D61EC54" w14:textId="7986B79F" w:rsidR="00421A74" w:rsidRPr="00C90E06" w:rsidRDefault="00902A19" w:rsidP="00421A74">
      <w:pPr>
        <w:ind w:left="-810"/>
        <w:jc w:val="both"/>
      </w:pPr>
      <w:r w:rsidRPr="00C90E06">
        <w:t>D</w:t>
      </w:r>
      <w:r w:rsidR="00F71970" w:rsidRPr="00C90E06">
        <w:t xml:space="preserve">uring </w:t>
      </w:r>
      <w:r w:rsidRPr="00C90E06">
        <w:t>the reporting period of 1 year</w:t>
      </w:r>
      <w:r w:rsidR="00594349" w:rsidRPr="00C90E06">
        <w:t xml:space="preserve">, the project reached 8711 individuals (approximately 90% women and girls) </w:t>
      </w:r>
      <w:r w:rsidR="00605E02">
        <w:t xml:space="preserve">through case management support </w:t>
      </w:r>
      <w:r w:rsidR="00594349" w:rsidRPr="00C90E06">
        <w:t>and 693,166 individuals through community outreach</w:t>
      </w:r>
      <w:r w:rsidR="00F71970" w:rsidRPr="00C90E06">
        <w:t xml:space="preserve"> </w:t>
      </w:r>
      <w:r w:rsidRPr="00C90E06">
        <w:t xml:space="preserve">using </w:t>
      </w:r>
      <w:r w:rsidR="00F71970" w:rsidRPr="00C90E06">
        <w:t>integrated approach for pr</w:t>
      </w:r>
      <w:r w:rsidR="006B3614" w:rsidRPr="00C90E06">
        <w:t>evention of and addressing GBV as catalyst for peace.</w:t>
      </w:r>
      <w:r w:rsidRPr="00C90E06">
        <w:t xml:space="preserve"> </w:t>
      </w:r>
      <w:r w:rsidR="00B97847" w:rsidRPr="00C90E06">
        <w:t xml:space="preserve">The Covid-19 pandemic and </w:t>
      </w:r>
      <w:r w:rsidR="004A6412" w:rsidRPr="00C90E06">
        <w:t xml:space="preserve">the floods in </w:t>
      </w:r>
      <w:proofErr w:type="spellStart"/>
      <w:r w:rsidR="004A6412" w:rsidRPr="00C90E06">
        <w:t>Bor</w:t>
      </w:r>
      <w:proofErr w:type="spellEnd"/>
      <w:r w:rsidR="00B97847" w:rsidRPr="00C90E06">
        <w:t xml:space="preserve"> necessitated the project partners to adapt strategies </w:t>
      </w:r>
      <w:r w:rsidR="00433992" w:rsidRPr="00C90E06">
        <w:t xml:space="preserve">to continue </w:t>
      </w:r>
      <w:r w:rsidR="00B97847" w:rsidRPr="00C90E06">
        <w:t xml:space="preserve">services for GBV survivors in the project areas. As a result of these timely adaptations, </w:t>
      </w:r>
      <w:r w:rsidR="00FE4869" w:rsidRPr="00C90E06">
        <w:t xml:space="preserve">the </w:t>
      </w:r>
      <w:proofErr w:type="gramStart"/>
      <w:r w:rsidR="004A6412" w:rsidRPr="00C90E06">
        <w:t>life-saving</w:t>
      </w:r>
      <w:proofErr w:type="gramEnd"/>
      <w:r w:rsidR="004A6412" w:rsidRPr="00C90E06">
        <w:t xml:space="preserve"> GBV services and </w:t>
      </w:r>
      <w:r w:rsidR="00FE4869" w:rsidRPr="00C90E06">
        <w:t xml:space="preserve">community engagement were continued in times </w:t>
      </w:r>
      <w:r w:rsidR="004A6412" w:rsidRPr="00C90E06">
        <w:t xml:space="preserve">when </w:t>
      </w:r>
      <w:r w:rsidR="00FE4869" w:rsidRPr="00C90E06">
        <w:t xml:space="preserve">the </w:t>
      </w:r>
      <w:r w:rsidR="004A6412" w:rsidRPr="00C90E06">
        <w:t xml:space="preserve">risk of GBV increased even further. </w:t>
      </w:r>
    </w:p>
    <w:p w14:paraId="77BFD0F3" w14:textId="77777777" w:rsidR="00421A74" w:rsidRPr="00C90E06" w:rsidRDefault="00421A74" w:rsidP="007A2300">
      <w:pPr>
        <w:ind w:left="-810"/>
        <w:jc w:val="both"/>
      </w:pPr>
    </w:p>
    <w:tbl>
      <w:tblPr>
        <w:tblStyle w:val="TableGrid"/>
        <w:tblW w:w="0" w:type="auto"/>
        <w:tblInd w:w="-810" w:type="dxa"/>
        <w:tblLook w:val="04A0" w:firstRow="1" w:lastRow="0" w:firstColumn="1" w:lastColumn="0" w:noHBand="0" w:noVBand="1"/>
      </w:tblPr>
      <w:tblGrid>
        <w:gridCol w:w="963"/>
        <w:gridCol w:w="1192"/>
        <w:gridCol w:w="3780"/>
        <w:gridCol w:w="3128"/>
      </w:tblGrid>
      <w:tr w:rsidR="00F71970" w:rsidRPr="00C90E06" w14:paraId="65013DD7" w14:textId="77777777" w:rsidTr="00433992">
        <w:tc>
          <w:tcPr>
            <w:tcW w:w="963" w:type="dxa"/>
          </w:tcPr>
          <w:p w14:paraId="34B0632B" w14:textId="5458505C" w:rsidR="00F71970" w:rsidRPr="00C90E06" w:rsidRDefault="00F71970" w:rsidP="007A2300">
            <w:pPr>
              <w:jc w:val="both"/>
              <w:rPr>
                <w:b/>
              </w:rPr>
            </w:pPr>
            <w:r w:rsidRPr="00C90E06">
              <w:rPr>
                <w:b/>
              </w:rPr>
              <w:t>Output</w:t>
            </w:r>
          </w:p>
        </w:tc>
        <w:tc>
          <w:tcPr>
            <w:tcW w:w="1192" w:type="dxa"/>
          </w:tcPr>
          <w:p w14:paraId="6DD93EC9" w14:textId="5CEBC3BE" w:rsidR="00F71970" w:rsidRPr="00C90E06" w:rsidRDefault="00F71970" w:rsidP="007A2300">
            <w:pPr>
              <w:jc w:val="both"/>
              <w:rPr>
                <w:b/>
              </w:rPr>
            </w:pPr>
            <w:r w:rsidRPr="00C90E06">
              <w:rPr>
                <w:b/>
              </w:rPr>
              <w:t>Lead Agency</w:t>
            </w:r>
          </w:p>
        </w:tc>
        <w:tc>
          <w:tcPr>
            <w:tcW w:w="3780" w:type="dxa"/>
          </w:tcPr>
          <w:p w14:paraId="424AA0E0" w14:textId="45BCA0CF" w:rsidR="00F71970" w:rsidRPr="00C90E06" w:rsidRDefault="00F71970" w:rsidP="007A2300">
            <w:pPr>
              <w:jc w:val="both"/>
              <w:rPr>
                <w:b/>
              </w:rPr>
            </w:pPr>
            <w:r w:rsidRPr="00C90E06">
              <w:rPr>
                <w:b/>
              </w:rPr>
              <w:t>Collaborating partners</w:t>
            </w:r>
          </w:p>
        </w:tc>
        <w:tc>
          <w:tcPr>
            <w:tcW w:w="3128" w:type="dxa"/>
          </w:tcPr>
          <w:p w14:paraId="440A94F4" w14:textId="43214BD1" w:rsidR="00F71970" w:rsidRPr="00C90E06" w:rsidRDefault="00F71970" w:rsidP="009C61FD">
            <w:pPr>
              <w:jc w:val="both"/>
              <w:rPr>
                <w:b/>
              </w:rPr>
            </w:pPr>
            <w:r w:rsidRPr="00C90E06">
              <w:rPr>
                <w:b/>
              </w:rPr>
              <w:t>Beneficiaries reached</w:t>
            </w:r>
            <w:r w:rsidR="006F2361" w:rsidRPr="00C90E06">
              <w:rPr>
                <w:b/>
              </w:rPr>
              <w:t xml:space="preserve"> till 31</w:t>
            </w:r>
            <w:r w:rsidR="009C61FD" w:rsidRPr="00C90E06">
              <w:rPr>
                <w:b/>
              </w:rPr>
              <w:t xml:space="preserve"> October</w:t>
            </w:r>
            <w:r w:rsidR="00E4481B" w:rsidRPr="00C90E06">
              <w:rPr>
                <w:b/>
              </w:rPr>
              <w:t xml:space="preserve"> 2020</w:t>
            </w:r>
          </w:p>
        </w:tc>
      </w:tr>
      <w:tr w:rsidR="00F71970" w:rsidRPr="00C90E06" w14:paraId="66A0B8A0" w14:textId="77777777" w:rsidTr="00433992">
        <w:tc>
          <w:tcPr>
            <w:tcW w:w="963" w:type="dxa"/>
          </w:tcPr>
          <w:p w14:paraId="7BAE3BD7" w14:textId="77EFDBE0" w:rsidR="00F71970" w:rsidRPr="00C90E06" w:rsidRDefault="00F71970" w:rsidP="007A2300">
            <w:pPr>
              <w:jc w:val="both"/>
            </w:pPr>
            <w:r w:rsidRPr="00C90E06">
              <w:t>Output 1</w:t>
            </w:r>
          </w:p>
        </w:tc>
        <w:tc>
          <w:tcPr>
            <w:tcW w:w="1192" w:type="dxa"/>
          </w:tcPr>
          <w:p w14:paraId="663AA608" w14:textId="41206DA1" w:rsidR="00F71970" w:rsidRPr="00C90E06" w:rsidRDefault="00F71970" w:rsidP="007A2300">
            <w:pPr>
              <w:jc w:val="both"/>
            </w:pPr>
            <w:r w:rsidRPr="00C90E06">
              <w:t>UNFPA</w:t>
            </w:r>
          </w:p>
        </w:tc>
        <w:tc>
          <w:tcPr>
            <w:tcW w:w="3780" w:type="dxa"/>
          </w:tcPr>
          <w:p w14:paraId="66DF8873" w14:textId="77777777" w:rsidR="00AF3BA8" w:rsidRPr="00C90E06" w:rsidRDefault="00F71970" w:rsidP="001E1A6E">
            <w:pPr>
              <w:pStyle w:val="ListParagraph"/>
              <w:numPr>
                <w:ilvl w:val="0"/>
                <w:numId w:val="4"/>
              </w:numPr>
              <w:jc w:val="both"/>
            </w:pPr>
            <w:r w:rsidRPr="00C90E06">
              <w:t>UN Joint programme agencies</w:t>
            </w:r>
          </w:p>
          <w:p w14:paraId="186C654B" w14:textId="77777777" w:rsidR="00AF3BA8" w:rsidRPr="00C90E06" w:rsidRDefault="00F71970" w:rsidP="001E1A6E">
            <w:pPr>
              <w:pStyle w:val="ListParagraph"/>
              <w:numPr>
                <w:ilvl w:val="0"/>
                <w:numId w:val="4"/>
              </w:numPr>
              <w:jc w:val="both"/>
            </w:pPr>
            <w:r w:rsidRPr="00C90E06">
              <w:t>Ministry of G</w:t>
            </w:r>
            <w:r w:rsidR="00AF3BA8" w:rsidRPr="00C90E06">
              <w:t>ender, Child and Social Welfare</w:t>
            </w:r>
          </w:p>
          <w:p w14:paraId="3B1396BB" w14:textId="77777777" w:rsidR="00AF3BA8" w:rsidRPr="00C90E06" w:rsidRDefault="00F71970" w:rsidP="001E1A6E">
            <w:pPr>
              <w:pStyle w:val="ListParagraph"/>
              <w:numPr>
                <w:ilvl w:val="0"/>
                <w:numId w:val="4"/>
              </w:numPr>
              <w:jc w:val="both"/>
            </w:pPr>
            <w:r w:rsidRPr="00C90E06">
              <w:t>Smile Again Africa Development Organization</w:t>
            </w:r>
          </w:p>
          <w:p w14:paraId="791B7D63" w14:textId="77777777" w:rsidR="00AF3BA8" w:rsidRPr="00C90E06" w:rsidRDefault="00F71970" w:rsidP="001E1A6E">
            <w:pPr>
              <w:pStyle w:val="ListParagraph"/>
              <w:numPr>
                <w:ilvl w:val="0"/>
                <w:numId w:val="4"/>
              </w:numPr>
              <w:jc w:val="both"/>
            </w:pPr>
            <w:r w:rsidRPr="00C90E06">
              <w:t>ADAFIN</w:t>
            </w:r>
          </w:p>
          <w:p w14:paraId="730075B7" w14:textId="09EEFEAA" w:rsidR="00F71970" w:rsidRPr="00C90E06" w:rsidRDefault="00F71970" w:rsidP="001E1A6E">
            <w:pPr>
              <w:pStyle w:val="ListParagraph"/>
              <w:numPr>
                <w:ilvl w:val="0"/>
                <w:numId w:val="4"/>
              </w:numPr>
              <w:jc w:val="both"/>
            </w:pPr>
            <w:r w:rsidRPr="00C90E06">
              <w:t>Nile Hope</w:t>
            </w:r>
          </w:p>
        </w:tc>
        <w:tc>
          <w:tcPr>
            <w:tcW w:w="3128" w:type="dxa"/>
          </w:tcPr>
          <w:p w14:paraId="4DA10067" w14:textId="25286D59" w:rsidR="00F71970" w:rsidRPr="00C90E06" w:rsidRDefault="00CD24B1" w:rsidP="007A2300">
            <w:pPr>
              <w:jc w:val="both"/>
            </w:pPr>
            <w:r w:rsidRPr="00C90E06">
              <w:t>GBV survivors: 92</w:t>
            </w:r>
          </w:p>
          <w:p w14:paraId="1AF7B924" w14:textId="4FA6AD13" w:rsidR="00CD24B1" w:rsidRPr="00C90E06" w:rsidRDefault="00CD24B1" w:rsidP="007A2300">
            <w:pPr>
              <w:jc w:val="both"/>
            </w:pPr>
            <w:r w:rsidRPr="00C90E06">
              <w:t>GBV service providers: 68</w:t>
            </w:r>
          </w:p>
          <w:p w14:paraId="484A8FF0" w14:textId="70B56E9E" w:rsidR="00CD24B1" w:rsidRPr="00C90E06" w:rsidRDefault="00CD24B1" w:rsidP="007A2300">
            <w:pPr>
              <w:jc w:val="both"/>
            </w:pPr>
            <w:r w:rsidRPr="00C90E06">
              <w:t>GBV duty bearers: 80</w:t>
            </w:r>
          </w:p>
          <w:p w14:paraId="7B61A266" w14:textId="48154E30" w:rsidR="00CD24B1" w:rsidRPr="00C90E06" w:rsidRDefault="00CD24B1" w:rsidP="007A2300">
            <w:pPr>
              <w:jc w:val="both"/>
            </w:pPr>
            <w:r w:rsidRPr="00C90E06">
              <w:t xml:space="preserve">Community Action Groups: 15 </w:t>
            </w:r>
          </w:p>
          <w:p w14:paraId="73B0F480" w14:textId="2FF64F82" w:rsidR="00CD24B1" w:rsidRPr="00C90E06" w:rsidRDefault="00CD24B1" w:rsidP="007A2300">
            <w:pPr>
              <w:jc w:val="both"/>
            </w:pPr>
            <w:r w:rsidRPr="00C90E06">
              <w:t>Community outreach</w:t>
            </w:r>
            <w:r w:rsidR="00F928D6" w:rsidRPr="00C90E06">
              <w:t>: 49,660 (35 radio shows)</w:t>
            </w:r>
            <w:r w:rsidRPr="00C90E06">
              <w:t xml:space="preserve"> </w:t>
            </w:r>
          </w:p>
        </w:tc>
      </w:tr>
      <w:tr w:rsidR="00F71970" w:rsidRPr="00C90E06" w14:paraId="553989E1" w14:textId="77777777" w:rsidTr="00433992">
        <w:tc>
          <w:tcPr>
            <w:tcW w:w="963" w:type="dxa"/>
          </w:tcPr>
          <w:p w14:paraId="3FDDE791" w14:textId="287AD796" w:rsidR="00F71970" w:rsidRPr="00C90E06" w:rsidRDefault="00F71970" w:rsidP="007A2300">
            <w:pPr>
              <w:jc w:val="both"/>
            </w:pPr>
            <w:r w:rsidRPr="00C90E06">
              <w:t>Output 2</w:t>
            </w:r>
          </w:p>
        </w:tc>
        <w:tc>
          <w:tcPr>
            <w:tcW w:w="1192" w:type="dxa"/>
          </w:tcPr>
          <w:p w14:paraId="3F0985A9" w14:textId="73A46351" w:rsidR="00F71970" w:rsidRPr="00C90E06" w:rsidRDefault="00F71970" w:rsidP="007A2300">
            <w:pPr>
              <w:jc w:val="both"/>
            </w:pPr>
            <w:r w:rsidRPr="00C90E06">
              <w:t>UN Women</w:t>
            </w:r>
          </w:p>
        </w:tc>
        <w:tc>
          <w:tcPr>
            <w:tcW w:w="3780" w:type="dxa"/>
          </w:tcPr>
          <w:p w14:paraId="28F02168" w14:textId="7BA87FD9" w:rsidR="003B6F62" w:rsidRPr="00C90E06" w:rsidRDefault="003B6F62" w:rsidP="001E1A6E">
            <w:pPr>
              <w:pStyle w:val="ListParagraph"/>
              <w:numPr>
                <w:ilvl w:val="0"/>
                <w:numId w:val="3"/>
              </w:numPr>
              <w:jc w:val="both"/>
              <w:rPr>
                <w:bCs/>
              </w:rPr>
            </w:pPr>
            <w:r w:rsidRPr="00C90E06">
              <w:t>UN Joint programme agencies</w:t>
            </w:r>
          </w:p>
          <w:p w14:paraId="0A3DB214" w14:textId="0F850527" w:rsidR="003B6F62" w:rsidRPr="00C90E06" w:rsidRDefault="003B6F62" w:rsidP="001E1A6E">
            <w:pPr>
              <w:pStyle w:val="ListParagraph"/>
              <w:numPr>
                <w:ilvl w:val="0"/>
                <w:numId w:val="3"/>
              </w:numPr>
              <w:jc w:val="both"/>
              <w:rPr>
                <w:bCs/>
              </w:rPr>
            </w:pPr>
            <w:r w:rsidRPr="00C90E06">
              <w:t>UNMISS</w:t>
            </w:r>
          </w:p>
          <w:p w14:paraId="2A41E764" w14:textId="26BFE17E" w:rsidR="00E818CF" w:rsidRPr="00C90E06" w:rsidRDefault="00E818CF" w:rsidP="001E1A6E">
            <w:pPr>
              <w:pStyle w:val="ListParagraph"/>
              <w:numPr>
                <w:ilvl w:val="0"/>
                <w:numId w:val="3"/>
              </w:numPr>
              <w:jc w:val="both"/>
              <w:rPr>
                <w:bCs/>
              </w:rPr>
            </w:pPr>
            <w:r w:rsidRPr="00C90E06">
              <w:rPr>
                <w:iCs/>
              </w:rPr>
              <w:t>American Refugee Committee (ARC)</w:t>
            </w:r>
          </w:p>
          <w:p w14:paraId="6F36C94F" w14:textId="77777777" w:rsidR="00E818CF" w:rsidRPr="00C90E06" w:rsidRDefault="00E818CF" w:rsidP="001E1A6E">
            <w:pPr>
              <w:pStyle w:val="ListParagraph"/>
              <w:numPr>
                <w:ilvl w:val="0"/>
                <w:numId w:val="3"/>
              </w:numPr>
              <w:jc w:val="both"/>
              <w:rPr>
                <w:bCs/>
              </w:rPr>
            </w:pPr>
            <w:r w:rsidRPr="00C90E06">
              <w:rPr>
                <w:iCs/>
              </w:rPr>
              <w:t>Steward Women</w:t>
            </w:r>
          </w:p>
          <w:p w14:paraId="6B597205" w14:textId="657EAE49" w:rsidR="003B6F62" w:rsidRPr="00C90E06" w:rsidRDefault="00E818CF" w:rsidP="001E1A6E">
            <w:pPr>
              <w:pStyle w:val="ListParagraph"/>
              <w:numPr>
                <w:ilvl w:val="0"/>
                <w:numId w:val="3"/>
              </w:numPr>
              <w:jc w:val="both"/>
              <w:rPr>
                <w:bCs/>
              </w:rPr>
            </w:pPr>
            <w:r w:rsidRPr="00C90E06">
              <w:rPr>
                <w:iCs/>
              </w:rPr>
              <w:t>INTERSOS</w:t>
            </w:r>
          </w:p>
        </w:tc>
        <w:tc>
          <w:tcPr>
            <w:tcW w:w="3128" w:type="dxa"/>
          </w:tcPr>
          <w:p w14:paraId="61780A8C" w14:textId="197497C1" w:rsidR="00F71970" w:rsidRPr="00C90E06" w:rsidRDefault="00594349" w:rsidP="007A2300">
            <w:pPr>
              <w:jc w:val="both"/>
            </w:pPr>
            <w:r w:rsidRPr="00C90E06">
              <w:t>Women including survivors: 1,428; men including local authority, community leaders: 195</w:t>
            </w:r>
          </w:p>
        </w:tc>
      </w:tr>
      <w:tr w:rsidR="00F71970" w:rsidRPr="00C90E06" w14:paraId="00F3F973" w14:textId="77777777" w:rsidTr="00433992">
        <w:tc>
          <w:tcPr>
            <w:tcW w:w="963" w:type="dxa"/>
          </w:tcPr>
          <w:p w14:paraId="3ED7C225" w14:textId="4E37324F" w:rsidR="00F71970" w:rsidRPr="00C90E06" w:rsidRDefault="00F71970" w:rsidP="007A2300">
            <w:pPr>
              <w:jc w:val="both"/>
            </w:pPr>
            <w:r w:rsidRPr="00C90E06">
              <w:t>Output 3</w:t>
            </w:r>
          </w:p>
        </w:tc>
        <w:tc>
          <w:tcPr>
            <w:tcW w:w="1192" w:type="dxa"/>
          </w:tcPr>
          <w:p w14:paraId="763FCE1E" w14:textId="5CE0FB57" w:rsidR="00F71970" w:rsidRPr="00C90E06" w:rsidRDefault="00F71970" w:rsidP="007A2300">
            <w:pPr>
              <w:jc w:val="both"/>
            </w:pPr>
            <w:r w:rsidRPr="00C90E06">
              <w:t>UNDP</w:t>
            </w:r>
          </w:p>
        </w:tc>
        <w:tc>
          <w:tcPr>
            <w:tcW w:w="3780" w:type="dxa"/>
          </w:tcPr>
          <w:p w14:paraId="0CFC8351" w14:textId="4581BE50" w:rsidR="00AF3BA8" w:rsidRPr="00C90E06" w:rsidRDefault="00AF3BA8" w:rsidP="001E1A6E">
            <w:pPr>
              <w:pStyle w:val="ListParagraph"/>
              <w:numPr>
                <w:ilvl w:val="0"/>
                <w:numId w:val="3"/>
              </w:numPr>
              <w:jc w:val="both"/>
              <w:rPr>
                <w:bCs/>
              </w:rPr>
            </w:pPr>
            <w:r w:rsidRPr="00C90E06">
              <w:t>UN Joint programme agencies</w:t>
            </w:r>
          </w:p>
          <w:p w14:paraId="101E752F" w14:textId="7D8FB415" w:rsidR="00355174" w:rsidRPr="00C90E06" w:rsidRDefault="00355174" w:rsidP="001E1A6E">
            <w:pPr>
              <w:pStyle w:val="ListParagraph"/>
              <w:numPr>
                <w:ilvl w:val="0"/>
                <w:numId w:val="3"/>
              </w:numPr>
              <w:jc w:val="both"/>
              <w:rPr>
                <w:bCs/>
              </w:rPr>
            </w:pPr>
            <w:r w:rsidRPr="00C90E06">
              <w:rPr>
                <w:bCs/>
              </w:rPr>
              <w:t xml:space="preserve">Action for Children Development Foundation –South Sudan (ACDF) </w:t>
            </w:r>
          </w:p>
          <w:p w14:paraId="35458A1B" w14:textId="7753E9D4" w:rsidR="00355174" w:rsidRPr="00C90E06" w:rsidRDefault="00355174" w:rsidP="001E1A6E">
            <w:pPr>
              <w:pStyle w:val="ListParagraph"/>
              <w:numPr>
                <w:ilvl w:val="0"/>
                <w:numId w:val="3"/>
              </w:numPr>
              <w:jc w:val="both"/>
              <w:rPr>
                <w:bCs/>
              </w:rPr>
            </w:pPr>
            <w:r w:rsidRPr="00C90E06">
              <w:rPr>
                <w:bCs/>
              </w:rPr>
              <w:t>Humanitarian Aid for Change and Transformation (HACT)</w:t>
            </w:r>
          </w:p>
          <w:p w14:paraId="2BCAE663" w14:textId="102802DE" w:rsidR="00355174" w:rsidRPr="00C90E06" w:rsidRDefault="00355174" w:rsidP="001E1A6E">
            <w:pPr>
              <w:pStyle w:val="ListParagraph"/>
              <w:numPr>
                <w:ilvl w:val="0"/>
                <w:numId w:val="3"/>
              </w:numPr>
              <w:jc w:val="both"/>
              <w:rPr>
                <w:bCs/>
              </w:rPr>
            </w:pPr>
            <w:r w:rsidRPr="00C90E06">
              <w:rPr>
                <w:bCs/>
              </w:rPr>
              <w:t>Humanitarian and Development Consortium (HDC)</w:t>
            </w:r>
          </w:p>
          <w:p w14:paraId="08D35C73" w14:textId="64CB4C19" w:rsidR="00F71970" w:rsidRPr="00C90E06" w:rsidRDefault="00355174" w:rsidP="001E1A6E">
            <w:pPr>
              <w:pStyle w:val="ListParagraph"/>
              <w:numPr>
                <w:ilvl w:val="0"/>
                <w:numId w:val="3"/>
              </w:numPr>
              <w:jc w:val="both"/>
            </w:pPr>
            <w:r w:rsidRPr="00C90E06">
              <w:rPr>
                <w:bCs/>
              </w:rPr>
              <w:t>Upper Nile Youth Mobilization for Peace and Development Agency (UNYMPD)</w:t>
            </w:r>
          </w:p>
        </w:tc>
        <w:tc>
          <w:tcPr>
            <w:tcW w:w="3128" w:type="dxa"/>
          </w:tcPr>
          <w:p w14:paraId="2986AE99" w14:textId="77777777" w:rsidR="00F71970" w:rsidRPr="00C90E06" w:rsidRDefault="00F62BD3" w:rsidP="007A2300">
            <w:pPr>
              <w:jc w:val="both"/>
            </w:pPr>
            <w:r w:rsidRPr="00C90E06">
              <w:t xml:space="preserve">Survivors: </w:t>
            </w:r>
            <w:r w:rsidR="001447C0" w:rsidRPr="00C90E06">
              <w:t>580 (413 women, 167 men)</w:t>
            </w:r>
          </w:p>
          <w:p w14:paraId="7F35617B" w14:textId="52E780C2" w:rsidR="00F62BD3" w:rsidRPr="00C90E06" w:rsidRDefault="00F62BD3" w:rsidP="007A2300">
            <w:pPr>
              <w:jc w:val="both"/>
            </w:pPr>
            <w:r w:rsidRPr="00C90E06">
              <w:t xml:space="preserve">Service providers and duty bearers: </w:t>
            </w:r>
            <w:r w:rsidR="00BD5B9A" w:rsidRPr="00C90E06">
              <w:t>40 (11 females)</w:t>
            </w:r>
          </w:p>
          <w:p w14:paraId="490B178F" w14:textId="5D5E216E" w:rsidR="00F62BD3" w:rsidRPr="00C90E06" w:rsidRDefault="00F62BD3" w:rsidP="007A2300">
            <w:pPr>
              <w:jc w:val="both"/>
              <w:rPr>
                <w:color w:val="000000"/>
                <w:lang w:val="en-US" w:eastAsia="en-US"/>
              </w:rPr>
            </w:pPr>
            <w:r w:rsidRPr="00C90E06">
              <w:t xml:space="preserve">Community members: </w:t>
            </w:r>
            <w:r w:rsidRPr="00C90E06">
              <w:rPr>
                <w:color w:val="000000"/>
                <w:lang w:val="en-US" w:eastAsia="en-US"/>
              </w:rPr>
              <w:t>417, 564 (57 percent female)</w:t>
            </w:r>
          </w:p>
          <w:p w14:paraId="2F8E4B85" w14:textId="76F2509A" w:rsidR="00F62BD3" w:rsidRPr="00C90E06" w:rsidRDefault="00F62BD3" w:rsidP="007A2300">
            <w:pPr>
              <w:jc w:val="both"/>
            </w:pPr>
          </w:p>
        </w:tc>
      </w:tr>
      <w:tr w:rsidR="00F71970" w:rsidRPr="00C90E06" w14:paraId="0D4F8E8A" w14:textId="77777777" w:rsidTr="00433992">
        <w:tc>
          <w:tcPr>
            <w:tcW w:w="963" w:type="dxa"/>
          </w:tcPr>
          <w:p w14:paraId="15927820" w14:textId="2A99F777" w:rsidR="00F71970" w:rsidRPr="00C90E06" w:rsidRDefault="00F71970" w:rsidP="007A2300">
            <w:pPr>
              <w:jc w:val="both"/>
            </w:pPr>
            <w:r w:rsidRPr="00C90E06">
              <w:t>Output 4</w:t>
            </w:r>
          </w:p>
        </w:tc>
        <w:tc>
          <w:tcPr>
            <w:tcW w:w="1192" w:type="dxa"/>
          </w:tcPr>
          <w:p w14:paraId="2F1722B7" w14:textId="160F7AA9" w:rsidR="00F71970" w:rsidRPr="00C90E06" w:rsidRDefault="00F71970" w:rsidP="007A2300">
            <w:pPr>
              <w:jc w:val="both"/>
            </w:pPr>
            <w:r w:rsidRPr="00C90E06">
              <w:t>UNICEF</w:t>
            </w:r>
          </w:p>
        </w:tc>
        <w:tc>
          <w:tcPr>
            <w:tcW w:w="3780" w:type="dxa"/>
          </w:tcPr>
          <w:p w14:paraId="61347CEF" w14:textId="77777777" w:rsidR="00F71970" w:rsidRPr="00C90E06" w:rsidRDefault="003B6F62" w:rsidP="001E1A6E">
            <w:pPr>
              <w:pStyle w:val="ListParagraph"/>
              <w:numPr>
                <w:ilvl w:val="0"/>
                <w:numId w:val="6"/>
              </w:numPr>
              <w:jc w:val="both"/>
            </w:pPr>
            <w:r w:rsidRPr="00C90E06">
              <w:t>UN Joint programme agencies</w:t>
            </w:r>
          </w:p>
          <w:p w14:paraId="3985BAAB" w14:textId="77777777" w:rsidR="007014C8" w:rsidRPr="00C90E06" w:rsidRDefault="007014C8" w:rsidP="007014C8">
            <w:pPr>
              <w:pStyle w:val="ListParagraph"/>
              <w:numPr>
                <w:ilvl w:val="0"/>
                <w:numId w:val="6"/>
              </w:numPr>
              <w:jc w:val="both"/>
            </w:pPr>
            <w:r w:rsidRPr="00C90E06">
              <w:t>American Refugee Committee (ARC)</w:t>
            </w:r>
          </w:p>
          <w:p w14:paraId="5A571493" w14:textId="77777777" w:rsidR="007014C8" w:rsidRPr="00C90E06" w:rsidRDefault="007014C8" w:rsidP="007014C8">
            <w:pPr>
              <w:pStyle w:val="ListParagraph"/>
              <w:numPr>
                <w:ilvl w:val="0"/>
                <w:numId w:val="6"/>
              </w:numPr>
              <w:jc w:val="both"/>
            </w:pPr>
            <w:r w:rsidRPr="00C90E06">
              <w:t>African Initiative for Rural Development (AIRD)</w:t>
            </w:r>
          </w:p>
          <w:p w14:paraId="259B9E13" w14:textId="59BD3F2A" w:rsidR="003B6F62" w:rsidRPr="00C90E06" w:rsidRDefault="007014C8" w:rsidP="007014C8">
            <w:pPr>
              <w:pStyle w:val="ListParagraph"/>
              <w:numPr>
                <w:ilvl w:val="0"/>
                <w:numId w:val="6"/>
              </w:numPr>
              <w:jc w:val="both"/>
            </w:pPr>
            <w:r w:rsidRPr="00C90E06">
              <w:t>CARE International South Sudan</w:t>
            </w:r>
          </w:p>
        </w:tc>
        <w:tc>
          <w:tcPr>
            <w:tcW w:w="3128" w:type="dxa"/>
          </w:tcPr>
          <w:p w14:paraId="360B5D3F" w14:textId="3D70478A" w:rsidR="00134491" w:rsidRPr="00C90E06" w:rsidRDefault="00134491" w:rsidP="007A2300">
            <w:pPr>
              <w:jc w:val="both"/>
              <w:rPr>
                <w:bCs/>
              </w:rPr>
            </w:pPr>
            <w:r w:rsidRPr="00C90E06">
              <w:t xml:space="preserve">GBV response and prevention messages: </w:t>
            </w:r>
            <w:r w:rsidRPr="00C90E06">
              <w:rPr>
                <w:bCs/>
              </w:rPr>
              <w:t>5,528 individuals (900 girls, 632 boys, 3,293 women, 703 men)</w:t>
            </w:r>
          </w:p>
          <w:p w14:paraId="17754E08" w14:textId="234780FF" w:rsidR="00134491" w:rsidRPr="00C90E06" w:rsidRDefault="00134491" w:rsidP="007A2300">
            <w:pPr>
              <w:jc w:val="both"/>
              <w:rPr>
                <w:bCs/>
              </w:rPr>
            </w:pPr>
            <w:r w:rsidRPr="00C90E06">
              <w:rPr>
                <w:bCs/>
              </w:rPr>
              <w:t>Individual case management: 410 women and 95 girls</w:t>
            </w:r>
          </w:p>
          <w:p w14:paraId="5EF02590" w14:textId="4DAAED0D" w:rsidR="00134491" w:rsidRPr="00C90E06" w:rsidRDefault="00134491" w:rsidP="007A2300">
            <w:pPr>
              <w:jc w:val="both"/>
            </w:pPr>
            <w:r w:rsidRPr="00C90E06">
              <w:rPr>
                <w:bCs/>
              </w:rPr>
              <w:t>Distribution of dignity kits: 140</w:t>
            </w:r>
          </w:p>
          <w:p w14:paraId="3EB08D8D" w14:textId="3CD9658C" w:rsidR="00943FF0" w:rsidRPr="00C90E06" w:rsidRDefault="00134491" w:rsidP="007A2300">
            <w:pPr>
              <w:jc w:val="both"/>
            </w:pPr>
            <w:r w:rsidRPr="00C90E06">
              <w:t xml:space="preserve">Community outreach: </w:t>
            </w:r>
            <w:r w:rsidR="00943FF0" w:rsidRPr="00C90E06">
              <w:t xml:space="preserve">225,942 people </w:t>
            </w:r>
          </w:p>
          <w:p w14:paraId="5E0BFF57" w14:textId="12BA0F3A" w:rsidR="00F71970" w:rsidRPr="00C90E06" w:rsidRDefault="00943FF0" w:rsidP="00134491">
            <w:pPr>
              <w:jc w:val="both"/>
            </w:pPr>
            <w:r w:rsidRPr="00C90E06">
              <w:t>(35,200 girls, 12,742 boys, 154,000 women, 24,000 men)</w:t>
            </w:r>
            <w:r w:rsidR="00521896" w:rsidRPr="00C90E06">
              <w:t xml:space="preserve"> through </w:t>
            </w:r>
            <w:r w:rsidR="00E31E39" w:rsidRPr="00C90E06">
              <w:t xml:space="preserve">community </w:t>
            </w:r>
            <w:r w:rsidR="00521896" w:rsidRPr="00C90E06">
              <w:t>outreach</w:t>
            </w:r>
          </w:p>
        </w:tc>
      </w:tr>
    </w:tbl>
    <w:p w14:paraId="25EA6051" w14:textId="77777777" w:rsidR="003B251D" w:rsidRPr="00C90E06" w:rsidRDefault="003B251D" w:rsidP="003B251D">
      <w:pPr>
        <w:jc w:val="both"/>
      </w:pPr>
    </w:p>
    <w:p w14:paraId="5FA25E0D" w14:textId="55300939" w:rsidR="003B251D" w:rsidRPr="00C90E06" w:rsidRDefault="00947CCC" w:rsidP="003B251D">
      <w:pPr>
        <w:ind w:left="-810"/>
        <w:jc w:val="both"/>
      </w:pPr>
      <w:r w:rsidRPr="00C90E06">
        <w:t xml:space="preserve">To provide </w:t>
      </w:r>
      <w:r w:rsidR="00AF3BA8" w:rsidRPr="00C90E06">
        <w:t>integrated services for the GBV</w:t>
      </w:r>
      <w:r w:rsidR="00530697" w:rsidRPr="00C90E06">
        <w:t xml:space="preserve"> survivors</w:t>
      </w:r>
      <w:r w:rsidR="006B3614" w:rsidRPr="00C90E06">
        <w:t xml:space="preserve">, </w:t>
      </w:r>
      <w:r w:rsidR="00530697" w:rsidRPr="00C90E06">
        <w:t xml:space="preserve">UNFPA in Aweil and Akobo </w:t>
      </w:r>
      <w:r w:rsidR="00B058E1" w:rsidRPr="00C90E06">
        <w:t xml:space="preserve">in collaboration with the Ministry of Health and Ministry of Gender, Child and social Welfare set up two Family Protection Centres, </w:t>
      </w:r>
      <w:r w:rsidR="00530697" w:rsidRPr="00C90E06">
        <w:t xml:space="preserve">also known as One Stop </w:t>
      </w:r>
      <w:proofErr w:type="gramStart"/>
      <w:r w:rsidR="00530697" w:rsidRPr="00C90E06">
        <w:t>Centre</w:t>
      </w:r>
      <w:proofErr w:type="gramEnd"/>
      <w:r w:rsidR="00530697" w:rsidRPr="00C90E06">
        <w:t xml:space="preserve"> to provide immediate, urgent and confidential medical, psychosocial and legal services to the survivors of GBV. </w:t>
      </w:r>
      <w:r w:rsidR="00B058E1" w:rsidRPr="00C90E06">
        <w:t>During the reporting period, t</w:t>
      </w:r>
      <w:r w:rsidR="00352C3B" w:rsidRPr="00C90E06">
        <w:t>otal 92</w:t>
      </w:r>
      <w:r w:rsidR="003B251D" w:rsidRPr="00C90E06">
        <w:t xml:space="preserve"> women and girl</w:t>
      </w:r>
      <w:r w:rsidR="00352C3B" w:rsidRPr="00C90E06">
        <w:t xml:space="preserve"> </w:t>
      </w:r>
      <w:r w:rsidR="00B058E1" w:rsidRPr="00C90E06">
        <w:t xml:space="preserve">GBV survivors received </w:t>
      </w:r>
      <w:r w:rsidR="00F33CE8" w:rsidRPr="00C90E06">
        <w:t>services</w:t>
      </w:r>
      <w:r w:rsidR="00352C3B" w:rsidRPr="00C90E06">
        <w:t>. 17 cases of</w:t>
      </w:r>
      <w:r w:rsidR="0067506A" w:rsidRPr="00C90E06">
        <w:t xml:space="preserve"> intimate partner</w:t>
      </w:r>
      <w:r w:rsidR="00352C3B" w:rsidRPr="00C90E06">
        <w:t xml:space="preserve"> violence, 28</w:t>
      </w:r>
      <w:r w:rsidR="00E92428" w:rsidRPr="00C90E06">
        <w:t xml:space="preserve"> cases of sexual violence</w:t>
      </w:r>
      <w:r w:rsidR="00CD24B1" w:rsidRPr="00C90E06">
        <w:t xml:space="preserve">. </w:t>
      </w:r>
      <w:r w:rsidR="00352C3B" w:rsidRPr="00C90E06">
        <w:t>Through these OSCs, 45</w:t>
      </w:r>
      <w:r w:rsidR="00E92428" w:rsidRPr="00C90E06">
        <w:t xml:space="preserve"> survivors received medical services,</w:t>
      </w:r>
      <w:r w:rsidR="00D362B9" w:rsidRPr="00C90E06">
        <w:t xml:space="preserve"> </w:t>
      </w:r>
      <w:r w:rsidR="003B251D" w:rsidRPr="00C90E06">
        <w:t xml:space="preserve">and </w:t>
      </w:r>
      <w:r w:rsidR="00352C3B" w:rsidRPr="00C90E06">
        <w:t>all</w:t>
      </w:r>
      <w:r w:rsidR="003B251D" w:rsidRPr="00C90E06">
        <w:t xml:space="preserve"> the</w:t>
      </w:r>
      <w:r w:rsidR="00352C3B" w:rsidRPr="00C90E06">
        <w:t xml:space="preserve"> 92 survivors provided with psychosocial support</w:t>
      </w:r>
      <w:r w:rsidR="00D362B9" w:rsidRPr="00C90E06">
        <w:t xml:space="preserve">. </w:t>
      </w:r>
      <w:r w:rsidR="003B251D" w:rsidRPr="00C90E06">
        <w:t>Total 68 service providers trained on provision of multi-sectoral GBV services, GBV concepts, guiding principles and referrals, and 80 duty bearers were engaged in GBV advocacy messages, coordination and updated referral pathways.</w:t>
      </w:r>
      <w:r w:rsidR="00D5432E" w:rsidRPr="00C90E06">
        <w:t xml:space="preserve"> Total 15 Community Action Groups are established to coordinate and act as community level support system for the survivors. </w:t>
      </w:r>
      <w:r w:rsidR="003B251D" w:rsidRPr="00C90E06">
        <w:t xml:space="preserve"> </w:t>
      </w:r>
    </w:p>
    <w:p w14:paraId="0757D740" w14:textId="1D4473A6" w:rsidR="003B251D" w:rsidRPr="00C90E06" w:rsidRDefault="003B251D" w:rsidP="00D81C4D">
      <w:pPr>
        <w:ind w:left="-810"/>
        <w:jc w:val="both"/>
      </w:pPr>
    </w:p>
    <w:p w14:paraId="21A520D2" w14:textId="616EA808" w:rsidR="006F2361" w:rsidRPr="00C90E06" w:rsidRDefault="00997DE7" w:rsidP="00D81C4D">
      <w:pPr>
        <w:ind w:left="-810"/>
        <w:jc w:val="both"/>
      </w:pPr>
      <w:r w:rsidRPr="00C90E06">
        <w:t>State ministry of Gender, C</w:t>
      </w:r>
      <w:r w:rsidR="00D5432E" w:rsidRPr="00C90E06">
        <w:t xml:space="preserve">hild and Social Welfare were supported to lead </w:t>
      </w:r>
      <w:r w:rsidR="0099721E" w:rsidRPr="00C90E06">
        <w:t xml:space="preserve">inter-sectoral and inter-agency coordination for </w:t>
      </w:r>
      <w:r w:rsidR="00DB7C66" w:rsidRPr="00C90E06">
        <w:t>survivor centric services in Aweil and Akobo.</w:t>
      </w:r>
      <w:r w:rsidR="00AE0043" w:rsidRPr="00C90E06">
        <w:t xml:space="preserve"> </w:t>
      </w:r>
      <w:r w:rsidR="00D5432E" w:rsidRPr="00C90E06">
        <w:t xml:space="preserve">To address the </w:t>
      </w:r>
      <w:r w:rsidR="00AE0043" w:rsidRPr="00C90E06">
        <w:t xml:space="preserve">increased risk of rise in GBV and impunity to the perpetrators, </w:t>
      </w:r>
      <w:r w:rsidR="00D5432E" w:rsidRPr="00C90E06">
        <w:t xml:space="preserve">in June 2020 </w:t>
      </w:r>
      <w:r w:rsidR="00414677" w:rsidRPr="00C90E06">
        <w:t>a joint statement</w:t>
      </w:r>
      <w:r w:rsidR="00414677" w:rsidRPr="00C90E06">
        <w:rPr>
          <w:b/>
        </w:rPr>
        <w:t xml:space="preserve"> (Annex </w:t>
      </w:r>
      <w:r w:rsidR="00E92D3F" w:rsidRPr="00C90E06">
        <w:rPr>
          <w:b/>
        </w:rPr>
        <w:t>1</w:t>
      </w:r>
      <w:r w:rsidR="00414677" w:rsidRPr="00C90E06">
        <w:rPr>
          <w:b/>
        </w:rPr>
        <w:t>)</w:t>
      </w:r>
      <w:r w:rsidR="00414677" w:rsidRPr="00C90E06">
        <w:t xml:space="preserve"> </w:t>
      </w:r>
      <w:r w:rsidR="00AE0043" w:rsidRPr="00C90E06">
        <w:t>was</w:t>
      </w:r>
      <w:r w:rsidR="00D5432E" w:rsidRPr="00C90E06">
        <w:t xml:space="preserve"> issued by the National MOGCSW, Ministry of Health, Ministry of Interior, Ministry of Justice and Ministry of Youth. </w:t>
      </w:r>
      <w:r w:rsidR="00F33CE8" w:rsidRPr="00C90E06">
        <w:t xml:space="preserve"> </w:t>
      </w:r>
    </w:p>
    <w:p w14:paraId="5187EB1A" w14:textId="77777777" w:rsidR="00391EA1" w:rsidRPr="00C90E06" w:rsidRDefault="00391EA1" w:rsidP="00FD5587">
      <w:pPr>
        <w:jc w:val="both"/>
      </w:pPr>
    </w:p>
    <w:p w14:paraId="3C75130B" w14:textId="0493CC70" w:rsidR="00594349" w:rsidRPr="00C90E06" w:rsidRDefault="00594349" w:rsidP="00594349">
      <w:pPr>
        <w:ind w:left="-810"/>
        <w:jc w:val="both"/>
      </w:pPr>
      <w:r w:rsidRPr="00C90E06">
        <w:t>To promote women’s participation in peace initiatives</w:t>
      </w:r>
      <w:r w:rsidR="006B3614" w:rsidRPr="00C90E06">
        <w:t>,</w:t>
      </w:r>
      <w:r w:rsidRPr="00C90E06">
        <w:t xml:space="preserve"> in Aweil, the Women empower Centre (WEC) has been constructed and equipment for the centre has been procured. Referral pathways in </w:t>
      </w:r>
      <w:proofErr w:type="spellStart"/>
      <w:r w:rsidRPr="00C90E06">
        <w:t>Bor</w:t>
      </w:r>
      <w:proofErr w:type="spellEnd"/>
      <w:r w:rsidRPr="00C90E06">
        <w:t xml:space="preserve"> and Akobo have been updated based on mapping of available services available. Overall, 1,428 women including survivors and 195 men including local authority and community leaders were reached to strengthen women’s groups participation in local peace processes and increase civic engagement on GBV prevention and response. Community neighbourhood watch groups were established in </w:t>
      </w:r>
      <w:proofErr w:type="spellStart"/>
      <w:r w:rsidRPr="00C90E06">
        <w:t>Bor</w:t>
      </w:r>
      <w:proofErr w:type="spellEnd"/>
      <w:r w:rsidRPr="00C90E06">
        <w:t xml:space="preserve"> and Akobo to provide tracking, referrals and reporting on violence against women, group/family counselling, prevention of and ongoing discussions on ending violence against women and girls. In Akobo, 113 (all female, 29 &gt;18 years) participated in business training on embroidery, knitting, hair dressing and bed sheet decoration.  </w:t>
      </w:r>
    </w:p>
    <w:p w14:paraId="5707694C" w14:textId="2E34B300" w:rsidR="006F2361" w:rsidRPr="00C90E06" w:rsidRDefault="006B3614" w:rsidP="007A2300">
      <w:pPr>
        <w:ind w:left="-810"/>
        <w:jc w:val="both"/>
      </w:pPr>
      <w:r w:rsidRPr="00C90E06">
        <w:t xml:space="preserve"> </w:t>
      </w:r>
    </w:p>
    <w:p w14:paraId="63A90FF6" w14:textId="284DD2BA" w:rsidR="002349D8" w:rsidRPr="00C90E06" w:rsidRDefault="0036447B" w:rsidP="00DB7C66">
      <w:pPr>
        <w:ind w:left="-810"/>
        <w:jc w:val="both"/>
      </w:pPr>
      <w:r w:rsidRPr="00C90E06">
        <w:t xml:space="preserve">Addressing the access to justice, UNDP worked with partners to provide legal representation for the survivors of GBV and legal awareness across communities while continuing counselling and referral services for GBV survivors to institutions that provide psychosocial support in </w:t>
      </w:r>
      <w:proofErr w:type="spellStart"/>
      <w:r w:rsidRPr="00C90E06">
        <w:t>Bor</w:t>
      </w:r>
      <w:proofErr w:type="spellEnd"/>
      <w:r w:rsidRPr="00C90E06">
        <w:t xml:space="preserve"> and Aweil. During the reporting period 580 survivors, </w:t>
      </w:r>
      <w:proofErr w:type="gramStart"/>
      <w:r w:rsidRPr="00C90E06">
        <w:t>i.e.</w:t>
      </w:r>
      <w:proofErr w:type="gramEnd"/>
      <w:r w:rsidRPr="00C90E06">
        <w:t xml:space="preserve"> 89 male</w:t>
      </w:r>
      <w:r w:rsidR="0036035F" w:rsidRPr="00C90E06">
        <w:t>s</w:t>
      </w:r>
      <w:r w:rsidRPr="00C90E06">
        <w:rPr>
          <w:bCs/>
        </w:rPr>
        <w:t>, 204 female</w:t>
      </w:r>
      <w:r w:rsidR="00065289" w:rsidRPr="00C90E06">
        <w:rPr>
          <w:bCs/>
        </w:rPr>
        <w:t>s</w:t>
      </w:r>
      <w:r w:rsidRPr="00C90E06">
        <w:rPr>
          <w:bCs/>
        </w:rPr>
        <w:t xml:space="preserve"> </w:t>
      </w:r>
      <w:r w:rsidRPr="00C90E06">
        <w:t xml:space="preserve">in Aweil, 78 male, 209 female in </w:t>
      </w:r>
      <w:proofErr w:type="spellStart"/>
      <w:r w:rsidRPr="00C90E06">
        <w:t>Bor</w:t>
      </w:r>
      <w:proofErr w:type="spellEnd"/>
      <w:r w:rsidRPr="00C90E06">
        <w:t xml:space="preserve"> received counselling and legal assistance through the help desks at the police stations. Of these, 98 (74 female) were represented in court and 33 (18 female) received judgements. </w:t>
      </w:r>
      <w:r w:rsidR="00725C2A" w:rsidRPr="00C90E06">
        <w:t xml:space="preserve"> </w:t>
      </w:r>
      <w:r w:rsidR="0099721E" w:rsidRPr="00C90E06">
        <w:t>This was made possible through t</w:t>
      </w:r>
      <w:r w:rsidR="002349D8" w:rsidRPr="00C90E06">
        <w:t xml:space="preserve">wo new </w:t>
      </w:r>
      <w:r w:rsidR="007A2300" w:rsidRPr="00C90E06">
        <w:rPr>
          <w:bCs/>
        </w:rPr>
        <w:t>Justic</w:t>
      </w:r>
      <w:r w:rsidR="002349D8" w:rsidRPr="00C90E06">
        <w:rPr>
          <w:bCs/>
        </w:rPr>
        <w:t xml:space="preserve">e and Confidence Centres (JCCs) </w:t>
      </w:r>
      <w:r w:rsidR="00CC0895" w:rsidRPr="00C90E06">
        <w:rPr>
          <w:bCs/>
        </w:rPr>
        <w:t xml:space="preserve">established </w:t>
      </w:r>
      <w:r w:rsidR="007A2300" w:rsidRPr="00C90E06">
        <w:rPr>
          <w:bCs/>
        </w:rPr>
        <w:t xml:space="preserve">and </w:t>
      </w:r>
      <w:r w:rsidR="00CC0895" w:rsidRPr="00C90E06">
        <w:rPr>
          <w:bCs/>
        </w:rPr>
        <w:t xml:space="preserve">renovation of </w:t>
      </w:r>
      <w:r w:rsidR="007A2300" w:rsidRPr="00C90E06">
        <w:rPr>
          <w:bCs/>
        </w:rPr>
        <w:t xml:space="preserve">four </w:t>
      </w:r>
      <w:r w:rsidR="00CC0895" w:rsidRPr="00C90E06">
        <w:rPr>
          <w:bCs/>
        </w:rPr>
        <w:t>pre-</w:t>
      </w:r>
      <w:r w:rsidR="007A2300" w:rsidRPr="00C90E06">
        <w:rPr>
          <w:bCs/>
        </w:rPr>
        <w:t xml:space="preserve">existing </w:t>
      </w:r>
      <w:r w:rsidR="00CC0895" w:rsidRPr="00C90E06">
        <w:rPr>
          <w:bCs/>
        </w:rPr>
        <w:t>JCCs</w:t>
      </w:r>
      <w:r w:rsidR="0099721E" w:rsidRPr="00C90E06">
        <w:rPr>
          <w:bCs/>
        </w:rPr>
        <w:t xml:space="preserve"> in Aweil and Bor</w:t>
      </w:r>
      <w:r w:rsidR="00CC0895" w:rsidRPr="00C90E06">
        <w:rPr>
          <w:bCs/>
        </w:rPr>
        <w:t xml:space="preserve">. The JCC served as </w:t>
      </w:r>
      <w:r w:rsidR="007A2300" w:rsidRPr="00C90E06">
        <w:rPr>
          <w:bCs/>
        </w:rPr>
        <w:t xml:space="preserve">central operating </w:t>
      </w:r>
      <w:r w:rsidR="00CC0895" w:rsidRPr="00C90E06">
        <w:rPr>
          <w:bCs/>
        </w:rPr>
        <w:t xml:space="preserve">units </w:t>
      </w:r>
      <w:r w:rsidR="0099721E" w:rsidRPr="00C90E06">
        <w:rPr>
          <w:bCs/>
        </w:rPr>
        <w:t>employing various approaches, i.e. (</w:t>
      </w:r>
      <w:proofErr w:type="spellStart"/>
      <w:r w:rsidR="0099721E" w:rsidRPr="00C90E06">
        <w:rPr>
          <w:bCs/>
        </w:rPr>
        <w:t>i</w:t>
      </w:r>
      <w:proofErr w:type="spellEnd"/>
      <w:r w:rsidR="0099721E" w:rsidRPr="00C90E06">
        <w:rPr>
          <w:bCs/>
        </w:rPr>
        <w:t>)</w:t>
      </w:r>
      <w:r w:rsidR="007A2300" w:rsidRPr="00C90E06">
        <w:rPr>
          <w:bCs/>
        </w:rPr>
        <w:t xml:space="preserve"> e</w:t>
      </w:r>
      <w:r w:rsidR="00CC0895" w:rsidRPr="00C90E06">
        <w:rPr>
          <w:bCs/>
        </w:rPr>
        <w:t>stablishment of</w:t>
      </w:r>
      <w:r w:rsidR="007A2300" w:rsidRPr="00C90E06">
        <w:rPr>
          <w:bCs/>
        </w:rPr>
        <w:t xml:space="preserve"> four auxiliary help desks</w:t>
      </w:r>
      <w:r w:rsidR="00CC0895" w:rsidRPr="00C90E06">
        <w:rPr>
          <w:bCs/>
        </w:rPr>
        <w:t xml:space="preserve"> operating at police stations; </w:t>
      </w:r>
      <w:r w:rsidR="0099721E" w:rsidRPr="00C90E06">
        <w:rPr>
          <w:bCs/>
        </w:rPr>
        <w:t xml:space="preserve">(ii) </w:t>
      </w:r>
      <w:r w:rsidR="007A2300" w:rsidRPr="00C90E06">
        <w:rPr>
          <w:bCs/>
        </w:rPr>
        <w:t>recruit</w:t>
      </w:r>
      <w:r w:rsidR="00CC0895" w:rsidRPr="00C90E06">
        <w:rPr>
          <w:bCs/>
        </w:rPr>
        <w:t>ment</w:t>
      </w:r>
      <w:r w:rsidR="007A2300" w:rsidRPr="00C90E06">
        <w:rPr>
          <w:bCs/>
        </w:rPr>
        <w:t>, training and deploying forty</w:t>
      </w:r>
      <w:r w:rsidR="002349D8" w:rsidRPr="00C90E06">
        <w:rPr>
          <w:bCs/>
        </w:rPr>
        <w:t>-four community volunteers;</w:t>
      </w:r>
      <w:r w:rsidR="0099721E" w:rsidRPr="00C90E06">
        <w:rPr>
          <w:bCs/>
        </w:rPr>
        <w:t xml:space="preserve"> and (iii) </w:t>
      </w:r>
      <w:r w:rsidR="007A2300" w:rsidRPr="00C90E06">
        <w:rPr>
          <w:bCs/>
        </w:rPr>
        <w:t>strengthening the</w:t>
      </w:r>
      <w:r w:rsidR="002349D8" w:rsidRPr="00C90E06">
        <w:rPr>
          <w:bCs/>
        </w:rPr>
        <w:t xml:space="preserve"> linkage between community volunteers and </w:t>
      </w:r>
      <w:r w:rsidR="007A2300" w:rsidRPr="00C90E06">
        <w:rPr>
          <w:bCs/>
        </w:rPr>
        <w:t xml:space="preserve">Special Police Units, </w:t>
      </w:r>
      <w:r w:rsidR="007A2300" w:rsidRPr="00C90E06">
        <w:t xml:space="preserve">Women and Girls’ Friendly Spaces and other relevant government institutions. </w:t>
      </w:r>
    </w:p>
    <w:p w14:paraId="4BE0D2E1" w14:textId="77777777" w:rsidR="002349D8" w:rsidRPr="00C90E06" w:rsidRDefault="002349D8" w:rsidP="007A2300">
      <w:pPr>
        <w:ind w:left="-810"/>
        <w:jc w:val="both"/>
      </w:pPr>
    </w:p>
    <w:p w14:paraId="5F09DE48" w14:textId="1989A0DE" w:rsidR="007A2300" w:rsidRPr="00C90E06" w:rsidRDefault="007A2300" w:rsidP="007A2300">
      <w:pPr>
        <w:ind w:left="-810"/>
        <w:jc w:val="both"/>
        <w:rPr>
          <w:bCs/>
          <w:iCs/>
        </w:rPr>
      </w:pPr>
      <w:r w:rsidRPr="00C90E06">
        <w:t>The</w:t>
      </w:r>
      <w:r w:rsidR="00DB7C66" w:rsidRPr="00C90E06">
        <w:t xml:space="preserve">se </w:t>
      </w:r>
      <w:r w:rsidRPr="00C90E06">
        <w:t xml:space="preserve">approaches ensured speedy and timely reporting, investigation and processing of GBV cases for prosecution and referral to relevant services for their recovery including medical, psychosocial and counselling support. Additionally, UNDP </w:t>
      </w:r>
      <w:r w:rsidR="003D6570" w:rsidRPr="00C90E06">
        <w:t xml:space="preserve">built the capacity of </w:t>
      </w:r>
      <w:r w:rsidRPr="00C90E06">
        <w:t>justice actors</w:t>
      </w:r>
      <w:r w:rsidR="000601A4" w:rsidRPr="00C90E06">
        <w:t xml:space="preserve"> such as </w:t>
      </w:r>
      <w:r w:rsidRPr="00C90E06">
        <w:t>judges, investigators, prosecutors and social workers and customary chiefs was undertaken to empower them to conduct fair investigation, prosecution and prevention of GBV related cases.</w:t>
      </w:r>
    </w:p>
    <w:p w14:paraId="2A22B4B2" w14:textId="77777777" w:rsidR="007A2300" w:rsidRPr="00C90E06" w:rsidRDefault="007A2300" w:rsidP="00E608D6">
      <w:pPr>
        <w:ind w:left="-810"/>
        <w:jc w:val="both"/>
        <w:rPr>
          <w:bCs/>
          <w:iCs/>
        </w:rPr>
      </w:pPr>
    </w:p>
    <w:p w14:paraId="0EB7864C" w14:textId="09F8989B" w:rsidR="007014C8" w:rsidRPr="00C90E06" w:rsidRDefault="007014C8" w:rsidP="007014C8">
      <w:pPr>
        <w:ind w:left="-810"/>
        <w:jc w:val="both"/>
        <w:rPr>
          <w:bCs/>
          <w:iCs/>
        </w:rPr>
      </w:pPr>
      <w:r w:rsidRPr="00C90E06">
        <w:rPr>
          <w:bCs/>
          <w:iCs/>
        </w:rPr>
        <w:t xml:space="preserve">Focusing on social norm change, UNICEF used the ‘Communities Care’ approach to support the communities to engage in transforming social norms that perpetuate gender inequality and violence against women and girls. Through this approach, total 94 community discussion leaders (CDLs) were trained. 76 (14 girls, 6 boys, 34 women, 22 men) in phase 1; 18 (9 men, 9 women) in phase 2) new community discussion leaders (CDLs) undertook 300 community discussion meetings, engagement with local authorities and traditional leaders and the inclusion of women in peace-building processes. Fifty (26 females, 24 male) community leaders, chiefs and other first responders were trained on safe referrals for survivors. </w:t>
      </w:r>
    </w:p>
    <w:p w14:paraId="31A7C5D6" w14:textId="77777777" w:rsidR="007014C8" w:rsidRPr="00C90E06" w:rsidRDefault="007014C8" w:rsidP="007014C8">
      <w:pPr>
        <w:ind w:left="-810"/>
        <w:jc w:val="both"/>
        <w:rPr>
          <w:bCs/>
          <w:iCs/>
        </w:rPr>
      </w:pPr>
    </w:p>
    <w:p w14:paraId="0C5D6D60" w14:textId="667F110F" w:rsidR="007014C8" w:rsidRPr="00C90E06" w:rsidRDefault="007014C8" w:rsidP="007014C8">
      <w:pPr>
        <w:ind w:left="-810"/>
        <w:jc w:val="both"/>
        <w:rPr>
          <w:bCs/>
          <w:iCs/>
        </w:rPr>
      </w:pPr>
      <w:r w:rsidRPr="00C90E06">
        <w:rPr>
          <w:bCs/>
          <w:iCs/>
        </w:rPr>
        <w:t xml:space="preserve">The community groups focussed on child marriage, child labour, domestic violence, sexual violence at home and discrimination in the community in the messaging shared through radio talk shows, door to door awareness, church campaigns and community gatherings. CDLs served as community focal points to provide Psychological First Aid (PFA) to the community members, especially the survivors of GBV. To cope with the Covid-19 related challenges to community </w:t>
      </w:r>
      <w:r w:rsidR="003F006D">
        <w:rPr>
          <w:bCs/>
          <w:iCs/>
        </w:rPr>
        <w:t>outreach, social media campaign</w:t>
      </w:r>
      <w:r w:rsidRPr="00C90E06">
        <w:rPr>
          <w:bCs/>
          <w:iCs/>
        </w:rPr>
        <w:t xml:space="preserve"> </w:t>
      </w:r>
      <w:proofErr w:type="gramStart"/>
      <w:r w:rsidRPr="00C90E06">
        <w:rPr>
          <w:bCs/>
          <w:iCs/>
        </w:rPr>
        <w:t>were</w:t>
      </w:r>
      <w:proofErr w:type="gramEnd"/>
      <w:r w:rsidRPr="00C90E06">
        <w:rPr>
          <w:bCs/>
          <w:iCs/>
        </w:rPr>
        <w:t xml:space="preserve"> enhanced to advocate to apprehend the perpetrators and raise awareness about available services to women and girls. </w:t>
      </w:r>
    </w:p>
    <w:p w14:paraId="34850D66" w14:textId="77777777" w:rsidR="00E608D6" w:rsidRPr="00C90E06" w:rsidRDefault="00E608D6" w:rsidP="00E608D6">
      <w:pPr>
        <w:ind w:left="-810"/>
        <w:jc w:val="both"/>
        <w:rPr>
          <w:bCs/>
          <w:iCs/>
        </w:rPr>
      </w:pPr>
    </w:p>
    <w:p w14:paraId="1DEC97FD" w14:textId="60B2B80A" w:rsidR="00161D02" w:rsidRPr="00C90E06" w:rsidRDefault="0036447B" w:rsidP="00627A1C">
      <w:pPr>
        <w:ind w:left="-810"/>
        <w:rPr>
          <w:b/>
          <w:color w:val="0070C0"/>
        </w:rPr>
      </w:pPr>
      <w:r w:rsidRPr="00C90E06">
        <w:rPr>
          <w:b/>
          <w:color w:val="0070C0"/>
        </w:rPr>
        <w:t>S</w:t>
      </w:r>
      <w:r w:rsidR="00627A1C" w:rsidRPr="00C90E06">
        <w:rPr>
          <w:b/>
          <w:color w:val="0070C0"/>
        </w:rPr>
        <w:t xml:space="preserve">ignificant project-related events </w:t>
      </w:r>
      <w:r w:rsidRPr="00C90E06">
        <w:rPr>
          <w:b/>
          <w:color w:val="0070C0"/>
        </w:rPr>
        <w:t xml:space="preserve">planned </w:t>
      </w:r>
      <w:r w:rsidR="00627A1C" w:rsidRPr="00C90E06">
        <w:rPr>
          <w:b/>
          <w:color w:val="0070C0"/>
        </w:rPr>
        <w:t>in the next six months</w:t>
      </w:r>
      <w:r w:rsidR="00161D02" w:rsidRPr="00C90E06">
        <w:rPr>
          <w:b/>
          <w:color w:val="0070C0"/>
        </w:rPr>
        <w:t xml:space="preserve">: </w:t>
      </w:r>
    </w:p>
    <w:p w14:paraId="3F3EE7AF" w14:textId="5CCD99CB" w:rsidR="0087228F" w:rsidRPr="00C90E06" w:rsidRDefault="0087228F" w:rsidP="0087228F">
      <w:pPr>
        <w:ind w:left="-810"/>
        <w:jc w:val="both"/>
      </w:pPr>
      <w:r w:rsidRPr="00C90E06">
        <w:t>As per the project plan, following significant events are scheduled</w:t>
      </w:r>
      <w:r w:rsidR="00417611" w:rsidRPr="00C90E06">
        <w:t xml:space="preserve"> </w:t>
      </w:r>
      <w:r w:rsidRPr="00C90E06">
        <w:t xml:space="preserve">– </w:t>
      </w:r>
    </w:p>
    <w:p w14:paraId="6B4B02D5" w14:textId="7DC8D6D0" w:rsidR="0087228F" w:rsidRPr="00C90E06" w:rsidRDefault="0087228F" w:rsidP="001E1A6E">
      <w:pPr>
        <w:pStyle w:val="ListParagraph"/>
        <w:numPr>
          <w:ilvl w:val="0"/>
          <w:numId w:val="5"/>
        </w:numPr>
        <w:jc w:val="both"/>
      </w:pPr>
      <w:r w:rsidRPr="00C90E06">
        <w:t>A</w:t>
      </w:r>
      <w:r w:rsidR="00417611" w:rsidRPr="00C90E06">
        <w:t xml:space="preserve">s part of the 16 Days’ Activism Campaign, a </w:t>
      </w:r>
      <w:proofErr w:type="gramStart"/>
      <w:r w:rsidR="00417611" w:rsidRPr="00C90E06">
        <w:t>high level</w:t>
      </w:r>
      <w:proofErr w:type="gramEnd"/>
      <w:r w:rsidR="00417611" w:rsidRPr="00C90E06">
        <w:t xml:space="preserve"> dialogue </w:t>
      </w:r>
      <w:r w:rsidR="00F20E22">
        <w:t>was hosted</w:t>
      </w:r>
      <w:r w:rsidR="00417611" w:rsidRPr="00C90E06">
        <w:t xml:space="preserve"> </w:t>
      </w:r>
      <w:r w:rsidR="00E92D3F" w:rsidRPr="00C90E06">
        <w:t xml:space="preserve">by the project partners </w:t>
      </w:r>
      <w:r w:rsidR="00417611" w:rsidRPr="00C90E06">
        <w:t>in collaboration with the Ministry of Gender, Child and Social Welfare and Office of the Vice President on Gender and Youth. The programme concept note is attached</w:t>
      </w:r>
      <w:r w:rsidR="00E92D3F" w:rsidRPr="00C90E06">
        <w:t xml:space="preserve"> as </w:t>
      </w:r>
      <w:r w:rsidR="00E92D3F" w:rsidRPr="00C90E06">
        <w:rPr>
          <w:b/>
        </w:rPr>
        <w:t>Annex 2</w:t>
      </w:r>
      <w:r w:rsidR="00417611" w:rsidRPr="00C90E06">
        <w:t xml:space="preserve"> for reference. During the </w:t>
      </w:r>
      <w:r w:rsidRPr="00C90E06">
        <w:t>sixteen days of activism (25 November- 10 December 2020)</w:t>
      </w:r>
      <w:r w:rsidR="00417611" w:rsidRPr="00C90E06">
        <w:t xml:space="preserve">, </w:t>
      </w:r>
      <w:r w:rsidRPr="00C90E06">
        <w:t xml:space="preserve">community discussions </w:t>
      </w:r>
      <w:r w:rsidR="00417611" w:rsidRPr="00C90E06">
        <w:t>will be held at the s</w:t>
      </w:r>
      <w:r w:rsidRPr="00C90E06">
        <w:t>tate level</w:t>
      </w:r>
      <w:r w:rsidR="00417611" w:rsidRPr="00C90E06">
        <w:t xml:space="preserve"> to</w:t>
      </w:r>
      <w:r w:rsidRPr="00C90E06">
        <w:t xml:space="preserve"> encourage the community members to make public statements/ declaration for individual or collective actions against GBV. </w:t>
      </w:r>
      <w:r w:rsidR="002A506A" w:rsidRPr="00C90E06">
        <w:t>C</w:t>
      </w:r>
      <w:r w:rsidR="002A506A" w:rsidRPr="00C90E06">
        <w:rPr>
          <w:bCs/>
          <w:iCs/>
        </w:rPr>
        <w:t xml:space="preserve">ommunities in Aweil and </w:t>
      </w:r>
      <w:proofErr w:type="spellStart"/>
      <w:r w:rsidR="002A506A" w:rsidRPr="00C90E06">
        <w:rPr>
          <w:bCs/>
          <w:iCs/>
        </w:rPr>
        <w:t>Bor</w:t>
      </w:r>
      <w:proofErr w:type="spellEnd"/>
      <w:r w:rsidR="002A506A" w:rsidRPr="00C90E06">
        <w:rPr>
          <w:bCs/>
          <w:iCs/>
        </w:rPr>
        <w:t xml:space="preserve"> will collectively make public declarations to engage community members, civil society organizations (CSO), local government officials and other stakeholders.</w:t>
      </w:r>
    </w:p>
    <w:p w14:paraId="56DB3D01" w14:textId="77777777" w:rsidR="002A506A" w:rsidRPr="00C90E06" w:rsidRDefault="0087228F" w:rsidP="001E1A6E">
      <w:pPr>
        <w:pStyle w:val="ListParagraph"/>
        <w:numPr>
          <w:ilvl w:val="0"/>
          <w:numId w:val="5"/>
        </w:numPr>
        <w:jc w:val="both"/>
      </w:pPr>
      <w:r w:rsidRPr="00C90E06">
        <w:t>Intensify the advocacy to enact the Anti-GBV Bill at the parliament and post-enactment awareness raising amongst the main duty bearers, especially police, judiciary and GBV frontline staff.</w:t>
      </w:r>
    </w:p>
    <w:p w14:paraId="2EF45FC0" w14:textId="77777777" w:rsidR="007B65A8" w:rsidRPr="00C90E06" w:rsidRDefault="007B65A8" w:rsidP="001E1A6E">
      <w:pPr>
        <w:pStyle w:val="ListParagraph"/>
        <w:numPr>
          <w:ilvl w:val="0"/>
          <w:numId w:val="5"/>
        </w:numPr>
        <w:jc w:val="both"/>
      </w:pPr>
      <w:r w:rsidRPr="00C90E06">
        <w:t xml:space="preserve">Continue awareness raising campaigns against GBV while continuing to provide legal aid to survivors of GBV. </w:t>
      </w:r>
    </w:p>
    <w:p w14:paraId="700A2668" w14:textId="07CBE522" w:rsidR="007B65A8" w:rsidRPr="00C90E06" w:rsidRDefault="00207B24" w:rsidP="001E1A6E">
      <w:pPr>
        <w:pStyle w:val="ListParagraph"/>
        <w:numPr>
          <w:ilvl w:val="0"/>
          <w:numId w:val="5"/>
        </w:numPr>
        <w:jc w:val="both"/>
      </w:pPr>
      <w:r w:rsidRPr="00C90E06">
        <w:t xml:space="preserve">A </w:t>
      </w:r>
      <w:r w:rsidR="007B65A8" w:rsidRPr="00C90E06">
        <w:t xml:space="preserve">training for female paralegals in </w:t>
      </w:r>
      <w:proofErr w:type="spellStart"/>
      <w:r w:rsidR="007B65A8" w:rsidRPr="00C90E06">
        <w:t>Bor</w:t>
      </w:r>
      <w:proofErr w:type="spellEnd"/>
      <w:r w:rsidR="007B65A8" w:rsidRPr="00C90E06">
        <w:t xml:space="preserve"> and Aweil using the endorsed training manual developed</w:t>
      </w:r>
      <w:r w:rsidR="002A506A" w:rsidRPr="00C90E06">
        <w:t xml:space="preserve"> by UNDP</w:t>
      </w:r>
      <w:r w:rsidR="007B65A8" w:rsidRPr="00C90E06">
        <w:t xml:space="preserve">. </w:t>
      </w:r>
    </w:p>
    <w:p w14:paraId="0212FBBC" w14:textId="77777777" w:rsidR="007B65A8" w:rsidRPr="00C90E06" w:rsidRDefault="007B65A8" w:rsidP="00627A1C">
      <w:pPr>
        <w:ind w:left="-810"/>
      </w:pPr>
    </w:p>
    <w:p w14:paraId="6A70A7D2" w14:textId="198ACF59" w:rsidR="008C782A" w:rsidRPr="00C90E06" w:rsidRDefault="00E92D3F" w:rsidP="00E92D3F">
      <w:pPr>
        <w:ind w:left="-810"/>
        <w:rPr>
          <w:b/>
          <w:color w:val="0070C0"/>
        </w:rPr>
      </w:pPr>
      <w:r w:rsidRPr="00C90E06">
        <w:rPr>
          <w:b/>
          <w:color w:val="0070C0"/>
        </w:rPr>
        <w:t>S</w:t>
      </w:r>
      <w:r w:rsidR="00A64A02" w:rsidRPr="00C90E06">
        <w:rPr>
          <w:b/>
          <w:color w:val="0070C0"/>
        </w:rPr>
        <w:t>tructural, institutional</w:t>
      </w:r>
      <w:r w:rsidRPr="00C90E06">
        <w:rPr>
          <w:b/>
          <w:color w:val="0070C0"/>
        </w:rPr>
        <w:t>,</w:t>
      </w:r>
      <w:r w:rsidR="00A64A02" w:rsidRPr="00C90E06">
        <w:rPr>
          <w:b/>
          <w:color w:val="0070C0"/>
        </w:rPr>
        <w:t xml:space="preserve"> societal level change the project has contributed to</w:t>
      </w:r>
      <w:r w:rsidRPr="00C90E06">
        <w:rPr>
          <w:b/>
          <w:color w:val="0070C0"/>
        </w:rPr>
        <w:t xml:space="preserve"> so far:</w:t>
      </w:r>
      <w:r w:rsidR="008C782A" w:rsidRPr="00C90E06">
        <w:rPr>
          <w:b/>
          <w:color w:val="0070C0"/>
        </w:rPr>
        <w:t xml:space="preserve"> </w:t>
      </w:r>
    </w:p>
    <w:p w14:paraId="5B3676E3" w14:textId="0F6032BA" w:rsidR="00592AAA" w:rsidRPr="00C90E06" w:rsidRDefault="00995C3C" w:rsidP="00B0211D">
      <w:pPr>
        <w:ind w:left="-810"/>
        <w:jc w:val="both"/>
      </w:pPr>
      <w:r w:rsidRPr="00C90E06">
        <w:t>The project provided an opportunity for the four UN agencies to plan and execute joint actions harnessing each one’s operational as well as programmatic strength.</w:t>
      </w:r>
      <w:r w:rsidR="00B02478" w:rsidRPr="00C90E06">
        <w:t xml:space="preserve"> The technical level team members</w:t>
      </w:r>
      <w:r w:rsidR="0013617D" w:rsidRPr="00C90E06">
        <w:t xml:space="preserve"> have consistently made efforts to engage with the government counterparts not as individual agencies, but as a joint force, which helps in engaging with the government duty bearers as One UN. </w:t>
      </w:r>
      <w:r w:rsidR="0034088A" w:rsidRPr="00C90E06">
        <w:t xml:space="preserve"> </w:t>
      </w:r>
      <w:r w:rsidR="00592AAA" w:rsidRPr="00C90E06">
        <w:t xml:space="preserve"> </w:t>
      </w:r>
    </w:p>
    <w:p w14:paraId="2078C7CD" w14:textId="77777777" w:rsidR="00592AAA" w:rsidRPr="00C90E06" w:rsidRDefault="00592AAA" w:rsidP="00B0211D">
      <w:pPr>
        <w:ind w:left="-810"/>
        <w:jc w:val="both"/>
      </w:pPr>
    </w:p>
    <w:p w14:paraId="63E83DAD" w14:textId="336CCF2D" w:rsidR="00B0211D" w:rsidRPr="00C90E06" w:rsidRDefault="00592AAA" w:rsidP="00B0211D">
      <w:pPr>
        <w:ind w:left="-810"/>
        <w:jc w:val="both"/>
      </w:pPr>
      <w:r w:rsidRPr="00C90E06">
        <w:t xml:space="preserve">The project </w:t>
      </w:r>
      <w:r w:rsidR="00207B24" w:rsidRPr="00C90E06">
        <w:t xml:space="preserve">has contributed to building grassroots cadre of </w:t>
      </w:r>
      <w:r w:rsidR="003F2BF5" w:rsidRPr="00C90E06">
        <w:t>women, men, girls and boys who have a better unders</w:t>
      </w:r>
      <w:r w:rsidR="00D93CB6" w:rsidRPr="00C90E06">
        <w:t xml:space="preserve">tanding of linkages between </w:t>
      </w:r>
      <w:proofErr w:type="gramStart"/>
      <w:r w:rsidR="00D93CB6" w:rsidRPr="00C90E06">
        <w:t>gender based</w:t>
      </w:r>
      <w:proofErr w:type="gramEnd"/>
      <w:r w:rsidR="00D93CB6" w:rsidRPr="00C90E06">
        <w:t xml:space="preserve"> violence and peace that echoes the Secretary General’s message of ‘Peace in Home, to Peace in the World’</w:t>
      </w:r>
      <w:r w:rsidR="00C459E9" w:rsidRPr="00C90E06">
        <w:t xml:space="preserve">. </w:t>
      </w:r>
    </w:p>
    <w:p w14:paraId="6553D15A" w14:textId="3E8CD430" w:rsidR="00592AAA" w:rsidRPr="00C90E06" w:rsidRDefault="00592AAA" w:rsidP="00B0211D">
      <w:pPr>
        <w:ind w:left="-810"/>
        <w:jc w:val="both"/>
      </w:pPr>
    </w:p>
    <w:p w14:paraId="7F3C46FB" w14:textId="7482D295" w:rsidR="00B0211D" w:rsidRPr="00C90E06" w:rsidRDefault="0013617D" w:rsidP="00521896">
      <w:pPr>
        <w:ind w:left="-810"/>
        <w:jc w:val="both"/>
      </w:pPr>
      <w:r w:rsidRPr="00C90E06">
        <w:t xml:space="preserve">One major achievement the project reports is the behaviour change with the traditional leaders as there is an increase in traditional leaders referring GBV cases to various services, including </w:t>
      </w:r>
      <w:r w:rsidRPr="00C90E06">
        <w:lastRenderedPageBreak/>
        <w:t xml:space="preserve">the Justice and Confidence Centres, One Stop Centres and Community Discussion Leaders’ meetings. </w:t>
      </w:r>
      <w:r w:rsidR="00B0211D" w:rsidRPr="00C90E06">
        <w:t>This send</w:t>
      </w:r>
      <w:r w:rsidRPr="00C90E06">
        <w:t>s</w:t>
      </w:r>
      <w:r w:rsidR="00B0211D" w:rsidRPr="00C90E06">
        <w:t xml:space="preserve"> a strong signal to perpetrators and community members at large that resolving GBV cases would be done through statutory courts and this might deter some perpetrators.  </w:t>
      </w:r>
    </w:p>
    <w:p w14:paraId="7915993D" w14:textId="618B0064" w:rsidR="00B0211D" w:rsidRPr="00C90E06" w:rsidRDefault="00B0211D" w:rsidP="00B0211D">
      <w:pPr>
        <w:ind w:left="-810"/>
        <w:jc w:val="both"/>
      </w:pPr>
    </w:p>
    <w:p w14:paraId="64C52EDB" w14:textId="152AFB2E" w:rsidR="007B65A8" w:rsidRPr="00C90E06" w:rsidRDefault="00E92D3F" w:rsidP="007B65A8">
      <w:pPr>
        <w:ind w:left="-810"/>
        <w:rPr>
          <w:b/>
          <w:color w:val="0070C0"/>
        </w:rPr>
      </w:pPr>
      <w:r w:rsidRPr="00C90E06">
        <w:rPr>
          <w:b/>
          <w:color w:val="0070C0"/>
        </w:rPr>
        <w:t>Human Impact Stories:</w:t>
      </w:r>
    </w:p>
    <w:p w14:paraId="08773E50" w14:textId="00FE03D3" w:rsidR="00206D45" w:rsidRPr="00C90E06" w:rsidRDefault="00206D45" w:rsidP="005F167F">
      <w:pPr>
        <w:ind w:left="-810"/>
      </w:pPr>
    </w:p>
    <w:p w14:paraId="5DEB10E7" w14:textId="3A850689" w:rsidR="003D7AAC" w:rsidRPr="00C90E06" w:rsidRDefault="003D7AAC" w:rsidP="003D7AAC">
      <w:pPr>
        <w:ind w:left="-810"/>
        <w:jc w:val="both"/>
        <w:rPr>
          <w:b/>
        </w:rPr>
      </w:pPr>
      <w:r w:rsidRPr="00C90E06">
        <w:rPr>
          <w:b/>
        </w:rPr>
        <w:t xml:space="preserve">1. Court </w:t>
      </w:r>
      <w:r w:rsidR="00231AD2" w:rsidRPr="00C90E06">
        <w:rPr>
          <w:b/>
        </w:rPr>
        <w:t>r</w:t>
      </w:r>
      <w:r w:rsidRPr="00C90E06">
        <w:rPr>
          <w:b/>
        </w:rPr>
        <w:t>epr</w:t>
      </w:r>
      <w:r w:rsidR="00231AD2" w:rsidRPr="00C90E06">
        <w:rPr>
          <w:b/>
        </w:rPr>
        <w:t>esentation in forced abortion</w:t>
      </w:r>
      <w:r w:rsidR="00E92D3F" w:rsidRPr="00C90E06">
        <w:rPr>
          <w:b/>
        </w:rPr>
        <w:t xml:space="preserve"> case</w:t>
      </w:r>
      <w:r w:rsidR="00231AD2" w:rsidRPr="00C90E06">
        <w:rPr>
          <w:b/>
        </w:rPr>
        <w:t xml:space="preserve"> yields positive judgement</w:t>
      </w:r>
    </w:p>
    <w:p w14:paraId="1DF4540C" w14:textId="70498519" w:rsidR="003D7AAC" w:rsidRPr="00C90E06" w:rsidRDefault="003D7AAC" w:rsidP="003D7AAC">
      <w:pPr>
        <w:ind w:left="-810"/>
        <w:jc w:val="both"/>
        <w:rPr>
          <w:bCs/>
          <w:lang w:val="en-US"/>
        </w:rPr>
      </w:pPr>
      <w:proofErr w:type="spellStart"/>
      <w:r w:rsidRPr="00C90E06">
        <w:rPr>
          <w:bCs/>
          <w:lang w:val="en-US"/>
        </w:rPr>
        <w:t>Yaar</w:t>
      </w:r>
      <w:proofErr w:type="spellEnd"/>
      <w:r w:rsidRPr="00C90E06">
        <w:rPr>
          <w:bCs/>
          <w:lang w:val="en-US"/>
        </w:rPr>
        <w:t xml:space="preserve"> </w:t>
      </w:r>
      <w:proofErr w:type="spellStart"/>
      <w:r w:rsidRPr="00C90E06">
        <w:rPr>
          <w:bCs/>
          <w:lang w:val="en-US"/>
        </w:rPr>
        <w:t>Kuol</w:t>
      </w:r>
      <w:proofErr w:type="spellEnd"/>
      <w:r w:rsidRPr="00C90E06">
        <w:rPr>
          <w:bCs/>
          <w:lang w:val="en-US"/>
        </w:rPr>
        <w:t xml:space="preserve"> </w:t>
      </w:r>
      <w:r w:rsidR="00AA793F" w:rsidRPr="00C90E06">
        <w:rPr>
          <w:bCs/>
          <w:lang w:val="en-US"/>
        </w:rPr>
        <w:t>(identity withheld)</w:t>
      </w:r>
      <w:r w:rsidR="00072117" w:rsidRPr="00C90E06">
        <w:rPr>
          <w:bCs/>
          <w:lang w:val="en-US"/>
        </w:rPr>
        <w:t>, a 16 years old girl,</w:t>
      </w:r>
      <w:r w:rsidRPr="00C90E06">
        <w:rPr>
          <w:bCs/>
          <w:lang w:val="en-US"/>
        </w:rPr>
        <w:t xml:space="preserve"> was brought to HDC by her mother who had attended the HDC SGBV awareness campaign and learned about the legal aid services provided </w:t>
      </w:r>
      <w:r w:rsidR="00317811" w:rsidRPr="00C90E06">
        <w:rPr>
          <w:bCs/>
          <w:lang w:val="en-US"/>
        </w:rPr>
        <w:t>at the J</w:t>
      </w:r>
      <w:r w:rsidRPr="00C90E06">
        <w:rPr>
          <w:bCs/>
          <w:lang w:val="en-US"/>
        </w:rPr>
        <w:t xml:space="preserve">ustice and </w:t>
      </w:r>
      <w:r w:rsidR="00317811" w:rsidRPr="00C90E06">
        <w:rPr>
          <w:bCs/>
          <w:lang w:val="en-US"/>
        </w:rPr>
        <w:t>C</w:t>
      </w:r>
      <w:r w:rsidRPr="00C90E06">
        <w:rPr>
          <w:bCs/>
          <w:lang w:val="en-US"/>
        </w:rPr>
        <w:t xml:space="preserve">onfidence </w:t>
      </w:r>
      <w:r w:rsidR="00317811" w:rsidRPr="00C90E06">
        <w:rPr>
          <w:bCs/>
          <w:lang w:val="en-US"/>
        </w:rPr>
        <w:t>C</w:t>
      </w:r>
      <w:r w:rsidRPr="00C90E06">
        <w:rPr>
          <w:bCs/>
          <w:lang w:val="en-US"/>
        </w:rPr>
        <w:t xml:space="preserve">entre. She registered a case of forced abortion on her daughter by her daughters’ boyfriend, who refused to take responsibility of the pregnancy and </w:t>
      </w:r>
      <w:r w:rsidR="00072117" w:rsidRPr="00C90E06">
        <w:rPr>
          <w:bCs/>
          <w:lang w:val="en-US"/>
        </w:rPr>
        <w:t>abandoned her after the termination of pregnancy</w:t>
      </w:r>
      <w:r w:rsidRPr="00C90E06">
        <w:rPr>
          <w:bCs/>
          <w:lang w:val="en-US"/>
        </w:rPr>
        <w:t>.</w:t>
      </w:r>
      <w:r w:rsidR="00072117" w:rsidRPr="00C90E06">
        <w:rPr>
          <w:bCs/>
          <w:lang w:val="en-US"/>
        </w:rPr>
        <w:t xml:space="preserve"> </w:t>
      </w:r>
      <w:proofErr w:type="spellStart"/>
      <w:r w:rsidR="00072117" w:rsidRPr="00C90E06">
        <w:rPr>
          <w:bCs/>
          <w:lang w:val="en-US"/>
        </w:rPr>
        <w:t>Yaar</w:t>
      </w:r>
      <w:proofErr w:type="spellEnd"/>
      <w:r w:rsidR="00072117" w:rsidRPr="00C90E06">
        <w:rPr>
          <w:bCs/>
          <w:lang w:val="en-US"/>
        </w:rPr>
        <w:t xml:space="preserve"> </w:t>
      </w:r>
      <w:proofErr w:type="spellStart"/>
      <w:r w:rsidR="00072117" w:rsidRPr="00C90E06">
        <w:rPr>
          <w:bCs/>
          <w:lang w:val="en-US"/>
        </w:rPr>
        <w:t>Kuol</w:t>
      </w:r>
      <w:proofErr w:type="spellEnd"/>
      <w:r w:rsidR="00072117" w:rsidRPr="00C90E06">
        <w:rPr>
          <w:bCs/>
          <w:lang w:val="en-US"/>
        </w:rPr>
        <w:t xml:space="preserve"> </w:t>
      </w:r>
      <w:r w:rsidRPr="00C90E06">
        <w:rPr>
          <w:bCs/>
          <w:lang w:val="en-US"/>
        </w:rPr>
        <w:t xml:space="preserve">was immediately provided psychosocial </w:t>
      </w:r>
      <w:proofErr w:type="gramStart"/>
      <w:r w:rsidRPr="00C90E06">
        <w:rPr>
          <w:bCs/>
          <w:lang w:val="en-US"/>
        </w:rPr>
        <w:t>support, and</w:t>
      </w:r>
      <w:proofErr w:type="gramEnd"/>
      <w:r w:rsidRPr="00C90E06">
        <w:rPr>
          <w:bCs/>
          <w:lang w:val="en-US"/>
        </w:rPr>
        <w:t xml:space="preserve"> referred for medical services which was followed by legal advice. With her consent, the pro-bono lawyer registered a court case. HDC facilitated transportation ensuring that she attend court sessions and had legal representation. During the court proceeding, the court </w:t>
      </w:r>
      <w:r w:rsidR="00072117" w:rsidRPr="00C90E06">
        <w:rPr>
          <w:bCs/>
          <w:lang w:val="en-US"/>
        </w:rPr>
        <w:t xml:space="preserve">suggested for another </w:t>
      </w:r>
      <w:r w:rsidRPr="00C90E06">
        <w:rPr>
          <w:bCs/>
          <w:lang w:val="en-US"/>
        </w:rPr>
        <w:t xml:space="preserve">medical </w:t>
      </w:r>
      <w:proofErr w:type="spellStart"/>
      <w:r w:rsidRPr="00C90E06">
        <w:rPr>
          <w:bCs/>
          <w:lang w:val="en-US"/>
        </w:rPr>
        <w:t>check up</w:t>
      </w:r>
      <w:proofErr w:type="spellEnd"/>
      <w:r w:rsidRPr="00C90E06">
        <w:rPr>
          <w:bCs/>
          <w:lang w:val="en-US"/>
        </w:rPr>
        <w:t xml:space="preserve"> to confirm</w:t>
      </w:r>
      <w:r w:rsidR="00072117" w:rsidRPr="00C90E06">
        <w:rPr>
          <w:bCs/>
          <w:lang w:val="en-US"/>
        </w:rPr>
        <w:t xml:space="preserve"> the termination of pregnancy</w:t>
      </w:r>
      <w:r w:rsidRPr="00C90E06">
        <w:rPr>
          <w:bCs/>
          <w:lang w:val="en-US"/>
        </w:rPr>
        <w:t xml:space="preserve">. The court ruling charged the boy for intentionally and forcefully aiding abortion and charged to pay thirty (30) head of cattle for aiding abortion and dowry for the girl (when she turns 18) according to the Dinka culture. During a follow up visit </w:t>
      </w:r>
      <w:r w:rsidR="00557ED6" w:rsidRPr="00C90E06">
        <w:rPr>
          <w:bCs/>
          <w:lang w:val="en-US"/>
        </w:rPr>
        <w:t xml:space="preserve">after the closure of the case, </w:t>
      </w:r>
      <w:r w:rsidRPr="00C90E06">
        <w:rPr>
          <w:bCs/>
          <w:lang w:val="en-US"/>
        </w:rPr>
        <w:t>the survivor and the family appreciated HDC for the support through the JCC</w:t>
      </w:r>
      <w:r w:rsidR="00557ED6" w:rsidRPr="00C90E06">
        <w:rPr>
          <w:bCs/>
          <w:lang w:val="en-US"/>
        </w:rPr>
        <w:t xml:space="preserve"> for facilitating </w:t>
      </w:r>
      <w:r w:rsidRPr="00C90E06">
        <w:rPr>
          <w:bCs/>
          <w:lang w:val="en-US"/>
        </w:rPr>
        <w:t xml:space="preserve">access </w:t>
      </w:r>
      <w:r w:rsidR="00557ED6" w:rsidRPr="00C90E06">
        <w:rPr>
          <w:bCs/>
          <w:lang w:val="en-US"/>
        </w:rPr>
        <w:t xml:space="preserve">to </w:t>
      </w:r>
      <w:r w:rsidRPr="00C90E06">
        <w:rPr>
          <w:bCs/>
          <w:lang w:val="en-US"/>
        </w:rPr>
        <w:t xml:space="preserve">justice. </w:t>
      </w:r>
    </w:p>
    <w:p w14:paraId="414919F0" w14:textId="77777777" w:rsidR="003D7AAC" w:rsidRPr="00C90E06" w:rsidRDefault="003D7AAC" w:rsidP="003D7AAC">
      <w:pPr>
        <w:ind w:left="-810"/>
        <w:jc w:val="both"/>
        <w:rPr>
          <w:bCs/>
          <w:lang w:val="en-US"/>
        </w:rPr>
      </w:pPr>
    </w:p>
    <w:p w14:paraId="2C74F444" w14:textId="04FEB8E3" w:rsidR="003D7AAC" w:rsidRPr="00C90E06" w:rsidRDefault="00536DFA" w:rsidP="003D7AAC">
      <w:pPr>
        <w:ind w:left="-810"/>
        <w:jc w:val="both"/>
        <w:rPr>
          <w:bCs/>
          <w:lang w:val="en-US"/>
        </w:rPr>
      </w:pPr>
      <w:r w:rsidRPr="00C90E06">
        <w:rPr>
          <w:b/>
        </w:rPr>
        <w:t xml:space="preserve">2. Legal justice </w:t>
      </w:r>
      <w:r w:rsidR="003D7AAC" w:rsidRPr="00C90E06">
        <w:rPr>
          <w:b/>
        </w:rPr>
        <w:t>for a su</w:t>
      </w:r>
      <w:r w:rsidRPr="00C90E06">
        <w:rPr>
          <w:b/>
        </w:rPr>
        <w:t>rvivor of GBV in a divorce case</w:t>
      </w:r>
    </w:p>
    <w:p w14:paraId="4399D07B" w14:textId="6E45E93D" w:rsidR="007931DC" w:rsidRPr="00C90E06" w:rsidRDefault="003D7AAC" w:rsidP="007931DC">
      <w:pPr>
        <w:ind w:left="-810"/>
        <w:jc w:val="both"/>
      </w:pPr>
      <w:bookmarkStart w:id="2" w:name="_Hlk52873475"/>
      <w:r w:rsidRPr="00C90E06">
        <w:t xml:space="preserve">Twenty-two-year-old </w:t>
      </w:r>
      <w:proofErr w:type="spellStart"/>
      <w:r w:rsidRPr="00C90E06">
        <w:t>Abuk</w:t>
      </w:r>
      <w:proofErr w:type="spellEnd"/>
      <w:r w:rsidR="00AA793F" w:rsidRPr="00C90E06">
        <w:t>* (</w:t>
      </w:r>
      <w:r w:rsidRPr="00C90E06">
        <w:t>identity withheld) was referred to HACT through the State Ministry of Gender. She lives in Aweil and had been forced to marry a prominent politician working in Juba. Following payment of dowry and the traditional wedding, she relocated to Juba where she lived with her co</w:t>
      </w:r>
      <w:r w:rsidR="00317811" w:rsidRPr="00C90E06">
        <w:t>-</w:t>
      </w:r>
      <w:r w:rsidRPr="00C90E06">
        <w:t xml:space="preserve">wife and husband. </w:t>
      </w:r>
      <w:proofErr w:type="spellStart"/>
      <w:r w:rsidRPr="00C90E06">
        <w:t>Abuk</w:t>
      </w:r>
      <w:proofErr w:type="spellEnd"/>
      <w:r w:rsidRPr="00C90E06">
        <w:t xml:space="preserve"> reported that while living in Juba, the husband and co</w:t>
      </w:r>
      <w:r w:rsidR="00317811" w:rsidRPr="00C90E06">
        <w:t>-</w:t>
      </w:r>
      <w:r w:rsidRPr="00C90E06">
        <w:t xml:space="preserve">wife started mistreating her and it escalated to physical assault. </w:t>
      </w:r>
      <w:bookmarkEnd w:id="2"/>
      <w:r w:rsidRPr="00C90E06">
        <w:t xml:space="preserve"> She escaped and opened a case against the husband about the mistreatment. The husband was summoned to court, but he failed to honour the summons. In a bizarre event, shortly after filing her case, </w:t>
      </w:r>
      <w:proofErr w:type="spellStart"/>
      <w:r w:rsidRPr="00C90E06">
        <w:t>Abuk</w:t>
      </w:r>
      <w:proofErr w:type="spellEnd"/>
      <w:r w:rsidRPr="00C90E06">
        <w:t xml:space="preserve"> was abducted and tied to a tree in the forest where her mother found her after three days, she did not know who her abductors were and therefore this was not pursued. She proceeded with her case against her husband in Aweil High court and requested the court to grant her divorce through her lawyer. Following court proceedings, the judge ruled in her favour granting her divorce and instructing the now ex-husband to handle the return of dowry with </w:t>
      </w:r>
      <w:proofErr w:type="spellStart"/>
      <w:r w:rsidRPr="00C90E06">
        <w:t>Abuk’s</w:t>
      </w:r>
      <w:proofErr w:type="spellEnd"/>
      <w:r w:rsidRPr="00C90E06">
        <w:t xml:space="preserve"> father as the divorce was finalized. When HACT visited </w:t>
      </w:r>
      <w:proofErr w:type="spellStart"/>
      <w:r w:rsidRPr="00C90E06">
        <w:t>Abuk</w:t>
      </w:r>
      <w:proofErr w:type="spellEnd"/>
      <w:r w:rsidRPr="00C90E06">
        <w:t xml:space="preserve"> at her parent’s house, she expressed her gratitude for the legal aid she had received as she was living happily as a free woman. Th</w:t>
      </w:r>
      <w:r w:rsidR="00317811" w:rsidRPr="00C90E06">
        <w:t xml:space="preserve">is case also charts a positive path </w:t>
      </w:r>
      <w:r w:rsidRPr="00C90E06">
        <w:t xml:space="preserve">as in the past, women could not file for divorce and such cases were referred for mediation </w:t>
      </w:r>
      <w:r w:rsidR="00317811" w:rsidRPr="00C90E06">
        <w:t xml:space="preserve">even </w:t>
      </w:r>
      <w:r w:rsidR="00B43B76" w:rsidRPr="00C90E06">
        <w:t xml:space="preserve">if </w:t>
      </w:r>
      <w:r w:rsidR="00317811" w:rsidRPr="00C90E06">
        <w:t xml:space="preserve">woman </w:t>
      </w:r>
      <w:r w:rsidR="00B43B76" w:rsidRPr="00C90E06">
        <w:t xml:space="preserve">was </w:t>
      </w:r>
      <w:r w:rsidR="00317811" w:rsidRPr="00C90E06">
        <w:t>seeking</w:t>
      </w:r>
      <w:r w:rsidRPr="00C90E06">
        <w:t xml:space="preserve"> divorce.</w:t>
      </w:r>
    </w:p>
    <w:p w14:paraId="06C54175" w14:textId="77777777" w:rsidR="007931DC" w:rsidRPr="00C90E06" w:rsidRDefault="007931DC" w:rsidP="007931DC">
      <w:pPr>
        <w:ind w:left="-810"/>
        <w:jc w:val="both"/>
      </w:pPr>
    </w:p>
    <w:p w14:paraId="0B58F675" w14:textId="0CC023FF" w:rsidR="00536DFA" w:rsidRPr="00C90E06" w:rsidRDefault="007931DC" w:rsidP="007931DC">
      <w:pPr>
        <w:ind w:left="-810"/>
        <w:jc w:val="both"/>
        <w:rPr>
          <w:b/>
          <w:i/>
          <w:iCs/>
          <w:lang w:val="en-US" w:eastAsia="en-US"/>
        </w:rPr>
      </w:pPr>
      <w:r w:rsidRPr="00C90E06">
        <w:rPr>
          <w:b/>
        </w:rPr>
        <w:t xml:space="preserve">3. </w:t>
      </w:r>
      <w:r w:rsidR="00536DFA" w:rsidRPr="00C90E06">
        <w:rPr>
          <w:b/>
        </w:rPr>
        <w:t>The hotline became a lifeline</w:t>
      </w:r>
      <w:r w:rsidRPr="00C90E06">
        <w:rPr>
          <w:b/>
        </w:rPr>
        <w:t xml:space="preserve">: </w:t>
      </w:r>
      <w:r w:rsidR="00536DFA" w:rsidRPr="00C90E06">
        <w:rPr>
          <w:b/>
          <w:i/>
          <w:iCs/>
          <w:lang w:val="en-US" w:eastAsia="en-US"/>
        </w:rPr>
        <w:t>COVID-19 made it difficult for GBV survivors to seek help, a hotline became the solution</w:t>
      </w:r>
    </w:p>
    <w:p w14:paraId="6EF39AE0" w14:textId="6D415A8C" w:rsidR="00536DFA" w:rsidRPr="00C90E06" w:rsidRDefault="00536DFA" w:rsidP="00536DFA">
      <w:pPr>
        <w:ind w:left="-810"/>
        <w:jc w:val="both"/>
        <w:rPr>
          <w:lang w:val="en-US"/>
        </w:rPr>
      </w:pPr>
      <w:r w:rsidRPr="00C90E06">
        <w:rPr>
          <w:i/>
          <w:iCs/>
          <w:lang w:val="en-US"/>
        </w:rPr>
        <w:t>Aweil, South Sudan</w:t>
      </w:r>
      <w:r w:rsidRPr="00C90E06">
        <w:rPr>
          <w:lang w:val="en-US"/>
        </w:rPr>
        <w:t> - The black mobile phone starts chiming again. Before, the hotline would receive only two to four calls a week, now they receive two to three per day. The digital high-pitch sound stops.</w:t>
      </w:r>
    </w:p>
    <w:p w14:paraId="7F3B99E0" w14:textId="77777777" w:rsidR="007931DC" w:rsidRPr="00C90E06" w:rsidRDefault="007931DC" w:rsidP="00536DFA">
      <w:pPr>
        <w:ind w:left="-810"/>
        <w:jc w:val="both"/>
        <w:rPr>
          <w:lang w:val="en-US"/>
        </w:rPr>
      </w:pPr>
    </w:p>
    <w:p w14:paraId="1289824E" w14:textId="1F8799FF" w:rsidR="00536DFA" w:rsidRPr="00C90E06" w:rsidRDefault="00536DFA" w:rsidP="00536DFA">
      <w:pPr>
        <w:ind w:left="-810"/>
        <w:jc w:val="both"/>
        <w:rPr>
          <w:lang w:val="en-US"/>
        </w:rPr>
      </w:pPr>
      <w:r w:rsidRPr="00C90E06">
        <w:rPr>
          <w:lang w:val="en-US"/>
        </w:rPr>
        <w:t xml:space="preserve">“Many people don’t have money to call, so this is the sign that we should call them back,” Laura </w:t>
      </w:r>
      <w:proofErr w:type="spellStart"/>
      <w:r w:rsidRPr="00C90E06">
        <w:rPr>
          <w:lang w:val="en-US"/>
        </w:rPr>
        <w:t>Abuk</w:t>
      </w:r>
      <w:proofErr w:type="spellEnd"/>
      <w:r w:rsidRPr="00C90E06">
        <w:rPr>
          <w:lang w:val="en-US"/>
        </w:rPr>
        <w:t xml:space="preserve"> </w:t>
      </w:r>
      <w:proofErr w:type="spellStart"/>
      <w:r w:rsidRPr="00C90E06">
        <w:rPr>
          <w:lang w:val="en-US"/>
        </w:rPr>
        <w:t>Ajang</w:t>
      </w:r>
      <w:proofErr w:type="spellEnd"/>
      <w:r w:rsidRPr="00C90E06">
        <w:rPr>
          <w:lang w:val="en-US"/>
        </w:rPr>
        <w:t xml:space="preserve"> says. She is a case worker at the women friendly </w:t>
      </w:r>
      <w:proofErr w:type="spellStart"/>
      <w:r w:rsidRPr="00C90E06">
        <w:rPr>
          <w:lang w:val="en-US"/>
        </w:rPr>
        <w:t>centre</w:t>
      </w:r>
      <w:proofErr w:type="spellEnd"/>
      <w:r w:rsidRPr="00C90E06">
        <w:rPr>
          <w:lang w:val="en-US"/>
        </w:rPr>
        <w:t xml:space="preserve"> in Aweil which is also operating the hotline for gender-based violence (GBV).</w:t>
      </w:r>
    </w:p>
    <w:p w14:paraId="302B96A4" w14:textId="77777777" w:rsidR="007931DC" w:rsidRPr="00C90E06" w:rsidRDefault="007931DC" w:rsidP="00536DFA">
      <w:pPr>
        <w:ind w:left="-810"/>
        <w:jc w:val="both"/>
        <w:rPr>
          <w:lang w:val="en-US"/>
        </w:rPr>
      </w:pPr>
    </w:p>
    <w:p w14:paraId="4058B8C9" w14:textId="454E296B" w:rsidR="00536DFA" w:rsidRPr="00C90E06" w:rsidRDefault="00536DFA" w:rsidP="00536DFA">
      <w:pPr>
        <w:ind w:left="-810"/>
        <w:jc w:val="both"/>
        <w:rPr>
          <w:lang w:val="en-US"/>
        </w:rPr>
      </w:pPr>
      <w:r w:rsidRPr="00C90E06">
        <w:rPr>
          <w:lang w:val="en-US"/>
        </w:rPr>
        <w:lastRenderedPageBreak/>
        <w:t xml:space="preserve">“Before, the women would come to the </w:t>
      </w:r>
      <w:proofErr w:type="spellStart"/>
      <w:r w:rsidRPr="00C90E06">
        <w:rPr>
          <w:lang w:val="en-US"/>
        </w:rPr>
        <w:t>centre</w:t>
      </w:r>
      <w:proofErr w:type="spellEnd"/>
      <w:r w:rsidRPr="00C90E06">
        <w:rPr>
          <w:lang w:val="en-US"/>
        </w:rPr>
        <w:t xml:space="preserve"> to seek guidance, get counselling and for referrals, but COVID-19 changed that,” Laura explains.</w:t>
      </w:r>
    </w:p>
    <w:p w14:paraId="6297D558" w14:textId="77777777" w:rsidR="007931DC" w:rsidRPr="00C90E06" w:rsidRDefault="007931DC" w:rsidP="00536DFA">
      <w:pPr>
        <w:ind w:left="-810"/>
        <w:jc w:val="both"/>
        <w:rPr>
          <w:lang w:val="en-US"/>
        </w:rPr>
      </w:pPr>
    </w:p>
    <w:p w14:paraId="26B5D7AE" w14:textId="77777777" w:rsidR="00536DFA" w:rsidRPr="00C90E06" w:rsidRDefault="00536DFA" w:rsidP="00536DFA">
      <w:pPr>
        <w:ind w:left="-810"/>
        <w:jc w:val="both"/>
        <w:rPr>
          <w:lang w:val="en-US"/>
        </w:rPr>
      </w:pPr>
      <w:r w:rsidRPr="00C90E06">
        <w:rPr>
          <w:lang w:val="en-US"/>
        </w:rPr>
        <w:t xml:space="preserve">When a semi-lockdown was introduced in South Sudan, it became more difficult for GBV survivors to seek help as there was no means of transport to get to the </w:t>
      </w:r>
      <w:proofErr w:type="spellStart"/>
      <w:r w:rsidRPr="00C90E06">
        <w:rPr>
          <w:lang w:val="en-US"/>
        </w:rPr>
        <w:t>centre</w:t>
      </w:r>
      <w:proofErr w:type="spellEnd"/>
      <w:r w:rsidRPr="00C90E06">
        <w:rPr>
          <w:lang w:val="en-US"/>
        </w:rPr>
        <w:t xml:space="preserve">. Later, when public transport was allowed the prices had gone through the roof. If you got to the </w:t>
      </w:r>
      <w:proofErr w:type="spellStart"/>
      <w:r w:rsidRPr="00C90E06">
        <w:rPr>
          <w:lang w:val="en-US"/>
        </w:rPr>
        <w:t>centre</w:t>
      </w:r>
      <w:proofErr w:type="spellEnd"/>
      <w:r w:rsidRPr="00C90E06">
        <w:rPr>
          <w:lang w:val="en-US"/>
        </w:rPr>
        <w:t>, the number of people who could be there at the same time was limited due to the COVID-19 regulations.</w:t>
      </w:r>
    </w:p>
    <w:p w14:paraId="291FEDD4" w14:textId="65166053" w:rsidR="00536DFA" w:rsidRPr="00C90E06" w:rsidRDefault="00536DFA" w:rsidP="00536DFA">
      <w:pPr>
        <w:ind w:left="-810"/>
        <w:jc w:val="both"/>
        <w:rPr>
          <w:lang w:val="en-US"/>
        </w:rPr>
      </w:pPr>
      <w:r w:rsidRPr="00C90E06">
        <w:rPr>
          <w:lang w:val="en-US"/>
        </w:rPr>
        <w:t>American Refugee Committee (ARC) which is operatin</w:t>
      </w:r>
      <w:r w:rsidR="00E92D3F" w:rsidRPr="00C90E06">
        <w:rPr>
          <w:lang w:val="en-US"/>
        </w:rPr>
        <w:t xml:space="preserve">g the hotline with support from </w:t>
      </w:r>
      <w:r w:rsidRPr="00C90E06">
        <w:rPr>
          <w:lang w:val="en-US"/>
        </w:rPr>
        <w:t xml:space="preserve">UNICEF, printed the hotline number and distributed it in public places such as Primary Health Care </w:t>
      </w:r>
      <w:proofErr w:type="spellStart"/>
      <w:r w:rsidRPr="00C90E06">
        <w:rPr>
          <w:lang w:val="en-US"/>
        </w:rPr>
        <w:t>centres</w:t>
      </w:r>
      <w:proofErr w:type="spellEnd"/>
      <w:r w:rsidRPr="00C90E06">
        <w:rPr>
          <w:lang w:val="en-US"/>
        </w:rPr>
        <w:t xml:space="preserve">, nutrition </w:t>
      </w:r>
      <w:proofErr w:type="spellStart"/>
      <w:r w:rsidRPr="00C90E06">
        <w:rPr>
          <w:lang w:val="en-US"/>
        </w:rPr>
        <w:t>centres</w:t>
      </w:r>
      <w:proofErr w:type="spellEnd"/>
      <w:r w:rsidRPr="00C90E06">
        <w:rPr>
          <w:lang w:val="en-US"/>
        </w:rPr>
        <w:t>, churches and mosques, for more women to be aware. The hotline became the lifeline for many women.</w:t>
      </w:r>
    </w:p>
    <w:p w14:paraId="3FCB51D8" w14:textId="77777777" w:rsidR="007931DC" w:rsidRPr="00C90E06" w:rsidRDefault="007931DC" w:rsidP="00536DFA">
      <w:pPr>
        <w:ind w:left="-810"/>
        <w:jc w:val="both"/>
        <w:rPr>
          <w:lang w:val="en-US"/>
        </w:rPr>
      </w:pPr>
    </w:p>
    <w:p w14:paraId="48F399A9" w14:textId="30267600" w:rsidR="00536DFA" w:rsidRPr="00C90E06" w:rsidRDefault="00536DFA" w:rsidP="00536DFA">
      <w:pPr>
        <w:ind w:left="-810"/>
        <w:jc w:val="both"/>
        <w:rPr>
          <w:lang w:val="en-US"/>
        </w:rPr>
      </w:pPr>
      <w:r w:rsidRPr="00C90E06">
        <w:rPr>
          <w:lang w:val="en-US"/>
        </w:rPr>
        <w:t xml:space="preserve">“Since the beginning of the pandemic, the number of emotional abuse cases have risen every day and it has continued to rise,” says </w:t>
      </w:r>
      <w:proofErr w:type="spellStart"/>
      <w:r w:rsidRPr="00C90E06">
        <w:rPr>
          <w:lang w:val="en-US"/>
        </w:rPr>
        <w:t>Lual</w:t>
      </w:r>
      <w:proofErr w:type="spellEnd"/>
      <w:r w:rsidRPr="00C90E06">
        <w:rPr>
          <w:lang w:val="en-US"/>
        </w:rPr>
        <w:t xml:space="preserve"> Deng. He is the Senior GBV Project Officer for ARC and explains that the spike comes as a result of many men being laid off from work due to covid-19 and they take their frustration out on their wives.</w:t>
      </w:r>
    </w:p>
    <w:p w14:paraId="4E89A0C3" w14:textId="77777777" w:rsidR="007931DC" w:rsidRPr="00C90E06" w:rsidRDefault="007931DC" w:rsidP="00536DFA">
      <w:pPr>
        <w:ind w:left="-810"/>
        <w:jc w:val="both"/>
        <w:rPr>
          <w:lang w:val="en-US"/>
        </w:rPr>
      </w:pPr>
    </w:p>
    <w:p w14:paraId="6678E4E2" w14:textId="03ED964D" w:rsidR="00536DFA" w:rsidRPr="00C90E06" w:rsidRDefault="00536DFA" w:rsidP="00536DFA">
      <w:pPr>
        <w:ind w:left="-810"/>
        <w:jc w:val="both"/>
        <w:rPr>
          <w:lang w:val="en-US"/>
        </w:rPr>
      </w:pPr>
      <w:r w:rsidRPr="00C90E06">
        <w:rPr>
          <w:lang w:val="en-US"/>
        </w:rPr>
        <w:t>Most of the abuse happens at night and the hotline is open 24 hours, but most of the calls are received during the day.</w:t>
      </w:r>
      <w:r w:rsidR="007931DC" w:rsidRPr="00C90E06">
        <w:rPr>
          <w:lang w:val="en-US"/>
        </w:rPr>
        <w:t xml:space="preserve"> </w:t>
      </w:r>
      <w:r w:rsidRPr="00C90E06">
        <w:rPr>
          <w:lang w:val="en-US"/>
        </w:rPr>
        <w:t>“They call after an incident or when an unbearable situation has prevailed too long. They call when they are alone, when they have no support or when they have worked up the courage. The cases vary from emotional violence to beatings and rape. We try to be as near to the survivor as we can, even if we are far in reality,” Laura says.</w:t>
      </w:r>
    </w:p>
    <w:p w14:paraId="4CABC75D" w14:textId="77777777" w:rsidR="007931DC" w:rsidRPr="00C90E06" w:rsidRDefault="007931DC" w:rsidP="00536DFA">
      <w:pPr>
        <w:ind w:left="-810"/>
        <w:jc w:val="both"/>
        <w:rPr>
          <w:lang w:val="en-US"/>
        </w:rPr>
      </w:pPr>
    </w:p>
    <w:p w14:paraId="46F1A92A" w14:textId="77777777" w:rsidR="00536DFA" w:rsidRPr="00C90E06" w:rsidRDefault="00536DFA" w:rsidP="00536DFA">
      <w:pPr>
        <w:ind w:left="-810"/>
        <w:jc w:val="both"/>
        <w:rPr>
          <w:lang w:val="en-US"/>
        </w:rPr>
      </w:pPr>
      <w:r w:rsidRPr="00C90E06">
        <w:rPr>
          <w:lang w:val="en-US"/>
        </w:rPr>
        <w:t>Laura says she likes her job, but it is challenging not to be able to help all the women in need. “Some areas outside Aweil have poor network and they can’t call, and they can’t come.”</w:t>
      </w:r>
    </w:p>
    <w:p w14:paraId="3FF37BC9" w14:textId="2D9AE9CE" w:rsidR="00536DFA" w:rsidRPr="00C90E06" w:rsidRDefault="00F20E22" w:rsidP="00536DFA">
      <w:pPr>
        <w:ind w:left="-810"/>
        <w:rPr>
          <w:rStyle w:val="Hyperlink"/>
        </w:rPr>
      </w:pPr>
      <w:hyperlink r:id="rId14" w:history="1">
        <w:r w:rsidR="00536DFA" w:rsidRPr="00C90E06">
          <w:rPr>
            <w:rStyle w:val="Hyperlink"/>
          </w:rPr>
          <w:t>https://www.unicef.org/southsudan/stories/hotline-became-lifeline</w:t>
        </w:r>
      </w:hyperlink>
    </w:p>
    <w:p w14:paraId="2B084374" w14:textId="6A97DBC7" w:rsidR="00740D68" w:rsidRPr="00C90E06" w:rsidRDefault="00740D68" w:rsidP="00536DFA">
      <w:pPr>
        <w:ind w:left="-810"/>
        <w:rPr>
          <w:rStyle w:val="Hyperlink"/>
        </w:rPr>
      </w:pPr>
    </w:p>
    <w:p w14:paraId="16FEA9E4" w14:textId="7CAC3813" w:rsidR="00740D68" w:rsidRPr="00C90E06" w:rsidRDefault="00740D68" w:rsidP="00740D68">
      <w:pPr>
        <w:ind w:left="-810"/>
        <w:rPr>
          <w:rStyle w:val="Hyperlink"/>
          <w:b/>
          <w:bCs/>
          <w:color w:val="auto"/>
          <w:u w:val="none"/>
        </w:rPr>
      </w:pPr>
      <w:r w:rsidRPr="00C90E06">
        <w:rPr>
          <w:rStyle w:val="Hyperlink"/>
          <w:b/>
          <w:bCs/>
          <w:color w:val="auto"/>
          <w:u w:val="none"/>
        </w:rPr>
        <w:t xml:space="preserve">4. Community dialogues on GBV issues in </w:t>
      </w:r>
      <w:proofErr w:type="spellStart"/>
      <w:r w:rsidRPr="00C90E06">
        <w:rPr>
          <w:rStyle w:val="Hyperlink"/>
          <w:b/>
          <w:bCs/>
          <w:color w:val="auto"/>
          <w:u w:val="none"/>
        </w:rPr>
        <w:t>Bor</w:t>
      </w:r>
      <w:proofErr w:type="spellEnd"/>
      <w:r w:rsidRPr="00C90E06">
        <w:rPr>
          <w:rStyle w:val="Hyperlink"/>
          <w:b/>
          <w:bCs/>
          <w:color w:val="auto"/>
          <w:u w:val="none"/>
        </w:rPr>
        <w:t xml:space="preserve"> leads to increase reporting of GBV</w:t>
      </w:r>
    </w:p>
    <w:p w14:paraId="1996C451" w14:textId="204DB917" w:rsidR="00740D68" w:rsidRPr="00C90E06" w:rsidRDefault="00740D68" w:rsidP="00740D68">
      <w:pPr>
        <w:ind w:left="-810"/>
        <w:jc w:val="both"/>
        <w:rPr>
          <w:lang w:val="en-US"/>
        </w:rPr>
      </w:pPr>
      <w:r w:rsidRPr="00C90E06">
        <w:rPr>
          <w:lang w:val="en-US"/>
        </w:rPr>
        <w:t xml:space="preserve">Following the training facilitated by UN Women, the office of Special Protection Unit in </w:t>
      </w:r>
      <w:proofErr w:type="spellStart"/>
      <w:r w:rsidRPr="00C90E06">
        <w:rPr>
          <w:lang w:val="en-US"/>
        </w:rPr>
        <w:t>Bor</w:t>
      </w:r>
      <w:proofErr w:type="spellEnd"/>
      <w:r w:rsidRPr="00C90E06">
        <w:rPr>
          <w:lang w:val="en-US"/>
        </w:rPr>
        <w:t xml:space="preserve"> headed by Mr. Joseph said “after training, the reporting of GBV cases at the SPU is on the rise by the community leaders. With the actions of some of the participants in the seminar on the legal and human right of women and girls already, it is fair to say, the activity improved the capacity of local authority to manage GBV survivors.”</w:t>
      </w:r>
    </w:p>
    <w:p w14:paraId="5ED75475" w14:textId="77777777" w:rsidR="00740D68" w:rsidRPr="00C90E06" w:rsidRDefault="00740D68" w:rsidP="00536DFA">
      <w:pPr>
        <w:ind w:left="-810"/>
        <w:rPr>
          <w:lang w:val="en-US"/>
        </w:rPr>
      </w:pPr>
    </w:p>
    <w:p w14:paraId="5A63C6D0" w14:textId="77777777" w:rsidR="003D7AAC" w:rsidRPr="00C90E06" w:rsidRDefault="003D7AAC" w:rsidP="003D7AAC">
      <w:pPr>
        <w:ind w:left="-810"/>
      </w:pPr>
    </w:p>
    <w:p w14:paraId="619E3770" w14:textId="77777777" w:rsidR="00F5504F" w:rsidRPr="00C90E06" w:rsidRDefault="00206D45" w:rsidP="009C61FD">
      <w:pPr>
        <w:shd w:val="clear" w:color="auto" w:fill="8EAADB" w:themeFill="accent1" w:themeFillTint="99"/>
        <w:ind w:hanging="810"/>
        <w:jc w:val="both"/>
        <w:rPr>
          <w:b/>
          <w:u w:val="single"/>
        </w:rPr>
      </w:pPr>
      <w:r w:rsidRPr="00C90E06">
        <w:rPr>
          <w:b/>
          <w:u w:val="single"/>
        </w:rPr>
        <w:t xml:space="preserve">PART II: RESULT PROGRESS BY PROJECT OUTCOME </w:t>
      </w:r>
    </w:p>
    <w:p w14:paraId="0DC19C42" w14:textId="77777777" w:rsidR="00F5504F" w:rsidRPr="00C90E06" w:rsidRDefault="00F5504F" w:rsidP="00323ABC">
      <w:pPr>
        <w:ind w:left="-720"/>
        <w:rPr>
          <w:b/>
          <w:u w:val="single"/>
        </w:rPr>
      </w:pPr>
    </w:p>
    <w:p w14:paraId="1190FA5C" w14:textId="77777777" w:rsidR="00343453" w:rsidRPr="00C90E06" w:rsidRDefault="00343453" w:rsidP="00343453">
      <w:pPr>
        <w:ind w:left="-720"/>
        <w:jc w:val="both"/>
        <w:rPr>
          <w:b/>
          <w:color w:val="0070C0"/>
          <w:u w:val="single"/>
        </w:rPr>
      </w:pPr>
      <w:r w:rsidRPr="00C90E06">
        <w:rPr>
          <w:b/>
          <w:color w:val="0070C0"/>
          <w:u w:val="single"/>
        </w:rPr>
        <w:t xml:space="preserve">Output 1:  Increased access comprehensive GBV support services </w:t>
      </w:r>
    </w:p>
    <w:p w14:paraId="01E14E74" w14:textId="77777777" w:rsidR="00343453" w:rsidRPr="00C90E06" w:rsidRDefault="00343453" w:rsidP="00343453">
      <w:pPr>
        <w:ind w:left="-720"/>
        <w:jc w:val="both"/>
        <w:rPr>
          <w:b/>
        </w:rPr>
      </w:pPr>
    </w:p>
    <w:p w14:paraId="3B8B7702" w14:textId="77777777" w:rsidR="00343453" w:rsidRPr="00C90E06" w:rsidRDefault="00343453" w:rsidP="00343453">
      <w:pPr>
        <w:ind w:left="-720"/>
        <w:jc w:val="both"/>
        <w:rPr>
          <w:b/>
        </w:rPr>
      </w:pPr>
      <w:r w:rsidRPr="00C90E06">
        <w:rPr>
          <w:b/>
        </w:rPr>
        <w:t>Current status of the progress: On track</w:t>
      </w:r>
    </w:p>
    <w:p w14:paraId="517BAF69" w14:textId="77777777" w:rsidR="00F841EC" w:rsidRPr="00C90E06" w:rsidRDefault="00F841EC" w:rsidP="00343453">
      <w:pPr>
        <w:ind w:left="-720"/>
        <w:jc w:val="both"/>
        <w:rPr>
          <w:b/>
        </w:rPr>
      </w:pPr>
    </w:p>
    <w:p w14:paraId="6A85BA82" w14:textId="0E0E3108" w:rsidR="00F841EC" w:rsidRPr="00C90E06" w:rsidRDefault="003235DF" w:rsidP="00343453">
      <w:pPr>
        <w:ind w:left="-720"/>
        <w:jc w:val="both"/>
        <w:rPr>
          <w:b/>
        </w:rPr>
      </w:pPr>
      <w:r w:rsidRPr="00C90E06">
        <w:rPr>
          <w:b/>
        </w:rPr>
        <w:t>Progress summary:</w:t>
      </w:r>
      <w:r w:rsidR="00F841EC" w:rsidRPr="00C90E06">
        <w:rPr>
          <w:b/>
        </w:rPr>
        <w:t xml:space="preserve"> </w:t>
      </w:r>
    </w:p>
    <w:p w14:paraId="3CEBF27A" w14:textId="308E9F65" w:rsidR="00343453" w:rsidRPr="00C90E06" w:rsidRDefault="00343453" w:rsidP="00343453">
      <w:pPr>
        <w:ind w:left="-720"/>
        <w:jc w:val="both"/>
      </w:pPr>
      <w:r w:rsidRPr="00C90E06">
        <w:t xml:space="preserve">During the reporting period, the two OSCs at the Aweil Civil hospital and Akobo County Clinic provided immediate, integrated and confidential services to </w:t>
      </w:r>
      <w:r w:rsidR="00BD5FCB" w:rsidRPr="00C90E06">
        <w:t>62</w:t>
      </w:r>
      <w:r w:rsidRPr="00C90E06">
        <w:t xml:space="preserve"> survivors</w:t>
      </w:r>
      <w:r w:rsidR="00BD5FCB" w:rsidRPr="00C90E06">
        <w:t xml:space="preserve"> at Aweil and 30</w:t>
      </w:r>
      <w:r w:rsidRPr="00C90E06">
        <w:t xml:space="preserve"> survivors at Akobo. To reach out to the survivors through community awareness, </w:t>
      </w:r>
      <w:r w:rsidR="00BD5FCB" w:rsidRPr="00C90E06">
        <w:t>15</w:t>
      </w:r>
      <w:r w:rsidRPr="00C90E06">
        <w:t xml:space="preserve"> sessions in Aweil, </w:t>
      </w:r>
      <w:r w:rsidR="00BD5FCB" w:rsidRPr="00C90E06">
        <w:t>6</w:t>
      </w:r>
      <w:r w:rsidRPr="00C90E06">
        <w:t xml:space="preserve"> in Akobo were organized</w:t>
      </w:r>
      <w:r w:rsidR="002E22CD" w:rsidRPr="00C90E06">
        <w:t>. Due to Covid-19, the door-to-door communit</w:t>
      </w:r>
      <w:r w:rsidR="008476C0" w:rsidRPr="00C90E06">
        <w:t>y outreach was replaced with 35</w:t>
      </w:r>
      <w:r w:rsidR="002E22CD" w:rsidRPr="00C90E06">
        <w:t xml:space="preserve"> </w:t>
      </w:r>
      <w:r w:rsidRPr="00C90E06">
        <w:t>radio shows</w:t>
      </w:r>
      <w:r w:rsidR="002E22CD" w:rsidRPr="00C90E06">
        <w:t xml:space="preserve"> and use of </w:t>
      </w:r>
      <w:proofErr w:type="gramStart"/>
      <w:r w:rsidR="002E22CD" w:rsidRPr="00C90E06">
        <w:t>mega phones</w:t>
      </w:r>
      <w:proofErr w:type="gramEnd"/>
      <w:r w:rsidR="002E22CD" w:rsidRPr="00C90E06">
        <w:t>,</w:t>
      </w:r>
      <w:r w:rsidRPr="00C90E06">
        <w:t xml:space="preserve"> reaching approximately </w:t>
      </w:r>
      <w:r w:rsidR="008476C0" w:rsidRPr="00C90E06">
        <w:t>49</w:t>
      </w:r>
      <w:r w:rsidR="00F928D6" w:rsidRPr="00C90E06">
        <w:t>,</w:t>
      </w:r>
      <w:r w:rsidR="008476C0" w:rsidRPr="00C90E06">
        <w:t xml:space="preserve">660 </w:t>
      </w:r>
      <w:r w:rsidRPr="00C90E06">
        <w:t xml:space="preserve">listeners. </w:t>
      </w:r>
    </w:p>
    <w:p w14:paraId="301DDB0F" w14:textId="24868A0A" w:rsidR="00654503" w:rsidRPr="00C90E06" w:rsidRDefault="00654503" w:rsidP="00343453">
      <w:pPr>
        <w:ind w:left="-720"/>
        <w:jc w:val="both"/>
      </w:pPr>
    </w:p>
    <w:p w14:paraId="586A5B07" w14:textId="5D00C702" w:rsidR="00654503" w:rsidRPr="00C90E06" w:rsidRDefault="00654503" w:rsidP="00654503">
      <w:pPr>
        <w:ind w:left="-720"/>
        <w:jc w:val="both"/>
      </w:pPr>
      <w:r w:rsidRPr="00C90E06">
        <w:lastRenderedPageBreak/>
        <w:t xml:space="preserve">To comply </w:t>
      </w:r>
      <w:r w:rsidR="000744C7">
        <w:t>with</w:t>
      </w:r>
      <w:r w:rsidRPr="00C90E06">
        <w:t xml:space="preserve"> government regulations related to Covid-19, handwashing facilities were installed at the OSCs, staff rotation were put in place and physical distancing measures were adopted. A guideline was issued for all the partners on how to conduct case management to follow Covid-19 preventive measures (attached as Annex).</w:t>
      </w:r>
    </w:p>
    <w:p w14:paraId="3DA4B627" w14:textId="15B23263" w:rsidR="002E22CD" w:rsidRPr="00C90E06" w:rsidRDefault="002E22CD" w:rsidP="00343453">
      <w:pPr>
        <w:ind w:left="-720"/>
        <w:jc w:val="both"/>
      </w:pPr>
    </w:p>
    <w:p w14:paraId="52060102" w14:textId="5CBA2A19" w:rsidR="00BD5FCB" w:rsidRPr="00C90E06" w:rsidRDefault="00BD5FCB" w:rsidP="00F928D6">
      <w:pPr>
        <w:ind w:left="-720"/>
        <w:jc w:val="both"/>
      </w:pPr>
      <w:r w:rsidRPr="00C90E06">
        <w:t>Akobo and Aweil OSC Caseload (</w:t>
      </w:r>
      <w:r w:rsidR="00F928D6" w:rsidRPr="00C90E06">
        <w:t xml:space="preserve">covering the period </w:t>
      </w:r>
      <w:r w:rsidRPr="00C90E06">
        <w:t>January to September</w:t>
      </w:r>
      <w:r w:rsidR="00F928D6" w:rsidRPr="00C90E06">
        <w:t xml:space="preserve"> 2020</w:t>
      </w:r>
      <w:r w:rsidRPr="00C90E06">
        <w:t>)</w:t>
      </w:r>
    </w:p>
    <w:tbl>
      <w:tblPr>
        <w:tblStyle w:val="TableGrid"/>
        <w:tblW w:w="0" w:type="auto"/>
        <w:tblInd w:w="-725" w:type="dxa"/>
        <w:tblLook w:val="04A0" w:firstRow="1" w:lastRow="0" w:firstColumn="1" w:lastColumn="0" w:noHBand="0" w:noVBand="1"/>
      </w:tblPr>
      <w:tblGrid>
        <w:gridCol w:w="870"/>
        <w:gridCol w:w="1150"/>
        <w:gridCol w:w="1030"/>
        <w:gridCol w:w="1029"/>
        <w:gridCol w:w="710"/>
        <w:gridCol w:w="1216"/>
        <w:gridCol w:w="1310"/>
        <w:gridCol w:w="1706"/>
      </w:tblGrid>
      <w:tr w:rsidR="00F928D6" w:rsidRPr="00C90E06" w14:paraId="46ABFD62" w14:textId="77777777" w:rsidTr="00F841EC">
        <w:tc>
          <w:tcPr>
            <w:tcW w:w="870" w:type="dxa"/>
            <w:shd w:val="clear" w:color="auto" w:fill="92D050"/>
          </w:tcPr>
          <w:p w14:paraId="7A179FC8" w14:textId="77777777" w:rsidR="00F928D6" w:rsidRPr="00C90E06" w:rsidRDefault="00F928D6" w:rsidP="00CD24B1">
            <w:pPr>
              <w:jc w:val="center"/>
              <w:rPr>
                <w:b/>
              </w:rPr>
            </w:pPr>
            <w:r w:rsidRPr="00C90E06">
              <w:rPr>
                <w:b/>
              </w:rPr>
              <w:t>FPC</w:t>
            </w:r>
          </w:p>
        </w:tc>
        <w:tc>
          <w:tcPr>
            <w:tcW w:w="1150" w:type="dxa"/>
            <w:shd w:val="clear" w:color="auto" w:fill="92D050"/>
          </w:tcPr>
          <w:p w14:paraId="455B3D31" w14:textId="77777777" w:rsidR="00F928D6" w:rsidRPr="00C90E06" w:rsidRDefault="00F928D6" w:rsidP="00CD24B1">
            <w:pPr>
              <w:jc w:val="center"/>
              <w:rPr>
                <w:b/>
              </w:rPr>
            </w:pPr>
            <w:r w:rsidRPr="00C90E06">
              <w:rPr>
                <w:b/>
              </w:rPr>
              <w:t>Total Caseload</w:t>
            </w:r>
          </w:p>
        </w:tc>
        <w:tc>
          <w:tcPr>
            <w:tcW w:w="7001" w:type="dxa"/>
            <w:gridSpan w:val="6"/>
            <w:shd w:val="clear" w:color="auto" w:fill="92D050"/>
          </w:tcPr>
          <w:p w14:paraId="584769A0" w14:textId="77777777" w:rsidR="00F928D6" w:rsidRPr="00C90E06" w:rsidRDefault="00F928D6" w:rsidP="00CD24B1">
            <w:pPr>
              <w:jc w:val="center"/>
              <w:rPr>
                <w:b/>
              </w:rPr>
            </w:pPr>
            <w:r w:rsidRPr="00C90E06">
              <w:rPr>
                <w:b/>
              </w:rPr>
              <w:t>GBV Type</w:t>
            </w:r>
          </w:p>
        </w:tc>
      </w:tr>
      <w:tr w:rsidR="00F928D6" w:rsidRPr="00C90E06" w14:paraId="02FC6083" w14:textId="77777777" w:rsidTr="00F841EC">
        <w:tc>
          <w:tcPr>
            <w:tcW w:w="870" w:type="dxa"/>
          </w:tcPr>
          <w:p w14:paraId="4F2485C5" w14:textId="77777777" w:rsidR="00F928D6" w:rsidRPr="00C90E06" w:rsidRDefault="00F928D6" w:rsidP="00CD24B1"/>
        </w:tc>
        <w:tc>
          <w:tcPr>
            <w:tcW w:w="1150" w:type="dxa"/>
          </w:tcPr>
          <w:p w14:paraId="1C358C64" w14:textId="77777777" w:rsidR="00F928D6" w:rsidRPr="00C90E06" w:rsidRDefault="00F928D6" w:rsidP="00CD24B1"/>
        </w:tc>
        <w:tc>
          <w:tcPr>
            <w:tcW w:w="1030" w:type="dxa"/>
          </w:tcPr>
          <w:p w14:paraId="4D57941F" w14:textId="235F00E6" w:rsidR="00F928D6" w:rsidRPr="00C90E06" w:rsidRDefault="00F928D6" w:rsidP="00CD24B1">
            <w:r w:rsidRPr="00C90E06">
              <w:t xml:space="preserve">Physical violence </w:t>
            </w:r>
          </w:p>
        </w:tc>
        <w:tc>
          <w:tcPr>
            <w:tcW w:w="1029" w:type="dxa"/>
          </w:tcPr>
          <w:p w14:paraId="33DA4127" w14:textId="2528DC41" w:rsidR="00F928D6" w:rsidRPr="00C90E06" w:rsidRDefault="00F928D6" w:rsidP="00CD24B1">
            <w:r w:rsidRPr="00C90E06">
              <w:t xml:space="preserve">Sexual violence </w:t>
            </w:r>
          </w:p>
        </w:tc>
        <w:tc>
          <w:tcPr>
            <w:tcW w:w="710" w:type="dxa"/>
          </w:tcPr>
          <w:p w14:paraId="5702517B" w14:textId="77777777" w:rsidR="00F928D6" w:rsidRPr="00C90E06" w:rsidRDefault="00F928D6" w:rsidP="00CD24B1">
            <w:r w:rsidRPr="00C90E06">
              <w:t xml:space="preserve">Rape </w:t>
            </w:r>
          </w:p>
        </w:tc>
        <w:tc>
          <w:tcPr>
            <w:tcW w:w="1216" w:type="dxa"/>
          </w:tcPr>
          <w:p w14:paraId="0EFCAD22" w14:textId="03F45E16" w:rsidR="00F928D6" w:rsidRPr="00C90E06" w:rsidRDefault="00F928D6" w:rsidP="00CD24B1">
            <w:r w:rsidRPr="00C90E06">
              <w:t>Emotional violence</w:t>
            </w:r>
          </w:p>
        </w:tc>
        <w:tc>
          <w:tcPr>
            <w:tcW w:w="1310" w:type="dxa"/>
          </w:tcPr>
          <w:p w14:paraId="0E8AB5D7" w14:textId="77777777" w:rsidR="00F928D6" w:rsidRPr="00C90E06" w:rsidRDefault="00F928D6" w:rsidP="00CD24B1">
            <w:r w:rsidRPr="00C90E06">
              <w:t xml:space="preserve">Child/force marriage </w:t>
            </w:r>
          </w:p>
        </w:tc>
        <w:tc>
          <w:tcPr>
            <w:tcW w:w="1706" w:type="dxa"/>
          </w:tcPr>
          <w:p w14:paraId="7A6EAD54" w14:textId="74EC2FA5" w:rsidR="00F928D6" w:rsidRPr="00C90E06" w:rsidRDefault="00F928D6" w:rsidP="00CD24B1">
            <w:r w:rsidRPr="00C90E06">
              <w:t>D</w:t>
            </w:r>
            <w:r w:rsidR="000744C7">
              <w:t>e</w:t>
            </w:r>
            <w:r w:rsidRPr="00C90E06">
              <w:t xml:space="preserve">nial of resources </w:t>
            </w:r>
          </w:p>
        </w:tc>
      </w:tr>
      <w:tr w:rsidR="00F928D6" w:rsidRPr="00C90E06" w14:paraId="101B8F65" w14:textId="77777777" w:rsidTr="00F841EC">
        <w:tc>
          <w:tcPr>
            <w:tcW w:w="870" w:type="dxa"/>
          </w:tcPr>
          <w:p w14:paraId="270F31C5" w14:textId="77777777" w:rsidR="00F928D6" w:rsidRPr="00C90E06" w:rsidRDefault="00F928D6" w:rsidP="00CD24B1">
            <w:r w:rsidRPr="00C90E06">
              <w:t>Akobo</w:t>
            </w:r>
          </w:p>
        </w:tc>
        <w:tc>
          <w:tcPr>
            <w:tcW w:w="1150" w:type="dxa"/>
          </w:tcPr>
          <w:p w14:paraId="3387A809" w14:textId="77777777" w:rsidR="00F928D6" w:rsidRPr="00C90E06" w:rsidRDefault="00F928D6" w:rsidP="00CD24B1">
            <w:r w:rsidRPr="00C90E06">
              <w:t>30</w:t>
            </w:r>
          </w:p>
        </w:tc>
        <w:tc>
          <w:tcPr>
            <w:tcW w:w="1030" w:type="dxa"/>
          </w:tcPr>
          <w:p w14:paraId="76463C4E" w14:textId="77777777" w:rsidR="00F928D6" w:rsidRPr="00C90E06" w:rsidRDefault="00F928D6" w:rsidP="00CD24B1">
            <w:r w:rsidRPr="00C90E06">
              <w:t>7</w:t>
            </w:r>
          </w:p>
        </w:tc>
        <w:tc>
          <w:tcPr>
            <w:tcW w:w="1029" w:type="dxa"/>
          </w:tcPr>
          <w:p w14:paraId="7F8470C5" w14:textId="77777777" w:rsidR="00F928D6" w:rsidRPr="00C90E06" w:rsidRDefault="00F928D6" w:rsidP="00CD24B1">
            <w:r w:rsidRPr="00C90E06">
              <w:t>6</w:t>
            </w:r>
          </w:p>
        </w:tc>
        <w:tc>
          <w:tcPr>
            <w:tcW w:w="710" w:type="dxa"/>
          </w:tcPr>
          <w:p w14:paraId="16E74043" w14:textId="77777777" w:rsidR="00F928D6" w:rsidRPr="00C90E06" w:rsidRDefault="00F928D6" w:rsidP="00CD24B1">
            <w:r w:rsidRPr="00C90E06">
              <w:t>1</w:t>
            </w:r>
          </w:p>
        </w:tc>
        <w:tc>
          <w:tcPr>
            <w:tcW w:w="1216" w:type="dxa"/>
          </w:tcPr>
          <w:p w14:paraId="40990635" w14:textId="77777777" w:rsidR="00F928D6" w:rsidRPr="00C90E06" w:rsidRDefault="00F928D6" w:rsidP="00CD24B1">
            <w:r w:rsidRPr="00C90E06">
              <w:t>2</w:t>
            </w:r>
          </w:p>
        </w:tc>
        <w:tc>
          <w:tcPr>
            <w:tcW w:w="1310" w:type="dxa"/>
          </w:tcPr>
          <w:p w14:paraId="498FFE1D" w14:textId="77777777" w:rsidR="00F928D6" w:rsidRPr="00C90E06" w:rsidRDefault="00F928D6" w:rsidP="00CD24B1">
            <w:r w:rsidRPr="00C90E06">
              <w:t>9</w:t>
            </w:r>
          </w:p>
        </w:tc>
        <w:tc>
          <w:tcPr>
            <w:tcW w:w="1706" w:type="dxa"/>
          </w:tcPr>
          <w:p w14:paraId="341476BA" w14:textId="77777777" w:rsidR="00F928D6" w:rsidRPr="00C90E06" w:rsidRDefault="00F928D6" w:rsidP="00CD24B1">
            <w:r w:rsidRPr="00C90E06">
              <w:t>5</w:t>
            </w:r>
          </w:p>
        </w:tc>
      </w:tr>
      <w:tr w:rsidR="00F928D6" w:rsidRPr="00C90E06" w14:paraId="3B8EDC40" w14:textId="77777777" w:rsidTr="00F841EC">
        <w:tc>
          <w:tcPr>
            <w:tcW w:w="870" w:type="dxa"/>
          </w:tcPr>
          <w:p w14:paraId="0C58D6A8" w14:textId="77777777" w:rsidR="00F928D6" w:rsidRPr="00C90E06" w:rsidRDefault="00F928D6" w:rsidP="00CD24B1">
            <w:r w:rsidRPr="00C90E06">
              <w:t xml:space="preserve">Aweil </w:t>
            </w:r>
          </w:p>
        </w:tc>
        <w:tc>
          <w:tcPr>
            <w:tcW w:w="1150" w:type="dxa"/>
          </w:tcPr>
          <w:p w14:paraId="0BA6B2F5" w14:textId="5ACD7A3A" w:rsidR="00F928D6" w:rsidRPr="00C90E06" w:rsidRDefault="00F928D6" w:rsidP="00CD24B1">
            <w:r w:rsidRPr="00C90E06">
              <w:t>62</w:t>
            </w:r>
          </w:p>
        </w:tc>
        <w:tc>
          <w:tcPr>
            <w:tcW w:w="1030" w:type="dxa"/>
          </w:tcPr>
          <w:p w14:paraId="152C25F1" w14:textId="77777777" w:rsidR="00F928D6" w:rsidRPr="00C90E06" w:rsidRDefault="00F928D6" w:rsidP="00CD24B1">
            <w:r w:rsidRPr="00C90E06">
              <w:t>10</w:t>
            </w:r>
          </w:p>
        </w:tc>
        <w:tc>
          <w:tcPr>
            <w:tcW w:w="1029" w:type="dxa"/>
          </w:tcPr>
          <w:p w14:paraId="59B84639" w14:textId="77777777" w:rsidR="00F928D6" w:rsidRPr="00C90E06" w:rsidRDefault="00F928D6" w:rsidP="00CD24B1">
            <w:r w:rsidRPr="00C90E06">
              <w:t>4</w:t>
            </w:r>
          </w:p>
        </w:tc>
        <w:tc>
          <w:tcPr>
            <w:tcW w:w="710" w:type="dxa"/>
          </w:tcPr>
          <w:p w14:paraId="0D6AD0FA" w14:textId="77777777" w:rsidR="00F928D6" w:rsidRPr="00C90E06" w:rsidRDefault="00F928D6" w:rsidP="00CD24B1">
            <w:r w:rsidRPr="00C90E06">
              <w:t>17</w:t>
            </w:r>
          </w:p>
        </w:tc>
        <w:tc>
          <w:tcPr>
            <w:tcW w:w="1216" w:type="dxa"/>
          </w:tcPr>
          <w:p w14:paraId="55DFB93F" w14:textId="77777777" w:rsidR="00F928D6" w:rsidRPr="00C90E06" w:rsidRDefault="00F928D6" w:rsidP="00CD24B1">
            <w:r w:rsidRPr="00C90E06">
              <w:t>13</w:t>
            </w:r>
          </w:p>
        </w:tc>
        <w:tc>
          <w:tcPr>
            <w:tcW w:w="1310" w:type="dxa"/>
          </w:tcPr>
          <w:p w14:paraId="02D28919" w14:textId="77777777" w:rsidR="00F928D6" w:rsidRPr="00C90E06" w:rsidRDefault="00F928D6" w:rsidP="00CD24B1">
            <w:r w:rsidRPr="00C90E06">
              <w:t>4</w:t>
            </w:r>
          </w:p>
        </w:tc>
        <w:tc>
          <w:tcPr>
            <w:tcW w:w="1706" w:type="dxa"/>
          </w:tcPr>
          <w:p w14:paraId="61E22413" w14:textId="77777777" w:rsidR="00F928D6" w:rsidRPr="00C90E06" w:rsidRDefault="00F928D6" w:rsidP="00CD24B1">
            <w:r w:rsidRPr="00C90E06">
              <w:t>14</w:t>
            </w:r>
          </w:p>
        </w:tc>
      </w:tr>
      <w:tr w:rsidR="00F928D6" w:rsidRPr="00C90E06" w14:paraId="50263E4B" w14:textId="77777777" w:rsidTr="00F841EC">
        <w:tc>
          <w:tcPr>
            <w:tcW w:w="870" w:type="dxa"/>
          </w:tcPr>
          <w:p w14:paraId="72A44A94" w14:textId="14877F9C" w:rsidR="00F928D6" w:rsidRPr="00C90E06" w:rsidRDefault="00F928D6" w:rsidP="00CD24B1">
            <w:pPr>
              <w:rPr>
                <w:b/>
              </w:rPr>
            </w:pPr>
            <w:r w:rsidRPr="00C90E06">
              <w:rPr>
                <w:b/>
              </w:rPr>
              <w:t>Total Case</w:t>
            </w:r>
          </w:p>
        </w:tc>
        <w:tc>
          <w:tcPr>
            <w:tcW w:w="1150" w:type="dxa"/>
          </w:tcPr>
          <w:p w14:paraId="32D47404" w14:textId="17D6F02B" w:rsidR="00F928D6" w:rsidRPr="00C90E06" w:rsidRDefault="00F928D6" w:rsidP="00CD24B1">
            <w:pPr>
              <w:rPr>
                <w:b/>
              </w:rPr>
            </w:pPr>
            <w:r w:rsidRPr="00C90E06">
              <w:rPr>
                <w:b/>
              </w:rPr>
              <w:t>92</w:t>
            </w:r>
          </w:p>
        </w:tc>
        <w:tc>
          <w:tcPr>
            <w:tcW w:w="1030" w:type="dxa"/>
          </w:tcPr>
          <w:p w14:paraId="1B7382D7" w14:textId="77777777" w:rsidR="00F928D6" w:rsidRPr="00C90E06" w:rsidRDefault="00F928D6" w:rsidP="00CD24B1">
            <w:pPr>
              <w:rPr>
                <w:b/>
              </w:rPr>
            </w:pPr>
            <w:r w:rsidRPr="00C90E06">
              <w:rPr>
                <w:b/>
              </w:rPr>
              <w:t>17</w:t>
            </w:r>
          </w:p>
        </w:tc>
        <w:tc>
          <w:tcPr>
            <w:tcW w:w="1029" w:type="dxa"/>
          </w:tcPr>
          <w:p w14:paraId="396F2D3A" w14:textId="77777777" w:rsidR="00F928D6" w:rsidRPr="00C90E06" w:rsidRDefault="00F928D6" w:rsidP="00CD24B1">
            <w:pPr>
              <w:rPr>
                <w:b/>
              </w:rPr>
            </w:pPr>
            <w:r w:rsidRPr="00C90E06">
              <w:rPr>
                <w:b/>
              </w:rPr>
              <w:t>10</w:t>
            </w:r>
          </w:p>
        </w:tc>
        <w:tc>
          <w:tcPr>
            <w:tcW w:w="710" w:type="dxa"/>
          </w:tcPr>
          <w:p w14:paraId="7926C99B" w14:textId="77777777" w:rsidR="00F928D6" w:rsidRPr="00C90E06" w:rsidRDefault="00F928D6" w:rsidP="00CD24B1">
            <w:pPr>
              <w:rPr>
                <w:b/>
              </w:rPr>
            </w:pPr>
            <w:r w:rsidRPr="00C90E06">
              <w:rPr>
                <w:b/>
              </w:rPr>
              <w:t>18</w:t>
            </w:r>
          </w:p>
        </w:tc>
        <w:tc>
          <w:tcPr>
            <w:tcW w:w="1216" w:type="dxa"/>
          </w:tcPr>
          <w:p w14:paraId="601140B5" w14:textId="77777777" w:rsidR="00F928D6" w:rsidRPr="00C90E06" w:rsidRDefault="00F928D6" w:rsidP="00CD24B1">
            <w:pPr>
              <w:rPr>
                <w:b/>
              </w:rPr>
            </w:pPr>
            <w:r w:rsidRPr="00C90E06">
              <w:rPr>
                <w:b/>
              </w:rPr>
              <w:t>15</w:t>
            </w:r>
          </w:p>
        </w:tc>
        <w:tc>
          <w:tcPr>
            <w:tcW w:w="1310" w:type="dxa"/>
          </w:tcPr>
          <w:p w14:paraId="10EC5445" w14:textId="77777777" w:rsidR="00F928D6" w:rsidRPr="00C90E06" w:rsidRDefault="00F928D6" w:rsidP="00CD24B1">
            <w:pPr>
              <w:rPr>
                <w:b/>
              </w:rPr>
            </w:pPr>
            <w:r w:rsidRPr="00C90E06">
              <w:rPr>
                <w:b/>
              </w:rPr>
              <w:t>13</w:t>
            </w:r>
          </w:p>
        </w:tc>
        <w:tc>
          <w:tcPr>
            <w:tcW w:w="1706" w:type="dxa"/>
          </w:tcPr>
          <w:p w14:paraId="55699FD9" w14:textId="77777777" w:rsidR="00F928D6" w:rsidRPr="00C90E06" w:rsidRDefault="00F928D6" w:rsidP="00CD24B1">
            <w:pPr>
              <w:rPr>
                <w:b/>
              </w:rPr>
            </w:pPr>
            <w:r w:rsidRPr="00C90E06">
              <w:rPr>
                <w:b/>
              </w:rPr>
              <w:t>19</w:t>
            </w:r>
          </w:p>
        </w:tc>
      </w:tr>
    </w:tbl>
    <w:p w14:paraId="6630A3C0" w14:textId="77777777" w:rsidR="00BD5FCB" w:rsidRPr="00C90E06" w:rsidRDefault="00BD5FCB" w:rsidP="00BD5FCB">
      <w:pPr>
        <w:ind w:left="-810"/>
        <w:jc w:val="both"/>
      </w:pPr>
    </w:p>
    <w:p w14:paraId="29C96D86" w14:textId="77777777" w:rsidR="00343453" w:rsidRPr="00C90E06" w:rsidRDefault="00343453" w:rsidP="00343453">
      <w:pPr>
        <w:ind w:left="-720"/>
        <w:jc w:val="both"/>
        <w:rPr>
          <w:rStyle w:val="CommentReference"/>
          <w:i/>
          <w:sz w:val="24"/>
          <w:szCs w:val="24"/>
        </w:rPr>
      </w:pPr>
      <w:r w:rsidRPr="00C90E06">
        <w:rPr>
          <w:b/>
          <w:bCs/>
          <w:color w:val="000000"/>
          <w:u w:val="single"/>
          <w:lang w:val="en-US" w:eastAsia="en-US"/>
        </w:rPr>
        <w:t>Actions to ensure gender equality and women’s empowerment and youth inclusion</w:t>
      </w:r>
      <w:r w:rsidRPr="00C90E06">
        <w:rPr>
          <w:b/>
          <w:u w:val="single"/>
        </w:rPr>
        <w:t xml:space="preserve">: </w:t>
      </w:r>
    </w:p>
    <w:p w14:paraId="38CF1D64" w14:textId="23ECCA87" w:rsidR="002C16C8" w:rsidRPr="00C90E06" w:rsidRDefault="00E75765" w:rsidP="00343453">
      <w:pPr>
        <w:ind w:left="-810"/>
        <w:jc w:val="both"/>
      </w:pPr>
      <w:r w:rsidRPr="00C90E06">
        <w:t xml:space="preserve">The </w:t>
      </w:r>
      <w:r w:rsidR="00343453" w:rsidRPr="00C90E06">
        <w:t>GBV and ECM needs assessment</w:t>
      </w:r>
      <w:r w:rsidRPr="00C90E06">
        <w:t xml:space="preserve"> carried out in March 2020,</w:t>
      </w:r>
      <w:r w:rsidR="00343453" w:rsidRPr="00C90E06">
        <w:t xml:space="preserve"> assess</w:t>
      </w:r>
      <w:r w:rsidRPr="00C90E06">
        <w:t>ed</w:t>
      </w:r>
      <w:r w:rsidR="00343453" w:rsidRPr="00C90E06">
        <w:t xml:space="preserve"> the situation of GBV on women and girls, which highlighted the importance of working to end harmful traditional practices such as ‘honour’ related crimes and addressing domestic violence.  The focus group discussion and key-information interviews (KII) with 300 people (100 women aged 18-35, 100 men aged 18-45, 50 girls aged 13-17, and 50 boys aged 15-17)</w:t>
      </w:r>
      <w:r w:rsidR="006A34E0" w:rsidRPr="00C90E06">
        <w:t xml:space="preserve">, and </w:t>
      </w:r>
      <w:r w:rsidR="00343453" w:rsidRPr="00C90E06">
        <w:t>KII with</w:t>
      </w:r>
      <w:r w:rsidR="006A34E0" w:rsidRPr="00C90E06">
        <w:t xml:space="preserve"> the</w:t>
      </w:r>
      <w:r w:rsidR="00343453" w:rsidRPr="00C90E06">
        <w:t xml:space="preserve"> chiefs, pastors, police matron, prison representative, Criminal Investigation Department representative, head teachers, and local authorities in Akobo East indicated that 90 per cent of GBV and ECM were caused by financial crisis and harmful traditional practices within community. The most affected population were women and girls, and persons</w:t>
      </w:r>
      <w:r w:rsidR="006A34E0" w:rsidRPr="00C90E06">
        <w:t xml:space="preserve"> with disability</w:t>
      </w:r>
      <w:r w:rsidR="00343453" w:rsidRPr="00C90E06">
        <w:t xml:space="preserve">. </w:t>
      </w:r>
    </w:p>
    <w:p w14:paraId="5B990729" w14:textId="77777777" w:rsidR="002C16C8" w:rsidRPr="00C90E06" w:rsidRDefault="002C16C8" w:rsidP="00343453">
      <w:pPr>
        <w:ind w:left="-810"/>
        <w:jc w:val="both"/>
      </w:pPr>
    </w:p>
    <w:p w14:paraId="68A8167F" w14:textId="0D1275EA" w:rsidR="00F841EC" w:rsidRPr="00C90E06" w:rsidRDefault="00343453" w:rsidP="0046712C">
      <w:pPr>
        <w:ind w:left="-810"/>
        <w:jc w:val="both"/>
        <w:rPr>
          <w:color w:val="000000"/>
        </w:rPr>
      </w:pPr>
      <w:r w:rsidRPr="00C90E06">
        <w:t>The</w:t>
      </w:r>
      <w:r w:rsidR="00C413F9" w:rsidRPr="00C90E06">
        <w:t xml:space="preserve"> report also showed that</w:t>
      </w:r>
      <w:r w:rsidRPr="00C90E06">
        <w:t xml:space="preserve"> GBV and ECM cases increased due to lack of police protection and weak law reinforcement from local authorities. Thirty per cent of GBV cases occurred at the borehole, where women and girls go to fetch water. The lack of borehole management triggered physical assault among women, and girls. Fifty-five per cent of ECM were caused by financial crisis, where parents and relatives forced their daughters to get married for financial security; 10 per cent of cases were caused by harmful traditional practices, </w:t>
      </w:r>
      <w:proofErr w:type="gramStart"/>
      <w:r w:rsidRPr="00C90E06">
        <w:t>i.e.</w:t>
      </w:r>
      <w:proofErr w:type="gramEnd"/>
      <w:r w:rsidRPr="00C90E06">
        <w:t xml:space="preserve"> honour related crimes, and revenge killing; and </w:t>
      </w:r>
      <w:r w:rsidRPr="00C90E06">
        <w:rPr>
          <w:color w:val="000000"/>
        </w:rPr>
        <w:t>40 per cent of the GB</w:t>
      </w:r>
      <w:r w:rsidR="0046712C">
        <w:rPr>
          <w:color w:val="000000"/>
        </w:rPr>
        <w:t xml:space="preserve">V cases were domestic violence. </w:t>
      </w:r>
      <w:r w:rsidRPr="00C90E06">
        <w:t xml:space="preserve">Youth participation and representation is </w:t>
      </w:r>
      <w:r w:rsidR="00E26B48" w:rsidRPr="00C90E06">
        <w:t xml:space="preserve">ensured in the Community Action Groups </w:t>
      </w:r>
      <w:r w:rsidR="00934535" w:rsidRPr="00C90E06">
        <w:t>linked with the OSCs</w:t>
      </w:r>
      <w:r w:rsidRPr="00C90E06">
        <w:t>.</w:t>
      </w:r>
    </w:p>
    <w:p w14:paraId="31E1B252" w14:textId="77777777" w:rsidR="00F841EC" w:rsidRPr="00C90E06" w:rsidRDefault="00F841EC" w:rsidP="00F841EC">
      <w:pPr>
        <w:ind w:left="-810"/>
        <w:jc w:val="both"/>
        <w:rPr>
          <w:color w:val="000000"/>
        </w:rPr>
      </w:pPr>
    </w:p>
    <w:p w14:paraId="59E544BF" w14:textId="77777777" w:rsidR="00F841EC" w:rsidRPr="00C90E06" w:rsidRDefault="00680F3E" w:rsidP="00F841EC">
      <w:pPr>
        <w:ind w:left="-810"/>
        <w:jc w:val="both"/>
        <w:rPr>
          <w:color w:val="000000"/>
        </w:rPr>
      </w:pPr>
      <w:r w:rsidRPr="00C90E06">
        <w:rPr>
          <w:b/>
          <w:color w:val="0070C0"/>
          <w:u w:val="single"/>
        </w:rPr>
        <w:t xml:space="preserve">Output 2:  Strengthened women’s groups participation in local peace processes in </w:t>
      </w:r>
      <w:proofErr w:type="spellStart"/>
      <w:r w:rsidRPr="00C90E06">
        <w:rPr>
          <w:b/>
          <w:color w:val="0070C0"/>
          <w:u w:val="single"/>
        </w:rPr>
        <w:t>Bor</w:t>
      </w:r>
      <w:proofErr w:type="spellEnd"/>
      <w:r w:rsidRPr="00C90E06">
        <w:rPr>
          <w:b/>
          <w:color w:val="0070C0"/>
          <w:u w:val="single"/>
        </w:rPr>
        <w:t>, Aweil and Akobo and increase civic engagement on GBV Prevention and response</w:t>
      </w:r>
    </w:p>
    <w:p w14:paraId="3C699218" w14:textId="77777777" w:rsidR="00F841EC" w:rsidRPr="00C90E06" w:rsidRDefault="00F841EC" w:rsidP="00F841EC">
      <w:pPr>
        <w:ind w:left="-810"/>
        <w:jc w:val="both"/>
        <w:rPr>
          <w:color w:val="000000"/>
        </w:rPr>
      </w:pPr>
    </w:p>
    <w:p w14:paraId="06EAC605" w14:textId="541172AF" w:rsidR="0036035F" w:rsidRPr="00C90E06" w:rsidRDefault="0036035F" w:rsidP="00F841EC">
      <w:pPr>
        <w:ind w:left="-810"/>
        <w:jc w:val="both"/>
        <w:rPr>
          <w:color w:val="000000"/>
        </w:rPr>
      </w:pPr>
      <w:r w:rsidRPr="00C90E06">
        <w:rPr>
          <w:b/>
        </w:rPr>
        <w:t>Current status of the progress: On track with some delays</w:t>
      </w:r>
    </w:p>
    <w:p w14:paraId="77BB590C" w14:textId="77777777" w:rsidR="0036035F" w:rsidRPr="00C90E06" w:rsidRDefault="0036035F" w:rsidP="0036035F">
      <w:pPr>
        <w:ind w:left="-720"/>
        <w:jc w:val="both"/>
        <w:rPr>
          <w:b/>
        </w:rPr>
      </w:pPr>
    </w:p>
    <w:p w14:paraId="69541A24" w14:textId="77777777" w:rsidR="0036035F" w:rsidRPr="00C90E06" w:rsidRDefault="0036035F" w:rsidP="0036035F">
      <w:pPr>
        <w:ind w:left="-720" w:hanging="90"/>
        <w:jc w:val="both"/>
        <w:rPr>
          <w:i/>
        </w:rPr>
      </w:pPr>
      <w:r w:rsidRPr="00C90E06">
        <w:rPr>
          <w:b/>
        </w:rPr>
        <w:t>Progress summary:</w:t>
      </w:r>
    </w:p>
    <w:p w14:paraId="5A7BCFC9" w14:textId="77777777" w:rsidR="0036035F" w:rsidRPr="00C90E06" w:rsidRDefault="0036035F" w:rsidP="0036035F">
      <w:pPr>
        <w:ind w:left="-810"/>
        <w:jc w:val="both"/>
        <w:rPr>
          <w:bCs/>
        </w:rPr>
      </w:pPr>
      <w:r w:rsidRPr="00C90E06">
        <w:t xml:space="preserve">With some delay in commencing the project, UN Women </w:t>
      </w:r>
      <w:r w:rsidRPr="00C90E06">
        <w:rPr>
          <w:iCs/>
        </w:rPr>
        <w:t xml:space="preserve">leveraged partnership with UNMISS in Akobo by using the Women Empowerment Centre constructed by UNMISS as a local peace hut to engage women for their empowerment and to promote their participation in local peace building mechanisms.  </w:t>
      </w:r>
    </w:p>
    <w:p w14:paraId="5ADF43C2" w14:textId="77777777" w:rsidR="0036035F" w:rsidRPr="00C90E06" w:rsidRDefault="0036035F" w:rsidP="0036035F">
      <w:pPr>
        <w:jc w:val="both"/>
        <w:rPr>
          <w:bCs/>
        </w:rPr>
      </w:pPr>
    </w:p>
    <w:p w14:paraId="42375F57" w14:textId="77777777" w:rsidR="0036035F" w:rsidRPr="00C90E06" w:rsidRDefault="0036035F" w:rsidP="0036035F">
      <w:pPr>
        <w:ind w:left="-810"/>
        <w:jc w:val="both"/>
        <w:rPr>
          <w:iCs/>
        </w:rPr>
      </w:pPr>
      <w:r w:rsidRPr="00C90E06">
        <w:rPr>
          <w:bCs/>
        </w:rPr>
        <w:t xml:space="preserve">In Akobo GBV case management has responded by INTERSOS to 9 cases including 1 rape, 4 physical assault, 3 denial of resources and 1 case of abandonment. All cases were referred to the appropriate assistance including medical, psychosocial support (PSS), counselling, and livelihood upon consent.  Identification of survivors was done through voluntary reporting </w:t>
      </w:r>
      <w:r w:rsidRPr="00C90E06">
        <w:rPr>
          <w:bCs/>
        </w:rPr>
        <w:lastRenderedPageBreak/>
        <w:t xml:space="preserve">during </w:t>
      </w:r>
      <w:proofErr w:type="gramStart"/>
      <w:r w:rsidRPr="00C90E06">
        <w:rPr>
          <w:bCs/>
        </w:rPr>
        <w:t>house to house</w:t>
      </w:r>
      <w:proofErr w:type="gramEnd"/>
      <w:r w:rsidRPr="00C90E06">
        <w:rPr>
          <w:bCs/>
        </w:rPr>
        <w:t xml:space="preserve"> visits by Case Workers, Community Mobilizers, or Community Based Protection Network members as well as from those reporting during GBV awareness sessions and community dialogues</w:t>
      </w:r>
    </w:p>
    <w:p w14:paraId="61515BBA" w14:textId="77777777" w:rsidR="0036035F" w:rsidRPr="00C90E06" w:rsidRDefault="0036035F" w:rsidP="0036035F">
      <w:pPr>
        <w:ind w:left="-810"/>
        <w:jc w:val="both"/>
        <w:rPr>
          <w:iCs/>
        </w:rPr>
      </w:pPr>
    </w:p>
    <w:p w14:paraId="0938E795" w14:textId="1788D0E5" w:rsidR="0036035F" w:rsidRPr="00C90E06" w:rsidRDefault="0036035F" w:rsidP="0036035F">
      <w:pPr>
        <w:ind w:left="-810"/>
        <w:jc w:val="both"/>
        <w:rPr>
          <w:bCs/>
        </w:rPr>
      </w:pPr>
      <w:r w:rsidRPr="00C90E06">
        <w:rPr>
          <w:bCs/>
        </w:rPr>
        <w:t>44 women in Akobo (&lt;18</w:t>
      </w:r>
      <w:r w:rsidR="00065289" w:rsidRPr="00C90E06">
        <w:rPr>
          <w:bCs/>
        </w:rPr>
        <w:t xml:space="preserve"> </w:t>
      </w:r>
      <w:r w:rsidRPr="00C90E06">
        <w:rPr>
          <w:bCs/>
        </w:rPr>
        <w:t>years, 10 widows, 6 single parents,</w:t>
      </w:r>
      <w:r w:rsidR="008043FE" w:rsidRPr="00C90E06">
        <w:rPr>
          <w:bCs/>
        </w:rPr>
        <w:t xml:space="preserve"> </w:t>
      </w:r>
      <w:r w:rsidRPr="00C90E06">
        <w:rPr>
          <w:bCs/>
        </w:rPr>
        <w:t xml:space="preserve">11 elderly, 17 women with specific need) acquired </w:t>
      </w:r>
      <w:bookmarkStart w:id="3" w:name="_Hlk55903151"/>
      <w:r w:rsidRPr="00C90E06">
        <w:rPr>
          <w:bCs/>
        </w:rPr>
        <w:t>facilitation skills through training to intervene in cases of violence against women and girls (VAWG) through protection and response services</w:t>
      </w:r>
      <w:r w:rsidRPr="00C90E06" w:rsidDel="0019167B">
        <w:rPr>
          <w:bCs/>
        </w:rPr>
        <w:t xml:space="preserve"> </w:t>
      </w:r>
      <w:r w:rsidRPr="00C90E06">
        <w:rPr>
          <w:bCs/>
        </w:rPr>
        <w:t xml:space="preserve">while following and including COVID-19 prevention and response messages. </w:t>
      </w:r>
    </w:p>
    <w:p w14:paraId="67190004" w14:textId="77777777" w:rsidR="0036035F" w:rsidRPr="00C90E06" w:rsidRDefault="0036035F" w:rsidP="0036035F">
      <w:pPr>
        <w:ind w:left="-810"/>
        <w:jc w:val="both"/>
        <w:rPr>
          <w:bCs/>
        </w:rPr>
      </w:pPr>
    </w:p>
    <w:bookmarkEnd w:id="3"/>
    <w:p w14:paraId="45227ED5" w14:textId="6012EB3B" w:rsidR="0036035F" w:rsidRPr="00C90E06" w:rsidRDefault="0036035F" w:rsidP="0036035F">
      <w:pPr>
        <w:ind w:left="-810"/>
        <w:jc w:val="both"/>
        <w:rPr>
          <w:bCs/>
        </w:rPr>
      </w:pPr>
      <w:r w:rsidRPr="00C90E06">
        <w:rPr>
          <w:bCs/>
        </w:rPr>
        <w:t>129 people (9 female</w:t>
      </w:r>
      <w:r w:rsidR="008043FE" w:rsidRPr="00C90E06">
        <w:rPr>
          <w:bCs/>
        </w:rPr>
        <w:t>s</w:t>
      </w:r>
      <w:r w:rsidRPr="00C90E06">
        <w:rPr>
          <w:bCs/>
        </w:rPr>
        <w:t xml:space="preserve"> and 21 </w:t>
      </w:r>
      <w:proofErr w:type="gramStart"/>
      <w:r w:rsidRPr="00C90E06">
        <w:rPr>
          <w:bCs/>
        </w:rPr>
        <w:t>male</w:t>
      </w:r>
      <w:proofErr w:type="gramEnd"/>
      <w:r w:rsidRPr="00C90E06">
        <w:rPr>
          <w:bCs/>
        </w:rPr>
        <w:t xml:space="preserve"> in Akobo and 59 female and 40 male in </w:t>
      </w:r>
      <w:proofErr w:type="spellStart"/>
      <w:r w:rsidRPr="00C90E06">
        <w:rPr>
          <w:bCs/>
        </w:rPr>
        <w:t>Bor</w:t>
      </w:r>
      <w:proofErr w:type="spellEnd"/>
      <w:r w:rsidRPr="00C90E06">
        <w:rPr>
          <w:bCs/>
        </w:rPr>
        <w:t xml:space="preserve">) including elders, community leaders, women living with disabilities, and local authorities were reached through community level dialogues on VAWG/SGBV. The dialogues highlighted child marriage, physical abuse, access to resources and destructive cultural practices as the common forms of abuse. Insufficient wash facilities, fetching firewood on the outskirts of the </w:t>
      </w:r>
      <w:proofErr w:type="spellStart"/>
      <w:r w:rsidRPr="00C90E06">
        <w:rPr>
          <w:bCs/>
        </w:rPr>
        <w:t>payams</w:t>
      </w:r>
      <w:proofErr w:type="spellEnd"/>
      <w:r w:rsidRPr="00C90E06">
        <w:rPr>
          <w:bCs/>
        </w:rPr>
        <w:t xml:space="preserve"> as well as overcrowded households were highlighted as factors that heighten the risk of abuse. As action from the dialogue sessions, community based 'neighbourhood watch' groups were formed in Akobo and Bor.  These groups comprise of 10 men and 20 women who gather on fortnight to feedback on protection concerns around the community. The communities enabled to provide ongoing tracking, referrals and reporting on violence against women, group/family counselling, prevention of and ongoing discussions on ending violence against women and girls through the groups.</w:t>
      </w:r>
    </w:p>
    <w:p w14:paraId="57688200" w14:textId="77777777" w:rsidR="0036035F" w:rsidRPr="00C90E06" w:rsidRDefault="0036035F" w:rsidP="0036035F">
      <w:pPr>
        <w:ind w:left="-810"/>
        <w:jc w:val="both"/>
        <w:rPr>
          <w:bCs/>
        </w:rPr>
      </w:pPr>
    </w:p>
    <w:p w14:paraId="5F5024EC" w14:textId="20CC4A4F" w:rsidR="0036035F" w:rsidRPr="00C90E06" w:rsidRDefault="0036035F" w:rsidP="0036035F">
      <w:pPr>
        <w:ind w:left="-810"/>
        <w:jc w:val="both"/>
        <w:rPr>
          <w:bCs/>
        </w:rPr>
      </w:pPr>
      <w:r w:rsidRPr="00C90E06">
        <w:rPr>
          <w:bCs/>
        </w:rPr>
        <w:t xml:space="preserve">A total of 1,337 community members (948 female and 17 </w:t>
      </w:r>
      <w:proofErr w:type="gramStart"/>
      <w:r w:rsidRPr="00C90E06">
        <w:rPr>
          <w:bCs/>
        </w:rPr>
        <w:t>male</w:t>
      </w:r>
      <w:proofErr w:type="gramEnd"/>
      <w:r w:rsidRPr="00C90E06">
        <w:rPr>
          <w:bCs/>
        </w:rPr>
        <w:t xml:space="preserve"> in Akobo, 97 female and 60 male in </w:t>
      </w:r>
      <w:proofErr w:type="spellStart"/>
      <w:r w:rsidRPr="00C90E06">
        <w:rPr>
          <w:bCs/>
        </w:rPr>
        <w:t>Bor</w:t>
      </w:r>
      <w:proofErr w:type="spellEnd"/>
      <w:r w:rsidRPr="00C90E06">
        <w:rPr>
          <w:bCs/>
        </w:rPr>
        <w:t xml:space="preserve"> a</w:t>
      </w:r>
      <w:r w:rsidR="00F841EC" w:rsidRPr="00C90E06">
        <w:rPr>
          <w:bCs/>
        </w:rPr>
        <w:t>nd 158 female and 57 male in Aw</w:t>
      </w:r>
      <w:r w:rsidRPr="00C90E06">
        <w:rPr>
          <w:bCs/>
        </w:rPr>
        <w:t>e</w:t>
      </w:r>
      <w:r w:rsidR="00F841EC" w:rsidRPr="00C90E06">
        <w:rPr>
          <w:bCs/>
        </w:rPr>
        <w:t>i</w:t>
      </w:r>
      <w:r w:rsidRPr="00C90E06">
        <w:rPr>
          <w:bCs/>
        </w:rPr>
        <w:t xml:space="preserve">l) were reached to awareness focussed on S/GBV prevention and response services, peace building and conflict mitigation mechanisms, livelihood activities available at Women and Girls Friendly Space (WGFS), women’s rights, dangers of mob justice or revenge killings and dangers of early and force marriage. Awareness was conducted through door to door as well as small gathering events within COVID- 19 restrictions in Akobo and neighbourhood assemblies in Bor.  </w:t>
      </w:r>
    </w:p>
    <w:p w14:paraId="20A5534B" w14:textId="77777777" w:rsidR="0036035F" w:rsidRPr="00C90E06" w:rsidRDefault="0036035F" w:rsidP="0036035F">
      <w:pPr>
        <w:ind w:left="-810"/>
        <w:jc w:val="both"/>
        <w:rPr>
          <w:bCs/>
        </w:rPr>
      </w:pPr>
    </w:p>
    <w:p w14:paraId="01792AC2" w14:textId="77777777" w:rsidR="0036035F" w:rsidRPr="00C90E06" w:rsidRDefault="0036035F" w:rsidP="0036035F">
      <w:pPr>
        <w:ind w:left="-810"/>
        <w:jc w:val="both"/>
        <w:rPr>
          <w:bCs/>
        </w:rPr>
      </w:pPr>
      <w:bookmarkStart w:id="4" w:name="_Hlk55902951"/>
      <w:r w:rsidRPr="00C90E06">
        <w:rPr>
          <w:bCs/>
        </w:rPr>
        <w:t xml:space="preserve">A mapping of women led initiatives and mechanisms on local peace building processes and participation of women was carried out. </w:t>
      </w:r>
      <w:bookmarkEnd w:id="4"/>
      <w:r w:rsidRPr="00C90E06">
        <w:rPr>
          <w:bCs/>
        </w:rPr>
        <w:t xml:space="preserve">The results of this mapping highlight the need of updating referral pathways in </w:t>
      </w:r>
      <w:proofErr w:type="spellStart"/>
      <w:r w:rsidRPr="00C90E06">
        <w:rPr>
          <w:bCs/>
        </w:rPr>
        <w:t>Bor</w:t>
      </w:r>
      <w:proofErr w:type="spellEnd"/>
      <w:r w:rsidRPr="00C90E06">
        <w:rPr>
          <w:bCs/>
        </w:rPr>
        <w:t xml:space="preserve"> and Akobo with continues need for removing barriers that limit women participation in peace building processes.</w:t>
      </w:r>
    </w:p>
    <w:p w14:paraId="206A0508" w14:textId="77777777" w:rsidR="0036035F" w:rsidRPr="00C90E06" w:rsidRDefault="0036035F" w:rsidP="0036035F">
      <w:pPr>
        <w:ind w:left="-810"/>
        <w:jc w:val="both"/>
        <w:rPr>
          <w:bCs/>
        </w:rPr>
      </w:pPr>
    </w:p>
    <w:p w14:paraId="1E4FD25C" w14:textId="77777777" w:rsidR="0036035F" w:rsidRPr="00C90E06" w:rsidRDefault="0036035F" w:rsidP="0036035F">
      <w:pPr>
        <w:ind w:left="-810"/>
        <w:jc w:val="both"/>
        <w:rPr>
          <w:bCs/>
        </w:rPr>
      </w:pPr>
      <w:r w:rsidRPr="00C90E06">
        <w:rPr>
          <w:bCs/>
        </w:rPr>
        <w:t xml:space="preserve">In Akobo 113 (all female, 29 &gt;18 years) acquired embroidery, knitting, hair dressing and bed sheet decoration skills through business training based on the findings of a skills development assessment for women groups (including most vulnerable groups such as women with disabilities, widows, and elderly ones). The assessment informed training on women economic empowerment activities. These initiatives include income generating activities of their interest and individual skills. The needs identified by the women include life skills activities such as knitting, bed sheet decoration, beadwork, fuel efficient stove making as well as business skills. </w:t>
      </w:r>
    </w:p>
    <w:p w14:paraId="7745D937" w14:textId="77777777" w:rsidR="0036035F" w:rsidRPr="00C90E06" w:rsidRDefault="0036035F" w:rsidP="0036035F">
      <w:pPr>
        <w:ind w:left="-810"/>
        <w:jc w:val="both"/>
        <w:rPr>
          <w:b/>
        </w:rPr>
      </w:pPr>
    </w:p>
    <w:p w14:paraId="4DAB079B" w14:textId="77777777" w:rsidR="0036035F" w:rsidRPr="00C90E06" w:rsidRDefault="0036035F" w:rsidP="0036035F">
      <w:pPr>
        <w:ind w:left="-810"/>
        <w:jc w:val="both"/>
        <w:rPr>
          <w:rStyle w:val="CommentReference"/>
          <w:sz w:val="24"/>
          <w:szCs w:val="24"/>
        </w:rPr>
      </w:pPr>
      <w:r w:rsidRPr="00C90E06">
        <w:rPr>
          <w:b/>
          <w:bCs/>
          <w:color w:val="000000"/>
          <w:u w:val="single"/>
          <w:lang w:val="en-US" w:eastAsia="en-US"/>
        </w:rPr>
        <w:t>Actions to ensure gender equality and women’s empowerment and youth inclusion</w:t>
      </w:r>
      <w:r w:rsidRPr="00C90E06">
        <w:rPr>
          <w:b/>
          <w:u w:val="single"/>
        </w:rPr>
        <w:t xml:space="preserve">: </w:t>
      </w:r>
    </w:p>
    <w:p w14:paraId="354FA7D7" w14:textId="24331655" w:rsidR="0036035F" w:rsidRPr="00C90E06" w:rsidRDefault="0036035F" w:rsidP="0036035F">
      <w:pPr>
        <w:ind w:left="-810"/>
        <w:jc w:val="both"/>
      </w:pPr>
      <w:r w:rsidRPr="00C90E06">
        <w:t xml:space="preserve">Activities under this output focussed on addressing the needs of women and girls through conducting skill needs assessment through participatory approaches that informed training on livelihoods initiatives such as embroidery and knitting that would contribute to improved household incomes. Furthermore, women and girls were provided with safe spaces that serves as platforms for empowerment and raising issues affecting daily lives.  The output also engages with male community members to improve their knowledge on women and girls’ rights as </w:t>
      </w:r>
      <w:r w:rsidRPr="00C90E06">
        <w:lastRenderedPageBreak/>
        <w:t xml:space="preserve">human rights through dialogue sessions on social norms and harmful cultural practices that heighten the risk of violence against women and girls. A project risk assessment conducted in </w:t>
      </w:r>
      <w:proofErr w:type="spellStart"/>
      <w:r w:rsidRPr="00C90E06">
        <w:t>Bor</w:t>
      </w:r>
      <w:proofErr w:type="spellEnd"/>
      <w:r w:rsidRPr="00C90E06">
        <w:t xml:space="preserve"> highlighted the need to adjust the time of activities involving women and girls to minimise risk of exposing them to harm </w:t>
      </w:r>
      <w:proofErr w:type="spellStart"/>
      <w:proofErr w:type="gramStart"/>
      <w:r w:rsidRPr="00C90E06">
        <w:t>e,g</w:t>
      </w:r>
      <w:proofErr w:type="spellEnd"/>
      <w:r w:rsidRPr="00C90E06">
        <w:t>.</w:t>
      </w:r>
      <w:proofErr w:type="gramEnd"/>
      <w:r w:rsidRPr="00C90E06">
        <w:t xml:space="preserve"> all activities to be completed before 2pm.  </w:t>
      </w:r>
    </w:p>
    <w:p w14:paraId="221B8CE0" w14:textId="77777777" w:rsidR="007626C9" w:rsidRPr="00C90E06" w:rsidRDefault="007626C9" w:rsidP="007E4FA1">
      <w:pPr>
        <w:rPr>
          <w:b/>
        </w:rPr>
      </w:pPr>
    </w:p>
    <w:p w14:paraId="50C57F69" w14:textId="77777777" w:rsidR="001447C0" w:rsidRPr="00C90E06" w:rsidRDefault="001447C0" w:rsidP="001447C0">
      <w:pPr>
        <w:ind w:left="-720"/>
        <w:jc w:val="both"/>
        <w:rPr>
          <w:b/>
          <w:color w:val="0070C0"/>
          <w:u w:val="single"/>
        </w:rPr>
      </w:pPr>
      <w:r w:rsidRPr="00C90E06">
        <w:rPr>
          <w:b/>
          <w:color w:val="0070C0"/>
          <w:u w:val="single"/>
        </w:rPr>
        <w:t>Output 3:  Increased access of GBV survivors to justice mechanisms</w:t>
      </w:r>
    </w:p>
    <w:p w14:paraId="43B5BD1B" w14:textId="77777777" w:rsidR="001447C0" w:rsidRPr="00C90E06" w:rsidRDefault="001447C0" w:rsidP="001447C0">
      <w:pPr>
        <w:ind w:left="-720"/>
        <w:jc w:val="both"/>
        <w:rPr>
          <w:b/>
        </w:rPr>
      </w:pPr>
    </w:p>
    <w:p w14:paraId="2E24861B" w14:textId="77777777" w:rsidR="001447C0" w:rsidRPr="00C90E06" w:rsidRDefault="001447C0" w:rsidP="001447C0">
      <w:pPr>
        <w:ind w:left="-720"/>
        <w:jc w:val="both"/>
        <w:rPr>
          <w:b/>
        </w:rPr>
      </w:pPr>
      <w:r w:rsidRPr="00C90E06">
        <w:rPr>
          <w:b/>
        </w:rPr>
        <w:t>Rate the current status of the outcome progress: On track</w:t>
      </w:r>
    </w:p>
    <w:p w14:paraId="4A3996B8" w14:textId="77777777" w:rsidR="001447C0" w:rsidRPr="00C90E06" w:rsidRDefault="001447C0" w:rsidP="001447C0">
      <w:pPr>
        <w:ind w:left="-720"/>
        <w:jc w:val="both"/>
        <w:rPr>
          <w:b/>
        </w:rPr>
      </w:pPr>
    </w:p>
    <w:p w14:paraId="1E57F3AD" w14:textId="77777777" w:rsidR="001447C0" w:rsidRPr="00C90E06" w:rsidRDefault="001447C0" w:rsidP="001447C0">
      <w:pPr>
        <w:ind w:left="-720"/>
        <w:jc w:val="both"/>
        <w:rPr>
          <w:b/>
        </w:rPr>
      </w:pPr>
      <w:r w:rsidRPr="00C90E06">
        <w:rPr>
          <w:b/>
        </w:rPr>
        <w:t>Progress summary:</w:t>
      </w:r>
    </w:p>
    <w:p w14:paraId="45B1A628" w14:textId="77777777" w:rsidR="001447C0" w:rsidRPr="00C90E06" w:rsidRDefault="001447C0" w:rsidP="001447C0">
      <w:pPr>
        <w:ind w:left="-720"/>
        <w:jc w:val="both"/>
        <w:rPr>
          <w:bCs/>
        </w:rPr>
      </w:pPr>
      <w:r w:rsidRPr="00C90E06">
        <w:rPr>
          <w:bCs/>
        </w:rPr>
        <w:t xml:space="preserve">The table below provides a summary of the GBV cases registered by the four CSO providing legal aid in </w:t>
      </w:r>
      <w:proofErr w:type="spellStart"/>
      <w:r w:rsidRPr="00C90E06">
        <w:rPr>
          <w:bCs/>
        </w:rPr>
        <w:t>Bor</w:t>
      </w:r>
      <w:proofErr w:type="spellEnd"/>
      <w:r w:rsidRPr="00C90E06">
        <w:rPr>
          <w:bCs/>
        </w:rPr>
        <w:t xml:space="preserve"> and Aweil.</w:t>
      </w:r>
    </w:p>
    <w:p w14:paraId="4B40215A" w14:textId="77777777" w:rsidR="001447C0" w:rsidRPr="00C90E06" w:rsidRDefault="001447C0" w:rsidP="001447C0">
      <w:pPr>
        <w:ind w:left="-720"/>
        <w:jc w:val="both"/>
      </w:pPr>
    </w:p>
    <w:tbl>
      <w:tblPr>
        <w:tblStyle w:val="TableGrid"/>
        <w:tblW w:w="0" w:type="auto"/>
        <w:tblInd w:w="-720" w:type="dxa"/>
        <w:tblLook w:val="04A0" w:firstRow="1" w:lastRow="0" w:firstColumn="1" w:lastColumn="0" w:noHBand="0" w:noVBand="1"/>
      </w:tblPr>
      <w:tblGrid>
        <w:gridCol w:w="2587"/>
        <w:gridCol w:w="987"/>
        <w:gridCol w:w="985"/>
        <w:gridCol w:w="763"/>
        <w:gridCol w:w="992"/>
        <w:gridCol w:w="1241"/>
        <w:gridCol w:w="1461"/>
      </w:tblGrid>
      <w:tr w:rsidR="001447C0" w:rsidRPr="00C90E06" w14:paraId="41489001" w14:textId="77777777" w:rsidTr="001E142E">
        <w:tc>
          <w:tcPr>
            <w:tcW w:w="2587" w:type="dxa"/>
            <w:vMerge w:val="restart"/>
          </w:tcPr>
          <w:p w14:paraId="764C44D8" w14:textId="77777777" w:rsidR="001447C0" w:rsidRPr="00C90E06" w:rsidRDefault="001447C0" w:rsidP="001E142E">
            <w:pPr>
              <w:jc w:val="both"/>
              <w:rPr>
                <w:bCs/>
              </w:rPr>
            </w:pPr>
          </w:p>
        </w:tc>
        <w:tc>
          <w:tcPr>
            <w:tcW w:w="1972" w:type="dxa"/>
            <w:gridSpan w:val="2"/>
          </w:tcPr>
          <w:p w14:paraId="66FA19CA" w14:textId="77777777" w:rsidR="001447C0" w:rsidRPr="00C90E06" w:rsidRDefault="001447C0" w:rsidP="001E142E">
            <w:pPr>
              <w:jc w:val="both"/>
              <w:rPr>
                <w:b/>
              </w:rPr>
            </w:pPr>
            <w:r w:rsidRPr="00C90E06">
              <w:rPr>
                <w:b/>
              </w:rPr>
              <w:t>Aweil</w:t>
            </w:r>
          </w:p>
        </w:tc>
        <w:tc>
          <w:tcPr>
            <w:tcW w:w="1755" w:type="dxa"/>
            <w:gridSpan w:val="2"/>
          </w:tcPr>
          <w:p w14:paraId="23BC3606" w14:textId="77777777" w:rsidR="001447C0" w:rsidRPr="00C90E06" w:rsidRDefault="001447C0" w:rsidP="001E142E">
            <w:pPr>
              <w:jc w:val="both"/>
              <w:rPr>
                <w:b/>
              </w:rPr>
            </w:pPr>
            <w:proofErr w:type="spellStart"/>
            <w:r w:rsidRPr="00C90E06">
              <w:rPr>
                <w:b/>
              </w:rPr>
              <w:t>Bor</w:t>
            </w:r>
            <w:proofErr w:type="spellEnd"/>
          </w:p>
        </w:tc>
        <w:tc>
          <w:tcPr>
            <w:tcW w:w="2702" w:type="dxa"/>
            <w:gridSpan w:val="2"/>
            <w:vMerge w:val="restart"/>
          </w:tcPr>
          <w:p w14:paraId="06713D47" w14:textId="77777777" w:rsidR="001447C0" w:rsidRPr="00C90E06" w:rsidRDefault="001447C0" w:rsidP="001E142E">
            <w:pPr>
              <w:jc w:val="both"/>
              <w:rPr>
                <w:b/>
              </w:rPr>
            </w:pPr>
            <w:r w:rsidRPr="00C90E06">
              <w:rPr>
                <w:b/>
              </w:rPr>
              <w:t>Grand total (</w:t>
            </w:r>
            <w:proofErr w:type="spellStart"/>
            <w:r w:rsidRPr="00C90E06">
              <w:rPr>
                <w:b/>
              </w:rPr>
              <w:t>Bor</w:t>
            </w:r>
            <w:proofErr w:type="spellEnd"/>
            <w:r w:rsidRPr="00C90E06">
              <w:rPr>
                <w:b/>
              </w:rPr>
              <w:t xml:space="preserve"> &amp; Aweil)</w:t>
            </w:r>
          </w:p>
        </w:tc>
      </w:tr>
      <w:tr w:rsidR="001447C0" w:rsidRPr="00C90E06" w14:paraId="56D3D7EB" w14:textId="77777777" w:rsidTr="001E142E">
        <w:tc>
          <w:tcPr>
            <w:tcW w:w="2587" w:type="dxa"/>
            <w:vMerge/>
          </w:tcPr>
          <w:p w14:paraId="17C94D95" w14:textId="77777777" w:rsidR="001447C0" w:rsidRPr="00C90E06" w:rsidRDefault="001447C0" w:rsidP="001E142E">
            <w:pPr>
              <w:jc w:val="both"/>
              <w:rPr>
                <w:bCs/>
              </w:rPr>
            </w:pPr>
          </w:p>
        </w:tc>
        <w:tc>
          <w:tcPr>
            <w:tcW w:w="987" w:type="dxa"/>
          </w:tcPr>
          <w:p w14:paraId="20B21117" w14:textId="77777777" w:rsidR="001447C0" w:rsidRPr="00C90E06" w:rsidRDefault="001447C0" w:rsidP="001E142E">
            <w:pPr>
              <w:jc w:val="both"/>
              <w:rPr>
                <w:b/>
              </w:rPr>
            </w:pPr>
            <w:r w:rsidRPr="00C90E06">
              <w:rPr>
                <w:b/>
              </w:rPr>
              <w:t>Total</w:t>
            </w:r>
          </w:p>
        </w:tc>
        <w:tc>
          <w:tcPr>
            <w:tcW w:w="985" w:type="dxa"/>
          </w:tcPr>
          <w:p w14:paraId="6A466F87" w14:textId="77777777" w:rsidR="001447C0" w:rsidRPr="00C90E06" w:rsidRDefault="001447C0" w:rsidP="001E142E">
            <w:pPr>
              <w:jc w:val="both"/>
              <w:rPr>
                <w:b/>
              </w:rPr>
            </w:pPr>
            <w:r w:rsidRPr="00C90E06">
              <w:rPr>
                <w:b/>
              </w:rPr>
              <w:t>Female</w:t>
            </w:r>
          </w:p>
        </w:tc>
        <w:tc>
          <w:tcPr>
            <w:tcW w:w="763" w:type="dxa"/>
          </w:tcPr>
          <w:p w14:paraId="2B317585" w14:textId="77777777" w:rsidR="001447C0" w:rsidRPr="00C90E06" w:rsidRDefault="001447C0" w:rsidP="001E142E">
            <w:pPr>
              <w:jc w:val="both"/>
              <w:rPr>
                <w:b/>
              </w:rPr>
            </w:pPr>
            <w:r w:rsidRPr="00C90E06">
              <w:rPr>
                <w:b/>
              </w:rPr>
              <w:t xml:space="preserve">Total </w:t>
            </w:r>
          </w:p>
        </w:tc>
        <w:tc>
          <w:tcPr>
            <w:tcW w:w="992" w:type="dxa"/>
          </w:tcPr>
          <w:p w14:paraId="2376433D" w14:textId="77777777" w:rsidR="001447C0" w:rsidRPr="00C90E06" w:rsidRDefault="001447C0" w:rsidP="001E142E">
            <w:pPr>
              <w:jc w:val="both"/>
              <w:rPr>
                <w:b/>
              </w:rPr>
            </w:pPr>
            <w:r w:rsidRPr="00C90E06">
              <w:rPr>
                <w:b/>
              </w:rPr>
              <w:t>Female</w:t>
            </w:r>
          </w:p>
        </w:tc>
        <w:tc>
          <w:tcPr>
            <w:tcW w:w="2702" w:type="dxa"/>
            <w:gridSpan w:val="2"/>
            <w:vMerge/>
          </w:tcPr>
          <w:p w14:paraId="0AFE3F6C" w14:textId="77777777" w:rsidR="001447C0" w:rsidRPr="00C90E06" w:rsidRDefault="001447C0" w:rsidP="001E142E">
            <w:pPr>
              <w:jc w:val="both"/>
              <w:rPr>
                <w:bCs/>
              </w:rPr>
            </w:pPr>
          </w:p>
        </w:tc>
      </w:tr>
      <w:tr w:rsidR="001447C0" w:rsidRPr="00C90E06" w14:paraId="1E7FCCC3" w14:textId="77777777" w:rsidTr="001E142E">
        <w:tc>
          <w:tcPr>
            <w:tcW w:w="2587" w:type="dxa"/>
          </w:tcPr>
          <w:p w14:paraId="180F295E" w14:textId="77777777" w:rsidR="001447C0" w:rsidRPr="00C90E06" w:rsidRDefault="001447C0" w:rsidP="001E142E">
            <w:pPr>
              <w:jc w:val="both"/>
              <w:rPr>
                <w:bCs/>
              </w:rPr>
            </w:pPr>
            <w:r w:rsidRPr="00C90E06">
              <w:rPr>
                <w:bCs/>
              </w:rPr>
              <w:t>Cases recorded at JCC</w:t>
            </w:r>
          </w:p>
        </w:tc>
        <w:tc>
          <w:tcPr>
            <w:tcW w:w="987" w:type="dxa"/>
          </w:tcPr>
          <w:p w14:paraId="18B2AA35" w14:textId="77777777" w:rsidR="001447C0" w:rsidRPr="00C90E06" w:rsidRDefault="001447C0" w:rsidP="001E142E">
            <w:pPr>
              <w:jc w:val="right"/>
              <w:rPr>
                <w:bCs/>
              </w:rPr>
            </w:pPr>
            <w:r w:rsidRPr="00C90E06">
              <w:rPr>
                <w:bCs/>
              </w:rPr>
              <w:t>293</w:t>
            </w:r>
          </w:p>
        </w:tc>
        <w:tc>
          <w:tcPr>
            <w:tcW w:w="985" w:type="dxa"/>
          </w:tcPr>
          <w:p w14:paraId="1938696E" w14:textId="77777777" w:rsidR="001447C0" w:rsidRPr="00C90E06" w:rsidRDefault="001447C0" w:rsidP="001E142E">
            <w:pPr>
              <w:jc w:val="right"/>
              <w:rPr>
                <w:bCs/>
              </w:rPr>
            </w:pPr>
            <w:r w:rsidRPr="00C90E06">
              <w:rPr>
                <w:bCs/>
              </w:rPr>
              <w:t>204</w:t>
            </w:r>
          </w:p>
        </w:tc>
        <w:tc>
          <w:tcPr>
            <w:tcW w:w="763" w:type="dxa"/>
          </w:tcPr>
          <w:p w14:paraId="243160F4" w14:textId="77777777" w:rsidR="001447C0" w:rsidRPr="00C90E06" w:rsidRDefault="001447C0" w:rsidP="001E142E">
            <w:pPr>
              <w:jc w:val="right"/>
              <w:rPr>
                <w:bCs/>
              </w:rPr>
            </w:pPr>
            <w:r w:rsidRPr="00C90E06">
              <w:rPr>
                <w:bCs/>
              </w:rPr>
              <w:t>287</w:t>
            </w:r>
          </w:p>
        </w:tc>
        <w:tc>
          <w:tcPr>
            <w:tcW w:w="992" w:type="dxa"/>
          </w:tcPr>
          <w:p w14:paraId="156128C4" w14:textId="77777777" w:rsidR="001447C0" w:rsidRPr="00C90E06" w:rsidRDefault="001447C0" w:rsidP="001E142E">
            <w:pPr>
              <w:jc w:val="right"/>
              <w:rPr>
                <w:bCs/>
              </w:rPr>
            </w:pPr>
            <w:r w:rsidRPr="00C90E06">
              <w:rPr>
                <w:bCs/>
              </w:rPr>
              <w:t>209</w:t>
            </w:r>
          </w:p>
        </w:tc>
        <w:tc>
          <w:tcPr>
            <w:tcW w:w="1241" w:type="dxa"/>
          </w:tcPr>
          <w:p w14:paraId="4B659C8D" w14:textId="77777777" w:rsidR="001447C0" w:rsidRPr="00C90E06" w:rsidRDefault="001447C0" w:rsidP="001E142E">
            <w:pPr>
              <w:jc w:val="right"/>
              <w:rPr>
                <w:bCs/>
              </w:rPr>
            </w:pPr>
            <w:r w:rsidRPr="00C90E06">
              <w:rPr>
                <w:bCs/>
              </w:rPr>
              <w:t>580</w:t>
            </w:r>
          </w:p>
        </w:tc>
        <w:tc>
          <w:tcPr>
            <w:tcW w:w="1461" w:type="dxa"/>
          </w:tcPr>
          <w:p w14:paraId="1433B3A7" w14:textId="77777777" w:rsidR="001447C0" w:rsidRPr="00C90E06" w:rsidRDefault="001447C0" w:rsidP="001E142E">
            <w:pPr>
              <w:jc w:val="right"/>
              <w:rPr>
                <w:bCs/>
              </w:rPr>
            </w:pPr>
            <w:r w:rsidRPr="00C90E06">
              <w:rPr>
                <w:bCs/>
              </w:rPr>
              <w:t>413</w:t>
            </w:r>
          </w:p>
        </w:tc>
      </w:tr>
      <w:tr w:rsidR="001447C0" w:rsidRPr="00C90E06" w14:paraId="4876975B" w14:textId="77777777" w:rsidTr="001E142E">
        <w:tc>
          <w:tcPr>
            <w:tcW w:w="2587" w:type="dxa"/>
          </w:tcPr>
          <w:p w14:paraId="27DF0612" w14:textId="77777777" w:rsidR="001447C0" w:rsidRPr="00C90E06" w:rsidRDefault="001447C0" w:rsidP="001E142E">
            <w:pPr>
              <w:jc w:val="both"/>
              <w:rPr>
                <w:bCs/>
              </w:rPr>
            </w:pPr>
            <w:r w:rsidRPr="00C90E06">
              <w:rPr>
                <w:bCs/>
              </w:rPr>
              <w:t>Cases referred to court</w:t>
            </w:r>
          </w:p>
        </w:tc>
        <w:tc>
          <w:tcPr>
            <w:tcW w:w="987" w:type="dxa"/>
          </w:tcPr>
          <w:p w14:paraId="31F8A0FB" w14:textId="77777777" w:rsidR="001447C0" w:rsidRPr="00C90E06" w:rsidRDefault="001447C0" w:rsidP="001E142E">
            <w:pPr>
              <w:jc w:val="right"/>
              <w:rPr>
                <w:bCs/>
              </w:rPr>
            </w:pPr>
            <w:r w:rsidRPr="00C90E06">
              <w:rPr>
                <w:bCs/>
              </w:rPr>
              <w:t>38</w:t>
            </w:r>
          </w:p>
        </w:tc>
        <w:tc>
          <w:tcPr>
            <w:tcW w:w="985" w:type="dxa"/>
          </w:tcPr>
          <w:p w14:paraId="2A4478C1" w14:textId="77777777" w:rsidR="001447C0" w:rsidRPr="00C90E06" w:rsidRDefault="001447C0" w:rsidP="001E142E">
            <w:pPr>
              <w:jc w:val="right"/>
              <w:rPr>
                <w:bCs/>
              </w:rPr>
            </w:pPr>
            <w:r w:rsidRPr="00C90E06">
              <w:rPr>
                <w:bCs/>
              </w:rPr>
              <w:t>33</w:t>
            </w:r>
          </w:p>
        </w:tc>
        <w:tc>
          <w:tcPr>
            <w:tcW w:w="763" w:type="dxa"/>
          </w:tcPr>
          <w:p w14:paraId="1FD9471A" w14:textId="77777777" w:rsidR="001447C0" w:rsidRPr="00C90E06" w:rsidRDefault="001447C0" w:rsidP="001E142E">
            <w:pPr>
              <w:jc w:val="right"/>
              <w:rPr>
                <w:bCs/>
              </w:rPr>
            </w:pPr>
            <w:r w:rsidRPr="00C90E06">
              <w:rPr>
                <w:bCs/>
              </w:rPr>
              <w:t>60</w:t>
            </w:r>
          </w:p>
        </w:tc>
        <w:tc>
          <w:tcPr>
            <w:tcW w:w="992" w:type="dxa"/>
          </w:tcPr>
          <w:p w14:paraId="6D8972C1" w14:textId="77777777" w:rsidR="001447C0" w:rsidRPr="00C90E06" w:rsidRDefault="001447C0" w:rsidP="001E142E">
            <w:pPr>
              <w:jc w:val="right"/>
              <w:rPr>
                <w:bCs/>
              </w:rPr>
            </w:pPr>
            <w:r w:rsidRPr="00C90E06">
              <w:rPr>
                <w:bCs/>
              </w:rPr>
              <w:t>41</w:t>
            </w:r>
          </w:p>
        </w:tc>
        <w:tc>
          <w:tcPr>
            <w:tcW w:w="1241" w:type="dxa"/>
          </w:tcPr>
          <w:p w14:paraId="4D044CCD" w14:textId="77777777" w:rsidR="001447C0" w:rsidRPr="00C90E06" w:rsidRDefault="001447C0" w:rsidP="001E142E">
            <w:pPr>
              <w:jc w:val="right"/>
              <w:rPr>
                <w:bCs/>
              </w:rPr>
            </w:pPr>
            <w:r w:rsidRPr="00C90E06">
              <w:rPr>
                <w:bCs/>
              </w:rPr>
              <w:t>98</w:t>
            </w:r>
          </w:p>
        </w:tc>
        <w:tc>
          <w:tcPr>
            <w:tcW w:w="1461" w:type="dxa"/>
          </w:tcPr>
          <w:p w14:paraId="39032386" w14:textId="77777777" w:rsidR="001447C0" w:rsidRPr="00C90E06" w:rsidRDefault="001447C0" w:rsidP="001E142E">
            <w:pPr>
              <w:jc w:val="right"/>
              <w:rPr>
                <w:bCs/>
              </w:rPr>
            </w:pPr>
            <w:r w:rsidRPr="00C90E06">
              <w:rPr>
                <w:bCs/>
              </w:rPr>
              <w:t>74</w:t>
            </w:r>
          </w:p>
        </w:tc>
      </w:tr>
      <w:tr w:rsidR="001447C0" w:rsidRPr="00C90E06" w14:paraId="00391479" w14:textId="77777777" w:rsidTr="001E142E">
        <w:tc>
          <w:tcPr>
            <w:tcW w:w="2587" w:type="dxa"/>
          </w:tcPr>
          <w:p w14:paraId="0899696F" w14:textId="77777777" w:rsidR="001447C0" w:rsidRPr="00C90E06" w:rsidRDefault="001447C0" w:rsidP="001E142E">
            <w:pPr>
              <w:jc w:val="both"/>
              <w:rPr>
                <w:bCs/>
              </w:rPr>
            </w:pPr>
            <w:r w:rsidRPr="00C90E06">
              <w:rPr>
                <w:bCs/>
              </w:rPr>
              <w:t>Cases that have received judgement in court</w:t>
            </w:r>
          </w:p>
        </w:tc>
        <w:tc>
          <w:tcPr>
            <w:tcW w:w="987" w:type="dxa"/>
          </w:tcPr>
          <w:p w14:paraId="006E85F8" w14:textId="77777777" w:rsidR="001447C0" w:rsidRPr="00C90E06" w:rsidRDefault="001447C0" w:rsidP="001E142E">
            <w:pPr>
              <w:jc w:val="right"/>
              <w:rPr>
                <w:bCs/>
              </w:rPr>
            </w:pPr>
            <w:r w:rsidRPr="00C90E06">
              <w:rPr>
                <w:bCs/>
              </w:rPr>
              <w:t>17</w:t>
            </w:r>
          </w:p>
        </w:tc>
        <w:tc>
          <w:tcPr>
            <w:tcW w:w="985" w:type="dxa"/>
          </w:tcPr>
          <w:p w14:paraId="2B1628E0" w14:textId="77777777" w:rsidR="001447C0" w:rsidRPr="00C90E06" w:rsidRDefault="001447C0" w:rsidP="001E142E">
            <w:pPr>
              <w:jc w:val="right"/>
              <w:rPr>
                <w:bCs/>
              </w:rPr>
            </w:pPr>
            <w:r w:rsidRPr="00C90E06">
              <w:rPr>
                <w:bCs/>
              </w:rPr>
              <w:t xml:space="preserve">15 </w:t>
            </w:r>
          </w:p>
        </w:tc>
        <w:tc>
          <w:tcPr>
            <w:tcW w:w="763" w:type="dxa"/>
          </w:tcPr>
          <w:p w14:paraId="0C2AF28B" w14:textId="77777777" w:rsidR="001447C0" w:rsidRPr="00C90E06" w:rsidRDefault="001447C0" w:rsidP="001E142E">
            <w:pPr>
              <w:jc w:val="right"/>
              <w:rPr>
                <w:bCs/>
              </w:rPr>
            </w:pPr>
            <w:r w:rsidRPr="00C90E06">
              <w:rPr>
                <w:bCs/>
              </w:rPr>
              <w:t>16</w:t>
            </w:r>
          </w:p>
        </w:tc>
        <w:tc>
          <w:tcPr>
            <w:tcW w:w="992" w:type="dxa"/>
          </w:tcPr>
          <w:p w14:paraId="66A78351" w14:textId="77777777" w:rsidR="001447C0" w:rsidRPr="00C90E06" w:rsidRDefault="001447C0" w:rsidP="001E142E">
            <w:pPr>
              <w:jc w:val="right"/>
              <w:rPr>
                <w:bCs/>
              </w:rPr>
            </w:pPr>
            <w:r w:rsidRPr="00C90E06">
              <w:rPr>
                <w:bCs/>
              </w:rPr>
              <w:t>3</w:t>
            </w:r>
          </w:p>
        </w:tc>
        <w:tc>
          <w:tcPr>
            <w:tcW w:w="1241" w:type="dxa"/>
          </w:tcPr>
          <w:p w14:paraId="4365A131" w14:textId="77777777" w:rsidR="001447C0" w:rsidRPr="00C90E06" w:rsidRDefault="001447C0" w:rsidP="001E142E">
            <w:pPr>
              <w:jc w:val="right"/>
              <w:rPr>
                <w:bCs/>
              </w:rPr>
            </w:pPr>
            <w:r w:rsidRPr="00C90E06">
              <w:rPr>
                <w:bCs/>
              </w:rPr>
              <w:t>33</w:t>
            </w:r>
          </w:p>
        </w:tc>
        <w:tc>
          <w:tcPr>
            <w:tcW w:w="1461" w:type="dxa"/>
          </w:tcPr>
          <w:p w14:paraId="2CE5A008" w14:textId="77777777" w:rsidR="001447C0" w:rsidRPr="00C90E06" w:rsidRDefault="001447C0" w:rsidP="001E142E">
            <w:pPr>
              <w:jc w:val="right"/>
              <w:rPr>
                <w:bCs/>
              </w:rPr>
            </w:pPr>
            <w:r w:rsidRPr="00C90E06">
              <w:rPr>
                <w:bCs/>
              </w:rPr>
              <w:t>18</w:t>
            </w:r>
          </w:p>
        </w:tc>
      </w:tr>
    </w:tbl>
    <w:p w14:paraId="28D316F6" w14:textId="77777777" w:rsidR="001447C0" w:rsidRPr="00C90E06" w:rsidRDefault="001447C0" w:rsidP="001447C0">
      <w:pPr>
        <w:jc w:val="both"/>
        <w:rPr>
          <w:b/>
        </w:rPr>
      </w:pPr>
    </w:p>
    <w:p w14:paraId="03945413" w14:textId="4823A31D" w:rsidR="006A5CF9" w:rsidRPr="00C90E06" w:rsidRDefault="001447C0" w:rsidP="001447C0">
      <w:pPr>
        <w:ind w:left="-720"/>
        <w:jc w:val="both"/>
      </w:pPr>
      <w:r w:rsidRPr="00C90E06">
        <w:rPr>
          <w:bCs/>
        </w:rPr>
        <w:t>An analysis of the data reflects an increase in the number of GBV cases reported</w:t>
      </w:r>
      <w:r w:rsidR="00CA6CFD" w:rsidRPr="00C90E06">
        <w:rPr>
          <w:bCs/>
        </w:rPr>
        <w:t>. Total</w:t>
      </w:r>
      <w:r w:rsidRPr="00C90E06">
        <w:rPr>
          <w:bCs/>
        </w:rPr>
        <w:t xml:space="preserve"> 580 cases (413 female) were recorded </w:t>
      </w:r>
      <w:r w:rsidR="006A5CF9" w:rsidRPr="00C90E06">
        <w:rPr>
          <w:bCs/>
        </w:rPr>
        <w:t xml:space="preserve">between the period </w:t>
      </w:r>
      <w:r w:rsidR="00223BED" w:rsidRPr="00C90E06">
        <w:rPr>
          <w:bCs/>
        </w:rPr>
        <w:t xml:space="preserve">January </w:t>
      </w:r>
      <w:r w:rsidR="006A5CF9" w:rsidRPr="00C90E06">
        <w:rPr>
          <w:bCs/>
        </w:rPr>
        <w:t xml:space="preserve">to </w:t>
      </w:r>
      <w:r w:rsidR="00223BED" w:rsidRPr="00C90E06">
        <w:rPr>
          <w:bCs/>
        </w:rPr>
        <w:t xml:space="preserve">November </w:t>
      </w:r>
      <w:r w:rsidRPr="00C90E06">
        <w:rPr>
          <w:bCs/>
        </w:rPr>
        <w:t xml:space="preserve">in comparison to the 14 registered four months earlier. All the survivors were provided with counselling and referred to other institutions for other specialized services. A total of 98 (74 female) cases were referred to court and 33 (18 female) have so far received judgement which is 33.7 percent of the total referred cases. </w:t>
      </w:r>
      <w:r w:rsidRPr="00C90E06">
        <w:t>The significant difference in the numbers of cases reported at the JCC and the cases referred to court is largely due to cultural norms where GBV is not considered a crime and though survivors report it, they are unwilling to take legal a</w:t>
      </w:r>
      <w:r w:rsidR="006A5CF9" w:rsidRPr="00C90E06">
        <w:t>ction against the perpetrators.</w:t>
      </w:r>
    </w:p>
    <w:p w14:paraId="5A548E82" w14:textId="77777777" w:rsidR="006A5CF9" w:rsidRPr="00C90E06" w:rsidRDefault="006A5CF9" w:rsidP="001447C0">
      <w:pPr>
        <w:ind w:left="-720"/>
        <w:jc w:val="both"/>
      </w:pPr>
    </w:p>
    <w:p w14:paraId="4524AD44" w14:textId="068E4E0A" w:rsidR="001447C0" w:rsidRPr="00C90E06" w:rsidRDefault="001447C0" w:rsidP="001447C0">
      <w:pPr>
        <w:ind w:left="-720"/>
        <w:jc w:val="both"/>
      </w:pPr>
      <w:r w:rsidRPr="00C90E06">
        <w:t xml:space="preserve">The CSOs tried to address this by intensifying their awareness raising efforts through outreaches and radio campaigns </w:t>
      </w:r>
      <w:r w:rsidR="006A5CF9" w:rsidRPr="00C90E06">
        <w:t xml:space="preserve">focusing on the </w:t>
      </w:r>
      <w:r w:rsidRPr="00C90E06">
        <w:t xml:space="preserve">rights of women and girls, </w:t>
      </w:r>
      <w:r w:rsidR="006A5CF9" w:rsidRPr="00C90E06">
        <w:t>s</w:t>
      </w:r>
      <w:r w:rsidRPr="00C90E06">
        <w:t xml:space="preserve">exual and </w:t>
      </w:r>
      <w:proofErr w:type="gramStart"/>
      <w:r w:rsidR="006A5CF9" w:rsidRPr="00C90E06">
        <w:t>g</w:t>
      </w:r>
      <w:r w:rsidRPr="00C90E06">
        <w:t>ender based</w:t>
      </w:r>
      <w:proofErr w:type="gramEnd"/>
      <w:r w:rsidRPr="00C90E06">
        <w:t xml:space="preserve"> violence including </w:t>
      </w:r>
      <w:r w:rsidR="006A5CF9" w:rsidRPr="00C90E06">
        <w:t>rape, early and forced marriage</w:t>
      </w:r>
      <w:r w:rsidRPr="00C90E06">
        <w:t>, domestic violence</w:t>
      </w:r>
      <w:r w:rsidR="006A5CF9" w:rsidRPr="00C90E06">
        <w:t xml:space="preserve"> and human r</w:t>
      </w:r>
      <w:r w:rsidRPr="00C90E06">
        <w:t xml:space="preserve">ights. </w:t>
      </w:r>
      <w:r w:rsidRPr="00C90E06">
        <w:rPr>
          <w:color w:val="000000"/>
          <w:lang w:val="en-US" w:eastAsia="en-US"/>
        </w:rPr>
        <w:t xml:space="preserve">The CSOs also informed their audiences </w:t>
      </w:r>
      <w:r w:rsidRPr="00C90E06">
        <w:t xml:space="preserve">about the legal consequences </w:t>
      </w:r>
      <w:r w:rsidR="00F62BD3" w:rsidRPr="00C90E06">
        <w:t xml:space="preserve">for </w:t>
      </w:r>
      <w:r w:rsidRPr="00C90E06">
        <w:t xml:space="preserve">perpetrators of GBV </w:t>
      </w:r>
      <w:r w:rsidR="00F62BD3" w:rsidRPr="00C90E06">
        <w:t xml:space="preserve">and information dissemination about </w:t>
      </w:r>
      <w:r w:rsidRPr="00C90E06">
        <w:t xml:space="preserve">the available services for survivors at the JCCs and help desks. As a result, </w:t>
      </w:r>
      <w:r w:rsidRPr="00C90E06">
        <w:rPr>
          <w:color w:val="000000"/>
          <w:lang w:val="en-US" w:eastAsia="en-US"/>
        </w:rPr>
        <w:t xml:space="preserve">417, 564 (57 percent female) people were reached in </w:t>
      </w:r>
      <w:proofErr w:type="spellStart"/>
      <w:r w:rsidRPr="00C90E06">
        <w:rPr>
          <w:color w:val="000000"/>
          <w:lang w:val="en-US" w:eastAsia="en-US"/>
        </w:rPr>
        <w:t>Bor</w:t>
      </w:r>
      <w:proofErr w:type="spellEnd"/>
      <w:r w:rsidRPr="00C90E06">
        <w:rPr>
          <w:color w:val="000000"/>
          <w:lang w:val="en-US" w:eastAsia="en-US"/>
        </w:rPr>
        <w:t xml:space="preserve"> and Aweil. </w:t>
      </w:r>
    </w:p>
    <w:p w14:paraId="276B9AF3" w14:textId="77777777" w:rsidR="00F62BD3" w:rsidRPr="00C90E06" w:rsidRDefault="00F62BD3" w:rsidP="001447C0">
      <w:pPr>
        <w:ind w:left="-720"/>
        <w:jc w:val="both"/>
      </w:pPr>
    </w:p>
    <w:p w14:paraId="2B17E006" w14:textId="3DEDCF9B" w:rsidR="001447C0" w:rsidRPr="00C90E06" w:rsidRDefault="001447C0" w:rsidP="001447C0">
      <w:pPr>
        <w:ind w:left="-720"/>
        <w:jc w:val="both"/>
      </w:pPr>
      <w:r w:rsidRPr="00C90E06">
        <w:t xml:space="preserve">In parallel, to ensure professional handling of GBV cases, the program provided specialized training to investigators, social workers, chiefs, prosecutors, and judges on investigation, prosecution, prevention, response and adjudication of SGBV and related offences in Aweil and Bor. In this regard, the project trained 40 (11 females) in </w:t>
      </w:r>
      <w:proofErr w:type="spellStart"/>
      <w:r w:rsidRPr="00C90E06">
        <w:t>Bor</w:t>
      </w:r>
      <w:proofErr w:type="spellEnd"/>
      <w:r w:rsidR="00F928D6" w:rsidRPr="00C90E06">
        <w:t xml:space="preserve"> and Aweil</w:t>
      </w:r>
      <w:r w:rsidRPr="00C90E06">
        <w:t xml:space="preserve"> with participants reporting and 78 percent and 80 percent increase in knowledge on the subject in Aweil and </w:t>
      </w:r>
      <w:proofErr w:type="spellStart"/>
      <w:r w:rsidRPr="00C90E06">
        <w:t>Bor</w:t>
      </w:r>
      <w:proofErr w:type="spellEnd"/>
      <w:r w:rsidRPr="00C90E06">
        <w:t xml:space="preserve"> respectively thereby equipping them to handle GBV cases professionally and in line with human rights standards. Following the training. while acknowledging how influential traditional leaders are in local community administration, traditional chiefs were invited to speak out against GBV during radio shows and outreaches. The project records recognizable success as some GBV cases were referred to the JCC by the traditional leaders that had been sensitized on Human Rights both through the project which reflects a change in perception. </w:t>
      </w:r>
    </w:p>
    <w:p w14:paraId="00F4F5AD" w14:textId="77777777" w:rsidR="00654503" w:rsidRPr="00C90E06" w:rsidRDefault="00654503" w:rsidP="001447C0">
      <w:pPr>
        <w:ind w:left="-720"/>
        <w:jc w:val="both"/>
      </w:pPr>
    </w:p>
    <w:p w14:paraId="4DFA033F" w14:textId="3107D24E" w:rsidR="001447C0" w:rsidRPr="00C90E06" w:rsidRDefault="00654503" w:rsidP="001447C0">
      <w:pPr>
        <w:ind w:left="-720"/>
        <w:jc w:val="both"/>
        <w:rPr>
          <w:b/>
        </w:rPr>
      </w:pPr>
      <w:r w:rsidRPr="00C90E06">
        <w:lastRenderedPageBreak/>
        <w:t>M</w:t>
      </w:r>
      <w:r w:rsidR="001447C0" w:rsidRPr="00C90E06">
        <w:t>ain challenge during the reporting period has been the COVID-19 outbreak and the consequent adaptation of activities to comply with preventive measures and Government issued guidelines regarding social gatherings. Handwashing facilities were installed at activity points, face masks were provided to training participants and physical distancing measures were adopted during implementation of activities. The project also notes that harmful cultural norms where GBV is not considered a crime impact the number of GBV cases presented to court as most survivors are unwilling to pursue legal justice due to fear of ostracization by their communities.</w:t>
      </w:r>
    </w:p>
    <w:p w14:paraId="0B5B6327" w14:textId="77777777" w:rsidR="001447C0" w:rsidRPr="00C90E06" w:rsidRDefault="001447C0" w:rsidP="001447C0">
      <w:pPr>
        <w:jc w:val="both"/>
      </w:pPr>
    </w:p>
    <w:p w14:paraId="4BF78BC9" w14:textId="77777777" w:rsidR="001447C0" w:rsidRPr="00C90E06" w:rsidRDefault="001447C0" w:rsidP="001447C0">
      <w:pPr>
        <w:ind w:left="-720"/>
        <w:jc w:val="both"/>
        <w:rPr>
          <w:rStyle w:val="CommentReference"/>
          <w:sz w:val="24"/>
          <w:szCs w:val="24"/>
        </w:rPr>
      </w:pPr>
      <w:r w:rsidRPr="00C90E06">
        <w:rPr>
          <w:b/>
          <w:bCs/>
          <w:color w:val="000000"/>
          <w:u w:val="single"/>
          <w:lang w:val="en-US" w:eastAsia="en-US"/>
        </w:rPr>
        <w:t>Actions to ensure gender equality and women’s empowerment and youth inclusion</w:t>
      </w:r>
      <w:r w:rsidRPr="00C90E06">
        <w:rPr>
          <w:b/>
          <w:u w:val="single"/>
        </w:rPr>
        <w:t xml:space="preserve">: </w:t>
      </w:r>
    </w:p>
    <w:p w14:paraId="159C401C" w14:textId="3B6D5BA4" w:rsidR="001447C0" w:rsidRPr="00C90E06" w:rsidRDefault="001447C0" w:rsidP="001447C0">
      <w:pPr>
        <w:ind w:left="-720"/>
        <w:jc w:val="both"/>
        <w:rPr>
          <w:bCs/>
        </w:rPr>
      </w:pPr>
      <w:r w:rsidRPr="00C90E06">
        <w:rPr>
          <w:bCs/>
        </w:rPr>
        <w:t>The project has included women in all efforts to support access to justice for GBV survivors. Notably, the community volunteers</w:t>
      </w:r>
      <w:r w:rsidR="000231DD" w:rsidRPr="00C90E06">
        <w:rPr>
          <w:bCs/>
        </w:rPr>
        <w:t xml:space="preserve"> are all </w:t>
      </w:r>
      <w:r w:rsidRPr="00C90E06">
        <w:rPr>
          <w:bCs/>
        </w:rPr>
        <w:t>female</w:t>
      </w:r>
      <w:r w:rsidR="000231DD" w:rsidRPr="00C90E06">
        <w:rPr>
          <w:bCs/>
        </w:rPr>
        <w:t xml:space="preserve">. These community volunteers </w:t>
      </w:r>
      <w:r w:rsidRPr="00C90E06">
        <w:rPr>
          <w:bCs/>
        </w:rPr>
        <w:t xml:space="preserve">were trained and mentored on how to respond to GBV cases and how to raise awareness and proactively advocate against GBV. Additionally, majority of the </w:t>
      </w:r>
      <w:r w:rsidR="0017143A" w:rsidRPr="00C90E06">
        <w:rPr>
          <w:bCs/>
        </w:rPr>
        <w:t xml:space="preserve">beneficiaries </w:t>
      </w:r>
      <w:r w:rsidRPr="00C90E06">
        <w:rPr>
          <w:bCs/>
        </w:rPr>
        <w:t>to</w:t>
      </w:r>
      <w:r w:rsidR="0017143A" w:rsidRPr="00C90E06">
        <w:rPr>
          <w:bCs/>
        </w:rPr>
        <w:t xml:space="preserve"> </w:t>
      </w:r>
      <w:r w:rsidRPr="00C90E06">
        <w:rPr>
          <w:bCs/>
        </w:rPr>
        <w:t>th</w:t>
      </w:r>
      <w:r w:rsidR="0017143A" w:rsidRPr="00C90E06">
        <w:rPr>
          <w:bCs/>
        </w:rPr>
        <w:t>e</w:t>
      </w:r>
      <w:r w:rsidRPr="00C90E06">
        <w:rPr>
          <w:bCs/>
        </w:rPr>
        <w:t xml:space="preserve"> services provide</w:t>
      </w:r>
      <w:r w:rsidR="0017143A" w:rsidRPr="00C90E06">
        <w:rPr>
          <w:bCs/>
        </w:rPr>
        <w:t>d</w:t>
      </w:r>
      <w:r w:rsidRPr="00C90E06">
        <w:rPr>
          <w:bCs/>
        </w:rPr>
        <w:t xml:space="preserve"> at </w:t>
      </w:r>
      <w:r w:rsidR="0017143A" w:rsidRPr="00C90E06">
        <w:rPr>
          <w:bCs/>
        </w:rPr>
        <w:t>the</w:t>
      </w:r>
      <w:r w:rsidRPr="00C90E06">
        <w:rPr>
          <w:bCs/>
        </w:rPr>
        <w:t xml:space="preserve"> Justice and Confidence Centres are female</w:t>
      </w:r>
      <w:r w:rsidR="000231DD" w:rsidRPr="00C90E06">
        <w:rPr>
          <w:bCs/>
        </w:rPr>
        <w:t>, thereby focusing on empowerment of the women and girls</w:t>
      </w:r>
      <w:r w:rsidRPr="00C90E06">
        <w:rPr>
          <w:bCs/>
        </w:rPr>
        <w:t xml:space="preserve">. </w:t>
      </w:r>
    </w:p>
    <w:p w14:paraId="06F921A3" w14:textId="32D5D7D3" w:rsidR="00627A1C" w:rsidRPr="00C90E06" w:rsidRDefault="00627A1C" w:rsidP="00627A1C">
      <w:pPr>
        <w:ind w:left="-720"/>
        <w:rPr>
          <w:b/>
        </w:rPr>
      </w:pPr>
    </w:p>
    <w:p w14:paraId="64C4A0CC" w14:textId="77777777" w:rsidR="00B357E3" w:rsidRPr="00C90E06" w:rsidRDefault="00B357E3" w:rsidP="00B357E3">
      <w:pPr>
        <w:ind w:left="-720"/>
        <w:jc w:val="both"/>
        <w:rPr>
          <w:b/>
          <w:color w:val="0070C0"/>
          <w:u w:val="single"/>
        </w:rPr>
      </w:pPr>
      <w:r w:rsidRPr="00C90E06">
        <w:rPr>
          <w:b/>
          <w:color w:val="0070C0"/>
          <w:u w:val="single"/>
        </w:rPr>
        <w:t xml:space="preserve">Output 4:  Communities in </w:t>
      </w:r>
      <w:proofErr w:type="spellStart"/>
      <w:r w:rsidRPr="00C90E06">
        <w:rPr>
          <w:b/>
          <w:color w:val="0070C0"/>
          <w:u w:val="single"/>
        </w:rPr>
        <w:t>Bor</w:t>
      </w:r>
      <w:proofErr w:type="spellEnd"/>
      <w:r w:rsidRPr="00C90E06">
        <w:rPr>
          <w:b/>
          <w:color w:val="0070C0"/>
          <w:u w:val="single"/>
        </w:rPr>
        <w:t xml:space="preserve"> and Aweil transform harmful social norms that contribute to GBV into positive norms that promote gender equality </w:t>
      </w:r>
    </w:p>
    <w:p w14:paraId="6E05B6F9" w14:textId="77777777" w:rsidR="00331D99" w:rsidRPr="00C90E06" w:rsidRDefault="00331D99" w:rsidP="00B357E3">
      <w:pPr>
        <w:ind w:left="-720"/>
        <w:jc w:val="both"/>
        <w:rPr>
          <w:bCs/>
        </w:rPr>
      </w:pPr>
    </w:p>
    <w:p w14:paraId="6414274A" w14:textId="77777777" w:rsidR="00691885" w:rsidRPr="00C90E06" w:rsidRDefault="00331D99" w:rsidP="00B357E3">
      <w:pPr>
        <w:ind w:left="-720"/>
        <w:jc w:val="both"/>
        <w:rPr>
          <w:bCs/>
        </w:rPr>
      </w:pPr>
      <w:r w:rsidRPr="00C90E06">
        <w:rPr>
          <w:bCs/>
        </w:rPr>
        <w:t xml:space="preserve">Total </w:t>
      </w:r>
      <w:r w:rsidR="00B357E3" w:rsidRPr="00C90E06">
        <w:rPr>
          <w:bCs/>
        </w:rPr>
        <w:t xml:space="preserve">5,528 individuals (900 girls, 632 boys, 3,293 women, 703 men) </w:t>
      </w:r>
      <w:r w:rsidRPr="00C90E06">
        <w:rPr>
          <w:bCs/>
        </w:rPr>
        <w:t xml:space="preserve">were reached through </w:t>
      </w:r>
      <w:r w:rsidR="00B357E3" w:rsidRPr="00C90E06">
        <w:rPr>
          <w:bCs/>
        </w:rPr>
        <w:t>GBV response and prevention messages</w:t>
      </w:r>
      <w:r w:rsidRPr="00C90E06">
        <w:rPr>
          <w:bCs/>
        </w:rPr>
        <w:t xml:space="preserve"> by UNICEF</w:t>
      </w:r>
      <w:r w:rsidR="00B357E3" w:rsidRPr="00C90E06">
        <w:rPr>
          <w:bCs/>
        </w:rPr>
        <w:t xml:space="preserve">. A total of 410 women and 95 girls benefitted from case management, psychosocial support (PSS) counselling, skills building courses, risk mitigation information and referrals for other specialised and non-specialised services at the Women and Girls Friendly Space (WGFS). A total of 134 GBV survivors who sought support at the WGFS were provided with GBV response services and/or referred for other specialised services according to their needs. In addition, 201 beneficiaries (161 women, 40 girls) completed the skills-building course on tailoring and bead-making and graduated in October. Furthermore, 140 girls of reproductive age received dignity kits during sessions on menstrual health and hygiene at three primary schools in Aweil. </w:t>
      </w:r>
    </w:p>
    <w:p w14:paraId="1B318338" w14:textId="77777777" w:rsidR="00691885" w:rsidRPr="00C90E06" w:rsidRDefault="00691885" w:rsidP="00B357E3">
      <w:pPr>
        <w:ind w:left="-720"/>
        <w:jc w:val="both"/>
        <w:rPr>
          <w:bCs/>
        </w:rPr>
      </w:pPr>
    </w:p>
    <w:p w14:paraId="21E6CF7A" w14:textId="153B3373" w:rsidR="00B357E3" w:rsidRPr="00C90E06" w:rsidRDefault="00B357E3" w:rsidP="00B357E3">
      <w:pPr>
        <w:ind w:left="-720"/>
        <w:jc w:val="both"/>
        <w:rPr>
          <w:bCs/>
        </w:rPr>
      </w:pPr>
      <w:r w:rsidRPr="00C90E06">
        <w:t xml:space="preserve">A GBV hotline was launched in Aweil, with community </w:t>
      </w:r>
      <w:proofErr w:type="gramStart"/>
      <w:r w:rsidRPr="00C90E06">
        <w:t>leaders</w:t>
      </w:r>
      <w:proofErr w:type="gramEnd"/>
      <w:r w:rsidRPr="00C90E06">
        <w:t xml:space="preserve"> instrumental in creating awareness on the existence of the hotline to promote continued access to information on services available as well as PSS remotely. Eighteen</w:t>
      </w:r>
      <w:r w:rsidRPr="00C90E06">
        <w:rPr>
          <w:bCs/>
        </w:rPr>
        <w:t xml:space="preserve"> people (9 women, 9 men) were trained on facilitating community discussions, including on conflict and peacebuilding strategies to ensure the involvement of women and girls. An additional eight new community discussion groups were created to facilitate and engage in discussions on changing harmful social norms and conflict resolution in the community.</w:t>
      </w:r>
    </w:p>
    <w:p w14:paraId="2EB239A9" w14:textId="77777777" w:rsidR="00B357E3" w:rsidRPr="00C90E06" w:rsidRDefault="00B357E3" w:rsidP="00B357E3">
      <w:pPr>
        <w:ind w:left="-720"/>
        <w:jc w:val="both"/>
        <w:rPr>
          <w:bCs/>
        </w:rPr>
      </w:pPr>
    </w:p>
    <w:p w14:paraId="065AE708" w14:textId="77777777" w:rsidR="00B357E3" w:rsidRPr="00C90E06" w:rsidRDefault="00B357E3" w:rsidP="00B357E3">
      <w:pPr>
        <w:ind w:left="-720"/>
        <w:jc w:val="both"/>
      </w:pPr>
      <w:r w:rsidRPr="00C90E06">
        <w:t>A total of 225,942 people (35,200 girls, 12,742 boys, 154,000 women, 24,000 men) have been engaged in awareness raising and discussions on harmful social norms and identification of actions to transform the norms to positive measures that promote gender equality and women’s engagement in peace building.</w:t>
      </w:r>
    </w:p>
    <w:p w14:paraId="685DE131" w14:textId="77777777" w:rsidR="00B357E3" w:rsidRPr="00C90E06" w:rsidRDefault="00B357E3" w:rsidP="00B357E3">
      <w:pPr>
        <w:jc w:val="both"/>
        <w:rPr>
          <w:bCs/>
        </w:rPr>
      </w:pPr>
    </w:p>
    <w:p w14:paraId="7494F2FC" w14:textId="11519C90" w:rsidR="00B357E3" w:rsidRPr="00C90E06" w:rsidRDefault="00B357E3" w:rsidP="00B357E3">
      <w:pPr>
        <w:ind w:left="-720"/>
        <w:jc w:val="both"/>
        <w:rPr>
          <w:bCs/>
        </w:rPr>
      </w:pPr>
      <w:r w:rsidRPr="00C90E06">
        <w:rPr>
          <w:bCs/>
        </w:rPr>
        <w:t xml:space="preserve">The COVID-19 outbreak has continued to pose a challenge, especially in the implementation of community actions by community discussion groups. Public declaration events had to be cancelled in Aweil - and this is still pending - but alternative modalities are being discussed to ensure this continues. The number of participants in the groups has also been reduced to comply with COVID-19 preventive measures. Despite the challenges posed by the COVID-19 restrictions on limiting the number of members engaged, UNICEF and implementing partners </w:t>
      </w:r>
      <w:r w:rsidRPr="00C90E06">
        <w:rPr>
          <w:bCs/>
        </w:rPr>
        <w:lastRenderedPageBreak/>
        <w:t xml:space="preserve">increased the number of discussions held to ensure that </w:t>
      </w:r>
      <w:r w:rsidR="001506F9" w:rsidRPr="00C90E06">
        <w:rPr>
          <w:bCs/>
        </w:rPr>
        <w:t>the information dissemination is continued</w:t>
      </w:r>
      <w:r w:rsidRPr="00C90E06">
        <w:rPr>
          <w:bCs/>
        </w:rPr>
        <w:t>.</w:t>
      </w:r>
    </w:p>
    <w:p w14:paraId="113A93C1" w14:textId="77777777" w:rsidR="00B357E3" w:rsidRPr="00C90E06" w:rsidRDefault="00B357E3" w:rsidP="00B357E3">
      <w:pPr>
        <w:ind w:left="-720"/>
        <w:rPr>
          <w:b/>
        </w:rPr>
      </w:pPr>
    </w:p>
    <w:p w14:paraId="14670AEB" w14:textId="77777777" w:rsidR="001506F9" w:rsidRPr="00C90E06" w:rsidRDefault="001506F9" w:rsidP="001506F9">
      <w:pPr>
        <w:ind w:left="-720"/>
        <w:jc w:val="both"/>
        <w:rPr>
          <w:rStyle w:val="CommentReference"/>
          <w:sz w:val="24"/>
          <w:szCs w:val="24"/>
        </w:rPr>
      </w:pPr>
      <w:r w:rsidRPr="00C90E06">
        <w:rPr>
          <w:b/>
          <w:bCs/>
          <w:color w:val="000000"/>
          <w:u w:val="single"/>
          <w:lang w:val="en-US" w:eastAsia="en-US"/>
        </w:rPr>
        <w:t>Actions to ensure gender equality and women’s empowerment and youth inclusion</w:t>
      </w:r>
      <w:r w:rsidRPr="00C90E06">
        <w:rPr>
          <w:b/>
          <w:u w:val="single"/>
        </w:rPr>
        <w:t xml:space="preserve">: </w:t>
      </w:r>
    </w:p>
    <w:p w14:paraId="17FC3091" w14:textId="77777777" w:rsidR="00B357E3" w:rsidRPr="00C90E06" w:rsidRDefault="00B357E3" w:rsidP="00B357E3">
      <w:pPr>
        <w:ind w:left="-720"/>
        <w:jc w:val="both"/>
        <w:rPr>
          <w:b/>
        </w:rPr>
      </w:pPr>
      <w:r w:rsidRPr="00C90E06">
        <w:rPr>
          <w:bCs/>
        </w:rPr>
        <w:t xml:space="preserve">Through the Communities Care approach, community discussion groups were established with women only, men only, mixed men-women groups, and youth and community leaders. Group composition ensured better representation of women’s issues in women only groups, gave them a platform to air their views and increased their engagement. Girls and boys were engaged to ensure that they participate in resolving issues that affect them and the community in general. Through the WGFS, 201 women and adolescent out of </w:t>
      </w:r>
      <w:proofErr w:type="gramStart"/>
      <w:r w:rsidRPr="00C90E06">
        <w:rPr>
          <w:bCs/>
        </w:rPr>
        <w:t>school girls</w:t>
      </w:r>
      <w:proofErr w:type="gramEnd"/>
      <w:r w:rsidRPr="00C90E06">
        <w:rPr>
          <w:bCs/>
        </w:rPr>
        <w:t xml:space="preserve"> are currently engaged in skills building activities to ensure that they are empowered with hands-on skills and knowledge for economic and life skills empowerment. This has also increased social cohesion and networking amongst the women in the communities and ensured that they strengthened relations and created a network of peers to support each other especially during the COVID-19 restrictions and limitations in interactions and movements.</w:t>
      </w:r>
    </w:p>
    <w:p w14:paraId="3F232DB6" w14:textId="77777777" w:rsidR="00F5504F" w:rsidRPr="00C90E06" w:rsidRDefault="00F5504F" w:rsidP="0078600B">
      <w:pPr>
        <w:rPr>
          <w:b/>
        </w:rPr>
      </w:pPr>
    </w:p>
    <w:p w14:paraId="439D70B7" w14:textId="77777777" w:rsidR="00206D45" w:rsidRPr="00C90E06" w:rsidRDefault="00206D45" w:rsidP="00206D45">
      <w:pPr>
        <w:rPr>
          <w:b/>
        </w:rPr>
      </w:pPr>
    </w:p>
    <w:p w14:paraId="09F9EEE8" w14:textId="77777777" w:rsidR="00997347" w:rsidRPr="00C90E06" w:rsidRDefault="00206D45" w:rsidP="009C61FD">
      <w:pPr>
        <w:shd w:val="clear" w:color="auto" w:fill="8EAADB" w:themeFill="accent1" w:themeFillTint="99"/>
        <w:ind w:hanging="810"/>
        <w:jc w:val="both"/>
        <w:rPr>
          <w:b/>
          <w:u w:val="single"/>
        </w:rPr>
      </w:pPr>
      <w:r w:rsidRPr="00C90E06">
        <w:rPr>
          <w:b/>
          <w:u w:val="single"/>
        </w:rPr>
        <w:t xml:space="preserve">PART III: CROSS-CUTTING ISSUES </w:t>
      </w:r>
    </w:p>
    <w:p w14:paraId="544EE643" w14:textId="77777777" w:rsidR="00997347" w:rsidRPr="00C90E06" w:rsidRDefault="00997347" w:rsidP="00997347"/>
    <w:tbl>
      <w:tblPr>
        <w:tblW w:w="924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3150"/>
      </w:tblGrid>
      <w:tr w:rsidR="00997347" w:rsidRPr="00C90E06" w14:paraId="76D87A8D" w14:textId="77777777" w:rsidTr="006F369A">
        <w:tc>
          <w:tcPr>
            <w:tcW w:w="6097" w:type="dxa"/>
            <w:shd w:val="clear" w:color="auto" w:fill="auto"/>
          </w:tcPr>
          <w:p w14:paraId="71E48A14" w14:textId="16431F54" w:rsidR="007118F5" w:rsidRPr="00C90E06" w:rsidRDefault="003D4CD7" w:rsidP="00234A5E">
            <w:r w:rsidRPr="00C90E06">
              <w:rPr>
                <w:b/>
                <w:bCs/>
                <w:u w:val="single"/>
              </w:rPr>
              <w:t>M</w:t>
            </w:r>
            <w:r w:rsidR="006C1819" w:rsidRPr="00C90E06">
              <w:rPr>
                <w:b/>
                <w:bCs/>
                <w:u w:val="single"/>
              </w:rPr>
              <w:t>onitoring</w:t>
            </w:r>
            <w:r w:rsidR="00513612" w:rsidRPr="00C90E06">
              <w:rPr>
                <w:b/>
                <w:bCs/>
              </w:rPr>
              <w:t xml:space="preserve">: </w:t>
            </w:r>
            <w:r w:rsidR="007118F5" w:rsidRPr="00C90E06">
              <w:t xml:space="preserve">Please list monitoring activities undertaken in the reporting period </w:t>
            </w:r>
          </w:p>
          <w:p w14:paraId="6A8E1C2F" w14:textId="27605349" w:rsidR="00997347" w:rsidRPr="00C90E06" w:rsidRDefault="00997347" w:rsidP="00234A5E">
            <w:pPr>
              <w:rPr>
                <w:iCs/>
              </w:rPr>
            </w:pPr>
          </w:p>
          <w:p w14:paraId="21D522C7" w14:textId="50D73044" w:rsidR="004F6066" w:rsidRPr="00C90E06" w:rsidRDefault="00AF5FB5" w:rsidP="00AF5FB5">
            <w:pPr>
              <w:jc w:val="both"/>
              <w:rPr>
                <w:iCs/>
              </w:rPr>
            </w:pPr>
            <w:r w:rsidRPr="00C90E06">
              <w:rPr>
                <w:iCs/>
              </w:rPr>
              <w:t xml:space="preserve">During the project inception, three joint missions were conducted by UNFPA, UNDP, UNICEF, UN Women and the Resident Coordinator’s Office. </w:t>
            </w:r>
            <w:r w:rsidR="00601E1E" w:rsidRPr="00C90E06">
              <w:rPr>
                <w:iCs/>
              </w:rPr>
              <w:t xml:space="preserve">Due to COVID-19, no physical monitoring could be conducted thereafter, however, online monitoring </w:t>
            </w:r>
            <w:proofErr w:type="gramStart"/>
            <w:r w:rsidR="00601E1E" w:rsidRPr="00C90E06">
              <w:rPr>
                <w:iCs/>
              </w:rPr>
              <w:t>were</w:t>
            </w:r>
            <w:proofErr w:type="gramEnd"/>
            <w:r w:rsidR="00601E1E" w:rsidRPr="00C90E06">
              <w:rPr>
                <w:iCs/>
              </w:rPr>
              <w:t xml:space="preserve"> carried out by each partner agency. The Technical Working Group for the </w:t>
            </w:r>
            <w:r w:rsidR="004F6066" w:rsidRPr="00C90E06">
              <w:rPr>
                <w:iCs/>
              </w:rPr>
              <w:t xml:space="preserve">project met regularly for joint planning and implementation. </w:t>
            </w:r>
          </w:p>
          <w:p w14:paraId="7F7E6A6A" w14:textId="0493516B" w:rsidR="00136CA3" w:rsidRPr="00C90E06" w:rsidRDefault="00136CA3" w:rsidP="00AF5FB5">
            <w:pPr>
              <w:jc w:val="both"/>
              <w:rPr>
                <w:iCs/>
              </w:rPr>
            </w:pPr>
          </w:p>
          <w:p w14:paraId="22A7393C" w14:textId="5E190A10" w:rsidR="00136CA3" w:rsidRPr="00C90E06" w:rsidRDefault="00136CA3" w:rsidP="00AF5FB5">
            <w:pPr>
              <w:jc w:val="both"/>
              <w:rPr>
                <w:iCs/>
              </w:rPr>
            </w:pPr>
            <w:r w:rsidRPr="00C90E06">
              <w:rPr>
                <w:b/>
                <w:iCs/>
              </w:rPr>
              <w:t>Tracking results progress:</w:t>
            </w:r>
            <w:r w:rsidRPr="00C90E06">
              <w:rPr>
                <w:iCs/>
              </w:rPr>
              <w:t xml:space="preserve"> At the monthly TWG meetings, the project progress was reviewed to learn about the areas where the implementation challenges are </w:t>
            </w:r>
            <w:proofErr w:type="gramStart"/>
            <w:r w:rsidRPr="00C90E06">
              <w:rPr>
                <w:iCs/>
              </w:rPr>
              <w:t>experienced</w:t>
            </w:r>
            <w:proofErr w:type="gramEnd"/>
            <w:r w:rsidRPr="00C90E06">
              <w:rPr>
                <w:iCs/>
              </w:rPr>
              <w:t xml:space="preserve"> and adaptation needed</w:t>
            </w:r>
          </w:p>
          <w:p w14:paraId="2AD8969F" w14:textId="6B3DB53B" w:rsidR="00136CA3" w:rsidRPr="00C90E06" w:rsidRDefault="00136CA3" w:rsidP="00AF5FB5">
            <w:pPr>
              <w:jc w:val="both"/>
              <w:rPr>
                <w:iCs/>
              </w:rPr>
            </w:pPr>
          </w:p>
          <w:p w14:paraId="395E8D53" w14:textId="7C90CCFA" w:rsidR="00136CA3" w:rsidRPr="00C90E06" w:rsidRDefault="00136CA3" w:rsidP="00AF5FB5">
            <w:pPr>
              <w:jc w:val="both"/>
              <w:rPr>
                <w:iCs/>
              </w:rPr>
            </w:pPr>
            <w:r w:rsidRPr="00C90E06">
              <w:rPr>
                <w:b/>
                <w:iCs/>
              </w:rPr>
              <w:t>Programme review Meetings:</w:t>
            </w:r>
            <w:r w:rsidRPr="00C90E06">
              <w:rPr>
                <w:iCs/>
              </w:rPr>
              <w:t xml:space="preserve"> </w:t>
            </w:r>
            <w:r w:rsidR="006B1DF7" w:rsidRPr="00C90E06">
              <w:rPr>
                <w:iCs/>
              </w:rPr>
              <w:t>Programme Review meeting was organized in July 2020 to learn about the bottlenecks and plan to adapt the implementation</w:t>
            </w:r>
          </w:p>
          <w:p w14:paraId="5A149305" w14:textId="5FE493DD" w:rsidR="006B1DF7" w:rsidRPr="00C90E06" w:rsidRDefault="006B1DF7" w:rsidP="00AF5FB5">
            <w:pPr>
              <w:jc w:val="both"/>
              <w:rPr>
                <w:iCs/>
              </w:rPr>
            </w:pPr>
          </w:p>
          <w:p w14:paraId="5F096DBC" w14:textId="36E09DF2" w:rsidR="006B1DF7" w:rsidRPr="00C90E06" w:rsidRDefault="006B1DF7" w:rsidP="00AF5FB5">
            <w:pPr>
              <w:jc w:val="both"/>
              <w:rPr>
                <w:iCs/>
              </w:rPr>
            </w:pPr>
            <w:r w:rsidRPr="00C90E06">
              <w:rPr>
                <w:b/>
                <w:iCs/>
              </w:rPr>
              <w:t>Project reporting:</w:t>
            </w:r>
            <w:r w:rsidRPr="00C90E06">
              <w:rPr>
                <w:iCs/>
              </w:rPr>
              <w:t xml:space="preserve"> Regular project reports were </w:t>
            </w:r>
            <w:proofErr w:type="gramStart"/>
            <w:r w:rsidRPr="00C90E06">
              <w:rPr>
                <w:iCs/>
              </w:rPr>
              <w:t>produced</w:t>
            </w:r>
            <w:proofErr w:type="gramEnd"/>
            <w:r w:rsidRPr="00C90E06">
              <w:rPr>
                <w:iCs/>
              </w:rPr>
              <w:t xml:space="preserve"> and dialogues held to learn from each other’s experiences of project implementation. </w:t>
            </w:r>
          </w:p>
          <w:p w14:paraId="217B49D9" w14:textId="77777777" w:rsidR="006B1DF7" w:rsidRPr="00C90E06" w:rsidRDefault="006B1DF7" w:rsidP="00AF5FB5">
            <w:pPr>
              <w:jc w:val="both"/>
              <w:rPr>
                <w:iCs/>
              </w:rPr>
            </w:pPr>
          </w:p>
          <w:p w14:paraId="391220CD" w14:textId="2973DD6B" w:rsidR="00AF5FB5" w:rsidRPr="00C90E06" w:rsidRDefault="006B1DF7" w:rsidP="00AF5FB5">
            <w:pPr>
              <w:jc w:val="both"/>
              <w:rPr>
                <w:iCs/>
              </w:rPr>
            </w:pPr>
            <w:r w:rsidRPr="00C90E06">
              <w:rPr>
                <w:iCs/>
              </w:rPr>
              <w:t>F</w:t>
            </w:r>
            <w:r w:rsidR="00AF5FB5" w:rsidRPr="00C90E06">
              <w:rPr>
                <w:iCs/>
              </w:rPr>
              <w:t xml:space="preserve">ollowing programme monitoring visits were conducted by respective agencies: </w:t>
            </w:r>
          </w:p>
          <w:p w14:paraId="07813769" w14:textId="77777777" w:rsidR="00AF5FB5" w:rsidRPr="00C90E06" w:rsidRDefault="00AF5FB5" w:rsidP="00AF5FB5">
            <w:pPr>
              <w:jc w:val="both"/>
              <w:rPr>
                <w:iCs/>
              </w:rPr>
            </w:pPr>
            <w:r w:rsidRPr="00C90E06">
              <w:rPr>
                <w:iCs/>
              </w:rPr>
              <w:t xml:space="preserve">Output 1 – </w:t>
            </w:r>
          </w:p>
          <w:p w14:paraId="0D7F60DC" w14:textId="13A20B36" w:rsidR="00774ABC" w:rsidRPr="00C90E06" w:rsidRDefault="00774ABC" w:rsidP="001E1A6E">
            <w:pPr>
              <w:pStyle w:val="ListParagraph"/>
              <w:numPr>
                <w:ilvl w:val="0"/>
                <w:numId w:val="7"/>
              </w:numPr>
              <w:jc w:val="both"/>
              <w:rPr>
                <w:iCs/>
              </w:rPr>
            </w:pPr>
            <w:r w:rsidRPr="00C90E06">
              <w:rPr>
                <w:iCs/>
              </w:rPr>
              <w:t>Weekly reports on GBV trends analysis and COVID-19 awareness are being done.</w:t>
            </w:r>
          </w:p>
          <w:p w14:paraId="03376FF2" w14:textId="30BE3EE3" w:rsidR="00AF5FB5" w:rsidRPr="00C90E06" w:rsidRDefault="00AF5FB5" w:rsidP="001E1A6E">
            <w:pPr>
              <w:pStyle w:val="ListParagraph"/>
              <w:numPr>
                <w:ilvl w:val="0"/>
                <w:numId w:val="7"/>
              </w:numPr>
              <w:jc w:val="both"/>
              <w:rPr>
                <w:iCs/>
              </w:rPr>
            </w:pPr>
            <w:r w:rsidRPr="00C90E06">
              <w:rPr>
                <w:iCs/>
              </w:rPr>
              <w:t xml:space="preserve">A monitoring meeting was organized by UNFPA with the partner in February 2020. </w:t>
            </w:r>
          </w:p>
          <w:p w14:paraId="00CE3E41" w14:textId="77777777" w:rsidR="00AF5FB5" w:rsidRPr="00C90E06" w:rsidRDefault="00AF5FB5" w:rsidP="001E1A6E">
            <w:pPr>
              <w:pStyle w:val="ListParagraph"/>
              <w:numPr>
                <w:ilvl w:val="0"/>
                <w:numId w:val="7"/>
              </w:numPr>
              <w:jc w:val="both"/>
              <w:rPr>
                <w:iCs/>
              </w:rPr>
            </w:pPr>
            <w:r w:rsidRPr="00C90E06">
              <w:rPr>
                <w:iCs/>
              </w:rPr>
              <w:lastRenderedPageBreak/>
              <w:t>Virtual/ online reporting and meetings have been conducted with the partners on a weekly basis since the week of 20 March for monitoring and guidance during the COVID-19 pandemic.</w:t>
            </w:r>
          </w:p>
          <w:p w14:paraId="033704F5" w14:textId="77777777" w:rsidR="00AF5FB5" w:rsidRPr="00C90E06" w:rsidRDefault="00AF5FB5" w:rsidP="001E1A6E">
            <w:pPr>
              <w:pStyle w:val="ListParagraph"/>
              <w:numPr>
                <w:ilvl w:val="0"/>
                <w:numId w:val="7"/>
              </w:numPr>
              <w:jc w:val="both"/>
              <w:rPr>
                <w:iCs/>
              </w:rPr>
            </w:pPr>
            <w:r w:rsidRPr="00C90E06">
              <w:rPr>
                <w:iCs/>
              </w:rPr>
              <w:t>Regular debriefs through phone and emails are being done especially on the onset of COVID-19. Weekly reports on GBV trends analysis and COVID-19 awareness are also being done.</w:t>
            </w:r>
          </w:p>
          <w:p w14:paraId="70C5DE19" w14:textId="77777777" w:rsidR="00AF5FB5" w:rsidRPr="00C90E06" w:rsidRDefault="00AF5FB5" w:rsidP="001E1A6E">
            <w:pPr>
              <w:pStyle w:val="ListParagraph"/>
              <w:numPr>
                <w:ilvl w:val="0"/>
                <w:numId w:val="7"/>
              </w:numPr>
              <w:jc w:val="both"/>
              <w:rPr>
                <w:iCs/>
              </w:rPr>
            </w:pPr>
            <w:r w:rsidRPr="00C90E06">
              <w:rPr>
                <w:iCs/>
              </w:rPr>
              <w:t>Technical briefs have been developed and shared with the partners for adaptation of case management.</w:t>
            </w:r>
            <w:r w:rsidRPr="00C90E06">
              <w:t xml:space="preserve"> </w:t>
            </w:r>
          </w:p>
          <w:p w14:paraId="71E64D83" w14:textId="77777777" w:rsidR="00AF5FB5" w:rsidRPr="00C90E06" w:rsidRDefault="00AF5FB5" w:rsidP="00AF5FB5">
            <w:pPr>
              <w:jc w:val="both"/>
              <w:rPr>
                <w:iCs/>
              </w:rPr>
            </w:pPr>
          </w:p>
          <w:p w14:paraId="2B389B3E" w14:textId="77777777" w:rsidR="00AF5FB5" w:rsidRPr="00C90E06" w:rsidRDefault="00AF5FB5" w:rsidP="00AF5FB5">
            <w:pPr>
              <w:jc w:val="both"/>
              <w:rPr>
                <w:iCs/>
              </w:rPr>
            </w:pPr>
            <w:r w:rsidRPr="00C90E06">
              <w:rPr>
                <w:iCs/>
              </w:rPr>
              <w:t xml:space="preserve">Output 2 – </w:t>
            </w:r>
          </w:p>
          <w:p w14:paraId="35A86EB8" w14:textId="77777777" w:rsidR="00AF5FB5" w:rsidRPr="00C90E06" w:rsidRDefault="00AF5FB5" w:rsidP="001E1A6E">
            <w:pPr>
              <w:pStyle w:val="ListParagraph"/>
              <w:numPr>
                <w:ilvl w:val="0"/>
                <w:numId w:val="8"/>
              </w:numPr>
              <w:jc w:val="both"/>
              <w:rPr>
                <w:iCs/>
              </w:rPr>
            </w:pPr>
            <w:r w:rsidRPr="00C90E06">
              <w:rPr>
                <w:iCs/>
              </w:rPr>
              <w:t xml:space="preserve">Participated in three joint inception missions to Aweil, </w:t>
            </w:r>
            <w:proofErr w:type="spellStart"/>
            <w:r w:rsidRPr="00C90E06">
              <w:rPr>
                <w:iCs/>
              </w:rPr>
              <w:t>Bor</w:t>
            </w:r>
            <w:proofErr w:type="spellEnd"/>
            <w:r w:rsidRPr="00C90E06">
              <w:rPr>
                <w:iCs/>
              </w:rPr>
              <w:t xml:space="preserve"> and Akobo.  </w:t>
            </w:r>
          </w:p>
          <w:p w14:paraId="19AC507A" w14:textId="285F4934" w:rsidR="00AF5FB5" w:rsidRPr="00C90E06" w:rsidRDefault="00AF5FB5" w:rsidP="001E1A6E">
            <w:pPr>
              <w:pStyle w:val="ListParagraph"/>
              <w:numPr>
                <w:ilvl w:val="0"/>
                <w:numId w:val="8"/>
              </w:numPr>
              <w:jc w:val="both"/>
              <w:rPr>
                <w:iCs/>
              </w:rPr>
            </w:pPr>
            <w:r w:rsidRPr="00C90E06">
              <w:rPr>
                <w:iCs/>
              </w:rPr>
              <w:t>Regular correspondence (email and telephones) with identified implementing partners is ongoing and done weekly, in particular on the adaptation of activities in line with COVID-19 measures and restrictions.</w:t>
            </w:r>
          </w:p>
          <w:p w14:paraId="6A881340" w14:textId="136229A0" w:rsidR="0036035F" w:rsidRPr="00C90E06" w:rsidRDefault="0036035F" w:rsidP="0036035F">
            <w:pPr>
              <w:pStyle w:val="ListParagraph"/>
              <w:numPr>
                <w:ilvl w:val="0"/>
                <w:numId w:val="8"/>
              </w:numPr>
              <w:jc w:val="both"/>
              <w:rPr>
                <w:iCs/>
              </w:rPr>
            </w:pPr>
            <w:r w:rsidRPr="00C90E06">
              <w:rPr>
                <w:iCs/>
              </w:rPr>
              <w:t>Conducted monthly zoom meetings with partners on project progress.</w:t>
            </w:r>
          </w:p>
          <w:p w14:paraId="029824AD" w14:textId="77777777" w:rsidR="00AF5FB5" w:rsidRPr="00C90E06" w:rsidRDefault="00AF5FB5" w:rsidP="00AF5FB5">
            <w:pPr>
              <w:jc w:val="both"/>
              <w:rPr>
                <w:iCs/>
              </w:rPr>
            </w:pPr>
          </w:p>
          <w:p w14:paraId="21C3B7D9" w14:textId="77777777" w:rsidR="00AF5FB5" w:rsidRPr="00C90E06" w:rsidRDefault="00AF5FB5" w:rsidP="00AF5FB5">
            <w:pPr>
              <w:jc w:val="both"/>
              <w:rPr>
                <w:iCs/>
              </w:rPr>
            </w:pPr>
            <w:r w:rsidRPr="00C90E06">
              <w:rPr>
                <w:iCs/>
              </w:rPr>
              <w:t xml:space="preserve">Output 3 – </w:t>
            </w:r>
          </w:p>
          <w:p w14:paraId="483CDE3B" w14:textId="77777777" w:rsidR="00AA7CEB" w:rsidRPr="00C90E06" w:rsidRDefault="00AA7CEB" w:rsidP="001E1A6E">
            <w:pPr>
              <w:pStyle w:val="ListParagraph"/>
              <w:numPr>
                <w:ilvl w:val="0"/>
                <w:numId w:val="9"/>
              </w:numPr>
              <w:jc w:val="both"/>
              <w:rPr>
                <w:iCs/>
              </w:rPr>
            </w:pPr>
            <w:r w:rsidRPr="00C90E06">
              <w:rPr>
                <w:iCs/>
              </w:rPr>
              <w:t>Participated in two joint inception mission to Aweil and Bor.</w:t>
            </w:r>
          </w:p>
          <w:p w14:paraId="6226644F" w14:textId="77777777" w:rsidR="00AA7CEB" w:rsidRPr="00C90E06" w:rsidRDefault="00AA7CEB" w:rsidP="001E1A6E">
            <w:pPr>
              <w:pStyle w:val="ListParagraph"/>
              <w:numPr>
                <w:ilvl w:val="0"/>
                <w:numId w:val="9"/>
              </w:numPr>
              <w:jc w:val="both"/>
              <w:rPr>
                <w:iCs/>
              </w:rPr>
            </w:pPr>
            <w:r w:rsidRPr="00C90E06">
              <w:rPr>
                <w:iCs/>
              </w:rPr>
              <w:t>Participated in the technical working group meetings.</w:t>
            </w:r>
          </w:p>
          <w:p w14:paraId="75E31399" w14:textId="77777777" w:rsidR="00AA7CEB" w:rsidRPr="00C90E06" w:rsidRDefault="00AA7CEB" w:rsidP="001E1A6E">
            <w:pPr>
              <w:pStyle w:val="ListParagraph"/>
              <w:numPr>
                <w:ilvl w:val="0"/>
                <w:numId w:val="9"/>
              </w:numPr>
              <w:jc w:val="both"/>
              <w:rPr>
                <w:iCs/>
              </w:rPr>
            </w:pPr>
            <w:r w:rsidRPr="00C90E06">
              <w:rPr>
                <w:iCs/>
              </w:rPr>
              <w:t>UNDP field staff in the areas of implementation hold regular monitoring meetings with the implementing partners to assess their progress.</w:t>
            </w:r>
          </w:p>
          <w:p w14:paraId="2373B9D0" w14:textId="77777777" w:rsidR="00AA7CEB" w:rsidRPr="00C90E06" w:rsidRDefault="00AA7CEB" w:rsidP="001E1A6E">
            <w:pPr>
              <w:pStyle w:val="ListParagraph"/>
              <w:numPr>
                <w:ilvl w:val="0"/>
                <w:numId w:val="9"/>
              </w:numPr>
              <w:jc w:val="both"/>
              <w:rPr>
                <w:iCs/>
              </w:rPr>
            </w:pPr>
            <w:r w:rsidRPr="00C90E06">
              <w:rPr>
                <w:iCs/>
              </w:rPr>
              <w:t>Regular team debrief through a weekly zoom meeting and follow up through phones.</w:t>
            </w:r>
          </w:p>
          <w:p w14:paraId="06BECB21" w14:textId="29AC2353" w:rsidR="00AF5FB5" w:rsidRPr="00C90E06" w:rsidRDefault="00AA7CEB" w:rsidP="001E1A6E">
            <w:pPr>
              <w:pStyle w:val="ListParagraph"/>
              <w:numPr>
                <w:ilvl w:val="0"/>
                <w:numId w:val="9"/>
              </w:numPr>
              <w:jc w:val="both"/>
              <w:rPr>
                <w:iCs/>
              </w:rPr>
            </w:pPr>
            <w:r w:rsidRPr="00C90E06">
              <w:rPr>
                <w:iCs/>
              </w:rPr>
              <w:t>Remote monitoring continued due to COVID-19 outbreak</w:t>
            </w:r>
          </w:p>
          <w:p w14:paraId="6083521B" w14:textId="77777777" w:rsidR="00AF5FB5" w:rsidRPr="00C90E06" w:rsidRDefault="00AF5FB5" w:rsidP="00AF5FB5">
            <w:pPr>
              <w:jc w:val="both"/>
              <w:rPr>
                <w:iCs/>
              </w:rPr>
            </w:pPr>
          </w:p>
          <w:p w14:paraId="28F1BA97" w14:textId="77777777" w:rsidR="00AF5FB5" w:rsidRPr="00C90E06" w:rsidRDefault="00AF5FB5" w:rsidP="00AF5FB5">
            <w:pPr>
              <w:jc w:val="both"/>
              <w:rPr>
                <w:iCs/>
              </w:rPr>
            </w:pPr>
            <w:r w:rsidRPr="00C90E06">
              <w:rPr>
                <w:iCs/>
              </w:rPr>
              <w:t xml:space="preserve">Output 4 – </w:t>
            </w:r>
          </w:p>
          <w:p w14:paraId="5C8FF218" w14:textId="77777777" w:rsidR="00AF5FB5" w:rsidRPr="00C90E06" w:rsidRDefault="00AF5FB5" w:rsidP="001E1A6E">
            <w:pPr>
              <w:pStyle w:val="ListParagraph"/>
              <w:numPr>
                <w:ilvl w:val="0"/>
                <w:numId w:val="7"/>
              </w:numPr>
              <w:jc w:val="both"/>
              <w:rPr>
                <w:iCs/>
              </w:rPr>
            </w:pPr>
            <w:r w:rsidRPr="00C90E06">
              <w:rPr>
                <w:iCs/>
              </w:rPr>
              <w:t xml:space="preserve">UNICEF undertook a monitoring visit in January to support the implementing partner as well as provide technical oversight in implementation in Bor. </w:t>
            </w:r>
          </w:p>
          <w:p w14:paraId="19476840" w14:textId="77777777" w:rsidR="00AF5FB5" w:rsidRPr="00C90E06" w:rsidRDefault="00AF5FB5" w:rsidP="001E1A6E">
            <w:pPr>
              <w:pStyle w:val="ListParagraph"/>
              <w:numPr>
                <w:ilvl w:val="0"/>
                <w:numId w:val="7"/>
              </w:numPr>
              <w:jc w:val="both"/>
              <w:rPr>
                <w:iCs/>
              </w:rPr>
            </w:pPr>
            <w:r w:rsidRPr="00C90E06">
              <w:rPr>
                <w:iCs/>
              </w:rPr>
              <w:t xml:space="preserve">UNICEF’s Communications and Child Protection teams held a focus group discussion with women and adolescent girls in Aweil. </w:t>
            </w:r>
          </w:p>
          <w:p w14:paraId="63771772" w14:textId="77777777" w:rsidR="00AF5FB5" w:rsidRPr="00C90E06" w:rsidRDefault="00AF5FB5" w:rsidP="001E1A6E">
            <w:pPr>
              <w:pStyle w:val="ListParagraph"/>
              <w:numPr>
                <w:ilvl w:val="0"/>
                <w:numId w:val="7"/>
              </w:numPr>
              <w:jc w:val="both"/>
              <w:rPr>
                <w:iCs/>
              </w:rPr>
            </w:pPr>
            <w:r w:rsidRPr="00C90E06">
              <w:rPr>
                <w:iCs/>
              </w:rPr>
              <w:t>Remote/online support include weekly activity reports after mid-March 2020 to update on activity progress and gaps.</w:t>
            </w:r>
          </w:p>
          <w:p w14:paraId="6ACB5318" w14:textId="77777777" w:rsidR="00AF5FB5" w:rsidRPr="00C90E06" w:rsidRDefault="00AF5FB5" w:rsidP="001E1A6E">
            <w:pPr>
              <w:pStyle w:val="ListParagraph"/>
              <w:numPr>
                <w:ilvl w:val="0"/>
                <w:numId w:val="7"/>
              </w:numPr>
              <w:jc w:val="both"/>
              <w:rPr>
                <w:iCs/>
              </w:rPr>
            </w:pPr>
            <w:r w:rsidRPr="00C90E06">
              <w:rPr>
                <w:iCs/>
              </w:rPr>
              <w:t xml:space="preserve">Online meetings have been held to orient implementing partners on adaptation on programme modalities and on the guidance notes on programme adaptation. </w:t>
            </w:r>
          </w:p>
          <w:p w14:paraId="153FA207" w14:textId="77777777" w:rsidR="00AF5FB5" w:rsidRPr="00C90E06" w:rsidRDefault="00AF5FB5" w:rsidP="001E1A6E">
            <w:pPr>
              <w:pStyle w:val="ListParagraph"/>
              <w:numPr>
                <w:ilvl w:val="0"/>
                <w:numId w:val="7"/>
              </w:numPr>
              <w:jc w:val="both"/>
              <w:rPr>
                <w:iCs/>
              </w:rPr>
            </w:pPr>
            <w:r w:rsidRPr="00C90E06">
              <w:rPr>
                <w:iCs/>
              </w:rPr>
              <w:t xml:space="preserve">Regular debriefs through phone and emails were conducted at the onset of COVID-19 to ensure </w:t>
            </w:r>
            <w:r w:rsidRPr="00C90E06">
              <w:rPr>
                <w:iCs/>
              </w:rPr>
              <w:lastRenderedPageBreak/>
              <w:t>continuum of services for survivors of GBV and adapt outreach modalities.</w:t>
            </w:r>
          </w:p>
          <w:p w14:paraId="3567EF7C" w14:textId="5B710294" w:rsidR="00AF5FB5" w:rsidRPr="00C90E06" w:rsidRDefault="00AF5FB5" w:rsidP="00AF5FB5">
            <w:pPr>
              <w:rPr>
                <w:i/>
              </w:rPr>
            </w:pPr>
          </w:p>
          <w:p w14:paraId="68DC370D" w14:textId="77777777" w:rsidR="007118F5" w:rsidRPr="00C90E06" w:rsidRDefault="007118F5" w:rsidP="00234A5E"/>
        </w:tc>
        <w:tc>
          <w:tcPr>
            <w:tcW w:w="3150" w:type="dxa"/>
            <w:shd w:val="clear" w:color="auto" w:fill="auto"/>
          </w:tcPr>
          <w:p w14:paraId="769EAEBE" w14:textId="77777777" w:rsidR="00A94362" w:rsidRPr="00C90E06" w:rsidRDefault="00A94362" w:rsidP="00A94362">
            <w:pPr>
              <w:jc w:val="both"/>
            </w:pPr>
            <w:r w:rsidRPr="00C90E06">
              <w:lastRenderedPageBreak/>
              <w:t xml:space="preserve">Do outcome indicators have baselines? </w:t>
            </w:r>
          </w:p>
          <w:p w14:paraId="40A2B020" w14:textId="0784A1E6" w:rsidR="00A94362" w:rsidRPr="00C90E06" w:rsidRDefault="00FA6E2A" w:rsidP="00A94362">
            <w:pPr>
              <w:jc w:val="both"/>
            </w:pPr>
            <w:r w:rsidRPr="00C90E06">
              <w:t xml:space="preserve">There is a baseline data existing for the participants of Communities Care model under Outcome 4. </w:t>
            </w:r>
            <w:r w:rsidRPr="00C90E06">
              <w:t>N</w:t>
            </w:r>
            <w:r w:rsidR="00A94362" w:rsidRPr="00C90E06">
              <w:t xml:space="preserve">o baseline </w:t>
            </w:r>
            <w:r w:rsidRPr="00C90E06">
              <w:t xml:space="preserve">data exists </w:t>
            </w:r>
            <w:r w:rsidR="00A94362" w:rsidRPr="00C90E06">
              <w:t xml:space="preserve">for </w:t>
            </w:r>
            <w:r w:rsidRPr="00C90E06">
              <w:t xml:space="preserve">the overall </w:t>
            </w:r>
            <w:r w:rsidR="00A94362" w:rsidRPr="00C90E06">
              <w:t xml:space="preserve">outcome </w:t>
            </w:r>
            <w:r w:rsidRPr="00C90E06">
              <w:t xml:space="preserve">level </w:t>
            </w:r>
            <w:r w:rsidR="00A94362" w:rsidRPr="00C90E06">
              <w:t>indicators. Data collection tool</w:t>
            </w:r>
            <w:r w:rsidRPr="00C90E06">
              <w:t>s</w:t>
            </w:r>
            <w:r w:rsidR="00A94362" w:rsidRPr="00C90E06">
              <w:t xml:space="preserve"> ha</w:t>
            </w:r>
            <w:r w:rsidRPr="00C90E06">
              <w:t>ve</w:t>
            </w:r>
            <w:r w:rsidR="00A94362" w:rsidRPr="00C90E06">
              <w:t xml:space="preserve"> been designed and the partners will conduct an assessment to capture the results against the outcome indicators. </w:t>
            </w:r>
          </w:p>
          <w:p w14:paraId="3A7F266A" w14:textId="77777777" w:rsidR="00A90107" w:rsidRPr="00C90E06" w:rsidRDefault="00A90107" w:rsidP="00A90107">
            <w:pPr>
              <w:jc w:val="both"/>
            </w:pPr>
          </w:p>
          <w:p w14:paraId="3AF170B9" w14:textId="77777777" w:rsidR="00A90107" w:rsidRPr="00C90E06" w:rsidRDefault="00A90107" w:rsidP="00A90107">
            <w:pPr>
              <w:jc w:val="both"/>
            </w:pPr>
            <w:r w:rsidRPr="00C90E06">
              <w:t xml:space="preserve">Has the project launched perception surveys or other community-based data collection? </w:t>
            </w:r>
          </w:p>
          <w:p w14:paraId="4749D761" w14:textId="5B7E363B" w:rsidR="007118F5" w:rsidRPr="00C90E06" w:rsidRDefault="00A90107" w:rsidP="00A90107">
            <w:r w:rsidRPr="00C90E06">
              <w:t>No perception survey is initiated.</w:t>
            </w:r>
          </w:p>
        </w:tc>
      </w:tr>
      <w:tr w:rsidR="006C1819" w:rsidRPr="00C90E06" w14:paraId="27203492" w14:textId="77777777" w:rsidTr="006F369A">
        <w:tc>
          <w:tcPr>
            <w:tcW w:w="6097" w:type="dxa"/>
            <w:shd w:val="clear" w:color="auto" w:fill="auto"/>
          </w:tcPr>
          <w:p w14:paraId="69E27D03" w14:textId="77777777" w:rsidR="006C1819" w:rsidRPr="00C90E06" w:rsidRDefault="003D4CD7" w:rsidP="005F439F">
            <w:r w:rsidRPr="00C90E06">
              <w:rPr>
                <w:b/>
                <w:bCs/>
                <w:u w:val="single"/>
              </w:rPr>
              <w:lastRenderedPageBreak/>
              <w:t>E</w:t>
            </w:r>
            <w:r w:rsidR="006C1819" w:rsidRPr="00C90E06">
              <w:rPr>
                <w:b/>
                <w:bCs/>
                <w:u w:val="single"/>
              </w:rPr>
              <w:t>valuation:</w:t>
            </w:r>
            <w:r w:rsidR="006C1819" w:rsidRPr="00C90E06">
              <w:t xml:space="preserve"> </w:t>
            </w:r>
            <w:r w:rsidR="007118F5" w:rsidRPr="00C90E06">
              <w:t>Has an evaluation been conducted during the reporting period?</w:t>
            </w:r>
          </w:p>
          <w:p w14:paraId="30E2DDCB" w14:textId="60C428C4" w:rsidR="007118F5" w:rsidRPr="00C90E06" w:rsidRDefault="006D625F" w:rsidP="007118F5">
            <w:r w:rsidRPr="00C90E06">
              <w:t>No</w:t>
            </w:r>
          </w:p>
        </w:tc>
        <w:tc>
          <w:tcPr>
            <w:tcW w:w="3150" w:type="dxa"/>
            <w:shd w:val="clear" w:color="auto" w:fill="auto"/>
          </w:tcPr>
          <w:p w14:paraId="0A637856" w14:textId="6555A7DB" w:rsidR="006C1819" w:rsidRPr="00C90E06" w:rsidRDefault="004D141E" w:rsidP="00AA7CEB">
            <w:pPr>
              <w:jc w:val="both"/>
            </w:pPr>
            <w:r w:rsidRPr="00C90E06">
              <w:t>Evaluation budget</w:t>
            </w:r>
            <w:r w:rsidR="007118F5" w:rsidRPr="00C90E06">
              <w:t xml:space="preserve"> (response required)</w:t>
            </w:r>
            <w:r w:rsidRPr="00C90E06">
              <w:t xml:space="preserve">:  </w:t>
            </w:r>
            <w:r w:rsidR="004D2C5B" w:rsidRPr="00C90E06">
              <w:t>$150,000 (including M&amp;E costs)</w:t>
            </w:r>
          </w:p>
          <w:p w14:paraId="250C2893" w14:textId="77777777" w:rsidR="004D141E" w:rsidRPr="00C90E06" w:rsidRDefault="004D141E" w:rsidP="00E76CA1"/>
          <w:p w14:paraId="5E7D651E" w14:textId="59B12470" w:rsidR="004D141E" w:rsidRPr="00C90E06" w:rsidRDefault="006F369A" w:rsidP="00AA7CEB">
            <w:pPr>
              <w:jc w:val="both"/>
            </w:pPr>
            <w:r w:rsidRPr="00C90E06">
              <w:t>E</w:t>
            </w:r>
            <w:r w:rsidR="004D141E" w:rsidRPr="00C90E06">
              <w:t xml:space="preserve">valuation preparations: </w:t>
            </w:r>
            <w:r w:rsidR="006D625F" w:rsidRPr="00C90E06">
              <w:t xml:space="preserve">As the project baseline has not been conducted, the </w:t>
            </w:r>
            <w:r w:rsidR="004D2C5B" w:rsidRPr="00C90E06">
              <w:t>evaluation will factor in a methodology to capture the progress during the project period and results achieved, and lessons learned</w:t>
            </w:r>
          </w:p>
          <w:p w14:paraId="0B9D2850" w14:textId="77777777" w:rsidR="00156C4C" w:rsidRPr="00C90E06" w:rsidRDefault="00156C4C" w:rsidP="00E76CA1"/>
        </w:tc>
      </w:tr>
      <w:tr w:rsidR="00997347" w:rsidRPr="00C90E06" w14:paraId="7A0799D1" w14:textId="77777777" w:rsidTr="006F369A">
        <w:tc>
          <w:tcPr>
            <w:tcW w:w="6097" w:type="dxa"/>
            <w:shd w:val="clear" w:color="auto" w:fill="auto"/>
          </w:tcPr>
          <w:p w14:paraId="198D7EA9" w14:textId="5FB5A6FE" w:rsidR="00997347" w:rsidRPr="00C90E06" w:rsidRDefault="00513612" w:rsidP="00F841EC">
            <w:r w:rsidRPr="00C90E06">
              <w:rPr>
                <w:b/>
                <w:bCs/>
                <w:u w:val="single"/>
              </w:rPr>
              <w:t>Catalytic effects</w:t>
            </w:r>
            <w:r w:rsidR="005F439F" w:rsidRPr="00C90E06">
              <w:rPr>
                <w:b/>
                <w:bCs/>
                <w:u w:val="single"/>
              </w:rPr>
              <w:t xml:space="preserve"> (financial)</w:t>
            </w:r>
            <w:r w:rsidRPr="00C90E06">
              <w:rPr>
                <w:b/>
                <w:bCs/>
              </w:rPr>
              <w:t>:</w:t>
            </w:r>
            <w:r w:rsidRPr="00C90E06">
              <w:t xml:space="preserve"> </w:t>
            </w:r>
          </w:p>
        </w:tc>
        <w:tc>
          <w:tcPr>
            <w:tcW w:w="3150" w:type="dxa"/>
            <w:shd w:val="clear" w:color="auto" w:fill="auto"/>
          </w:tcPr>
          <w:p w14:paraId="6E149807" w14:textId="76D5CD0F" w:rsidR="00340907" w:rsidRPr="00C90E06" w:rsidRDefault="006F369A" w:rsidP="00340907">
            <w:pPr>
              <w:jc w:val="both"/>
            </w:pPr>
            <w:r w:rsidRPr="00C90E06">
              <w:t xml:space="preserve">SDC: </w:t>
            </w:r>
            <w:r w:rsidR="00340907" w:rsidRPr="00C90E06">
              <w:t>$586,000 (UNFPA)</w:t>
            </w:r>
          </w:p>
          <w:p w14:paraId="271925F4" w14:textId="73469F20" w:rsidR="00340907" w:rsidRPr="00C90E06" w:rsidRDefault="00340907" w:rsidP="00340907">
            <w:pPr>
              <w:jc w:val="both"/>
            </w:pPr>
            <w:r w:rsidRPr="00C90E06">
              <w:t>ECHO</w:t>
            </w:r>
            <w:r w:rsidR="006F369A" w:rsidRPr="00C90E06">
              <w:t xml:space="preserve">: </w:t>
            </w:r>
            <w:r w:rsidRPr="00C90E06">
              <w:t>100,000 (UNICEF)</w:t>
            </w:r>
          </w:p>
          <w:p w14:paraId="2AE188C7" w14:textId="2F2F3CBF" w:rsidR="00340907" w:rsidRPr="00C90E06" w:rsidRDefault="00340907" w:rsidP="00340907">
            <w:pPr>
              <w:jc w:val="both"/>
            </w:pPr>
            <w:r w:rsidRPr="00C90E06">
              <w:t>OFDA</w:t>
            </w:r>
            <w:r w:rsidR="006F369A" w:rsidRPr="00C90E06">
              <w:t xml:space="preserve">: </w:t>
            </w:r>
            <w:r w:rsidRPr="00C90E06">
              <w:t>100,000 (UNICEF)</w:t>
            </w:r>
          </w:p>
          <w:p w14:paraId="55CB79AC" w14:textId="363017FA" w:rsidR="00156C4C" w:rsidRPr="00C90E06" w:rsidRDefault="00156C4C" w:rsidP="00156C4C"/>
        </w:tc>
      </w:tr>
      <w:tr w:rsidR="002C187A" w:rsidRPr="00C90E06" w14:paraId="5E21C55B" w14:textId="77777777" w:rsidTr="006F369A">
        <w:tc>
          <w:tcPr>
            <w:tcW w:w="6097" w:type="dxa"/>
            <w:shd w:val="clear" w:color="auto" w:fill="auto"/>
          </w:tcPr>
          <w:p w14:paraId="10A4DB11" w14:textId="46EC5908" w:rsidR="007F7257" w:rsidRPr="00C90E06" w:rsidRDefault="00F841EC" w:rsidP="007F7257">
            <w:pPr>
              <w:ind w:hanging="15"/>
              <w:rPr>
                <w:b/>
                <w:bCs/>
                <w:u w:val="single"/>
              </w:rPr>
            </w:pPr>
            <w:r w:rsidRPr="00C90E06">
              <w:rPr>
                <w:b/>
                <w:bCs/>
                <w:u w:val="single"/>
              </w:rPr>
              <w:t xml:space="preserve">Other </w:t>
            </w:r>
            <w:r w:rsidR="002C187A" w:rsidRPr="00C90E06">
              <w:rPr>
                <w:b/>
                <w:bCs/>
                <w:u w:val="single"/>
              </w:rPr>
              <w:t>issues concerning project implementation</w:t>
            </w:r>
          </w:p>
          <w:p w14:paraId="1F74E3A2" w14:textId="77777777" w:rsidR="002C187A" w:rsidRPr="00C90E06" w:rsidRDefault="002C187A" w:rsidP="00F841EC">
            <w:pPr>
              <w:ind w:hanging="15"/>
              <w:rPr>
                <w:b/>
                <w:bCs/>
                <w:u w:val="single"/>
              </w:rPr>
            </w:pPr>
          </w:p>
          <w:p w14:paraId="624D8A20" w14:textId="77777777" w:rsidR="002C187A" w:rsidRPr="00C90E06" w:rsidRDefault="002C187A" w:rsidP="009A1CD3">
            <w:pPr>
              <w:rPr>
                <w:b/>
                <w:bCs/>
                <w:u w:val="single"/>
              </w:rPr>
            </w:pPr>
          </w:p>
        </w:tc>
        <w:tc>
          <w:tcPr>
            <w:tcW w:w="3150" w:type="dxa"/>
            <w:shd w:val="clear" w:color="auto" w:fill="auto"/>
          </w:tcPr>
          <w:p w14:paraId="4FA9649F" w14:textId="77777777" w:rsidR="00340907" w:rsidRPr="00C90E06" w:rsidRDefault="00340907" w:rsidP="00340907"/>
          <w:p w14:paraId="30861815" w14:textId="77777777" w:rsidR="00340907" w:rsidRPr="00C90E06" w:rsidRDefault="00340907" w:rsidP="00340907">
            <w:pPr>
              <w:jc w:val="both"/>
              <w:rPr>
                <w:iCs/>
              </w:rPr>
            </w:pPr>
            <w:r w:rsidRPr="00C90E06">
              <w:t xml:space="preserve">Due to COVID-19 pandemic </w:t>
            </w:r>
            <w:r w:rsidRPr="00C90E06">
              <w:rPr>
                <w:iCs/>
              </w:rPr>
              <w:t xml:space="preserve">delayed implementation of some planned activities. Additionally, the project had to modify their implementation method to comply with the Government issued COVID-19 guidelines.  </w:t>
            </w:r>
          </w:p>
          <w:p w14:paraId="780475A2" w14:textId="7D696735" w:rsidR="002C187A" w:rsidRPr="00C90E06" w:rsidRDefault="002C187A" w:rsidP="00E76CA1"/>
        </w:tc>
      </w:tr>
    </w:tbl>
    <w:p w14:paraId="509D177D" w14:textId="77777777" w:rsidR="00673D6E" w:rsidRPr="00C90E06" w:rsidRDefault="00673D6E" w:rsidP="00E76CA1">
      <w:pPr>
        <w:rPr>
          <w:b/>
        </w:rPr>
      </w:pPr>
    </w:p>
    <w:p w14:paraId="3536F884" w14:textId="39AF0656" w:rsidR="001B54AC" w:rsidRPr="00C90E06" w:rsidRDefault="00E83A40" w:rsidP="009C61FD">
      <w:pPr>
        <w:shd w:val="clear" w:color="auto" w:fill="8EAADB" w:themeFill="accent1" w:themeFillTint="99"/>
        <w:ind w:hanging="810"/>
        <w:jc w:val="both"/>
        <w:rPr>
          <w:b/>
          <w:u w:val="single"/>
        </w:rPr>
      </w:pPr>
      <w:r w:rsidRPr="00C90E06">
        <w:rPr>
          <w:b/>
          <w:u w:val="single"/>
        </w:rPr>
        <w:t>PART IV: COVID-19</w:t>
      </w:r>
    </w:p>
    <w:p w14:paraId="3A7A0ECE" w14:textId="6EF81807" w:rsidR="00E83A40" w:rsidRPr="00C90E06" w:rsidRDefault="00257569" w:rsidP="004560FE">
      <w:pPr>
        <w:pStyle w:val="ListParagraph"/>
        <w:numPr>
          <w:ilvl w:val="0"/>
          <w:numId w:val="13"/>
        </w:numPr>
      </w:pPr>
      <w:r w:rsidRPr="00C90E06">
        <w:t xml:space="preserve">Monetary adjustments: </w:t>
      </w:r>
      <w:r w:rsidR="00E83A40" w:rsidRPr="00C90E06">
        <w:t>Please indicate the total amount in USD of adjustments due to COVID-19:</w:t>
      </w:r>
      <w:r w:rsidR="004560FE" w:rsidRPr="00C90E06">
        <w:t xml:space="preserve"> </w:t>
      </w:r>
      <w:r w:rsidR="00C55E8E" w:rsidRPr="00C90E06">
        <w:t>$</w:t>
      </w:r>
      <w:r w:rsidR="00380751" w:rsidRPr="00C90E06">
        <w:t xml:space="preserve"> None</w:t>
      </w:r>
    </w:p>
    <w:p w14:paraId="50938D6B" w14:textId="77777777" w:rsidR="00E83A40" w:rsidRPr="00C90E06" w:rsidRDefault="00E83A40" w:rsidP="004560FE"/>
    <w:p w14:paraId="42BC2B4F" w14:textId="77C65F92" w:rsidR="00E83A40" w:rsidRPr="00C90E06" w:rsidRDefault="00C55E8E" w:rsidP="004560FE">
      <w:pPr>
        <w:pStyle w:val="ListParagraph"/>
        <w:numPr>
          <w:ilvl w:val="0"/>
          <w:numId w:val="13"/>
        </w:numPr>
      </w:pPr>
      <w:r w:rsidRPr="00C90E06">
        <w:t xml:space="preserve">Non-monetary adjustments: </w:t>
      </w:r>
      <w:r w:rsidR="00E83A40" w:rsidRPr="00C90E06">
        <w:t>Please indicate any adjustments</w:t>
      </w:r>
      <w:r w:rsidR="00257569" w:rsidRPr="00C90E06">
        <w:t xml:space="preserve"> to the project</w:t>
      </w:r>
      <w:r w:rsidR="00E83A40" w:rsidRPr="00C90E06">
        <w:t xml:space="preserve"> which did not have any financial implications:</w:t>
      </w:r>
    </w:p>
    <w:p w14:paraId="412DABD7" w14:textId="5819DBB5" w:rsidR="00380751" w:rsidRPr="00C90E06" w:rsidRDefault="004560FE" w:rsidP="004560FE">
      <w:r w:rsidRPr="00C90E06">
        <w:t xml:space="preserve">All partners adjusted the </w:t>
      </w:r>
      <w:r w:rsidR="00380751" w:rsidRPr="00C90E06">
        <w:t xml:space="preserve">implementation approach to adhere to the guidelines issued by the government of South Sudan regarding COVID-19 preventative measures. To adhere to these following measures were taken – </w:t>
      </w:r>
    </w:p>
    <w:p w14:paraId="380A6E7F" w14:textId="77777777" w:rsidR="00380751" w:rsidRPr="00C90E06" w:rsidRDefault="00380751" w:rsidP="001E1A6E">
      <w:pPr>
        <w:pStyle w:val="ListParagraph"/>
        <w:numPr>
          <w:ilvl w:val="0"/>
          <w:numId w:val="10"/>
        </w:numPr>
      </w:pPr>
      <w:r w:rsidRPr="00C90E06">
        <w:t xml:space="preserve">The trainings were staggered to not include more than 15 members in each training </w:t>
      </w:r>
    </w:p>
    <w:p w14:paraId="6AEDDDD5" w14:textId="534089B2" w:rsidR="00380751" w:rsidRPr="00C90E06" w:rsidRDefault="00380751" w:rsidP="001E1A6E">
      <w:pPr>
        <w:pStyle w:val="ListParagraph"/>
        <w:numPr>
          <w:ilvl w:val="0"/>
          <w:numId w:val="10"/>
        </w:numPr>
      </w:pPr>
      <w:r w:rsidRPr="00C90E06">
        <w:t xml:space="preserve">The trainings would be conducted in one hall wherein the participants were split into two groups and facilitation conducted separately.  Additionally, the training facilitators ensured to echo the message of COVID-19 urging participants to adhere to guidelines as well as take protective and preventative actions.  </w:t>
      </w:r>
    </w:p>
    <w:p w14:paraId="6DEF485B" w14:textId="0472FAB3" w:rsidR="00380751" w:rsidRPr="00C90E06" w:rsidRDefault="00380751" w:rsidP="001E1A6E">
      <w:pPr>
        <w:pStyle w:val="ListParagraph"/>
        <w:numPr>
          <w:ilvl w:val="0"/>
          <w:numId w:val="10"/>
        </w:numPr>
      </w:pPr>
      <w:r w:rsidRPr="00C90E06">
        <w:t>Handwashing facilities were installed at all the GBV service provision centres, including OSC, WGFS, JCC, peace huts</w:t>
      </w:r>
    </w:p>
    <w:p w14:paraId="2679938C" w14:textId="5E0DF4FE" w:rsidR="00095C73" w:rsidRPr="00C90E06" w:rsidRDefault="00380751" w:rsidP="001E1A6E">
      <w:pPr>
        <w:pStyle w:val="ListParagraph"/>
        <w:numPr>
          <w:ilvl w:val="0"/>
          <w:numId w:val="10"/>
        </w:numPr>
      </w:pPr>
      <w:r w:rsidRPr="00C90E06">
        <w:t>Community mobilization was</w:t>
      </w:r>
      <w:r w:rsidR="00175969" w:rsidRPr="00C90E06">
        <w:t xml:space="preserve"> adapted to reach through </w:t>
      </w:r>
      <w:proofErr w:type="gramStart"/>
      <w:r w:rsidR="00095C73" w:rsidRPr="00C90E06">
        <w:t>mega phones</w:t>
      </w:r>
      <w:proofErr w:type="gramEnd"/>
      <w:r w:rsidR="00095C73" w:rsidRPr="00C90E06">
        <w:t xml:space="preserve">, and radio programmes instead of previously used </w:t>
      </w:r>
      <w:r w:rsidR="006C35C8" w:rsidRPr="00C90E06">
        <w:t>in-person community outreach</w:t>
      </w:r>
    </w:p>
    <w:p w14:paraId="587C9767" w14:textId="65C190CE" w:rsidR="003F4921" w:rsidRPr="00C90E06" w:rsidRDefault="003F4921" w:rsidP="001E1A6E">
      <w:pPr>
        <w:pStyle w:val="ListParagraph"/>
        <w:numPr>
          <w:ilvl w:val="0"/>
          <w:numId w:val="10"/>
        </w:numPr>
      </w:pPr>
      <w:r w:rsidRPr="00C90E06">
        <w:lastRenderedPageBreak/>
        <w:t xml:space="preserve">At the GBV service delivery points, staff rotations were set up to reduce staff footprint while continuing the services </w:t>
      </w:r>
    </w:p>
    <w:p w14:paraId="3779C9A2" w14:textId="77777777" w:rsidR="00257569" w:rsidRPr="00C90E06" w:rsidRDefault="00257569" w:rsidP="00257569"/>
    <w:p w14:paraId="13758056" w14:textId="0C6D7726" w:rsidR="00257569" w:rsidRPr="00C90E06" w:rsidRDefault="00257569" w:rsidP="007014C8">
      <w:pPr>
        <w:pStyle w:val="ListParagraph"/>
        <w:numPr>
          <w:ilvl w:val="0"/>
          <w:numId w:val="2"/>
        </w:numPr>
      </w:pPr>
      <w:r w:rsidRPr="00C90E06">
        <w:t xml:space="preserve">Please select all categories which describe the adjustments made to the project </w:t>
      </w:r>
    </w:p>
    <w:p w14:paraId="2697C025" w14:textId="270AE82B" w:rsidR="00257569" w:rsidRPr="00C90E06" w:rsidRDefault="00F20E22" w:rsidP="00257569">
      <w:sdt>
        <w:sdtPr>
          <w:id w:val="402566072"/>
          <w14:checkbox>
            <w14:checked w14:val="0"/>
            <w14:checkedState w14:val="2612" w14:font="MS Gothic"/>
            <w14:uncheckedState w14:val="2610" w14:font="MS Gothic"/>
          </w14:checkbox>
        </w:sdtPr>
        <w:sdtContent>
          <w:r w:rsidR="00257569" w:rsidRPr="00C90E06">
            <w:rPr>
              <w:rFonts w:ascii="Segoe UI Symbol" w:eastAsia="MS Gothic" w:hAnsi="Segoe UI Symbol" w:cs="Segoe UI Symbol"/>
            </w:rPr>
            <w:t>☐</w:t>
          </w:r>
        </w:sdtContent>
      </w:sdt>
      <w:r w:rsidR="00257569" w:rsidRPr="00C90E06">
        <w:t xml:space="preserve"> Reinforce crisis management capacities and communications</w:t>
      </w:r>
    </w:p>
    <w:p w14:paraId="26B30B5B" w14:textId="3FBCAB42" w:rsidR="00257569" w:rsidRPr="00C90E06" w:rsidRDefault="00F20E22" w:rsidP="00257569">
      <w:sdt>
        <w:sdtPr>
          <w:id w:val="1706904896"/>
          <w14:checkbox>
            <w14:checked w14:val="1"/>
            <w14:checkedState w14:val="2612" w14:font="MS Gothic"/>
            <w14:uncheckedState w14:val="2610" w14:font="MS Gothic"/>
          </w14:checkbox>
        </w:sdtPr>
        <w:sdtContent>
          <w:r w:rsidR="001E142E" w:rsidRPr="00C90E06">
            <w:rPr>
              <w:rFonts w:ascii="Segoe UI Symbol" w:eastAsia="MS Gothic" w:hAnsi="Segoe UI Symbol" w:cs="Segoe UI Symbol"/>
            </w:rPr>
            <w:t>☒</w:t>
          </w:r>
        </w:sdtContent>
      </w:sdt>
      <w:r w:rsidR="00257569" w:rsidRPr="00C90E06">
        <w:t xml:space="preserve"> Ensure inclusive and equitable response and recovery</w:t>
      </w:r>
    </w:p>
    <w:p w14:paraId="3DC77993" w14:textId="7C388445" w:rsidR="00257569" w:rsidRPr="00C90E06" w:rsidRDefault="00F20E22" w:rsidP="00257569">
      <w:sdt>
        <w:sdtPr>
          <w:id w:val="1028075960"/>
          <w14:checkbox>
            <w14:checked w14:val="0"/>
            <w14:checkedState w14:val="2612" w14:font="MS Gothic"/>
            <w14:uncheckedState w14:val="2610" w14:font="MS Gothic"/>
          </w14:checkbox>
        </w:sdtPr>
        <w:sdtContent>
          <w:r w:rsidR="00257569" w:rsidRPr="00C90E06">
            <w:rPr>
              <w:rFonts w:ascii="Segoe UI Symbol" w:eastAsia="MS Gothic" w:hAnsi="Segoe UI Symbol" w:cs="Segoe UI Symbol"/>
            </w:rPr>
            <w:t>☐</w:t>
          </w:r>
        </w:sdtContent>
      </w:sdt>
      <w:r w:rsidR="00257569" w:rsidRPr="00C90E06">
        <w:t xml:space="preserve"> Strengthen inter-community social cohesion and border management</w:t>
      </w:r>
    </w:p>
    <w:p w14:paraId="545EB12E" w14:textId="77777777" w:rsidR="00257569" w:rsidRPr="00C90E06" w:rsidRDefault="00F20E22" w:rsidP="00257569">
      <w:sdt>
        <w:sdtPr>
          <w:id w:val="1433550173"/>
          <w14:checkbox>
            <w14:checked w14:val="0"/>
            <w14:checkedState w14:val="2612" w14:font="MS Gothic"/>
            <w14:uncheckedState w14:val="2610" w14:font="MS Gothic"/>
          </w14:checkbox>
        </w:sdtPr>
        <w:sdtContent>
          <w:r w:rsidR="00257569" w:rsidRPr="00C90E06">
            <w:rPr>
              <w:rFonts w:ascii="Segoe UI Symbol" w:eastAsia="MS Gothic" w:hAnsi="Segoe UI Symbol" w:cs="Segoe UI Symbol"/>
            </w:rPr>
            <w:t>☐</w:t>
          </w:r>
        </w:sdtContent>
      </w:sdt>
      <w:r w:rsidR="00257569" w:rsidRPr="00C90E06">
        <w:t xml:space="preserve"> Counter hate speech and stigmatization and address trauma</w:t>
      </w:r>
    </w:p>
    <w:p w14:paraId="1FEA3E7A" w14:textId="45C12543" w:rsidR="00257569" w:rsidRPr="00C90E06" w:rsidRDefault="00F20E22" w:rsidP="00257569">
      <w:sdt>
        <w:sdtPr>
          <w:id w:val="-197162951"/>
          <w14:checkbox>
            <w14:checked w14:val="0"/>
            <w14:checkedState w14:val="2612" w14:font="MS Gothic"/>
            <w14:uncheckedState w14:val="2610" w14:font="MS Gothic"/>
          </w14:checkbox>
        </w:sdtPr>
        <w:sdtContent>
          <w:r w:rsidR="00257569" w:rsidRPr="00C90E06">
            <w:rPr>
              <w:rFonts w:ascii="Segoe UI Symbol" w:eastAsia="MS Gothic" w:hAnsi="Segoe UI Symbol" w:cs="Segoe UI Symbol"/>
            </w:rPr>
            <w:t>☐</w:t>
          </w:r>
        </w:sdtContent>
      </w:sdt>
      <w:r w:rsidR="00257569" w:rsidRPr="00C90E06">
        <w:t xml:space="preserve"> Support the SG’s call for a global ceasefire</w:t>
      </w:r>
    </w:p>
    <w:p w14:paraId="57416BD3" w14:textId="06202FB8" w:rsidR="00257569" w:rsidRPr="00C90E06" w:rsidRDefault="00F20E22" w:rsidP="001B54AC">
      <w:sdt>
        <w:sdtPr>
          <w:id w:val="810906333"/>
          <w14:checkbox>
            <w14:checked w14:val="0"/>
            <w14:checkedState w14:val="2612" w14:font="MS Gothic"/>
            <w14:uncheckedState w14:val="2610" w14:font="MS Gothic"/>
          </w14:checkbox>
        </w:sdtPr>
        <w:sdtContent>
          <w:r w:rsidR="00257569" w:rsidRPr="00C90E06">
            <w:rPr>
              <w:rFonts w:ascii="Segoe UI Symbol" w:eastAsia="MS Gothic" w:hAnsi="Segoe UI Symbol" w:cs="Segoe UI Symbol"/>
            </w:rPr>
            <w:t>☐</w:t>
          </w:r>
        </w:sdtContent>
      </w:sdt>
      <w:r w:rsidR="00257569" w:rsidRPr="00C90E06">
        <w:t xml:space="preserve"> Other (please describe): </w:t>
      </w:r>
    </w:p>
    <w:p w14:paraId="16206367" w14:textId="7627270D" w:rsidR="00257569" w:rsidRPr="00C90E06" w:rsidRDefault="00257569" w:rsidP="00257569">
      <w:pPr>
        <w:ind w:left="2160"/>
      </w:pPr>
    </w:p>
    <w:p w14:paraId="5E73D539" w14:textId="47309D40" w:rsidR="00257569" w:rsidRPr="00C90E06" w:rsidRDefault="00257569" w:rsidP="006F369A"/>
    <w:p w14:paraId="14363678" w14:textId="03D25EEA" w:rsidR="00257569" w:rsidRPr="00C90E06" w:rsidRDefault="00257569" w:rsidP="00257569">
      <w:pPr>
        <w:sectPr w:rsidR="00257569" w:rsidRPr="00C90E06" w:rsidSect="0078600B">
          <w:pgSz w:w="11906" w:h="16838"/>
          <w:pgMar w:top="1440" w:right="1800" w:bottom="1440" w:left="1800" w:header="720" w:footer="720" w:gutter="0"/>
          <w:cols w:space="720"/>
          <w:docGrid w:linePitch="360"/>
        </w:sectPr>
      </w:pPr>
    </w:p>
    <w:p w14:paraId="7ED44B0B" w14:textId="7E6D504D" w:rsidR="00206D45" w:rsidRPr="00C90E06" w:rsidRDefault="00206D45" w:rsidP="00206D45">
      <w:pPr>
        <w:ind w:firstLine="990"/>
        <w:jc w:val="both"/>
        <w:rPr>
          <w:b/>
          <w:u w:val="single"/>
        </w:rPr>
      </w:pPr>
      <w:r w:rsidRPr="00C90E06">
        <w:rPr>
          <w:b/>
          <w:u w:val="single"/>
        </w:rPr>
        <w:lastRenderedPageBreak/>
        <w:t>PART V:</w:t>
      </w:r>
      <w:r w:rsidR="004E3B3E" w:rsidRPr="00C90E06">
        <w:rPr>
          <w:b/>
          <w:u w:val="single"/>
        </w:rPr>
        <w:t xml:space="preserve"> INDICATOR BASED PERFORMANCE ASSESSMENT</w:t>
      </w:r>
    </w:p>
    <w:p w14:paraId="314FE0B4" w14:textId="77777777" w:rsidR="00206D45" w:rsidRPr="00C90E06" w:rsidRDefault="00206D45" w:rsidP="0078600B">
      <w:pPr>
        <w:jc w:val="both"/>
        <w:rPr>
          <w:b/>
          <w:i/>
          <w:lang w:val="en-US" w:eastAsia="en-US"/>
        </w:rPr>
      </w:pPr>
    </w:p>
    <w:p w14:paraId="606C2F08" w14:textId="56D322D2" w:rsidR="004E3B3E" w:rsidRPr="00C90E06" w:rsidRDefault="004E3B3E" w:rsidP="0078600B">
      <w:pPr>
        <w:jc w:val="both"/>
        <w:rPr>
          <w:bCs/>
          <w:lang w:val="en-US" w:eastAsia="en-US"/>
        </w:rPr>
      </w:pPr>
      <w:r w:rsidRPr="00C90E06">
        <w:rPr>
          <w:bCs/>
          <w:i/>
          <w:lang w:val="en-US" w:eastAsia="en-US"/>
        </w:rPr>
        <w:t xml:space="preserve">Using the </w:t>
      </w:r>
      <w:r w:rsidRPr="00C90E06">
        <w:rPr>
          <w:b/>
          <w:bCs/>
          <w:i/>
          <w:lang w:val="en-US" w:eastAsia="en-US"/>
        </w:rPr>
        <w:t>Project Results Framework as per the approved project document</w:t>
      </w:r>
      <w:r w:rsidR="003235DF" w:rsidRPr="00C90E06">
        <w:rPr>
          <w:b/>
          <w:bCs/>
          <w:i/>
          <w:lang w:val="en-US" w:eastAsia="en-US"/>
        </w:rPr>
        <w:t xml:space="preserve"> or any amendments</w:t>
      </w:r>
      <w:r w:rsidRPr="00C90E06">
        <w:rPr>
          <w:bCs/>
          <w:i/>
          <w:lang w:val="en-US" w:eastAsia="en-US"/>
        </w:rPr>
        <w:t xml:space="preserve">- provide an update on the achievement of </w:t>
      </w:r>
      <w:r w:rsidRPr="00C90E06">
        <w:rPr>
          <w:b/>
          <w:i/>
          <w:lang w:val="en-US" w:eastAsia="en-US"/>
        </w:rPr>
        <w:t>key indicators</w:t>
      </w:r>
      <w:r w:rsidRPr="00C90E06">
        <w:rPr>
          <w:bCs/>
          <w:i/>
          <w:lang w:val="en-US" w:eastAsia="en-US"/>
        </w:rPr>
        <w:t xml:space="preserve"> at both the outcome and output level in the table below</w:t>
      </w:r>
      <w:r w:rsidR="001A1E86" w:rsidRPr="00C90E06">
        <w:rPr>
          <w:bCs/>
          <w:i/>
          <w:lang w:val="en-US" w:eastAsia="en-US"/>
        </w:rPr>
        <w:t xml:space="preserve"> (if your project has more indicators than provided in the table, select the most relevant ones with most relevant progress to highlight)</w:t>
      </w:r>
      <w:r w:rsidRPr="00C90E06">
        <w:rPr>
          <w:bCs/>
          <w:i/>
          <w:lang w:val="en-US" w:eastAsia="en-US"/>
        </w:rPr>
        <w:t>. Where it has not been possible to collect data on indicators, state this and provide any explanation.</w:t>
      </w:r>
      <w:r w:rsidRPr="00C90E06">
        <w:rPr>
          <w:bCs/>
          <w:lang w:val="en-US" w:eastAsia="en-US"/>
        </w:rPr>
        <w:t xml:space="preserve"> </w:t>
      </w:r>
      <w:r w:rsidR="006A07CA" w:rsidRPr="00C90E06">
        <w:rPr>
          <w:bCs/>
          <w:lang w:val="en-US" w:eastAsia="en-US"/>
        </w:rPr>
        <w:t xml:space="preserve">Provide gender and age disaggregated data. </w:t>
      </w:r>
      <w:r w:rsidRPr="00C90E06">
        <w:rPr>
          <w:bCs/>
          <w:lang w:val="en-US" w:eastAsia="en-US"/>
        </w:rPr>
        <w:t>(</w:t>
      </w:r>
      <w:r w:rsidR="00C13590" w:rsidRPr="00C90E06">
        <w:rPr>
          <w:bCs/>
          <w:lang w:val="en-US" w:eastAsia="en-US"/>
        </w:rPr>
        <w:t>30</w:t>
      </w:r>
      <w:r w:rsidRPr="00C90E06">
        <w:rPr>
          <w:bCs/>
          <w:lang w:val="en-US" w:eastAsia="en-US"/>
        </w:rPr>
        <w:t>0 characters max per entry)</w:t>
      </w:r>
    </w:p>
    <w:p w14:paraId="7CEBA4A2" w14:textId="2630FD69" w:rsidR="00E87EF8" w:rsidRPr="00C90E06" w:rsidRDefault="00E87EF8" w:rsidP="0078600B">
      <w:pPr>
        <w:jc w:val="both"/>
        <w:rPr>
          <w:bCs/>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497"/>
        <w:gridCol w:w="1260"/>
        <w:gridCol w:w="1463"/>
        <w:gridCol w:w="1867"/>
        <w:gridCol w:w="1733"/>
        <w:gridCol w:w="4770"/>
      </w:tblGrid>
      <w:tr w:rsidR="00E87EF8" w:rsidRPr="00C90E06" w14:paraId="15C0D37F" w14:textId="77777777" w:rsidTr="00C82888">
        <w:trPr>
          <w:tblHeader/>
        </w:trPr>
        <w:tc>
          <w:tcPr>
            <w:tcW w:w="1530" w:type="dxa"/>
          </w:tcPr>
          <w:p w14:paraId="6BEA7E15" w14:textId="77777777" w:rsidR="00E87EF8" w:rsidRPr="00C90E06" w:rsidRDefault="00E87EF8" w:rsidP="00C82888">
            <w:pPr>
              <w:jc w:val="both"/>
              <w:rPr>
                <w:b/>
                <w:lang w:val="en-US" w:eastAsia="en-US"/>
              </w:rPr>
            </w:pPr>
          </w:p>
        </w:tc>
        <w:tc>
          <w:tcPr>
            <w:tcW w:w="2497" w:type="dxa"/>
            <w:shd w:val="clear" w:color="auto" w:fill="EEECE1"/>
          </w:tcPr>
          <w:p w14:paraId="1DF3E77D" w14:textId="77777777" w:rsidR="00E87EF8" w:rsidRPr="00C90E06" w:rsidRDefault="00E87EF8" w:rsidP="00C82888">
            <w:pPr>
              <w:jc w:val="both"/>
              <w:rPr>
                <w:b/>
                <w:lang w:val="en-US" w:eastAsia="en-US"/>
              </w:rPr>
            </w:pPr>
            <w:r w:rsidRPr="00C90E06">
              <w:rPr>
                <w:b/>
                <w:lang w:val="en-US" w:eastAsia="en-US"/>
              </w:rPr>
              <w:t>Performance Indicators</w:t>
            </w:r>
          </w:p>
        </w:tc>
        <w:tc>
          <w:tcPr>
            <w:tcW w:w="1260" w:type="dxa"/>
            <w:shd w:val="clear" w:color="auto" w:fill="EEECE1"/>
          </w:tcPr>
          <w:p w14:paraId="310463A1" w14:textId="77777777" w:rsidR="00E87EF8" w:rsidRPr="00C90E06" w:rsidRDefault="00E87EF8" w:rsidP="00C82888">
            <w:pPr>
              <w:jc w:val="both"/>
              <w:rPr>
                <w:b/>
                <w:lang w:val="en-US" w:eastAsia="en-US"/>
              </w:rPr>
            </w:pPr>
            <w:r w:rsidRPr="00C90E06">
              <w:rPr>
                <w:b/>
                <w:lang w:val="en-US" w:eastAsia="en-US"/>
              </w:rPr>
              <w:t>Indicator Baseline</w:t>
            </w:r>
          </w:p>
        </w:tc>
        <w:tc>
          <w:tcPr>
            <w:tcW w:w="1463" w:type="dxa"/>
            <w:shd w:val="clear" w:color="auto" w:fill="EEECE1"/>
          </w:tcPr>
          <w:p w14:paraId="106EDA54" w14:textId="77777777" w:rsidR="00E87EF8" w:rsidRPr="00C90E06" w:rsidRDefault="00E87EF8" w:rsidP="00C82888">
            <w:pPr>
              <w:jc w:val="both"/>
              <w:rPr>
                <w:b/>
                <w:lang w:val="en-US" w:eastAsia="en-US"/>
              </w:rPr>
            </w:pPr>
            <w:r w:rsidRPr="00C90E06">
              <w:rPr>
                <w:b/>
                <w:lang w:val="en-US" w:eastAsia="en-US"/>
              </w:rPr>
              <w:t>End of project Indicator Target</w:t>
            </w:r>
          </w:p>
        </w:tc>
        <w:tc>
          <w:tcPr>
            <w:tcW w:w="1867" w:type="dxa"/>
          </w:tcPr>
          <w:p w14:paraId="07BA7CE5" w14:textId="77777777" w:rsidR="00E87EF8" w:rsidRPr="00C90E06" w:rsidRDefault="00E87EF8" w:rsidP="00C82888">
            <w:pPr>
              <w:jc w:val="both"/>
              <w:rPr>
                <w:b/>
                <w:lang w:val="en-US" w:eastAsia="en-US"/>
              </w:rPr>
            </w:pPr>
            <w:r w:rsidRPr="00C90E06">
              <w:rPr>
                <w:b/>
                <w:lang w:val="en-US" w:eastAsia="en-US"/>
              </w:rPr>
              <w:t>Indicator Milestone</w:t>
            </w:r>
          </w:p>
        </w:tc>
        <w:tc>
          <w:tcPr>
            <w:tcW w:w="1733" w:type="dxa"/>
          </w:tcPr>
          <w:p w14:paraId="18560F65" w14:textId="77777777" w:rsidR="00E87EF8" w:rsidRPr="00C90E06" w:rsidRDefault="00E87EF8" w:rsidP="00C82888">
            <w:pPr>
              <w:jc w:val="both"/>
              <w:rPr>
                <w:b/>
                <w:lang w:val="en-US" w:eastAsia="en-US"/>
              </w:rPr>
            </w:pPr>
            <w:r w:rsidRPr="00C90E06">
              <w:rPr>
                <w:b/>
                <w:lang w:val="en-US" w:eastAsia="en-US"/>
              </w:rPr>
              <w:t>Current indicator progress</w:t>
            </w:r>
          </w:p>
        </w:tc>
        <w:tc>
          <w:tcPr>
            <w:tcW w:w="4770" w:type="dxa"/>
          </w:tcPr>
          <w:p w14:paraId="389963FE" w14:textId="77777777" w:rsidR="00E87EF8" w:rsidRPr="00C90E06" w:rsidRDefault="00E87EF8" w:rsidP="00C82888">
            <w:pPr>
              <w:jc w:val="both"/>
              <w:rPr>
                <w:b/>
                <w:lang w:val="en-US" w:eastAsia="en-US"/>
              </w:rPr>
            </w:pPr>
            <w:r w:rsidRPr="00C90E06">
              <w:rPr>
                <w:b/>
                <w:lang w:val="en-US" w:eastAsia="en-US"/>
              </w:rPr>
              <w:t>Reasons for Variance/ Delay</w:t>
            </w:r>
          </w:p>
          <w:p w14:paraId="6F9DD9FE" w14:textId="77777777" w:rsidR="00E87EF8" w:rsidRPr="00C90E06" w:rsidRDefault="00E87EF8" w:rsidP="00C82888">
            <w:pPr>
              <w:jc w:val="both"/>
              <w:rPr>
                <w:b/>
                <w:lang w:val="en-US" w:eastAsia="en-US"/>
              </w:rPr>
            </w:pPr>
            <w:r w:rsidRPr="00C90E06">
              <w:rPr>
                <w:b/>
                <w:lang w:val="en-US" w:eastAsia="en-US"/>
              </w:rPr>
              <w:t>(if any)</w:t>
            </w:r>
          </w:p>
        </w:tc>
      </w:tr>
      <w:tr w:rsidR="00E87EF8" w:rsidRPr="00C90E06" w14:paraId="3CBC92E1" w14:textId="77777777" w:rsidTr="00C82888">
        <w:trPr>
          <w:trHeight w:val="548"/>
        </w:trPr>
        <w:tc>
          <w:tcPr>
            <w:tcW w:w="1530" w:type="dxa"/>
            <w:vMerge w:val="restart"/>
          </w:tcPr>
          <w:p w14:paraId="217E6A1C" w14:textId="77777777" w:rsidR="00E87EF8" w:rsidRPr="00C90E06" w:rsidRDefault="00E87EF8" w:rsidP="00C82888">
            <w:pPr>
              <w:jc w:val="both"/>
              <w:rPr>
                <w:b/>
                <w:lang w:val="en-US" w:eastAsia="en-US"/>
              </w:rPr>
            </w:pPr>
            <w:r w:rsidRPr="00C90E06">
              <w:rPr>
                <w:b/>
                <w:lang w:val="en-US" w:eastAsia="en-US"/>
              </w:rPr>
              <w:t>Outcome 1</w:t>
            </w:r>
          </w:p>
          <w:p w14:paraId="09B965C7" w14:textId="77777777" w:rsidR="00E87EF8" w:rsidRPr="00C90E06" w:rsidRDefault="00E87EF8" w:rsidP="00C82888">
            <w:pPr>
              <w:autoSpaceDE w:val="0"/>
              <w:autoSpaceDN w:val="0"/>
              <w:adjustRightInd w:val="0"/>
              <w:jc w:val="both"/>
              <w:rPr>
                <w:lang w:val="en-US" w:eastAsia="en-US"/>
              </w:rPr>
            </w:pPr>
            <w:r w:rsidRPr="00C90E06">
              <w:rPr>
                <w:bCs/>
              </w:rPr>
              <w:t xml:space="preserve">Increased empowerment of women in South Sudan by strengthening prevention mechanisms for GBV by transforming harmful social norms into positive behaviour that promotes gender equality. </w:t>
            </w:r>
          </w:p>
        </w:tc>
        <w:tc>
          <w:tcPr>
            <w:tcW w:w="2497" w:type="dxa"/>
            <w:shd w:val="clear" w:color="auto" w:fill="EEECE1"/>
          </w:tcPr>
          <w:p w14:paraId="28824036" w14:textId="77777777" w:rsidR="00E87EF8" w:rsidRPr="00C90E06" w:rsidRDefault="00E87EF8" w:rsidP="00C82888">
            <w:pPr>
              <w:jc w:val="both"/>
              <w:rPr>
                <w:lang w:val="en-US" w:eastAsia="en-US"/>
              </w:rPr>
            </w:pPr>
            <w:r w:rsidRPr="00C90E06">
              <w:rPr>
                <w:lang w:val="en-US" w:eastAsia="en-US"/>
              </w:rPr>
              <w:t>Indicator 1.1</w:t>
            </w:r>
          </w:p>
          <w:p w14:paraId="27E624F2" w14:textId="77777777" w:rsidR="00E87EF8" w:rsidRPr="00C90E06" w:rsidRDefault="00E87EF8" w:rsidP="00C82888">
            <w:pPr>
              <w:jc w:val="both"/>
              <w:rPr>
                <w:lang w:val="en-US" w:eastAsia="en-US"/>
              </w:rPr>
            </w:pPr>
            <w:r w:rsidRPr="00C90E06">
              <w:rPr>
                <w:lang w:val="en-US" w:eastAsia="en-US"/>
              </w:rPr>
              <w:t>% increase in women and girls’ participation in local peace and justice activities</w:t>
            </w:r>
          </w:p>
        </w:tc>
        <w:tc>
          <w:tcPr>
            <w:tcW w:w="1260" w:type="dxa"/>
            <w:shd w:val="clear" w:color="auto" w:fill="EEECE1"/>
          </w:tcPr>
          <w:p w14:paraId="43241CC6" w14:textId="2E11B5C3" w:rsidR="00E87EF8" w:rsidRPr="00C90E06" w:rsidRDefault="004560FE" w:rsidP="00C82888">
            <w:pPr>
              <w:jc w:val="both"/>
              <w:rPr>
                <w:lang w:val="en-US" w:eastAsia="en-US"/>
              </w:rPr>
            </w:pPr>
            <w:r w:rsidRPr="00C90E06">
              <w:rPr>
                <w:lang w:val="en-US" w:eastAsia="en-US"/>
              </w:rPr>
              <w:t>0</w:t>
            </w:r>
          </w:p>
        </w:tc>
        <w:tc>
          <w:tcPr>
            <w:tcW w:w="1463" w:type="dxa"/>
            <w:shd w:val="clear" w:color="auto" w:fill="EEECE1"/>
          </w:tcPr>
          <w:p w14:paraId="5B70AEFF" w14:textId="77777777" w:rsidR="00E87EF8" w:rsidRPr="00C90E06" w:rsidRDefault="00E87EF8" w:rsidP="00C82888">
            <w:pPr>
              <w:jc w:val="both"/>
            </w:pPr>
            <w:r w:rsidRPr="00C90E06">
              <w:rPr>
                <w:lang w:val="en-US" w:eastAsia="en-US"/>
              </w:rPr>
              <w:t>40%</w:t>
            </w:r>
          </w:p>
        </w:tc>
        <w:tc>
          <w:tcPr>
            <w:tcW w:w="1867" w:type="dxa"/>
          </w:tcPr>
          <w:p w14:paraId="0CF64907" w14:textId="77777777" w:rsidR="00E87EF8" w:rsidRPr="00C90E06" w:rsidRDefault="00E87EF8" w:rsidP="00C82888">
            <w:pPr>
              <w:jc w:val="both"/>
              <w:rPr>
                <w:lang w:val="en-US" w:eastAsia="en-US"/>
              </w:rPr>
            </w:pPr>
            <w:r w:rsidRPr="00C90E06">
              <w:rPr>
                <w:lang w:val="en-US" w:eastAsia="en-US"/>
              </w:rPr>
              <w:t>Baseline to be set up</w:t>
            </w:r>
          </w:p>
        </w:tc>
        <w:tc>
          <w:tcPr>
            <w:tcW w:w="1733" w:type="dxa"/>
          </w:tcPr>
          <w:p w14:paraId="5F5C4398" w14:textId="77777777" w:rsidR="00E87EF8" w:rsidRPr="00C90E06" w:rsidRDefault="00E87EF8" w:rsidP="00C82888">
            <w:pPr>
              <w:jc w:val="both"/>
            </w:pPr>
            <w:r w:rsidRPr="00C90E06">
              <w:rPr>
                <w:lang w:val="en-US" w:eastAsia="en-US"/>
              </w:rPr>
              <w:t>To be measured at the end of the project</w:t>
            </w:r>
          </w:p>
        </w:tc>
        <w:tc>
          <w:tcPr>
            <w:tcW w:w="4770" w:type="dxa"/>
          </w:tcPr>
          <w:p w14:paraId="719A04F1" w14:textId="77777777" w:rsidR="00E87EF8" w:rsidRPr="00C90E06" w:rsidRDefault="00E87EF8" w:rsidP="00C82888">
            <w:pPr>
              <w:jc w:val="both"/>
            </w:pPr>
            <w:r w:rsidRPr="00C90E06">
              <w:rPr>
                <w:lang w:val="en-US" w:eastAsia="en-US"/>
              </w:rPr>
              <w:t>Outcome indicators will be measured at the end of implementation through an independent expert.</w:t>
            </w:r>
          </w:p>
        </w:tc>
      </w:tr>
      <w:tr w:rsidR="00E87EF8" w:rsidRPr="00C90E06" w14:paraId="00EEB26D" w14:textId="77777777" w:rsidTr="00C82888">
        <w:trPr>
          <w:trHeight w:val="548"/>
        </w:trPr>
        <w:tc>
          <w:tcPr>
            <w:tcW w:w="1530" w:type="dxa"/>
            <w:vMerge/>
          </w:tcPr>
          <w:p w14:paraId="295B88FF" w14:textId="77777777" w:rsidR="00E87EF8" w:rsidRPr="00C90E06" w:rsidRDefault="00E87EF8" w:rsidP="00C82888">
            <w:pPr>
              <w:jc w:val="both"/>
              <w:rPr>
                <w:b/>
                <w:lang w:val="en-US" w:eastAsia="en-US"/>
              </w:rPr>
            </w:pPr>
          </w:p>
        </w:tc>
        <w:tc>
          <w:tcPr>
            <w:tcW w:w="2497" w:type="dxa"/>
            <w:shd w:val="clear" w:color="auto" w:fill="EEECE1"/>
          </w:tcPr>
          <w:p w14:paraId="37A36E83" w14:textId="77777777" w:rsidR="00E87EF8" w:rsidRPr="00C90E06" w:rsidRDefault="00E87EF8" w:rsidP="00C82888">
            <w:pPr>
              <w:jc w:val="both"/>
              <w:rPr>
                <w:lang w:val="en-US" w:eastAsia="en-US"/>
              </w:rPr>
            </w:pPr>
            <w:r w:rsidRPr="00C90E06">
              <w:rPr>
                <w:lang w:val="en-US" w:eastAsia="en-US"/>
              </w:rPr>
              <w:t>Indicator 1.2</w:t>
            </w:r>
          </w:p>
          <w:p w14:paraId="13D36332" w14:textId="77777777" w:rsidR="00E87EF8" w:rsidRPr="00C90E06" w:rsidRDefault="00E87EF8" w:rsidP="00C82888">
            <w:pPr>
              <w:jc w:val="both"/>
              <w:rPr>
                <w:lang w:val="en-US" w:eastAsia="en-US"/>
              </w:rPr>
            </w:pPr>
            <w:r w:rsidRPr="00C90E06">
              <w:rPr>
                <w:lang w:val="en-US" w:eastAsia="en-US"/>
              </w:rPr>
              <w:t>Women’s perception of their inclusion and equality in society</w:t>
            </w:r>
          </w:p>
        </w:tc>
        <w:tc>
          <w:tcPr>
            <w:tcW w:w="1260" w:type="dxa"/>
            <w:shd w:val="clear" w:color="auto" w:fill="EEECE1"/>
          </w:tcPr>
          <w:p w14:paraId="2F913335" w14:textId="77777777" w:rsidR="00E87EF8" w:rsidRPr="00C90E06" w:rsidRDefault="00E87EF8" w:rsidP="00C82888">
            <w:pPr>
              <w:jc w:val="both"/>
            </w:pPr>
            <w:r w:rsidRPr="00C90E06">
              <w:rPr>
                <w:lang w:val="en-US" w:eastAsia="en-US"/>
              </w:rPr>
              <w:t>TBD</w:t>
            </w:r>
          </w:p>
        </w:tc>
        <w:tc>
          <w:tcPr>
            <w:tcW w:w="1463" w:type="dxa"/>
            <w:shd w:val="clear" w:color="auto" w:fill="EEECE1"/>
          </w:tcPr>
          <w:p w14:paraId="70663B03" w14:textId="77777777" w:rsidR="00E87EF8" w:rsidRPr="00C90E06" w:rsidRDefault="00E87EF8" w:rsidP="00C82888">
            <w:pPr>
              <w:jc w:val="both"/>
            </w:pPr>
            <w:r w:rsidRPr="00C90E06">
              <w:rPr>
                <w:lang w:val="en-US" w:eastAsia="en-US"/>
              </w:rPr>
              <w:t>TBD</w:t>
            </w:r>
          </w:p>
        </w:tc>
        <w:tc>
          <w:tcPr>
            <w:tcW w:w="1867" w:type="dxa"/>
          </w:tcPr>
          <w:p w14:paraId="1CF2DC3A" w14:textId="77777777" w:rsidR="00E87EF8" w:rsidRPr="00C90E06" w:rsidRDefault="00E87EF8" w:rsidP="00C82888">
            <w:pPr>
              <w:jc w:val="both"/>
              <w:rPr>
                <w:b/>
                <w:lang w:val="en-US" w:eastAsia="en-US"/>
              </w:rPr>
            </w:pPr>
            <w:r w:rsidRPr="00C90E06">
              <w:rPr>
                <w:lang w:val="en-US" w:eastAsia="en-US"/>
              </w:rPr>
              <w:t>Baseline to be set up</w:t>
            </w:r>
            <w:r w:rsidRPr="00C90E06">
              <w:rPr>
                <w:b/>
                <w:lang w:val="en-US" w:eastAsia="en-US"/>
              </w:rPr>
              <w:t xml:space="preserve"> </w:t>
            </w:r>
            <w:r w:rsidRPr="00C90E06">
              <w:rPr>
                <w:b/>
                <w:lang w:val="en-US" w:eastAsia="en-US"/>
              </w:rPr>
              <w:fldChar w:fldCharType="begin">
                <w:ffData>
                  <w:name w:val=""/>
                  <w:enabled/>
                  <w:calcOnExit w:val="0"/>
                  <w:textInput>
                    <w:maxLength w:val="300"/>
                  </w:textInput>
                </w:ffData>
              </w:fldChar>
            </w:r>
            <w:r w:rsidRPr="00C90E06">
              <w:rPr>
                <w:b/>
                <w:lang w:val="en-US" w:eastAsia="en-US"/>
              </w:rPr>
              <w:instrText xml:space="preserve"> FORMTEXT </w:instrText>
            </w:r>
            <w:r w:rsidR="00F20E22">
              <w:rPr>
                <w:b/>
                <w:lang w:val="en-US" w:eastAsia="en-US"/>
              </w:rPr>
            </w:r>
            <w:r w:rsidR="00F20E22">
              <w:rPr>
                <w:b/>
                <w:lang w:val="en-US" w:eastAsia="en-US"/>
              </w:rPr>
              <w:fldChar w:fldCharType="separate"/>
            </w:r>
            <w:r w:rsidRPr="00C90E06">
              <w:rPr>
                <w:b/>
                <w:lang w:val="en-US" w:eastAsia="en-US"/>
              </w:rPr>
              <w:fldChar w:fldCharType="end"/>
            </w:r>
          </w:p>
        </w:tc>
        <w:tc>
          <w:tcPr>
            <w:tcW w:w="1733" w:type="dxa"/>
          </w:tcPr>
          <w:p w14:paraId="2BF7538B" w14:textId="77777777" w:rsidR="00E87EF8" w:rsidRPr="00C90E06" w:rsidRDefault="00E87EF8" w:rsidP="00C82888">
            <w:pPr>
              <w:jc w:val="both"/>
            </w:pPr>
            <w:r w:rsidRPr="00C90E06">
              <w:rPr>
                <w:lang w:val="en-US" w:eastAsia="en-US"/>
              </w:rPr>
              <w:t>To be measured at the end of the project</w:t>
            </w:r>
          </w:p>
        </w:tc>
        <w:tc>
          <w:tcPr>
            <w:tcW w:w="4770" w:type="dxa"/>
          </w:tcPr>
          <w:p w14:paraId="4A4CD75C" w14:textId="77777777" w:rsidR="00E87EF8" w:rsidRPr="00C90E06" w:rsidRDefault="00E87EF8" w:rsidP="00C82888">
            <w:pPr>
              <w:jc w:val="both"/>
            </w:pPr>
            <w:r w:rsidRPr="00C90E06">
              <w:rPr>
                <w:lang w:val="en-US" w:eastAsia="en-US"/>
              </w:rPr>
              <w:t>Outcome indicators will be measured at the end of implementation through an independent expert.</w:t>
            </w:r>
          </w:p>
        </w:tc>
      </w:tr>
      <w:tr w:rsidR="00E87EF8" w:rsidRPr="00C90E06" w14:paraId="52E4C19F" w14:textId="77777777" w:rsidTr="00C82888">
        <w:trPr>
          <w:trHeight w:val="548"/>
        </w:trPr>
        <w:tc>
          <w:tcPr>
            <w:tcW w:w="1530" w:type="dxa"/>
            <w:vMerge/>
          </w:tcPr>
          <w:p w14:paraId="603FB672" w14:textId="77777777" w:rsidR="00E87EF8" w:rsidRPr="00C90E06" w:rsidRDefault="00E87EF8" w:rsidP="00C82888">
            <w:pPr>
              <w:jc w:val="both"/>
              <w:rPr>
                <w:lang w:val="en-US" w:eastAsia="en-US"/>
              </w:rPr>
            </w:pPr>
          </w:p>
        </w:tc>
        <w:tc>
          <w:tcPr>
            <w:tcW w:w="2497" w:type="dxa"/>
            <w:shd w:val="clear" w:color="auto" w:fill="EEECE1"/>
          </w:tcPr>
          <w:p w14:paraId="07470BC2" w14:textId="77777777" w:rsidR="00E87EF8" w:rsidRPr="00C90E06" w:rsidRDefault="00E87EF8" w:rsidP="00C82888">
            <w:pPr>
              <w:jc w:val="both"/>
              <w:rPr>
                <w:lang w:val="en-US" w:eastAsia="en-US"/>
              </w:rPr>
            </w:pPr>
            <w:r w:rsidRPr="00C90E06">
              <w:rPr>
                <w:lang w:val="en-US" w:eastAsia="en-US"/>
              </w:rPr>
              <w:t>Indicator 1.3</w:t>
            </w:r>
          </w:p>
          <w:p w14:paraId="4B9AD656" w14:textId="77777777" w:rsidR="00E87EF8" w:rsidRPr="00C90E06" w:rsidRDefault="00E87EF8" w:rsidP="00C82888">
            <w:pPr>
              <w:pStyle w:val="ListParagraph"/>
              <w:ind w:left="0"/>
              <w:jc w:val="both"/>
            </w:pPr>
            <w:r w:rsidRPr="00C90E06">
              <w:t>proportion of women and girls who feel confident to report GBV and know where to access relevant services in case they become victim of GBV</w:t>
            </w:r>
          </w:p>
          <w:p w14:paraId="0E1D7850" w14:textId="77777777" w:rsidR="00E87EF8" w:rsidRPr="00C90E06" w:rsidRDefault="00E87EF8" w:rsidP="00C82888">
            <w:pPr>
              <w:jc w:val="both"/>
              <w:rPr>
                <w:lang w:val="en-US" w:eastAsia="en-US"/>
              </w:rPr>
            </w:pPr>
          </w:p>
        </w:tc>
        <w:tc>
          <w:tcPr>
            <w:tcW w:w="1260" w:type="dxa"/>
            <w:shd w:val="clear" w:color="auto" w:fill="EEECE1"/>
          </w:tcPr>
          <w:p w14:paraId="1B9D4B17" w14:textId="63C3FB88" w:rsidR="00E87EF8" w:rsidRPr="00C90E06" w:rsidRDefault="004560FE" w:rsidP="00C82888">
            <w:pPr>
              <w:jc w:val="both"/>
            </w:pPr>
            <w:r w:rsidRPr="00C90E06">
              <w:t>TBD</w:t>
            </w:r>
          </w:p>
        </w:tc>
        <w:tc>
          <w:tcPr>
            <w:tcW w:w="1463" w:type="dxa"/>
            <w:shd w:val="clear" w:color="auto" w:fill="EEECE1"/>
          </w:tcPr>
          <w:p w14:paraId="7C566367" w14:textId="77777777" w:rsidR="00E87EF8" w:rsidRPr="00C90E06" w:rsidRDefault="00E87EF8" w:rsidP="00C82888">
            <w:pPr>
              <w:jc w:val="both"/>
            </w:pPr>
            <w:r w:rsidRPr="00C90E06">
              <w:rPr>
                <w:lang w:val="en-US" w:eastAsia="en-US"/>
              </w:rPr>
              <w:t>40%</w:t>
            </w:r>
          </w:p>
        </w:tc>
        <w:tc>
          <w:tcPr>
            <w:tcW w:w="1867" w:type="dxa"/>
          </w:tcPr>
          <w:p w14:paraId="19307383" w14:textId="77777777" w:rsidR="00E87EF8" w:rsidRPr="00C90E06" w:rsidRDefault="00E87EF8" w:rsidP="00C82888">
            <w:pPr>
              <w:jc w:val="both"/>
              <w:rPr>
                <w:b/>
                <w:lang w:val="en-US" w:eastAsia="en-US"/>
              </w:rPr>
            </w:pPr>
            <w:r w:rsidRPr="00C90E06">
              <w:rPr>
                <w:lang w:val="en-US" w:eastAsia="en-US"/>
              </w:rPr>
              <w:t>Baseline to be set up</w:t>
            </w:r>
            <w:r w:rsidRPr="00C90E06">
              <w:rPr>
                <w:b/>
                <w:lang w:val="en-US" w:eastAsia="en-US"/>
              </w:rPr>
              <w:t xml:space="preserve"> </w:t>
            </w:r>
            <w:r w:rsidRPr="00C90E06">
              <w:rPr>
                <w:b/>
                <w:lang w:val="en-US" w:eastAsia="en-US"/>
              </w:rPr>
              <w:fldChar w:fldCharType="begin">
                <w:ffData>
                  <w:name w:val=""/>
                  <w:enabled/>
                  <w:calcOnExit w:val="0"/>
                  <w:textInput>
                    <w:maxLength w:val="300"/>
                  </w:textInput>
                </w:ffData>
              </w:fldChar>
            </w:r>
            <w:r w:rsidRPr="00C90E06">
              <w:rPr>
                <w:b/>
                <w:lang w:val="en-US" w:eastAsia="en-US"/>
              </w:rPr>
              <w:instrText xml:space="preserve"> FORMTEXT </w:instrText>
            </w:r>
            <w:r w:rsidR="00F20E22">
              <w:rPr>
                <w:b/>
                <w:lang w:val="en-US" w:eastAsia="en-US"/>
              </w:rPr>
            </w:r>
            <w:r w:rsidR="00F20E22">
              <w:rPr>
                <w:b/>
                <w:lang w:val="en-US" w:eastAsia="en-US"/>
              </w:rPr>
              <w:fldChar w:fldCharType="separate"/>
            </w:r>
            <w:r w:rsidRPr="00C90E06">
              <w:rPr>
                <w:b/>
                <w:lang w:val="en-US" w:eastAsia="en-US"/>
              </w:rPr>
              <w:fldChar w:fldCharType="end"/>
            </w:r>
          </w:p>
        </w:tc>
        <w:tc>
          <w:tcPr>
            <w:tcW w:w="1733" w:type="dxa"/>
          </w:tcPr>
          <w:p w14:paraId="72CC1D43" w14:textId="77777777" w:rsidR="00E87EF8" w:rsidRPr="00C90E06" w:rsidRDefault="00E87EF8" w:rsidP="00C82888">
            <w:pPr>
              <w:jc w:val="both"/>
            </w:pPr>
            <w:r w:rsidRPr="00C90E06">
              <w:rPr>
                <w:lang w:val="en-US" w:eastAsia="en-US"/>
              </w:rPr>
              <w:t>To be measured at the end of the project</w:t>
            </w:r>
          </w:p>
        </w:tc>
        <w:tc>
          <w:tcPr>
            <w:tcW w:w="4770" w:type="dxa"/>
          </w:tcPr>
          <w:p w14:paraId="1B8B87C8" w14:textId="77777777" w:rsidR="00E87EF8" w:rsidRPr="00C90E06" w:rsidRDefault="00E87EF8" w:rsidP="00C82888">
            <w:pPr>
              <w:jc w:val="both"/>
            </w:pPr>
            <w:r w:rsidRPr="00C90E06">
              <w:rPr>
                <w:lang w:val="en-US" w:eastAsia="en-US"/>
              </w:rPr>
              <w:t>Outcome indicators will be measured at the end of implementation through an independent expert.</w:t>
            </w:r>
          </w:p>
        </w:tc>
      </w:tr>
      <w:tr w:rsidR="00E87EF8" w:rsidRPr="00C90E06" w14:paraId="4E92E9D6" w14:textId="77777777" w:rsidTr="00C82888">
        <w:trPr>
          <w:trHeight w:val="548"/>
        </w:trPr>
        <w:tc>
          <w:tcPr>
            <w:tcW w:w="1530" w:type="dxa"/>
            <w:vMerge w:val="restart"/>
          </w:tcPr>
          <w:p w14:paraId="2CE4D2EB" w14:textId="77777777" w:rsidR="00E87EF8" w:rsidRPr="00C90E06" w:rsidRDefault="00E87EF8" w:rsidP="00C82888">
            <w:pPr>
              <w:jc w:val="both"/>
              <w:rPr>
                <w:b/>
                <w:lang w:val="en-US" w:eastAsia="en-US"/>
              </w:rPr>
            </w:pPr>
            <w:r w:rsidRPr="00C90E06">
              <w:rPr>
                <w:b/>
                <w:lang w:val="en-US" w:eastAsia="en-US"/>
              </w:rPr>
              <w:lastRenderedPageBreak/>
              <w:t>Output 1.1</w:t>
            </w:r>
          </w:p>
          <w:p w14:paraId="617C5943" w14:textId="77777777" w:rsidR="00E87EF8" w:rsidRPr="00C90E06" w:rsidRDefault="00E87EF8" w:rsidP="00C82888">
            <w:pPr>
              <w:jc w:val="both"/>
              <w:rPr>
                <w:lang w:val="en-US" w:eastAsia="en-US"/>
              </w:rPr>
            </w:pPr>
            <w:r w:rsidRPr="00C90E06">
              <w:rPr>
                <w:bCs/>
              </w:rPr>
              <w:t xml:space="preserve">Increased access to comprehensive GBV support services in </w:t>
            </w:r>
            <w:proofErr w:type="spellStart"/>
            <w:r w:rsidRPr="00C90E06">
              <w:rPr>
                <w:bCs/>
              </w:rPr>
              <w:t>Bor</w:t>
            </w:r>
            <w:proofErr w:type="spellEnd"/>
            <w:r w:rsidRPr="00C90E06">
              <w:rPr>
                <w:bCs/>
              </w:rPr>
              <w:t xml:space="preserve"> and Aweil</w:t>
            </w:r>
          </w:p>
          <w:p w14:paraId="7A793BA6" w14:textId="77777777" w:rsidR="00E87EF8" w:rsidRPr="00C90E06" w:rsidRDefault="00E87EF8" w:rsidP="00C82888">
            <w:pPr>
              <w:jc w:val="both"/>
              <w:rPr>
                <w:lang w:val="en-US" w:eastAsia="en-US"/>
              </w:rPr>
            </w:pPr>
          </w:p>
        </w:tc>
        <w:tc>
          <w:tcPr>
            <w:tcW w:w="2497" w:type="dxa"/>
            <w:shd w:val="clear" w:color="auto" w:fill="EEECE1"/>
          </w:tcPr>
          <w:p w14:paraId="17F2471E" w14:textId="77777777" w:rsidR="00E87EF8" w:rsidRPr="00C90E06" w:rsidRDefault="00E87EF8" w:rsidP="00C82888">
            <w:pPr>
              <w:jc w:val="both"/>
              <w:rPr>
                <w:lang w:val="en-US" w:eastAsia="en-US"/>
              </w:rPr>
            </w:pPr>
            <w:r w:rsidRPr="00C90E06">
              <w:rPr>
                <w:lang w:val="en-US" w:eastAsia="en-US"/>
              </w:rPr>
              <w:t>Indicator 1.1.1</w:t>
            </w:r>
          </w:p>
          <w:p w14:paraId="449F0E75" w14:textId="77777777" w:rsidR="00E87EF8" w:rsidRPr="00C90E06" w:rsidRDefault="00E87EF8" w:rsidP="00C82888">
            <w:pPr>
              <w:jc w:val="both"/>
              <w:rPr>
                <w:lang w:val="en-US" w:eastAsia="en-US"/>
              </w:rPr>
            </w:pPr>
            <w:r w:rsidRPr="00C90E06">
              <w:t xml:space="preserve">Number of GBV survivors accessing </w:t>
            </w:r>
            <w:r w:rsidRPr="00C90E06">
              <w:rPr>
                <w:rStyle w:val="CommentReference"/>
                <w:rFonts w:eastAsia="MS Mincho"/>
                <w:sz w:val="24"/>
                <w:szCs w:val="24"/>
              </w:rPr>
              <w:t>and using</w:t>
            </w:r>
            <w:r w:rsidRPr="00C90E06">
              <w:t xml:space="preserve"> the integrated GBV services in One stop centre (SADD</w:t>
            </w:r>
          </w:p>
        </w:tc>
        <w:tc>
          <w:tcPr>
            <w:tcW w:w="1260" w:type="dxa"/>
            <w:shd w:val="clear" w:color="auto" w:fill="EEECE1"/>
          </w:tcPr>
          <w:p w14:paraId="24FA8010" w14:textId="77777777" w:rsidR="00E87EF8" w:rsidRPr="00C90E06" w:rsidRDefault="00E87EF8" w:rsidP="00C82888">
            <w:pPr>
              <w:jc w:val="both"/>
            </w:pPr>
            <w:r w:rsidRPr="00C90E06">
              <w:rPr>
                <w:lang w:val="en-US" w:eastAsia="en-US"/>
              </w:rPr>
              <w:t>0</w:t>
            </w:r>
          </w:p>
        </w:tc>
        <w:tc>
          <w:tcPr>
            <w:tcW w:w="1463" w:type="dxa"/>
            <w:shd w:val="clear" w:color="auto" w:fill="EEECE1"/>
          </w:tcPr>
          <w:p w14:paraId="390FAC52" w14:textId="77777777" w:rsidR="00E87EF8" w:rsidRPr="00C90E06" w:rsidRDefault="00E87EF8" w:rsidP="00C82888">
            <w:pPr>
              <w:jc w:val="both"/>
            </w:pPr>
            <w:r w:rsidRPr="00C90E06">
              <w:rPr>
                <w:lang w:val="en-US" w:eastAsia="en-US"/>
              </w:rPr>
              <w:t>1000</w:t>
            </w:r>
          </w:p>
        </w:tc>
        <w:tc>
          <w:tcPr>
            <w:tcW w:w="1867" w:type="dxa"/>
          </w:tcPr>
          <w:p w14:paraId="29529CB5" w14:textId="77777777" w:rsidR="00E87EF8" w:rsidRPr="00C90E06" w:rsidRDefault="00E87EF8" w:rsidP="00C82888">
            <w:pPr>
              <w:jc w:val="both"/>
              <w:rPr>
                <w:lang w:val="en-US" w:eastAsia="en-US"/>
              </w:rPr>
            </w:pPr>
            <w:r w:rsidRPr="00C90E06">
              <w:rPr>
                <w:lang w:val="en-US" w:eastAsia="en-US"/>
              </w:rPr>
              <w:t>Based on the track record</w:t>
            </w:r>
          </w:p>
        </w:tc>
        <w:tc>
          <w:tcPr>
            <w:tcW w:w="1733" w:type="dxa"/>
          </w:tcPr>
          <w:p w14:paraId="61529A34" w14:textId="1DF00007" w:rsidR="00E87EF8" w:rsidRPr="00C90E06" w:rsidRDefault="004560FE" w:rsidP="00BE3B3C">
            <w:pPr>
              <w:jc w:val="both"/>
            </w:pPr>
            <w:r w:rsidRPr="00C90E06">
              <w:rPr>
                <w:lang w:val="en-US" w:eastAsia="en-US"/>
              </w:rPr>
              <w:t>92</w:t>
            </w:r>
            <w:r w:rsidR="009E24A9" w:rsidRPr="00C90E06">
              <w:rPr>
                <w:lang w:val="en-US" w:eastAsia="en-US"/>
              </w:rPr>
              <w:t xml:space="preserve"> </w:t>
            </w:r>
          </w:p>
        </w:tc>
        <w:tc>
          <w:tcPr>
            <w:tcW w:w="4770" w:type="dxa"/>
          </w:tcPr>
          <w:p w14:paraId="38F29D8D" w14:textId="20AE41EF" w:rsidR="00E87EF8" w:rsidRPr="00C90E06" w:rsidRDefault="00BE3B3C" w:rsidP="00BE3B3C">
            <w:pPr>
              <w:jc w:val="both"/>
            </w:pPr>
            <w:r w:rsidRPr="00C90E06">
              <w:t xml:space="preserve">Total cases where direct holistic support provided is as per </w:t>
            </w:r>
            <w:r w:rsidRPr="00C90E06">
              <w:rPr>
                <w:lang w:val="en-US" w:eastAsia="en-US"/>
              </w:rPr>
              <w:t>GBV survivors approaching the OSCs</w:t>
            </w:r>
          </w:p>
        </w:tc>
      </w:tr>
      <w:tr w:rsidR="00E87EF8" w:rsidRPr="00C90E06" w14:paraId="13940241" w14:textId="77777777" w:rsidTr="00C82888">
        <w:trPr>
          <w:trHeight w:val="512"/>
        </w:trPr>
        <w:tc>
          <w:tcPr>
            <w:tcW w:w="1530" w:type="dxa"/>
            <w:vMerge/>
          </w:tcPr>
          <w:p w14:paraId="752198BF" w14:textId="77777777" w:rsidR="00E87EF8" w:rsidRPr="00C90E06" w:rsidRDefault="00E87EF8" w:rsidP="00C82888">
            <w:pPr>
              <w:jc w:val="both"/>
              <w:rPr>
                <w:lang w:val="en-US" w:eastAsia="en-US"/>
              </w:rPr>
            </w:pPr>
          </w:p>
        </w:tc>
        <w:tc>
          <w:tcPr>
            <w:tcW w:w="2497" w:type="dxa"/>
            <w:shd w:val="clear" w:color="auto" w:fill="EEECE1"/>
          </w:tcPr>
          <w:p w14:paraId="24EDC7B5" w14:textId="77777777" w:rsidR="00E87EF8" w:rsidRPr="00C90E06" w:rsidRDefault="00E87EF8" w:rsidP="00C82888">
            <w:pPr>
              <w:jc w:val="both"/>
              <w:rPr>
                <w:lang w:val="en-US" w:eastAsia="en-US"/>
              </w:rPr>
            </w:pPr>
            <w:r w:rsidRPr="00C90E06">
              <w:rPr>
                <w:lang w:val="en-US" w:eastAsia="en-US"/>
              </w:rPr>
              <w:t>Indicator 1.1.2</w:t>
            </w:r>
          </w:p>
          <w:p w14:paraId="51132905" w14:textId="77777777" w:rsidR="00E87EF8" w:rsidRPr="00C90E06" w:rsidRDefault="00E87EF8" w:rsidP="00C82888">
            <w:pPr>
              <w:jc w:val="both"/>
              <w:rPr>
                <w:lang w:val="en-US" w:eastAsia="en-US"/>
              </w:rPr>
            </w:pPr>
            <w:r w:rsidRPr="00C90E06">
              <w:t>Number of GBV One Stop centres established and operational</w:t>
            </w:r>
          </w:p>
        </w:tc>
        <w:tc>
          <w:tcPr>
            <w:tcW w:w="1260" w:type="dxa"/>
            <w:shd w:val="clear" w:color="auto" w:fill="EEECE1"/>
          </w:tcPr>
          <w:p w14:paraId="67197C7B" w14:textId="77777777" w:rsidR="00E87EF8" w:rsidRPr="00C90E06" w:rsidRDefault="00E87EF8" w:rsidP="00C82888">
            <w:pPr>
              <w:jc w:val="both"/>
            </w:pPr>
            <w:r w:rsidRPr="00C90E06">
              <w:rPr>
                <w:lang w:val="en-US" w:eastAsia="en-US"/>
              </w:rPr>
              <w:t>0</w:t>
            </w:r>
          </w:p>
        </w:tc>
        <w:tc>
          <w:tcPr>
            <w:tcW w:w="1463" w:type="dxa"/>
            <w:shd w:val="clear" w:color="auto" w:fill="EEECE1"/>
          </w:tcPr>
          <w:p w14:paraId="57C96874" w14:textId="77777777" w:rsidR="00E87EF8" w:rsidRPr="00C90E06" w:rsidRDefault="00E87EF8" w:rsidP="00C82888">
            <w:pPr>
              <w:jc w:val="both"/>
            </w:pPr>
            <w:r w:rsidRPr="00C90E06">
              <w:rPr>
                <w:lang w:val="en-US" w:eastAsia="en-US"/>
              </w:rPr>
              <w:t>2</w:t>
            </w:r>
          </w:p>
        </w:tc>
        <w:tc>
          <w:tcPr>
            <w:tcW w:w="1867" w:type="dxa"/>
          </w:tcPr>
          <w:p w14:paraId="64B907F3" w14:textId="77777777" w:rsidR="00E87EF8" w:rsidRPr="00C90E06" w:rsidRDefault="00E87EF8" w:rsidP="00C82888">
            <w:pPr>
              <w:jc w:val="both"/>
              <w:rPr>
                <w:lang w:val="en-US" w:eastAsia="en-US"/>
              </w:rPr>
            </w:pPr>
            <w:r w:rsidRPr="00C90E06">
              <w:rPr>
                <w:lang w:val="en-US" w:eastAsia="en-US"/>
              </w:rPr>
              <w:t>Based on the baseline</w:t>
            </w:r>
          </w:p>
        </w:tc>
        <w:tc>
          <w:tcPr>
            <w:tcW w:w="1733" w:type="dxa"/>
          </w:tcPr>
          <w:p w14:paraId="2972DF01" w14:textId="77777777" w:rsidR="00E87EF8" w:rsidRPr="00C90E06" w:rsidRDefault="00E87EF8" w:rsidP="00C82888">
            <w:pPr>
              <w:jc w:val="both"/>
            </w:pPr>
            <w:r w:rsidRPr="00C90E06">
              <w:rPr>
                <w:lang w:val="en-US" w:eastAsia="en-US"/>
              </w:rPr>
              <w:t>2</w:t>
            </w:r>
          </w:p>
        </w:tc>
        <w:tc>
          <w:tcPr>
            <w:tcW w:w="4770" w:type="dxa"/>
          </w:tcPr>
          <w:p w14:paraId="36E1E827" w14:textId="7F2E233B" w:rsidR="00E87EF8" w:rsidRPr="00C90E06" w:rsidRDefault="00BE3B3C" w:rsidP="00BE3B3C">
            <w:pPr>
              <w:jc w:val="both"/>
            </w:pPr>
            <w:r w:rsidRPr="00C90E06">
              <w:rPr>
                <w:lang w:val="en-US" w:eastAsia="en-US"/>
              </w:rPr>
              <w:t>Target achieved.</w:t>
            </w:r>
          </w:p>
        </w:tc>
      </w:tr>
      <w:tr w:rsidR="00E87EF8" w:rsidRPr="00C90E06" w14:paraId="33D873F3" w14:textId="77777777" w:rsidTr="00C82888">
        <w:trPr>
          <w:trHeight w:val="512"/>
        </w:trPr>
        <w:tc>
          <w:tcPr>
            <w:tcW w:w="1530" w:type="dxa"/>
            <w:vMerge/>
          </w:tcPr>
          <w:p w14:paraId="3027222D" w14:textId="77777777" w:rsidR="00E87EF8" w:rsidRPr="00C90E06" w:rsidRDefault="00E87EF8" w:rsidP="00C82888">
            <w:pPr>
              <w:jc w:val="both"/>
              <w:rPr>
                <w:lang w:val="en-US" w:eastAsia="en-US"/>
              </w:rPr>
            </w:pPr>
          </w:p>
        </w:tc>
        <w:tc>
          <w:tcPr>
            <w:tcW w:w="2497" w:type="dxa"/>
            <w:shd w:val="clear" w:color="auto" w:fill="EEECE1"/>
          </w:tcPr>
          <w:p w14:paraId="6856D26A" w14:textId="77777777" w:rsidR="00E87EF8" w:rsidRPr="00C90E06" w:rsidRDefault="00E87EF8" w:rsidP="00C82888">
            <w:pPr>
              <w:jc w:val="both"/>
            </w:pPr>
            <w:r w:rsidRPr="00C90E06">
              <w:rPr>
                <w:lang w:val="en-US" w:eastAsia="en-US"/>
              </w:rPr>
              <w:t xml:space="preserve">Indicator 1.1.3: </w:t>
            </w:r>
            <w:r w:rsidRPr="00C90E06">
              <w:t>Number of service providers (disaggregated by sex and profession) with increased skills and other capacity in providing integrated response services</w:t>
            </w:r>
          </w:p>
          <w:p w14:paraId="65D323F1" w14:textId="77777777" w:rsidR="00E87EF8" w:rsidRPr="00C90E06" w:rsidRDefault="00E87EF8" w:rsidP="00C82888">
            <w:pPr>
              <w:jc w:val="both"/>
              <w:rPr>
                <w:lang w:val="en-US" w:eastAsia="en-US"/>
              </w:rPr>
            </w:pPr>
          </w:p>
        </w:tc>
        <w:tc>
          <w:tcPr>
            <w:tcW w:w="1260" w:type="dxa"/>
            <w:shd w:val="clear" w:color="auto" w:fill="EEECE1"/>
          </w:tcPr>
          <w:p w14:paraId="7016C2EB" w14:textId="77777777" w:rsidR="00E87EF8" w:rsidRPr="00C90E06" w:rsidRDefault="00E87EF8" w:rsidP="00C82888">
            <w:pPr>
              <w:jc w:val="both"/>
              <w:rPr>
                <w:lang w:val="en-US" w:eastAsia="en-US"/>
              </w:rPr>
            </w:pPr>
            <w:r w:rsidRPr="00C90E06">
              <w:rPr>
                <w:lang w:val="en-US" w:eastAsia="en-US"/>
              </w:rPr>
              <w:t>0</w:t>
            </w:r>
          </w:p>
        </w:tc>
        <w:tc>
          <w:tcPr>
            <w:tcW w:w="1463" w:type="dxa"/>
            <w:shd w:val="clear" w:color="auto" w:fill="EEECE1"/>
          </w:tcPr>
          <w:p w14:paraId="3440A091" w14:textId="77777777" w:rsidR="00E87EF8" w:rsidRPr="00C90E06" w:rsidRDefault="00E87EF8" w:rsidP="00C82888">
            <w:pPr>
              <w:jc w:val="both"/>
              <w:rPr>
                <w:lang w:val="en-US" w:eastAsia="en-US"/>
              </w:rPr>
            </w:pPr>
            <w:r w:rsidRPr="00C90E06">
              <w:rPr>
                <w:lang w:val="en-US" w:eastAsia="en-US"/>
              </w:rPr>
              <w:t>100</w:t>
            </w:r>
          </w:p>
        </w:tc>
        <w:tc>
          <w:tcPr>
            <w:tcW w:w="1867" w:type="dxa"/>
          </w:tcPr>
          <w:p w14:paraId="2E5CA36F" w14:textId="77777777" w:rsidR="00E87EF8" w:rsidRPr="00C90E06" w:rsidRDefault="00E87EF8" w:rsidP="00C82888">
            <w:pPr>
              <w:jc w:val="both"/>
              <w:rPr>
                <w:lang w:val="en-US" w:eastAsia="en-US"/>
              </w:rPr>
            </w:pPr>
            <w:r w:rsidRPr="00C90E06">
              <w:rPr>
                <w:lang w:val="en-US" w:eastAsia="en-US"/>
              </w:rPr>
              <w:t>Establishment of the OSCs</w:t>
            </w:r>
          </w:p>
        </w:tc>
        <w:tc>
          <w:tcPr>
            <w:tcW w:w="1733" w:type="dxa"/>
          </w:tcPr>
          <w:p w14:paraId="32F69B1D" w14:textId="1A00A531" w:rsidR="00E87EF8" w:rsidRPr="00C90E06" w:rsidRDefault="004560FE" w:rsidP="004560FE">
            <w:pPr>
              <w:jc w:val="both"/>
              <w:rPr>
                <w:lang w:val="en-US" w:eastAsia="en-US"/>
              </w:rPr>
            </w:pPr>
            <w:r w:rsidRPr="00C90E06">
              <w:rPr>
                <w:lang w:val="en-US" w:eastAsia="en-US"/>
              </w:rPr>
              <w:t>148</w:t>
            </w:r>
            <w:r w:rsidR="00E87EF8" w:rsidRPr="00C90E06">
              <w:rPr>
                <w:lang w:val="en-US" w:eastAsia="en-US"/>
              </w:rPr>
              <w:t xml:space="preserve"> </w:t>
            </w:r>
          </w:p>
        </w:tc>
        <w:tc>
          <w:tcPr>
            <w:tcW w:w="4770" w:type="dxa"/>
          </w:tcPr>
          <w:p w14:paraId="6EFACDB4" w14:textId="2C78F88A" w:rsidR="00BE3B3C" w:rsidRPr="00C90E06" w:rsidRDefault="00BE3B3C" w:rsidP="004560FE">
            <w:pPr>
              <w:jc w:val="both"/>
            </w:pPr>
            <w:r w:rsidRPr="00C90E06">
              <w:rPr>
                <w:lang w:val="en-US" w:eastAsia="en-US"/>
              </w:rPr>
              <w:t>Target achieved.</w:t>
            </w:r>
          </w:p>
          <w:p w14:paraId="39A96D72" w14:textId="2EA44514" w:rsidR="00E87EF8" w:rsidRPr="00C90E06" w:rsidRDefault="00E87EF8" w:rsidP="004560FE">
            <w:pPr>
              <w:jc w:val="both"/>
              <w:rPr>
                <w:lang w:val="en-US" w:eastAsia="en-US"/>
              </w:rPr>
            </w:pPr>
            <w:r w:rsidRPr="00C90E06">
              <w:t xml:space="preserve">In total, </w:t>
            </w:r>
            <w:r w:rsidR="004560FE" w:rsidRPr="00C90E06">
              <w:t>148</w:t>
            </w:r>
            <w:r w:rsidRPr="00C90E06">
              <w:t xml:space="preserve"> GBV case management related actors, </w:t>
            </w:r>
            <w:proofErr w:type="gramStart"/>
            <w:r w:rsidRPr="00C90E06">
              <w:t>i.e.</w:t>
            </w:r>
            <w:proofErr w:type="gramEnd"/>
            <w:r w:rsidRPr="00C90E06">
              <w:t xml:space="preserve"> OSC staff, chiefs, representatives from police, youth representatives and women representatives, have been trained in Aweil and Akobo.</w:t>
            </w:r>
          </w:p>
        </w:tc>
      </w:tr>
      <w:tr w:rsidR="00E87EF8" w:rsidRPr="00C90E06" w14:paraId="1E9FDF74" w14:textId="77777777" w:rsidTr="00C82888">
        <w:trPr>
          <w:trHeight w:val="512"/>
        </w:trPr>
        <w:tc>
          <w:tcPr>
            <w:tcW w:w="1530" w:type="dxa"/>
            <w:vMerge/>
          </w:tcPr>
          <w:p w14:paraId="11E4FA56" w14:textId="77777777" w:rsidR="00E87EF8" w:rsidRPr="00C90E06" w:rsidRDefault="00E87EF8" w:rsidP="00C82888">
            <w:pPr>
              <w:jc w:val="both"/>
              <w:rPr>
                <w:lang w:val="en-US" w:eastAsia="en-US"/>
              </w:rPr>
            </w:pPr>
          </w:p>
        </w:tc>
        <w:tc>
          <w:tcPr>
            <w:tcW w:w="2497" w:type="dxa"/>
            <w:shd w:val="clear" w:color="auto" w:fill="EEECE1"/>
          </w:tcPr>
          <w:p w14:paraId="18646C8B" w14:textId="77777777" w:rsidR="00E87EF8" w:rsidRPr="00C90E06" w:rsidRDefault="00E87EF8" w:rsidP="00C82888">
            <w:pPr>
              <w:jc w:val="both"/>
            </w:pPr>
            <w:r w:rsidRPr="00C90E06">
              <w:rPr>
                <w:lang w:val="en-US" w:eastAsia="en-US"/>
              </w:rPr>
              <w:t xml:space="preserve">Indicator 1.1.4: </w:t>
            </w:r>
            <w:r w:rsidRPr="00C90E06">
              <w:t xml:space="preserve">Number of People (SADD) which are aware of the existence and services of the One </w:t>
            </w:r>
            <w:r w:rsidRPr="00C90E06">
              <w:lastRenderedPageBreak/>
              <w:t>stop centre in the intervention areas</w:t>
            </w:r>
          </w:p>
          <w:p w14:paraId="5FA4C5EB" w14:textId="77777777" w:rsidR="00E87EF8" w:rsidRPr="00C90E06" w:rsidRDefault="00E87EF8" w:rsidP="00C82888">
            <w:pPr>
              <w:jc w:val="both"/>
              <w:rPr>
                <w:lang w:val="en-US" w:eastAsia="en-US"/>
              </w:rPr>
            </w:pPr>
          </w:p>
        </w:tc>
        <w:tc>
          <w:tcPr>
            <w:tcW w:w="1260" w:type="dxa"/>
            <w:shd w:val="clear" w:color="auto" w:fill="EEECE1"/>
          </w:tcPr>
          <w:p w14:paraId="4F49B5C4" w14:textId="77777777" w:rsidR="00E87EF8" w:rsidRPr="00C90E06" w:rsidRDefault="00E87EF8" w:rsidP="00C82888">
            <w:pPr>
              <w:jc w:val="both"/>
              <w:rPr>
                <w:lang w:val="en-US" w:eastAsia="en-US"/>
              </w:rPr>
            </w:pPr>
            <w:r w:rsidRPr="00C90E06">
              <w:rPr>
                <w:lang w:val="en-US" w:eastAsia="en-US"/>
              </w:rPr>
              <w:lastRenderedPageBreak/>
              <w:t>0</w:t>
            </w:r>
          </w:p>
        </w:tc>
        <w:tc>
          <w:tcPr>
            <w:tcW w:w="1463" w:type="dxa"/>
            <w:shd w:val="clear" w:color="auto" w:fill="EEECE1"/>
          </w:tcPr>
          <w:p w14:paraId="59CF0189" w14:textId="3D1A521B" w:rsidR="00E87EF8" w:rsidRPr="00C90E06" w:rsidRDefault="004560FE" w:rsidP="00C82888">
            <w:pPr>
              <w:jc w:val="both"/>
              <w:rPr>
                <w:lang w:val="en-US" w:eastAsia="en-US"/>
              </w:rPr>
            </w:pPr>
            <w:r w:rsidRPr="00C90E06">
              <w:rPr>
                <w:lang w:val="en-US" w:eastAsia="en-US"/>
              </w:rPr>
              <w:t>20000</w:t>
            </w:r>
          </w:p>
        </w:tc>
        <w:tc>
          <w:tcPr>
            <w:tcW w:w="1867" w:type="dxa"/>
          </w:tcPr>
          <w:p w14:paraId="757ABCBB" w14:textId="77777777" w:rsidR="00E87EF8" w:rsidRPr="00C90E06" w:rsidRDefault="00E87EF8" w:rsidP="00C82888">
            <w:pPr>
              <w:jc w:val="both"/>
              <w:rPr>
                <w:lang w:val="en-US" w:eastAsia="en-US"/>
              </w:rPr>
            </w:pPr>
            <w:r w:rsidRPr="00C90E06">
              <w:rPr>
                <w:lang w:val="en-US" w:eastAsia="en-US"/>
              </w:rPr>
              <w:t>Outreach campaigns/ activities</w:t>
            </w:r>
          </w:p>
        </w:tc>
        <w:tc>
          <w:tcPr>
            <w:tcW w:w="1733" w:type="dxa"/>
          </w:tcPr>
          <w:p w14:paraId="00A75B95" w14:textId="51B5BF3A" w:rsidR="00E87EF8" w:rsidRPr="00C90E06" w:rsidRDefault="004560FE" w:rsidP="00C82888">
            <w:pPr>
              <w:jc w:val="both"/>
              <w:rPr>
                <w:lang w:val="en-US" w:eastAsia="en-US"/>
              </w:rPr>
            </w:pPr>
            <w:r w:rsidRPr="00C90E06">
              <w:rPr>
                <w:lang w:val="en-US" w:eastAsia="en-US"/>
              </w:rPr>
              <w:t>49,660</w:t>
            </w:r>
          </w:p>
        </w:tc>
        <w:tc>
          <w:tcPr>
            <w:tcW w:w="4770" w:type="dxa"/>
          </w:tcPr>
          <w:p w14:paraId="6E52E10F" w14:textId="77777777" w:rsidR="00BE3B3C" w:rsidRPr="00C90E06" w:rsidRDefault="00BE3B3C" w:rsidP="004560FE">
            <w:pPr>
              <w:jc w:val="both"/>
              <w:rPr>
                <w:lang w:val="en-US" w:eastAsia="en-US"/>
              </w:rPr>
            </w:pPr>
            <w:r w:rsidRPr="00C90E06">
              <w:rPr>
                <w:lang w:val="en-US" w:eastAsia="en-US"/>
              </w:rPr>
              <w:t>Target achieved.</w:t>
            </w:r>
          </w:p>
          <w:p w14:paraId="2F710A2B" w14:textId="0CCB4CED" w:rsidR="00E87EF8" w:rsidRPr="00C90E06" w:rsidRDefault="00E87EF8" w:rsidP="004560FE">
            <w:pPr>
              <w:jc w:val="both"/>
              <w:rPr>
                <w:lang w:val="en-US" w:eastAsia="en-US"/>
              </w:rPr>
            </w:pPr>
            <w:r w:rsidRPr="00C90E06">
              <w:t xml:space="preserve">Community awareness conducted through </w:t>
            </w:r>
            <w:r w:rsidR="004560FE" w:rsidRPr="00C90E06">
              <w:t xml:space="preserve">35 </w:t>
            </w:r>
            <w:r w:rsidRPr="00C90E06">
              <w:t>radio</w:t>
            </w:r>
            <w:r w:rsidR="004560FE" w:rsidRPr="00C90E06">
              <w:t xml:space="preserve"> talk shows</w:t>
            </w:r>
            <w:r w:rsidRPr="00C90E06">
              <w:t xml:space="preserve"> and road shows through microphone rallies.   These new strategies also create an opportunity to sensitize the </w:t>
            </w:r>
            <w:r w:rsidRPr="00C90E06">
              <w:lastRenderedPageBreak/>
              <w:t xml:space="preserve">communities and create awareness </w:t>
            </w:r>
            <w:proofErr w:type="gramStart"/>
            <w:r w:rsidRPr="00C90E06">
              <w:t>on  COVID</w:t>
            </w:r>
            <w:proofErr w:type="gramEnd"/>
            <w:r w:rsidRPr="00C90E06">
              <w:t xml:space="preserve">-19 and how best the community could keep their families and friends safe from COVID- 19.  </w:t>
            </w:r>
          </w:p>
        </w:tc>
      </w:tr>
      <w:tr w:rsidR="004560FE" w:rsidRPr="00C90E06" w14:paraId="6FC88B6F" w14:textId="77777777" w:rsidTr="00C82888">
        <w:trPr>
          <w:trHeight w:val="1857"/>
        </w:trPr>
        <w:tc>
          <w:tcPr>
            <w:tcW w:w="1530" w:type="dxa"/>
            <w:vMerge w:val="restart"/>
          </w:tcPr>
          <w:p w14:paraId="764C1D39" w14:textId="77777777" w:rsidR="004560FE" w:rsidRPr="00C90E06" w:rsidRDefault="004560FE" w:rsidP="004560FE">
            <w:pPr>
              <w:jc w:val="both"/>
              <w:rPr>
                <w:b/>
                <w:lang w:val="en-US" w:eastAsia="en-US"/>
              </w:rPr>
            </w:pPr>
            <w:r w:rsidRPr="00C90E06">
              <w:rPr>
                <w:b/>
                <w:lang w:val="en-US" w:eastAsia="en-US"/>
              </w:rPr>
              <w:lastRenderedPageBreak/>
              <w:t>Output 1.2</w:t>
            </w:r>
          </w:p>
          <w:p w14:paraId="6109FF1D" w14:textId="77777777" w:rsidR="004560FE" w:rsidRPr="00C90E06" w:rsidRDefault="004560FE" w:rsidP="004560FE">
            <w:pPr>
              <w:jc w:val="both"/>
              <w:rPr>
                <w:lang w:val="en-US" w:eastAsia="en-US"/>
              </w:rPr>
            </w:pPr>
            <w:r w:rsidRPr="00C90E06">
              <w:t xml:space="preserve">Strengthened women’s groups participation in local peace processes in </w:t>
            </w:r>
            <w:proofErr w:type="spellStart"/>
            <w:r w:rsidRPr="00C90E06">
              <w:t>Bor</w:t>
            </w:r>
            <w:proofErr w:type="spellEnd"/>
            <w:r w:rsidRPr="00C90E06">
              <w:t xml:space="preserve"> and Aweil and increase civic engagement on GBV Prevention and response</w:t>
            </w:r>
          </w:p>
        </w:tc>
        <w:tc>
          <w:tcPr>
            <w:tcW w:w="2497" w:type="dxa"/>
            <w:shd w:val="clear" w:color="auto" w:fill="EEECE1"/>
          </w:tcPr>
          <w:p w14:paraId="578CF73E" w14:textId="77777777" w:rsidR="004560FE" w:rsidRPr="00C90E06" w:rsidRDefault="004560FE" w:rsidP="004560FE">
            <w:pPr>
              <w:jc w:val="both"/>
              <w:rPr>
                <w:lang w:val="en-US" w:eastAsia="en-US"/>
              </w:rPr>
            </w:pPr>
            <w:r w:rsidRPr="00C90E06">
              <w:rPr>
                <w:lang w:val="en-US" w:eastAsia="en-US"/>
              </w:rPr>
              <w:t>Indicator 1.2.1</w:t>
            </w:r>
          </w:p>
          <w:p w14:paraId="55F5DB17" w14:textId="77777777" w:rsidR="004560FE" w:rsidRPr="00C90E06" w:rsidRDefault="004560FE" w:rsidP="004560FE">
            <w:pPr>
              <w:jc w:val="both"/>
            </w:pPr>
            <w:r w:rsidRPr="00C90E06">
              <w:t>Number of advocacy issues raised by women through peace huts initiatives</w:t>
            </w:r>
          </w:p>
          <w:p w14:paraId="53E2EBD4" w14:textId="77777777" w:rsidR="004560FE" w:rsidRPr="00C90E06" w:rsidRDefault="004560FE" w:rsidP="004560FE">
            <w:pPr>
              <w:jc w:val="both"/>
              <w:rPr>
                <w:lang w:val="en-US" w:eastAsia="en-US"/>
              </w:rPr>
            </w:pPr>
          </w:p>
        </w:tc>
        <w:tc>
          <w:tcPr>
            <w:tcW w:w="1260" w:type="dxa"/>
            <w:shd w:val="clear" w:color="auto" w:fill="EEECE1"/>
          </w:tcPr>
          <w:p w14:paraId="437E0220" w14:textId="77777777" w:rsidR="004560FE" w:rsidRPr="00C90E06" w:rsidRDefault="004560FE" w:rsidP="004560FE">
            <w:pPr>
              <w:jc w:val="both"/>
            </w:pPr>
            <w:r w:rsidRPr="00C90E06">
              <w:rPr>
                <w:lang w:val="en-US" w:eastAsia="en-US"/>
              </w:rPr>
              <w:t>0</w:t>
            </w:r>
          </w:p>
        </w:tc>
        <w:tc>
          <w:tcPr>
            <w:tcW w:w="1463" w:type="dxa"/>
            <w:shd w:val="clear" w:color="auto" w:fill="EEECE1"/>
          </w:tcPr>
          <w:p w14:paraId="542464DC" w14:textId="77777777" w:rsidR="004560FE" w:rsidRPr="00C90E06" w:rsidRDefault="004560FE" w:rsidP="004560FE">
            <w:pPr>
              <w:jc w:val="both"/>
            </w:pPr>
            <w:r w:rsidRPr="00C90E06">
              <w:t>5</w:t>
            </w:r>
          </w:p>
        </w:tc>
        <w:tc>
          <w:tcPr>
            <w:tcW w:w="1867" w:type="dxa"/>
          </w:tcPr>
          <w:p w14:paraId="133E2098" w14:textId="77777777" w:rsidR="004560FE" w:rsidRPr="00C90E06" w:rsidRDefault="004560FE" w:rsidP="004560FE">
            <w:pPr>
              <w:jc w:val="both"/>
              <w:rPr>
                <w:lang w:val="en-US" w:eastAsia="en-US"/>
              </w:rPr>
            </w:pPr>
            <w:r w:rsidRPr="00C90E06">
              <w:rPr>
                <w:lang w:val="en-US" w:eastAsia="en-US"/>
              </w:rPr>
              <w:t>Establishment of the peace huts</w:t>
            </w:r>
          </w:p>
        </w:tc>
        <w:tc>
          <w:tcPr>
            <w:tcW w:w="1733" w:type="dxa"/>
          </w:tcPr>
          <w:p w14:paraId="18948456" w14:textId="77777777" w:rsidR="004560FE" w:rsidRPr="00C90E06" w:rsidRDefault="004560FE" w:rsidP="004560FE">
            <w:pPr>
              <w:jc w:val="both"/>
            </w:pPr>
            <w:r w:rsidRPr="00C90E06">
              <w:t xml:space="preserve">5 </w:t>
            </w:r>
          </w:p>
          <w:p w14:paraId="5175246F" w14:textId="355818B1" w:rsidR="004560FE" w:rsidRPr="00C90E06" w:rsidRDefault="004560FE" w:rsidP="004560FE">
            <w:pPr>
              <w:jc w:val="both"/>
            </w:pPr>
          </w:p>
        </w:tc>
        <w:tc>
          <w:tcPr>
            <w:tcW w:w="4770" w:type="dxa"/>
          </w:tcPr>
          <w:p w14:paraId="7141B75F" w14:textId="2E282BB2" w:rsidR="00BE3B3C" w:rsidRPr="00C90E06" w:rsidRDefault="00BE3B3C" w:rsidP="00BE3B3C">
            <w:pPr>
              <w:jc w:val="both"/>
            </w:pPr>
            <w:r w:rsidRPr="00C90E06">
              <w:rPr>
                <w:lang w:val="en-US" w:eastAsia="en-US"/>
              </w:rPr>
              <w:t>Target achieved.</w:t>
            </w:r>
          </w:p>
          <w:p w14:paraId="7202AD18" w14:textId="50E80CD9" w:rsidR="004560FE" w:rsidRPr="00C90E06" w:rsidRDefault="004560FE" w:rsidP="004560FE">
            <w:pPr>
              <w:pStyle w:val="ListParagraph"/>
              <w:numPr>
                <w:ilvl w:val="0"/>
                <w:numId w:val="14"/>
              </w:numPr>
              <w:jc w:val="both"/>
            </w:pPr>
            <w:r w:rsidRPr="00C90E06">
              <w:t>Early marriage</w:t>
            </w:r>
          </w:p>
          <w:p w14:paraId="6BB7652E" w14:textId="77777777" w:rsidR="004560FE" w:rsidRPr="00C90E06" w:rsidRDefault="004560FE" w:rsidP="004560FE">
            <w:pPr>
              <w:pStyle w:val="ListParagraph"/>
              <w:numPr>
                <w:ilvl w:val="0"/>
                <w:numId w:val="14"/>
              </w:numPr>
              <w:jc w:val="both"/>
            </w:pPr>
            <w:r w:rsidRPr="00C90E06">
              <w:t>Wife inheritance</w:t>
            </w:r>
          </w:p>
          <w:p w14:paraId="75B19277" w14:textId="77777777" w:rsidR="004560FE" w:rsidRPr="00C90E06" w:rsidRDefault="004560FE" w:rsidP="004560FE">
            <w:pPr>
              <w:pStyle w:val="ListParagraph"/>
              <w:numPr>
                <w:ilvl w:val="0"/>
                <w:numId w:val="14"/>
              </w:numPr>
              <w:jc w:val="both"/>
            </w:pPr>
            <w:r w:rsidRPr="00C90E06">
              <w:t>Property ownership</w:t>
            </w:r>
          </w:p>
          <w:p w14:paraId="4E6C3D58" w14:textId="77777777" w:rsidR="004560FE" w:rsidRPr="00C90E06" w:rsidRDefault="004560FE" w:rsidP="004560FE">
            <w:pPr>
              <w:pStyle w:val="ListParagraph"/>
              <w:numPr>
                <w:ilvl w:val="0"/>
                <w:numId w:val="14"/>
              </w:numPr>
              <w:jc w:val="both"/>
            </w:pPr>
            <w:r w:rsidRPr="00C90E06">
              <w:t>Girl – child education</w:t>
            </w:r>
          </w:p>
          <w:p w14:paraId="240BB26B" w14:textId="1211C2D6" w:rsidR="004560FE" w:rsidRPr="00C90E06" w:rsidRDefault="004560FE" w:rsidP="004560FE">
            <w:pPr>
              <w:pStyle w:val="ListParagraph"/>
              <w:numPr>
                <w:ilvl w:val="0"/>
                <w:numId w:val="14"/>
              </w:numPr>
              <w:jc w:val="both"/>
            </w:pPr>
            <w:r w:rsidRPr="00C90E06">
              <w:t>Revenge killings</w:t>
            </w:r>
          </w:p>
        </w:tc>
      </w:tr>
      <w:tr w:rsidR="004560FE" w:rsidRPr="00C90E06" w14:paraId="02896D1B" w14:textId="77777777" w:rsidTr="00C82888">
        <w:trPr>
          <w:trHeight w:val="467"/>
        </w:trPr>
        <w:tc>
          <w:tcPr>
            <w:tcW w:w="1530" w:type="dxa"/>
            <w:vMerge/>
          </w:tcPr>
          <w:p w14:paraId="7B9A15FC" w14:textId="77777777" w:rsidR="004560FE" w:rsidRPr="00C90E06" w:rsidRDefault="004560FE" w:rsidP="004560FE">
            <w:pPr>
              <w:jc w:val="both"/>
              <w:rPr>
                <w:lang w:val="en-US" w:eastAsia="en-US"/>
              </w:rPr>
            </w:pPr>
          </w:p>
        </w:tc>
        <w:tc>
          <w:tcPr>
            <w:tcW w:w="2497" w:type="dxa"/>
            <w:shd w:val="clear" w:color="auto" w:fill="EEECE1"/>
          </w:tcPr>
          <w:p w14:paraId="614A5DB4" w14:textId="77777777" w:rsidR="004560FE" w:rsidRPr="00C90E06" w:rsidRDefault="004560FE" w:rsidP="004560FE">
            <w:pPr>
              <w:jc w:val="both"/>
              <w:rPr>
                <w:u w:val="single"/>
              </w:rPr>
            </w:pPr>
            <w:r w:rsidRPr="00C90E06">
              <w:rPr>
                <w:u w:val="single"/>
              </w:rPr>
              <w:t>Output indicator 1.2.2</w:t>
            </w:r>
          </w:p>
          <w:p w14:paraId="7CF9B7A6" w14:textId="77777777" w:rsidR="004560FE" w:rsidRPr="00C90E06" w:rsidRDefault="004560FE" w:rsidP="004560FE">
            <w:pPr>
              <w:jc w:val="both"/>
            </w:pPr>
            <w:r w:rsidRPr="00C90E06">
              <w:t>Number of women’s peace huts/ women centres functional</w:t>
            </w:r>
          </w:p>
          <w:p w14:paraId="130765C6" w14:textId="77777777" w:rsidR="004560FE" w:rsidRPr="00C90E06" w:rsidRDefault="004560FE" w:rsidP="004560FE">
            <w:pPr>
              <w:jc w:val="both"/>
              <w:rPr>
                <w:lang w:val="en-US" w:eastAsia="en-US"/>
              </w:rPr>
            </w:pPr>
          </w:p>
        </w:tc>
        <w:tc>
          <w:tcPr>
            <w:tcW w:w="1260" w:type="dxa"/>
            <w:shd w:val="clear" w:color="auto" w:fill="EEECE1"/>
          </w:tcPr>
          <w:p w14:paraId="1DD82A2F" w14:textId="77777777" w:rsidR="004560FE" w:rsidRPr="00C90E06" w:rsidRDefault="004560FE" w:rsidP="004560FE">
            <w:pPr>
              <w:jc w:val="both"/>
              <w:rPr>
                <w:lang w:val="en-US" w:eastAsia="en-US"/>
              </w:rPr>
            </w:pPr>
            <w:r w:rsidRPr="00C90E06">
              <w:rPr>
                <w:lang w:val="en-US" w:eastAsia="en-US"/>
              </w:rPr>
              <w:t>4</w:t>
            </w:r>
          </w:p>
        </w:tc>
        <w:tc>
          <w:tcPr>
            <w:tcW w:w="1463" w:type="dxa"/>
            <w:shd w:val="clear" w:color="auto" w:fill="EEECE1"/>
          </w:tcPr>
          <w:p w14:paraId="08D70AF8" w14:textId="77777777" w:rsidR="004560FE" w:rsidRPr="00C90E06" w:rsidRDefault="004560FE" w:rsidP="004560FE">
            <w:pPr>
              <w:jc w:val="both"/>
            </w:pPr>
            <w:r w:rsidRPr="00C90E06">
              <w:t>5</w:t>
            </w:r>
          </w:p>
        </w:tc>
        <w:tc>
          <w:tcPr>
            <w:tcW w:w="1867" w:type="dxa"/>
          </w:tcPr>
          <w:p w14:paraId="3CCC80EB" w14:textId="77777777" w:rsidR="004560FE" w:rsidRPr="00C90E06" w:rsidRDefault="004560FE" w:rsidP="004560FE">
            <w:pPr>
              <w:jc w:val="both"/>
              <w:rPr>
                <w:lang w:val="en-US" w:eastAsia="en-US"/>
              </w:rPr>
            </w:pPr>
            <w:r w:rsidRPr="00C90E06">
              <w:rPr>
                <w:lang w:val="en-US" w:eastAsia="en-US"/>
              </w:rPr>
              <w:t>Establishment of the peace huts</w:t>
            </w:r>
          </w:p>
        </w:tc>
        <w:tc>
          <w:tcPr>
            <w:tcW w:w="1733" w:type="dxa"/>
          </w:tcPr>
          <w:p w14:paraId="0E36B417" w14:textId="77777777" w:rsidR="004560FE" w:rsidRPr="00C90E06" w:rsidRDefault="004560FE" w:rsidP="004560FE">
            <w:pPr>
              <w:jc w:val="both"/>
              <w:rPr>
                <w:lang w:val="en-US" w:eastAsia="en-US"/>
              </w:rPr>
            </w:pPr>
            <w:r w:rsidRPr="00C90E06">
              <w:rPr>
                <w:lang w:val="en-US" w:eastAsia="en-US"/>
              </w:rPr>
              <w:t>1 in Aweil</w:t>
            </w:r>
          </w:p>
          <w:p w14:paraId="0C7A9363" w14:textId="4F0F04C4" w:rsidR="004560FE" w:rsidRPr="00C90E06" w:rsidRDefault="004560FE" w:rsidP="004560FE">
            <w:pPr>
              <w:jc w:val="both"/>
              <w:rPr>
                <w:lang w:val="en-US" w:eastAsia="en-US"/>
              </w:rPr>
            </w:pPr>
          </w:p>
        </w:tc>
        <w:tc>
          <w:tcPr>
            <w:tcW w:w="4770" w:type="dxa"/>
          </w:tcPr>
          <w:p w14:paraId="5574F28A" w14:textId="2C936B3C" w:rsidR="004560FE" w:rsidRPr="00C90E06" w:rsidRDefault="004560FE" w:rsidP="004560FE">
            <w:pPr>
              <w:jc w:val="both"/>
              <w:rPr>
                <w:lang w:val="en-US" w:eastAsia="en-US"/>
              </w:rPr>
            </w:pPr>
            <w:r w:rsidRPr="00C90E06">
              <w:rPr>
                <w:lang w:val="en-US" w:eastAsia="en-US"/>
              </w:rPr>
              <w:t xml:space="preserve">3 in </w:t>
            </w:r>
            <w:proofErr w:type="spellStart"/>
            <w:r w:rsidRPr="00C90E06">
              <w:rPr>
                <w:lang w:val="en-US" w:eastAsia="en-US"/>
              </w:rPr>
              <w:t>Bor</w:t>
            </w:r>
            <w:proofErr w:type="spellEnd"/>
            <w:r w:rsidRPr="00C90E06">
              <w:rPr>
                <w:lang w:val="en-US" w:eastAsia="en-US"/>
              </w:rPr>
              <w:t xml:space="preserve"> delayed due to delays in timely land allocation and procurement of building materials due to COVID-19 travel restrictions and flooding.</w:t>
            </w:r>
          </w:p>
        </w:tc>
      </w:tr>
      <w:tr w:rsidR="004560FE" w:rsidRPr="00C90E06" w14:paraId="522341C6" w14:textId="77777777" w:rsidTr="00C82888">
        <w:trPr>
          <w:trHeight w:val="467"/>
        </w:trPr>
        <w:tc>
          <w:tcPr>
            <w:tcW w:w="1530" w:type="dxa"/>
            <w:vMerge/>
          </w:tcPr>
          <w:p w14:paraId="6D2B5788" w14:textId="77777777" w:rsidR="004560FE" w:rsidRPr="00C90E06" w:rsidRDefault="004560FE" w:rsidP="004560FE">
            <w:pPr>
              <w:jc w:val="both"/>
              <w:rPr>
                <w:lang w:val="en-US" w:eastAsia="en-US"/>
              </w:rPr>
            </w:pPr>
          </w:p>
        </w:tc>
        <w:tc>
          <w:tcPr>
            <w:tcW w:w="2497" w:type="dxa"/>
            <w:shd w:val="clear" w:color="auto" w:fill="EEECE1"/>
          </w:tcPr>
          <w:p w14:paraId="32C9FB7D" w14:textId="77777777" w:rsidR="004560FE" w:rsidRPr="00C90E06" w:rsidRDefault="004560FE" w:rsidP="004560FE">
            <w:pPr>
              <w:jc w:val="both"/>
              <w:rPr>
                <w:u w:val="single"/>
              </w:rPr>
            </w:pPr>
            <w:r w:rsidRPr="00C90E06">
              <w:rPr>
                <w:u w:val="single"/>
              </w:rPr>
              <w:t>Output indicator 1.2.3</w:t>
            </w:r>
          </w:p>
          <w:p w14:paraId="09C1B75D" w14:textId="77777777" w:rsidR="004560FE" w:rsidRPr="00C90E06" w:rsidRDefault="004560FE" w:rsidP="004560FE">
            <w:pPr>
              <w:jc w:val="both"/>
            </w:pPr>
            <w:r w:rsidRPr="00C90E06">
              <w:t xml:space="preserve">Number of community members reached on GBV response and importance of women participation (SADD). </w:t>
            </w:r>
          </w:p>
          <w:p w14:paraId="67A4332A" w14:textId="77777777" w:rsidR="004560FE" w:rsidRPr="00C90E06" w:rsidRDefault="004560FE" w:rsidP="004560FE">
            <w:pPr>
              <w:jc w:val="both"/>
              <w:rPr>
                <w:u w:val="single"/>
              </w:rPr>
            </w:pPr>
          </w:p>
        </w:tc>
        <w:tc>
          <w:tcPr>
            <w:tcW w:w="1260" w:type="dxa"/>
            <w:shd w:val="clear" w:color="auto" w:fill="EEECE1"/>
          </w:tcPr>
          <w:p w14:paraId="214BBDEF" w14:textId="77777777" w:rsidR="004560FE" w:rsidRPr="00C90E06" w:rsidRDefault="004560FE" w:rsidP="004560FE">
            <w:pPr>
              <w:jc w:val="both"/>
              <w:rPr>
                <w:lang w:val="en-US" w:eastAsia="en-US"/>
              </w:rPr>
            </w:pPr>
            <w:r w:rsidRPr="00C90E06">
              <w:rPr>
                <w:lang w:val="en-US" w:eastAsia="en-US"/>
              </w:rPr>
              <w:t>0</w:t>
            </w:r>
          </w:p>
        </w:tc>
        <w:tc>
          <w:tcPr>
            <w:tcW w:w="1463" w:type="dxa"/>
            <w:shd w:val="clear" w:color="auto" w:fill="EEECE1"/>
          </w:tcPr>
          <w:p w14:paraId="71C22DF9" w14:textId="77777777" w:rsidR="004560FE" w:rsidRPr="00C90E06" w:rsidRDefault="004560FE" w:rsidP="004560FE">
            <w:pPr>
              <w:jc w:val="both"/>
            </w:pPr>
            <w:r w:rsidRPr="00C90E06">
              <w:t>5000 (60% women and girls)</w:t>
            </w:r>
          </w:p>
        </w:tc>
        <w:tc>
          <w:tcPr>
            <w:tcW w:w="1867" w:type="dxa"/>
          </w:tcPr>
          <w:p w14:paraId="416A937B" w14:textId="77777777" w:rsidR="004560FE" w:rsidRPr="00C90E06" w:rsidRDefault="004560FE" w:rsidP="004560FE">
            <w:pPr>
              <w:jc w:val="both"/>
              <w:rPr>
                <w:lang w:val="en-US" w:eastAsia="en-US"/>
              </w:rPr>
            </w:pPr>
            <w:r w:rsidRPr="00C90E06">
              <w:rPr>
                <w:lang w:val="en-US" w:eastAsia="en-US"/>
              </w:rPr>
              <w:t>Establishment of the peace huts</w:t>
            </w:r>
          </w:p>
        </w:tc>
        <w:tc>
          <w:tcPr>
            <w:tcW w:w="1733" w:type="dxa"/>
          </w:tcPr>
          <w:p w14:paraId="5886165D" w14:textId="77777777" w:rsidR="004560FE" w:rsidRPr="00C90E06" w:rsidRDefault="004560FE" w:rsidP="004560FE">
            <w:pPr>
              <w:jc w:val="both"/>
              <w:rPr>
                <w:lang w:val="en-US" w:eastAsia="en-US"/>
              </w:rPr>
            </w:pPr>
            <w:r w:rsidRPr="00C90E06">
              <w:rPr>
                <w:lang w:val="en-US" w:eastAsia="en-US"/>
              </w:rPr>
              <w:t xml:space="preserve">1,428 women </w:t>
            </w:r>
          </w:p>
          <w:p w14:paraId="30A8B06C" w14:textId="2B14CD65" w:rsidR="004560FE" w:rsidRPr="00C90E06" w:rsidRDefault="004560FE" w:rsidP="004560FE">
            <w:pPr>
              <w:jc w:val="both"/>
              <w:rPr>
                <w:lang w:val="en-US" w:eastAsia="en-US"/>
              </w:rPr>
            </w:pPr>
            <w:r w:rsidRPr="00C90E06">
              <w:rPr>
                <w:lang w:val="en-US" w:eastAsia="en-US"/>
              </w:rPr>
              <w:t>195 men</w:t>
            </w:r>
          </w:p>
        </w:tc>
        <w:tc>
          <w:tcPr>
            <w:tcW w:w="4770" w:type="dxa"/>
          </w:tcPr>
          <w:p w14:paraId="5284F7CC" w14:textId="3C144315" w:rsidR="004560FE" w:rsidRPr="00C90E06" w:rsidRDefault="004560FE" w:rsidP="004560FE">
            <w:pPr>
              <w:jc w:val="both"/>
              <w:rPr>
                <w:lang w:val="en-US" w:eastAsia="en-US"/>
              </w:rPr>
            </w:pPr>
            <w:r w:rsidRPr="00C90E06">
              <w:rPr>
                <w:lang w:val="en-US" w:eastAsia="en-US"/>
              </w:rPr>
              <w:t xml:space="preserve">COVID-19 restrictions such as social distancing and flooding in </w:t>
            </w:r>
            <w:proofErr w:type="spellStart"/>
            <w:r w:rsidRPr="00C90E06">
              <w:rPr>
                <w:lang w:val="en-US" w:eastAsia="en-US"/>
              </w:rPr>
              <w:t>Bor</w:t>
            </w:r>
            <w:proofErr w:type="spellEnd"/>
            <w:r w:rsidRPr="00C90E06">
              <w:rPr>
                <w:lang w:val="en-US" w:eastAsia="en-US"/>
              </w:rPr>
              <w:t xml:space="preserve"> and Akobo contributed to decreased number of women and girls reached.</w:t>
            </w:r>
          </w:p>
        </w:tc>
      </w:tr>
      <w:tr w:rsidR="004560FE" w:rsidRPr="00C90E06" w14:paraId="3FFDC1C6" w14:textId="77777777" w:rsidTr="00C82888">
        <w:trPr>
          <w:trHeight w:val="467"/>
        </w:trPr>
        <w:tc>
          <w:tcPr>
            <w:tcW w:w="1530" w:type="dxa"/>
            <w:vMerge/>
          </w:tcPr>
          <w:p w14:paraId="2D9F1BA7" w14:textId="77777777" w:rsidR="004560FE" w:rsidRPr="00C90E06" w:rsidRDefault="004560FE" w:rsidP="004560FE">
            <w:pPr>
              <w:jc w:val="both"/>
              <w:rPr>
                <w:lang w:val="en-US" w:eastAsia="en-US"/>
              </w:rPr>
            </w:pPr>
          </w:p>
        </w:tc>
        <w:tc>
          <w:tcPr>
            <w:tcW w:w="2497" w:type="dxa"/>
            <w:shd w:val="clear" w:color="auto" w:fill="EEECE1"/>
          </w:tcPr>
          <w:p w14:paraId="4BF49D86" w14:textId="77777777" w:rsidR="004560FE" w:rsidRPr="00C90E06" w:rsidRDefault="004560FE" w:rsidP="004560FE">
            <w:pPr>
              <w:jc w:val="both"/>
              <w:rPr>
                <w:u w:val="single"/>
              </w:rPr>
            </w:pPr>
            <w:r w:rsidRPr="00C90E06">
              <w:rPr>
                <w:u w:val="single"/>
              </w:rPr>
              <w:t>Output indicator 1.2.4</w:t>
            </w:r>
          </w:p>
          <w:p w14:paraId="024BFEF1" w14:textId="77777777" w:rsidR="004560FE" w:rsidRPr="00C90E06" w:rsidRDefault="004560FE" w:rsidP="004560FE">
            <w:pPr>
              <w:jc w:val="both"/>
            </w:pPr>
            <w:r w:rsidRPr="00C90E06">
              <w:t xml:space="preserve"># of women trained on facilitation skills on </w:t>
            </w:r>
            <w:r w:rsidRPr="00C90E06">
              <w:lastRenderedPageBreak/>
              <w:t>women participation in peace</w:t>
            </w:r>
          </w:p>
        </w:tc>
        <w:tc>
          <w:tcPr>
            <w:tcW w:w="1260" w:type="dxa"/>
            <w:shd w:val="clear" w:color="auto" w:fill="EEECE1"/>
          </w:tcPr>
          <w:p w14:paraId="38800E30" w14:textId="77777777" w:rsidR="004560FE" w:rsidRPr="00C90E06" w:rsidRDefault="004560FE" w:rsidP="004560FE">
            <w:pPr>
              <w:jc w:val="both"/>
              <w:rPr>
                <w:lang w:val="en-US" w:eastAsia="en-US"/>
              </w:rPr>
            </w:pPr>
            <w:r w:rsidRPr="00C90E06">
              <w:rPr>
                <w:lang w:val="en-US" w:eastAsia="en-US"/>
              </w:rPr>
              <w:lastRenderedPageBreak/>
              <w:t>0</w:t>
            </w:r>
          </w:p>
        </w:tc>
        <w:tc>
          <w:tcPr>
            <w:tcW w:w="1463" w:type="dxa"/>
            <w:shd w:val="clear" w:color="auto" w:fill="EEECE1"/>
          </w:tcPr>
          <w:p w14:paraId="23AD087B" w14:textId="77777777" w:rsidR="004560FE" w:rsidRPr="00C90E06" w:rsidRDefault="004560FE" w:rsidP="004560FE">
            <w:pPr>
              <w:jc w:val="both"/>
            </w:pPr>
            <w:r w:rsidRPr="00C90E06">
              <w:t>350</w:t>
            </w:r>
          </w:p>
        </w:tc>
        <w:tc>
          <w:tcPr>
            <w:tcW w:w="1867" w:type="dxa"/>
          </w:tcPr>
          <w:p w14:paraId="402B1446" w14:textId="77777777" w:rsidR="004560FE" w:rsidRPr="00C90E06" w:rsidRDefault="004560FE" w:rsidP="004560FE">
            <w:pPr>
              <w:jc w:val="both"/>
              <w:rPr>
                <w:lang w:val="en-US" w:eastAsia="en-US"/>
              </w:rPr>
            </w:pPr>
            <w:r w:rsidRPr="00C90E06">
              <w:rPr>
                <w:lang w:val="en-US" w:eastAsia="en-US"/>
              </w:rPr>
              <w:t>Establishment of the peace huts</w:t>
            </w:r>
          </w:p>
        </w:tc>
        <w:tc>
          <w:tcPr>
            <w:tcW w:w="1733" w:type="dxa"/>
          </w:tcPr>
          <w:p w14:paraId="4FB5A71B" w14:textId="6AFD6FBC" w:rsidR="004560FE" w:rsidRPr="00C90E06" w:rsidRDefault="004560FE" w:rsidP="004560FE">
            <w:pPr>
              <w:jc w:val="both"/>
              <w:rPr>
                <w:lang w:val="en-US" w:eastAsia="en-US"/>
              </w:rPr>
            </w:pPr>
            <w:r w:rsidRPr="00C90E06">
              <w:rPr>
                <w:lang w:val="en-US" w:eastAsia="en-US"/>
              </w:rPr>
              <w:t>44 Women</w:t>
            </w:r>
          </w:p>
        </w:tc>
        <w:tc>
          <w:tcPr>
            <w:tcW w:w="4770" w:type="dxa"/>
          </w:tcPr>
          <w:p w14:paraId="06D8A34F" w14:textId="7E6A52D6" w:rsidR="004560FE" w:rsidRPr="00C90E06" w:rsidRDefault="004560FE" w:rsidP="004560FE">
            <w:pPr>
              <w:jc w:val="both"/>
              <w:rPr>
                <w:lang w:val="en-US" w:eastAsia="en-US"/>
              </w:rPr>
            </w:pPr>
            <w:r w:rsidRPr="00C90E06">
              <w:rPr>
                <w:lang w:val="en-US" w:eastAsia="en-US"/>
              </w:rPr>
              <w:t>COVID-19 restrictions such as social distancing and flooding contributed to decreased number of women and girls reached.</w:t>
            </w:r>
          </w:p>
        </w:tc>
      </w:tr>
      <w:tr w:rsidR="0033394F" w:rsidRPr="00C90E06" w14:paraId="6542A7C3" w14:textId="77777777" w:rsidTr="00C82888">
        <w:trPr>
          <w:trHeight w:val="422"/>
        </w:trPr>
        <w:tc>
          <w:tcPr>
            <w:tcW w:w="1530" w:type="dxa"/>
            <w:vMerge w:val="restart"/>
          </w:tcPr>
          <w:p w14:paraId="04FFABFD" w14:textId="77777777" w:rsidR="0033394F" w:rsidRPr="00C90E06" w:rsidRDefault="0033394F" w:rsidP="0033394F">
            <w:pPr>
              <w:jc w:val="both"/>
              <w:rPr>
                <w:b/>
                <w:lang w:val="en-US" w:eastAsia="en-US"/>
              </w:rPr>
            </w:pPr>
            <w:r w:rsidRPr="00C90E06">
              <w:rPr>
                <w:b/>
                <w:lang w:val="en-US" w:eastAsia="en-US"/>
              </w:rPr>
              <w:t>Output 1.3</w:t>
            </w:r>
          </w:p>
          <w:p w14:paraId="5F75C154" w14:textId="77777777" w:rsidR="0033394F" w:rsidRPr="00C90E06" w:rsidRDefault="0033394F" w:rsidP="0033394F">
            <w:pPr>
              <w:jc w:val="both"/>
              <w:rPr>
                <w:lang w:val="en-US" w:eastAsia="en-US"/>
              </w:rPr>
            </w:pPr>
            <w:r w:rsidRPr="00C90E06">
              <w:rPr>
                <w:lang w:val="en-US" w:eastAsia="en-US"/>
              </w:rPr>
              <w:t>Increased access of GBV survivors to justice mechanisms</w:t>
            </w:r>
          </w:p>
        </w:tc>
        <w:tc>
          <w:tcPr>
            <w:tcW w:w="2497" w:type="dxa"/>
            <w:shd w:val="clear" w:color="auto" w:fill="EEECE1"/>
          </w:tcPr>
          <w:p w14:paraId="4386AB1A" w14:textId="77777777" w:rsidR="0033394F" w:rsidRPr="00C90E06" w:rsidRDefault="0033394F" w:rsidP="0033394F">
            <w:pPr>
              <w:jc w:val="both"/>
              <w:rPr>
                <w:lang w:val="en-US" w:eastAsia="en-US"/>
              </w:rPr>
            </w:pPr>
            <w:r w:rsidRPr="00C90E06">
              <w:rPr>
                <w:lang w:val="en-US" w:eastAsia="en-US"/>
              </w:rPr>
              <w:t>Indicator 1.3.1</w:t>
            </w:r>
          </w:p>
          <w:p w14:paraId="205EDA64" w14:textId="77777777" w:rsidR="0033394F" w:rsidRPr="00C90E06" w:rsidRDefault="0033394F" w:rsidP="0033394F">
            <w:pPr>
              <w:jc w:val="both"/>
              <w:rPr>
                <w:u w:val="single"/>
              </w:rPr>
            </w:pPr>
            <w:r w:rsidRPr="00C90E06">
              <w:rPr>
                <w:u w:val="single"/>
              </w:rPr>
              <w:t>Output Indicator 3.1</w:t>
            </w:r>
          </w:p>
          <w:p w14:paraId="71ECEEEA" w14:textId="77777777" w:rsidR="0033394F" w:rsidRPr="00C90E06" w:rsidRDefault="0033394F" w:rsidP="0033394F">
            <w:pPr>
              <w:jc w:val="both"/>
              <w:rPr>
                <w:lang w:val="en-US" w:eastAsia="en-US"/>
              </w:rPr>
            </w:pPr>
            <w:r w:rsidRPr="00C90E06">
              <w:t>Existence of functional mobile court system to adjudicate GBV cases</w:t>
            </w:r>
          </w:p>
        </w:tc>
        <w:tc>
          <w:tcPr>
            <w:tcW w:w="1260" w:type="dxa"/>
            <w:shd w:val="clear" w:color="auto" w:fill="EEECE1"/>
          </w:tcPr>
          <w:p w14:paraId="299676E1" w14:textId="77777777" w:rsidR="0033394F" w:rsidRPr="00C90E06" w:rsidRDefault="0033394F" w:rsidP="0033394F">
            <w:pPr>
              <w:jc w:val="both"/>
            </w:pPr>
            <w:r w:rsidRPr="00C90E06">
              <w:rPr>
                <w:lang w:val="en-US" w:eastAsia="en-US"/>
              </w:rPr>
              <w:t>No</w:t>
            </w:r>
          </w:p>
        </w:tc>
        <w:tc>
          <w:tcPr>
            <w:tcW w:w="1463" w:type="dxa"/>
            <w:shd w:val="clear" w:color="auto" w:fill="EEECE1"/>
          </w:tcPr>
          <w:p w14:paraId="0C5B508F" w14:textId="77777777" w:rsidR="0033394F" w:rsidRPr="00C90E06" w:rsidRDefault="0033394F" w:rsidP="0033394F">
            <w:pPr>
              <w:jc w:val="both"/>
            </w:pPr>
            <w:r w:rsidRPr="00C90E06">
              <w:rPr>
                <w:lang w:val="en-US" w:eastAsia="en-US"/>
              </w:rPr>
              <w:t>Yes</w:t>
            </w:r>
          </w:p>
        </w:tc>
        <w:tc>
          <w:tcPr>
            <w:tcW w:w="1867" w:type="dxa"/>
          </w:tcPr>
          <w:p w14:paraId="262E47FB" w14:textId="77777777" w:rsidR="0033394F" w:rsidRPr="00C90E06" w:rsidRDefault="0033394F" w:rsidP="0033394F">
            <w:pPr>
              <w:jc w:val="both"/>
              <w:rPr>
                <w:lang w:val="en-US" w:eastAsia="en-US"/>
              </w:rPr>
            </w:pPr>
            <w:r w:rsidRPr="00C90E06">
              <w:rPr>
                <w:lang w:val="en-US" w:eastAsia="en-US"/>
              </w:rPr>
              <w:t>Mobile court setting up preparation</w:t>
            </w:r>
          </w:p>
        </w:tc>
        <w:tc>
          <w:tcPr>
            <w:tcW w:w="1733" w:type="dxa"/>
          </w:tcPr>
          <w:p w14:paraId="588C2D57" w14:textId="3A5390DB" w:rsidR="0033394F" w:rsidRPr="00C90E06" w:rsidRDefault="0033394F" w:rsidP="004560FE">
            <w:pPr>
              <w:jc w:val="both"/>
            </w:pPr>
            <w:r w:rsidRPr="00C90E06">
              <w:rPr>
                <w:lang w:val="en-US" w:eastAsia="en-US"/>
              </w:rPr>
              <w:t xml:space="preserve">Yes. </w:t>
            </w:r>
          </w:p>
        </w:tc>
        <w:tc>
          <w:tcPr>
            <w:tcW w:w="4770" w:type="dxa"/>
          </w:tcPr>
          <w:p w14:paraId="14B4558C" w14:textId="6C6942D2" w:rsidR="0033394F" w:rsidRPr="00C90E06" w:rsidRDefault="00BE3B3C" w:rsidP="0033394F">
            <w:pPr>
              <w:jc w:val="both"/>
            </w:pPr>
            <w:r w:rsidRPr="00C90E06">
              <w:rPr>
                <w:lang w:val="en-US" w:eastAsia="en-US"/>
              </w:rPr>
              <w:t xml:space="preserve">Target achieved. </w:t>
            </w:r>
            <w:r w:rsidR="004560FE" w:rsidRPr="00C90E06">
              <w:rPr>
                <w:lang w:val="en-US" w:eastAsia="en-US"/>
              </w:rPr>
              <w:t xml:space="preserve">Three mobile courts dispatched to Kapoeta, Yambio and </w:t>
            </w:r>
            <w:proofErr w:type="spellStart"/>
            <w:r w:rsidR="004560FE" w:rsidRPr="00C90E06">
              <w:rPr>
                <w:lang w:val="en-US" w:eastAsia="en-US"/>
              </w:rPr>
              <w:t>Terekeka</w:t>
            </w:r>
            <w:proofErr w:type="spellEnd"/>
            <w:r w:rsidR="004560FE" w:rsidRPr="00C90E06">
              <w:rPr>
                <w:lang w:val="en-US" w:eastAsia="en-US"/>
              </w:rPr>
              <w:t xml:space="preserve"> [prioritized the adjudication of 8 GBV cases. </w:t>
            </w:r>
            <w:r w:rsidR="0033394F" w:rsidRPr="00C90E06">
              <w:rPr>
                <w:lang w:val="en-US" w:eastAsia="en-US"/>
              </w:rPr>
              <w:t>The mobile court teams continue to be engaged to prioritize adjudication of GBV cases.</w:t>
            </w:r>
          </w:p>
        </w:tc>
      </w:tr>
      <w:tr w:rsidR="00442B50" w:rsidRPr="00C90E06" w14:paraId="16BE5F51" w14:textId="77777777" w:rsidTr="00C82888">
        <w:trPr>
          <w:trHeight w:val="422"/>
        </w:trPr>
        <w:tc>
          <w:tcPr>
            <w:tcW w:w="1530" w:type="dxa"/>
            <w:vMerge/>
          </w:tcPr>
          <w:p w14:paraId="492ABDC1" w14:textId="77777777" w:rsidR="00442B50" w:rsidRPr="00C90E06" w:rsidRDefault="00442B50" w:rsidP="00442B50">
            <w:pPr>
              <w:jc w:val="both"/>
              <w:rPr>
                <w:lang w:val="en-US" w:eastAsia="en-US"/>
              </w:rPr>
            </w:pPr>
          </w:p>
        </w:tc>
        <w:tc>
          <w:tcPr>
            <w:tcW w:w="2497" w:type="dxa"/>
            <w:shd w:val="clear" w:color="auto" w:fill="EEECE1"/>
          </w:tcPr>
          <w:p w14:paraId="07BE6DC2" w14:textId="77777777" w:rsidR="00442B50" w:rsidRPr="00C90E06" w:rsidRDefault="00442B50" w:rsidP="00442B50">
            <w:pPr>
              <w:jc w:val="both"/>
              <w:rPr>
                <w:lang w:val="en-US" w:eastAsia="en-US"/>
              </w:rPr>
            </w:pPr>
            <w:r w:rsidRPr="00C90E06">
              <w:rPr>
                <w:lang w:val="en-US" w:eastAsia="en-US"/>
              </w:rPr>
              <w:t>Indicator 1.3.2</w:t>
            </w:r>
          </w:p>
          <w:p w14:paraId="2F855A62" w14:textId="77777777" w:rsidR="00442B50" w:rsidRPr="00C90E06" w:rsidRDefault="00442B50" w:rsidP="00442B50">
            <w:pPr>
              <w:jc w:val="both"/>
            </w:pPr>
            <w:r w:rsidRPr="00C90E06">
              <w:t xml:space="preserve">% of cases prosecuted to completion </w:t>
            </w:r>
          </w:p>
          <w:p w14:paraId="29E93034" w14:textId="77777777" w:rsidR="00442B50" w:rsidRPr="00C90E06" w:rsidRDefault="00442B50" w:rsidP="00442B50">
            <w:pPr>
              <w:jc w:val="both"/>
              <w:rPr>
                <w:lang w:val="en-US" w:eastAsia="en-US"/>
              </w:rPr>
            </w:pPr>
          </w:p>
        </w:tc>
        <w:tc>
          <w:tcPr>
            <w:tcW w:w="1260" w:type="dxa"/>
            <w:shd w:val="clear" w:color="auto" w:fill="EEECE1"/>
          </w:tcPr>
          <w:p w14:paraId="71EB031E" w14:textId="77777777" w:rsidR="00442B50" w:rsidRPr="00C90E06" w:rsidRDefault="00442B50" w:rsidP="00442B50">
            <w:pPr>
              <w:jc w:val="both"/>
            </w:pPr>
            <w:r w:rsidRPr="00C90E06">
              <w:rPr>
                <w:lang w:val="en-US" w:eastAsia="en-US"/>
              </w:rPr>
              <w:t>0</w:t>
            </w:r>
          </w:p>
        </w:tc>
        <w:tc>
          <w:tcPr>
            <w:tcW w:w="1463" w:type="dxa"/>
            <w:shd w:val="clear" w:color="auto" w:fill="EEECE1"/>
          </w:tcPr>
          <w:p w14:paraId="5FE399FF" w14:textId="77777777" w:rsidR="00442B50" w:rsidRPr="00C90E06" w:rsidRDefault="00442B50" w:rsidP="00442B50">
            <w:pPr>
              <w:jc w:val="both"/>
            </w:pPr>
            <w:r w:rsidRPr="00C90E06">
              <w:rPr>
                <w:lang w:val="en-US" w:eastAsia="en-US"/>
              </w:rPr>
              <w:t>5%</w:t>
            </w:r>
          </w:p>
        </w:tc>
        <w:tc>
          <w:tcPr>
            <w:tcW w:w="1867" w:type="dxa"/>
          </w:tcPr>
          <w:p w14:paraId="3997AE78" w14:textId="77777777" w:rsidR="00442B50" w:rsidRPr="00C90E06" w:rsidRDefault="00442B50" w:rsidP="00442B50">
            <w:pPr>
              <w:jc w:val="both"/>
              <w:rPr>
                <w:lang w:val="en-US" w:eastAsia="en-US"/>
              </w:rPr>
            </w:pPr>
            <w:r w:rsidRPr="00C90E06">
              <w:rPr>
                <w:lang w:val="en-US" w:eastAsia="en-US"/>
              </w:rPr>
              <w:t>Cases currently in court</w:t>
            </w:r>
          </w:p>
        </w:tc>
        <w:tc>
          <w:tcPr>
            <w:tcW w:w="1733" w:type="dxa"/>
          </w:tcPr>
          <w:p w14:paraId="0B0CFB7A" w14:textId="0D8028B3" w:rsidR="00442B50" w:rsidRPr="00C90E06" w:rsidRDefault="00442B50" w:rsidP="00442B50">
            <w:pPr>
              <w:jc w:val="both"/>
            </w:pPr>
            <w:r w:rsidRPr="00C90E06">
              <w:rPr>
                <w:lang w:val="en-US" w:eastAsia="en-US"/>
              </w:rPr>
              <w:t>As per the set target in the project document</w:t>
            </w:r>
          </w:p>
        </w:tc>
        <w:tc>
          <w:tcPr>
            <w:tcW w:w="4770" w:type="dxa"/>
          </w:tcPr>
          <w:p w14:paraId="0C182E8C" w14:textId="3911A85A" w:rsidR="00442B50" w:rsidRPr="00C90E06" w:rsidRDefault="00BE3B3C" w:rsidP="00BE3B3C">
            <w:pPr>
              <w:jc w:val="both"/>
            </w:pPr>
            <w:r w:rsidRPr="00C90E06">
              <w:rPr>
                <w:lang w:val="en-US" w:eastAsia="en-US"/>
              </w:rPr>
              <w:t>Target achieved</w:t>
            </w:r>
          </w:p>
        </w:tc>
      </w:tr>
      <w:tr w:rsidR="00442B50" w:rsidRPr="00C90E06" w14:paraId="70BFE176" w14:textId="77777777" w:rsidTr="00C82888">
        <w:trPr>
          <w:trHeight w:val="422"/>
        </w:trPr>
        <w:tc>
          <w:tcPr>
            <w:tcW w:w="1530" w:type="dxa"/>
            <w:vMerge/>
          </w:tcPr>
          <w:p w14:paraId="205B7195" w14:textId="77777777" w:rsidR="00442B50" w:rsidRPr="00C90E06" w:rsidRDefault="00442B50" w:rsidP="00442B50">
            <w:pPr>
              <w:jc w:val="both"/>
              <w:rPr>
                <w:lang w:val="en-US" w:eastAsia="en-US"/>
              </w:rPr>
            </w:pPr>
          </w:p>
        </w:tc>
        <w:tc>
          <w:tcPr>
            <w:tcW w:w="2497" w:type="dxa"/>
            <w:shd w:val="clear" w:color="auto" w:fill="EEECE1"/>
          </w:tcPr>
          <w:p w14:paraId="6F211BB8" w14:textId="77777777" w:rsidR="00442B50" w:rsidRPr="00C90E06" w:rsidRDefault="00442B50" w:rsidP="00442B50">
            <w:pPr>
              <w:jc w:val="both"/>
              <w:rPr>
                <w:lang w:val="en-US" w:eastAsia="en-US"/>
              </w:rPr>
            </w:pPr>
            <w:r w:rsidRPr="00C90E06">
              <w:rPr>
                <w:lang w:val="en-US" w:eastAsia="en-US"/>
              </w:rPr>
              <w:t xml:space="preserve">Indicator 1.3.3 </w:t>
            </w:r>
          </w:p>
          <w:p w14:paraId="643163B1" w14:textId="77777777" w:rsidR="00442B50" w:rsidRPr="00C90E06" w:rsidRDefault="00442B50" w:rsidP="00442B50">
            <w:pPr>
              <w:jc w:val="both"/>
              <w:rPr>
                <w:lang w:val="en-US" w:eastAsia="en-US"/>
              </w:rPr>
            </w:pPr>
            <w:r w:rsidRPr="00C90E06">
              <w:rPr>
                <w:lang w:val="en-US" w:eastAsia="en-US"/>
              </w:rPr>
              <w:t>Number of community-based paralegals with skills to support dispensation of justice for survivors (SADD)</w:t>
            </w:r>
          </w:p>
        </w:tc>
        <w:tc>
          <w:tcPr>
            <w:tcW w:w="1260" w:type="dxa"/>
            <w:shd w:val="clear" w:color="auto" w:fill="EEECE1"/>
          </w:tcPr>
          <w:p w14:paraId="55CA7543" w14:textId="062BC367" w:rsidR="00442B50" w:rsidRPr="00C90E06" w:rsidRDefault="00442B50" w:rsidP="00442B50">
            <w:pPr>
              <w:jc w:val="both"/>
              <w:rPr>
                <w:lang w:val="en-US" w:eastAsia="en-US"/>
              </w:rPr>
            </w:pPr>
            <w:r w:rsidRPr="00C90E06">
              <w:rPr>
                <w:lang w:val="en-US" w:eastAsia="en-US"/>
              </w:rPr>
              <w:t>0</w:t>
            </w:r>
          </w:p>
        </w:tc>
        <w:tc>
          <w:tcPr>
            <w:tcW w:w="1463" w:type="dxa"/>
            <w:shd w:val="clear" w:color="auto" w:fill="EEECE1"/>
          </w:tcPr>
          <w:p w14:paraId="53015DC3" w14:textId="77777777" w:rsidR="00442B50" w:rsidRPr="00C90E06" w:rsidRDefault="00442B50" w:rsidP="00442B50">
            <w:pPr>
              <w:jc w:val="both"/>
              <w:rPr>
                <w:lang w:val="en-US" w:eastAsia="en-US"/>
              </w:rPr>
            </w:pPr>
            <w:r w:rsidRPr="00C90E06">
              <w:rPr>
                <w:lang w:val="en-US" w:eastAsia="en-US"/>
              </w:rPr>
              <w:t>25 per state (min 25% men)</w:t>
            </w:r>
          </w:p>
        </w:tc>
        <w:tc>
          <w:tcPr>
            <w:tcW w:w="1867" w:type="dxa"/>
          </w:tcPr>
          <w:p w14:paraId="7676D42F" w14:textId="77777777" w:rsidR="00442B50" w:rsidRPr="00C90E06" w:rsidRDefault="00442B50" w:rsidP="00442B50">
            <w:pPr>
              <w:jc w:val="both"/>
              <w:rPr>
                <w:lang w:val="en-US" w:eastAsia="en-US"/>
              </w:rPr>
            </w:pPr>
            <w:r w:rsidRPr="00C90E06">
              <w:rPr>
                <w:lang w:val="en-US" w:eastAsia="en-US"/>
              </w:rPr>
              <w:t>List of paralegals</w:t>
            </w:r>
          </w:p>
        </w:tc>
        <w:tc>
          <w:tcPr>
            <w:tcW w:w="1733" w:type="dxa"/>
          </w:tcPr>
          <w:p w14:paraId="47B700D1" w14:textId="3E288346" w:rsidR="00442B50" w:rsidRPr="00C90E06" w:rsidRDefault="00442B50" w:rsidP="00442B50">
            <w:pPr>
              <w:jc w:val="both"/>
              <w:rPr>
                <w:lang w:val="en-US" w:eastAsia="en-US"/>
              </w:rPr>
            </w:pPr>
            <w:r w:rsidRPr="00C90E06">
              <w:rPr>
                <w:lang w:val="en-US" w:eastAsia="en-US"/>
              </w:rPr>
              <w:t>As per the set target in the project document</w:t>
            </w:r>
          </w:p>
        </w:tc>
        <w:tc>
          <w:tcPr>
            <w:tcW w:w="4770" w:type="dxa"/>
          </w:tcPr>
          <w:p w14:paraId="52A72193" w14:textId="5B1334FB" w:rsidR="00442B50" w:rsidRPr="00C90E06" w:rsidRDefault="00442B50" w:rsidP="00442B50">
            <w:pPr>
              <w:jc w:val="both"/>
              <w:rPr>
                <w:lang w:val="en-US" w:eastAsia="en-US"/>
              </w:rPr>
            </w:pPr>
            <w:r w:rsidRPr="00C90E06">
              <w:rPr>
                <w:lang w:val="en-US" w:eastAsia="en-US"/>
              </w:rPr>
              <w:t>In progress</w:t>
            </w:r>
          </w:p>
        </w:tc>
      </w:tr>
      <w:tr w:rsidR="009C743E" w:rsidRPr="00C90E06" w14:paraId="30172554" w14:textId="77777777" w:rsidTr="00C82888">
        <w:trPr>
          <w:trHeight w:val="422"/>
        </w:trPr>
        <w:tc>
          <w:tcPr>
            <w:tcW w:w="1530" w:type="dxa"/>
            <w:vMerge w:val="restart"/>
          </w:tcPr>
          <w:p w14:paraId="0C395CA3" w14:textId="77777777" w:rsidR="009C743E" w:rsidRPr="00C90E06" w:rsidRDefault="009C743E" w:rsidP="009C743E">
            <w:pPr>
              <w:jc w:val="both"/>
              <w:rPr>
                <w:lang w:val="en-US" w:eastAsia="en-US"/>
              </w:rPr>
            </w:pPr>
            <w:r w:rsidRPr="00C90E06">
              <w:rPr>
                <w:lang w:val="en-US" w:eastAsia="en-US"/>
              </w:rPr>
              <w:t>Output 1.4</w:t>
            </w:r>
          </w:p>
          <w:p w14:paraId="0FA39AEE" w14:textId="77777777" w:rsidR="009C743E" w:rsidRPr="00C90E06" w:rsidRDefault="009C743E" w:rsidP="009C743E">
            <w:pPr>
              <w:jc w:val="both"/>
              <w:rPr>
                <w:lang w:val="en-US" w:eastAsia="en-US"/>
              </w:rPr>
            </w:pPr>
            <w:r w:rsidRPr="00C90E06">
              <w:rPr>
                <w:bCs/>
                <w:lang w:val="en-US" w:eastAsia="en-US"/>
              </w:rPr>
              <w:t xml:space="preserve">Communities in </w:t>
            </w:r>
            <w:proofErr w:type="spellStart"/>
            <w:r w:rsidRPr="00C90E06">
              <w:rPr>
                <w:bCs/>
                <w:lang w:val="en-US" w:eastAsia="en-US"/>
              </w:rPr>
              <w:t>Bor</w:t>
            </w:r>
            <w:proofErr w:type="spellEnd"/>
            <w:r w:rsidRPr="00C90E06">
              <w:rPr>
                <w:bCs/>
                <w:lang w:val="en-US" w:eastAsia="en-US"/>
              </w:rPr>
              <w:t xml:space="preserve"> and Aweil transform harmful social norms </w:t>
            </w:r>
            <w:r w:rsidRPr="00C90E06">
              <w:rPr>
                <w:bCs/>
                <w:lang w:val="en-US" w:eastAsia="en-US"/>
              </w:rPr>
              <w:lastRenderedPageBreak/>
              <w:t>that contribute to GBV into positive norms that promote gender equality</w:t>
            </w:r>
          </w:p>
        </w:tc>
        <w:tc>
          <w:tcPr>
            <w:tcW w:w="2497" w:type="dxa"/>
            <w:shd w:val="clear" w:color="auto" w:fill="EEECE1"/>
          </w:tcPr>
          <w:p w14:paraId="127B5B67" w14:textId="77777777" w:rsidR="009C743E" w:rsidRPr="00C90E06" w:rsidRDefault="009C743E" w:rsidP="009C743E">
            <w:pPr>
              <w:jc w:val="both"/>
              <w:rPr>
                <w:lang w:val="en-US" w:eastAsia="en-US"/>
              </w:rPr>
            </w:pPr>
            <w:r w:rsidRPr="00C90E06">
              <w:rPr>
                <w:lang w:val="en-US" w:eastAsia="en-US"/>
              </w:rPr>
              <w:lastRenderedPageBreak/>
              <w:t>Indicator 4.1</w:t>
            </w:r>
          </w:p>
          <w:p w14:paraId="216E4813" w14:textId="77777777" w:rsidR="009C743E" w:rsidRPr="00C90E06" w:rsidRDefault="009C743E" w:rsidP="009C743E">
            <w:pPr>
              <w:jc w:val="both"/>
              <w:rPr>
                <w:lang w:val="en-US" w:eastAsia="en-US"/>
              </w:rPr>
            </w:pPr>
            <w:r w:rsidRPr="00C90E06">
              <w:rPr>
                <w:lang w:val="en-US" w:eastAsia="en-US"/>
              </w:rPr>
              <w:t>% of target population that views GBV as less acceptable after participating in the perception survey</w:t>
            </w:r>
          </w:p>
        </w:tc>
        <w:tc>
          <w:tcPr>
            <w:tcW w:w="1260" w:type="dxa"/>
            <w:shd w:val="clear" w:color="auto" w:fill="EEECE1"/>
          </w:tcPr>
          <w:p w14:paraId="1ECFC996" w14:textId="6DE1E6AD" w:rsidR="009C743E" w:rsidRPr="00C90E06" w:rsidRDefault="009C743E" w:rsidP="009C743E">
            <w:pPr>
              <w:jc w:val="both"/>
            </w:pPr>
            <w:r w:rsidRPr="00C90E06">
              <w:rPr>
                <w:lang w:val="en-US" w:eastAsia="en-US"/>
              </w:rPr>
              <w:t>0</w:t>
            </w:r>
          </w:p>
        </w:tc>
        <w:tc>
          <w:tcPr>
            <w:tcW w:w="1463" w:type="dxa"/>
            <w:shd w:val="clear" w:color="auto" w:fill="EEECE1"/>
          </w:tcPr>
          <w:p w14:paraId="24753A50" w14:textId="6608396B" w:rsidR="009C743E" w:rsidRPr="00C90E06" w:rsidRDefault="009C743E" w:rsidP="009C743E">
            <w:pPr>
              <w:jc w:val="both"/>
            </w:pPr>
            <w:r w:rsidRPr="00C90E06">
              <w:rPr>
                <w:lang w:val="en-US" w:eastAsia="en-US"/>
              </w:rPr>
              <w:t>75%</w:t>
            </w:r>
          </w:p>
        </w:tc>
        <w:tc>
          <w:tcPr>
            <w:tcW w:w="1867" w:type="dxa"/>
          </w:tcPr>
          <w:p w14:paraId="404AD918" w14:textId="745FCB6A" w:rsidR="009C743E" w:rsidRPr="00C90E06" w:rsidRDefault="009C743E" w:rsidP="009C743E">
            <w:pPr>
              <w:jc w:val="both"/>
              <w:rPr>
                <w:lang w:val="en-US" w:eastAsia="en-US"/>
              </w:rPr>
            </w:pPr>
            <w:r w:rsidRPr="00C90E06">
              <w:rPr>
                <w:lang w:val="en-US" w:eastAsia="en-US"/>
              </w:rPr>
              <w:t>113%</w:t>
            </w:r>
          </w:p>
        </w:tc>
        <w:tc>
          <w:tcPr>
            <w:tcW w:w="1733" w:type="dxa"/>
          </w:tcPr>
          <w:p w14:paraId="127732E1" w14:textId="4A813DDD" w:rsidR="009C743E" w:rsidRPr="00C90E06" w:rsidRDefault="009C743E" w:rsidP="009C743E">
            <w:pPr>
              <w:jc w:val="both"/>
            </w:pPr>
            <w:r w:rsidRPr="00C90E06">
              <w:rPr>
                <w:lang w:val="en-US" w:eastAsia="en-US"/>
              </w:rPr>
              <w:t>85%</w:t>
            </w:r>
          </w:p>
        </w:tc>
        <w:tc>
          <w:tcPr>
            <w:tcW w:w="4770" w:type="dxa"/>
          </w:tcPr>
          <w:p w14:paraId="01E7AE52" w14:textId="3FBB09EA" w:rsidR="009C743E" w:rsidRPr="00C90E06" w:rsidRDefault="00BE3B3C" w:rsidP="009C743E">
            <w:pPr>
              <w:jc w:val="both"/>
            </w:pPr>
            <w:r w:rsidRPr="00C90E06">
              <w:rPr>
                <w:lang w:val="en-US" w:eastAsia="en-US"/>
              </w:rPr>
              <w:t>Target achieved</w:t>
            </w:r>
          </w:p>
        </w:tc>
      </w:tr>
      <w:tr w:rsidR="009C743E" w:rsidRPr="00C90E06" w14:paraId="0A2B9F7F" w14:textId="77777777" w:rsidTr="00C82888">
        <w:trPr>
          <w:trHeight w:val="422"/>
        </w:trPr>
        <w:tc>
          <w:tcPr>
            <w:tcW w:w="1530" w:type="dxa"/>
            <w:vMerge/>
          </w:tcPr>
          <w:p w14:paraId="02FFE170" w14:textId="77777777" w:rsidR="009C743E" w:rsidRPr="00C90E06" w:rsidRDefault="009C743E" w:rsidP="009C743E">
            <w:pPr>
              <w:jc w:val="both"/>
              <w:rPr>
                <w:lang w:val="en-US" w:eastAsia="en-US"/>
              </w:rPr>
            </w:pPr>
          </w:p>
        </w:tc>
        <w:tc>
          <w:tcPr>
            <w:tcW w:w="2497" w:type="dxa"/>
            <w:shd w:val="clear" w:color="auto" w:fill="EEECE1"/>
          </w:tcPr>
          <w:p w14:paraId="2D78289B" w14:textId="77777777" w:rsidR="009C743E" w:rsidRPr="00C90E06" w:rsidRDefault="009C743E" w:rsidP="009C743E">
            <w:pPr>
              <w:jc w:val="both"/>
              <w:rPr>
                <w:lang w:val="en-US" w:eastAsia="en-US"/>
              </w:rPr>
            </w:pPr>
            <w:r w:rsidRPr="00C90E06">
              <w:rPr>
                <w:lang w:val="en-US" w:eastAsia="en-US"/>
              </w:rPr>
              <w:t>Indicator 4.2</w:t>
            </w:r>
          </w:p>
          <w:p w14:paraId="75BA8E83" w14:textId="77777777" w:rsidR="009C743E" w:rsidRPr="00C90E06" w:rsidRDefault="009C743E" w:rsidP="009C743E">
            <w:pPr>
              <w:jc w:val="both"/>
              <w:rPr>
                <w:lang w:val="en-US" w:eastAsia="en-US"/>
              </w:rPr>
            </w:pPr>
            <w:r w:rsidRPr="00C90E06">
              <w:rPr>
                <w:lang w:val="en-US" w:eastAsia="en-US"/>
              </w:rPr>
              <w:lastRenderedPageBreak/>
              <w:t># of community action groups addressing GBV, peacebuilding, social cohesion, social norms and negative cultural practices</w:t>
            </w:r>
          </w:p>
        </w:tc>
        <w:tc>
          <w:tcPr>
            <w:tcW w:w="1260" w:type="dxa"/>
            <w:shd w:val="clear" w:color="auto" w:fill="EEECE1"/>
          </w:tcPr>
          <w:p w14:paraId="10FA1E05" w14:textId="2E47F8B1" w:rsidR="009C743E" w:rsidRPr="00C90E06" w:rsidRDefault="009C743E" w:rsidP="009C743E">
            <w:pPr>
              <w:jc w:val="both"/>
              <w:rPr>
                <w:lang w:val="en-US" w:eastAsia="en-US"/>
              </w:rPr>
            </w:pPr>
            <w:r w:rsidRPr="00C90E06">
              <w:rPr>
                <w:lang w:val="en-US" w:eastAsia="en-US"/>
              </w:rPr>
              <w:lastRenderedPageBreak/>
              <w:t>0</w:t>
            </w:r>
          </w:p>
        </w:tc>
        <w:tc>
          <w:tcPr>
            <w:tcW w:w="1463" w:type="dxa"/>
            <w:shd w:val="clear" w:color="auto" w:fill="EEECE1"/>
          </w:tcPr>
          <w:p w14:paraId="665E64FB" w14:textId="4FBE5FD2" w:rsidR="009C743E" w:rsidRPr="00C90E06" w:rsidRDefault="009C743E" w:rsidP="009C743E">
            <w:pPr>
              <w:jc w:val="both"/>
              <w:rPr>
                <w:lang w:val="en-US" w:eastAsia="en-US"/>
              </w:rPr>
            </w:pPr>
            <w:r w:rsidRPr="00C90E06">
              <w:rPr>
                <w:lang w:val="en-US" w:eastAsia="en-US"/>
              </w:rPr>
              <w:t>16</w:t>
            </w:r>
          </w:p>
        </w:tc>
        <w:tc>
          <w:tcPr>
            <w:tcW w:w="1867" w:type="dxa"/>
          </w:tcPr>
          <w:p w14:paraId="4E54CFBE" w14:textId="18EA598A" w:rsidR="009C743E" w:rsidRPr="00C90E06" w:rsidRDefault="009C743E" w:rsidP="009C743E">
            <w:pPr>
              <w:jc w:val="both"/>
              <w:rPr>
                <w:lang w:val="en-US" w:eastAsia="en-US"/>
              </w:rPr>
            </w:pPr>
            <w:r w:rsidRPr="00C90E06">
              <w:rPr>
                <w:lang w:val="en-US" w:eastAsia="en-US"/>
              </w:rPr>
              <w:t>100%</w:t>
            </w:r>
          </w:p>
        </w:tc>
        <w:tc>
          <w:tcPr>
            <w:tcW w:w="1733" w:type="dxa"/>
          </w:tcPr>
          <w:p w14:paraId="26B28EB5" w14:textId="69AF1EAE" w:rsidR="009C743E" w:rsidRPr="00C90E06" w:rsidRDefault="009C743E" w:rsidP="009C743E">
            <w:pPr>
              <w:jc w:val="both"/>
              <w:rPr>
                <w:lang w:val="en-US" w:eastAsia="en-US"/>
              </w:rPr>
            </w:pPr>
            <w:r w:rsidRPr="00C90E06">
              <w:rPr>
                <w:lang w:val="en-US" w:eastAsia="en-US"/>
              </w:rPr>
              <w:t>16</w:t>
            </w:r>
          </w:p>
        </w:tc>
        <w:tc>
          <w:tcPr>
            <w:tcW w:w="4770" w:type="dxa"/>
          </w:tcPr>
          <w:p w14:paraId="2B1971B3" w14:textId="6677E2F0" w:rsidR="009C743E" w:rsidRPr="00C90E06" w:rsidRDefault="00BE3B3C" w:rsidP="00BE3B3C">
            <w:pPr>
              <w:jc w:val="both"/>
              <w:rPr>
                <w:lang w:val="en-US" w:eastAsia="en-US"/>
              </w:rPr>
            </w:pPr>
            <w:r w:rsidRPr="00C90E06">
              <w:rPr>
                <w:lang w:val="en-US" w:eastAsia="en-US"/>
              </w:rPr>
              <w:t>Target achieved</w:t>
            </w:r>
          </w:p>
        </w:tc>
      </w:tr>
      <w:tr w:rsidR="009C743E" w:rsidRPr="00C90E06" w14:paraId="1EA4BECF" w14:textId="77777777" w:rsidTr="00C82888">
        <w:trPr>
          <w:trHeight w:val="422"/>
        </w:trPr>
        <w:tc>
          <w:tcPr>
            <w:tcW w:w="1530" w:type="dxa"/>
            <w:vMerge/>
          </w:tcPr>
          <w:p w14:paraId="469278D8" w14:textId="77777777" w:rsidR="009C743E" w:rsidRPr="00C90E06" w:rsidRDefault="009C743E" w:rsidP="009C743E">
            <w:pPr>
              <w:jc w:val="both"/>
              <w:rPr>
                <w:lang w:val="en-US" w:eastAsia="en-US"/>
              </w:rPr>
            </w:pPr>
          </w:p>
        </w:tc>
        <w:tc>
          <w:tcPr>
            <w:tcW w:w="2497" w:type="dxa"/>
            <w:shd w:val="clear" w:color="auto" w:fill="EEECE1"/>
          </w:tcPr>
          <w:p w14:paraId="7C32C8A9" w14:textId="77777777" w:rsidR="009C743E" w:rsidRPr="00C90E06" w:rsidRDefault="009C743E" w:rsidP="009C743E">
            <w:pPr>
              <w:jc w:val="both"/>
              <w:rPr>
                <w:lang w:val="en-US" w:eastAsia="en-US"/>
              </w:rPr>
            </w:pPr>
            <w:r w:rsidRPr="00C90E06">
              <w:rPr>
                <w:lang w:val="en-US" w:eastAsia="en-US"/>
              </w:rPr>
              <w:t>Indicator 4.3</w:t>
            </w:r>
          </w:p>
          <w:p w14:paraId="43490590" w14:textId="77777777" w:rsidR="009C743E" w:rsidRPr="00C90E06" w:rsidRDefault="009C743E" w:rsidP="009C743E">
            <w:pPr>
              <w:jc w:val="both"/>
              <w:rPr>
                <w:lang w:val="en-US" w:eastAsia="en-US"/>
              </w:rPr>
            </w:pPr>
            <w:r w:rsidRPr="00C90E06">
              <w:rPr>
                <w:lang w:val="en-US" w:eastAsia="en-US"/>
              </w:rPr>
              <w:t># of trained community action group members with increased knowledge on addressing negative social norms and increasing women and girl’s engagement in peace building and social cohesion</w:t>
            </w:r>
          </w:p>
        </w:tc>
        <w:tc>
          <w:tcPr>
            <w:tcW w:w="1260" w:type="dxa"/>
            <w:shd w:val="clear" w:color="auto" w:fill="EEECE1"/>
          </w:tcPr>
          <w:p w14:paraId="63673D0D" w14:textId="272F4FA6" w:rsidR="009C743E" w:rsidRPr="00C90E06" w:rsidRDefault="009C743E" w:rsidP="009C743E">
            <w:pPr>
              <w:jc w:val="both"/>
              <w:rPr>
                <w:lang w:val="en-US" w:eastAsia="en-US"/>
              </w:rPr>
            </w:pPr>
            <w:r w:rsidRPr="00C90E06">
              <w:rPr>
                <w:lang w:val="en-US" w:eastAsia="en-US"/>
              </w:rPr>
              <w:t>0</w:t>
            </w:r>
          </w:p>
        </w:tc>
        <w:tc>
          <w:tcPr>
            <w:tcW w:w="1463" w:type="dxa"/>
            <w:shd w:val="clear" w:color="auto" w:fill="EEECE1"/>
          </w:tcPr>
          <w:p w14:paraId="0A9E1077" w14:textId="312ED4E5" w:rsidR="009C743E" w:rsidRPr="00C90E06" w:rsidRDefault="009C743E" w:rsidP="009C743E">
            <w:pPr>
              <w:jc w:val="both"/>
              <w:rPr>
                <w:lang w:val="en-US" w:eastAsia="en-US"/>
              </w:rPr>
            </w:pPr>
            <w:r w:rsidRPr="00C90E06">
              <w:rPr>
                <w:lang w:val="en-US" w:eastAsia="en-US"/>
              </w:rPr>
              <w:t>200</w:t>
            </w:r>
          </w:p>
        </w:tc>
        <w:tc>
          <w:tcPr>
            <w:tcW w:w="1867" w:type="dxa"/>
          </w:tcPr>
          <w:p w14:paraId="6CEA588E" w14:textId="554BB510" w:rsidR="009C743E" w:rsidRPr="00C90E06" w:rsidRDefault="009C743E" w:rsidP="009C743E">
            <w:pPr>
              <w:jc w:val="both"/>
              <w:rPr>
                <w:lang w:val="en-US" w:eastAsia="en-US"/>
              </w:rPr>
            </w:pPr>
            <w:r w:rsidRPr="00C90E06">
              <w:rPr>
                <w:lang w:val="en-US" w:eastAsia="en-US"/>
              </w:rPr>
              <w:t>85%</w:t>
            </w:r>
          </w:p>
        </w:tc>
        <w:tc>
          <w:tcPr>
            <w:tcW w:w="1733" w:type="dxa"/>
          </w:tcPr>
          <w:p w14:paraId="755429AE" w14:textId="1DE4B845" w:rsidR="009C743E" w:rsidRPr="00C90E06" w:rsidRDefault="009C743E" w:rsidP="009C743E">
            <w:pPr>
              <w:jc w:val="both"/>
              <w:rPr>
                <w:lang w:val="en-US" w:eastAsia="en-US"/>
              </w:rPr>
            </w:pPr>
            <w:r w:rsidRPr="00C90E06">
              <w:rPr>
                <w:lang w:val="en-US" w:eastAsia="en-US"/>
              </w:rPr>
              <w:t>169</w:t>
            </w:r>
          </w:p>
        </w:tc>
        <w:tc>
          <w:tcPr>
            <w:tcW w:w="4770" w:type="dxa"/>
          </w:tcPr>
          <w:p w14:paraId="38D00035" w14:textId="7C686925" w:rsidR="009C743E" w:rsidRPr="00C90E06" w:rsidRDefault="009C743E" w:rsidP="009C743E">
            <w:pPr>
              <w:jc w:val="both"/>
              <w:rPr>
                <w:lang w:val="en-US" w:eastAsia="en-US"/>
              </w:rPr>
            </w:pPr>
            <w:r w:rsidRPr="00C90E06">
              <w:rPr>
                <w:bCs/>
                <w:lang w:val="en-US" w:eastAsia="en-US"/>
              </w:rPr>
              <w:t>There was need to reduce the number of participants in line with COVID-19 prevention measures.</w:t>
            </w:r>
          </w:p>
        </w:tc>
      </w:tr>
    </w:tbl>
    <w:p w14:paraId="3138BE9A" w14:textId="77777777" w:rsidR="00E87EF8" w:rsidRPr="00C90E06" w:rsidRDefault="00E87EF8" w:rsidP="00E87EF8">
      <w:pPr>
        <w:tabs>
          <w:tab w:val="left" w:pos="0"/>
        </w:tabs>
        <w:jc w:val="both"/>
      </w:pPr>
    </w:p>
    <w:p w14:paraId="33DFB43B" w14:textId="77777777" w:rsidR="00C82888" w:rsidRPr="00C90E06" w:rsidRDefault="00C82888" w:rsidP="00E87EF8">
      <w:pPr>
        <w:tabs>
          <w:tab w:val="left" w:pos="0"/>
        </w:tabs>
        <w:jc w:val="both"/>
      </w:pPr>
    </w:p>
    <w:p w14:paraId="281218F2" w14:textId="77777777" w:rsidR="00C82888" w:rsidRPr="00C90E06" w:rsidRDefault="00C82888" w:rsidP="00E87EF8">
      <w:pPr>
        <w:tabs>
          <w:tab w:val="left" w:pos="0"/>
        </w:tabs>
        <w:jc w:val="both"/>
      </w:pPr>
    </w:p>
    <w:p w14:paraId="5953C9C3" w14:textId="77777777" w:rsidR="00C82888" w:rsidRPr="00C90E06" w:rsidRDefault="00C82888" w:rsidP="00E87EF8">
      <w:pPr>
        <w:tabs>
          <w:tab w:val="left" w:pos="0"/>
        </w:tabs>
        <w:jc w:val="both"/>
      </w:pPr>
    </w:p>
    <w:p w14:paraId="7E703379" w14:textId="77777777" w:rsidR="00C82888" w:rsidRPr="00C90E06" w:rsidRDefault="00C82888" w:rsidP="00E87EF8">
      <w:pPr>
        <w:tabs>
          <w:tab w:val="left" w:pos="0"/>
        </w:tabs>
        <w:jc w:val="both"/>
      </w:pPr>
    </w:p>
    <w:p w14:paraId="3173AFE7" w14:textId="77777777" w:rsidR="00C82888" w:rsidRPr="00C90E06" w:rsidRDefault="00C82888" w:rsidP="00E87EF8">
      <w:pPr>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806"/>
      </w:tblGrid>
      <w:tr w:rsidR="00C82888" w:rsidRPr="00C90E06" w14:paraId="7BEF8251" w14:textId="77777777" w:rsidTr="00C82888">
        <w:tc>
          <w:tcPr>
            <w:tcW w:w="4797" w:type="dxa"/>
            <w:shd w:val="clear" w:color="auto" w:fill="auto"/>
          </w:tcPr>
          <w:p w14:paraId="746E33BE" w14:textId="77777777" w:rsidR="00C82888" w:rsidRPr="00C90E06" w:rsidRDefault="00C82888" w:rsidP="00C82888">
            <w:pPr>
              <w:spacing w:line="276" w:lineRule="auto"/>
              <w:jc w:val="both"/>
              <w:rPr>
                <w:noProof/>
              </w:rPr>
            </w:pPr>
            <w:r w:rsidRPr="00C90E06">
              <w:rPr>
                <w:b/>
                <w:noProof/>
                <w:color w:val="002060"/>
                <w:lang w:val="en-US" w:eastAsia="en-US"/>
              </w:rPr>
              <w:lastRenderedPageBreak/>
              <w:drawing>
                <wp:inline distT="0" distB="0" distL="0" distR="0" wp14:anchorId="69E46DC3" wp14:editId="7B53C47A">
                  <wp:extent cx="2867025" cy="2133600"/>
                  <wp:effectExtent l="0" t="0" r="9525" b="0"/>
                  <wp:docPr id="1" name="Picture 1" descr="IMG-20200916-WA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00916-WA00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7256" cy="2133772"/>
                          </a:xfrm>
                          <a:prstGeom prst="rect">
                            <a:avLst/>
                          </a:prstGeom>
                          <a:noFill/>
                          <a:ln>
                            <a:noFill/>
                          </a:ln>
                        </pic:spPr>
                      </pic:pic>
                    </a:graphicData>
                  </a:graphic>
                </wp:inline>
              </w:drawing>
            </w:r>
          </w:p>
          <w:p w14:paraId="42C3F669" w14:textId="124F9113" w:rsidR="00C82888" w:rsidRPr="00C90E06" w:rsidRDefault="00C82888" w:rsidP="00C82888">
            <w:pPr>
              <w:spacing w:line="276" w:lineRule="auto"/>
              <w:jc w:val="both"/>
              <w:rPr>
                <w:b/>
                <w:i/>
              </w:rPr>
            </w:pPr>
            <w:r w:rsidRPr="00C90E06">
              <w:rPr>
                <w:noProof/>
              </w:rPr>
              <w:t>Figure 1: Ongoing key stakeholder dialogue sessions, Maper East</w:t>
            </w:r>
            <w:r w:rsidR="00A36E10" w:rsidRPr="00C90E06">
              <w:rPr>
                <w:noProof/>
              </w:rPr>
              <w:t xml:space="preserve">, Photo courtesy: ADAFIN  </w:t>
            </w:r>
          </w:p>
        </w:tc>
        <w:tc>
          <w:tcPr>
            <w:tcW w:w="4779" w:type="dxa"/>
            <w:shd w:val="clear" w:color="auto" w:fill="auto"/>
          </w:tcPr>
          <w:p w14:paraId="72D0F3AE" w14:textId="77777777" w:rsidR="00C82888" w:rsidRPr="00C90E06" w:rsidRDefault="00C82888" w:rsidP="00C82888">
            <w:pPr>
              <w:spacing w:line="276" w:lineRule="auto"/>
              <w:rPr>
                <w:noProof/>
              </w:rPr>
            </w:pPr>
            <w:r w:rsidRPr="00C90E06">
              <w:rPr>
                <w:noProof/>
                <w:lang w:val="en-US" w:eastAsia="en-US"/>
              </w:rPr>
              <w:drawing>
                <wp:inline distT="0" distB="0" distL="0" distR="0" wp14:anchorId="57A57913" wp14:editId="0222B861">
                  <wp:extent cx="2914650" cy="2171700"/>
                  <wp:effectExtent l="0" t="0" r="0" b="0"/>
                  <wp:docPr id="5" name="Picture 5" descr="IMG-20200916-WA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200916-WA00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4650" cy="2171700"/>
                          </a:xfrm>
                          <a:prstGeom prst="rect">
                            <a:avLst/>
                          </a:prstGeom>
                          <a:noFill/>
                          <a:ln>
                            <a:noFill/>
                          </a:ln>
                        </pic:spPr>
                      </pic:pic>
                    </a:graphicData>
                  </a:graphic>
                </wp:inline>
              </w:drawing>
            </w:r>
          </w:p>
          <w:p w14:paraId="55215CBC" w14:textId="5B42041F" w:rsidR="00C82888" w:rsidRPr="00C90E06" w:rsidRDefault="00C82888" w:rsidP="00C82888">
            <w:pPr>
              <w:spacing w:line="276" w:lineRule="auto"/>
            </w:pPr>
            <w:r w:rsidRPr="00C90E06">
              <w:rPr>
                <w:noProof/>
              </w:rPr>
              <w:t>Figure 2: Key stakeholder meeting, Apada</w:t>
            </w:r>
            <w:r w:rsidR="00A36E10" w:rsidRPr="00C90E06">
              <w:rPr>
                <w:noProof/>
              </w:rPr>
              <w:t>; Photo courtesy: ADAFIN</w:t>
            </w:r>
          </w:p>
        </w:tc>
      </w:tr>
      <w:tr w:rsidR="00C82888" w:rsidRPr="00C90E06" w14:paraId="0585679C" w14:textId="77777777" w:rsidTr="00C82888">
        <w:tc>
          <w:tcPr>
            <w:tcW w:w="4797" w:type="dxa"/>
            <w:shd w:val="clear" w:color="auto" w:fill="auto"/>
          </w:tcPr>
          <w:p w14:paraId="2E675E74" w14:textId="77777777" w:rsidR="00C82888" w:rsidRPr="00C90E06" w:rsidRDefault="00C82888" w:rsidP="00C82888">
            <w:pPr>
              <w:spacing w:line="276" w:lineRule="auto"/>
              <w:jc w:val="both"/>
              <w:rPr>
                <w:noProof/>
              </w:rPr>
            </w:pPr>
            <w:r w:rsidRPr="00C90E06">
              <w:rPr>
                <w:b/>
                <w:noProof/>
                <w:color w:val="0000CC"/>
                <w:lang w:val="en-US" w:eastAsia="en-US"/>
              </w:rPr>
              <w:lastRenderedPageBreak/>
              <w:drawing>
                <wp:inline distT="0" distB="0" distL="0" distR="0" wp14:anchorId="090818FD" wp14:editId="16B35AC9">
                  <wp:extent cx="3114675" cy="2590800"/>
                  <wp:effectExtent l="0" t="0" r="9525" b="0"/>
                  <wp:docPr id="6" name="Picture 6" descr="IMG-20200917-WA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200917-WA00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4675" cy="2590800"/>
                          </a:xfrm>
                          <a:prstGeom prst="rect">
                            <a:avLst/>
                          </a:prstGeom>
                          <a:noFill/>
                          <a:ln>
                            <a:noFill/>
                          </a:ln>
                        </pic:spPr>
                      </pic:pic>
                    </a:graphicData>
                  </a:graphic>
                </wp:inline>
              </w:drawing>
            </w:r>
          </w:p>
          <w:p w14:paraId="4E9F59E3" w14:textId="23438CA1" w:rsidR="00C82888" w:rsidRPr="00C90E06" w:rsidRDefault="00C82888" w:rsidP="00C82888">
            <w:pPr>
              <w:spacing w:line="276" w:lineRule="auto"/>
              <w:jc w:val="both"/>
              <w:rPr>
                <w:noProof/>
              </w:rPr>
            </w:pPr>
            <w:r w:rsidRPr="00C90E06">
              <w:rPr>
                <w:noProof/>
              </w:rPr>
              <w:t>Figure 3: Ongoing Payam level meeting on ending early/ forced marriages</w:t>
            </w:r>
            <w:r w:rsidR="00A36E10" w:rsidRPr="00C90E06">
              <w:rPr>
                <w:noProof/>
              </w:rPr>
              <w:t>; Photo courtesy: ADAFIN</w:t>
            </w:r>
          </w:p>
        </w:tc>
        <w:tc>
          <w:tcPr>
            <w:tcW w:w="4779" w:type="dxa"/>
            <w:shd w:val="clear" w:color="auto" w:fill="auto"/>
          </w:tcPr>
          <w:p w14:paraId="524839D2" w14:textId="77777777" w:rsidR="00C82888" w:rsidRPr="00C90E06" w:rsidRDefault="00C82888" w:rsidP="00C82888">
            <w:pPr>
              <w:spacing w:line="276" w:lineRule="auto"/>
              <w:jc w:val="both"/>
              <w:rPr>
                <w:noProof/>
              </w:rPr>
            </w:pPr>
            <w:r w:rsidRPr="00C90E06">
              <w:rPr>
                <w:b/>
                <w:noProof/>
                <w:color w:val="0000CC"/>
                <w:lang w:val="en-US" w:eastAsia="en-US"/>
              </w:rPr>
              <w:drawing>
                <wp:inline distT="0" distB="0" distL="0" distR="0" wp14:anchorId="79AE9651" wp14:editId="39C9930E">
                  <wp:extent cx="2781300" cy="2790825"/>
                  <wp:effectExtent l="0" t="0" r="0" b="9525"/>
                  <wp:docPr id="9" name="Picture 9" descr="C:\Users\PACHO\Desktop\WhatsApp Images\IMG-20200917-WA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CHO\Desktop\WhatsApp Images\IMG-20200917-WA004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1300" cy="2790825"/>
                          </a:xfrm>
                          <a:prstGeom prst="rect">
                            <a:avLst/>
                          </a:prstGeom>
                          <a:noFill/>
                          <a:ln>
                            <a:noFill/>
                          </a:ln>
                        </pic:spPr>
                      </pic:pic>
                    </a:graphicData>
                  </a:graphic>
                </wp:inline>
              </w:drawing>
            </w:r>
          </w:p>
          <w:p w14:paraId="37DF1DC2" w14:textId="556C771D" w:rsidR="00C82888" w:rsidRPr="00C90E06" w:rsidRDefault="00C82888" w:rsidP="00C82888">
            <w:pPr>
              <w:spacing w:line="276" w:lineRule="auto"/>
              <w:jc w:val="both"/>
              <w:rPr>
                <w:b/>
                <w:i/>
              </w:rPr>
            </w:pPr>
            <w:r w:rsidRPr="00C90E06">
              <w:rPr>
                <w:noProof/>
              </w:rPr>
              <w:t>Figure 4: Participants listening to an ongoing advocacy session, Maper</w:t>
            </w:r>
            <w:r w:rsidR="00A36E10" w:rsidRPr="00C90E06">
              <w:rPr>
                <w:noProof/>
              </w:rPr>
              <w:t>; Photo courtesy: ADAFIN</w:t>
            </w:r>
          </w:p>
        </w:tc>
      </w:tr>
    </w:tbl>
    <w:p w14:paraId="3E301001" w14:textId="4C159E7E" w:rsidR="00C82888" w:rsidRPr="00C90E06" w:rsidRDefault="00C82888" w:rsidP="00E87EF8">
      <w:pPr>
        <w:tabs>
          <w:tab w:val="left" w:pos="0"/>
        </w:tabs>
        <w:jc w:val="both"/>
      </w:pPr>
    </w:p>
    <w:sectPr w:rsidR="00C82888" w:rsidRPr="00C90E06"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E384E" w14:textId="77777777" w:rsidR="00946233" w:rsidRDefault="00946233" w:rsidP="00E76CA1">
      <w:r>
        <w:separator/>
      </w:r>
    </w:p>
  </w:endnote>
  <w:endnote w:type="continuationSeparator" w:id="0">
    <w:p w14:paraId="347C415B" w14:textId="77777777" w:rsidR="00946233" w:rsidRDefault="00946233"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689A028E" w:rsidR="00F20E22" w:rsidRDefault="00F20E22">
    <w:pPr>
      <w:pStyle w:val="Footer"/>
      <w:jc w:val="center"/>
    </w:pPr>
    <w:r>
      <w:fldChar w:fldCharType="begin"/>
    </w:r>
    <w:r>
      <w:instrText xml:space="preserve"> PAGE   \* MERGEFORMAT </w:instrText>
    </w:r>
    <w:r>
      <w:fldChar w:fldCharType="separate"/>
    </w:r>
    <w:r>
      <w:rPr>
        <w:noProof/>
      </w:rPr>
      <w:t>21</w:t>
    </w:r>
    <w:r>
      <w:fldChar w:fldCharType="end"/>
    </w:r>
  </w:p>
  <w:p w14:paraId="4AB9848E" w14:textId="77777777" w:rsidR="00F20E22" w:rsidRDefault="00F20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063A2" w14:textId="77777777" w:rsidR="00946233" w:rsidRDefault="00946233" w:rsidP="00E76CA1">
      <w:r>
        <w:separator/>
      </w:r>
    </w:p>
  </w:footnote>
  <w:footnote w:type="continuationSeparator" w:id="0">
    <w:p w14:paraId="0E8C1B87" w14:textId="77777777" w:rsidR="00946233" w:rsidRDefault="00946233"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7273F"/>
    <w:multiLevelType w:val="hybridMultilevel"/>
    <w:tmpl w:val="CD08684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0A41E1"/>
    <w:multiLevelType w:val="hybridMultilevel"/>
    <w:tmpl w:val="84BA6AF4"/>
    <w:lvl w:ilvl="0" w:tplc="FF76E0A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5A2653A"/>
    <w:multiLevelType w:val="hybridMultilevel"/>
    <w:tmpl w:val="706A06C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382C2C9C"/>
    <w:multiLevelType w:val="hybridMultilevel"/>
    <w:tmpl w:val="4B14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D2067"/>
    <w:multiLevelType w:val="hybridMultilevel"/>
    <w:tmpl w:val="A7FAA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B74CB"/>
    <w:multiLevelType w:val="hybridMultilevel"/>
    <w:tmpl w:val="BFD0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0797B"/>
    <w:multiLevelType w:val="hybridMultilevel"/>
    <w:tmpl w:val="6BAE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F576B"/>
    <w:multiLevelType w:val="hybridMultilevel"/>
    <w:tmpl w:val="BD98F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FA615E"/>
    <w:multiLevelType w:val="hybridMultilevel"/>
    <w:tmpl w:val="2628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31F1A"/>
    <w:multiLevelType w:val="hybridMultilevel"/>
    <w:tmpl w:val="D1C643E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5767B"/>
    <w:multiLevelType w:val="hybridMultilevel"/>
    <w:tmpl w:val="58B229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4467EA5"/>
    <w:multiLevelType w:val="hybridMultilevel"/>
    <w:tmpl w:val="B15A6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775C69"/>
    <w:multiLevelType w:val="hybridMultilevel"/>
    <w:tmpl w:val="CAF0D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2"/>
  </w:num>
  <w:num w:numId="4">
    <w:abstractNumId w:val="13"/>
  </w:num>
  <w:num w:numId="5">
    <w:abstractNumId w:val="2"/>
  </w:num>
  <w:num w:numId="6">
    <w:abstractNumId w:val="7"/>
  </w:num>
  <w:num w:numId="7">
    <w:abstractNumId w:val="3"/>
  </w:num>
  <w:num w:numId="8">
    <w:abstractNumId w:val="6"/>
  </w:num>
  <w:num w:numId="9">
    <w:abstractNumId w:val="5"/>
  </w:num>
  <w:num w:numId="10">
    <w:abstractNumId w:val="10"/>
  </w:num>
  <w:num w:numId="11">
    <w:abstractNumId w:val="8"/>
  </w:num>
  <w:num w:numId="12">
    <w:abstractNumId w:val="4"/>
  </w:num>
  <w:num w:numId="13">
    <w:abstractNumId w:val="0"/>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3743"/>
    <w:rsid w:val="00005737"/>
    <w:rsid w:val="00006DBE"/>
    <w:rsid w:val="00006EC0"/>
    <w:rsid w:val="00010EB0"/>
    <w:rsid w:val="0001109A"/>
    <w:rsid w:val="00013D36"/>
    <w:rsid w:val="00013D69"/>
    <w:rsid w:val="00014B13"/>
    <w:rsid w:val="000231DD"/>
    <w:rsid w:val="00024414"/>
    <w:rsid w:val="00025EFA"/>
    <w:rsid w:val="00031640"/>
    <w:rsid w:val="00034A4C"/>
    <w:rsid w:val="00045C24"/>
    <w:rsid w:val="00050759"/>
    <w:rsid w:val="00051F71"/>
    <w:rsid w:val="0005216F"/>
    <w:rsid w:val="00052745"/>
    <w:rsid w:val="00052DE5"/>
    <w:rsid w:val="000554F8"/>
    <w:rsid w:val="000601A4"/>
    <w:rsid w:val="00063017"/>
    <w:rsid w:val="00065289"/>
    <w:rsid w:val="000652B5"/>
    <w:rsid w:val="00072086"/>
    <w:rsid w:val="00072117"/>
    <w:rsid w:val="000731D0"/>
    <w:rsid w:val="000744C7"/>
    <w:rsid w:val="00075D98"/>
    <w:rsid w:val="0008134A"/>
    <w:rsid w:val="0008233D"/>
    <w:rsid w:val="00082738"/>
    <w:rsid w:val="00084F64"/>
    <w:rsid w:val="00091CFD"/>
    <w:rsid w:val="00092442"/>
    <w:rsid w:val="00095C73"/>
    <w:rsid w:val="000A45F4"/>
    <w:rsid w:val="000A4660"/>
    <w:rsid w:val="000A51DA"/>
    <w:rsid w:val="000A6719"/>
    <w:rsid w:val="000B2E3D"/>
    <w:rsid w:val="000B4E5C"/>
    <w:rsid w:val="000B7954"/>
    <w:rsid w:val="000C7EA0"/>
    <w:rsid w:val="000D4F4B"/>
    <w:rsid w:val="000E05AE"/>
    <w:rsid w:val="000E39A1"/>
    <w:rsid w:val="000E6A96"/>
    <w:rsid w:val="000F05A2"/>
    <w:rsid w:val="000F13B1"/>
    <w:rsid w:val="00102C0E"/>
    <w:rsid w:val="00112741"/>
    <w:rsid w:val="00113D2B"/>
    <w:rsid w:val="00113EC4"/>
    <w:rsid w:val="00116449"/>
    <w:rsid w:val="0011666C"/>
    <w:rsid w:val="00121B2D"/>
    <w:rsid w:val="00124916"/>
    <w:rsid w:val="001307FA"/>
    <w:rsid w:val="00131824"/>
    <w:rsid w:val="00134491"/>
    <w:rsid w:val="0013617D"/>
    <w:rsid w:val="00136B32"/>
    <w:rsid w:val="00136CA3"/>
    <w:rsid w:val="001444EE"/>
    <w:rsid w:val="001447C0"/>
    <w:rsid w:val="00145766"/>
    <w:rsid w:val="001458E9"/>
    <w:rsid w:val="001506F9"/>
    <w:rsid w:val="00153CD9"/>
    <w:rsid w:val="00156AFA"/>
    <w:rsid w:val="00156C4C"/>
    <w:rsid w:val="00157BF2"/>
    <w:rsid w:val="001607B2"/>
    <w:rsid w:val="0016088D"/>
    <w:rsid w:val="00161D02"/>
    <w:rsid w:val="00165367"/>
    <w:rsid w:val="0017143A"/>
    <w:rsid w:val="00175969"/>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4AC"/>
    <w:rsid w:val="001B5D16"/>
    <w:rsid w:val="001B6DFD"/>
    <w:rsid w:val="001C2964"/>
    <w:rsid w:val="001C4484"/>
    <w:rsid w:val="001C46E9"/>
    <w:rsid w:val="001C5691"/>
    <w:rsid w:val="001C56B8"/>
    <w:rsid w:val="001C5B82"/>
    <w:rsid w:val="001D1C14"/>
    <w:rsid w:val="001D575F"/>
    <w:rsid w:val="001D6683"/>
    <w:rsid w:val="001D67F9"/>
    <w:rsid w:val="001D7003"/>
    <w:rsid w:val="001D75A9"/>
    <w:rsid w:val="001E142E"/>
    <w:rsid w:val="001E1A6E"/>
    <w:rsid w:val="001E660A"/>
    <w:rsid w:val="001F308A"/>
    <w:rsid w:val="0020130A"/>
    <w:rsid w:val="00205EB7"/>
    <w:rsid w:val="00206D45"/>
    <w:rsid w:val="0020791D"/>
    <w:rsid w:val="00207B24"/>
    <w:rsid w:val="002129DA"/>
    <w:rsid w:val="0021550A"/>
    <w:rsid w:val="00215F41"/>
    <w:rsid w:val="00217A2E"/>
    <w:rsid w:val="00217EB6"/>
    <w:rsid w:val="00220B8E"/>
    <w:rsid w:val="00222E81"/>
    <w:rsid w:val="00223BED"/>
    <w:rsid w:val="002247C2"/>
    <w:rsid w:val="00231AD2"/>
    <w:rsid w:val="002322E6"/>
    <w:rsid w:val="00233827"/>
    <w:rsid w:val="002349D8"/>
    <w:rsid w:val="00234A5E"/>
    <w:rsid w:val="00236072"/>
    <w:rsid w:val="0023672E"/>
    <w:rsid w:val="00236AB3"/>
    <w:rsid w:val="002436F0"/>
    <w:rsid w:val="00245E73"/>
    <w:rsid w:val="00246135"/>
    <w:rsid w:val="00247F4E"/>
    <w:rsid w:val="00251E92"/>
    <w:rsid w:val="0025220B"/>
    <w:rsid w:val="00252B39"/>
    <w:rsid w:val="00254AC2"/>
    <w:rsid w:val="0025525B"/>
    <w:rsid w:val="00257569"/>
    <w:rsid w:val="0027242A"/>
    <w:rsid w:val="00272A58"/>
    <w:rsid w:val="00273AD0"/>
    <w:rsid w:val="002822AF"/>
    <w:rsid w:val="00282BD9"/>
    <w:rsid w:val="00286F66"/>
    <w:rsid w:val="00287878"/>
    <w:rsid w:val="002940E8"/>
    <w:rsid w:val="00296C15"/>
    <w:rsid w:val="002A1877"/>
    <w:rsid w:val="002A506A"/>
    <w:rsid w:val="002B3207"/>
    <w:rsid w:val="002B346A"/>
    <w:rsid w:val="002B351E"/>
    <w:rsid w:val="002B4426"/>
    <w:rsid w:val="002B5F4F"/>
    <w:rsid w:val="002B740B"/>
    <w:rsid w:val="002C16C8"/>
    <w:rsid w:val="002C187A"/>
    <w:rsid w:val="002C20A8"/>
    <w:rsid w:val="002C5DD0"/>
    <w:rsid w:val="002C7051"/>
    <w:rsid w:val="002D2FBB"/>
    <w:rsid w:val="002D4247"/>
    <w:rsid w:val="002D68D7"/>
    <w:rsid w:val="002E10E6"/>
    <w:rsid w:val="002E1CED"/>
    <w:rsid w:val="002E22CD"/>
    <w:rsid w:val="002E5250"/>
    <w:rsid w:val="002E61AA"/>
    <w:rsid w:val="002E6F58"/>
    <w:rsid w:val="002E745D"/>
    <w:rsid w:val="002F10F6"/>
    <w:rsid w:val="002F15D9"/>
    <w:rsid w:val="002F26EC"/>
    <w:rsid w:val="002F42EA"/>
    <w:rsid w:val="00301CE0"/>
    <w:rsid w:val="003040D8"/>
    <w:rsid w:val="0030455E"/>
    <w:rsid w:val="00305626"/>
    <w:rsid w:val="00316D58"/>
    <w:rsid w:val="00317811"/>
    <w:rsid w:val="003212BB"/>
    <w:rsid w:val="00321C92"/>
    <w:rsid w:val="00322350"/>
    <w:rsid w:val="003235DF"/>
    <w:rsid w:val="00323ABC"/>
    <w:rsid w:val="00324A7C"/>
    <w:rsid w:val="00324FE5"/>
    <w:rsid w:val="00331D99"/>
    <w:rsid w:val="00332309"/>
    <w:rsid w:val="0033394F"/>
    <w:rsid w:val="00333EC9"/>
    <w:rsid w:val="0033515C"/>
    <w:rsid w:val="00336BF8"/>
    <w:rsid w:val="0034088A"/>
    <w:rsid w:val="00340907"/>
    <w:rsid w:val="00342356"/>
    <w:rsid w:val="00343425"/>
    <w:rsid w:val="00343453"/>
    <w:rsid w:val="0034386B"/>
    <w:rsid w:val="00346D73"/>
    <w:rsid w:val="003473C6"/>
    <w:rsid w:val="00352C3B"/>
    <w:rsid w:val="00355174"/>
    <w:rsid w:val="0035676B"/>
    <w:rsid w:val="0036035F"/>
    <w:rsid w:val="0036386A"/>
    <w:rsid w:val="0036447B"/>
    <w:rsid w:val="00366549"/>
    <w:rsid w:val="00366D20"/>
    <w:rsid w:val="00372156"/>
    <w:rsid w:val="003722AE"/>
    <w:rsid w:val="00372CC2"/>
    <w:rsid w:val="0037561F"/>
    <w:rsid w:val="00375BF5"/>
    <w:rsid w:val="00380751"/>
    <w:rsid w:val="00380849"/>
    <w:rsid w:val="00380CB0"/>
    <w:rsid w:val="003818DB"/>
    <w:rsid w:val="00381CDA"/>
    <w:rsid w:val="003834CD"/>
    <w:rsid w:val="00383908"/>
    <w:rsid w:val="00391614"/>
    <w:rsid w:val="00391EA1"/>
    <w:rsid w:val="003966E6"/>
    <w:rsid w:val="003968D7"/>
    <w:rsid w:val="003A4A4E"/>
    <w:rsid w:val="003A613D"/>
    <w:rsid w:val="003A6341"/>
    <w:rsid w:val="003B03AA"/>
    <w:rsid w:val="003B251D"/>
    <w:rsid w:val="003B3A5F"/>
    <w:rsid w:val="003B3AA2"/>
    <w:rsid w:val="003B5338"/>
    <w:rsid w:val="003B6F62"/>
    <w:rsid w:val="003C5283"/>
    <w:rsid w:val="003C5CC6"/>
    <w:rsid w:val="003D12C7"/>
    <w:rsid w:val="003D228B"/>
    <w:rsid w:val="003D4CD7"/>
    <w:rsid w:val="003D4D7C"/>
    <w:rsid w:val="003D6570"/>
    <w:rsid w:val="003D68FF"/>
    <w:rsid w:val="003D7AAC"/>
    <w:rsid w:val="003F006D"/>
    <w:rsid w:val="003F08B1"/>
    <w:rsid w:val="003F21BE"/>
    <w:rsid w:val="003F2BF5"/>
    <w:rsid w:val="003F36FB"/>
    <w:rsid w:val="003F4921"/>
    <w:rsid w:val="003F660A"/>
    <w:rsid w:val="004017BD"/>
    <w:rsid w:val="00402083"/>
    <w:rsid w:val="004023AC"/>
    <w:rsid w:val="00402514"/>
    <w:rsid w:val="0040513F"/>
    <w:rsid w:val="00405DE7"/>
    <w:rsid w:val="00411A5F"/>
    <w:rsid w:val="00413EAF"/>
    <w:rsid w:val="00414097"/>
    <w:rsid w:val="00414677"/>
    <w:rsid w:val="00417611"/>
    <w:rsid w:val="004213AF"/>
    <w:rsid w:val="00421A74"/>
    <w:rsid w:val="00425AF8"/>
    <w:rsid w:val="00433992"/>
    <w:rsid w:val="00437FF5"/>
    <w:rsid w:val="00442B50"/>
    <w:rsid w:val="004560FE"/>
    <w:rsid w:val="0046101E"/>
    <w:rsid w:val="00461944"/>
    <w:rsid w:val="00464188"/>
    <w:rsid w:val="0046712C"/>
    <w:rsid w:val="00470EC3"/>
    <w:rsid w:val="00477CF8"/>
    <w:rsid w:val="00480A02"/>
    <w:rsid w:val="0048168F"/>
    <w:rsid w:val="00484092"/>
    <w:rsid w:val="00484169"/>
    <w:rsid w:val="00495AC5"/>
    <w:rsid w:val="004965A3"/>
    <w:rsid w:val="00497A6F"/>
    <w:rsid w:val="004A210E"/>
    <w:rsid w:val="004A49E6"/>
    <w:rsid w:val="004A6412"/>
    <w:rsid w:val="004B1E1E"/>
    <w:rsid w:val="004B5601"/>
    <w:rsid w:val="004B5B20"/>
    <w:rsid w:val="004B5F25"/>
    <w:rsid w:val="004C3DC3"/>
    <w:rsid w:val="004C4F3B"/>
    <w:rsid w:val="004D141E"/>
    <w:rsid w:val="004D2550"/>
    <w:rsid w:val="004D2C5B"/>
    <w:rsid w:val="004D721D"/>
    <w:rsid w:val="004E33A8"/>
    <w:rsid w:val="004E3B3E"/>
    <w:rsid w:val="004E3BD7"/>
    <w:rsid w:val="004E6614"/>
    <w:rsid w:val="004F016F"/>
    <w:rsid w:val="004F6066"/>
    <w:rsid w:val="004F7D22"/>
    <w:rsid w:val="00505758"/>
    <w:rsid w:val="005129DA"/>
    <w:rsid w:val="00513612"/>
    <w:rsid w:val="00513D8E"/>
    <w:rsid w:val="00515EEF"/>
    <w:rsid w:val="005174D6"/>
    <w:rsid w:val="0051786C"/>
    <w:rsid w:val="005208FF"/>
    <w:rsid w:val="00521468"/>
    <w:rsid w:val="005216B2"/>
    <w:rsid w:val="00521896"/>
    <w:rsid w:val="00526655"/>
    <w:rsid w:val="00526735"/>
    <w:rsid w:val="00526B32"/>
    <w:rsid w:val="00527E52"/>
    <w:rsid w:val="00530697"/>
    <w:rsid w:val="0053126F"/>
    <w:rsid w:val="00535054"/>
    <w:rsid w:val="005357D9"/>
    <w:rsid w:val="00536175"/>
    <w:rsid w:val="00536DFA"/>
    <w:rsid w:val="00541F2E"/>
    <w:rsid w:val="0054416C"/>
    <w:rsid w:val="00544390"/>
    <w:rsid w:val="00544781"/>
    <w:rsid w:val="005460E0"/>
    <w:rsid w:val="005470AF"/>
    <w:rsid w:val="00550982"/>
    <w:rsid w:val="0055185F"/>
    <w:rsid w:val="00553A7C"/>
    <w:rsid w:val="00553D53"/>
    <w:rsid w:val="00557ED6"/>
    <w:rsid w:val="0056086D"/>
    <w:rsid w:val="00561C6B"/>
    <w:rsid w:val="00566B3B"/>
    <w:rsid w:val="0057086A"/>
    <w:rsid w:val="005718ED"/>
    <w:rsid w:val="0057444C"/>
    <w:rsid w:val="0058153F"/>
    <w:rsid w:val="0058301B"/>
    <w:rsid w:val="00583F26"/>
    <w:rsid w:val="00590937"/>
    <w:rsid w:val="0059166A"/>
    <w:rsid w:val="00592733"/>
    <w:rsid w:val="00592AAA"/>
    <w:rsid w:val="00593B59"/>
    <w:rsid w:val="00594349"/>
    <w:rsid w:val="00595DBA"/>
    <w:rsid w:val="005A2661"/>
    <w:rsid w:val="005A26F8"/>
    <w:rsid w:val="005A56E0"/>
    <w:rsid w:val="005C187A"/>
    <w:rsid w:val="005C1FC7"/>
    <w:rsid w:val="005C4963"/>
    <w:rsid w:val="005C4BBA"/>
    <w:rsid w:val="005C68B4"/>
    <w:rsid w:val="005D2343"/>
    <w:rsid w:val="005D545C"/>
    <w:rsid w:val="005E3B28"/>
    <w:rsid w:val="005F0CC2"/>
    <w:rsid w:val="005F167F"/>
    <w:rsid w:val="005F439F"/>
    <w:rsid w:val="005F77DA"/>
    <w:rsid w:val="00601E1E"/>
    <w:rsid w:val="00605275"/>
    <w:rsid w:val="00605E02"/>
    <w:rsid w:val="006073A2"/>
    <w:rsid w:val="006073AB"/>
    <w:rsid w:val="0060796B"/>
    <w:rsid w:val="006100F5"/>
    <w:rsid w:val="0061467E"/>
    <w:rsid w:val="00615828"/>
    <w:rsid w:val="00615C30"/>
    <w:rsid w:val="00624881"/>
    <w:rsid w:val="00624B2F"/>
    <w:rsid w:val="00624F31"/>
    <w:rsid w:val="00626B3F"/>
    <w:rsid w:val="00627A1C"/>
    <w:rsid w:val="00632971"/>
    <w:rsid w:val="00635112"/>
    <w:rsid w:val="006413E5"/>
    <w:rsid w:val="00643A9E"/>
    <w:rsid w:val="00646FF7"/>
    <w:rsid w:val="006500AC"/>
    <w:rsid w:val="00651323"/>
    <w:rsid w:val="00654503"/>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7506A"/>
    <w:rsid w:val="00680F3E"/>
    <w:rsid w:val="006811AD"/>
    <w:rsid w:val="006851C3"/>
    <w:rsid w:val="006874E9"/>
    <w:rsid w:val="006907EE"/>
    <w:rsid w:val="00691885"/>
    <w:rsid w:val="00691C2F"/>
    <w:rsid w:val="006947B7"/>
    <w:rsid w:val="006969E7"/>
    <w:rsid w:val="006A07CA"/>
    <w:rsid w:val="006A207B"/>
    <w:rsid w:val="006A2E42"/>
    <w:rsid w:val="006A34E0"/>
    <w:rsid w:val="006A5032"/>
    <w:rsid w:val="006A5B0E"/>
    <w:rsid w:val="006A5CF9"/>
    <w:rsid w:val="006B1DF7"/>
    <w:rsid w:val="006B3614"/>
    <w:rsid w:val="006B4DED"/>
    <w:rsid w:val="006C1819"/>
    <w:rsid w:val="006C29FB"/>
    <w:rsid w:val="006C35C8"/>
    <w:rsid w:val="006D0366"/>
    <w:rsid w:val="006D3593"/>
    <w:rsid w:val="006D3F0B"/>
    <w:rsid w:val="006D5799"/>
    <w:rsid w:val="006D60AB"/>
    <w:rsid w:val="006D625F"/>
    <w:rsid w:val="006D6B92"/>
    <w:rsid w:val="006E10BF"/>
    <w:rsid w:val="006E2489"/>
    <w:rsid w:val="006E4DA8"/>
    <w:rsid w:val="006E7CF8"/>
    <w:rsid w:val="006F0257"/>
    <w:rsid w:val="006F0654"/>
    <w:rsid w:val="006F0B62"/>
    <w:rsid w:val="006F0F2D"/>
    <w:rsid w:val="006F1516"/>
    <w:rsid w:val="006F2361"/>
    <w:rsid w:val="006F369A"/>
    <w:rsid w:val="006F4A07"/>
    <w:rsid w:val="006F690E"/>
    <w:rsid w:val="006F74C9"/>
    <w:rsid w:val="007014C8"/>
    <w:rsid w:val="007065B1"/>
    <w:rsid w:val="007073F6"/>
    <w:rsid w:val="007118F5"/>
    <w:rsid w:val="0071286E"/>
    <w:rsid w:val="007133CF"/>
    <w:rsid w:val="0071506D"/>
    <w:rsid w:val="00715EC6"/>
    <w:rsid w:val="00720431"/>
    <w:rsid w:val="00725C2A"/>
    <w:rsid w:val="007308CD"/>
    <w:rsid w:val="007317AD"/>
    <w:rsid w:val="00734278"/>
    <w:rsid w:val="00735FD2"/>
    <w:rsid w:val="00740B1E"/>
    <w:rsid w:val="00740D68"/>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4ABC"/>
    <w:rsid w:val="007756B0"/>
    <w:rsid w:val="007822BF"/>
    <w:rsid w:val="00782E30"/>
    <w:rsid w:val="00785E5E"/>
    <w:rsid w:val="0078600B"/>
    <w:rsid w:val="00790676"/>
    <w:rsid w:val="00791410"/>
    <w:rsid w:val="007931DC"/>
    <w:rsid w:val="007937AE"/>
    <w:rsid w:val="00793DE6"/>
    <w:rsid w:val="00793E8B"/>
    <w:rsid w:val="007958F2"/>
    <w:rsid w:val="007A1B5F"/>
    <w:rsid w:val="007A2300"/>
    <w:rsid w:val="007A4F3E"/>
    <w:rsid w:val="007A5054"/>
    <w:rsid w:val="007A5985"/>
    <w:rsid w:val="007A777F"/>
    <w:rsid w:val="007B10F6"/>
    <w:rsid w:val="007B1BE5"/>
    <w:rsid w:val="007B368E"/>
    <w:rsid w:val="007B5D05"/>
    <w:rsid w:val="007B65A8"/>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43FE"/>
    <w:rsid w:val="00805ADB"/>
    <w:rsid w:val="00812452"/>
    <w:rsid w:val="00817132"/>
    <w:rsid w:val="0083461E"/>
    <w:rsid w:val="00834A9F"/>
    <w:rsid w:val="008364E5"/>
    <w:rsid w:val="00837B04"/>
    <w:rsid w:val="0084221C"/>
    <w:rsid w:val="00842C3A"/>
    <w:rsid w:val="0084393C"/>
    <w:rsid w:val="008476C0"/>
    <w:rsid w:val="00847A89"/>
    <w:rsid w:val="00853068"/>
    <w:rsid w:val="00861669"/>
    <w:rsid w:val="008632DB"/>
    <w:rsid w:val="008640A5"/>
    <w:rsid w:val="00865821"/>
    <w:rsid w:val="00865FA0"/>
    <w:rsid w:val="008664A8"/>
    <w:rsid w:val="00866E96"/>
    <w:rsid w:val="0087228F"/>
    <w:rsid w:val="00874634"/>
    <w:rsid w:val="00875EA5"/>
    <w:rsid w:val="00881D4B"/>
    <w:rsid w:val="00891AE7"/>
    <w:rsid w:val="008A1155"/>
    <w:rsid w:val="008A3181"/>
    <w:rsid w:val="008B1B75"/>
    <w:rsid w:val="008B3518"/>
    <w:rsid w:val="008B5A12"/>
    <w:rsid w:val="008B7E23"/>
    <w:rsid w:val="008C782A"/>
    <w:rsid w:val="008E1083"/>
    <w:rsid w:val="008E3872"/>
    <w:rsid w:val="008E3B3F"/>
    <w:rsid w:val="008E729D"/>
    <w:rsid w:val="008F5112"/>
    <w:rsid w:val="008F6703"/>
    <w:rsid w:val="00900D78"/>
    <w:rsid w:val="00901C1E"/>
    <w:rsid w:val="00902A19"/>
    <w:rsid w:val="00910FE1"/>
    <w:rsid w:val="0091229B"/>
    <w:rsid w:val="00912D25"/>
    <w:rsid w:val="00915C96"/>
    <w:rsid w:val="00915D77"/>
    <w:rsid w:val="00916DF8"/>
    <w:rsid w:val="0091758E"/>
    <w:rsid w:val="009216A8"/>
    <w:rsid w:val="00921C68"/>
    <w:rsid w:val="0092673B"/>
    <w:rsid w:val="0093134E"/>
    <w:rsid w:val="00931786"/>
    <w:rsid w:val="00934535"/>
    <w:rsid w:val="00937ABE"/>
    <w:rsid w:val="0094196C"/>
    <w:rsid w:val="00943FF0"/>
    <w:rsid w:val="00945925"/>
    <w:rsid w:val="00946233"/>
    <w:rsid w:val="00947CCC"/>
    <w:rsid w:val="00952DE4"/>
    <w:rsid w:val="009568EF"/>
    <w:rsid w:val="00956B79"/>
    <w:rsid w:val="00965B5D"/>
    <w:rsid w:val="00965F6B"/>
    <w:rsid w:val="00970F4C"/>
    <w:rsid w:val="0097130A"/>
    <w:rsid w:val="00974D94"/>
    <w:rsid w:val="009774FE"/>
    <w:rsid w:val="009832F8"/>
    <w:rsid w:val="009839DA"/>
    <w:rsid w:val="00985E49"/>
    <w:rsid w:val="00991418"/>
    <w:rsid w:val="00993D30"/>
    <w:rsid w:val="00994476"/>
    <w:rsid w:val="00994B0E"/>
    <w:rsid w:val="00995C3C"/>
    <w:rsid w:val="0099700D"/>
    <w:rsid w:val="0099721E"/>
    <w:rsid w:val="00997347"/>
    <w:rsid w:val="00997DE7"/>
    <w:rsid w:val="009A012A"/>
    <w:rsid w:val="009A1CD3"/>
    <w:rsid w:val="009A44A4"/>
    <w:rsid w:val="009A4A5D"/>
    <w:rsid w:val="009A5EEF"/>
    <w:rsid w:val="009B18EB"/>
    <w:rsid w:val="009B2117"/>
    <w:rsid w:val="009B5D1A"/>
    <w:rsid w:val="009C0747"/>
    <w:rsid w:val="009C153E"/>
    <w:rsid w:val="009C28DE"/>
    <w:rsid w:val="009C2C5E"/>
    <w:rsid w:val="009C61FD"/>
    <w:rsid w:val="009C743E"/>
    <w:rsid w:val="009C779A"/>
    <w:rsid w:val="009D0838"/>
    <w:rsid w:val="009D0C9F"/>
    <w:rsid w:val="009D10B2"/>
    <w:rsid w:val="009D2543"/>
    <w:rsid w:val="009D64E4"/>
    <w:rsid w:val="009E20F1"/>
    <w:rsid w:val="009E24A9"/>
    <w:rsid w:val="009E38EA"/>
    <w:rsid w:val="009E5594"/>
    <w:rsid w:val="009F517D"/>
    <w:rsid w:val="009F6554"/>
    <w:rsid w:val="009F7F98"/>
    <w:rsid w:val="00A02F58"/>
    <w:rsid w:val="00A032AE"/>
    <w:rsid w:val="00A10DAC"/>
    <w:rsid w:val="00A155F4"/>
    <w:rsid w:val="00A26B9A"/>
    <w:rsid w:val="00A31988"/>
    <w:rsid w:val="00A34FE2"/>
    <w:rsid w:val="00A35FDA"/>
    <w:rsid w:val="00A360E8"/>
    <w:rsid w:val="00A36E10"/>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28E9"/>
    <w:rsid w:val="00A843B5"/>
    <w:rsid w:val="00A855EA"/>
    <w:rsid w:val="00A86B3F"/>
    <w:rsid w:val="00A86F4D"/>
    <w:rsid w:val="00A90107"/>
    <w:rsid w:val="00A9067B"/>
    <w:rsid w:val="00A90E80"/>
    <w:rsid w:val="00A91FCD"/>
    <w:rsid w:val="00A94362"/>
    <w:rsid w:val="00A96579"/>
    <w:rsid w:val="00A9791E"/>
    <w:rsid w:val="00AA1DFA"/>
    <w:rsid w:val="00AA363D"/>
    <w:rsid w:val="00AA793F"/>
    <w:rsid w:val="00AA7C77"/>
    <w:rsid w:val="00AA7CEB"/>
    <w:rsid w:val="00AB1368"/>
    <w:rsid w:val="00AB37F4"/>
    <w:rsid w:val="00AB565E"/>
    <w:rsid w:val="00AB6561"/>
    <w:rsid w:val="00AB6BAD"/>
    <w:rsid w:val="00AC433F"/>
    <w:rsid w:val="00AC4B04"/>
    <w:rsid w:val="00AC5D55"/>
    <w:rsid w:val="00AD0A31"/>
    <w:rsid w:val="00AD1B06"/>
    <w:rsid w:val="00AD6104"/>
    <w:rsid w:val="00AD6C55"/>
    <w:rsid w:val="00AD73D3"/>
    <w:rsid w:val="00AE0043"/>
    <w:rsid w:val="00AE0D84"/>
    <w:rsid w:val="00AE122A"/>
    <w:rsid w:val="00AF2D89"/>
    <w:rsid w:val="00AF3BA8"/>
    <w:rsid w:val="00AF5FB5"/>
    <w:rsid w:val="00AF7DA4"/>
    <w:rsid w:val="00B00EBD"/>
    <w:rsid w:val="00B0211D"/>
    <w:rsid w:val="00B02478"/>
    <w:rsid w:val="00B0370E"/>
    <w:rsid w:val="00B03E68"/>
    <w:rsid w:val="00B058E1"/>
    <w:rsid w:val="00B05E35"/>
    <w:rsid w:val="00B11506"/>
    <w:rsid w:val="00B124BD"/>
    <w:rsid w:val="00B12FB8"/>
    <w:rsid w:val="00B22390"/>
    <w:rsid w:val="00B22B34"/>
    <w:rsid w:val="00B23B88"/>
    <w:rsid w:val="00B244A1"/>
    <w:rsid w:val="00B24F72"/>
    <w:rsid w:val="00B27419"/>
    <w:rsid w:val="00B329B9"/>
    <w:rsid w:val="00B357E3"/>
    <w:rsid w:val="00B37406"/>
    <w:rsid w:val="00B404DF"/>
    <w:rsid w:val="00B419C8"/>
    <w:rsid w:val="00B4227A"/>
    <w:rsid w:val="00B43B76"/>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91F39"/>
    <w:rsid w:val="00B97847"/>
    <w:rsid w:val="00BA4E32"/>
    <w:rsid w:val="00BA4F96"/>
    <w:rsid w:val="00BA5D85"/>
    <w:rsid w:val="00BA6688"/>
    <w:rsid w:val="00BA6F4B"/>
    <w:rsid w:val="00BB0F68"/>
    <w:rsid w:val="00BC1A5D"/>
    <w:rsid w:val="00BC34D3"/>
    <w:rsid w:val="00BC6808"/>
    <w:rsid w:val="00BC71E1"/>
    <w:rsid w:val="00BD2962"/>
    <w:rsid w:val="00BD5B9A"/>
    <w:rsid w:val="00BD5D49"/>
    <w:rsid w:val="00BD5FCB"/>
    <w:rsid w:val="00BD643D"/>
    <w:rsid w:val="00BE28AA"/>
    <w:rsid w:val="00BE3B3C"/>
    <w:rsid w:val="00BE41D3"/>
    <w:rsid w:val="00BE720A"/>
    <w:rsid w:val="00BE7698"/>
    <w:rsid w:val="00BF1BFB"/>
    <w:rsid w:val="00BF41E2"/>
    <w:rsid w:val="00BF43F8"/>
    <w:rsid w:val="00C00B34"/>
    <w:rsid w:val="00C07A0C"/>
    <w:rsid w:val="00C107F6"/>
    <w:rsid w:val="00C12D6A"/>
    <w:rsid w:val="00C13590"/>
    <w:rsid w:val="00C145CF"/>
    <w:rsid w:val="00C221D7"/>
    <w:rsid w:val="00C2331C"/>
    <w:rsid w:val="00C27302"/>
    <w:rsid w:val="00C30188"/>
    <w:rsid w:val="00C30F72"/>
    <w:rsid w:val="00C312C0"/>
    <w:rsid w:val="00C413F9"/>
    <w:rsid w:val="00C41926"/>
    <w:rsid w:val="00C42FB9"/>
    <w:rsid w:val="00C459E9"/>
    <w:rsid w:val="00C52BDA"/>
    <w:rsid w:val="00C55E8E"/>
    <w:rsid w:val="00C578BE"/>
    <w:rsid w:val="00C61129"/>
    <w:rsid w:val="00C640B2"/>
    <w:rsid w:val="00C70E7A"/>
    <w:rsid w:val="00C72CF8"/>
    <w:rsid w:val="00C74E37"/>
    <w:rsid w:val="00C755CC"/>
    <w:rsid w:val="00C82888"/>
    <w:rsid w:val="00C846A4"/>
    <w:rsid w:val="00C847EE"/>
    <w:rsid w:val="00C853D5"/>
    <w:rsid w:val="00C90E06"/>
    <w:rsid w:val="00C96336"/>
    <w:rsid w:val="00CA18AB"/>
    <w:rsid w:val="00CA1B43"/>
    <w:rsid w:val="00CA6C99"/>
    <w:rsid w:val="00CA6CFD"/>
    <w:rsid w:val="00CB02F7"/>
    <w:rsid w:val="00CB25A2"/>
    <w:rsid w:val="00CB4B5C"/>
    <w:rsid w:val="00CC0895"/>
    <w:rsid w:val="00CC2015"/>
    <w:rsid w:val="00CC26EB"/>
    <w:rsid w:val="00CC59E5"/>
    <w:rsid w:val="00CD24B1"/>
    <w:rsid w:val="00CD2F67"/>
    <w:rsid w:val="00CD3754"/>
    <w:rsid w:val="00CD5E04"/>
    <w:rsid w:val="00CD5E74"/>
    <w:rsid w:val="00CD5E9C"/>
    <w:rsid w:val="00CE0239"/>
    <w:rsid w:val="00CE132D"/>
    <w:rsid w:val="00CE3BEA"/>
    <w:rsid w:val="00CE499C"/>
    <w:rsid w:val="00CF04AE"/>
    <w:rsid w:val="00CF073D"/>
    <w:rsid w:val="00CF41AF"/>
    <w:rsid w:val="00D03D06"/>
    <w:rsid w:val="00D06A43"/>
    <w:rsid w:val="00D079BC"/>
    <w:rsid w:val="00D12CC9"/>
    <w:rsid w:val="00D13792"/>
    <w:rsid w:val="00D21E2D"/>
    <w:rsid w:val="00D22846"/>
    <w:rsid w:val="00D22B42"/>
    <w:rsid w:val="00D26972"/>
    <w:rsid w:val="00D30647"/>
    <w:rsid w:val="00D3351A"/>
    <w:rsid w:val="00D34147"/>
    <w:rsid w:val="00D362B9"/>
    <w:rsid w:val="00D36AF6"/>
    <w:rsid w:val="00D36E09"/>
    <w:rsid w:val="00D41969"/>
    <w:rsid w:val="00D44632"/>
    <w:rsid w:val="00D5432E"/>
    <w:rsid w:val="00D5552B"/>
    <w:rsid w:val="00D557FD"/>
    <w:rsid w:val="00D569A1"/>
    <w:rsid w:val="00D632A3"/>
    <w:rsid w:val="00D65589"/>
    <w:rsid w:val="00D65BB5"/>
    <w:rsid w:val="00D6788F"/>
    <w:rsid w:val="00D70EC5"/>
    <w:rsid w:val="00D755D9"/>
    <w:rsid w:val="00D76947"/>
    <w:rsid w:val="00D81C4D"/>
    <w:rsid w:val="00D82C29"/>
    <w:rsid w:val="00D84A39"/>
    <w:rsid w:val="00D85131"/>
    <w:rsid w:val="00D93CB6"/>
    <w:rsid w:val="00DA064C"/>
    <w:rsid w:val="00DA2795"/>
    <w:rsid w:val="00DA2CD8"/>
    <w:rsid w:val="00DA7B93"/>
    <w:rsid w:val="00DB1F66"/>
    <w:rsid w:val="00DB5C56"/>
    <w:rsid w:val="00DB7C66"/>
    <w:rsid w:val="00DC1151"/>
    <w:rsid w:val="00DC3579"/>
    <w:rsid w:val="00DC3612"/>
    <w:rsid w:val="00DC4936"/>
    <w:rsid w:val="00DC4D0A"/>
    <w:rsid w:val="00DC5066"/>
    <w:rsid w:val="00DD5A85"/>
    <w:rsid w:val="00DE2383"/>
    <w:rsid w:val="00DF3624"/>
    <w:rsid w:val="00DF5EB7"/>
    <w:rsid w:val="00DF5FD1"/>
    <w:rsid w:val="00DF6A23"/>
    <w:rsid w:val="00E021C1"/>
    <w:rsid w:val="00E04A24"/>
    <w:rsid w:val="00E0564D"/>
    <w:rsid w:val="00E07987"/>
    <w:rsid w:val="00E10926"/>
    <w:rsid w:val="00E13590"/>
    <w:rsid w:val="00E26B48"/>
    <w:rsid w:val="00E31B37"/>
    <w:rsid w:val="00E31E39"/>
    <w:rsid w:val="00E33CB7"/>
    <w:rsid w:val="00E34912"/>
    <w:rsid w:val="00E3564C"/>
    <w:rsid w:val="00E35E72"/>
    <w:rsid w:val="00E37FE5"/>
    <w:rsid w:val="00E41079"/>
    <w:rsid w:val="00E42721"/>
    <w:rsid w:val="00E43490"/>
    <w:rsid w:val="00E44513"/>
    <w:rsid w:val="00E4481B"/>
    <w:rsid w:val="00E44AF0"/>
    <w:rsid w:val="00E5082E"/>
    <w:rsid w:val="00E513CC"/>
    <w:rsid w:val="00E51A66"/>
    <w:rsid w:val="00E5415A"/>
    <w:rsid w:val="00E5487E"/>
    <w:rsid w:val="00E54C30"/>
    <w:rsid w:val="00E55349"/>
    <w:rsid w:val="00E55557"/>
    <w:rsid w:val="00E608D6"/>
    <w:rsid w:val="00E62ED2"/>
    <w:rsid w:val="00E658A1"/>
    <w:rsid w:val="00E671FC"/>
    <w:rsid w:val="00E67586"/>
    <w:rsid w:val="00E75765"/>
    <w:rsid w:val="00E75D3B"/>
    <w:rsid w:val="00E76BB5"/>
    <w:rsid w:val="00E76CA1"/>
    <w:rsid w:val="00E76F75"/>
    <w:rsid w:val="00E818CF"/>
    <w:rsid w:val="00E83A40"/>
    <w:rsid w:val="00E84BB9"/>
    <w:rsid w:val="00E84FA2"/>
    <w:rsid w:val="00E876A0"/>
    <w:rsid w:val="00E877CA"/>
    <w:rsid w:val="00E87EF8"/>
    <w:rsid w:val="00E92428"/>
    <w:rsid w:val="00E928D7"/>
    <w:rsid w:val="00E92D3F"/>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065BD"/>
    <w:rsid w:val="00F17161"/>
    <w:rsid w:val="00F177AC"/>
    <w:rsid w:val="00F20E22"/>
    <w:rsid w:val="00F20F55"/>
    <w:rsid w:val="00F2227D"/>
    <w:rsid w:val="00F2233A"/>
    <w:rsid w:val="00F23D0F"/>
    <w:rsid w:val="00F2629E"/>
    <w:rsid w:val="00F32725"/>
    <w:rsid w:val="00F33CE8"/>
    <w:rsid w:val="00F34857"/>
    <w:rsid w:val="00F3653F"/>
    <w:rsid w:val="00F36B57"/>
    <w:rsid w:val="00F43449"/>
    <w:rsid w:val="00F434C7"/>
    <w:rsid w:val="00F461A1"/>
    <w:rsid w:val="00F5504F"/>
    <w:rsid w:val="00F5578A"/>
    <w:rsid w:val="00F62BD3"/>
    <w:rsid w:val="00F63B1C"/>
    <w:rsid w:val="00F63FBE"/>
    <w:rsid w:val="00F71684"/>
    <w:rsid w:val="00F71970"/>
    <w:rsid w:val="00F72FFF"/>
    <w:rsid w:val="00F75EBF"/>
    <w:rsid w:val="00F76C54"/>
    <w:rsid w:val="00F76F11"/>
    <w:rsid w:val="00F773B2"/>
    <w:rsid w:val="00F80B98"/>
    <w:rsid w:val="00F81B93"/>
    <w:rsid w:val="00F841EC"/>
    <w:rsid w:val="00F84319"/>
    <w:rsid w:val="00F858BA"/>
    <w:rsid w:val="00F86077"/>
    <w:rsid w:val="00F86697"/>
    <w:rsid w:val="00F90494"/>
    <w:rsid w:val="00F90BC0"/>
    <w:rsid w:val="00F928D6"/>
    <w:rsid w:val="00F92DC8"/>
    <w:rsid w:val="00FA0393"/>
    <w:rsid w:val="00FA1F56"/>
    <w:rsid w:val="00FA2ECD"/>
    <w:rsid w:val="00FA49A7"/>
    <w:rsid w:val="00FA6E2A"/>
    <w:rsid w:val="00FA703B"/>
    <w:rsid w:val="00FB1CB1"/>
    <w:rsid w:val="00FB1F39"/>
    <w:rsid w:val="00FB27F5"/>
    <w:rsid w:val="00FB3CDE"/>
    <w:rsid w:val="00FB5C17"/>
    <w:rsid w:val="00FC14D4"/>
    <w:rsid w:val="00FC1C72"/>
    <w:rsid w:val="00FC5060"/>
    <w:rsid w:val="00FC7475"/>
    <w:rsid w:val="00FD00AA"/>
    <w:rsid w:val="00FD0B1C"/>
    <w:rsid w:val="00FD2745"/>
    <w:rsid w:val="00FD5587"/>
    <w:rsid w:val="00FD7A4A"/>
    <w:rsid w:val="00FE2242"/>
    <w:rsid w:val="00FE41B0"/>
    <w:rsid w:val="00FE4869"/>
    <w:rsid w:val="00FE63C1"/>
    <w:rsid w:val="00FF2778"/>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docId w15:val="{4E6E407D-78BD-4E40-BB71-DA6DC7DE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Ha,List Paragraph (numbered (a)),Lapis Bulleted List,Project Profile name,Dot pt,No Spacing1,List Paragraph Char Char Char,Indicator Text,List Paragraph1,Numbered Para 1,List Paragraph12,Bullet Points,MAIN CONTENT,Bullet 1,WB Para,Bullets"/>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5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ListParagraphChar">
    <w:name w:val="List Paragraph Char"/>
    <w:aliases w:val="Ha Char,List Paragraph (numbered (a)) Char,Lapis Bulleted List Char,Project Profile name Char,Dot pt Char,No Spacing1 Char,List Paragraph Char Char Char Char,Indicator Text Char,List Paragraph1 Char,Numbered Para 1 Char,Bullet 1 Char"/>
    <w:link w:val="ListParagraph"/>
    <w:uiPriority w:val="34"/>
    <w:qFormat/>
    <w:locked/>
    <w:rsid w:val="007B65A8"/>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cef.org/southsudan/stories/hotline-became-lif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5ADAA-6412-467F-9190-F09039B23C99}">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6824</Words>
  <Characters>38903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Benjamin Moore</cp:lastModifiedBy>
  <cp:revision>4</cp:revision>
  <cp:lastPrinted>2014-02-10T17:12:00Z</cp:lastPrinted>
  <dcterms:created xsi:type="dcterms:W3CDTF">2020-11-14T05:43:00Z</dcterms:created>
  <dcterms:modified xsi:type="dcterms:W3CDTF">2020-12-10T17:24:00Z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