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57489BBE" w:rsidR="000F43A8" w:rsidRPr="0007336B"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07336B" w:rsidRPr="0007336B">
        <w:rPr>
          <w:bCs/>
          <w:iCs/>
          <w:snapToGrid w:val="0"/>
          <w:szCs w:val="28"/>
          <w:lang w:val="fr-FR"/>
        </w:rPr>
        <w:t>REPUBLIQU</w:t>
      </w:r>
      <w:r w:rsidR="0007336B">
        <w:rPr>
          <w:bCs/>
          <w:iCs/>
          <w:snapToGrid w:val="0"/>
          <w:szCs w:val="28"/>
          <w:lang w:val="fr-FR"/>
        </w:rPr>
        <w:t>E CENTRAFRICAINE</w:t>
      </w:r>
    </w:p>
    <w:p w14:paraId="35B8BCCA" w14:textId="0EAB2268"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07336B">
        <w:rPr>
          <w:b/>
          <w:sz w:val="22"/>
          <w:szCs w:val="22"/>
        </w:rPr>
        <w:fldChar w:fldCharType="begin">
          <w:ffData>
            <w:name w:val=""/>
            <w:enabled/>
            <w:calcOnExit w:val="0"/>
            <w:ddList>
              <w:listEntry w:val="Semestriel"/>
              <w:listEntry w:val="Veuillez sélectionner"/>
              <w:listEntry w:val="Annuel"/>
              <w:listEntry w:val="Final"/>
            </w:ddList>
          </w:ffData>
        </w:fldChar>
      </w:r>
      <w:r w:rsidR="0007336B" w:rsidRPr="0007336B">
        <w:rPr>
          <w:b/>
          <w:sz w:val="22"/>
          <w:szCs w:val="22"/>
          <w:lang w:val="fr-FR"/>
        </w:rPr>
        <w:instrText xml:space="preserve"> FORMDROPDOWN </w:instrText>
      </w:r>
      <w:r w:rsidR="00F7255E">
        <w:rPr>
          <w:b/>
          <w:sz w:val="22"/>
          <w:szCs w:val="22"/>
        </w:rPr>
      </w:r>
      <w:r w:rsidR="00F7255E">
        <w:rPr>
          <w:b/>
          <w:sz w:val="22"/>
          <w:szCs w:val="22"/>
        </w:rPr>
        <w:fldChar w:fldCharType="separate"/>
      </w:r>
      <w:r w:rsidR="0007336B">
        <w:rPr>
          <w:b/>
          <w:sz w:val="22"/>
          <w:szCs w:val="22"/>
        </w:rPr>
        <w:fldChar w:fldCharType="end"/>
      </w:r>
    </w:p>
    <w:p w14:paraId="0B2F56D8" w14:textId="61B62910" w:rsidR="000554F8" w:rsidRDefault="00500587" w:rsidP="000F43A8">
      <w:pPr>
        <w:jc w:val="center"/>
        <w:rPr>
          <w:bCs/>
          <w:iCs/>
          <w:snapToGrid w:val="0"/>
          <w:szCs w:val="28"/>
        </w:rPr>
      </w:pPr>
      <w:r>
        <w:rPr>
          <w:b/>
          <w:bCs/>
          <w:caps/>
        </w:rPr>
        <w:t>ANNEE</w:t>
      </w:r>
      <w:r w:rsidR="000F43A8">
        <w:rPr>
          <w:b/>
          <w:bCs/>
          <w:caps/>
        </w:rPr>
        <w:t xml:space="preserve"> DE RAPPORT: </w:t>
      </w:r>
      <w:r w:rsidR="0007336B">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7336B" w14:paraId="26E9F2DE" w14:textId="77777777" w:rsidTr="00F23D0F">
        <w:trPr>
          <w:trHeight w:val="422"/>
        </w:trPr>
        <w:tc>
          <w:tcPr>
            <w:tcW w:w="10080" w:type="dxa"/>
            <w:gridSpan w:val="2"/>
          </w:tcPr>
          <w:p w14:paraId="11EF4F5F" w14:textId="3310101F"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07336B" w:rsidRPr="0007336B">
              <w:rPr>
                <w:rFonts w:asciiTheme="minorBidi" w:hAnsiTheme="minorBidi" w:cstheme="minorBidi"/>
                <w:b/>
                <w:bCs/>
                <w:sz w:val="20"/>
                <w:szCs w:val="20"/>
                <w:lang w:val="fr-FR"/>
              </w:rPr>
              <w:t>PROJET D'APPUI AU RENOUVELLEMENT DES FORCES DE SECURITE INTERIEURE</w:t>
            </w:r>
          </w:p>
          <w:p w14:paraId="24C4A490" w14:textId="6CF02A59" w:rsidR="00793DE6" w:rsidRPr="008F6C23" w:rsidRDefault="000F43A8" w:rsidP="000F43A8">
            <w:pPr>
              <w:rPr>
                <w:b/>
                <w:lang w:val="en-CA"/>
              </w:rPr>
            </w:pPr>
            <w:proofErr w:type="spellStart"/>
            <w:r w:rsidRPr="008F6C23">
              <w:rPr>
                <w:b/>
                <w:lang w:val="en-CA"/>
              </w:rPr>
              <w:t>Numéro</w:t>
            </w:r>
            <w:proofErr w:type="spellEnd"/>
            <w:r w:rsidRPr="008F6C23">
              <w:rPr>
                <w:b/>
                <w:lang w:val="en-CA"/>
              </w:rPr>
              <w:t xml:space="preserve"> </w:t>
            </w:r>
            <w:proofErr w:type="spellStart"/>
            <w:r w:rsidRPr="008F6C23">
              <w:rPr>
                <w:b/>
                <w:lang w:val="en-CA"/>
              </w:rPr>
              <w:t>Projet</w:t>
            </w:r>
            <w:proofErr w:type="spellEnd"/>
            <w:r w:rsidRPr="008F6C23">
              <w:rPr>
                <w:b/>
                <w:lang w:val="en-CA"/>
              </w:rPr>
              <w:t xml:space="preserve"> / MPTF Gateway</w:t>
            </w:r>
            <w:r w:rsidR="00793DE6" w:rsidRPr="008F6C23">
              <w:rPr>
                <w:b/>
                <w:lang w:val="en-CA"/>
              </w:rPr>
              <w:t xml:space="preserve">: </w:t>
            </w:r>
            <w:r w:rsidR="00AB7A53" w:rsidRPr="008F6C23">
              <w:rPr>
                <w:b/>
                <w:lang w:val="en-CA"/>
              </w:rPr>
              <w:t>PBF-</w:t>
            </w:r>
            <w:r w:rsidR="00C65BED">
              <w:rPr>
                <w:b/>
              </w:rPr>
              <w:fldChar w:fldCharType="begin">
                <w:ffData>
                  <w:name w:val=""/>
                  <w:enabled/>
                  <w:calcOnExit w:val="0"/>
                  <w:ddList>
                    <w:listEntry w:val="IRF"/>
                    <w:listEntry w:val="Veuillez sélectionner"/>
                    <w:listEntry w:val="PRF"/>
                  </w:ddList>
                </w:ffData>
              </w:fldChar>
            </w:r>
            <w:r w:rsidR="00C65BED">
              <w:rPr>
                <w:b/>
              </w:rPr>
              <w:instrText xml:space="preserve"> FORMDROPDOWN </w:instrText>
            </w:r>
            <w:r w:rsidR="00F7255E">
              <w:rPr>
                <w:b/>
              </w:rPr>
            </w:r>
            <w:r w:rsidR="00F7255E">
              <w:rPr>
                <w:b/>
              </w:rPr>
              <w:fldChar w:fldCharType="separate"/>
            </w:r>
            <w:r w:rsidR="00C65BED">
              <w:rPr>
                <w:b/>
              </w:rPr>
              <w:fldChar w:fldCharType="end"/>
            </w:r>
            <w:r w:rsidR="00AB7A53">
              <w:rPr>
                <w:b/>
              </w:rPr>
              <w:t>-186/</w:t>
            </w:r>
            <w:r w:rsidR="00AB7A53">
              <w:rPr>
                <w:b/>
                <w:lang w:val="en-CA"/>
              </w:rPr>
              <w:t xml:space="preserve"> </w:t>
            </w:r>
            <w:r w:rsidR="00AB7A53">
              <w:rPr>
                <w:b/>
              </w:rPr>
              <w:t>00106975</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F7255E">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F7255E">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317DFA79" w:rsidR="00A43B9C" w:rsidRPr="00627A1C" w:rsidRDefault="00C65BED"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F7255E">
              <w:rPr>
                <w:rFonts w:ascii="Times New Roman" w:hAnsi="Times New Roman" w:cs="Times New Roman"/>
                <w:b/>
                <w:sz w:val="24"/>
                <w:szCs w:val="24"/>
              </w:rPr>
            </w:r>
            <w:r w:rsidR="00F7255E">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roofErr w:type="gramStart"/>
            <w:r>
              <w:rPr>
                <w:rFonts w:ascii="Times New Roman" w:hAnsi="Times New Roman" w:cs="Times New Roman"/>
                <w:b/>
                <w:sz w:val="24"/>
                <w:szCs w:val="24"/>
              </w:rPr>
              <w:t>PNUD</w:t>
            </w:r>
            <w:r w:rsidR="00A43B9C" w:rsidRPr="00627A1C">
              <w:rPr>
                <w:rFonts w:ascii="Times New Roman" w:hAnsi="Times New Roman" w:cs="Times New Roman"/>
                <w:b/>
                <w:sz w:val="24"/>
                <w:szCs w:val="24"/>
              </w:rPr>
              <w:t xml:space="preserve">  (</w:t>
            </w:r>
            <w:proofErr w:type="spellStart"/>
            <w:proofErr w:type="gramEnd"/>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0673E8AA" w14:textId="32E3E95A" w:rsidR="00A43B9C" w:rsidRPr="00627A1C" w:rsidRDefault="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433021" w14:paraId="72CE853D" w14:textId="77777777" w:rsidTr="00F23D0F">
        <w:trPr>
          <w:trHeight w:val="368"/>
        </w:trPr>
        <w:tc>
          <w:tcPr>
            <w:tcW w:w="10080" w:type="dxa"/>
            <w:gridSpan w:val="2"/>
          </w:tcPr>
          <w:p w14:paraId="5C2804C5" w14:textId="6C7C02A6" w:rsidR="00793DE6" w:rsidRPr="0090623A"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AB7A53">
              <w:rPr>
                <w:b/>
                <w:bCs/>
                <w:iCs/>
                <w:lang w:val="fr-FR"/>
              </w:rPr>
              <w:t xml:space="preserve">20 </w:t>
            </w:r>
            <w:r w:rsidR="007833F0">
              <w:rPr>
                <w:bCs/>
                <w:iCs/>
                <w:snapToGrid w:val="0"/>
              </w:rPr>
              <w:fldChar w:fldCharType="begin">
                <w:ffData>
                  <w:name w:val=""/>
                  <w:enabled/>
                  <w:calcOnExit w:val="0"/>
                  <w:textInput>
                    <w:default w:val="Septembre 2017"/>
                    <w:format w:val="FIRST CAPITAL"/>
                  </w:textInput>
                </w:ffData>
              </w:fldChar>
            </w:r>
            <w:r w:rsidR="007833F0" w:rsidRPr="007833F0">
              <w:rPr>
                <w:bCs/>
                <w:iCs/>
                <w:snapToGrid w:val="0"/>
                <w:lang w:val="fr-FR"/>
              </w:rPr>
              <w:instrText xml:space="preserve"> FORMTEXT </w:instrText>
            </w:r>
            <w:r w:rsidR="007833F0">
              <w:rPr>
                <w:bCs/>
                <w:iCs/>
                <w:snapToGrid w:val="0"/>
              </w:rPr>
            </w:r>
            <w:r w:rsidR="007833F0">
              <w:rPr>
                <w:bCs/>
                <w:iCs/>
                <w:snapToGrid w:val="0"/>
              </w:rPr>
              <w:fldChar w:fldCharType="separate"/>
            </w:r>
            <w:r w:rsidR="00AB7A53">
              <w:rPr>
                <w:bCs/>
                <w:iCs/>
                <w:noProof/>
                <w:snapToGrid w:val="0"/>
                <w:lang w:val="fr-FR"/>
              </w:rPr>
              <w:t>s</w:t>
            </w:r>
            <w:r w:rsidR="007833F0" w:rsidRPr="007833F0">
              <w:rPr>
                <w:bCs/>
                <w:iCs/>
                <w:noProof/>
                <w:snapToGrid w:val="0"/>
                <w:lang w:val="fr-FR"/>
              </w:rPr>
              <w:t>eptembre 2017</w:t>
            </w:r>
            <w:r w:rsidR="007833F0">
              <w:rPr>
                <w:bCs/>
                <w:iCs/>
                <w:snapToGrid w:val="0"/>
              </w:rPr>
              <w:fldChar w:fldCharType="end"/>
            </w:r>
          </w:p>
          <w:p w14:paraId="064BF427" w14:textId="6C7E9C27"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AB7A53">
              <w:rPr>
                <w:bCs/>
                <w:iCs/>
                <w:snapToGrid w:val="0"/>
              </w:rPr>
              <w:fldChar w:fldCharType="begin">
                <w:ffData>
                  <w:name w:val=""/>
                  <w:enabled/>
                  <w:calcOnExit w:val="0"/>
                  <w:textInput>
                    <w:default w:val="14/06/2020"/>
                    <w:format w:val="FIRST CAPITAL"/>
                  </w:textInput>
                </w:ffData>
              </w:fldChar>
            </w:r>
            <w:r w:rsidR="00AB7A53" w:rsidRPr="008F6C23">
              <w:rPr>
                <w:bCs/>
                <w:iCs/>
                <w:snapToGrid w:val="0"/>
                <w:lang w:val="fr-FR"/>
              </w:rPr>
              <w:instrText xml:space="preserve"> FORMTEXT </w:instrText>
            </w:r>
            <w:r w:rsidR="00AB7A53">
              <w:rPr>
                <w:bCs/>
                <w:iCs/>
                <w:snapToGrid w:val="0"/>
              </w:rPr>
            </w:r>
            <w:r w:rsidR="00AB7A53">
              <w:rPr>
                <w:bCs/>
                <w:iCs/>
                <w:snapToGrid w:val="0"/>
              </w:rPr>
              <w:fldChar w:fldCharType="separate"/>
            </w:r>
            <w:r w:rsidR="00AB7A53" w:rsidRPr="008F6C23">
              <w:rPr>
                <w:bCs/>
                <w:iCs/>
                <w:noProof/>
                <w:snapToGrid w:val="0"/>
                <w:lang w:val="fr-FR"/>
              </w:rPr>
              <w:t>14/06/2020</w:t>
            </w:r>
            <w:r w:rsidR="00AB7A53">
              <w:rPr>
                <w:bCs/>
                <w:iCs/>
                <w:snapToGrid w:val="0"/>
              </w:rPr>
              <w:fldChar w:fldCharType="end"/>
            </w:r>
            <w:r w:rsidR="0025220B" w:rsidRPr="000F43A8">
              <w:rPr>
                <w:bCs/>
                <w:iCs/>
                <w:snapToGrid w:val="0"/>
                <w:lang w:val="fr-FR"/>
              </w:rPr>
              <w:t xml:space="preserve">     </w:t>
            </w:r>
          </w:p>
          <w:p w14:paraId="2AE235F0" w14:textId="4870DB68"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C65BED">
              <w:rPr>
                <w:bCs/>
                <w:iCs/>
                <w:snapToGrid w:val="0"/>
              </w:rPr>
              <w:fldChar w:fldCharType="begin">
                <w:ffData>
                  <w:name w:val="enddate"/>
                  <w:enabled/>
                  <w:calcOnExit w:val="0"/>
                  <w:ddList>
                    <w:listEntry w:val="Oui"/>
                    <w:listEntry w:val="Veuillez sélectionner"/>
                    <w:listEntry w:val="Non"/>
                  </w:ddList>
                </w:ffData>
              </w:fldChar>
            </w:r>
            <w:bookmarkStart w:id="0" w:name="enddate"/>
            <w:r w:rsidR="00C65BED" w:rsidRPr="00D625DA">
              <w:rPr>
                <w:bCs/>
                <w:iCs/>
                <w:snapToGrid w:val="0"/>
                <w:lang w:val="fr-FR"/>
              </w:rPr>
              <w:instrText xml:space="preserve"> FORMDROPDOWN </w:instrText>
            </w:r>
            <w:r w:rsidR="00F7255E">
              <w:rPr>
                <w:bCs/>
                <w:iCs/>
                <w:snapToGrid w:val="0"/>
              </w:rPr>
            </w:r>
            <w:r w:rsidR="00F7255E">
              <w:rPr>
                <w:bCs/>
                <w:iCs/>
                <w:snapToGrid w:val="0"/>
              </w:rPr>
              <w:fldChar w:fldCharType="separate"/>
            </w:r>
            <w:r w:rsidR="00C65BED">
              <w:rPr>
                <w:bCs/>
                <w:iCs/>
                <w:snapToGrid w:val="0"/>
              </w:rPr>
              <w:fldChar w:fldCharType="end"/>
            </w:r>
            <w:bookmarkEnd w:id="0"/>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7255E">
              <w:rPr>
                <w:lang w:val="fr-FR"/>
              </w:rPr>
            </w:r>
            <w:r w:rsidR="00F7255E">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7255E">
              <w:rPr>
                <w:lang w:val="fr-FR"/>
              </w:rPr>
            </w:r>
            <w:r w:rsidR="00F7255E">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7255E">
              <w:rPr>
                <w:lang w:val="fr-FR"/>
              </w:rPr>
            </w:r>
            <w:r w:rsidR="00F7255E">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7255E">
              <w:rPr>
                <w:lang w:val="fr-FR"/>
              </w:rPr>
            </w:r>
            <w:r w:rsidR="00F7255E">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433021"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
          <w:p w14:paraId="61353E95" w14:textId="2F9D2FCB" w:rsidR="00793DE6" w:rsidRPr="007C7B57" w:rsidRDefault="00C65BED" w:rsidP="00F23D0F">
            <w:pPr>
              <w:rPr>
                <w:iCs/>
                <w:lang w:val="fr-FR"/>
              </w:rPr>
            </w:pPr>
            <w:r w:rsidRPr="003E511E">
              <w:rPr>
                <w:bCs/>
                <w:iCs/>
                <w:snapToGrid w:val="0"/>
                <w:lang w:val="fr-FR"/>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3E511E">
              <w:rPr>
                <w:bCs/>
                <w:iCs/>
                <w:snapToGrid w:val="0"/>
              </w:rPr>
              <w:fldChar w:fldCharType="begin">
                <w:ffData>
                  <w:name w:val="Text11"/>
                  <w:enabled/>
                  <w:calcOnExit w:val="0"/>
                  <w:textInput>
                    <w:type w:val="number"/>
                    <w:default w:val="3946931"/>
                    <w:format w:val="0"/>
                  </w:textInput>
                </w:ffData>
              </w:fldChar>
            </w:r>
            <w:bookmarkStart w:id="2" w:name="Text11"/>
            <w:r w:rsidR="003E511E" w:rsidRPr="0087600B">
              <w:rPr>
                <w:bCs/>
                <w:iCs/>
                <w:snapToGrid w:val="0"/>
                <w:lang w:val="fr-FR"/>
              </w:rPr>
              <w:instrText xml:space="preserve"> FORMTEXT </w:instrText>
            </w:r>
            <w:r w:rsidR="003E511E">
              <w:rPr>
                <w:bCs/>
                <w:iCs/>
                <w:snapToGrid w:val="0"/>
              </w:rPr>
            </w:r>
            <w:r w:rsidR="003E511E">
              <w:rPr>
                <w:bCs/>
                <w:iCs/>
                <w:snapToGrid w:val="0"/>
              </w:rPr>
              <w:fldChar w:fldCharType="separate"/>
            </w:r>
            <w:r w:rsidR="003E511E" w:rsidRPr="0087600B">
              <w:rPr>
                <w:bCs/>
                <w:iCs/>
                <w:noProof/>
                <w:snapToGrid w:val="0"/>
                <w:lang w:val="fr-FR"/>
              </w:rPr>
              <w:t>3946931</w:t>
            </w:r>
            <w:r w:rsidR="003E511E">
              <w:rPr>
                <w:bCs/>
                <w:iCs/>
                <w:snapToGrid w:val="0"/>
              </w:rPr>
              <w:fldChar w:fldCharType="end"/>
            </w:r>
            <w:bookmarkEnd w:id="2"/>
          </w:p>
          <w:p w14:paraId="52AEBA43"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4D95DD6E"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3E511E">
              <w:rPr>
                <w:rFonts w:ascii="Times New Roman" w:hAnsi="Times New Roman" w:cs="Times New Roman"/>
                <w:bCs/>
                <w:iCs/>
                <w:snapToGrid w:val="0"/>
                <w:sz w:val="24"/>
                <w:szCs w:val="24"/>
              </w:rPr>
              <w:fldChar w:fldCharType="begin">
                <w:ffData>
                  <w:name w:val=""/>
                  <w:enabled/>
                  <w:calcOnExit w:val="0"/>
                  <w:textInput>
                    <w:type w:val="number"/>
                    <w:default w:val="3946931"/>
                    <w:format w:val="0"/>
                  </w:textInput>
                </w:ffData>
              </w:fldChar>
            </w:r>
            <w:r w:rsidR="003E511E" w:rsidRPr="003E511E">
              <w:rPr>
                <w:rFonts w:ascii="Times New Roman" w:hAnsi="Times New Roman" w:cs="Times New Roman"/>
                <w:bCs/>
                <w:iCs/>
                <w:snapToGrid w:val="0"/>
                <w:sz w:val="24"/>
                <w:szCs w:val="24"/>
                <w:lang w:val="fr-FR"/>
              </w:rPr>
              <w:instrText xml:space="preserve"> FORMTEXT </w:instrText>
            </w:r>
            <w:r w:rsidR="003E511E">
              <w:rPr>
                <w:rFonts w:ascii="Times New Roman" w:hAnsi="Times New Roman" w:cs="Times New Roman"/>
                <w:bCs/>
                <w:iCs/>
                <w:snapToGrid w:val="0"/>
                <w:sz w:val="24"/>
                <w:szCs w:val="24"/>
              </w:rPr>
            </w:r>
            <w:r w:rsidR="003E511E">
              <w:rPr>
                <w:rFonts w:ascii="Times New Roman" w:hAnsi="Times New Roman" w:cs="Times New Roman"/>
                <w:bCs/>
                <w:iCs/>
                <w:snapToGrid w:val="0"/>
                <w:sz w:val="24"/>
                <w:szCs w:val="24"/>
              </w:rPr>
              <w:fldChar w:fldCharType="separate"/>
            </w:r>
            <w:r w:rsidR="003E511E" w:rsidRPr="003E511E">
              <w:rPr>
                <w:rFonts w:ascii="Times New Roman" w:hAnsi="Times New Roman" w:cs="Times New Roman"/>
                <w:bCs/>
                <w:iCs/>
                <w:noProof/>
                <w:snapToGrid w:val="0"/>
                <w:sz w:val="24"/>
                <w:szCs w:val="24"/>
                <w:lang w:val="fr-FR"/>
              </w:rPr>
              <w:t>3946931</w:t>
            </w:r>
            <w:r w:rsidR="003E511E">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2C3BD2B5" w:rsidR="001C56B8" w:rsidRPr="008B408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234AE5">
              <w:rPr>
                <w:rFonts w:ascii="Times New Roman" w:hAnsi="Times New Roman" w:cs="Times New Roman"/>
                <w:bCs/>
                <w:iCs/>
                <w:snapToGrid w:val="0"/>
                <w:sz w:val="24"/>
                <w:szCs w:val="24"/>
                <w:lang w:val="fr-FR"/>
              </w:rPr>
              <w:t>76</w:t>
            </w:r>
            <w:r w:rsidR="008B408E">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0C2EA9C" w14:textId="07BA8369"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7833F0">
              <w:fldChar w:fldCharType="begin">
                <w:ffData>
                  <w:name w:val="Text1"/>
                  <w:enabled/>
                  <w:calcOnExit w:val="0"/>
                  <w:textInput>
                    <w:type w:val="number"/>
                    <w:default w:val="792234.00"/>
                    <w:maxLength w:val="500"/>
                    <w:format w:val="0.00"/>
                  </w:textInput>
                </w:ffData>
              </w:fldChar>
            </w:r>
            <w:bookmarkStart w:id="3" w:name="Text1"/>
            <w:r w:rsidR="007833F0" w:rsidRPr="007833F0">
              <w:rPr>
                <w:lang w:val="fr-FR"/>
              </w:rPr>
              <w:instrText xml:space="preserve"> FORMTEXT </w:instrText>
            </w:r>
            <w:r w:rsidR="007833F0">
              <w:fldChar w:fldCharType="separate"/>
            </w:r>
            <w:r w:rsidR="007833F0" w:rsidRPr="007833F0">
              <w:rPr>
                <w:noProof/>
                <w:lang w:val="fr-FR"/>
              </w:rPr>
              <w:t>792234.00</w:t>
            </w:r>
            <w:r w:rsidR="007833F0">
              <w:fldChar w:fldCharType="end"/>
            </w:r>
            <w:bookmarkEnd w:id="3"/>
          </w:p>
          <w:p w14:paraId="00AF6414" w14:textId="4A335A92" w:rsidR="00006EC0" w:rsidRPr="00234AE5" w:rsidRDefault="000F43A8" w:rsidP="00006EC0">
            <w:pPr>
              <w:rPr>
                <w:noProof/>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234AE5" w:rsidRPr="00234AE5">
              <w:rPr>
                <w:noProof/>
                <w:lang w:val="fr-FR"/>
              </w:rPr>
              <w:t>565 095,46 USD</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433021" w14:paraId="0DF7F010" w14:textId="77777777" w:rsidTr="00F23D0F">
        <w:trPr>
          <w:trHeight w:val="1124"/>
        </w:trPr>
        <w:tc>
          <w:tcPr>
            <w:tcW w:w="10080" w:type="dxa"/>
            <w:gridSpan w:val="2"/>
          </w:tcPr>
          <w:p w14:paraId="0084A294" w14:textId="38DFCDDE"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62BA5">
              <w:rPr>
                <w:b/>
                <w:bCs/>
                <w:iCs/>
              </w:rPr>
              <w:fldChar w:fldCharType="begin">
                <w:ffData>
                  <w:name w:val="gendermarker"/>
                  <w:enabled/>
                  <w:calcOnExit w:val="0"/>
                  <w:ddList>
                    <w:listEntry w:val="GM1"/>
                    <w:listEntry w:val="Veuillez sélectionner"/>
                    <w:listEntry w:val="GM3"/>
                    <w:listEntry w:val="GM2"/>
                  </w:ddList>
                </w:ffData>
              </w:fldChar>
            </w:r>
            <w:bookmarkStart w:id="4" w:name="gendermarker"/>
            <w:r w:rsidR="00A62BA5" w:rsidRPr="00A62BA5">
              <w:rPr>
                <w:b/>
                <w:bCs/>
                <w:iCs/>
                <w:lang w:val="fr-FR"/>
              </w:rPr>
              <w:instrText xml:space="preserve"> FORMDROPDOWN </w:instrText>
            </w:r>
            <w:r w:rsidR="00F7255E">
              <w:rPr>
                <w:b/>
                <w:bCs/>
                <w:iCs/>
              </w:rPr>
            </w:r>
            <w:r w:rsidR="00F7255E">
              <w:rPr>
                <w:b/>
                <w:bCs/>
                <w:iCs/>
              </w:rPr>
              <w:fldChar w:fldCharType="separate"/>
            </w:r>
            <w:r w:rsidR="00A62BA5">
              <w:rPr>
                <w:b/>
                <w:bCs/>
                <w:iCs/>
              </w:rPr>
              <w:fldChar w:fldCharType="end"/>
            </w:r>
            <w:bookmarkEnd w:id="4"/>
          </w:p>
          <w:p w14:paraId="7B5DB9E4" w14:textId="3032D7DB"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62BA5">
              <w:rPr>
                <w:b/>
                <w:bCs/>
                <w:iCs/>
              </w:rPr>
              <w:fldChar w:fldCharType="begin">
                <w:ffData>
                  <w:name w:val="riskmarker"/>
                  <w:enabled/>
                  <w:calcOnExit w:val="0"/>
                  <w:ddList>
                    <w:listEntry w:val="Moyen"/>
                    <w:listEntry w:val="Veuillez sélectionner"/>
                    <w:listEntry w:val="Faible"/>
                    <w:listEntry w:val="Élevé"/>
                  </w:ddList>
                </w:ffData>
              </w:fldChar>
            </w:r>
            <w:bookmarkStart w:id="5" w:name="riskmarker"/>
            <w:r w:rsidR="00A62BA5" w:rsidRPr="00A62BA5">
              <w:rPr>
                <w:b/>
                <w:bCs/>
                <w:iCs/>
                <w:lang w:val="fr-FR"/>
              </w:rPr>
              <w:instrText xml:space="preserve"> FORMDROPDOWN </w:instrText>
            </w:r>
            <w:r w:rsidR="00F7255E">
              <w:rPr>
                <w:b/>
                <w:bCs/>
                <w:iCs/>
              </w:rPr>
            </w:r>
            <w:r w:rsidR="00F7255E">
              <w:rPr>
                <w:b/>
                <w:bCs/>
                <w:iCs/>
              </w:rPr>
              <w:fldChar w:fldCharType="separate"/>
            </w:r>
            <w:r w:rsidR="00A62BA5">
              <w:rPr>
                <w:b/>
                <w:bCs/>
                <w:iCs/>
              </w:rPr>
              <w:fldChar w:fldCharType="end"/>
            </w:r>
            <w:bookmarkEnd w:id="5"/>
          </w:p>
          <w:p w14:paraId="55B14D86" w14:textId="1E3D6742"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A62BA5">
              <w:rPr>
                <w:b/>
                <w:bCs/>
                <w:iCs/>
              </w:rPr>
              <w:fldChar w:fldCharType="begin">
                <w:ffData>
                  <w:name w:val="focusarea"/>
                  <w:enabled/>
                  <w:calcOnExit w:val="0"/>
                  <w:ddList>
                    <w:listEntry w:val="(1.1) Réforme du Secteur de la Sécurité"/>
                    <w:listEntry w:val="Veuillez sélectionner"/>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6" w:name="focusarea"/>
            <w:r w:rsidR="00A62BA5" w:rsidRPr="00A62BA5">
              <w:rPr>
                <w:b/>
                <w:bCs/>
                <w:iCs/>
                <w:lang w:val="fr-FR"/>
              </w:rPr>
              <w:instrText xml:space="preserve"> FORMDROPDOWN </w:instrText>
            </w:r>
            <w:r w:rsidR="00F7255E">
              <w:rPr>
                <w:b/>
                <w:bCs/>
                <w:iCs/>
              </w:rPr>
            </w:r>
            <w:r w:rsidR="00F7255E">
              <w:rPr>
                <w:b/>
                <w:bCs/>
                <w:iCs/>
              </w:rPr>
              <w:fldChar w:fldCharType="separate"/>
            </w:r>
            <w:r w:rsidR="00A62BA5">
              <w:rPr>
                <w:b/>
                <w:bCs/>
                <w:iCs/>
              </w:rPr>
              <w:fldChar w:fldCharType="end"/>
            </w:r>
            <w:bookmarkEnd w:id="6"/>
          </w:p>
        </w:tc>
      </w:tr>
      <w:tr w:rsidR="00793DE6" w:rsidRPr="00433021"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7D18CCFA" w:rsidR="000F43A8" w:rsidRPr="00826923" w:rsidRDefault="000F43A8" w:rsidP="000F43A8">
            <w:pPr>
              <w:rPr>
                <w:lang w:val="fr-FR"/>
              </w:rPr>
            </w:pPr>
            <w:r w:rsidRPr="00826923">
              <w:rPr>
                <w:lang w:val="fr-FR"/>
              </w:rPr>
              <w:t xml:space="preserve">Rapport préparé par: </w:t>
            </w:r>
            <w:r w:rsidR="00DE51B4">
              <w:rPr>
                <w:lang w:val="fr-FR"/>
              </w:rPr>
              <w:t>Houssem Eddine ISHAK</w:t>
            </w:r>
            <w:r w:rsidR="004154D4">
              <w:rPr>
                <w:lang w:val="fr-FR"/>
              </w:rPr>
              <w:t xml:space="preserve"> et Antje KRAFT </w:t>
            </w:r>
          </w:p>
          <w:p w14:paraId="4F7F6063" w14:textId="7BB0C0D1" w:rsidR="000F43A8" w:rsidRPr="00826923" w:rsidRDefault="000F43A8" w:rsidP="000F43A8">
            <w:pPr>
              <w:rPr>
                <w:lang w:val="fr-FR"/>
              </w:rPr>
            </w:pPr>
            <w:r w:rsidRPr="00826923">
              <w:rPr>
                <w:lang w:val="fr-FR"/>
              </w:rPr>
              <w:t xml:space="preserve">Rapport approuvé par: </w:t>
            </w:r>
            <w:r w:rsidR="00DE51B4">
              <w:rPr>
                <w:lang w:val="fr-FR"/>
              </w:rPr>
              <w:t>Natalie BOUCLY</w:t>
            </w:r>
          </w:p>
          <w:p w14:paraId="64A19D37" w14:textId="17CF3753"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A62BA5">
              <w:fldChar w:fldCharType="begin">
                <w:ffData>
                  <w:name w:val="secretariatreview"/>
                  <w:enabled/>
                  <w:calcOnExit w:val="0"/>
                  <w:ddList>
                    <w:listEntry w:val="Oui"/>
                    <w:listEntry w:val="Veuillez sélectionner"/>
                    <w:listEntry w:val="Non"/>
                  </w:ddList>
                </w:ffData>
              </w:fldChar>
            </w:r>
            <w:bookmarkStart w:id="7" w:name="secretariatreview"/>
            <w:r w:rsidR="00A62BA5" w:rsidRPr="00A62BA5">
              <w:rPr>
                <w:lang w:val="fr-FR"/>
              </w:rPr>
              <w:instrText xml:space="preserve"> FORMDROPDOWN </w:instrText>
            </w:r>
            <w:r w:rsidR="00F7255E">
              <w:fldChar w:fldCharType="separate"/>
            </w:r>
            <w:r w:rsidR="00A62BA5">
              <w:fldChar w:fldCharType="end"/>
            </w:r>
            <w:bookmarkEnd w:id="7"/>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A62BA5" w:rsidRDefault="00F778A1" w:rsidP="00F778A1">
      <w:pPr>
        <w:ind w:left="-810"/>
        <w:rPr>
          <w:lang w:val="fr-FR"/>
        </w:rPr>
      </w:pPr>
      <w:r w:rsidRPr="00BF4E1E">
        <w:rPr>
          <w:lang w:val="fr-FR"/>
        </w:rPr>
        <w:t xml:space="preserve">Expliquer brièvement l'état global de mise en œuvre du projet en termes de cycle de mise en </w:t>
      </w:r>
      <w:proofErr w:type="gramStart"/>
      <w:r w:rsidRPr="00BF4E1E">
        <w:rPr>
          <w:lang w:val="fr-FR"/>
        </w:rPr>
        <w:t>œuvre</w:t>
      </w:r>
      <w:proofErr w:type="gramEnd"/>
      <w:r w:rsidRPr="00BF4E1E">
        <w:rPr>
          <w:lang w:val="fr-FR"/>
        </w:rPr>
        <w:t xml:space="preserve">, y compris si toutes les activités préparatoires ont été achevées (par exemple, contractualisation des partenaires, recrutement du personnel etc.) </w:t>
      </w:r>
      <w:r w:rsidRPr="00A62BA5">
        <w:rPr>
          <w:lang w:val="fr-FR"/>
        </w:rPr>
        <w:t xml:space="preserve">(limite de 1500 caractères): </w:t>
      </w:r>
    </w:p>
    <w:p w14:paraId="3577EC13" w14:textId="77777777" w:rsidR="00A62BA5" w:rsidRDefault="00A62BA5" w:rsidP="00A62BA5">
      <w:pPr>
        <w:ind w:left="-810"/>
        <w:rPr>
          <w:lang w:val="fr-FR"/>
        </w:rPr>
      </w:pPr>
    </w:p>
    <w:p w14:paraId="7245C158" w14:textId="01BFADC2" w:rsidR="00A62BA5" w:rsidRPr="00B208F3" w:rsidRDefault="00284B45" w:rsidP="00A62BA5">
      <w:pPr>
        <w:ind w:left="-810"/>
        <w:jc w:val="both"/>
        <w:rPr>
          <w:rFonts w:ascii="Garamond" w:hAnsi="Garamond" w:cstheme="minorHAnsi"/>
          <w:lang w:val="fr-FR"/>
        </w:rPr>
      </w:pPr>
      <w:bookmarkStart w:id="8" w:name="_Hlk43300150"/>
      <w:r>
        <w:rPr>
          <w:rFonts w:ascii="Garamond" w:hAnsi="Garamond" w:cstheme="minorHAnsi"/>
          <w:lang w:val="fr-FR"/>
        </w:rPr>
        <w:t>La</w:t>
      </w:r>
      <w:r w:rsidR="00A62BA5" w:rsidRPr="00B208F3">
        <w:rPr>
          <w:rFonts w:ascii="Garamond" w:hAnsi="Garamond" w:cstheme="minorHAnsi"/>
          <w:lang w:val="fr-FR"/>
        </w:rPr>
        <w:t xml:space="preserve"> mise en œuvre du projet enregistre un progrès considérable, à l’exception des arrêts enregistrés suite à la propagation </w:t>
      </w:r>
      <w:r w:rsidR="00C327CA">
        <w:rPr>
          <w:rFonts w:ascii="Garamond" w:hAnsi="Garamond" w:cstheme="minorHAnsi"/>
          <w:lang w:val="fr-FR"/>
        </w:rPr>
        <w:t>du coronavirus</w:t>
      </w:r>
      <w:r w:rsidR="00A62BA5" w:rsidRPr="00B208F3">
        <w:rPr>
          <w:rFonts w:ascii="Garamond" w:hAnsi="Garamond" w:cstheme="minorHAnsi"/>
          <w:lang w:val="fr-FR"/>
        </w:rPr>
        <w:t>. Après la formation de</w:t>
      </w:r>
      <w:r w:rsidR="00C327CA">
        <w:rPr>
          <w:rFonts w:ascii="Garamond" w:hAnsi="Garamond" w:cstheme="minorHAnsi"/>
          <w:lang w:val="fr-FR"/>
        </w:rPr>
        <w:t>s</w:t>
      </w:r>
      <w:r w:rsidR="00A62BA5" w:rsidRPr="00B208F3">
        <w:rPr>
          <w:rFonts w:ascii="Garamond" w:hAnsi="Garamond" w:cstheme="minorHAnsi"/>
          <w:lang w:val="fr-FR"/>
        </w:rPr>
        <w:t xml:space="preserve"> 500 </w:t>
      </w:r>
      <w:r w:rsidR="007F111B">
        <w:rPr>
          <w:rFonts w:ascii="Garamond" w:hAnsi="Garamond" w:cstheme="minorHAnsi"/>
          <w:lang w:val="fr-FR"/>
        </w:rPr>
        <w:t>élèves</w:t>
      </w:r>
      <w:r w:rsidR="00A62BA5" w:rsidRPr="00B208F3">
        <w:rPr>
          <w:rFonts w:ascii="Garamond" w:hAnsi="Garamond" w:cstheme="minorHAnsi"/>
          <w:lang w:val="fr-FR"/>
        </w:rPr>
        <w:t xml:space="preserve">, le projet a appuyé une série d'ateliers relatifs à l'évaluation et perfectionnement des formateurs, la conception des curricula, ainsi qu'un plan quinquennal de formation. </w:t>
      </w:r>
    </w:p>
    <w:p w14:paraId="791732F1" w14:textId="20129118" w:rsidR="00A62BA5" w:rsidRPr="00B208F3" w:rsidRDefault="00DE51B4" w:rsidP="00A62BA5">
      <w:pPr>
        <w:ind w:left="-810"/>
        <w:jc w:val="both"/>
        <w:rPr>
          <w:rFonts w:ascii="Garamond" w:hAnsi="Garamond" w:cstheme="minorHAnsi"/>
          <w:lang w:val="fr-FR"/>
        </w:rPr>
      </w:pPr>
      <w:r>
        <w:rPr>
          <w:rFonts w:ascii="Garamond" w:hAnsi="Garamond" w:cstheme="minorHAnsi"/>
          <w:lang w:val="fr-FR"/>
        </w:rPr>
        <w:t>Le projet a procédé au</w:t>
      </w:r>
      <w:r w:rsidR="00A62BA5" w:rsidRPr="00B208F3">
        <w:rPr>
          <w:rFonts w:ascii="Garamond" w:hAnsi="Garamond" w:cstheme="minorHAnsi"/>
          <w:lang w:val="fr-FR"/>
        </w:rPr>
        <w:t xml:space="preserve"> règlement des arriérés de salaire de 43</w:t>
      </w:r>
      <w:r w:rsidR="00412B4F" w:rsidRPr="00B208F3">
        <w:rPr>
          <w:rFonts w:ascii="Garamond" w:hAnsi="Garamond" w:cstheme="minorHAnsi"/>
          <w:lang w:val="fr-FR"/>
        </w:rPr>
        <w:t>9</w:t>
      </w:r>
      <w:r w:rsidR="00A62BA5" w:rsidRPr="00B208F3">
        <w:rPr>
          <w:rFonts w:ascii="Garamond" w:hAnsi="Garamond" w:cstheme="minorHAnsi"/>
          <w:lang w:val="fr-FR"/>
        </w:rPr>
        <w:t xml:space="preserve"> Policiers et Gendarmes retraités. </w:t>
      </w:r>
      <w:r w:rsidR="00412B4F" w:rsidRPr="00B208F3">
        <w:rPr>
          <w:rFonts w:ascii="Garamond" w:hAnsi="Garamond" w:cstheme="minorHAnsi"/>
          <w:lang w:val="fr-FR"/>
        </w:rPr>
        <w:t>Les FSI ont été formés sur les fondamentaux de la gestion des ressources humaines et des intendances.</w:t>
      </w:r>
    </w:p>
    <w:p w14:paraId="0A0A5000" w14:textId="5B70121E" w:rsidR="00A62BA5" w:rsidRPr="00B208F3" w:rsidRDefault="007F111B" w:rsidP="00A62BA5">
      <w:pPr>
        <w:ind w:left="-810"/>
        <w:jc w:val="both"/>
        <w:rPr>
          <w:rFonts w:ascii="Garamond" w:hAnsi="Garamond" w:cstheme="minorHAnsi"/>
          <w:lang w:val="fr-FR"/>
        </w:rPr>
      </w:pPr>
      <w:r>
        <w:rPr>
          <w:rFonts w:ascii="Garamond" w:hAnsi="Garamond" w:cstheme="minorHAnsi"/>
          <w:lang w:val="fr-FR"/>
        </w:rPr>
        <w:t>U</w:t>
      </w:r>
      <w:r w:rsidR="00412B4F" w:rsidRPr="00B208F3">
        <w:rPr>
          <w:rFonts w:ascii="Garamond" w:hAnsi="Garamond" w:cstheme="minorHAnsi"/>
          <w:lang w:val="fr-FR"/>
        </w:rPr>
        <w:t>ne</w:t>
      </w:r>
      <w:r w:rsidR="00A62BA5" w:rsidRPr="00B208F3">
        <w:rPr>
          <w:rFonts w:ascii="Garamond" w:hAnsi="Garamond" w:cstheme="minorHAnsi"/>
          <w:lang w:val="fr-FR"/>
        </w:rPr>
        <w:t xml:space="preserve"> politique </w:t>
      </w:r>
      <w:r w:rsidR="00412B4F" w:rsidRPr="00B208F3">
        <w:rPr>
          <w:rFonts w:ascii="Garamond" w:hAnsi="Garamond" w:cstheme="minorHAnsi"/>
          <w:lang w:val="fr-FR"/>
        </w:rPr>
        <w:t xml:space="preserve">en </w:t>
      </w:r>
      <w:r w:rsidR="00A62BA5" w:rsidRPr="00B208F3">
        <w:rPr>
          <w:rFonts w:ascii="Garamond" w:hAnsi="Garamond" w:cstheme="minorHAnsi"/>
          <w:lang w:val="fr-FR"/>
        </w:rPr>
        <w:t xml:space="preserve">police de proximité </w:t>
      </w:r>
      <w:r w:rsidR="00433021">
        <w:rPr>
          <w:rFonts w:ascii="Garamond" w:hAnsi="Garamond" w:cstheme="minorHAnsi"/>
          <w:lang w:val="fr-FR"/>
        </w:rPr>
        <w:t xml:space="preserve">(PolProx) </w:t>
      </w:r>
      <w:r w:rsidR="00412B4F" w:rsidRPr="00B208F3">
        <w:rPr>
          <w:rFonts w:ascii="Garamond" w:hAnsi="Garamond" w:cstheme="minorHAnsi"/>
          <w:lang w:val="fr-FR"/>
        </w:rPr>
        <w:t>a été adoptée</w:t>
      </w:r>
      <w:r w:rsidR="00A62BA5" w:rsidRPr="00B208F3">
        <w:rPr>
          <w:rFonts w:ascii="Garamond" w:hAnsi="Garamond" w:cstheme="minorHAnsi"/>
          <w:lang w:val="fr-FR"/>
        </w:rPr>
        <w:t>. Le projet est en train de contribuer à l'élaboration de son décret d'</w:t>
      </w:r>
      <w:r w:rsidR="00C327CA" w:rsidRPr="00B208F3">
        <w:rPr>
          <w:rFonts w:ascii="Garamond" w:hAnsi="Garamond" w:cstheme="minorHAnsi"/>
          <w:lang w:val="fr-FR"/>
        </w:rPr>
        <w:t>application</w:t>
      </w:r>
      <w:r w:rsidR="00C327CA">
        <w:rPr>
          <w:rFonts w:ascii="Garamond" w:hAnsi="Garamond" w:cstheme="minorHAnsi"/>
          <w:lang w:val="fr-FR"/>
        </w:rPr>
        <w:t>.</w:t>
      </w:r>
      <w:r w:rsidR="00284B45" w:rsidRPr="00284B45">
        <w:rPr>
          <w:rFonts w:ascii="Garamond" w:hAnsi="Garamond" w:cstheme="minorHAnsi"/>
          <w:lang w:val="fr-FR"/>
        </w:rPr>
        <w:t xml:space="preserve"> </w:t>
      </w:r>
      <w:r w:rsidR="00284B45">
        <w:rPr>
          <w:rFonts w:ascii="Garamond" w:hAnsi="Garamond" w:cstheme="minorHAnsi"/>
          <w:lang w:val="fr-FR"/>
        </w:rPr>
        <w:t>Plusieurs ateliers ont été organisés a</w:t>
      </w:r>
      <w:r w:rsidR="00284B45" w:rsidRPr="00B208F3">
        <w:rPr>
          <w:rFonts w:ascii="Garamond" w:hAnsi="Garamond" w:cstheme="minorHAnsi"/>
          <w:lang w:val="fr-FR"/>
        </w:rPr>
        <w:t>fin de doter les FSI d’un nouveau curriculum en matière de police de proximité.</w:t>
      </w:r>
    </w:p>
    <w:p w14:paraId="48ABBAA2" w14:textId="77777777" w:rsidR="00A62BA5" w:rsidRPr="00B208F3" w:rsidRDefault="00A62BA5" w:rsidP="00A62BA5">
      <w:pPr>
        <w:ind w:left="-810"/>
        <w:jc w:val="both"/>
        <w:rPr>
          <w:rFonts w:ascii="Garamond" w:hAnsi="Garamond" w:cstheme="minorHAnsi"/>
          <w:lang w:val="fr-FR"/>
        </w:rPr>
      </w:pPr>
      <w:r w:rsidRPr="00B208F3">
        <w:rPr>
          <w:rFonts w:ascii="Garamond" w:hAnsi="Garamond" w:cstheme="minorHAnsi"/>
          <w:lang w:val="fr-FR"/>
        </w:rPr>
        <w:t xml:space="preserve">Un état des lieux sur l'intégration de l'approche genre dans les FSI a été élaboré.  </w:t>
      </w:r>
    </w:p>
    <w:p w14:paraId="7F23C040" w14:textId="035511C6" w:rsidR="00A62BA5" w:rsidRPr="00B208F3" w:rsidRDefault="00A62BA5" w:rsidP="00A62BA5">
      <w:pPr>
        <w:ind w:left="-810"/>
        <w:jc w:val="both"/>
        <w:rPr>
          <w:rFonts w:ascii="Garamond" w:hAnsi="Garamond" w:cstheme="minorHAnsi"/>
          <w:lang w:val="fr-FR"/>
        </w:rPr>
      </w:pPr>
      <w:r w:rsidRPr="00B208F3">
        <w:rPr>
          <w:rFonts w:ascii="Garamond" w:hAnsi="Garamond" w:cstheme="minorHAnsi"/>
          <w:lang w:val="fr-FR"/>
        </w:rPr>
        <w:t>Dans l'esprit d'améliorer l'image des FSI</w:t>
      </w:r>
      <w:r w:rsidR="00412B4F" w:rsidRPr="00B208F3">
        <w:rPr>
          <w:rFonts w:ascii="Garamond" w:hAnsi="Garamond" w:cstheme="minorHAnsi"/>
          <w:lang w:val="fr-FR"/>
        </w:rPr>
        <w:t>, une série de</w:t>
      </w:r>
      <w:r w:rsidRPr="00B208F3">
        <w:rPr>
          <w:rFonts w:ascii="Garamond" w:hAnsi="Garamond" w:cstheme="minorHAnsi"/>
          <w:lang w:val="fr-FR"/>
        </w:rPr>
        <w:t xml:space="preserve"> for</w:t>
      </w:r>
      <w:r w:rsidR="00412B4F" w:rsidRPr="00B208F3">
        <w:rPr>
          <w:rFonts w:ascii="Garamond" w:hAnsi="Garamond" w:cstheme="minorHAnsi"/>
          <w:lang w:val="fr-FR"/>
        </w:rPr>
        <w:t>a</w:t>
      </w:r>
      <w:r w:rsidRPr="00B208F3">
        <w:rPr>
          <w:rFonts w:ascii="Garamond" w:hAnsi="Garamond" w:cstheme="minorHAnsi"/>
          <w:lang w:val="fr-FR"/>
        </w:rPr>
        <w:t xml:space="preserve"> sur la </w:t>
      </w:r>
      <w:r w:rsidR="00C327CA">
        <w:rPr>
          <w:rFonts w:ascii="Garamond" w:hAnsi="Garamond" w:cstheme="minorHAnsi"/>
          <w:lang w:val="fr-FR"/>
        </w:rPr>
        <w:t>RSS</w:t>
      </w:r>
      <w:r w:rsidRPr="00B208F3">
        <w:rPr>
          <w:rFonts w:ascii="Garamond" w:hAnsi="Garamond" w:cstheme="minorHAnsi"/>
          <w:lang w:val="fr-FR"/>
        </w:rPr>
        <w:t xml:space="preserve"> </w:t>
      </w:r>
      <w:r w:rsidR="00412B4F" w:rsidRPr="00B208F3">
        <w:rPr>
          <w:rFonts w:ascii="Garamond" w:hAnsi="Garamond" w:cstheme="minorHAnsi"/>
          <w:lang w:val="fr-FR"/>
        </w:rPr>
        <w:t>ont</w:t>
      </w:r>
      <w:r w:rsidRPr="00B208F3">
        <w:rPr>
          <w:rFonts w:ascii="Garamond" w:hAnsi="Garamond" w:cstheme="minorHAnsi"/>
          <w:lang w:val="fr-FR"/>
        </w:rPr>
        <w:t xml:space="preserve"> été organisé</w:t>
      </w:r>
      <w:r w:rsidR="00412B4F" w:rsidRPr="00B208F3">
        <w:rPr>
          <w:rFonts w:ascii="Garamond" w:hAnsi="Garamond" w:cstheme="minorHAnsi"/>
          <w:lang w:val="fr-FR"/>
        </w:rPr>
        <w:t>s</w:t>
      </w:r>
      <w:r w:rsidRPr="00B208F3">
        <w:rPr>
          <w:rFonts w:ascii="Garamond" w:hAnsi="Garamond" w:cstheme="minorHAnsi"/>
          <w:lang w:val="fr-FR"/>
        </w:rPr>
        <w:t xml:space="preserve"> avec un grand nombre de participants des FSI et de la société civile.</w:t>
      </w:r>
    </w:p>
    <w:p w14:paraId="19934A91" w14:textId="77777777" w:rsidR="00A62BA5" w:rsidRPr="00B208F3" w:rsidRDefault="00A62BA5" w:rsidP="00A62BA5">
      <w:pPr>
        <w:ind w:left="-810"/>
        <w:jc w:val="both"/>
        <w:rPr>
          <w:rFonts w:ascii="Garamond" w:hAnsi="Garamond" w:cstheme="minorHAnsi"/>
          <w:lang w:val="fr-FR"/>
        </w:rPr>
      </w:pPr>
    </w:p>
    <w:p w14:paraId="0FE3F014" w14:textId="73F15676" w:rsidR="00C030C7" w:rsidRDefault="00412B4F" w:rsidP="00A62BA5">
      <w:pPr>
        <w:ind w:left="-810"/>
        <w:jc w:val="both"/>
        <w:rPr>
          <w:rFonts w:ascii="Garamond" w:hAnsi="Garamond" w:cstheme="minorHAnsi"/>
          <w:lang w:val="fr-FR"/>
        </w:rPr>
      </w:pPr>
      <w:r w:rsidRPr="00B208F3">
        <w:rPr>
          <w:rFonts w:ascii="Garamond" w:hAnsi="Garamond" w:cstheme="minorHAnsi"/>
          <w:lang w:val="fr-FR"/>
        </w:rPr>
        <w:t>Dans le cadre de l’appui au redéploiement des FSI, des missions d’identific</w:t>
      </w:r>
      <w:r w:rsidR="00C030C7" w:rsidRPr="00B208F3">
        <w:rPr>
          <w:rFonts w:ascii="Garamond" w:hAnsi="Garamond" w:cstheme="minorHAnsi"/>
          <w:lang w:val="fr-FR"/>
        </w:rPr>
        <w:t xml:space="preserve">ation des besoins ont été menées dans les villes bénéficiaires de l’appui du projet. </w:t>
      </w:r>
      <w:r w:rsidR="007F111B">
        <w:rPr>
          <w:rFonts w:ascii="Garamond" w:hAnsi="Garamond" w:cstheme="minorHAnsi"/>
          <w:lang w:val="fr-FR"/>
        </w:rPr>
        <w:t>L’appui, initialement prévu en parallèle avec les USMS, a connu une réorientation suite aux retards enregistrés dans la mise en place des USMS.</w:t>
      </w:r>
    </w:p>
    <w:p w14:paraId="0C8ED40C" w14:textId="3C145E52" w:rsidR="00DE51B4" w:rsidRDefault="00DE51B4" w:rsidP="00A62BA5">
      <w:pPr>
        <w:ind w:left="-810"/>
        <w:jc w:val="both"/>
        <w:rPr>
          <w:rFonts w:ascii="Garamond" w:hAnsi="Garamond" w:cstheme="minorHAnsi"/>
          <w:lang w:val="fr-FR"/>
        </w:rPr>
      </w:pPr>
    </w:p>
    <w:p w14:paraId="747351B8" w14:textId="623E0E83" w:rsidR="00DE51B4" w:rsidRPr="00B208F3" w:rsidRDefault="00DE51B4" w:rsidP="00A62BA5">
      <w:pPr>
        <w:ind w:left="-810"/>
        <w:jc w:val="both"/>
        <w:rPr>
          <w:rFonts w:ascii="Garamond" w:hAnsi="Garamond" w:cstheme="minorHAnsi"/>
          <w:lang w:val="fr-FR"/>
        </w:rPr>
      </w:pPr>
      <w:r>
        <w:rPr>
          <w:rFonts w:ascii="Garamond" w:hAnsi="Garamond" w:cstheme="minorHAnsi"/>
          <w:lang w:val="fr-FR"/>
        </w:rPr>
        <w:t>Le projet a également appuyé les FSI dans leur réponse au COVID-19 afin de garantir la continuité du service et l’application des décisions gouvernementales.</w:t>
      </w:r>
    </w:p>
    <w:bookmarkEnd w:id="8"/>
    <w:p w14:paraId="17987761" w14:textId="77777777" w:rsidR="00C030C7" w:rsidRPr="00B208F3" w:rsidRDefault="00C030C7" w:rsidP="00A62BA5">
      <w:pPr>
        <w:ind w:left="-810"/>
        <w:jc w:val="both"/>
        <w:rPr>
          <w:rFonts w:ascii="Garamond" w:hAnsi="Garamond" w:cstheme="minorHAnsi"/>
          <w:lang w:val="fr-FR"/>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016E05D5" w14:textId="77777777" w:rsidR="00B208F3" w:rsidRDefault="00B208F3" w:rsidP="00B208F3">
      <w:pPr>
        <w:ind w:left="-810"/>
        <w:jc w:val="both"/>
        <w:rPr>
          <w:rFonts w:asciiTheme="minorHAnsi" w:hAnsiTheme="minorHAnsi" w:cstheme="minorHAnsi"/>
          <w:lang w:val="fr-FR"/>
        </w:rPr>
      </w:pPr>
    </w:p>
    <w:p w14:paraId="144B1F40" w14:textId="3DE125A5" w:rsidR="00161D02" w:rsidRPr="00B208F3" w:rsidRDefault="00C030C7" w:rsidP="00B208F3">
      <w:pPr>
        <w:ind w:left="-810"/>
        <w:jc w:val="both"/>
        <w:rPr>
          <w:rFonts w:ascii="Garamond" w:hAnsi="Garamond" w:cstheme="minorHAnsi"/>
          <w:lang w:val="fr-FR"/>
        </w:rPr>
      </w:pPr>
      <w:r w:rsidRPr="00B208F3">
        <w:rPr>
          <w:rFonts w:ascii="Garamond" w:hAnsi="Garamond" w:cstheme="minorHAnsi"/>
          <w:lang w:val="fr-FR"/>
        </w:rPr>
        <w:t>Une fois la pandémie du Coronavirus passée, le projet s’attèlera sur la poursuite de la formation des formateurs en matière de police de proximité et la vulgarisation de cette formation au profit des FSI bénéficiaires de cet appui. Ces formations iront de pair avec l’appui au redéploiement des FSI dans les villes de Bouca, Bocaranga, Batangafo et Bozum.</w:t>
      </w:r>
    </w:p>
    <w:p w14:paraId="20FA9EBD" w14:textId="77777777" w:rsidR="00161D02" w:rsidRPr="00C030C7"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B208F3"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B208F3">
        <w:rPr>
          <w:lang w:val="fr-FR"/>
        </w:rPr>
        <w:t>(</w:t>
      </w:r>
      <w:proofErr w:type="gramStart"/>
      <w:r w:rsidR="008C782A" w:rsidRPr="00B208F3">
        <w:rPr>
          <w:lang w:val="fr-FR"/>
        </w:rPr>
        <w:t>limit</w:t>
      </w:r>
      <w:r w:rsidRPr="00B208F3">
        <w:rPr>
          <w:lang w:val="fr-FR"/>
        </w:rPr>
        <w:t>e</w:t>
      </w:r>
      <w:proofErr w:type="gramEnd"/>
      <w:r w:rsidRPr="00B208F3">
        <w:rPr>
          <w:lang w:val="fr-FR"/>
        </w:rPr>
        <w:t xml:space="preserve"> de 1500 </w:t>
      </w:r>
      <w:r w:rsidRPr="00F778A1">
        <w:rPr>
          <w:lang w:val="fr-FR"/>
        </w:rPr>
        <w:t>caractères</w:t>
      </w:r>
      <w:r w:rsidR="008C782A" w:rsidRPr="00B208F3">
        <w:rPr>
          <w:lang w:val="fr-FR"/>
        </w:rPr>
        <w:t xml:space="preserve">): </w:t>
      </w:r>
    </w:p>
    <w:p w14:paraId="37CE9CBA" w14:textId="77777777" w:rsidR="00B208F3" w:rsidRDefault="00B208F3" w:rsidP="00B208F3">
      <w:pPr>
        <w:ind w:left="-810"/>
        <w:rPr>
          <w:lang w:val="fr-FR"/>
        </w:rPr>
      </w:pPr>
    </w:p>
    <w:p w14:paraId="4DBA8281" w14:textId="20B74EE2" w:rsidR="00C327CA" w:rsidRDefault="00C327CA" w:rsidP="00B208F3">
      <w:pPr>
        <w:ind w:left="-810"/>
        <w:jc w:val="both"/>
        <w:rPr>
          <w:rFonts w:ascii="Garamond" w:hAnsi="Garamond" w:cstheme="minorHAnsi"/>
          <w:lang w:val="fr-FR"/>
        </w:rPr>
      </w:pPr>
      <w:r>
        <w:rPr>
          <w:rFonts w:ascii="Garamond" w:hAnsi="Garamond" w:cstheme="minorHAnsi"/>
          <w:lang w:val="fr-FR"/>
        </w:rPr>
        <w:t xml:space="preserve">L’appui fourni par le projet a permis de briser la chaine du recrutement arbitraire ayant duré plus de 5 ans. Cet appui a permis au gouvernement centrafricain de lancer un processus de recrutement </w:t>
      </w:r>
      <w:r>
        <w:rPr>
          <w:rFonts w:ascii="Garamond" w:hAnsi="Garamond" w:cstheme="minorHAnsi"/>
          <w:lang w:val="fr-FR"/>
        </w:rPr>
        <w:lastRenderedPageBreak/>
        <w:t>transparent, grâce à l’appui du PNUD et UNPOL mais aussi de reprendre avec les cycles de formations de base des nouvelles recrues, démarche abandonnée bien avant la crise de 2013.</w:t>
      </w:r>
    </w:p>
    <w:p w14:paraId="764719D7" w14:textId="77777777" w:rsidR="00C327CA" w:rsidRDefault="00C327CA" w:rsidP="00B208F3">
      <w:pPr>
        <w:ind w:left="-810"/>
        <w:jc w:val="both"/>
        <w:rPr>
          <w:rFonts w:ascii="Garamond" w:hAnsi="Garamond" w:cstheme="minorHAnsi"/>
          <w:lang w:val="fr-FR"/>
        </w:rPr>
      </w:pPr>
    </w:p>
    <w:p w14:paraId="20BBD4F2" w14:textId="072D7751" w:rsidR="00B208F3" w:rsidRDefault="00B208F3" w:rsidP="00B208F3">
      <w:pPr>
        <w:ind w:left="-810"/>
        <w:jc w:val="both"/>
        <w:rPr>
          <w:rFonts w:ascii="Garamond" w:hAnsi="Garamond" w:cstheme="minorHAnsi"/>
          <w:lang w:val="fr-FR"/>
        </w:rPr>
      </w:pPr>
      <w:r>
        <w:rPr>
          <w:rFonts w:ascii="Garamond" w:hAnsi="Garamond" w:cstheme="minorHAnsi"/>
          <w:lang w:val="fr-FR"/>
        </w:rPr>
        <w:t>Suite à l’appui fourni par le projet, la formation des FSI est devenue plus structurée et automatisée. Désormais, les FSI en RCA dispose</w:t>
      </w:r>
      <w:r w:rsidR="00C327CA">
        <w:rPr>
          <w:rFonts w:ascii="Garamond" w:hAnsi="Garamond" w:cstheme="minorHAnsi"/>
          <w:lang w:val="fr-FR"/>
        </w:rPr>
        <w:t>nt</w:t>
      </w:r>
      <w:r>
        <w:rPr>
          <w:rFonts w:ascii="Garamond" w:hAnsi="Garamond" w:cstheme="minorHAnsi"/>
          <w:lang w:val="fr-FR"/>
        </w:rPr>
        <w:t xml:space="preserve"> d’une panoplie de curricula pour les futurs recrus. Les documents développés dans le cadre de ce projet sont utilisés notamment dans l’actuel cycle de formation des 1000 nouvelles recrues.</w:t>
      </w:r>
    </w:p>
    <w:p w14:paraId="4D6467CA" w14:textId="77777777" w:rsidR="00B208F3" w:rsidRDefault="00B208F3" w:rsidP="00B208F3">
      <w:pPr>
        <w:ind w:left="-810"/>
        <w:jc w:val="both"/>
        <w:rPr>
          <w:rFonts w:ascii="Garamond" w:hAnsi="Garamond" w:cstheme="minorHAnsi"/>
          <w:lang w:val="fr-FR"/>
        </w:rPr>
      </w:pPr>
    </w:p>
    <w:p w14:paraId="2EC46E43" w14:textId="3C8C9B5F" w:rsidR="00476758" w:rsidRPr="00B208F3" w:rsidRDefault="00B208F3" w:rsidP="00B208F3">
      <w:pPr>
        <w:ind w:left="-810"/>
        <w:jc w:val="both"/>
        <w:rPr>
          <w:rFonts w:ascii="Garamond" w:hAnsi="Garamond" w:cstheme="minorHAnsi"/>
          <w:lang w:val="fr-FR"/>
        </w:rPr>
      </w:pPr>
      <w:r>
        <w:rPr>
          <w:rFonts w:ascii="Garamond" w:hAnsi="Garamond" w:cstheme="minorHAnsi"/>
          <w:lang w:val="fr-FR"/>
        </w:rPr>
        <w:t>Grâce à l’appui du projet, le Ministère de l'Intérieur dispose d’une vision nationale sur le processus d’implantation de la police de proximité en RCA ; une politique ministérielle est adoptée présentant les fondements et piliers du modèle centrafricain de police de proximité.</w:t>
      </w:r>
    </w:p>
    <w:p w14:paraId="40C6D250" w14:textId="77777777" w:rsidR="00476758" w:rsidRPr="00B208F3"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4D93607A" w14:textId="77777777" w:rsidR="00B208F3" w:rsidRDefault="00B208F3" w:rsidP="00B208F3">
      <w:pPr>
        <w:ind w:left="-810"/>
        <w:jc w:val="both"/>
        <w:rPr>
          <w:rFonts w:ascii="Garamond" w:hAnsi="Garamond" w:cstheme="minorHAnsi"/>
          <w:lang w:val="fr-FR"/>
        </w:rPr>
      </w:pPr>
    </w:p>
    <w:p w14:paraId="78E4E2B7" w14:textId="581B7283" w:rsidR="00B208F3" w:rsidRPr="00B208F3" w:rsidRDefault="00B208F3" w:rsidP="00B208F3">
      <w:pPr>
        <w:ind w:left="-810"/>
        <w:jc w:val="both"/>
        <w:rPr>
          <w:rFonts w:ascii="Garamond" w:hAnsi="Garamond" w:cstheme="minorHAnsi"/>
          <w:lang w:val="fr-FR"/>
        </w:rPr>
      </w:pPr>
      <w:r w:rsidRPr="00B208F3">
        <w:rPr>
          <w:rFonts w:ascii="Garamond" w:hAnsi="Garamond" w:cstheme="minorHAnsi"/>
          <w:lang w:val="fr-FR"/>
        </w:rPr>
        <w:t>L'appui à la formation de 500 hommes et femmes au niveau de l'Ecole Nationale de Police et de l'Ecole de la Gendarmerie Nationale. Ainsi que l'intégration d</w:t>
      </w:r>
      <w:r w:rsidR="00231927">
        <w:rPr>
          <w:rFonts w:ascii="Garamond" w:hAnsi="Garamond" w:cstheme="minorHAnsi"/>
          <w:lang w:val="fr-FR"/>
        </w:rPr>
        <w:t>e l’approche</w:t>
      </w:r>
      <w:r w:rsidRPr="00B208F3">
        <w:rPr>
          <w:rFonts w:ascii="Garamond" w:hAnsi="Garamond" w:cstheme="minorHAnsi"/>
          <w:lang w:val="fr-FR"/>
        </w:rPr>
        <w:t xml:space="preserve"> </w:t>
      </w:r>
      <w:r w:rsidR="00231927">
        <w:rPr>
          <w:rFonts w:ascii="Garamond" w:hAnsi="Garamond" w:cstheme="minorHAnsi"/>
          <w:lang w:val="fr-FR"/>
        </w:rPr>
        <w:t>g</w:t>
      </w:r>
      <w:r w:rsidRPr="00B208F3">
        <w:rPr>
          <w:rFonts w:ascii="Garamond" w:hAnsi="Garamond" w:cstheme="minorHAnsi"/>
          <w:lang w:val="fr-FR"/>
        </w:rPr>
        <w:t>enre dans le recrutement et la formation. De plus, le paiement des arriérés de salaire des femmes et des hommes retraités de la Police et de la Gendarmerie a permis d</w:t>
      </w:r>
      <w:r w:rsidR="00231927">
        <w:rPr>
          <w:rFonts w:ascii="Garamond" w:hAnsi="Garamond" w:cstheme="minorHAnsi"/>
          <w:lang w:val="fr-FR"/>
        </w:rPr>
        <w:t>’un</w:t>
      </w:r>
      <w:r w:rsidR="0087600B">
        <w:rPr>
          <w:rFonts w:ascii="Garamond" w:hAnsi="Garamond" w:cstheme="minorHAnsi"/>
          <w:lang w:val="fr-FR"/>
        </w:rPr>
        <w:t xml:space="preserve"> côté</w:t>
      </w:r>
      <w:r w:rsidR="00231927">
        <w:rPr>
          <w:rFonts w:ascii="Garamond" w:hAnsi="Garamond" w:cstheme="minorHAnsi"/>
          <w:lang w:val="fr-FR"/>
        </w:rPr>
        <w:t xml:space="preserve"> d’appuyer</w:t>
      </w:r>
      <w:r w:rsidRPr="00B208F3">
        <w:rPr>
          <w:rFonts w:ascii="Garamond" w:hAnsi="Garamond" w:cstheme="minorHAnsi"/>
          <w:lang w:val="fr-FR"/>
        </w:rPr>
        <w:t xml:space="preserve"> les bénéficiaires et </w:t>
      </w:r>
      <w:r w:rsidR="0087600B">
        <w:rPr>
          <w:rFonts w:ascii="Garamond" w:hAnsi="Garamond" w:cstheme="minorHAnsi"/>
          <w:lang w:val="fr-FR"/>
        </w:rPr>
        <w:t>d’un autre côté</w:t>
      </w:r>
      <w:r w:rsidR="00231927">
        <w:rPr>
          <w:rFonts w:ascii="Garamond" w:hAnsi="Garamond" w:cstheme="minorHAnsi"/>
          <w:lang w:val="fr-FR"/>
        </w:rPr>
        <w:t xml:space="preserve"> de </w:t>
      </w:r>
      <w:r w:rsidRPr="00B208F3">
        <w:rPr>
          <w:rFonts w:ascii="Garamond" w:hAnsi="Garamond" w:cstheme="minorHAnsi"/>
          <w:lang w:val="fr-FR"/>
        </w:rPr>
        <w:t>faciliter l'intégration des nouvelles recrues formés au sein des 02 institutions.</w:t>
      </w:r>
    </w:p>
    <w:p w14:paraId="7FDA8747" w14:textId="77777777" w:rsidR="00B208F3" w:rsidRPr="00B208F3" w:rsidRDefault="00B208F3" w:rsidP="00B208F3">
      <w:pPr>
        <w:ind w:left="-810"/>
        <w:jc w:val="both"/>
        <w:rPr>
          <w:rFonts w:ascii="Garamond" w:hAnsi="Garamond" w:cstheme="minorHAnsi"/>
          <w:lang w:val="fr-FR"/>
        </w:rPr>
      </w:pPr>
    </w:p>
    <w:p w14:paraId="7D84B848" w14:textId="64A83C83" w:rsidR="00B208F3" w:rsidRPr="00B208F3" w:rsidRDefault="00B208F3" w:rsidP="00B208F3">
      <w:pPr>
        <w:ind w:left="-810"/>
        <w:jc w:val="both"/>
        <w:rPr>
          <w:rFonts w:ascii="Garamond" w:hAnsi="Garamond" w:cstheme="minorHAnsi"/>
          <w:lang w:val="fr-FR"/>
        </w:rPr>
      </w:pPr>
      <w:r w:rsidRPr="00B208F3">
        <w:rPr>
          <w:rFonts w:ascii="Garamond" w:hAnsi="Garamond" w:cstheme="minorHAnsi"/>
          <w:lang w:val="fr-FR"/>
        </w:rPr>
        <w:t>Le processus d’élaboration de la politique ministérielle de police de proximité a permis d’engager un dialogue entre les communautés, les autorités locales et les FSI sur les questions de sécurité.</w:t>
      </w:r>
      <w:r>
        <w:rPr>
          <w:rFonts w:ascii="Garamond" w:hAnsi="Garamond" w:cstheme="minorHAnsi"/>
          <w:lang w:val="fr-FR"/>
        </w:rPr>
        <w:t xml:space="preserve"> </w:t>
      </w:r>
      <w:r w:rsidRPr="00B208F3">
        <w:rPr>
          <w:rFonts w:ascii="Garamond" w:hAnsi="Garamond" w:cstheme="minorHAnsi"/>
          <w:lang w:val="fr-FR"/>
        </w:rPr>
        <w:t>Cette initiative, fort appréciée par les autorités locales et la population, leur permettra de pouvoir contribuer directement à la sécurisation des milieux de vie (</w:t>
      </w:r>
      <w:hyperlink r:id="rId14" w:history="1">
        <w:r w:rsidRPr="00DF14A6">
          <w:rPr>
            <w:rStyle w:val="Hyperlink"/>
            <w:rFonts w:ascii="Garamond" w:hAnsi="Garamond" w:cstheme="minorHAnsi"/>
            <w:lang w:val="fr-FR"/>
          </w:rPr>
          <w:t>https://is.gd/pafubZ</w:t>
        </w:r>
      </w:hyperlink>
      <w:r w:rsidRPr="00B208F3">
        <w:rPr>
          <w:rFonts w:ascii="Garamond" w:hAnsi="Garamond" w:cstheme="minorHAnsi"/>
          <w:lang w:val="fr-FR"/>
        </w:rPr>
        <w:t>).</w:t>
      </w:r>
      <w:r>
        <w:rPr>
          <w:rFonts w:ascii="Garamond" w:hAnsi="Garamond" w:cstheme="minorHAnsi"/>
          <w:lang w:val="fr-FR"/>
        </w:rPr>
        <w:t xml:space="preserve"> </w:t>
      </w:r>
    </w:p>
    <w:p w14:paraId="16208936" w14:textId="77777777" w:rsidR="007712FB" w:rsidRPr="00B208F3"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6EE8AD3B" w:rsidR="005D15A3" w:rsidRPr="00FD7C2E"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FD7C2E" w:rsidRPr="00FD7C2E">
        <w:rPr>
          <w:b/>
          <w:lang w:val="fr-FR"/>
        </w:rPr>
        <w:t>La sécurité et la stabilité sont améliorées à travers le déploiement de 500 nouvelles recrues de la Police et de la Gendarmerie</w:t>
      </w:r>
    </w:p>
    <w:p w14:paraId="6A528501" w14:textId="77777777" w:rsidR="005D15A3" w:rsidRPr="00615EA3" w:rsidRDefault="005D15A3" w:rsidP="005D15A3">
      <w:pPr>
        <w:ind w:left="-720"/>
        <w:rPr>
          <w:b/>
          <w:lang w:val="fr-FR"/>
        </w:rPr>
      </w:pPr>
    </w:p>
    <w:p w14:paraId="7AC56A13" w14:textId="26837E32"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lastRenderedPageBreak/>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FD7C2E">
        <w:rPr>
          <w:rFonts w:ascii="Arial Narrow" w:hAnsi="Arial Narrow"/>
          <w:b/>
          <w:sz w:val="22"/>
          <w:szCs w:val="22"/>
        </w:rPr>
        <w:fldChar w:fldCharType="begin">
          <w:ffData>
            <w:name w:val="Dropdown2"/>
            <w:enabled/>
            <w:calcOnExit w:val="0"/>
            <w:ddList>
              <w:listEntry w:val="on track with significant peacebuilding results"/>
              <w:listEntry w:val="Veuillez sélectionner"/>
              <w:listEntry w:val="on track"/>
              <w:listEntry w:val="off track"/>
            </w:ddList>
          </w:ffData>
        </w:fldChar>
      </w:r>
      <w:bookmarkStart w:id="9" w:name="Dropdown2"/>
      <w:r w:rsidR="00FD7C2E" w:rsidRPr="00FD7C2E">
        <w:rPr>
          <w:rFonts w:ascii="Arial Narrow" w:hAnsi="Arial Narrow"/>
          <w:b/>
          <w:sz w:val="22"/>
          <w:szCs w:val="22"/>
          <w:lang w:val="fr-FR"/>
        </w:rPr>
        <w:instrText xml:space="preserve"> FORMDROPDOWN </w:instrText>
      </w:r>
      <w:r w:rsidR="00F7255E">
        <w:rPr>
          <w:rFonts w:ascii="Arial Narrow" w:hAnsi="Arial Narrow"/>
          <w:b/>
          <w:sz w:val="22"/>
          <w:szCs w:val="22"/>
        </w:rPr>
      </w:r>
      <w:r w:rsidR="00F7255E">
        <w:rPr>
          <w:rFonts w:ascii="Arial Narrow" w:hAnsi="Arial Narrow"/>
          <w:b/>
          <w:sz w:val="22"/>
          <w:szCs w:val="22"/>
        </w:rPr>
        <w:fldChar w:fldCharType="separate"/>
      </w:r>
      <w:r w:rsidR="00FD7C2E">
        <w:rPr>
          <w:rFonts w:ascii="Arial Narrow" w:hAnsi="Arial Narrow"/>
          <w:b/>
          <w:sz w:val="22"/>
          <w:szCs w:val="22"/>
        </w:rPr>
        <w:fldChar w:fldCharType="end"/>
      </w:r>
      <w:bookmarkEnd w:id="9"/>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04221EEA" w14:textId="77777777" w:rsidR="008B408E" w:rsidRDefault="008B408E" w:rsidP="00FD7C2E">
      <w:pPr>
        <w:ind w:left="-720"/>
        <w:jc w:val="both"/>
        <w:rPr>
          <w:rFonts w:ascii="Garamond" w:hAnsi="Garamond"/>
          <w:bCs/>
          <w:lang w:val="fr-FR"/>
        </w:rPr>
      </w:pPr>
    </w:p>
    <w:p w14:paraId="64CC1E5A" w14:textId="30F00CA7" w:rsidR="00FD7C2E" w:rsidRPr="00FD7C2E" w:rsidRDefault="00FD7C2E" w:rsidP="00FD7C2E">
      <w:pPr>
        <w:ind w:left="-720"/>
        <w:jc w:val="both"/>
        <w:rPr>
          <w:rFonts w:ascii="Garamond" w:hAnsi="Garamond"/>
          <w:bCs/>
          <w:lang w:val="fr-FR"/>
        </w:rPr>
      </w:pPr>
      <w:r w:rsidRPr="00FD7C2E">
        <w:rPr>
          <w:rFonts w:ascii="Garamond" w:hAnsi="Garamond"/>
          <w:bCs/>
          <w:lang w:val="fr-FR"/>
        </w:rPr>
        <w:t>Dans le cadre de la mise en œuvre de ce résultat, le projet a appuyé le Ministère de l'intérieur dans le processus de modernisation et systématisation de la formation initiale des FSI. En effet, en disposant de curricula améliorés et d'un plan identifiant les besoins en formation pour les cinq prochaines années, les FSI seront mieux formés et selon leurs besoins réels de formation et par conséquent les formations aléatoires sont abandonnées.</w:t>
      </w:r>
    </w:p>
    <w:p w14:paraId="05B5520B" w14:textId="77777777" w:rsidR="00FD7C2E" w:rsidRPr="00FD7C2E" w:rsidRDefault="00FD7C2E" w:rsidP="00FD7C2E">
      <w:pPr>
        <w:ind w:left="-720"/>
        <w:jc w:val="both"/>
        <w:rPr>
          <w:rFonts w:ascii="Garamond" w:hAnsi="Garamond"/>
          <w:bCs/>
          <w:lang w:val="fr-FR"/>
        </w:rPr>
      </w:pPr>
      <w:r w:rsidRPr="00FD7C2E">
        <w:rPr>
          <w:rFonts w:ascii="Garamond" w:hAnsi="Garamond"/>
          <w:bCs/>
          <w:lang w:val="fr-FR"/>
        </w:rPr>
        <w:t xml:space="preserve">Les activités organisées dans le cadre du Résultat 1 sont les suivantes : </w:t>
      </w:r>
    </w:p>
    <w:p w14:paraId="18192054" w14:textId="77777777" w:rsidR="00FD7C2E" w:rsidRPr="00FD7C2E" w:rsidRDefault="00FD7C2E" w:rsidP="00FD7C2E">
      <w:pPr>
        <w:ind w:left="-720"/>
        <w:jc w:val="both"/>
        <w:rPr>
          <w:rFonts w:ascii="Garamond" w:hAnsi="Garamond"/>
          <w:bCs/>
          <w:lang w:val="fr-FR"/>
        </w:rPr>
      </w:pPr>
    </w:p>
    <w:p w14:paraId="16F9F010" w14:textId="0C85590A" w:rsidR="00FD7C2E" w:rsidRPr="00FD7C2E" w:rsidRDefault="00FD7C2E" w:rsidP="00FD7C2E">
      <w:pPr>
        <w:ind w:left="-720"/>
        <w:jc w:val="both"/>
        <w:rPr>
          <w:rFonts w:ascii="Garamond" w:hAnsi="Garamond"/>
          <w:bCs/>
          <w:lang w:val="fr-FR"/>
        </w:rPr>
      </w:pPr>
      <w:r w:rsidRPr="00FD7C2E">
        <w:rPr>
          <w:rFonts w:ascii="Garamond" w:hAnsi="Garamond"/>
          <w:bCs/>
          <w:lang w:val="fr-FR"/>
        </w:rPr>
        <w:t xml:space="preserve">Conformément au cadre de résultat arrêté, le projet a appuyé le Ministère de l'intérieur dans la révision du curriculum de formation élaboré en 2017 en prélude à la formation des 500 ainsi que l'élaboration d'un Plan quinquennal de formation permettant la mise en place d'un système de formation pérenne et efficace des personnels des forces de sécurité intérieure, afin qu’ils répondent aux exigences d’institutions de sécurité professionnelles, inclusives, républicaines, opérationnelles, de proximité (PIROP). </w:t>
      </w:r>
      <w:r>
        <w:rPr>
          <w:rFonts w:ascii="Garamond" w:hAnsi="Garamond"/>
          <w:bCs/>
          <w:lang w:val="fr-FR"/>
        </w:rPr>
        <w:t>Un cycle de</w:t>
      </w:r>
      <w:r w:rsidRPr="00FD7C2E">
        <w:rPr>
          <w:rFonts w:ascii="Garamond" w:hAnsi="Garamond"/>
          <w:bCs/>
          <w:lang w:val="fr-FR"/>
        </w:rPr>
        <w:t xml:space="preserve"> perfectionnement des capacités des encadreurs et formateurs qui accompagneront les futures nouvelles recrues des FSI</w:t>
      </w:r>
      <w:r>
        <w:rPr>
          <w:rFonts w:ascii="Garamond" w:hAnsi="Garamond"/>
          <w:bCs/>
          <w:lang w:val="fr-FR"/>
        </w:rPr>
        <w:t xml:space="preserve"> a été organisé (formation des formateurs et formation des encadreurs)</w:t>
      </w:r>
      <w:r w:rsidRPr="00FD7C2E">
        <w:rPr>
          <w:rFonts w:ascii="Garamond" w:hAnsi="Garamond"/>
          <w:bCs/>
          <w:lang w:val="fr-FR"/>
        </w:rPr>
        <w:t>.</w:t>
      </w:r>
    </w:p>
    <w:p w14:paraId="0D7B5C79" w14:textId="77777777" w:rsidR="00FD7C2E" w:rsidRPr="00FD7C2E" w:rsidRDefault="00FD7C2E" w:rsidP="00FD7C2E">
      <w:pPr>
        <w:ind w:left="-720"/>
        <w:jc w:val="both"/>
        <w:rPr>
          <w:rFonts w:ascii="Garamond" w:hAnsi="Garamond"/>
          <w:bCs/>
          <w:lang w:val="fr-FR"/>
        </w:rPr>
      </w:pPr>
    </w:p>
    <w:p w14:paraId="3C0A1835" w14:textId="40EBD60D" w:rsidR="00FD7C2E" w:rsidRPr="002E374E" w:rsidRDefault="00FD7C2E" w:rsidP="00FD7C2E">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36DFA3E" w14:textId="77777777" w:rsidR="0025405F" w:rsidRDefault="0025405F" w:rsidP="0025405F">
      <w:pPr>
        <w:ind w:left="-720"/>
        <w:jc w:val="both"/>
        <w:rPr>
          <w:rFonts w:ascii="Garamond" w:hAnsi="Garamond"/>
          <w:bCs/>
          <w:lang w:val="fr-FR"/>
        </w:rPr>
      </w:pPr>
    </w:p>
    <w:p w14:paraId="77E9478C" w14:textId="26F22B25" w:rsidR="00161D02" w:rsidRPr="0025405F" w:rsidRDefault="002E374E" w:rsidP="0025405F">
      <w:pPr>
        <w:ind w:left="-720"/>
        <w:jc w:val="both"/>
        <w:rPr>
          <w:rFonts w:ascii="Garamond" w:hAnsi="Garamond"/>
          <w:bCs/>
          <w:lang w:val="fr-FR"/>
        </w:rPr>
      </w:pPr>
      <w:r w:rsidRPr="0025405F">
        <w:rPr>
          <w:rFonts w:ascii="Garamond" w:hAnsi="Garamond"/>
          <w:bCs/>
          <w:lang w:val="fr-FR"/>
        </w:rPr>
        <w:t xml:space="preserve">Le projet a veillé tout au long de la mesure en œuvre de ce résultat </w:t>
      </w:r>
      <w:proofErr w:type="spellStart"/>
      <w:proofErr w:type="gramStart"/>
      <w:r w:rsidRPr="0025405F">
        <w:rPr>
          <w:rFonts w:ascii="Garamond" w:hAnsi="Garamond"/>
          <w:bCs/>
          <w:lang w:val="fr-FR"/>
        </w:rPr>
        <w:t>a</w:t>
      </w:r>
      <w:proofErr w:type="spellEnd"/>
      <w:proofErr w:type="gramEnd"/>
      <w:r w:rsidRPr="0025405F">
        <w:rPr>
          <w:rFonts w:ascii="Garamond" w:hAnsi="Garamond"/>
          <w:bCs/>
          <w:lang w:val="fr-FR"/>
        </w:rPr>
        <w:t xml:space="preserve"> assurer la parité </w:t>
      </w:r>
      <w:r w:rsidR="0025405F" w:rsidRPr="0025405F">
        <w:rPr>
          <w:rFonts w:ascii="Garamond" w:hAnsi="Garamond"/>
          <w:bCs/>
          <w:lang w:val="fr-FR"/>
        </w:rPr>
        <w:t>entre participants des FSI. Cela demeure malgré tout un challenge vue la faible représentativité des femmes dans les FSI.</w:t>
      </w:r>
    </w:p>
    <w:p w14:paraId="1FF9FCED" w14:textId="2998B71F" w:rsidR="0025405F" w:rsidRPr="0025405F" w:rsidRDefault="0025405F" w:rsidP="0025405F">
      <w:pPr>
        <w:ind w:left="-720"/>
        <w:jc w:val="both"/>
        <w:rPr>
          <w:rFonts w:ascii="Garamond" w:hAnsi="Garamond"/>
          <w:bCs/>
          <w:lang w:val="fr-FR"/>
        </w:rPr>
      </w:pPr>
      <w:r w:rsidRPr="0025405F">
        <w:rPr>
          <w:rFonts w:ascii="Garamond" w:hAnsi="Garamond"/>
          <w:bCs/>
          <w:lang w:val="fr-FR"/>
        </w:rPr>
        <w:t>Pendant le développement des différents curricula, l’équipe du projet a veillé à insérer des rubriques spécifiques dans les différents cours qui s’attellent sur l’égalité entre les sexes.</w:t>
      </w:r>
    </w:p>
    <w:p w14:paraId="4B6AAB29" w14:textId="77777777" w:rsidR="00323ABC" w:rsidRPr="002E374E" w:rsidRDefault="00323ABC" w:rsidP="007E4FA1">
      <w:pPr>
        <w:rPr>
          <w:b/>
          <w:lang w:val="fr-FR"/>
        </w:rPr>
      </w:pPr>
    </w:p>
    <w:p w14:paraId="563533E9" w14:textId="4C0CFB7F"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25405F">
        <w:rPr>
          <w:b/>
        </w:rPr>
        <w:fldChar w:fldCharType="begin">
          <w:ffData>
            <w:name w:val="Text33"/>
            <w:enabled/>
            <w:calcOnExit w:val="0"/>
            <w:textInput>
              <w:default w:val="La facilitation des départs à la retraite et la gestion des ressources humaines sont efficacement assurées et contribuent à la paix et à la cohésion sociale"/>
            </w:textInput>
          </w:ffData>
        </w:fldChar>
      </w:r>
      <w:bookmarkStart w:id="10" w:name="Text33"/>
      <w:r w:rsidR="0025405F" w:rsidRPr="0025405F">
        <w:rPr>
          <w:b/>
          <w:lang w:val="fr-FR"/>
        </w:rPr>
        <w:instrText xml:space="preserve"> FORMTEXT </w:instrText>
      </w:r>
      <w:r w:rsidR="0025405F">
        <w:rPr>
          <w:b/>
        </w:rPr>
      </w:r>
      <w:r w:rsidR="0025405F">
        <w:rPr>
          <w:b/>
        </w:rPr>
        <w:fldChar w:fldCharType="separate"/>
      </w:r>
      <w:r w:rsidR="0025405F" w:rsidRPr="0025405F">
        <w:rPr>
          <w:b/>
          <w:noProof/>
          <w:lang w:val="fr-FR"/>
        </w:rPr>
        <w:t>La facilitation des départs à la retraite et la gestion des ressources humaines sont efficacement assurées et contribuent à la paix et à la cohésion sociale</w:t>
      </w:r>
      <w:r w:rsidR="0025405F">
        <w:rPr>
          <w:b/>
        </w:rPr>
        <w:fldChar w:fldCharType="end"/>
      </w:r>
      <w:bookmarkEnd w:id="10"/>
    </w:p>
    <w:p w14:paraId="521560B0" w14:textId="77777777" w:rsidR="00675507" w:rsidRPr="00615EA3" w:rsidRDefault="00675507" w:rsidP="00675507">
      <w:pPr>
        <w:ind w:left="-720"/>
        <w:rPr>
          <w:b/>
          <w:lang w:val="fr-FR"/>
        </w:rPr>
      </w:pPr>
    </w:p>
    <w:p w14:paraId="192B211F" w14:textId="5B28701B"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5405F">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25405F" w:rsidRPr="0025405F">
        <w:rPr>
          <w:rFonts w:ascii="Arial Narrow" w:hAnsi="Arial Narrow"/>
          <w:b/>
          <w:sz w:val="22"/>
          <w:szCs w:val="22"/>
          <w:lang w:val="fr-FR"/>
        </w:rPr>
        <w:instrText xml:space="preserve"> FORMDROPDOWN </w:instrText>
      </w:r>
      <w:r w:rsidR="00F7255E">
        <w:rPr>
          <w:rFonts w:ascii="Arial Narrow" w:hAnsi="Arial Narrow"/>
          <w:b/>
          <w:sz w:val="22"/>
          <w:szCs w:val="22"/>
        </w:rPr>
      </w:r>
      <w:r w:rsidR="00F7255E">
        <w:rPr>
          <w:rFonts w:ascii="Arial Narrow" w:hAnsi="Arial Narrow"/>
          <w:b/>
          <w:sz w:val="22"/>
          <w:szCs w:val="22"/>
        </w:rPr>
        <w:fldChar w:fldCharType="separate"/>
      </w:r>
      <w:r w:rsidR="0025405F">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723748F0" w14:textId="77777777" w:rsidR="001F35F3" w:rsidRDefault="001F35F3" w:rsidP="001F35F3">
      <w:pPr>
        <w:ind w:left="-720"/>
        <w:jc w:val="both"/>
        <w:rPr>
          <w:rFonts w:ascii="Garamond" w:hAnsi="Garamond"/>
          <w:bCs/>
          <w:lang w:val="fr-FR"/>
        </w:rPr>
      </w:pPr>
    </w:p>
    <w:p w14:paraId="0528FD8E" w14:textId="528C7A29" w:rsidR="001F35F3" w:rsidRPr="001F35F3" w:rsidRDefault="001F35F3" w:rsidP="001F35F3">
      <w:pPr>
        <w:ind w:left="-720"/>
        <w:jc w:val="both"/>
        <w:rPr>
          <w:rFonts w:ascii="Garamond" w:hAnsi="Garamond"/>
          <w:bCs/>
          <w:lang w:val="fr-FR"/>
        </w:rPr>
      </w:pPr>
      <w:r w:rsidRPr="001F35F3">
        <w:rPr>
          <w:rFonts w:ascii="Garamond" w:hAnsi="Garamond"/>
          <w:bCs/>
          <w:lang w:val="fr-FR"/>
        </w:rPr>
        <w:t xml:space="preserve">Afin d'appuyer la facilitation de départ à la retraite des policiers et gendarmes ayant atteint l'âge légal de la retraite, le projet se propose de payer une partie de leurs arriérés de salaire. Afin d'appuyer ce processus, un MoU entre le PNUD, Ministère de l’Intérieur et Ministère de la Défense a été signé en vue du paiement des arriérés des fonctionnaires. </w:t>
      </w:r>
    </w:p>
    <w:p w14:paraId="1093D561" w14:textId="77777777" w:rsidR="001F35F3" w:rsidRPr="001F35F3" w:rsidRDefault="001F35F3" w:rsidP="001F35F3">
      <w:pPr>
        <w:ind w:left="-720"/>
        <w:jc w:val="both"/>
        <w:rPr>
          <w:rFonts w:ascii="Garamond" w:hAnsi="Garamond"/>
          <w:bCs/>
          <w:lang w:val="fr-FR"/>
        </w:rPr>
      </w:pPr>
    </w:p>
    <w:p w14:paraId="126DA4D6" w14:textId="009F14C6" w:rsidR="001F35F3" w:rsidRPr="001F35F3" w:rsidRDefault="001F35F3" w:rsidP="001F35F3">
      <w:pPr>
        <w:ind w:left="-720"/>
        <w:jc w:val="both"/>
        <w:rPr>
          <w:rFonts w:ascii="Garamond" w:hAnsi="Garamond"/>
          <w:bCs/>
          <w:lang w:val="fr-FR"/>
        </w:rPr>
      </w:pPr>
      <w:r w:rsidRPr="001F35F3">
        <w:rPr>
          <w:rFonts w:ascii="Garamond" w:hAnsi="Garamond"/>
          <w:bCs/>
          <w:lang w:val="fr-FR"/>
        </w:rPr>
        <w:t>Après avoir réalisé l'audit et refait l'estimation des décaissements pour chaque bénéficiaire, et selon le budget disponible, la période couverte par cet appui a été arrêtée à 7 mois d'arriérés au lieu de 6.</w:t>
      </w:r>
      <w:r>
        <w:rPr>
          <w:rFonts w:ascii="Garamond" w:hAnsi="Garamond"/>
          <w:bCs/>
          <w:lang w:val="fr-FR"/>
        </w:rPr>
        <w:t xml:space="preserve"> De plus, contrairement à ce qui était initialement prévu, le projet a procédé au paiement direct des bénéficiaires au lieu de procéder à travers </w:t>
      </w:r>
      <w:r w:rsidR="00070581">
        <w:rPr>
          <w:rFonts w:ascii="Garamond" w:hAnsi="Garamond"/>
          <w:bCs/>
          <w:lang w:val="fr-FR"/>
        </w:rPr>
        <w:t>un</w:t>
      </w:r>
      <w:r>
        <w:rPr>
          <w:rFonts w:ascii="Garamond" w:hAnsi="Garamond"/>
          <w:bCs/>
          <w:lang w:val="fr-FR"/>
        </w:rPr>
        <w:t xml:space="preserve"> transfert global au gouvernement. Ce choix intervient suite à une analyse des risques liés à cet appui et la complexité de certaines situations de retraités.</w:t>
      </w:r>
      <w:r w:rsidR="002769D0">
        <w:rPr>
          <w:rFonts w:ascii="Garamond" w:hAnsi="Garamond"/>
          <w:bCs/>
          <w:lang w:val="fr-FR"/>
        </w:rPr>
        <w:t xml:space="preserve"> </w:t>
      </w:r>
      <w:r w:rsidR="002769D0" w:rsidRPr="002769D0">
        <w:rPr>
          <w:rFonts w:ascii="Garamond" w:hAnsi="Garamond"/>
          <w:bCs/>
          <w:lang w:val="fr-FR"/>
        </w:rPr>
        <w:t xml:space="preserve">Le risque réputationnel de cette démarche avait été considéré vis-à-vis du risque que le </w:t>
      </w:r>
      <w:r w:rsidR="002769D0" w:rsidRPr="002769D0">
        <w:rPr>
          <w:rFonts w:ascii="Garamond" w:hAnsi="Garamond"/>
          <w:bCs/>
          <w:lang w:val="fr-FR"/>
        </w:rPr>
        <w:lastRenderedPageBreak/>
        <w:t>transfert à travers le gouvernement aurait porté.</w:t>
      </w:r>
      <w:r w:rsidR="002769D0">
        <w:rPr>
          <w:rFonts w:ascii="Garamond" w:hAnsi="Garamond"/>
          <w:bCs/>
          <w:lang w:val="fr-FR"/>
        </w:rPr>
        <w:t xml:space="preserve"> Cette approche a été </w:t>
      </w:r>
      <w:r w:rsidR="00C70EEE">
        <w:rPr>
          <w:rFonts w:ascii="Garamond" w:hAnsi="Garamond"/>
          <w:bCs/>
          <w:lang w:val="fr-FR"/>
        </w:rPr>
        <w:t>entérinée suite à une consultation avec la partie nationale</w:t>
      </w:r>
      <w:r w:rsidR="002769D0">
        <w:rPr>
          <w:rFonts w:ascii="Garamond" w:hAnsi="Garamond"/>
          <w:bCs/>
          <w:lang w:val="fr-FR"/>
        </w:rPr>
        <w:t>.</w:t>
      </w:r>
      <w:r w:rsidR="002769D0" w:rsidRPr="002769D0">
        <w:rPr>
          <w:rFonts w:ascii="Garamond" w:hAnsi="Garamond"/>
          <w:bCs/>
          <w:lang w:val="fr-FR"/>
        </w:rPr>
        <w:t xml:space="preserve"> </w:t>
      </w:r>
    </w:p>
    <w:p w14:paraId="13595ADF" w14:textId="77777777" w:rsidR="001F35F3" w:rsidRPr="001F35F3" w:rsidRDefault="001F35F3" w:rsidP="001F35F3">
      <w:pPr>
        <w:ind w:left="-720"/>
        <w:jc w:val="both"/>
        <w:rPr>
          <w:rFonts w:ascii="Garamond" w:hAnsi="Garamond"/>
          <w:bCs/>
          <w:lang w:val="fr-FR"/>
        </w:rPr>
      </w:pPr>
    </w:p>
    <w:p w14:paraId="65FFC82B" w14:textId="41E0AB8B" w:rsidR="001F35F3" w:rsidRPr="001F35F3" w:rsidRDefault="001F35F3" w:rsidP="001F35F3">
      <w:pPr>
        <w:ind w:left="-720"/>
        <w:jc w:val="both"/>
        <w:rPr>
          <w:rFonts w:ascii="Garamond" w:hAnsi="Garamond"/>
          <w:bCs/>
          <w:lang w:val="fr-FR"/>
        </w:rPr>
      </w:pPr>
      <w:r w:rsidRPr="001F35F3">
        <w:rPr>
          <w:rFonts w:ascii="Garamond" w:hAnsi="Garamond"/>
          <w:bCs/>
          <w:lang w:val="fr-FR"/>
        </w:rPr>
        <w:t>Au total, sur 446 personnes, le départ de 43</w:t>
      </w:r>
      <w:r>
        <w:rPr>
          <w:rFonts w:ascii="Garamond" w:hAnsi="Garamond"/>
          <w:bCs/>
          <w:lang w:val="fr-FR"/>
        </w:rPr>
        <w:t>9</w:t>
      </w:r>
      <w:r w:rsidRPr="001F35F3">
        <w:rPr>
          <w:rFonts w:ascii="Garamond" w:hAnsi="Garamond"/>
          <w:bCs/>
          <w:lang w:val="fr-FR"/>
        </w:rPr>
        <w:t xml:space="preserve"> retraités FSI a été facilité dont 26 ayants-droit et 58 femmes (13.</w:t>
      </w:r>
      <w:r w:rsidR="004E1416">
        <w:rPr>
          <w:rFonts w:ascii="Garamond" w:hAnsi="Garamond"/>
          <w:bCs/>
          <w:lang w:val="fr-FR"/>
        </w:rPr>
        <w:t>5</w:t>
      </w:r>
      <w:r w:rsidRPr="001F35F3">
        <w:rPr>
          <w:rFonts w:ascii="Garamond" w:hAnsi="Garamond"/>
          <w:bCs/>
          <w:lang w:val="fr-FR"/>
        </w:rPr>
        <w:t xml:space="preserve">%). Les </w:t>
      </w:r>
      <w:r w:rsidR="004E1416">
        <w:rPr>
          <w:rFonts w:ascii="Garamond" w:hAnsi="Garamond"/>
          <w:bCs/>
          <w:lang w:val="fr-FR"/>
        </w:rPr>
        <w:t>7</w:t>
      </w:r>
      <w:r w:rsidRPr="001F35F3">
        <w:rPr>
          <w:rFonts w:ascii="Garamond" w:hAnsi="Garamond"/>
          <w:bCs/>
          <w:lang w:val="fr-FR"/>
        </w:rPr>
        <w:t xml:space="preserve"> personnes n'ayant pas été payées n'ont soit pas présenté les documents requis ou ne disposent pas d'arriérés.</w:t>
      </w:r>
    </w:p>
    <w:p w14:paraId="20AF0B70" w14:textId="77777777" w:rsidR="001F35F3" w:rsidRPr="001F35F3" w:rsidRDefault="001F35F3" w:rsidP="001F35F3">
      <w:pPr>
        <w:ind w:left="-720"/>
        <w:jc w:val="both"/>
        <w:rPr>
          <w:rFonts w:ascii="Garamond" w:hAnsi="Garamond"/>
          <w:bCs/>
          <w:lang w:val="fr-FR"/>
        </w:rPr>
      </w:pPr>
    </w:p>
    <w:p w14:paraId="76569E27" w14:textId="51962873" w:rsidR="001F35F3" w:rsidRPr="001F35F3" w:rsidRDefault="001F35F3" w:rsidP="001F35F3">
      <w:pPr>
        <w:ind w:left="-720"/>
        <w:jc w:val="both"/>
        <w:rPr>
          <w:rFonts w:ascii="Garamond" w:hAnsi="Garamond"/>
          <w:bCs/>
          <w:lang w:val="fr-FR"/>
        </w:rPr>
      </w:pPr>
      <w:r w:rsidRPr="001F35F3">
        <w:rPr>
          <w:rFonts w:ascii="Garamond" w:hAnsi="Garamond"/>
          <w:bCs/>
          <w:lang w:val="fr-FR"/>
        </w:rPr>
        <w:t xml:space="preserve">La formation du personnel des intendances et la formation des directeurs des ressources humaines et des chefs des services sur la bonne gestion des ressources humaines (notamment la transparence, notion de représentativité, spécifiquement la prise en compte du genre au sein de la Police et de la Gendarmerie) </w:t>
      </w:r>
      <w:r w:rsidR="00EE2B50">
        <w:rPr>
          <w:rFonts w:ascii="Garamond" w:hAnsi="Garamond"/>
          <w:bCs/>
          <w:lang w:val="fr-FR"/>
        </w:rPr>
        <w:t>ont été tenues grâce à l’appui de deux consultants internationaux spécialisés recrutés par le PNUD</w:t>
      </w:r>
      <w:r w:rsidRPr="001F35F3">
        <w:rPr>
          <w:rFonts w:ascii="Garamond" w:hAnsi="Garamond"/>
          <w:bCs/>
          <w:lang w:val="fr-FR"/>
        </w:rPr>
        <w:t xml:space="preserve">. </w:t>
      </w:r>
      <w:r w:rsidR="00EE2B50">
        <w:rPr>
          <w:rFonts w:ascii="Garamond" w:hAnsi="Garamond"/>
          <w:bCs/>
          <w:lang w:val="fr-FR"/>
        </w:rPr>
        <w:t>La première formation a ciblé 30 cadres et agents affectés aux intendances de la police et la gendarmerie (dont 16 femmes) et la 2</w:t>
      </w:r>
      <w:r w:rsidR="00EE2B50" w:rsidRPr="00EE2B50">
        <w:rPr>
          <w:rFonts w:ascii="Garamond" w:hAnsi="Garamond"/>
          <w:bCs/>
          <w:vertAlign w:val="superscript"/>
          <w:lang w:val="fr-FR"/>
        </w:rPr>
        <w:t>ème</w:t>
      </w:r>
      <w:r w:rsidR="00EE2B50">
        <w:rPr>
          <w:rFonts w:ascii="Garamond" w:hAnsi="Garamond"/>
          <w:bCs/>
          <w:lang w:val="fr-FR"/>
        </w:rPr>
        <w:t xml:space="preserve"> a été dispensée pour 33 officiers (dont 7 femmes) et avaient pour objectif de </w:t>
      </w:r>
      <w:r w:rsidR="00EE2B50" w:rsidRPr="00EE2B50">
        <w:rPr>
          <w:rFonts w:ascii="Garamond" w:hAnsi="Garamond"/>
          <w:bCs/>
          <w:lang w:val="fr-FR"/>
        </w:rPr>
        <w:t>favoriser le renforcement des capacités et l’appui à la formation des Forces de Sécurité Intérieure de la République Centrafricaine en Gestion de l’intendance et du budget</w:t>
      </w:r>
      <w:r w:rsidR="00EE2B50">
        <w:rPr>
          <w:rFonts w:ascii="Garamond" w:hAnsi="Garamond"/>
          <w:bCs/>
          <w:lang w:val="fr-FR"/>
        </w:rPr>
        <w:t xml:space="preserve"> et la GRH</w:t>
      </w:r>
      <w:r w:rsidR="00EE2B50" w:rsidRPr="00EE2B50">
        <w:rPr>
          <w:rFonts w:ascii="Garamond" w:hAnsi="Garamond"/>
          <w:bCs/>
          <w:lang w:val="fr-FR"/>
        </w:rPr>
        <w:t>, en vue de leur permettre d’assurer leur rôle au service du citoyen.</w:t>
      </w:r>
    </w:p>
    <w:p w14:paraId="51D5DD53" w14:textId="77777777" w:rsidR="00675507" w:rsidRPr="001F35F3"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D77CC9" w14:textId="77777777" w:rsidR="003206B7" w:rsidRDefault="003206B7" w:rsidP="003206B7">
      <w:pPr>
        <w:ind w:left="-720"/>
        <w:jc w:val="both"/>
        <w:rPr>
          <w:rFonts w:ascii="Garamond" w:hAnsi="Garamond"/>
          <w:bCs/>
          <w:lang w:val="fr-FR"/>
        </w:rPr>
      </w:pPr>
    </w:p>
    <w:p w14:paraId="3C4ECBD1" w14:textId="37599FFF" w:rsidR="00675507" w:rsidRPr="003206B7" w:rsidRDefault="003206B7" w:rsidP="003206B7">
      <w:pPr>
        <w:ind w:left="-720"/>
        <w:jc w:val="both"/>
        <w:rPr>
          <w:rFonts w:ascii="Garamond" w:hAnsi="Garamond"/>
          <w:bCs/>
          <w:lang w:val="fr-FR"/>
        </w:rPr>
      </w:pPr>
      <w:r w:rsidRPr="003206B7">
        <w:rPr>
          <w:rFonts w:ascii="Garamond" w:hAnsi="Garamond"/>
          <w:bCs/>
          <w:lang w:val="fr-FR"/>
        </w:rPr>
        <w:t>A l’exception des formations dispensées aux FSI en matière de gestion des intendances et gestion des ressources et pendant lesquelles le projet a insisté sur la garantie de la parité entre participants (36.5% pour les deux formations), ce résultat ne pouvait pas agir sur le volet de l’égalité des sexes vu que les bénéficiaires de cet appui étaient déjà prédéterminés (les retraités).</w:t>
      </w:r>
    </w:p>
    <w:p w14:paraId="35EDE632" w14:textId="77777777" w:rsidR="00627A1C" w:rsidRPr="003206B7" w:rsidRDefault="00627A1C" w:rsidP="003206B7">
      <w:pPr>
        <w:ind w:left="-720"/>
        <w:jc w:val="both"/>
        <w:rPr>
          <w:rFonts w:ascii="Garamond" w:hAnsi="Garamond"/>
          <w:bCs/>
          <w:lang w:val="fr-FR"/>
        </w:rPr>
      </w:pPr>
    </w:p>
    <w:p w14:paraId="02A4DAC5" w14:textId="7CE77537" w:rsidR="00675507" w:rsidRPr="003206B7" w:rsidRDefault="00675507" w:rsidP="003206B7">
      <w:pPr>
        <w:ind w:left="-720"/>
        <w:jc w:val="both"/>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3206B7" w:rsidRPr="003206B7">
        <w:rPr>
          <w:b/>
          <w:lang w:val="fr-FR"/>
        </w:rPr>
        <w:t>Le plan de communication RSS favorise une meilleure connaissance de la RSS ainsi que le renforcement de la confiance entre les autorités, les populations et les FSI</w:t>
      </w:r>
    </w:p>
    <w:p w14:paraId="09695970" w14:textId="77777777" w:rsidR="00675507" w:rsidRPr="00615EA3" w:rsidRDefault="00675507" w:rsidP="00675507">
      <w:pPr>
        <w:ind w:left="-720"/>
        <w:rPr>
          <w:b/>
          <w:lang w:val="fr-FR"/>
        </w:rPr>
      </w:pPr>
    </w:p>
    <w:p w14:paraId="2998D510" w14:textId="1B0E432C" w:rsidR="00675507" w:rsidRPr="005E75D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5E75DE" w:rsidRPr="002769D0">
        <w:rPr>
          <w:rFonts w:ascii="Arial Narrow" w:hAnsi="Arial Narrow"/>
          <w:b/>
          <w:sz w:val="22"/>
          <w:szCs w:val="22"/>
          <w:lang w:val="fr-FR"/>
        </w:rPr>
        <w:t>O</w:t>
      </w:r>
      <w:r w:rsidR="004154D4">
        <w:rPr>
          <w:rFonts w:ascii="Arial Narrow" w:hAnsi="Arial Narrow"/>
          <w:b/>
          <w:sz w:val="22"/>
          <w:szCs w:val="22"/>
          <w:lang w:val="fr-FR"/>
        </w:rPr>
        <w:t>n</w:t>
      </w:r>
      <w:r w:rsidR="005E75DE">
        <w:rPr>
          <w:rFonts w:ascii="Arial Narrow" w:hAnsi="Arial Narrow"/>
          <w:b/>
          <w:sz w:val="22"/>
          <w:szCs w:val="22"/>
          <w:lang w:val="fr-FR"/>
        </w:rPr>
        <w:t xml:space="preserve"> </w:t>
      </w:r>
      <w:proofErr w:type="spellStart"/>
      <w:r w:rsidR="005E75DE">
        <w:rPr>
          <w:rFonts w:ascii="Arial Narrow" w:hAnsi="Arial Narrow"/>
          <w:b/>
          <w:sz w:val="22"/>
          <w:szCs w:val="22"/>
          <w:lang w:val="fr-FR"/>
        </w:rPr>
        <w:t>track</w:t>
      </w:r>
      <w:proofErr w:type="spellEnd"/>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10C747C7" w14:textId="77777777" w:rsidR="00657A0B" w:rsidRDefault="00657A0B" w:rsidP="003206B7">
      <w:pPr>
        <w:ind w:left="-720"/>
        <w:jc w:val="both"/>
        <w:rPr>
          <w:rFonts w:ascii="Garamond" w:hAnsi="Garamond"/>
          <w:bCs/>
          <w:lang w:val="fr-FR"/>
        </w:rPr>
      </w:pPr>
    </w:p>
    <w:p w14:paraId="76C639CF" w14:textId="77777777" w:rsidR="006B26C5" w:rsidRDefault="002769D0" w:rsidP="003206B7">
      <w:pPr>
        <w:ind w:left="-720"/>
        <w:jc w:val="both"/>
        <w:rPr>
          <w:rFonts w:ascii="Garamond" w:hAnsi="Garamond"/>
          <w:bCs/>
          <w:lang w:val="fr-FR"/>
        </w:rPr>
      </w:pPr>
      <w:r>
        <w:rPr>
          <w:rFonts w:ascii="Garamond" w:hAnsi="Garamond"/>
          <w:bCs/>
          <w:lang w:val="fr-FR"/>
        </w:rPr>
        <w:t xml:space="preserve"> </w:t>
      </w:r>
    </w:p>
    <w:p w14:paraId="14546888" w14:textId="00F4057D" w:rsidR="004E5595" w:rsidRDefault="004E5595" w:rsidP="003206B7">
      <w:pPr>
        <w:ind w:left="-720"/>
        <w:jc w:val="both"/>
        <w:rPr>
          <w:rFonts w:ascii="Garamond" w:hAnsi="Garamond"/>
          <w:bCs/>
          <w:lang w:val="fr-FR"/>
        </w:rPr>
      </w:pPr>
    </w:p>
    <w:p w14:paraId="26C553EB" w14:textId="71979A6A" w:rsidR="004F4AE4" w:rsidRPr="004F4AE4" w:rsidRDefault="006B26C5" w:rsidP="006B26C5">
      <w:pPr>
        <w:ind w:left="-720"/>
        <w:jc w:val="both"/>
        <w:rPr>
          <w:rFonts w:ascii="Garamond" w:hAnsi="Garamond"/>
          <w:bCs/>
          <w:lang w:val="fr-FR"/>
        </w:rPr>
      </w:pPr>
      <w:r>
        <w:rPr>
          <w:rFonts w:ascii="Garamond" w:hAnsi="Garamond"/>
          <w:bCs/>
          <w:lang w:val="fr-FR"/>
        </w:rPr>
        <w:t>L</w:t>
      </w:r>
      <w:r w:rsidR="004E5595" w:rsidRPr="004F4AE4">
        <w:rPr>
          <w:rFonts w:ascii="Garamond" w:hAnsi="Garamond"/>
          <w:bCs/>
          <w:lang w:val="fr-FR"/>
        </w:rPr>
        <w:t xml:space="preserve">e projet a appuyé l’organisation de deux formations et deux forums sur la RSS au niveau des villes de Bouar et Bambari. Cet accompagnement avait pour objectif de favoriser une meilleure connaissance de la RSS, ainsi que le renforcement de la confiance entre les Autorités, les Populations et les FSI (Police et Gendarmerie). En misant sur l’appropriation nationale, </w:t>
      </w:r>
      <w:r w:rsidR="004F4AE4" w:rsidRPr="004F4AE4">
        <w:rPr>
          <w:rFonts w:ascii="Garamond" w:hAnsi="Garamond"/>
          <w:bCs/>
          <w:lang w:val="fr-FR"/>
        </w:rPr>
        <w:t>la modération et animation de ces forums était faite par l’équipe de la coordination nationale DDRR/RSS/RN assistée par des représentants des FSI. Les différentes sessions dispensée</w:t>
      </w:r>
      <w:r w:rsidR="004F4AE4">
        <w:rPr>
          <w:rFonts w:ascii="Garamond" w:hAnsi="Garamond"/>
          <w:bCs/>
          <w:lang w:val="fr-FR"/>
        </w:rPr>
        <w:t>s</w:t>
      </w:r>
      <w:r w:rsidR="004F4AE4" w:rsidRPr="004F4AE4">
        <w:rPr>
          <w:rFonts w:ascii="Garamond" w:hAnsi="Garamond"/>
          <w:bCs/>
          <w:lang w:val="fr-FR"/>
        </w:rPr>
        <w:t xml:space="preserve"> visaient à (i) introduire les principes et efforts de la RSS aux acteurs étatiques, (ii) informer le grand public sur la RSS et le processus national de sa mise en œuvre, (iii) expliquer les missions de la Police et de la Gendarmerie et (iv) mobiliser le grand public pour la promotion de la RSS et son appropriation nationale en tenant compte du Genre.</w:t>
      </w:r>
      <w:r w:rsidR="004F4AE4">
        <w:rPr>
          <w:rFonts w:ascii="Garamond" w:hAnsi="Garamond"/>
          <w:bCs/>
          <w:lang w:val="fr-FR"/>
        </w:rPr>
        <w:t xml:space="preserve"> 187 personnes (dont 24.6% de femmes) ont pu bénéficier de ces sessions à Bouar contre 199 à Bambari (dont 23.6% de femmes).</w:t>
      </w:r>
      <w:r w:rsidR="00EC7338">
        <w:rPr>
          <w:rStyle w:val="FootnoteReference"/>
          <w:rFonts w:ascii="Garamond" w:hAnsi="Garamond"/>
          <w:bCs/>
          <w:lang w:val="fr-FR"/>
        </w:rPr>
        <w:footnoteReference w:id="1"/>
      </w:r>
    </w:p>
    <w:p w14:paraId="5D966396" w14:textId="4B0A7988" w:rsidR="004E5595" w:rsidRDefault="004E5595" w:rsidP="003206B7">
      <w:pPr>
        <w:ind w:left="-720"/>
        <w:jc w:val="both"/>
        <w:rPr>
          <w:rFonts w:ascii="Garamond" w:hAnsi="Garamond"/>
          <w:bCs/>
          <w:lang w:val="fr-FR"/>
        </w:rPr>
      </w:pPr>
    </w:p>
    <w:p w14:paraId="471D1984" w14:textId="36D1E2AB" w:rsidR="003206B7" w:rsidRPr="003206B7" w:rsidRDefault="003206B7" w:rsidP="003206B7">
      <w:pPr>
        <w:ind w:left="-720"/>
        <w:jc w:val="both"/>
        <w:rPr>
          <w:rFonts w:ascii="Garamond" w:hAnsi="Garamond"/>
          <w:bCs/>
          <w:lang w:val="fr-FR"/>
        </w:rPr>
      </w:pPr>
      <w:r w:rsidRPr="003206B7">
        <w:rPr>
          <w:rFonts w:ascii="Garamond" w:hAnsi="Garamond"/>
          <w:bCs/>
          <w:lang w:val="fr-FR"/>
        </w:rPr>
        <w:t xml:space="preserve">Selon les résultats d'une enquête de perception menée par HHI, présentée en </w:t>
      </w:r>
      <w:r w:rsidR="005B50BC">
        <w:rPr>
          <w:rFonts w:ascii="Garamond" w:hAnsi="Garamond"/>
          <w:bCs/>
          <w:lang w:val="fr-FR"/>
        </w:rPr>
        <w:t>mai</w:t>
      </w:r>
      <w:r w:rsidRPr="003206B7">
        <w:rPr>
          <w:rFonts w:ascii="Garamond" w:hAnsi="Garamond"/>
          <w:bCs/>
          <w:lang w:val="fr-FR"/>
        </w:rPr>
        <w:t xml:space="preserve"> 20</w:t>
      </w:r>
      <w:r w:rsidR="005B50BC">
        <w:rPr>
          <w:rFonts w:ascii="Garamond" w:hAnsi="Garamond"/>
          <w:bCs/>
          <w:lang w:val="fr-FR"/>
        </w:rPr>
        <w:t>20 (rapport en cours de finalisation)</w:t>
      </w:r>
      <w:r w:rsidRPr="003206B7">
        <w:rPr>
          <w:rFonts w:ascii="Garamond" w:hAnsi="Garamond"/>
          <w:bCs/>
          <w:lang w:val="fr-FR"/>
        </w:rPr>
        <w:t xml:space="preserve">, le sentiment général de sécurité s’est amélioré de 46% en juin 2017 à </w:t>
      </w:r>
      <w:r w:rsidR="005B50BC">
        <w:rPr>
          <w:rFonts w:ascii="Garamond" w:hAnsi="Garamond"/>
          <w:bCs/>
          <w:lang w:val="fr-FR"/>
        </w:rPr>
        <w:t>47</w:t>
      </w:r>
      <w:r w:rsidRPr="003206B7">
        <w:rPr>
          <w:rFonts w:ascii="Garamond" w:hAnsi="Garamond"/>
          <w:bCs/>
          <w:lang w:val="fr-FR"/>
        </w:rPr>
        <w:t xml:space="preserve">% en </w:t>
      </w:r>
      <w:r w:rsidR="005B50BC">
        <w:rPr>
          <w:rFonts w:ascii="Garamond" w:hAnsi="Garamond"/>
          <w:bCs/>
          <w:lang w:val="fr-FR"/>
        </w:rPr>
        <w:t>février 2020 (ceci s’explique par le contexte politico-sécuritaire de la RCA, avec une hausse du sentiment de sécurité de 60% en décembre 2018)</w:t>
      </w:r>
      <w:r w:rsidRPr="003206B7">
        <w:rPr>
          <w:rFonts w:ascii="Garamond" w:hAnsi="Garamond"/>
          <w:bCs/>
          <w:lang w:val="fr-FR"/>
        </w:rPr>
        <w:t xml:space="preserve">. </w:t>
      </w:r>
    </w:p>
    <w:p w14:paraId="4268ACE7" w14:textId="77777777" w:rsidR="003206B7" w:rsidRPr="003206B7" w:rsidRDefault="003206B7" w:rsidP="003206B7">
      <w:pPr>
        <w:ind w:left="-720"/>
        <w:jc w:val="both"/>
        <w:rPr>
          <w:rFonts w:ascii="Garamond" w:hAnsi="Garamond"/>
          <w:bCs/>
          <w:lang w:val="fr-FR"/>
        </w:rPr>
      </w:pPr>
    </w:p>
    <w:p w14:paraId="44BDEC7D" w14:textId="561D9447" w:rsidR="003206B7" w:rsidRPr="003206B7" w:rsidRDefault="003206B7" w:rsidP="003206B7">
      <w:pPr>
        <w:ind w:left="-720"/>
        <w:jc w:val="both"/>
        <w:rPr>
          <w:rFonts w:ascii="Garamond" w:hAnsi="Garamond"/>
          <w:bCs/>
          <w:lang w:val="fr-FR"/>
        </w:rPr>
      </w:pPr>
      <w:r w:rsidRPr="003206B7">
        <w:rPr>
          <w:rFonts w:ascii="Garamond" w:hAnsi="Garamond"/>
          <w:bCs/>
          <w:lang w:val="fr-FR"/>
        </w:rPr>
        <w:t xml:space="preserve">Le niveau de confiance dans </w:t>
      </w:r>
      <w:r w:rsidR="005B50BC">
        <w:rPr>
          <w:rFonts w:ascii="Garamond" w:hAnsi="Garamond"/>
          <w:bCs/>
          <w:lang w:val="fr-FR"/>
        </w:rPr>
        <w:t>les acteurs de sécurité a évolué similairement</w:t>
      </w:r>
      <w:r w:rsidRPr="003206B7">
        <w:rPr>
          <w:rFonts w:ascii="Garamond" w:hAnsi="Garamond"/>
          <w:bCs/>
          <w:lang w:val="fr-FR"/>
        </w:rPr>
        <w:t xml:space="preserve">, y compris envers la police (de 54% à </w:t>
      </w:r>
      <w:r w:rsidR="005B50BC">
        <w:rPr>
          <w:rFonts w:ascii="Garamond" w:hAnsi="Garamond"/>
          <w:bCs/>
          <w:lang w:val="fr-FR"/>
        </w:rPr>
        <w:t>61</w:t>
      </w:r>
      <w:r w:rsidRPr="003206B7">
        <w:rPr>
          <w:rFonts w:ascii="Garamond" w:hAnsi="Garamond"/>
          <w:bCs/>
          <w:lang w:val="fr-FR"/>
        </w:rPr>
        <w:t xml:space="preserve">%) et la gendarmerie (de 58% à </w:t>
      </w:r>
      <w:r w:rsidR="005B50BC">
        <w:rPr>
          <w:rFonts w:ascii="Garamond" w:hAnsi="Garamond"/>
          <w:bCs/>
          <w:lang w:val="fr-FR"/>
        </w:rPr>
        <w:t>68</w:t>
      </w:r>
      <w:r w:rsidRPr="003206B7">
        <w:rPr>
          <w:rFonts w:ascii="Garamond" w:hAnsi="Garamond"/>
          <w:bCs/>
          <w:lang w:val="fr-FR"/>
        </w:rPr>
        <w:t>%). Les femmes continuent à être moins confiantes envers ces acteurs que les hommes.</w:t>
      </w:r>
    </w:p>
    <w:p w14:paraId="452657B1" w14:textId="77777777" w:rsidR="003206B7" w:rsidRPr="003206B7" w:rsidRDefault="003206B7" w:rsidP="003206B7">
      <w:pPr>
        <w:ind w:left="-720"/>
        <w:jc w:val="both"/>
        <w:rPr>
          <w:rFonts w:ascii="Garamond" w:hAnsi="Garamond"/>
          <w:bCs/>
          <w:lang w:val="fr-FR"/>
        </w:rPr>
      </w:pPr>
    </w:p>
    <w:p w14:paraId="4358F72F" w14:textId="58623F12" w:rsidR="00675507" w:rsidRPr="003206B7" w:rsidRDefault="003206B7" w:rsidP="003206B7">
      <w:pPr>
        <w:ind w:left="-720"/>
        <w:jc w:val="both"/>
        <w:rPr>
          <w:rFonts w:ascii="Garamond" w:hAnsi="Garamond"/>
          <w:bCs/>
          <w:lang w:val="fr-FR"/>
        </w:rPr>
      </w:pPr>
      <w:r w:rsidRPr="003206B7">
        <w:rPr>
          <w:rFonts w:ascii="Garamond" w:hAnsi="Garamond"/>
          <w:bCs/>
          <w:lang w:val="fr-FR"/>
        </w:rPr>
        <w:t xml:space="preserve">En effet, ceci démontre que les différents efforts déployés dans le cadre du projet ont permis de contribuer à l'amélioration de l'image des FSI et la relation de confiance envers la population. </w:t>
      </w:r>
      <w:r w:rsidR="006F565F" w:rsidRPr="003206B7">
        <w:rPr>
          <w:rFonts w:ascii="Garamond" w:hAnsi="Garamond"/>
          <w:bCs/>
          <w:lang w:val="fr-FR"/>
        </w:rPr>
        <w:t>Le</w:t>
      </w:r>
      <w:r w:rsidRPr="003206B7">
        <w:rPr>
          <w:rFonts w:ascii="Garamond" w:hAnsi="Garamond"/>
          <w:bCs/>
          <w:lang w:val="fr-FR"/>
        </w:rPr>
        <w:t xml:space="preserve"> projet continuera à déployer des efforts pour améliorer davantage ce sentiment chez les femmes.</w:t>
      </w:r>
    </w:p>
    <w:p w14:paraId="470F9892" w14:textId="600BCB45" w:rsidR="00675507" w:rsidRDefault="00675507" w:rsidP="003206B7">
      <w:pPr>
        <w:ind w:left="-720"/>
        <w:jc w:val="both"/>
        <w:rPr>
          <w:rFonts w:ascii="Garamond" w:hAnsi="Garamond"/>
          <w:bCs/>
          <w:lang w:val="fr-FR"/>
        </w:rPr>
      </w:pPr>
    </w:p>
    <w:p w14:paraId="3F820316" w14:textId="21E4721C" w:rsidR="00DE51B4" w:rsidRDefault="00DE51B4" w:rsidP="003206B7">
      <w:pPr>
        <w:ind w:left="-720"/>
        <w:jc w:val="both"/>
        <w:rPr>
          <w:rFonts w:ascii="Garamond" w:hAnsi="Garamond"/>
          <w:bCs/>
          <w:lang w:val="fr-FR"/>
        </w:rPr>
      </w:pPr>
      <w:r>
        <w:rPr>
          <w:rFonts w:ascii="Garamond" w:hAnsi="Garamond"/>
          <w:bCs/>
          <w:lang w:val="fr-FR"/>
        </w:rPr>
        <w:t xml:space="preserve">Dans le cadre de la réponse apportée aux FSI pour faire face à la pandémie de la COVID-19, et dans l’objectif </w:t>
      </w:r>
      <w:r w:rsidR="008748AE" w:rsidRPr="008748AE">
        <w:rPr>
          <w:rFonts w:ascii="Garamond" w:hAnsi="Garamond"/>
          <w:bCs/>
          <w:lang w:val="fr-FR"/>
        </w:rPr>
        <w:t>(i) d’éviter la propagation du COVID 19 dans les services de police et de Gendarmerie ; (ii) de contribuer à la protection des civils par des mesures préventives et répressives dans la logique de l’approche de police de proximité ; et (iii) assurer la continuité du service</w:t>
      </w:r>
      <w:r w:rsidR="008748AE">
        <w:rPr>
          <w:rFonts w:ascii="Garamond" w:hAnsi="Garamond"/>
          <w:bCs/>
          <w:lang w:val="fr-FR"/>
        </w:rPr>
        <w:t xml:space="preserve"> </w:t>
      </w:r>
      <w:r>
        <w:rPr>
          <w:rFonts w:ascii="Garamond" w:hAnsi="Garamond"/>
          <w:bCs/>
          <w:lang w:val="fr-FR"/>
        </w:rPr>
        <w:t>et en plus de la remise de kits d’hygiène et équipements de protection, le projet travaille avec le Ministère de l'Intérieur sur la conceptualisation de supports de communication en interne et externe tels que des tracts de sensibilisation ainsi que des guides de poche au profit des policiers et gendarmes.</w:t>
      </w:r>
    </w:p>
    <w:p w14:paraId="1C08069B" w14:textId="77777777" w:rsidR="00DE51B4" w:rsidRPr="003206B7" w:rsidRDefault="00DE51B4" w:rsidP="003206B7">
      <w:pPr>
        <w:ind w:left="-720"/>
        <w:jc w:val="both"/>
        <w:rPr>
          <w:rFonts w:ascii="Garamond" w:hAnsi="Garamond"/>
          <w:bCs/>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6A4C970" w:rsidR="00675507" w:rsidRPr="004F4AE4" w:rsidRDefault="004F4AE4" w:rsidP="00675507">
      <w:pPr>
        <w:ind w:left="-720"/>
        <w:rPr>
          <w:b/>
          <w:lang w:val="fr-FR"/>
        </w:rPr>
      </w:pPr>
      <w:r w:rsidRPr="004F4AE4">
        <w:rPr>
          <w:b/>
          <w:lang w:val="fr-FR"/>
        </w:rPr>
        <w:t>N/A</w:t>
      </w:r>
    </w:p>
    <w:p w14:paraId="7111774C" w14:textId="77777777" w:rsidR="00627A1C" w:rsidRPr="004F4AE4" w:rsidRDefault="00627A1C" w:rsidP="00627A1C">
      <w:pPr>
        <w:ind w:left="-720"/>
        <w:rPr>
          <w:b/>
          <w:lang w:val="fr-FR"/>
        </w:rPr>
      </w:pPr>
    </w:p>
    <w:p w14:paraId="461A9093" w14:textId="516706CC" w:rsidR="00675507" w:rsidRPr="004F4AE4" w:rsidRDefault="00675507" w:rsidP="004F4AE4">
      <w:pPr>
        <w:ind w:left="-720"/>
        <w:jc w:val="both"/>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004F4AE4" w:rsidRPr="004F4AE4">
        <w:rPr>
          <w:b/>
          <w:lang w:val="fr-FR"/>
        </w:rPr>
        <w:t>Le déploiement des FSI et le développement d'une police de proximité efficace permet de renforcer la sécurité et la stabilité dans les zones d'intervention des USMS</w:t>
      </w:r>
    </w:p>
    <w:p w14:paraId="04293BE3" w14:textId="77777777" w:rsidR="00675507" w:rsidRPr="00615EA3" w:rsidRDefault="00675507" w:rsidP="00675507">
      <w:pPr>
        <w:ind w:left="-720"/>
        <w:rPr>
          <w:b/>
          <w:lang w:val="fr-FR"/>
        </w:rPr>
      </w:pPr>
    </w:p>
    <w:p w14:paraId="3CEB16D5" w14:textId="6377EA02"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4F4AE4">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4F4AE4" w:rsidRPr="004F4AE4">
        <w:rPr>
          <w:rFonts w:ascii="Arial Narrow" w:hAnsi="Arial Narrow"/>
          <w:b/>
          <w:sz w:val="22"/>
          <w:szCs w:val="22"/>
          <w:lang w:val="fr-FR"/>
        </w:rPr>
        <w:instrText xml:space="preserve"> FORMDROPDOWN </w:instrText>
      </w:r>
      <w:r w:rsidR="00F7255E">
        <w:rPr>
          <w:rFonts w:ascii="Arial Narrow" w:hAnsi="Arial Narrow"/>
          <w:b/>
          <w:sz w:val="22"/>
          <w:szCs w:val="22"/>
        </w:rPr>
      </w:r>
      <w:r w:rsidR="00F7255E">
        <w:rPr>
          <w:rFonts w:ascii="Arial Narrow" w:hAnsi="Arial Narrow"/>
          <w:b/>
          <w:sz w:val="22"/>
          <w:szCs w:val="22"/>
        </w:rPr>
        <w:fldChar w:fldCharType="separate"/>
      </w:r>
      <w:r w:rsidR="004F4AE4">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133F63F" w14:textId="77777777" w:rsidR="006F565F" w:rsidRDefault="006F565F" w:rsidP="006F565F">
      <w:pPr>
        <w:ind w:left="-720"/>
        <w:jc w:val="both"/>
        <w:rPr>
          <w:rFonts w:ascii="Garamond" w:hAnsi="Garamond"/>
          <w:bCs/>
          <w:lang w:val="fr-FR"/>
        </w:rPr>
      </w:pPr>
    </w:p>
    <w:p w14:paraId="06AF6665" w14:textId="77777777" w:rsidR="004F4AE4" w:rsidRPr="006F565F" w:rsidRDefault="004F4AE4" w:rsidP="006F565F">
      <w:pPr>
        <w:ind w:left="-720"/>
        <w:jc w:val="both"/>
        <w:rPr>
          <w:rFonts w:ascii="Garamond" w:hAnsi="Garamond"/>
          <w:bCs/>
          <w:lang w:val="fr-FR"/>
        </w:rPr>
      </w:pPr>
    </w:p>
    <w:p w14:paraId="65599688" w14:textId="25E27845" w:rsidR="004F4AE4" w:rsidRDefault="004F4AE4" w:rsidP="006F565F">
      <w:pPr>
        <w:ind w:left="-720"/>
        <w:jc w:val="both"/>
        <w:rPr>
          <w:rFonts w:ascii="Garamond" w:hAnsi="Garamond"/>
          <w:bCs/>
          <w:lang w:val="fr-FR"/>
        </w:rPr>
      </w:pPr>
      <w:r w:rsidRPr="006F565F">
        <w:rPr>
          <w:rFonts w:ascii="Garamond" w:hAnsi="Garamond"/>
          <w:bCs/>
          <w:lang w:val="fr-FR"/>
        </w:rPr>
        <w:t>Des consultations ont été organisé</w:t>
      </w:r>
      <w:r w:rsidR="00433021">
        <w:rPr>
          <w:rFonts w:ascii="Garamond" w:hAnsi="Garamond"/>
          <w:bCs/>
          <w:lang w:val="fr-FR"/>
        </w:rPr>
        <w:t>e</w:t>
      </w:r>
      <w:r w:rsidRPr="006F565F">
        <w:rPr>
          <w:rFonts w:ascii="Garamond" w:hAnsi="Garamond"/>
          <w:bCs/>
          <w:lang w:val="fr-FR"/>
        </w:rPr>
        <w:t xml:space="preserve">s </w:t>
      </w:r>
      <w:r w:rsidR="00A91E7E">
        <w:rPr>
          <w:rFonts w:ascii="Garamond" w:hAnsi="Garamond"/>
          <w:bCs/>
          <w:lang w:val="fr-FR"/>
        </w:rPr>
        <w:t xml:space="preserve">afin de développer </w:t>
      </w:r>
      <w:r w:rsidRPr="006F565F">
        <w:rPr>
          <w:rFonts w:ascii="Garamond" w:hAnsi="Garamond"/>
          <w:bCs/>
          <w:lang w:val="fr-FR"/>
        </w:rPr>
        <w:t xml:space="preserve">un cadre réglementaire </w:t>
      </w:r>
      <w:r w:rsidR="005A11CC">
        <w:rPr>
          <w:rFonts w:ascii="Garamond" w:hAnsi="Garamond"/>
          <w:bCs/>
          <w:lang w:val="fr-FR"/>
        </w:rPr>
        <w:t xml:space="preserve">pour </w:t>
      </w:r>
      <w:r w:rsidR="00A91E7E">
        <w:rPr>
          <w:rFonts w:ascii="Garamond" w:hAnsi="Garamond"/>
          <w:bCs/>
          <w:lang w:val="fr-FR"/>
        </w:rPr>
        <w:t>l</w:t>
      </w:r>
      <w:r w:rsidR="005A11CC">
        <w:rPr>
          <w:rFonts w:ascii="Garamond" w:hAnsi="Garamond"/>
          <w:bCs/>
          <w:lang w:val="fr-FR"/>
        </w:rPr>
        <w:t xml:space="preserve">es organes de concertation </w:t>
      </w:r>
      <w:r w:rsidR="00A91E7E">
        <w:rPr>
          <w:rFonts w:ascii="Garamond" w:hAnsi="Garamond"/>
          <w:bCs/>
          <w:lang w:val="fr-FR"/>
        </w:rPr>
        <w:t xml:space="preserve">de la </w:t>
      </w:r>
      <w:r w:rsidR="00433021">
        <w:rPr>
          <w:rFonts w:ascii="Garamond" w:hAnsi="Garamond"/>
          <w:bCs/>
          <w:lang w:val="fr-FR"/>
        </w:rPr>
        <w:t>PolProx</w:t>
      </w:r>
      <w:r w:rsidRPr="006F565F">
        <w:rPr>
          <w:rFonts w:ascii="Garamond" w:hAnsi="Garamond"/>
          <w:bCs/>
          <w:lang w:val="fr-FR"/>
        </w:rPr>
        <w:t>.</w:t>
      </w:r>
      <w:r w:rsidR="006F565F">
        <w:rPr>
          <w:rFonts w:ascii="Garamond" w:hAnsi="Garamond"/>
          <w:bCs/>
          <w:lang w:val="fr-FR"/>
        </w:rPr>
        <w:t xml:space="preserve"> Ce processus s’est soldé par l’organisation d’un atelier de </w:t>
      </w:r>
      <w:r w:rsidR="006F565F" w:rsidRPr="006F565F">
        <w:rPr>
          <w:rFonts w:ascii="Garamond" w:hAnsi="Garamond"/>
          <w:bCs/>
          <w:lang w:val="fr-FR"/>
        </w:rPr>
        <w:t>pré-validation de l'arrêté portant création</w:t>
      </w:r>
      <w:r w:rsidR="00433021">
        <w:rPr>
          <w:rFonts w:ascii="Garamond" w:hAnsi="Garamond"/>
          <w:bCs/>
          <w:lang w:val="fr-FR"/>
        </w:rPr>
        <w:t xml:space="preserve"> et</w:t>
      </w:r>
      <w:r w:rsidR="006F565F" w:rsidRPr="006F565F">
        <w:rPr>
          <w:rFonts w:ascii="Garamond" w:hAnsi="Garamond"/>
          <w:bCs/>
          <w:lang w:val="fr-FR"/>
        </w:rPr>
        <w:t xml:space="preserve"> fonctionnement des organes de concertation en matière de </w:t>
      </w:r>
      <w:r w:rsidR="00433021">
        <w:rPr>
          <w:rFonts w:ascii="Garamond" w:hAnsi="Garamond"/>
          <w:bCs/>
          <w:lang w:val="fr-FR"/>
        </w:rPr>
        <w:t>PolProx</w:t>
      </w:r>
      <w:r w:rsidR="006F565F">
        <w:rPr>
          <w:rFonts w:ascii="Garamond" w:hAnsi="Garamond"/>
          <w:bCs/>
          <w:lang w:val="fr-FR"/>
        </w:rPr>
        <w:t xml:space="preserve">. Le projet d’arrêté est </w:t>
      </w:r>
      <w:r w:rsidR="00A91E7E">
        <w:rPr>
          <w:rFonts w:ascii="Garamond" w:hAnsi="Garamond"/>
          <w:bCs/>
          <w:lang w:val="fr-FR"/>
        </w:rPr>
        <w:t>finalisé</w:t>
      </w:r>
      <w:r w:rsidR="00433021">
        <w:rPr>
          <w:rFonts w:ascii="Garamond" w:hAnsi="Garamond"/>
          <w:bCs/>
          <w:lang w:val="fr-FR"/>
        </w:rPr>
        <w:t xml:space="preserve"> ; </w:t>
      </w:r>
      <w:r w:rsidR="006F565F">
        <w:rPr>
          <w:rFonts w:ascii="Garamond" w:hAnsi="Garamond"/>
          <w:bCs/>
          <w:lang w:val="fr-FR"/>
        </w:rPr>
        <w:t>son adoption fut stoppée suite à la propagation de la pandémie du Coronavirus.</w:t>
      </w:r>
    </w:p>
    <w:p w14:paraId="3D790F14" w14:textId="77777777" w:rsidR="0083682D" w:rsidRPr="006F565F" w:rsidRDefault="0083682D" w:rsidP="006F565F">
      <w:pPr>
        <w:ind w:left="-720"/>
        <w:jc w:val="both"/>
        <w:rPr>
          <w:rFonts w:ascii="Garamond" w:hAnsi="Garamond"/>
          <w:bCs/>
          <w:lang w:val="fr-FR"/>
        </w:rPr>
      </w:pPr>
    </w:p>
    <w:p w14:paraId="49439920" w14:textId="3DB0B549" w:rsidR="003E04CE" w:rsidRDefault="00A91E7E" w:rsidP="006F565F">
      <w:pPr>
        <w:ind w:left="-720"/>
        <w:jc w:val="both"/>
        <w:rPr>
          <w:rFonts w:ascii="Garamond" w:hAnsi="Garamond"/>
          <w:bCs/>
          <w:lang w:val="fr-FR"/>
        </w:rPr>
      </w:pPr>
      <w:r>
        <w:rPr>
          <w:rFonts w:ascii="Garamond" w:hAnsi="Garamond"/>
          <w:bCs/>
          <w:lang w:val="fr-FR"/>
        </w:rPr>
        <w:t>L</w:t>
      </w:r>
      <w:r w:rsidR="003E04CE">
        <w:rPr>
          <w:rFonts w:ascii="Garamond" w:hAnsi="Garamond"/>
          <w:bCs/>
          <w:lang w:val="fr-FR"/>
        </w:rPr>
        <w:t xml:space="preserve">e projet a appuyé la tenue de 2 ateliers visant l’élaboration du curriculum de formation en </w:t>
      </w:r>
      <w:r w:rsidR="00433021">
        <w:rPr>
          <w:rFonts w:ascii="Garamond" w:hAnsi="Garamond"/>
          <w:bCs/>
          <w:lang w:val="fr-FR"/>
        </w:rPr>
        <w:t>PolProx</w:t>
      </w:r>
      <w:r w:rsidR="003E04CE">
        <w:rPr>
          <w:rFonts w:ascii="Garamond" w:hAnsi="Garamond"/>
          <w:bCs/>
          <w:lang w:val="fr-FR"/>
        </w:rPr>
        <w:t>.</w:t>
      </w:r>
      <w:r w:rsidR="00174A69">
        <w:rPr>
          <w:rFonts w:ascii="Garamond" w:hAnsi="Garamond"/>
          <w:bCs/>
          <w:lang w:val="fr-FR"/>
        </w:rPr>
        <w:t xml:space="preserve"> Ces ateliers ont permis</w:t>
      </w:r>
      <w:r w:rsidR="00675331">
        <w:rPr>
          <w:rFonts w:ascii="Garamond" w:hAnsi="Garamond"/>
          <w:bCs/>
          <w:lang w:val="fr-FR"/>
        </w:rPr>
        <w:t xml:space="preserve"> de disposer </w:t>
      </w:r>
      <w:r w:rsidR="00433021">
        <w:rPr>
          <w:rFonts w:ascii="Garamond" w:hAnsi="Garamond"/>
          <w:bCs/>
          <w:lang w:val="fr-FR"/>
        </w:rPr>
        <w:t>de 2</w:t>
      </w:r>
      <w:r w:rsidR="00433021" w:rsidRPr="0018321D">
        <w:rPr>
          <w:rFonts w:ascii="Garamond" w:hAnsi="Garamond"/>
          <w:bCs/>
          <w:lang w:val="fr-FR"/>
        </w:rPr>
        <w:t xml:space="preserve"> mallette</w:t>
      </w:r>
      <w:r w:rsidR="00433021">
        <w:rPr>
          <w:rFonts w:ascii="Garamond" w:hAnsi="Garamond"/>
          <w:bCs/>
          <w:lang w:val="fr-FR"/>
        </w:rPr>
        <w:t>s</w:t>
      </w:r>
      <w:r w:rsidR="00433021" w:rsidRPr="0018321D">
        <w:rPr>
          <w:rFonts w:ascii="Garamond" w:hAnsi="Garamond"/>
          <w:bCs/>
          <w:lang w:val="fr-FR"/>
        </w:rPr>
        <w:t xml:space="preserve"> de formation en Police de Proximité </w:t>
      </w:r>
      <w:r w:rsidR="00433021">
        <w:rPr>
          <w:rFonts w:ascii="Garamond" w:hAnsi="Garamond"/>
          <w:bCs/>
          <w:lang w:val="fr-FR"/>
        </w:rPr>
        <w:t>(</w:t>
      </w:r>
      <w:r w:rsidR="00433021" w:rsidRPr="0018321D">
        <w:rPr>
          <w:rFonts w:ascii="Garamond" w:hAnsi="Garamond"/>
          <w:bCs/>
          <w:lang w:val="fr-FR"/>
        </w:rPr>
        <w:t>à l’intention des chefs de service et personnels d’exécution</w:t>
      </w:r>
      <w:r w:rsidR="00433021">
        <w:rPr>
          <w:rFonts w:ascii="Garamond" w:hAnsi="Garamond"/>
          <w:bCs/>
          <w:lang w:val="fr-FR"/>
        </w:rPr>
        <w:t xml:space="preserve">). Le nouveau curriculum </w:t>
      </w:r>
      <w:r w:rsidR="00675331">
        <w:rPr>
          <w:rFonts w:ascii="Garamond" w:hAnsi="Garamond"/>
          <w:bCs/>
          <w:lang w:val="fr-FR"/>
        </w:rPr>
        <w:t>sera dispensé prochainement à l’occasion d’une formation de formateurs avant de faire sa dissémination aux FSI en région</w:t>
      </w:r>
      <w:r>
        <w:rPr>
          <w:rFonts w:ascii="Garamond" w:hAnsi="Garamond"/>
          <w:bCs/>
          <w:lang w:val="fr-FR"/>
        </w:rPr>
        <w:t>s</w:t>
      </w:r>
      <w:r w:rsidR="00675331">
        <w:rPr>
          <w:rFonts w:ascii="Garamond" w:hAnsi="Garamond"/>
          <w:bCs/>
          <w:lang w:val="fr-FR"/>
        </w:rPr>
        <w:t>.</w:t>
      </w:r>
    </w:p>
    <w:p w14:paraId="1CE6B37A" w14:textId="77777777" w:rsidR="0083682D" w:rsidRDefault="0083682D" w:rsidP="006F565F">
      <w:pPr>
        <w:ind w:left="-720"/>
        <w:jc w:val="both"/>
        <w:rPr>
          <w:rFonts w:ascii="Garamond" w:hAnsi="Garamond"/>
          <w:bCs/>
          <w:lang w:val="fr-FR"/>
        </w:rPr>
      </w:pPr>
    </w:p>
    <w:p w14:paraId="56853031" w14:textId="2716729A" w:rsidR="00675507" w:rsidRDefault="00F60934" w:rsidP="006F565F">
      <w:pPr>
        <w:ind w:left="-720"/>
        <w:jc w:val="both"/>
        <w:rPr>
          <w:rFonts w:ascii="Garamond" w:hAnsi="Garamond"/>
          <w:bCs/>
          <w:lang w:val="fr-FR"/>
        </w:rPr>
      </w:pPr>
      <w:r>
        <w:rPr>
          <w:rFonts w:ascii="Garamond" w:hAnsi="Garamond"/>
          <w:bCs/>
          <w:lang w:val="fr-FR"/>
        </w:rPr>
        <w:t xml:space="preserve">Suite à la finalisation de l’état des lieux sur </w:t>
      </w:r>
      <w:r w:rsidRPr="006F565F">
        <w:rPr>
          <w:rFonts w:ascii="Garamond" w:hAnsi="Garamond"/>
          <w:bCs/>
          <w:lang w:val="fr-FR"/>
        </w:rPr>
        <w:t>l’intégration d’une approche basée sur le genre</w:t>
      </w:r>
      <w:r>
        <w:rPr>
          <w:rFonts w:ascii="Garamond" w:hAnsi="Garamond"/>
          <w:bCs/>
          <w:lang w:val="fr-FR"/>
        </w:rPr>
        <w:t xml:space="preserve"> dans les FSI, l</w:t>
      </w:r>
      <w:r w:rsidR="006F565F">
        <w:rPr>
          <w:rFonts w:ascii="Garamond" w:hAnsi="Garamond"/>
          <w:bCs/>
          <w:lang w:val="fr-FR"/>
        </w:rPr>
        <w:t xml:space="preserve">e projet </w:t>
      </w:r>
      <w:r>
        <w:rPr>
          <w:rFonts w:ascii="Garamond" w:hAnsi="Garamond"/>
          <w:bCs/>
          <w:lang w:val="fr-FR"/>
        </w:rPr>
        <w:t xml:space="preserve">va s’atteler sur le développement d’un plan d’action dédié ; </w:t>
      </w:r>
      <w:r w:rsidR="006F565F">
        <w:rPr>
          <w:rFonts w:ascii="Garamond" w:hAnsi="Garamond"/>
          <w:bCs/>
          <w:lang w:val="fr-FR"/>
        </w:rPr>
        <w:t xml:space="preserve">un(e) consultant(e) </w:t>
      </w:r>
      <w:r>
        <w:rPr>
          <w:rFonts w:ascii="Garamond" w:hAnsi="Garamond"/>
          <w:bCs/>
          <w:lang w:val="fr-FR"/>
        </w:rPr>
        <w:t>est en cours de recrutement pour accompagner cette mission</w:t>
      </w:r>
      <w:r w:rsidR="006F565F">
        <w:rPr>
          <w:rFonts w:ascii="Garamond" w:hAnsi="Garamond"/>
          <w:bCs/>
          <w:lang w:val="fr-FR"/>
        </w:rPr>
        <w:t>.</w:t>
      </w:r>
    </w:p>
    <w:p w14:paraId="224DD760" w14:textId="77777777" w:rsidR="0083682D" w:rsidRDefault="0083682D" w:rsidP="006F565F">
      <w:pPr>
        <w:ind w:left="-720"/>
        <w:jc w:val="both"/>
        <w:rPr>
          <w:rFonts w:ascii="Garamond" w:hAnsi="Garamond"/>
          <w:bCs/>
          <w:lang w:val="fr-FR"/>
        </w:rPr>
      </w:pPr>
    </w:p>
    <w:p w14:paraId="18E059E3" w14:textId="5FCB5EAB" w:rsidR="008116A8" w:rsidRDefault="008116A8" w:rsidP="00A91E7E">
      <w:pPr>
        <w:ind w:left="-720"/>
        <w:jc w:val="both"/>
        <w:rPr>
          <w:rFonts w:ascii="Garamond" w:hAnsi="Garamond"/>
          <w:bCs/>
          <w:lang w:val="fr-FR"/>
        </w:rPr>
      </w:pPr>
      <w:r>
        <w:rPr>
          <w:rFonts w:ascii="Garamond" w:hAnsi="Garamond"/>
          <w:bCs/>
          <w:lang w:val="fr-FR"/>
        </w:rPr>
        <w:t>L’appui au Comité de Coordination et Suivi</w:t>
      </w:r>
      <w:r>
        <w:rPr>
          <w:rStyle w:val="FootnoteReference"/>
          <w:rFonts w:ascii="Garamond" w:hAnsi="Garamond"/>
          <w:bCs/>
          <w:lang w:val="fr-FR"/>
        </w:rPr>
        <w:footnoteReference w:id="2"/>
      </w:r>
      <w:r>
        <w:rPr>
          <w:rFonts w:ascii="Garamond" w:hAnsi="Garamond"/>
          <w:bCs/>
          <w:lang w:val="fr-FR"/>
        </w:rPr>
        <w:t xml:space="preserve"> et groupes thématiques</w:t>
      </w:r>
      <w:r>
        <w:rPr>
          <w:rStyle w:val="FootnoteReference"/>
          <w:rFonts w:ascii="Garamond" w:hAnsi="Garamond"/>
          <w:bCs/>
          <w:lang w:val="fr-FR"/>
        </w:rPr>
        <w:footnoteReference w:id="3"/>
      </w:r>
      <w:r>
        <w:rPr>
          <w:rFonts w:ascii="Garamond" w:hAnsi="Garamond"/>
          <w:bCs/>
          <w:lang w:val="fr-FR"/>
        </w:rPr>
        <w:t xml:space="preserve"> s’est traduit </w:t>
      </w:r>
      <w:r w:rsidR="00861E16">
        <w:rPr>
          <w:rFonts w:ascii="Garamond" w:hAnsi="Garamond"/>
          <w:bCs/>
          <w:lang w:val="fr-FR"/>
        </w:rPr>
        <w:t>par deux activités permettant de faciliter la mise en œuvre des différents projets de réforme des FSI. Le projet a appuyé la tenue de la 5</w:t>
      </w:r>
      <w:r w:rsidR="00861E16" w:rsidRPr="00861E16">
        <w:rPr>
          <w:rFonts w:ascii="Garamond" w:hAnsi="Garamond"/>
          <w:bCs/>
          <w:vertAlign w:val="superscript"/>
          <w:lang w:val="fr-FR"/>
        </w:rPr>
        <w:t>ème</w:t>
      </w:r>
      <w:r w:rsidR="00861E16">
        <w:rPr>
          <w:rFonts w:ascii="Garamond" w:hAnsi="Garamond"/>
          <w:bCs/>
          <w:lang w:val="fr-FR"/>
        </w:rPr>
        <w:t xml:space="preserve"> réunion du CCS qui avait pour objectif </w:t>
      </w:r>
      <w:r w:rsidR="00861E16" w:rsidRPr="00861E16">
        <w:rPr>
          <w:rFonts w:ascii="Garamond" w:hAnsi="Garamond"/>
          <w:bCs/>
          <w:lang w:val="fr-FR"/>
        </w:rPr>
        <w:t>d’identifier les priorités et fixer les orientations stratégiques de la réforme des FSI</w:t>
      </w:r>
      <w:r w:rsidR="00A91E7E">
        <w:rPr>
          <w:rFonts w:ascii="Garamond" w:hAnsi="Garamond"/>
          <w:bCs/>
          <w:lang w:val="fr-FR"/>
        </w:rPr>
        <w:t> ; en plus de la</w:t>
      </w:r>
      <w:r w:rsidR="00861E16">
        <w:rPr>
          <w:rFonts w:ascii="Garamond" w:hAnsi="Garamond"/>
          <w:bCs/>
          <w:lang w:val="fr-FR"/>
        </w:rPr>
        <w:t xml:space="preserve"> </w:t>
      </w:r>
      <w:r w:rsidR="00861E16" w:rsidRPr="00861E16">
        <w:rPr>
          <w:rFonts w:ascii="Garamond" w:hAnsi="Garamond"/>
          <w:bCs/>
          <w:lang w:val="fr-FR"/>
        </w:rPr>
        <w:t>formation des membres des groupes thématiques</w:t>
      </w:r>
      <w:r w:rsidR="005A11CC">
        <w:rPr>
          <w:rFonts w:ascii="Garamond" w:hAnsi="Garamond"/>
          <w:bCs/>
          <w:lang w:val="fr-FR"/>
        </w:rPr>
        <w:t xml:space="preserve"> et de l’Unité Mixte de Gestion des Projets (UMGP) </w:t>
      </w:r>
      <w:r w:rsidR="00861E16" w:rsidRPr="00861E16">
        <w:rPr>
          <w:rFonts w:ascii="Garamond" w:hAnsi="Garamond"/>
          <w:bCs/>
          <w:lang w:val="fr-FR"/>
        </w:rPr>
        <w:t>en gestion des projets</w:t>
      </w:r>
      <w:r w:rsidR="00861E16">
        <w:rPr>
          <w:rFonts w:ascii="Garamond" w:hAnsi="Garamond"/>
          <w:bCs/>
          <w:lang w:val="fr-FR"/>
        </w:rPr>
        <w:t xml:space="preserve">. </w:t>
      </w:r>
    </w:p>
    <w:p w14:paraId="1E1DCF88" w14:textId="77777777" w:rsidR="00EA506C" w:rsidRDefault="00EA506C" w:rsidP="00A91E7E">
      <w:pPr>
        <w:ind w:left="-720"/>
        <w:jc w:val="both"/>
        <w:rPr>
          <w:rFonts w:ascii="Garamond" w:hAnsi="Garamond"/>
          <w:bCs/>
          <w:lang w:val="fr-FR"/>
        </w:rPr>
      </w:pPr>
    </w:p>
    <w:p w14:paraId="78AF518B" w14:textId="76D05EF0" w:rsidR="00EA506C" w:rsidRDefault="00EA506C" w:rsidP="00A91E7E">
      <w:pPr>
        <w:ind w:left="-720"/>
        <w:jc w:val="both"/>
        <w:rPr>
          <w:rFonts w:ascii="Garamond" w:hAnsi="Garamond"/>
          <w:bCs/>
          <w:lang w:val="fr-FR"/>
        </w:rPr>
      </w:pPr>
      <w:r>
        <w:rPr>
          <w:rFonts w:ascii="Garamond" w:hAnsi="Garamond"/>
          <w:bCs/>
          <w:lang w:val="fr-FR"/>
        </w:rPr>
        <w:t xml:space="preserve">Avec le retard de la mise en place des USMS et les défis politiques et sécuritaires liés, le choix initial d’appui au déploiement à </w:t>
      </w:r>
      <w:proofErr w:type="spellStart"/>
      <w:r w:rsidRPr="00EA506C">
        <w:rPr>
          <w:rFonts w:ascii="Garamond" w:hAnsi="Garamond"/>
          <w:bCs/>
          <w:lang w:val="fr-FR"/>
        </w:rPr>
        <w:t>Bocaranga</w:t>
      </w:r>
      <w:proofErr w:type="spellEnd"/>
      <w:r w:rsidRPr="00EA506C">
        <w:rPr>
          <w:rFonts w:ascii="Garamond" w:hAnsi="Garamond"/>
          <w:bCs/>
          <w:lang w:val="fr-FR"/>
        </w:rPr>
        <w:t xml:space="preserve">, </w:t>
      </w:r>
      <w:proofErr w:type="spellStart"/>
      <w:r w:rsidRPr="00EA506C">
        <w:rPr>
          <w:rFonts w:ascii="Garamond" w:hAnsi="Garamond"/>
          <w:bCs/>
          <w:lang w:val="fr-FR"/>
        </w:rPr>
        <w:t>Ippy</w:t>
      </w:r>
      <w:proofErr w:type="spellEnd"/>
      <w:r w:rsidRPr="00EA506C">
        <w:rPr>
          <w:rFonts w:ascii="Garamond" w:hAnsi="Garamond"/>
          <w:bCs/>
          <w:lang w:val="fr-FR"/>
        </w:rPr>
        <w:t xml:space="preserve">, Bria et </w:t>
      </w:r>
      <w:proofErr w:type="spellStart"/>
      <w:r w:rsidRPr="00EA506C">
        <w:rPr>
          <w:rFonts w:ascii="Garamond" w:hAnsi="Garamond"/>
          <w:bCs/>
          <w:lang w:val="fr-FR"/>
        </w:rPr>
        <w:t>Kaga-Bandoro</w:t>
      </w:r>
      <w:proofErr w:type="spellEnd"/>
      <w:r>
        <w:rPr>
          <w:rFonts w:ascii="Garamond" w:hAnsi="Garamond"/>
          <w:bCs/>
          <w:lang w:val="fr-FR"/>
        </w:rPr>
        <w:t xml:space="preserve"> a dû être revu</w:t>
      </w:r>
      <w:r>
        <w:rPr>
          <w:rStyle w:val="FootnoteReference"/>
          <w:rFonts w:ascii="Garamond" w:hAnsi="Garamond"/>
          <w:bCs/>
          <w:lang w:val="fr-FR"/>
        </w:rPr>
        <w:footnoteReference w:id="4"/>
      </w:r>
      <w:r>
        <w:rPr>
          <w:rFonts w:ascii="Garamond" w:hAnsi="Garamond"/>
          <w:bCs/>
          <w:lang w:val="fr-FR"/>
        </w:rPr>
        <w:t xml:space="preserve"> à </w:t>
      </w:r>
      <w:r w:rsidRPr="00EA506C">
        <w:rPr>
          <w:rFonts w:ascii="Garamond" w:hAnsi="Garamond"/>
          <w:bCs/>
          <w:lang w:val="fr-FR"/>
        </w:rPr>
        <w:t xml:space="preserve">Bocaranga, Batangafo, </w:t>
      </w:r>
      <w:proofErr w:type="spellStart"/>
      <w:r w:rsidRPr="00EA506C">
        <w:rPr>
          <w:rFonts w:ascii="Garamond" w:hAnsi="Garamond"/>
          <w:bCs/>
          <w:lang w:val="fr-FR"/>
        </w:rPr>
        <w:t>Bozum</w:t>
      </w:r>
      <w:proofErr w:type="spellEnd"/>
      <w:r w:rsidRPr="00EA506C">
        <w:rPr>
          <w:rFonts w:ascii="Garamond" w:hAnsi="Garamond"/>
          <w:bCs/>
          <w:lang w:val="fr-FR"/>
        </w:rPr>
        <w:t xml:space="preserve"> et </w:t>
      </w:r>
      <w:proofErr w:type="spellStart"/>
      <w:r w:rsidRPr="00EA506C">
        <w:rPr>
          <w:rFonts w:ascii="Garamond" w:hAnsi="Garamond"/>
          <w:bCs/>
          <w:lang w:val="fr-FR"/>
        </w:rPr>
        <w:t>Bouca</w:t>
      </w:r>
      <w:proofErr w:type="spellEnd"/>
      <w:r>
        <w:rPr>
          <w:rFonts w:ascii="Garamond" w:hAnsi="Garamond"/>
          <w:bCs/>
          <w:lang w:val="fr-FR"/>
        </w:rPr>
        <w:t xml:space="preserve">, </w:t>
      </w:r>
      <w:proofErr w:type="spellStart"/>
      <w:r>
        <w:rPr>
          <w:rFonts w:ascii="Garamond" w:hAnsi="Garamond"/>
          <w:bCs/>
          <w:lang w:val="fr-FR"/>
        </w:rPr>
        <w:t>Ippy</w:t>
      </w:r>
      <w:proofErr w:type="spellEnd"/>
      <w:r>
        <w:rPr>
          <w:rFonts w:ascii="Garamond" w:hAnsi="Garamond"/>
          <w:bCs/>
          <w:lang w:val="fr-FR"/>
        </w:rPr>
        <w:t xml:space="preserve">, Bria et </w:t>
      </w:r>
      <w:proofErr w:type="spellStart"/>
      <w:r>
        <w:rPr>
          <w:rFonts w:ascii="Garamond" w:hAnsi="Garamond"/>
          <w:bCs/>
          <w:lang w:val="fr-FR"/>
        </w:rPr>
        <w:t>Kaga-Bandoro</w:t>
      </w:r>
      <w:proofErr w:type="spellEnd"/>
      <w:r>
        <w:rPr>
          <w:rFonts w:ascii="Garamond" w:hAnsi="Garamond"/>
          <w:bCs/>
          <w:lang w:val="fr-FR"/>
        </w:rPr>
        <w:t xml:space="preserve"> étant sous contrôle des GA.</w:t>
      </w:r>
    </w:p>
    <w:p w14:paraId="251B695A" w14:textId="77777777" w:rsidR="004F4AE4" w:rsidRPr="006F565F" w:rsidRDefault="004F4AE4" w:rsidP="00EA506C">
      <w:pPr>
        <w:jc w:val="both"/>
        <w:rPr>
          <w:rFonts w:ascii="Garamond" w:hAnsi="Garamond"/>
          <w:bCs/>
          <w:lang w:val="fr-FR"/>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20253AFC" w:rsidR="00675507" w:rsidRPr="00675331" w:rsidRDefault="0050113B" w:rsidP="00DE51B4">
      <w:pPr>
        <w:ind w:left="-720"/>
        <w:jc w:val="both"/>
        <w:rPr>
          <w:b/>
          <w:lang w:val="fr-FR"/>
        </w:rPr>
      </w:pPr>
      <w:r w:rsidRPr="000E6F2A">
        <w:rPr>
          <w:rFonts w:ascii="Garamond" w:hAnsi="Garamond"/>
          <w:bCs/>
          <w:lang w:val="fr-FR"/>
        </w:rPr>
        <w:t>Cf. dans texte ci-dessous sur les efforts spécifiques pour la promotion des femmes dans les FSI ainsi que l’accès des femmes aux services de sécurité.</w:t>
      </w:r>
    </w:p>
    <w:p w14:paraId="74E0D3E8" w14:textId="77777777" w:rsidR="00F5504F" w:rsidRPr="00675331" w:rsidRDefault="00F5504F" w:rsidP="0078600B">
      <w:pPr>
        <w:rPr>
          <w:b/>
          <w:lang w:val="fr-FR"/>
        </w:rPr>
      </w:pPr>
    </w:p>
    <w:p w14:paraId="702E72D3" w14:textId="77777777" w:rsidR="00675507" w:rsidRPr="00675331" w:rsidRDefault="00675507" w:rsidP="0078600B">
      <w:pPr>
        <w:rPr>
          <w:b/>
          <w:lang w:val="fr-FR"/>
        </w:rPr>
      </w:pPr>
    </w:p>
    <w:p w14:paraId="40F7F91F" w14:textId="77777777" w:rsidR="00675507" w:rsidRPr="00675331" w:rsidRDefault="00675507"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75331"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433021"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28CB1795" w:rsidR="00997347" w:rsidRPr="00675331" w:rsidRDefault="00675331" w:rsidP="00234A5E">
            <w:pPr>
              <w:rPr>
                <w:i/>
                <w:lang w:val="fr-FR"/>
              </w:rPr>
            </w:pPr>
            <w:r w:rsidRPr="00675331">
              <w:rPr>
                <w:i/>
                <w:iCs/>
                <w:lang w:val="fr-FR"/>
              </w:rPr>
              <w:t>Sondage de satisfaction auprès de la population sur la confiance</w:t>
            </w:r>
            <w:r>
              <w:rPr>
                <w:i/>
                <w:iCs/>
                <w:lang w:val="fr-FR"/>
              </w:rPr>
              <w:t xml:space="preserve"> dans les FSI.</w:t>
            </w:r>
            <w:r w:rsidR="006C1819" w:rsidRPr="00675331">
              <w:rPr>
                <w:i/>
                <w:lang w:val="fr-FR"/>
              </w:rPr>
              <w:t xml:space="preserve"> </w:t>
            </w:r>
          </w:p>
          <w:p w14:paraId="21BD62AD" w14:textId="77777777" w:rsidR="007118F5" w:rsidRPr="00675331" w:rsidRDefault="007118F5" w:rsidP="00234A5E">
            <w:pPr>
              <w:rPr>
                <w:lang w:val="fr-FR"/>
              </w:rPr>
            </w:pPr>
          </w:p>
        </w:tc>
        <w:tc>
          <w:tcPr>
            <w:tcW w:w="5940" w:type="dxa"/>
            <w:shd w:val="clear" w:color="auto" w:fill="auto"/>
          </w:tcPr>
          <w:p w14:paraId="797F499B" w14:textId="79055B1A"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675331">
              <w:fldChar w:fldCharType="begin">
                <w:ffData>
                  <w:name w:val="Dropdown3"/>
                  <w:enabled/>
                  <w:calcOnExit w:val="0"/>
                  <w:ddList>
                    <w:listEntry w:val="Oui"/>
                    <w:listEntry w:val="Veuillez sélectionner"/>
                    <w:listEntry w:val="Non"/>
                  </w:ddList>
                </w:ffData>
              </w:fldChar>
            </w:r>
            <w:bookmarkStart w:id="11" w:name="Dropdown3"/>
            <w:r w:rsidR="00675331" w:rsidRPr="00D625DA">
              <w:rPr>
                <w:lang w:val="fr-FR"/>
              </w:rPr>
              <w:instrText xml:space="preserve"> FORMDROPDOWN </w:instrText>
            </w:r>
            <w:r w:rsidR="00F7255E">
              <w:fldChar w:fldCharType="separate"/>
            </w:r>
            <w:r w:rsidR="00675331">
              <w:fldChar w:fldCharType="end"/>
            </w:r>
            <w:bookmarkEnd w:id="11"/>
          </w:p>
          <w:p w14:paraId="2337B972" w14:textId="77777777" w:rsidR="007118F5" w:rsidRPr="00675507" w:rsidRDefault="007118F5" w:rsidP="00AD73D3">
            <w:pPr>
              <w:rPr>
                <w:lang w:val="fr-FR"/>
              </w:rPr>
            </w:pPr>
          </w:p>
          <w:p w14:paraId="2BD200E3" w14:textId="504FAD17"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675331">
              <w:fldChar w:fldCharType="begin">
                <w:ffData>
                  <w:name w:val=""/>
                  <w:enabled/>
                  <w:calcOnExit w:val="0"/>
                  <w:ddList>
                    <w:listEntry w:val="Oui"/>
                    <w:listEntry w:val="Veuillez sélectionner"/>
                    <w:listEntry w:val="Non"/>
                  </w:ddList>
                </w:ffData>
              </w:fldChar>
            </w:r>
            <w:r w:rsidR="00675331" w:rsidRPr="00D625DA">
              <w:rPr>
                <w:lang w:val="fr-FR"/>
              </w:rPr>
              <w:instrText xml:space="preserve"> FORMDROPDOWN </w:instrText>
            </w:r>
            <w:r w:rsidR="00F7255E">
              <w:fldChar w:fldCharType="separate"/>
            </w:r>
            <w:r w:rsidR="00675331">
              <w:fldChar w:fldCharType="end"/>
            </w:r>
          </w:p>
        </w:tc>
      </w:tr>
      <w:tr w:rsidR="006C1819" w:rsidRPr="00433021"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11FFC43" w:rsidR="007118F5" w:rsidRPr="00627A1C" w:rsidRDefault="00675331" w:rsidP="007118F5">
            <w:r>
              <w:fldChar w:fldCharType="begin">
                <w:ffData>
                  <w:name w:val=""/>
                  <w:enabled/>
                  <w:calcOnExit w:val="0"/>
                  <w:ddList>
                    <w:listEntry w:val="Non"/>
                    <w:listEntry w:val="Veuillez sélectionner"/>
                    <w:listEntry w:val="Oui"/>
                  </w:ddList>
                </w:ffData>
              </w:fldChar>
            </w:r>
            <w:r>
              <w:instrText xml:space="preserve"> FORMDROPDOWN </w:instrText>
            </w:r>
            <w:r w:rsidR="00F7255E">
              <w:fldChar w:fldCharType="separate"/>
            </w:r>
            <w:r>
              <w:fldChar w:fldCharType="end"/>
            </w:r>
          </w:p>
        </w:tc>
        <w:tc>
          <w:tcPr>
            <w:tcW w:w="5940" w:type="dxa"/>
            <w:shd w:val="clear" w:color="auto" w:fill="auto"/>
          </w:tcPr>
          <w:p w14:paraId="7B8CF898" w14:textId="5EA22417" w:rsidR="006C1819" w:rsidRPr="00675331"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675331">
              <w:rPr>
                <w:lang w:val="fr-FR"/>
              </w:rPr>
              <w:t>45612 USD</w:t>
            </w:r>
          </w:p>
          <w:p w14:paraId="6A29E557" w14:textId="77777777" w:rsidR="004D141E" w:rsidRPr="00675507" w:rsidRDefault="004D141E" w:rsidP="00E76CA1">
            <w:pPr>
              <w:rPr>
                <w:lang w:val="fr-FR"/>
              </w:rPr>
            </w:pPr>
          </w:p>
          <w:p w14:paraId="645019D6" w14:textId="472F10A3" w:rsidR="004D141E" w:rsidRPr="00675331"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675331" w:rsidRPr="00675331">
              <w:rPr>
                <w:lang w:val="fr-FR"/>
              </w:rPr>
              <w:t>E</w:t>
            </w:r>
            <w:r w:rsidR="00675331">
              <w:rPr>
                <w:lang w:val="fr-FR"/>
              </w:rPr>
              <w:t>laboration des TdRs pour le recrutement d’un consultant en cours</w:t>
            </w:r>
            <w:r w:rsidR="00E26D31">
              <w:rPr>
                <w:lang w:val="fr-FR"/>
              </w:rPr>
              <w:t>, seront partagés dès finalisation.</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w:t>
            </w:r>
            <w:r w:rsidRPr="00675507">
              <w:rPr>
                <w:lang w:val="fr-FR"/>
              </w:rPr>
              <w:lastRenderedPageBreak/>
              <w:t xml:space="preserve">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4F549AEE" w:rsidR="00997347" w:rsidRPr="00675331" w:rsidRDefault="00675507" w:rsidP="00156C4C">
            <w:pPr>
              <w:rPr>
                <w:lang w:val="fr-FR"/>
              </w:rPr>
            </w:pPr>
            <w:r w:rsidRPr="00675331">
              <w:rPr>
                <w:lang w:val="fr-FR"/>
              </w:rPr>
              <w:lastRenderedPageBreak/>
              <w:t>Nom de donateur</w:t>
            </w:r>
            <w:r w:rsidR="00156C4C" w:rsidRPr="00675331">
              <w:rPr>
                <w:lang w:val="fr-FR"/>
              </w:rPr>
              <w:t xml:space="preserve">:     </w:t>
            </w:r>
            <w:r w:rsidRPr="00675331">
              <w:rPr>
                <w:lang w:val="fr-FR"/>
              </w:rPr>
              <w:t>Montant ($)</w:t>
            </w:r>
            <w:r w:rsidR="00156C4C" w:rsidRPr="00675331">
              <w:rPr>
                <w:lang w:val="fr-FR"/>
              </w:rPr>
              <w:t>:</w:t>
            </w:r>
          </w:p>
          <w:p w14:paraId="2D07D5B3" w14:textId="4FBE45BB" w:rsidR="00156C4C" w:rsidRPr="00675331" w:rsidRDefault="00675331" w:rsidP="00156C4C">
            <w:pPr>
              <w:rPr>
                <w:lang w:val="fr-FR"/>
              </w:rPr>
            </w:pPr>
            <w:r w:rsidRPr="00675331">
              <w:rPr>
                <w:lang w:val="fr-FR"/>
              </w:rPr>
              <w:t>USA (INL)</w:t>
            </w:r>
            <w:r w:rsidR="00156C4C" w:rsidRPr="00675331">
              <w:rPr>
                <w:lang w:val="fr-FR"/>
              </w:rPr>
              <w:t xml:space="preserve">                          </w:t>
            </w:r>
            <w:r w:rsidRPr="00675331">
              <w:rPr>
                <w:lang w:val="fr-FR"/>
              </w:rPr>
              <w:t>1.8 M$</w:t>
            </w:r>
          </w:p>
          <w:p w14:paraId="209E02B4" w14:textId="77777777" w:rsidR="00156C4C" w:rsidRPr="00675331" w:rsidRDefault="00156C4C" w:rsidP="00156C4C">
            <w:pPr>
              <w:rPr>
                <w:lang w:val="fr-FR"/>
              </w:rPr>
            </w:pPr>
          </w:p>
          <w:p w14:paraId="68DA8296" w14:textId="61B97E5A" w:rsidR="00156C4C" w:rsidRPr="00675331" w:rsidRDefault="00675331" w:rsidP="00156C4C">
            <w:pPr>
              <w:rPr>
                <w:lang w:val="fr-FR"/>
              </w:rPr>
            </w:pPr>
            <w:r w:rsidRPr="00675331">
              <w:rPr>
                <w:lang w:val="fr-FR"/>
              </w:rPr>
              <w:lastRenderedPageBreak/>
              <w:t>USA (INL)</w:t>
            </w:r>
            <w:r w:rsidR="00156C4C" w:rsidRPr="00675331">
              <w:rPr>
                <w:lang w:val="fr-FR"/>
              </w:rPr>
              <w:t xml:space="preserve">                          </w:t>
            </w:r>
            <w:r>
              <w:t>2.7 M$</w:t>
            </w:r>
          </w:p>
          <w:p w14:paraId="21D0B479" w14:textId="77777777" w:rsidR="00156C4C" w:rsidRPr="00675331" w:rsidRDefault="00156C4C" w:rsidP="00156C4C">
            <w:pPr>
              <w:rPr>
                <w:lang w:val="fr-FR"/>
              </w:rPr>
            </w:pPr>
          </w:p>
          <w:p w14:paraId="5EA842B9" w14:textId="77777777" w:rsidR="00156C4C" w:rsidRPr="00627A1C" w:rsidRDefault="00156C4C" w:rsidP="00156C4C">
            <w:r w:rsidRPr="00627A1C">
              <w:fldChar w:fldCharType="begin">
                <w:ffData>
                  <w:name w:val="Text49"/>
                  <w:enabled/>
                  <w:calcOnExit w:val="0"/>
                  <w:textInput/>
                </w:ffData>
              </w:fldChar>
            </w:r>
            <w:bookmarkStart w:id="12"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r w:rsidRPr="00627A1C">
              <w:t xml:space="preserve">                          </w:t>
            </w:r>
            <w:r w:rsidRPr="00627A1C">
              <w:fldChar w:fldCharType="begin">
                <w:ffData>
                  <w:name w:val="Text50"/>
                  <w:enabled/>
                  <w:calcOnExit w:val="0"/>
                  <w:textInput>
                    <w:type w:val="number"/>
                    <w:format w:val="0.00"/>
                  </w:textInput>
                </w:ffData>
              </w:fldChar>
            </w:r>
            <w:bookmarkStart w:id="13"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p>
        </w:tc>
      </w:tr>
      <w:tr w:rsidR="002C187A" w:rsidRPr="00433021"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lastRenderedPageBreak/>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4CE3DE2" w14:textId="77777777" w:rsidR="00C0373E" w:rsidRDefault="00C0373E" w:rsidP="00C0373E">
            <w:pPr>
              <w:jc w:val="both"/>
              <w:rPr>
                <w:rFonts w:ascii="Arial Narrow" w:hAnsi="Arial Narrow"/>
                <w:spacing w:val="-6"/>
                <w:sz w:val="22"/>
                <w:szCs w:val="20"/>
                <w:lang w:val="fr-FR" w:eastAsia="en-US"/>
              </w:rPr>
            </w:pPr>
            <w:r>
              <w:rPr>
                <w:rFonts w:ascii="Arial Narrow" w:hAnsi="Arial Narrow"/>
                <w:spacing w:val="-6"/>
                <w:sz w:val="22"/>
                <w:szCs w:val="20"/>
                <w:lang w:val="fr-FR"/>
              </w:rPr>
              <w:t>Lors de la mise en œuvre du projet, nous avons soulevé les points suivants :</w:t>
            </w:r>
          </w:p>
          <w:p w14:paraId="4728BB8D" w14:textId="77777777" w:rsidR="00C0373E" w:rsidRDefault="00C0373E" w:rsidP="00C0373E">
            <w:pPr>
              <w:ind w:left="720"/>
              <w:jc w:val="both"/>
              <w:rPr>
                <w:rFonts w:ascii="Arial Narrow" w:hAnsi="Arial Narrow"/>
                <w:spacing w:val="-6"/>
                <w:sz w:val="22"/>
                <w:szCs w:val="20"/>
                <w:lang w:val="fr-FR"/>
              </w:rPr>
            </w:pPr>
          </w:p>
          <w:p w14:paraId="00AFEFC3" w14:textId="77777777" w:rsidR="00C0373E" w:rsidRDefault="00C0373E" w:rsidP="00C0373E">
            <w:pPr>
              <w:pStyle w:val="ListParagraph"/>
              <w:numPr>
                <w:ilvl w:val="3"/>
                <w:numId w:val="49"/>
              </w:numPr>
              <w:ind w:left="423"/>
              <w:jc w:val="both"/>
              <w:rPr>
                <w:rFonts w:ascii="Arial Narrow" w:hAnsi="Arial Narrow"/>
                <w:spacing w:val="-6"/>
                <w:sz w:val="20"/>
                <w:szCs w:val="18"/>
                <w:lang w:val="fr-FR"/>
              </w:rPr>
            </w:pPr>
            <w:r>
              <w:rPr>
                <w:rFonts w:ascii="Arial Narrow" w:hAnsi="Arial Narrow"/>
                <w:spacing w:val="-6"/>
                <w:sz w:val="20"/>
                <w:szCs w:val="18"/>
                <w:lang w:val="fr-FR"/>
              </w:rPr>
              <w:t>Toutes les activités prévues dans le cadre de l’output 1 ont été mises en œuvre. Pour la phase restante, le projet aura juste à finaliser un processus d’acquisition des tenues pour les FSI et un atelier de vulgarisation du plan quinquennal de formation.</w:t>
            </w:r>
          </w:p>
          <w:p w14:paraId="788DAFA7" w14:textId="1ED99404" w:rsidR="00C0373E" w:rsidRDefault="00C0373E" w:rsidP="00C0373E">
            <w:pPr>
              <w:pStyle w:val="ListParagraph"/>
              <w:numPr>
                <w:ilvl w:val="3"/>
                <w:numId w:val="49"/>
              </w:numPr>
              <w:ind w:left="423"/>
              <w:jc w:val="both"/>
              <w:rPr>
                <w:rFonts w:ascii="Arial Narrow" w:hAnsi="Arial Narrow"/>
                <w:spacing w:val="-6"/>
                <w:sz w:val="20"/>
                <w:szCs w:val="18"/>
                <w:lang w:val="fr-FR"/>
              </w:rPr>
            </w:pPr>
            <w:r>
              <w:rPr>
                <w:rFonts w:ascii="Arial Narrow" w:hAnsi="Arial Narrow"/>
                <w:spacing w:val="-6"/>
                <w:sz w:val="20"/>
                <w:szCs w:val="18"/>
                <w:lang w:val="fr-FR"/>
              </w:rPr>
              <w:t>Au niveau de l’output 2 (retraités), le paiement des arriérés est déjà fait exceptés pour quelques personnes qui ne se sont jamais présentées. Après budgétisation des activités restantes, nous soulevons que le projet aura un reliquat sur cet output (détails explicités dans une demande d’extension san</w:t>
            </w:r>
            <w:r w:rsidR="00BF24ED">
              <w:rPr>
                <w:rFonts w:ascii="Arial Narrow" w:hAnsi="Arial Narrow"/>
                <w:spacing w:val="-6"/>
                <w:sz w:val="20"/>
                <w:szCs w:val="18"/>
                <w:lang w:val="fr-FR"/>
              </w:rPr>
              <w:t>s</w:t>
            </w:r>
            <w:r>
              <w:rPr>
                <w:rFonts w:ascii="Arial Narrow" w:hAnsi="Arial Narrow"/>
                <w:spacing w:val="-6"/>
                <w:sz w:val="20"/>
                <w:szCs w:val="18"/>
                <w:lang w:val="fr-FR"/>
              </w:rPr>
              <w:t xml:space="preserve"> coût du projet).</w:t>
            </w:r>
          </w:p>
          <w:p w14:paraId="6E989320" w14:textId="47D9616E" w:rsidR="00C0373E" w:rsidRDefault="00C0373E" w:rsidP="00C0373E">
            <w:pPr>
              <w:pStyle w:val="ListParagraph"/>
              <w:numPr>
                <w:ilvl w:val="3"/>
                <w:numId w:val="49"/>
              </w:numPr>
              <w:ind w:left="423"/>
              <w:jc w:val="both"/>
              <w:rPr>
                <w:rFonts w:ascii="Arial Narrow" w:hAnsi="Arial Narrow"/>
                <w:spacing w:val="-6"/>
                <w:sz w:val="20"/>
                <w:szCs w:val="18"/>
                <w:lang w:val="fr-FR"/>
              </w:rPr>
            </w:pPr>
            <w:r>
              <w:rPr>
                <w:rFonts w:ascii="Arial Narrow" w:hAnsi="Arial Narrow"/>
                <w:spacing w:val="-6"/>
                <w:sz w:val="20"/>
                <w:szCs w:val="18"/>
                <w:lang w:val="fr-FR"/>
              </w:rPr>
              <w:t>Au niveau de l’output 3 (communication), après budgétisation des activités restantes en 2020, le projet aurait un reliquat sur cet output.</w:t>
            </w:r>
          </w:p>
          <w:p w14:paraId="6E5128EF" w14:textId="29D9010F" w:rsidR="00C0373E" w:rsidRDefault="00C0373E" w:rsidP="00C0373E">
            <w:pPr>
              <w:pStyle w:val="ListParagraph"/>
              <w:numPr>
                <w:ilvl w:val="3"/>
                <w:numId w:val="49"/>
              </w:numPr>
              <w:ind w:left="423"/>
              <w:jc w:val="both"/>
              <w:rPr>
                <w:rFonts w:ascii="Arial Narrow" w:hAnsi="Arial Narrow"/>
                <w:spacing w:val="-6"/>
                <w:sz w:val="20"/>
                <w:szCs w:val="18"/>
                <w:lang w:val="fr-FR"/>
              </w:rPr>
            </w:pPr>
            <w:r>
              <w:rPr>
                <w:rFonts w:ascii="Arial Narrow" w:hAnsi="Arial Narrow"/>
                <w:spacing w:val="-6"/>
                <w:sz w:val="20"/>
                <w:szCs w:val="18"/>
                <w:lang w:val="fr-FR"/>
              </w:rPr>
              <w:t xml:space="preserve">Au niveau de l’output 4 (redéploiement), le projet connait une difficulté plutôt d’ordre opérationnel </w:t>
            </w:r>
            <w:r w:rsidR="00890A2A">
              <w:rPr>
                <w:rFonts w:ascii="Arial Narrow" w:hAnsi="Arial Narrow"/>
                <w:spacing w:val="-6"/>
                <w:sz w:val="20"/>
                <w:szCs w:val="18"/>
                <w:lang w:val="fr-FR"/>
              </w:rPr>
              <w:t xml:space="preserve">causé par le politique, </w:t>
            </w:r>
            <w:r>
              <w:rPr>
                <w:rFonts w:ascii="Arial Narrow" w:hAnsi="Arial Narrow"/>
                <w:spacing w:val="-6"/>
                <w:sz w:val="20"/>
                <w:szCs w:val="18"/>
                <w:lang w:val="fr-FR"/>
              </w:rPr>
              <w:t xml:space="preserve">qui empêche la mise en œuvre effective du projet. En effet, cet output prévoit l’appui au redéploiement des FSI dans les villes des états-majors des USMS. Cependant, la mise en place de ces USMS connait un retard considérable qui empêche automatiquement la mise en œuvre du projet tel qu’initialement planifiée. Le projet avait initialement arrêté le choix sur les villes de </w:t>
            </w:r>
            <w:proofErr w:type="spellStart"/>
            <w:r>
              <w:rPr>
                <w:rFonts w:ascii="Arial Narrow" w:hAnsi="Arial Narrow"/>
                <w:spacing w:val="-6"/>
                <w:sz w:val="20"/>
                <w:szCs w:val="18"/>
                <w:lang w:val="fr-FR"/>
              </w:rPr>
              <w:t>Bocaranga</w:t>
            </w:r>
            <w:proofErr w:type="spellEnd"/>
            <w:r>
              <w:rPr>
                <w:rFonts w:ascii="Arial Narrow" w:hAnsi="Arial Narrow"/>
                <w:spacing w:val="-6"/>
                <w:sz w:val="20"/>
                <w:szCs w:val="18"/>
                <w:lang w:val="fr-FR"/>
              </w:rPr>
              <w:t xml:space="preserve">, </w:t>
            </w:r>
            <w:proofErr w:type="spellStart"/>
            <w:r>
              <w:rPr>
                <w:rFonts w:ascii="Arial Narrow" w:hAnsi="Arial Narrow"/>
                <w:spacing w:val="-6"/>
                <w:sz w:val="20"/>
                <w:szCs w:val="18"/>
                <w:lang w:val="fr-FR"/>
              </w:rPr>
              <w:t>Ippy</w:t>
            </w:r>
            <w:proofErr w:type="spellEnd"/>
            <w:r>
              <w:rPr>
                <w:rFonts w:ascii="Arial Narrow" w:hAnsi="Arial Narrow"/>
                <w:spacing w:val="-6"/>
                <w:sz w:val="20"/>
                <w:szCs w:val="18"/>
                <w:lang w:val="fr-FR"/>
              </w:rPr>
              <w:t xml:space="preserve">, Bria et </w:t>
            </w:r>
            <w:proofErr w:type="spellStart"/>
            <w:r>
              <w:rPr>
                <w:rFonts w:ascii="Arial Narrow" w:hAnsi="Arial Narrow"/>
                <w:spacing w:val="-6"/>
                <w:sz w:val="20"/>
                <w:szCs w:val="18"/>
                <w:lang w:val="fr-FR"/>
              </w:rPr>
              <w:t>Kaga-Bandoro</w:t>
            </w:r>
            <w:proofErr w:type="spellEnd"/>
            <w:r>
              <w:rPr>
                <w:rFonts w:ascii="Arial Narrow" w:hAnsi="Arial Narrow"/>
                <w:spacing w:val="-6"/>
                <w:sz w:val="20"/>
                <w:szCs w:val="18"/>
                <w:lang w:val="fr-FR"/>
              </w:rPr>
              <w:t>.</w:t>
            </w:r>
          </w:p>
          <w:p w14:paraId="15738BDF" w14:textId="29B3606D" w:rsidR="00C0373E" w:rsidRDefault="00C0373E" w:rsidP="00C0373E">
            <w:pPr>
              <w:pStyle w:val="ListParagraph"/>
              <w:ind w:left="423"/>
              <w:jc w:val="both"/>
              <w:rPr>
                <w:rFonts w:ascii="Arial Narrow" w:hAnsi="Arial Narrow"/>
                <w:spacing w:val="-6"/>
                <w:sz w:val="20"/>
                <w:szCs w:val="18"/>
                <w:lang w:val="fr-FR"/>
              </w:rPr>
            </w:pPr>
            <w:r>
              <w:rPr>
                <w:rFonts w:ascii="Arial Narrow" w:hAnsi="Arial Narrow"/>
                <w:spacing w:val="-6"/>
                <w:sz w:val="20"/>
                <w:szCs w:val="18"/>
                <w:lang w:val="fr-FR"/>
              </w:rPr>
              <w:t>Lors d’une mission d’identification des besoins, l’équipe a rencontré certaines difficultés notamment celles liées à la présence des groupes armés dans ces villes. L’équipe de la mission (PNUD, UNPOL et partie nationale) a recommandé la délocalisation de cet appui vu le risque que présente un investissement dans ces villes qui demeurent entièrement contrôlées par les GA (en l’absence des USMS initialement prévues).</w:t>
            </w:r>
          </w:p>
          <w:p w14:paraId="6186EC85" w14:textId="0279A217" w:rsidR="00C0373E" w:rsidRDefault="00C0373E" w:rsidP="00C0373E">
            <w:pPr>
              <w:pStyle w:val="ListParagraph"/>
              <w:ind w:left="423"/>
              <w:jc w:val="both"/>
              <w:rPr>
                <w:rFonts w:ascii="Arial Narrow" w:hAnsi="Arial Narrow"/>
                <w:spacing w:val="-6"/>
                <w:sz w:val="20"/>
                <w:szCs w:val="18"/>
                <w:lang w:val="fr-FR"/>
              </w:rPr>
            </w:pPr>
            <w:r>
              <w:rPr>
                <w:rFonts w:ascii="Arial Narrow" w:hAnsi="Arial Narrow"/>
                <w:spacing w:val="-6"/>
                <w:sz w:val="20"/>
                <w:szCs w:val="18"/>
                <w:lang w:val="fr-FR"/>
              </w:rPr>
              <w:t xml:space="preserve">Le projet </w:t>
            </w:r>
            <w:r w:rsidR="00E26D31">
              <w:rPr>
                <w:rFonts w:ascii="Arial Narrow" w:hAnsi="Arial Narrow"/>
                <w:spacing w:val="-6"/>
                <w:sz w:val="20"/>
                <w:szCs w:val="18"/>
                <w:lang w:val="fr-FR"/>
              </w:rPr>
              <w:t>est en train de formaliser la</w:t>
            </w:r>
            <w:r>
              <w:rPr>
                <w:rFonts w:ascii="Arial Narrow" w:hAnsi="Arial Narrow"/>
                <w:spacing w:val="-6"/>
                <w:sz w:val="20"/>
                <w:szCs w:val="18"/>
                <w:lang w:val="fr-FR"/>
              </w:rPr>
              <w:t xml:space="preserve"> demande de réorientation de l’output 4 du projet qui prévoit de ne plus s’aligner sur la mise en place des USMS et ainsi valider le choix des villes de Bocaranga, Batangafo, Bozum et Bouca, en se focalisant exclusivement sur le redéploiement des FSI. Le reliquat du budget prévu pour des activités de renforcement de capacités liées aux USMS sera rajouté au montant initialement prévu pour les travaux de réhabilitation et équipement des commissariats de police et brigades de gendarmerie.</w:t>
            </w:r>
          </w:p>
          <w:p w14:paraId="3A9C51D6" w14:textId="77777777" w:rsidR="00C0373E" w:rsidRDefault="00C0373E" w:rsidP="00C0373E">
            <w:pPr>
              <w:pStyle w:val="ListParagraph"/>
              <w:ind w:left="1560"/>
              <w:jc w:val="both"/>
              <w:rPr>
                <w:rFonts w:ascii="Arial Narrow" w:hAnsi="Arial Narrow"/>
                <w:spacing w:val="-6"/>
                <w:sz w:val="20"/>
                <w:szCs w:val="18"/>
                <w:lang w:val="fr-FR"/>
              </w:rPr>
            </w:pPr>
          </w:p>
          <w:p w14:paraId="751DF2B6" w14:textId="77777777" w:rsidR="002C187A" w:rsidRDefault="00675331" w:rsidP="00C0373E">
            <w:pPr>
              <w:jc w:val="both"/>
              <w:rPr>
                <w:rFonts w:ascii="Arial Narrow" w:hAnsi="Arial Narrow"/>
                <w:spacing w:val="-6"/>
                <w:sz w:val="22"/>
                <w:szCs w:val="20"/>
                <w:lang w:val="fr-FR"/>
              </w:rPr>
            </w:pPr>
            <w:r w:rsidRPr="00C0373E">
              <w:rPr>
                <w:rFonts w:ascii="Arial Narrow" w:hAnsi="Arial Narrow"/>
                <w:spacing w:val="-6"/>
                <w:sz w:val="22"/>
                <w:szCs w:val="20"/>
                <w:lang w:val="fr-FR"/>
              </w:rPr>
              <w:t>Dans le contexte de la pandémie du COVID-19, les voyages à l’intérieur du pays et les grands groupements de personnes sont déconseillés voire interdits par le Président, et des restrictions ont été imposées aux staffs des Nations Unies. Certaines activités se sont par conséquent retrouvées quasiment à l’arrêt, du moins celles liées au renforcement des capacités de la partie nationale. La majorité des activités qui restaient à mettre en œuvre concernaient l’appui au redéploiement des FSI en régions (Bocaranga, Batangafo, Bozum et Bouca).</w:t>
            </w:r>
          </w:p>
          <w:p w14:paraId="0F0CA568" w14:textId="77777777" w:rsidR="002822E9" w:rsidRDefault="002822E9" w:rsidP="00C0373E">
            <w:pPr>
              <w:jc w:val="both"/>
              <w:rPr>
                <w:rFonts w:ascii="Arial Narrow" w:hAnsi="Arial Narrow"/>
                <w:spacing w:val="-6"/>
                <w:sz w:val="22"/>
                <w:lang w:val="fr-FR"/>
              </w:rPr>
            </w:pPr>
          </w:p>
          <w:p w14:paraId="4187770E" w14:textId="0427BDC5" w:rsidR="002822E9" w:rsidRPr="00675331" w:rsidRDefault="002822E9" w:rsidP="00C0373E">
            <w:pPr>
              <w:jc w:val="both"/>
              <w:rPr>
                <w:lang w:val="fr-FR"/>
              </w:rPr>
            </w:pPr>
            <w:r>
              <w:rPr>
                <w:rFonts w:ascii="Arial Narrow" w:hAnsi="Arial Narrow"/>
                <w:spacing w:val="-6"/>
                <w:sz w:val="22"/>
                <w:lang w:val="fr-FR"/>
              </w:rPr>
              <w:t xml:space="preserve">Suite à cette situation, le PNUD a soumis une demande d’extension sans coût additionnel du projet jusqu’au </w:t>
            </w:r>
            <w:r w:rsidR="00707B5A">
              <w:rPr>
                <w:rFonts w:ascii="Arial Narrow" w:hAnsi="Arial Narrow"/>
                <w:spacing w:val="-6"/>
                <w:sz w:val="22"/>
                <w:lang w:val="fr-FR"/>
              </w:rPr>
              <w:t xml:space="preserve">15 </w:t>
            </w:r>
            <w:r>
              <w:rPr>
                <w:rFonts w:ascii="Arial Narrow" w:hAnsi="Arial Narrow"/>
                <w:spacing w:val="-6"/>
                <w:sz w:val="22"/>
                <w:lang w:val="fr-FR"/>
              </w:rPr>
              <w:t>décembre 2020 au lieu de juin 2020 (6 mois additionnels).</w:t>
            </w:r>
          </w:p>
        </w:tc>
      </w:tr>
    </w:tbl>
    <w:p w14:paraId="682EBE58" w14:textId="77777777" w:rsidR="00673D6E" w:rsidRPr="00675331" w:rsidRDefault="00673D6E" w:rsidP="00E76CA1">
      <w:pPr>
        <w:rPr>
          <w:b/>
          <w:lang w:val="fr-FR"/>
        </w:rPr>
      </w:pPr>
    </w:p>
    <w:p w14:paraId="64491D11" w14:textId="77777777" w:rsidR="00673D6E" w:rsidRPr="00675331" w:rsidRDefault="00673D6E" w:rsidP="00411A5F">
      <w:pPr>
        <w:rPr>
          <w:lang w:val="fr-FR"/>
        </w:rPr>
      </w:pPr>
    </w:p>
    <w:p w14:paraId="63ED12FA" w14:textId="77777777" w:rsidR="004E3B3E" w:rsidRPr="00675331" w:rsidRDefault="004E3B3E" w:rsidP="0078600B">
      <w:pPr>
        <w:rPr>
          <w:lang w:val="fr-FR"/>
        </w:rPr>
        <w:sectPr w:rsidR="004E3B3E" w:rsidRPr="00675331" w:rsidSect="0078600B">
          <w:pgSz w:w="11906" w:h="16838"/>
          <w:pgMar w:top="1440" w:right="1800" w:bottom="1440" w:left="1800" w:header="720" w:footer="720" w:gutter="0"/>
          <w:cols w:space="720"/>
          <w:docGrid w:linePitch="360"/>
        </w:sectPr>
      </w:pPr>
    </w:p>
    <w:p w14:paraId="18FE000D"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2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268"/>
        <w:gridCol w:w="1843"/>
        <w:gridCol w:w="1843"/>
        <w:gridCol w:w="1984"/>
        <w:gridCol w:w="2693"/>
        <w:gridCol w:w="2399"/>
      </w:tblGrid>
      <w:tr w:rsidR="00826923" w:rsidRPr="00433021" w14:paraId="55AC7DE0" w14:textId="77777777" w:rsidTr="00B30A2D">
        <w:trPr>
          <w:tblHeader/>
        </w:trPr>
        <w:tc>
          <w:tcPr>
            <w:tcW w:w="2269" w:type="dxa"/>
            <w:vAlign w:val="center"/>
          </w:tcPr>
          <w:p w14:paraId="17B19ECD" w14:textId="77777777" w:rsidR="00826923" w:rsidRPr="00B30A2D" w:rsidRDefault="00826923" w:rsidP="00B30A2D">
            <w:pPr>
              <w:jc w:val="center"/>
              <w:rPr>
                <w:rFonts w:cs="Tahoma"/>
                <w:b/>
                <w:sz w:val="18"/>
                <w:szCs w:val="14"/>
                <w:lang w:val="fr-FR" w:eastAsia="en-US"/>
              </w:rPr>
            </w:pPr>
          </w:p>
        </w:tc>
        <w:tc>
          <w:tcPr>
            <w:tcW w:w="2268" w:type="dxa"/>
            <w:shd w:val="clear" w:color="auto" w:fill="EEECE1"/>
            <w:vAlign w:val="center"/>
          </w:tcPr>
          <w:p w14:paraId="1425E9C7" w14:textId="77777777" w:rsidR="00826923" w:rsidRPr="00B30A2D" w:rsidRDefault="00826923" w:rsidP="00B30A2D">
            <w:pPr>
              <w:jc w:val="center"/>
              <w:rPr>
                <w:rFonts w:cs="Tahoma"/>
                <w:b/>
                <w:sz w:val="18"/>
                <w:szCs w:val="14"/>
                <w:lang w:val="fr-FR" w:eastAsia="en-US"/>
              </w:rPr>
            </w:pPr>
            <w:r w:rsidRPr="00B30A2D">
              <w:rPr>
                <w:rFonts w:cs="Tahoma"/>
                <w:b/>
                <w:sz w:val="18"/>
                <w:szCs w:val="14"/>
                <w:lang w:val="fr-FR" w:eastAsia="en-US"/>
              </w:rPr>
              <w:t>Indicateurs</w:t>
            </w:r>
          </w:p>
        </w:tc>
        <w:tc>
          <w:tcPr>
            <w:tcW w:w="1843" w:type="dxa"/>
            <w:shd w:val="clear" w:color="auto" w:fill="EEECE1"/>
            <w:vAlign w:val="center"/>
          </w:tcPr>
          <w:p w14:paraId="0D863FD4" w14:textId="4D69D825" w:rsidR="00826923" w:rsidRPr="00B30A2D" w:rsidRDefault="00826923" w:rsidP="00B30A2D">
            <w:pPr>
              <w:jc w:val="center"/>
              <w:rPr>
                <w:rFonts w:cs="Tahoma"/>
                <w:b/>
                <w:sz w:val="18"/>
                <w:szCs w:val="14"/>
                <w:lang w:val="fr-FR" w:eastAsia="en-US"/>
              </w:rPr>
            </w:pPr>
            <w:r w:rsidRPr="00B30A2D">
              <w:rPr>
                <w:rFonts w:cs="Tahoma"/>
                <w:b/>
                <w:sz w:val="18"/>
                <w:szCs w:val="14"/>
                <w:lang w:val="fr-FR" w:eastAsia="en-US"/>
              </w:rPr>
              <w:t xml:space="preserve">Base de </w:t>
            </w:r>
            <w:r w:rsidR="00132068" w:rsidRPr="00B30A2D">
              <w:rPr>
                <w:rFonts w:cs="Tahoma"/>
                <w:b/>
                <w:sz w:val="18"/>
                <w:szCs w:val="14"/>
                <w:lang w:val="fr-FR" w:eastAsia="en-US"/>
              </w:rPr>
              <w:t>données</w:t>
            </w:r>
          </w:p>
        </w:tc>
        <w:tc>
          <w:tcPr>
            <w:tcW w:w="1843" w:type="dxa"/>
            <w:shd w:val="clear" w:color="auto" w:fill="EEECE1"/>
            <w:vAlign w:val="center"/>
          </w:tcPr>
          <w:p w14:paraId="724B54E5" w14:textId="77777777" w:rsidR="00826923" w:rsidRPr="00B30A2D" w:rsidRDefault="00826923" w:rsidP="00B30A2D">
            <w:pPr>
              <w:jc w:val="center"/>
              <w:rPr>
                <w:rFonts w:cs="Tahoma"/>
                <w:b/>
                <w:sz w:val="18"/>
                <w:szCs w:val="14"/>
                <w:lang w:val="fr-FR" w:eastAsia="en-US"/>
              </w:rPr>
            </w:pPr>
            <w:r w:rsidRPr="00B30A2D">
              <w:rPr>
                <w:rFonts w:cs="Tahoma"/>
                <w:b/>
                <w:sz w:val="18"/>
                <w:szCs w:val="14"/>
                <w:lang w:val="fr-FR" w:eastAsia="en-US"/>
              </w:rPr>
              <w:t>Cible de fin de projet</w:t>
            </w:r>
          </w:p>
        </w:tc>
        <w:tc>
          <w:tcPr>
            <w:tcW w:w="1984" w:type="dxa"/>
            <w:vAlign w:val="center"/>
          </w:tcPr>
          <w:p w14:paraId="4F04CDD3" w14:textId="77777777" w:rsidR="00826923" w:rsidRPr="00B30A2D" w:rsidRDefault="00826923" w:rsidP="00B30A2D">
            <w:pPr>
              <w:jc w:val="center"/>
              <w:rPr>
                <w:rFonts w:cs="Tahoma"/>
                <w:b/>
                <w:sz w:val="18"/>
                <w:szCs w:val="14"/>
                <w:lang w:val="fr-FR" w:eastAsia="en-US"/>
              </w:rPr>
            </w:pPr>
            <w:r w:rsidRPr="00B30A2D">
              <w:rPr>
                <w:rFonts w:cs="Tahoma"/>
                <w:b/>
                <w:sz w:val="18"/>
                <w:szCs w:val="14"/>
                <w:lang w:val="fr-FR" w:eastAsia="en-US"/>
              </w:rPr>
              <w:t xml:space="preserve">Etapes d’indicateur/ </w:t>
            </w:r>
            <w:proofErr w:type="spellStart"/>
            <w:r w:rsidRPr="00B30A2D">
              <w:rPr>
                <w:rFonts w:cs="Tahoma"/>
                <w:b/>
                <w:sz w:val="18"/>
                <w:szCs w:val="14"/>
                <w:lang w:val="fr-FR" w:eastAsia="en-US"/>
              </w:rPr>
              <w:t>milestone</w:t>
            </w:r>
            <w:proofErr w:type="spellEnd"/>
          </w:p>
        </w:tc>
        <w:tc>
          <w:tcPr>
            <w:tcW w:w="2693" w:type="dxa"/>
            <w:vAlign w:val="center"/>
          </w:tcPr>
          <w:p w14:paraId="06590294" w14:textId="77777777" w:rsidR="00826923" w:rsidRPr="00B30A2D" w:rsidRDefault="00826923" w:rsidP="00B30A2D">
            <w:pPr>
              <w:jc w:val="center"/>
              <w:rPr>
                <w:rFonts w:cs="Tahoma"/>
                <w:b/>
                <w:sz w:val="18"/>
                <w:szCs w:val="14"/>
                <w:lang w:val="fr-FR" w:eastAsia="en-US"/>
              </w:rPr>
            </w:pPr>
            <w:r w:rsidRPr="00B30A2D">
              <w:rPr>
                <w:rFonts w:cs="Tahoma"/>
                <w:b/>
                <w:sz w:val="18"/>
                <w:szCs w:val="14"/>
                <w:lang w:val="fr-FR" w:eastAsia="en-US"/>
              </w:rPr>
              <w:t>Progrès actuel de l’indicateur</w:t>
            </w:r>
          </w:p>
        </w:tc>
        <w:tc>
          <w:tcPr>
            <w:tcW w:w="2399" w:type="dxa"/>
            <w:vAlign w:val="center"/>
          </w:tcPr>
          <w:p w14:paraId="1FC4A2F6" w14:textId="77777777" w:rsidR="00826923" w:rsidRPr="00B30A2D" w:rsidRDefault="00826923" w:rsidP="00B30A2D">
            <w:pPr>
              <w:jc w:val="center"/>
              <w:rPr>
                <w:rFonts w:cs="Tahoma"/>
                <w:b/>
                <w:sz w:val="18"/>
                <w:szCs w:val="14"/>
                <w:lang w:val="fr-FR" w:eastAsia="en-US"/>
              </w:rPr>
            </w:pPr>
            <w:r w:rsidRPr="00B30A2D">
              <w:rPr>
                <w:rFonts w:cs="Tahoma"/>
                <w:b/>
                <w:sz w:val="18"/>
                <w:szCs w:val="14"/>
                <w:lang w:val="fr-FR" w:eastAsia="en-US"/>
              </w:rPr>
              <w:t>Raisons pour les retards ou changements</w:t>
            </w:r>
          </w:p>
        </w:tc>
      </w:tr>
      <w:tr w:rsidR="00826923" w:rsidRPr="00433021" w14:paraId="66F874FD" w14:textId="77777777" w:rsidTr="00132068">
        <w:trPr>
          <w:trHeight w:val="548"/>
        </w:trPr>
        <w:tc>
          <w:tcPr>
            <w:tcW w:w="2269" w:type="dxa"/>
          </w:tcPr>
          <w:p w14:paraId="5565D14A" w14:textId="77777777" w:rsidR="00826923" w:rsidRPr="00B30A2D" w:rsidRDefault="00826923" w:rsidP="00826923">
            <w:pPr>
              <w:rPr>
                <w:rFonts w:cs="Tahoma"/>
                <w:b/>
                <w:sz w:val="18"/>
                <w:szCs w:val="14"/>
                <w:lang w:val="fr-FR" w:eastAsia="en-US"/>
              </w:rPr>
            </w:pPr>
            <w:r w:rsidRPr="00B30A2D">
              <w:rPr>
                <w:rFonts w:cs="Tahoma"/>
                <w:b/>
                <w:sz w:val="18"/>
                <w:szCs w:val="14"/>
                <w:lang w:val="fr-FR" w:eastAsia="en-US"/>
              </w:rPr>
              <w:t>Résultat 1</w:t>
            </w:r>
          </w:p>
          <w:p w14:paraId="3E1AF8B2" w14:textId="1AC32ACB" w:rsidR="00826923" w:rsidRPr="00B30A2D" w:rsidRDefault="00C0373E" w:rsidP="00826923">
            <w:pPr>
              <w:rPr>
                <w:rFonts w:cs="Tahoma"/>
                <w:b/>
                <w:bCs/>
                <w:sz w:val="18"/>
                <w:szCs w:val="14"/>
                <w:lang w:val="fr-FR" w:eastAsia="en-US"/>
              </w:rPr>
            </w:pPr>
            <w:r w:rsidRPr="00B30A2D">
              <w:rPr>
                <w:b/>
                <w:bCs/>
                <w:sz w:val="18"/>
                <w:szCs w:val="14"/>
                <w:lang w:val="fr-FR" w:eastAsia="en-US"/>
              </w:rPr>
              <w:t>La sécurité et la stabilité sont améliorées à travers le déploiement de 500 policiers et gendarmes</w:t>
            </w:r>
          </w:p>
        </w:tc>
        <w:tc>
          <w:tcPr>
            <w:tcW w:w="2268" w:type="dxa"/>
            <w:shd w:val="clear" w:color="auto" w:fill="EEECE1"/>
          </w:tcPr>
          <w:p w14:paraId="2BC3A553" w14:textId="780F4003" w:rsidR="00826923" w:rsidRPr="00B30A2D" w:rsidRDefault="00826923" w:rsidP="00826923">
            <w:pPr>
              <w:jc w:val="both"/>
              <w:rPr>
                <w:rFonts w:cs="Tahoma"/>
                <w:sz w:val="18"/>
                <w:szCs w:val="14"/>
                <w:highlight w:val="yellow"/>
                <w:lang w:val="fr-FR" w:eastAsia="en-US"/>
              </w:rPr>
            </w:pPr>
            <w:r w:rsidRPr="00B30A2D">
              <w:rPr>
                <w:rFonts w:cs="Tahoma"/>
                <w:sz w:val="18"/>
                <w:szCs w:val="14"/>
                <w:highlight w:val="yellow"/>
                <w:lang w:val="fr-FR" w:eastAsia="en-US"/>
              </w:rPr>
              <w:t>Indicateur 1.1</w:t>
            </w:r>
            <w:r w:rsidR="00650C4A" w:rsidRPr="00B30A2D">
              <w:rPr>
                <w:rFonts w:cs="Tahoma"/>
                <w:sz w:val="18"/>
                <w:szCs w:val="14"/>
                <w:highlight w:val="yellow"/>
                <w:lang w:val="fr-FR" w:eastAsia="en-US"/>
              </w:rPr>
              <w:t xml:space="preserve"> (Nouveau)</w:t>
            </w:r>
          </w:p>
          <w:p w14:paraId="74C12BA8" w14:textId="77777777" w:rsidR="00C64DDC" w:rsidRPr="00B30A2D" w:rsidRDefault="00AC0FA8" w:rsidP="00826923">
            <w:pPr>
              <w:jc w:val="both"/>
              <w:rPr>
                <w:sz w:val="18"/>
                <w:szCs w:val="14"/>
                <w:highlight w:val="yellow"/>
                <w:lang w:val="fr-FR" w:eastAsia="en-US"/>
              </w:rPr>
            </w:pPr>
            <w:r w:rsidRPr="00B30A2D">
              <w:rPr>
                <w:sz w:val="18"/>
                <w:szCs w:val="14"/>
                <w:highlight w:val="yellow"/>
                <w:lang w:val="fr-FR" w:eastAsia="en-US"/>
              </w:rPr>
              <w:t>Amélioration du sentiment de sécurité suite au déploiement des 500 nouvelles recrues</w:t>
            </w:r>
          </w:p>
          <w:p w14:paraId="00878610" w14:textId="1A85B4D5" w:rsidR="00C64DDC" w:rsidRPr="00B30A2D" w:rsidRDefault="00C64DDC" w:rsidP="00826923">
            <w:pPr>
              <w:jc w:val="both"/>
              <w:rPr>
                <w:sz w:val="18"/>
                <w:szCs w:val="14"/>
                <w:highlight w:val="yellow"/>
                <w:lang w:val="fr-FR" w:eastAsia="en-US"/>
              </w:rPr>
            </w:pPr>
          </w:p>
          <w:p w14:paraId="16771CA2" w14:textId="77777777" w:rsidR="00650C4A" w:rsidRPr="00B30A2D" w:rsidRDefault="00650C4A" w:rsidP="00826923">
            <w:pPr>
              <w:jc w:val="both"/>
              <w:rPr>
                <w:sz w:val="18"/>
                <w:szCs w:val="14"/>
                <w:highlight w:val="yellow"/>
                <w:lang w:val="fr-FR" w:eastAsia="en-US"/>
              </w:rPr>
            </w:pPr>
          </w:p>
          <w:p w14:paraId="6B41F374" w14:textId="77777777" w:rsidR="00C64DDC" w:rsidRPr="00B30A2D" w:rsidRDefault="00C64DDC" w:rsidP="00826923">
            <w:pPr>
              <w:jc w:val="both"/>
              <w:rPr>
                <w:sz w:val="18"/>
                <w:szCs w:val="14"/>
                <w:lang w:val="fr-FR" w:eastAsia="en-US"/>
              </w:rPr>
            </w:pPr>
            <w:r w:rsidRPr="00B30A2D">
              <w:rPr>
                <w:sz w:val="18"/>
                <w:szCs w:val="14"/>
                <w:lang w:val="fr-FR" w:eastAsia="en-US"/>
              </w:rPr>
              <w:t>Ancien Indicateur :</w:t>
            </w:r>
          </w:p>
          <w:p w14:paraId="0BAA20C5" w14:textId="59108EC5" w:rsidR="00826923" w:rsidRPr="00B30A2D" w:rsidRDefault="00C0373E" w:rsidP="00826923">
            <w:pPr>
              <w:jc w:val="both"/>
              <w:rPr>
                <w:rFonts w:cs="Tahoma"/>
                <w:strike/>
                <w:sz w:val="18"/>
                <w:szCs w:val="14"/>
                <w:highlight w:val="yellow"/>
                <w:lang w:val="fr-FR" w:eastAsia="en-US"/>
              </w:rPr>
            </w:pPr>
            <w:r w:rsidRPr="00B30A2D">
              <w:rPr>
                <w:strike/>
                <w:sz w:val="18"/>
                <w:szCs w:val="14"/>
                <w:lang w:val="fr-FR" w:eastAsia="en-US"/>
              </w:rPr>
              <w:t xml:space="preserve">Niveau d’amélioration de sécurité dans les zones de déploiement </w:t>
            </w:r>
            <w:r w:rsidR="00132068" w:rsidRPr="00B30A2D">
              <w:rPr>
                <w:strike/>
                <w:sz w:val="18"/>
                <w:szCs w:val="14"/>
                <w:lang w:val="fr-FR" w:eastAsia="en-US"/>
              </w:rPr>
              <w:t>des 500</w:t>
            </w:r>
            <w:r w:rsidRPr="00B30A2D">
              <w:rPr>
                <w:strike/>
                <w:sz w:val="18"/>
                <w:szCs w:val="14"/>
                <w:lang w:val="fr-FR" w:eastAsia="en-US"/>
              </w:rPr>
              <w:t xml:space="preserve"> recrues</w:t>
            </w:r>
          </w:p>
        </w:tc>
        <w:tc>
          <w:tcPr>
            <w:tcW w:w="1843" w:type="dxa"/>
            <w:shd w:val="clear" w:color="auto" w:fill="EEECE1"/>
          </w:tcPr>
          <w:p w14:paraId="7178EEF1" w14:textId="77777777" w:rsidR="00C64DDC" w:rsidRPr="00B30A2D" w:rsidRDefault="00C64DDC" w:rsidP="00826923">
            <w:pPr>
              <w:rPr>
                <w:rFonts w:cs="Tahoma"/>
                <w:sz w:val="18"/>
                <w:szCs w:val="14"/>
                <w:highlight w:val="yellow"/>
                <w:lang w:val="fr-FR" w:eastAsia="en-US"/>
              </w:rPr>
            </w:pPr>
          </w:p>
          <w:p w14:paraId="2E1E05CE" w14:textId="557480AA" w:rsidR="00AC0FA8" w:rsidRPr="00B30A2D" w:rsidRDefault="00AC0FA8" w:rsidP="00826923">
            <w:pPr>
              <w:rPr>
                <w:rFonts w:cs="Tahoma"/>
                <w:sz w:val="18"/>
                <w:szCs w:val="14"/>
                <w:highlight w:val="yellow"/>
                <w:lang w:val="fr-FR" w:eastAsia="en-US"/>
              </w:rPr>
            </w:pPr>
            <w:r w:rsidRPr="00B30A2D">
              <w:rPr>
                <w:rFonts w:cs="Tahoma"/>
                <w:sz w:val="18"/>
                <w:szCs w:val="14"/>
                <w:highlight w:val="yellow"/>
                <w:lang w:val="fr-FR" w:eastAsia="en-US"/>
              </w:rPr>
              <w:t>41% de la population se sent en sécurité</w:t>
            </w:r>
          </w:p>
          <w:p w14:paraId="762755A4" w14:textId="77777777" w:rsidR="00C64DDC" w:rsidRPr="00B30A2D" w:rsidRDefault="00C64DDC" w:rsidP="00826923">
            <w:pPr>
              <w:rPr>
                <w:rFonts w:cs="Tahoma"/>
                <w:sz w:val="18"/>
                <w:szCs w:val="14"/>
                <w:highlight w:val="yellow"/>
                <w:lang w:val="fr-FR" w:eastAsia="en-US"/>
              </w:rPr>
            </w:pPr>
          </w:p>
          <w:p w14:paraId="41C236F5" w14:textId="77777777" w:rsidR="00C64DDC" w:rsidRPr="00B30A2D" w:rsidRDefault="00C64DDC" w:rsidP="00826923">
            <w:pPr>
              <w:rPr>
                <w:rFonts w:cs="Tahoma"/>
                <w:sz w:val="18"/>
                <w:szCs w:val="14"/>
                <w:highlight w:val="yellow"/>
                <w:lang w:val="fr-FR" w:eastAsia="en-US"/>
              </w:rPr>
            </w:pPr>
          </w:p>
          <w:p w14:paraId="24C387D3" w14:textId="729230BD" w:rsidR="00C64DDC" w:rsidRPr="00B30A2D" w:rsidRDefault="00C64DDC" w:rsidP="00826923">
            <w:pPr>
              <w:rPr>
                <w:rFonts w:cs="Tahoma"/>
                <w:sz w:val="18"/>
                <w:szCs w:val="14"/>
                <w:highlight w:val="yellow"/>
                <w:lang w:val="fr-FR" w:eastAsia="en-US"/>
              </w:rPr>
            </w:pPr>
          </w:p>
          <w:p w14:paraId="6D64C435" w14:textId="77777777" w:rsidR="00650C4A" w:rsidRPr="00B30A2D" w:rsidRDefault="00650C4A" w:rsidP="00826923">
            <w:pPr>
              <w:rPr>
                <w:rFonts w:cs="Tahoma"/>
                <w:sz w:val="18"/>
                <w:szCs w:val="14"/>
                <w:highlight w:val="yellow"/>
                <w:lang w:val="fr-FR" w:eastAsia="en-US"/>
              </w:rPr>
            </w:pPr>
          </w:p>
          <w:p w14:paraId="51BB6FC7" w14:textId="77777777" w:rsidR="00B30A2D" w:rsidRDefault="00B30A2D" w:rsidP="00826923">
            <w:pPr>
              <w:rPr>
                <w:strike/>
                <w:sz w:val="18"/>
                <w:szCs w:val="14"/>
                <w:lang w:val="fr-FR" w:eastAsia="en-US"/>
              </w:rPr>
            </w:pPr>
          </w:p>
          <w:p w14:paraId="18B7E136" w14:textId="40352439" w:rsidR="00C64DDC" w:rsidRPr="00B30A2D" w:rsidRDefault="00C64DDC" w:rsidP="00826923">
            <w:pPr>
              <w:rPr>
                <w:rFonts w:cs="Tahoma"/>
                <w:strike/>
                <w:sz w:val="18"/>
                <w:szCs w:val="14"/>
                <w:highlight w:val="yellow"/>
                <w:lang w:val="fr-FR" w:eastAsia="en-US"/>
              </w:rPr>
            </w:pPr>
            <w:r w:rsidRPr="00B30A2D">
              <w:rPr>
                <w:strike/>
                <w:sz w:val="18"/>
                <w:szCs w:val="14"/>
                <w:lang w:val="fr-FR" w:eastAsia="en-US"/>
              </w:rPr>
              <w:t>Situation sécuritaire précaire dans les zones de déploiement</w:t>
            </w:r>
          </w:p>
        </w:tc>
        <w:tc>
          <w:tcPr>
            <w:tcW w:w="1843" w:type="dxa"/>
            <w:shd w:val="clear" w:color="auto" w:fill="EEECE1"/>
          </w:tcPr>
          <w:p w14:paraId="38769F2C" w14:textId="77777777" w:rsidR="00C64DDC" w:rsidRPr="00B30A2D" w:rsidRDefault="00C64DDC" w:rsidP="00826923">
            <w:pPr>
              <w:rPr>
                <w:sz w:val="18"/>
                <w:szCs w:val="14"/>
                <w:highlight w:val="yellow"/>
                <w:lang w:val="fr-FR" w:eastAsia="en-US"/>
              </w:rPr>
            </w:pPr>
          </w:p>
          <w:p w14:paraId="1A5AADA0" w14:textId="4773970D" w:rsidR="00AC0FA8" w:rsidRPr="00B30A2D" w:rsidRDefault="00AC0FA8" w:rsidP="00826923">
            <w:pPr>
              <w:rPr>
                <w:sz w:val="18"/>
                <w:szCs w:val="14"/>
                <w:highlight w:val="yellow"/>
                <w:lang w:val="fr-FR" w:eastAsia="en-US"/>
              </w:rPr>
            </w:pPr>
            <w:r w:rsidRPr="00B30A2D">
              <w:rPr>
                <w:sz w:val="18"/>
                <w:szCs w:val="14"/>
                <w:highlight w:val="yellow"/>
                <w:lang w:val="fr-FR" w:eastAsia="en-US"/>
              </w:rPr>
              <w:t>60%</w:t>
            </w:r>
          </w:p>
          <w:p w14:paraId="234862FE" w14:textId="77777777" w:rsidR="00C64DDC" w:rsidRPr="00B30A2D" w:rsidRDefault="00C64DDC" w:rsidP="00826923">
            <w:pPr>
              <w:rPr>
                <w:sz w:val="18"/>
                <w:szCs w:val="14"/>
                <w:highlight w:val="yellow"/>
                <w:lang w:val="fr-FR" w:eastAsia="en-US"/>
              </w:rPr>
            </w:pPr>
          </w:p>
          <w:p w14:paraId="4B2AF8D9" w14:textId="4DC827B4" w:rsidR="00C64DDC" w:rsidRPr="00B30A2D" w:rsidRDefault="00C64DDC" w:rsidP="00826923">
            <w:pPr>
              <w:rPr>
                <w:sz w:val="18"/>
                <w:szCs w:val="14"/>
                <w:highlight w:val="yellow"/>
                <w:lang w:val="fr-FR" w:eastAsia="en-US"/>
              </w:rPr>
            </w:pPr>
          </w:p>
          <w:p w14:paraId="12A80760" w14:textId="532F9F54" w:rsidR="00650C4A" w:rsidRPr="00B30A2D" w:rsidRDefault="00650C4A" w:rsidP="00826923">
            <w:pPr>
              <w:rPr>
                <w:sz w:val="18"/>
                <w:szCs w:val="14"/>
                <w:highlight w:val="yellow"/>
                <w:lang w:val="fr-FR" w:eastAsia="en-US"/>
              </w:rPr>
            </w:pPr>
          </w:p>
          <w:p w14:paraId="65002EDB" w14:textId="5312837D" w:rsidR="00650C4A" w:rsidRPr="00B30A2D" w:rsidRDefault="00650C4A" w:rsidP="00826923">
            <w:pPr>
              <w:rPr>
                <w:sz w:val="18"/>
                <w:szCs w:val="14"/>
                <w:highlight w:val="yellow"/>
                <w:lang w:val="fr-FR" w:eastAsia="en-US"/>
              </w:rPr>
            </w:pPr>
          </w:p>
          <w:p w14:paraId="084B3CE3" w14:textId="77777777" w:rsidR="00650C4A" w:rsidRPr="00B30A2D" w:rsidRDefault="00650C4A" w:rsidP="00826923">
            <w:pPr>
              <w:rPr>
                <w:sz w:val="18"/>
                <w:szCs w:val="14"/>
                <w:highlight w:val="yellow"/>
                <w:lang w:val="fr-FR" w:eastAsia="en-US"/>
              </w:rPr>
            </w:pPr>
          </w:p>
          <w:p w14:paraId="7D16EE65" w14:textId="77777777" w:rsidR="00C64DDC" w:rsidRPr="00B30A2D" w:rsidRDefault="00C64DDC" w:rsidP="00826923">
            <w:pPr>
              <w:rPr>
                <w:sz w:val="18"/>
                <w:szCs w:val="14"/>
                <w:highlight w:val="yellow"/>
                <w:lang w:val="fr-FR" w:eastAsia="en-US"/>
              </w:rPr>
            </w:pPr>
          </w:p>
          <w:p w14:paraId="61479E92" w14:textId="73C4875C" w:rsidR="00C64DDC" w:rsidRPr="00B30A2D" w:rsidRDefault="00C64DDC" w:rsidP="00826923">
            <w:pPr>
              <w:rPr>
                <w:strike/>
                <w:sz w:val="18"/>
                <w:szCs w:val="14"/>
                <w:highlight w:val="yellow"/>
                <w:lang w:val="fr-FR"/>
              </w:rPr>
            </w:pPr>
            <w:r w:rsidRPr="00B30A2D">
              <w:rPr>
                <w:strike/>
                <w:sz w:val="18"/>
                <w:szCs w:val="14"/>
                <w:lang w:val="fr-FR" w:eastAsia="en-US"/>
              </w:rPr>
              <w:t>Niveau de sécurité accru de 30%</w:t>
            </w:r>
          </w:p>
        </w:tc>
        <w:tc>
          <w:tcPr>
            <w:tcW w:w="1984" w:type="dxa"/>
          </w:tcPr>
          <w:p w14:paraId="139B2B99" w14:textId="0451E96C" w:rsidR="00826923" w:rsidRPr="00B30A2D" w:rsidRDefault="00826923" w:rsidP="00826923">
            <w:pPr>
              <w:rPr>
                <w:sz w:val="18"/>
                <w:szCs w:val="14"/>
                <w:highlight w:val="yellow"/>
                <w:lang w:val="fr-FR"/>
              </w:rPr>
            </w:pPr>
          </w:p>
        </w:tc>
        <w:tc>
          <w:tcPr>
            <w:tcW w:w="2693" w:type="dxa"/>
          </w:tcPr>
          <w:p w14:paraId="7BCE08FD" w14:textId="4AE6563F" w:rsidR="00AC0FA8" w:rsidRPr="00B30A2D" w:rsidRDefault="00AC0FA8" w:rsidP="00826923">
            <w:pPr>
              <w:rPr>
                <w:bCs/>
                <w:sz w:val="18"/>
                <w:szCs w:val="14"/>
                <w:highlight w:val="yellow"/>
                <w:lang w:val="fr-FR" w:eastAsia="en-US"/>
              </w:rPr>
            </w:pPr>
          </w:p>
          <w:p w14:paraId="42E436EB" w14:textId="21E225BA" w:rsidR="00826923" w:rsidRPr="00B30A2D" w:rsidRDefault="00AC0FA8" w:rsidP="00826923">
            <w:pPr>
              <w:rPr>
                <w:bCs/>
                <w:sz w:val="18"/>
                <w:szCs w:val="14"/>
                <w:highlight w:val="yellow"/>
                <w:lang w:val="fr-FR"/>
              </w:rPr>
            </w:pPr>
            <w:r w:rsidRPr="00B30A2D">
              <w:rPr>
                <w:bCs/>
                <w:sz w:val="18"/>
                <w:szCs w:val="14"/>
                <w:highlight w:val="yellow"/>
                <w:lang w:val="fr-FR" w:eastAsia="en-US"/>
              </w:rPr>
              <w:t>60% (Sondage HHI – Déc 2018)</w:t>
            </w:r>
          </w:p>
        </w:tc>
        <w:tc>
          <w:tcPr>
            <w:tcW w:w="2399" w:type="dxa"/>
          </w:tcPr>
          <w:p w14:paraId="481BA0E6" w14:textId="46FF9FF8" w:rsidR="00826923" w:rsidRPr="00B30A2D" w:rsidRDefault="00AC0FA8" w:rsidP="00826923">
            <w:pPr>
              <w:rPr>
                <w:sz w:val="18"/>
                <w:szCs w:val="14"/>
                <w:lang w:val="fr-FR" w:eastAsia="en-US"/>
              </w:rPr>
            </w:pPr>
            <w:r w:rsidRPr="00B30A2D">
              <w:rPr>
                <w:sz w:val="18"/>
                <w:szCs w:val="14"/>
                <w:lang w:val="fr-FR" w:eastAsia="en-US"/>
              </w:rPr>
              <w:t>Suite aux difficultés de mesurer l’ancien indicateur de ce résultat</w:t>
            </w:r>
            <w:r w:rsidR="00877C02" w:rsidRPr="00B30A2D">
              <w:rPr>
                <w:sz w:val="18"/>
                <w:szCs w:val="14"/>
                <w:lang w:val="fr-FR" w:eastAsia="en-US"/>
              </w:rPr>
              <w:t>, u</w:t>
            </w:r>
            <w:r w:rsidRPr="00B30A2D">
              <w:rPr>
                <w:sz w:val="18"/>
                <w:szCs w:val="14"/>
                <w:lang w:val="fr-FR" w:eastAsia="en-US"/>
              </w:rPr>
              <w:t>ne proposition de modification de l’indicateur est proposée ci-contre.</w:t>
            </w:r>
          </w:p>
        </w:tc>
      </w:tr>
      <w:tr w:rsidR="00826923" w:rsidRPr="00B30A2D" w14:paraId="5804B447" w14:textId="77777777" w:rsidTr="00132068">
        <w:trPr>
          <w:trHeight w:val="548"/>
        </w:trPr>
        <w:tc>
          <w:tcPr>
            <w:tcW w:w="2269" w:type="dxa"/>
            <w:vMerge w:val="restart"/>
          </w:tcPr>
          <w:p w14:paraId="324502FD" w14:textId="77777777" w:rsidR="00826923" w:rsidRPr="00B30A2D" w:rsidRDefault="00826923" w:rsidP="00826923">
            <w:pPr>
              <w:rPr>
                <w:rFonts w:cs="Tahoma"/>
                <w:sz w:val="18"/>
                <w:szCs w:val="14"/>
                <w:lang w:val="fr-FR" w:eastAsia="en-US"/>
              </w:rPr>
            </w:pPr>
            <w:r w:rsidRPr="00B30A2D">
              <w:rPr>
                <w:rFonts w:cs="Tahoma"/>
                <w:sz w:val="18"/>
                <w:szCs w:val="14"/>
                <w:lang w:val="fr-FR" w:eastAsia="en-US"/>
              </w:rPr>
              <w:t>Produit 1.1</w:t>
            </w:r>
          </w:p>
          <w:p w14:paraId="6AEAC650" w14:textId="308E0D2D" w:rsidR="00826923" w:rsidRPr="00B30A2D" w:rsidRDefault="00C0373E" w:rsidP="00826923">
            <w:pPr>
              <w:rPr>
                <w:rFonts w:cs="Tahoma"/>
                <w:b/>
                <w:sz w:val="18"/>
                <w:szCs w:val="14"/>
                <w:lang w:val="fr-FR" w:eastAsia="en-US"/>
              </w:rPr>
            </w:pPr>
            <w:r w:rsidRPr="00B30A2D">
              <w:rPr>
                <w:sz w:val="18"/>
                <w:szCs w:val="14"/>
                <w:lang w:val="fr-FR" w:eastAsia="en-US"/>
              </w:rPr>
              <w:t>Les nouvelles recrues sont formées dans des conditions adéquates et disposent de compétences requises pour mener à bien leur mission.</w:t>
            </w:r>
          </w:p>
        </w:tc>
        <w:tc>
          <w:tcPr>
            <w:tcW w:w="2268" w:type="dxa"/>
            <w:shd w:val="clear" w:color="auto" w:fill="EEECE1"/>
          </w:tcPr>
          <w:p w14:paraId="4BC6D6A9" w14:textId="2F2D01B7" w:rsidR="00826923" w:rsidRPr="00B30A2D" w:rsidRDefault="00DE3C31" w:rsidP="00826923">
            <w:pPr>
              <w:jc w:val="both"/>
              <w:rPr>
                <w:rFonts w:cs="Tahoma"/>
                <w:sz w:val="18"/>
                <w:szCs w:val="14"/>
                <w:lang w:val="fr-FR" w:eastAsia="en-US"/>
              </w:rPr>
            </w:pPr>
            <w:r w:rsidRPr="00B30A2D">
              <w:rPr>
                <w:rFonts w:cs="Tahoma"/>
                <w:sz w:val="18"/>
                <w:szCs w:val="14"/>
                <w:lang w:val="fr-FR" w:eastAsia="en-US"/>
              </w:rPr>
              <w:t>Indicateur 1.1.1</w:t>
            </w:r>
          </w:p>
          <w:p w14:paraId="2625E4F1" w14:textId="6434A877" w:rsidR="00826923" w:rsidRPr="00B30A2D" w:rsidRDefault="00C0373E" w:rsidP="00826923">
            <w:pPr>
              <w:jc w:val="both"/>
              <w:rPr>
                <w:rFonts w:cs="Tahoma"/>
                <w:sz w:val="18"/>
                <w:szCs w:val="14"/>
                <w:lang w:val="fr-FR" w:eastAsia="en-US"/>
              </w:rPr>
            </w:pPr>
            <w:r w:rsidRPr="00B30A2D">
              <w:rPr>
                <w:sz w:val="18"/>
                <w:szCs w:val="14"/>
                <w:lang w:val="fr-FR" w:eastAsia="en-US"/>
              </w:rPr>
              <w:t>Nombre des nouvelles recrues formées (hommes et femmes)</w:t>
            </w:r>
          </w:p>
        </w:tc>
        <w:tc>
          <w:tcPr>
            <w:tcW w:w="1843" w:type="dxa"/>
            <w:shd w:val="clear" w:color="auto" w:fill="EEECE1"/>
          </w:tcPr>
          <w:p w14:paraId="2CEA341B" w14:textId="77777777" w:rsidR="002124C9" w:rsidRPr="00B30A2D" w:rsidRDefault="002124C9" w:rsidP="00826923">
            <w:pPr>
              <w:rPr>
                <w:sz w:val="18"/>
                <w:szCs w:val="14"/>
                <w:lang w:val="fr-FR" w:eastAsia="en-US"/>
              </w:rPr>
            </w:pPr>
          </w:p>
          <w:p w14:paraId="16CCB956" w14:textId="0D771841" w:rsidR="00826923" w:rsidRPr="00B30A2D" w:rsidRDefault="00C0373E" w:rsidP="00826923">
            <w:pPr>
              <w:rPr>
                <w:sz w:val="18"/>
                <w:szCs w:val="14"/>
                <w:lang w:val="fr-FR"/>
              </w:rPr>
            </w:pPr>
            <w:r w:rsidRPr="00B30A2D">
              <w:rPr>
                <w:sz w:val="18"/>
                <w:szCs w:val="14"/>
                <w:lang w:val="fr-FR" w:eastAsia="en-US"/>
              </w:rPr>
              <w:t>Aucune recrue formée depuis 2010 (police) et 2011 (Gendarmerie)</w:t>
            </w:r>
          </w:p>
        </w:tc>
        <w:tc>
          <w:tcPr>
            <w:tcW w:w="1843" w:type="dxa"/>
            <w:shd w:val="clear" w:color="auto" w:fill="EEECE1"/>
          </w:tcPr>
          <w:p w14:paraId="679C98DC" w14:textId="77777777" w:rsidR="002124C9" w:rsidRPr="00B30A2D" w:rsidRDefault="002124C9" w:rsidP="00826923">
            <w:pPr>
              <w:rPr>
                <w:sz w:val="18"/>
                <w:szCs w:val="14"/>
                <w:lang w:val="fr-FR" w:eastAsia="en-US"/>
              </w:rPr>
            </w:pPr>
          </w:p>
          <w:p w14:paraId="46EECC2B" w14:textId="2FDDB605" w:rsidR="00826923" w:rsidRPr="00B30A2D" w:rsidRDefault="00C0373E" w:rsidP="00826923">
            <w:pPr>
              <w:rPr>
                <w:sz w:val="18"/>
                <w:szCs w:val="14"/>
                <w:lang w:val="fr-FR"/>
              </w:rPr>
            </w:pPr>
            <w:r w:rsidRPr="00B30A2D">
              <w:rPr>
                <w:sz w:val="18"/>
                <w:szCs w:val="14"/>
                <w:lang w:val="fr-FR" w:eastAsia="en-US"/>
              </w:rPr>
              <w:t>Une promotion de 250 gendarmes et 250 Policiers formés</w:t>
            </w:r>
          </w:p>
        </w:tc>
        <w:tc>
          <w:tcPr>
            <w:tcW w:w="1984" w:type="dxa"/>
          </w:tcPr>
          <w:p w14:paraId="521B62BD" w14:textId="4EF583F3" w:rsidR="00826923" w:rsidRPr="00B30A2D" w:rsidRDefault="00826923" w:rsidP="00826923">
            <w:pPr>
              <w:rPr>
                <w:sz w:val="18"/>
                <w:szCs w:val="14"/>
                <w:lang w:val="fr-FR"/>
              </w:rPr>
            </w:pPr>
          </w:p>
        </w:tc>
        <w:tc>
          <w:tcPr>
            <w:tcW w:w="2693" w:type="dxa"/>
          </w:tcPr>
          <w:p w14:paraId="7FA7D3AF" w14:textId="490E4522" w:rsidR="00826923" w:rsidRPr="00B30A2D" w:rsidRDefault="00132068" w:rsidP="00826923">
            <w:pPr>
              <w:rPr>
                <w:sz w:val="18"/>
                <w:szCs w:val="14"/>
                <w:lang w:val="fr-FR"/>
              </w:rPr>
            </w:pPr>
            <w:r w:rsidRPr="00B30A2D">
              <w:rPr>
                <w:sz w:val="18"/>
                <w:szCs w:val="14"/>
                <w:lang w:val="fr-FR" w:eastAsia="en-US"/>
              </w:rPr>
              <w:t>Une promotion de 250 gendarmes et 250 Policiers</w:t>
            </w:r>
            <w:r w:rsidRPr="00B30A2D">
              <w:rPr>
                <w:sz w:val="18"/>
                <w:szCs w:val="14"/>
                <w:lang w:val="fr-FR"/>
              </w:rPr>
              <w:t xml:space="preserve"> (femmes et hommes)</w:t>
            </w:r>
            <w:r w:rsidRPr="00B30A2D">
              <w:rPr>
                <w:sz w:val="18"/>
                <w:szCs w:val="14"/>
                <w:lang w:val="fr-FR" w:eastAsia="en-US"/>
              </w:rPr>
              <w:t xml:space="preserve"> formés</w:t>
            </w:r>
          </w:p>
        </w:tc>
        <w:tc>
          <w:tcPr>
            <w:tcW w:w="2399" w:type="dxa"/>
          </w:tcPr>
          <w:p w14:paraId="6470D769" w14:textId="77777777" w:rsidR="00826923" w:rsidRPr="00B30A2D" w:rsidRDefault="00826923" w:rsidP="00826923">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132068" w:rsidRPr="00B30A2D" w14:paraId="15BD3BE2" w14:textId="77777777" w:rsidTr="00132068">
        <w:trPr>
          <w:trHeight w:val="512"/>
        </w:trPr>
        <w:tc>
          <w:tcPr>
            <w:tcW w:w="2269" w:type="dxa"/>
            <w:vMerge/>
          </w:tcPr>
          <w:p w14:paraId="4784FF87" w14:textId="77777777" w:rsidR="00132068" w:rsidRPr="00B30A2D" w:rsidRDefault="00132068" w:rsidP="00132068">
            <w:pPr>
              <w:rPr>
                <w:rFonts w:cs="Tahoma"/>
                <w:b/>
                <w:sz w:val="18"/>
                <w:szCs w:val="14"/>
                <w:lang w:val="fr-FR" w:eastAsia="en-US"/>
              </w:rPr>
            </w:pPr>
          </w:p>
        </w:tc>
        <w:tc>
          <w:tcPr>
            <w:tcW w:w="2268" w:type="dxa"/>
            <w:shd w:val="clear" w:color="auto" w:fill="EEECE1"/>
          </w:tcPr>
          <w:p w14:paraId="544BC1EC" w14:textId="77777777" w:rsidR="00132068" w:rsidRPr="00B30A2D" w:rsidRDefault="00132068" w:rsidP="00132068">
            <w:pPr>
              <w:jc w:val="both"/>
              <w:rPr>
                <w:rFonts w:cs="Tahoma"/>
                <w:sz w:val="18"/>
                <w:szCs w:val="14"/>
                <w:lang w:val="fr-FR" w:eastAsia="en-US"/>
              </w:rPr>
            </w:pPr>
            <w:r w:rsidRPr="00B30A2D">
              <w:rPr>
                <w:rFonts w:cs="Tahoma"/>
                <w:sz w:val="18"/>
                <w:szCs w:val="14"/>
                <w:lang w:val="fr-FR" w:eastAsia="en-US"/>
              </w:rPr>
              <w:t>Indicateur 1.1.2</w:t>
            </w:r>
          </w:p>
          <w:p w14:paraId="795B5971" w14:textId="42716634" w:rsidR="00132068" w:rsidRPr="00B30A2D" w:rsidRDefault="00132068" w:rsidP="00132068">
            <w:pPr>
              <w:jc w:val="both"/>
              <w:rPr>
                <w:rFonts w:cs="Tahoma"/>
                <w:sz w:val="18"/>
                <w:szCs w:val="14"/>
                <w:lang w:val="fr-FR" w:eastAsia="en-US"/>
              </w:rPr>
            </w:pPr>
            <w:r w:rsidRPr="00B30A2D">
              <w:rPr>
                <w:sz w:val="18"/>
                <w:szCs w:val="14"/>
                <w:lang w:val="fr-FR" w:eastAsia="en-US"/>
              </w:rPr>
              <w:t>% de nouvelles recrues indiquant les conditions adéquates de formation</w:t>
            </w:r>
          </w:p>
        </w:tc>
        <w:tc>
          <w:tcPr>
            <w:tcW w:w="1843" w:type="dxa"/>
            <w:shd w:val="clear" w:color="auto" w:fill="EEECE1"/>
          </w:tcPr>
          <w:p w14:paraId="26C3C6B8" w14:textId="77777777" w:rsidR="002124C9" w:rsidRPr="00B30A2D" w:rsidRDefault="002124C9" w:rsidP="00132068">
            <w:pPr>
              <w:rPr>
                <w:sz w:val="18"/>
                <w:szCs w:val="14"/>
                <w:lang w:val="fr-FR" w:eastAsia="en-US"/>
              </w:rPr>
            </w:pPr>
          </w:p>
          <w:p w14:paraId="408334AB" w14:textId="7DA10EDA" w:rsidR="00132068" w:rsidRPr="00B30A2D" w:rsidRDefault="00132068" w:rsidP="00132068">
            <w:pPr>
              <w:rPr>
                <w:sz w:val="18"/>
                <w:szCs w:val="14"/>
                <w:lang w:val="fr-FR"/>
              </w:rPr>
            </w:pPr>
            <w:r w:rsidRPr="00B30A2D">
              <w:rPr>
                <w:sz w:val="18"/>
                <w:szCs w:val="14"/>
                <w:lang w:val="fr-FR" w:eastAsia="en-US"/>
              </w:rPr>
              <w:t>Aucun cadre de formation adéquat</w:t>
            </w:r>
          </w:p>
        </w:tc>
        <w:tc>
          <w:tcPr>
            <w:tcW w:w="1843" w:type="dxa"/>
            <w:shd w:val="clear" w:color="auto" w:fill="EEECE1"/>
          </w:tcPr>
          <w:p w14:paraId="29F6D1F1" w14:textId="77777777" w:rsidR="002124C9" w:rsidRPr="00B30A2D" w:rsidRDefault="002124C9" w:rsidP="00132068">
            <w:pPr>
              <w:rPr>
                <w:sz w:val="18"/>
                <w:szCs w:val="14"/>
                <w:lang w:val="fr-FR" w:eastAsia="en-US"/>
              </w:rPr>
            </w:pPr>
          </w:p>
          <w:p w14:paraId="04885E44" w14:textId="3FAB4EB2" w:rsidR="00132068" w:rsidRPr="00B30A2D" w:rsidRDefault="00132068" w:rsidP="00132068">
            <w:pPr>
              <w:rPr>
                <w:sz w:val="18"/>
                <w:szCs w:val="14"/>
                <w:lang w:val="fr-FR"/>
              </w:rPr>
            </w:pPr>
            <w:r w:rsidRPr="00B30A2D">
              <w:rPr>
                <w:sz w:val="18"/>
                <w:szCs w:val="14"/>
                <w:lang w:val="fr-FR" w:eastAsia="en-US"/>
              </w:rPr>
              <w:t>Au moins 60% des nouvelles recrues indiquent des conditions de formation adéquates.</w:t>
            </w:r>
          </w:p>
        </w:tc>
        <w:tc>
          <w:tcPr>
            <w:tcW w:w="1984" w:type="dxa"/>
          </w:tcPr>
          <w:p w14:paraId="7E94F785" w14:textId="07DA016A" w:rsidR="00132068" w:rsidRPr="00B30A2D" w:rsidRDefault="00132068" w:rsidP="00132068">
            <w:pPr>
              <w:rPr>
                <w:sz w:val="18"/>
                <w:szCs w:val="14"/>
                <w:lang w:val="fr-FR"/>
              </w:rPr>
            </w:pPr>
          </w:p>
        </w:tc>
        <w:tc>
          <w:tcPr>
            <w:tcW w:w="2693" w:type="dxa"/>
          </w:tcPr>
          <w:p w14:paraId="4D300CA4" w14:textId="3CA28BB7" w:rsidR="00DE3C31" w:rsidRPr="00B30A2D" w:rsidRDefault="00DE3C31" w:rsidP="00132068">
            <w:pPr>
              <w:rPr>
                <w:sz w:val="18"/>
                <w:szCs w:val="14"/>
                <w:lang w:val="fr-FR" w:eastAsia="en-US"/>
              </w:rPr>
            </w:pPr>
            <w:r w:rsidRPr="00B30A2D">
              <w:rPr>
                <w:sz w:val="18"/>
                <w:szCs w:val="14"/>
                <w:lang w:val="fr-FR" w:eastAsia="en-US"/>
              </w:rPr>
              <w:t>99.6%</w:t>
            </w:r>
            <w:r w:rsidRPr="00B30A2D">
              <w:rPr>
                <w:rStyle w:val="FootnoteReference"/>
                <w:sz w:val="18"/>
                <w:szCs w:val="14"/>
                <w:lang w:val="fr-FR" w:eastAsia="en-US"/>
              </w:rPr>
              <w:footnoteReference w:id="5"/>
            </w:r>
          </w:p>
          <w:p w14:paraId="33E89896" w14:textId="5EA35FE4" w:rsidR="00132068" w:rsidRPr="00B30A2D" w:rsidRDefault="00132068" w:rsidP="00132068">
            <w:pPr>
              <w:rPr>
                <w:sz w:val="18"/>
                <w:szCs w:val="14"/>
                <w:lang w:val="fr-FR"/>
              </w:rPr>
            </w:pPr>
          </w:p>
        </w:tc>
        <w:tc>
          <w:tcPr>
            <w:tcW w:w="2399" w:type="dxa"/>
          </w:tcPr>
          <w:p w14:paraId="7D32824A" w14:textId="77777777" w:rsidR="00132068" w:rsidRPr="00B30A2D" w:rsidRDefault="00132068" w:rsidP="00132068">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132068" w:rsidRPr="00B30A2D" w14:paraId="0B2EE17F" w14:textId="77777777" w:rsidTr="00132068">
        <w:trPr>
          <w:trHeight w:val="440"/>
        </w:trPr>
        <w:tc>
          <w:tcPr>
            <w:tcW w:w="2269" w:type="dxa"/>
            <w:vMerge w:val="restart"/>
          </w:tcPr>
          <w:p w14:paraId="17AF0F44" w14:textId="77777777" w:rsidR="00132068" w:rsidRPr="00B30A2D" w:rsidRDefault="00132068" w:rsidP="00132068">
            <w:pPr>
              <w:rPr>
                <w:rFonts w:cs="Tahoma"/>
                <w:sz w:val="18"/>
                <w:szCs w:val="14"/>
                <w:lang w:val="fr-FR" w:eastAsia="en-US"/>
              </w:rPr>
            </w:pPr>
            <w:r w:rsidRPr="00B30A2D">
              <w:rPr>
                <w:rFonts w:cs="Tahoma"/>
                <w:sz w:val="18"/>
                <w:szCs w:val="14"/>
                <w:lang w:val="fr-FR" w:eastAsia="en-US"/>
              </w:rPr>
              <w:t>Produit 1.2</w:t>
            </w:r>
          </w:p>
          <w:p w14:paraId="31E96617" w14:textId="1C44681F" w:rsidR="00132068" w:rsidRPr="00B30A2D" w:rsidRDefault="00132068" w:rsidP="00132068">
            <w:pPr>
              <w:rPr>
                <w:rFonts w:cs="Tahoma"/>
                <w:sz w:val="18"/>
                <w:szCs w:val="14"/>
                <w:lang w:val="fr-FR" w:eastAsia="en-US"/>
              </w:rPr>
            </w:pPr>
            <w:r w:rsidRPr="00B30A2D">
              <w:rPr>
                <w:sz w:val="18"/>
                <w:szCs w:val="14"/>
                <w:lang w:val="fr-FR" w:eastAsia="en-US"/>
              </w:rPr>
              <w:t>La formation initiale est modernisée et systématisée.</w:t>
            </w:r>
          </w:p>
        </w:tc>
        <w:tc>
          <w:tcPr>
            <w:tcW w:w="2268" w:type="dxa"/>
            <w:shd w:val="clear" w:color="auto" w:fill="EEECE1"/>
          </w:tcPr>
          <w:p w14:paraId="61FE57A5" w14:textId="74B023CA" w:rsidR="00132068" w:rsidRPr="00B30A2D" w:rsidRDefault="00DE3C31" w:rsidP="00132068">
            <w:pPr>
              <w:jc w:val="both"/>
              <w:rPr>
                <w:rFonts w:cs="Tahoma"/>
                <w:sz w:val="18"/>
                <w:szCs w:val="14"/>
                <w:lang w:val="fr-FR" w:eastAsia="en-US"/>
              </w:rPr>
            </w:pPr>
            <w:r w:rsidRPr="00B30A2D">
              <w:rPr>
                <w:rFonts w:cs="Tahoma"/>
                <w:sz w:val="18"/>
                <w:szCs w:val="14"/>
                <w:lang w:val="fr-FR" w:eastAsia="en-US"/>
              </w:rPr>
              <w:t>Indicateur 1.2.1</w:t>
            </w:r>
          </w:p>
          <w:p w14:paraId="7575463B" w14:textId="482FFA8D" w:rsidR="00132068" w:rsidRPr="00B30A2D" w:rsidRDefault="00132068" w:rsidP="00132068">
            <w:pPr>
              <w:jc w:val="both"/>
              <w:rPr>
                <w:rFonts w:cs="Tahoma"/>
                <w:sz w:val="18"/>
                <w:szCs w:val="14"/>
                <w:lang w:val="fr-FR" w:eastAsia="en-US"/>
              </w:rPr>
            </w:pPr>
            <w:r w:rsidRPr="00B30A2D">
              <w:rPr>
                <w:sz w:val="18"/>
                <w:szCs w:val="14"/>
                <w:lang w:val="fr-FR" w:eastAsia="en-US"/>
              </w:rPr>
              <w:t xml:space="preserve">Plan de formation quinquennal  </w:t>
            </w:r>
          </w:p>
        </w:tc>
        <w:tc>
          <w:tcPr>
            <w:tcW w:w="1843" w:type="dxa"/>
            <w:shd w:val="clear" w:color="auto" w:fill="EEECE1"/>
          </w:tcPr>
          <w:p w14:paraId="55E99893" w14:textId="77777777" w:rsidR="002124C9" w:rsidRPr="00B30A2D" w:rsidRDefault="002124C9" w:rsidP="00132068">
            <w:pPr>
              <w:rPr>
                <w:sz w:val="18"/>
                <w:szCs w:val="14"/>
                <w:lang w:val="fr-FR" w:eastAsia="en-US"/>
              </w:rPr>
            </w:pPr>
          </w:p>
          <w:p w14:paraId="2F1437DA" w14:textId="7CE0C4C4" w:rsidR="00132068" w:rsidRPr="00B30A2D" w:rsidRDefault="00132068" w:rsidP="00132068">
            <w:pPr>
              <w:rPr>
                <w:sz w:val="18"/>
                <w:szCs w:val="14"/>
                <w:lang w:val="fr-FR"/>
              </w:rPr>
            </w:pPr>
            <w:r w:rsidRPr="00B30A2D">
              <w:rPr>
                <w:sz w:val="18"/>
                <w:szCs w:val="14"/>
                <w:lang w:val="fr-FR" w:eastAsia="en-US"/>
              </w:rPr>
              <w:t>Aucun plan quinquennal</w:t>
            </w:r>
          </w:p>
        </w:tc>
        <w:tc>
          <w:tcPr>
            <w:tcW w:w="1843" w:type="dxa"/>
            <w:shd w:val="clear" w:color="auto" w:fill="EEECE1"/>
          </w:tcPr>
          <w:p w14:paraId="779F9BFC" w14:textId="77777777" w:rsidR="002124C9" w:rsidRPr="00B30A2D" w:rsidRDefault="002124C9" w:rsidP="00132068">
            <w:pPr>
              <w:rPr>
                <w:sz w:val="18"/>
                <w:szCs w:val="14"/>
                <w:lang w:val="fr-FR" w:eastAsia="en-US"/>
              </w:rPr>
            </w:pPr>
          </w:p>
          <w:p w14:paraId="35AF67C2" w14:textId="7D8F2587" w:rsidR="00132068" w:rsidRPr="00B30A2D" w:rsidRDefault="00132068" w:rsidP="00132068">
            <w:pPr>
              <w:rPr>
                <w:sz w:val="18"/>
                <w:szCs w:val="14"/>
                <w:lang w:val="fr-FR"/>
              </w:rPr>
            </w:pPr>
            <w:r w:rsidRPr="00B30A2D">
              <w:rPr>
                <w:sz w:val="18"/>
                <w:szCs w:val="14"/>
                <w:lang w:val="fr-FR" w:eastAsia="en-US"/>
              </w:rPr>
              <w:t>Un plan quinquennal validé</w:t>
            </w:r>
          </w:p>
        </w:tc>
        <w:tc>
          <w:tcPr>
            <w:tcW w:w="1984" w:type="dxa"/>
          </w:tcPr>
          <w:p w14:paraId="252C54D8" w14:textId="0DB0787F" w:rsidR="00132068" w:rsidRPr="00B30A2D" w:rsidRDefault="00132068" w:rsidP="00132068">
            <w:pPr>
              <w:rPr>
                <w:sz w:val="18"/>
                <w:szCs w:val="14"/>
                <w:lang w:val="fr-FR"/>
              </w:rPr>
            </w:pPr>
          </w:p>
        </w:tc>
        <w:tc>
          <w:tcPr>
            <w:tcW w:w="2693" w:type="dxa"/>
          </w:tcPr>
          <w:p w14:paraId="30BFB45E" w14:textId="3D11CE82" w:rsidR="00132068" w:rsidRPr="00B30A2D" w:rsidRDefault="00DE3C31" w:rsidP="00132068">
            <w:pPr>
              <w:rPr>
                <w:sz w:val="18"/>
                <w:szCs w:val="14"/>
                <w:lang w:val="fr-FR"/>
              </w:rPr>
            </w:pPr>
            <w:r w:rsidRPr="00B30A2D">
              <w:rPr>
                <w:sz w:val="18"/>
                <w:szCs w:val="14"/>
                <w:lang w:val="fr-FR"/>
              </w:rPr>
              <w:t>Un plan quinquennal validé et disponible</w:t>
            </w:r>
          </w:p>
        </w:tc>
        <w:tc>
          <w:tcPr>
            <w:tcW w:w="2399" w:type="dxa"/>
          </w:tcPr>
          <w:p w14:paraId="45774214" w14:textId="77777777" w:rsidR="00132068" w:rsidRPr="00B30A2D" w:rsidRDefault="00132068" w:rsidP="00132068">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132068" w:rsidRPr="00B30A2D" w14:paraId="3F95CC23" w14:textId="77777777" w:rsidTr="00132068">
        <w:trPr>
          <w:trHeight w:val="467"/>
        </w:trPr>
        <w:tc>
          <w:tcPr>
            <w:tcW w:w="2269" w:type="dxa"/>
            <w:vMerge/>
          </w:tcPr>
          <w:p w14:paraId="208D6BA7" w14:textId="77777777" w:rsidR="00132068" w:rsidRPr="00B30A2D" w:rsidRDefault="00132068" w:rsidP="00132068">
            <w:pPr>
              <w:rPr>
                <w:rFonts w:cs="Tahoma"/>
                <w:b/>
                <w:sz w:val="18"/>
                <w:szCs w:val="14"/>
                <w:lang w:val="fr-FR" w:eastAsia="en-US"/>
              </w:rPr>
            </w:pPr>
          </w:p>
        </w:tc>
        <w:tc>
          <w:tcPr>
            <w:tcW w:w="2268" w:type="dxa"/>
            <w:shd w:val="clear" w:color="auto" w:fill="EEECE1"/>
          </w:tcPr>
          <w:p w14:paraId="6C67A714" w14:textId="77777777" w:rsidR="00132068" w:rsidRPr="00B30A2D" w:rsidRDefault="00132068" w:rsidP="00132068">
            <w:pPr>
              <w:jc w:val="both"/>
              <w:rPr>
                <w:rFonts w:cs="Tahoma"/>
                <w:sz w:val="18"/>
                <w:szCs w:val="14"/>
                <w:lang w:val="fr-FR" w:eastAsia="en-US"/>
              </w:rPr>
            </w:pPr>
            <w:r w:rsidRPr="00B30A2D">
              <w:rPr>
                <w:rFonts w:cs="Tahoma"/>
                <w:sz w:val="18"/>
                <w:szCs w:val="14"/>
                <w:lang w:val="fr-FR" w:eastAsia="en-US"/>
              </w:rPr>
              <w:t>Indicateur 1.2.2</w:t>
            </w:r>
          </w:p>
          <w:p w14:paraId="5F819A0F" w14:textId="416CDB6B" w:rsidR="00132068" w:rsidRPr="00B30A2D" w:rsidRDefault="00132068" w:rsidP="00132068">
            <w:pPr>
              <w:jc w:val="both"/>
              <w:rPr>
                <w:rFonts w:cs="Tahoma"/>
                <w:sz w:val="18"/>
                <w:szCs w:val="14"/>
                <w:lang w:val="fr-FR" w:eastAsia="en-US"/>
              </w:rPr>
            </w:pPr>
            <w:r w:rsidRPr="00B30A2D">
              <w:rPr>
                <w:sz w:val="18"/>
                <w:szCs w:val="14"/>
                <w:lang w:val="fr-FR" w:eastAsia="en-US"/>
              </w:rPr>
              <w:t>Curriculum révisé</w:t>
            </w:r>
          </w:p>
        </w:tc>
        <w:tc>
          <w:tcPr>
            <w:tcW w:w="1843" w:type="dxa"/>
            <w:shd w:val="clear" w:color="auto" w:fill="EEECE1"/>
          </w:tcPr>
          <w:p w14:paraId="68B44AE1" w14:textId="77777777" w:rsidR="002124C9" w:rsidRPr="00B30A2D" w:rsidRDefault="002124C9" w:rsidP="00132068">
            <w:pPr>
              <w:rPr>
                <w:sz w:val="18"/>
                <w:szCs w:val="14"/>
                <w:lang w:val="fr-FR" w:eastAsia="en-US"/>
              </w:rPr>
            </w:pPr>
          </w:p>
          <w:p w14:paraId="0A000B97" w14:textId="412FFAC6" w:rsidR="00132068" w:rsidRPr="00B30A2D" w:rsidRDefault="00132068" w:rsidP="00132068">
            <w:pPr>
              <w:rPr>
                <w:sz w:val="18"/>
                <w:szCs w:val="14"/>
                <w:lang w:val="fr-FR"/>
              </w:rPr>
            </w:pPr>
            <w:r w:rsidRPr="00B30A2D">
              <w:rPr>
                <w:sz w:val="18"/>
                <w:szCs w:val="14"/>
                <w:lang w:val="fr-FR" w:eastAsia="en-US"/>
              </w:rPr>
              <w:t>Aucun curriculum révisé</w:t>
            </w:r>
          </w:p>
        </w:tc>
        <w:tc>
          <w:tcPr>
            <w:tcW w:w="1843" w:type="dxa"/>
            <w:shd w:val="clear" w:color="auto" w:fill="EEECE1"/>
          </w:tcPr>
          <w:p w14:paraId="6DE5C25A" w14:textId="77777777" w:rsidR="002124C9" w:rsidRPr="00B30A2D" w:rsidRDefault="002124C9" w:rsidP="00132068">
            <w:pPr>
              <w:rPr>
                <w:sz w:val="18"/>
                <w:szCs w:val="14"/>
                <w:lang w:val="fr-FR" w:eastAsia="en-US"/>
              </w:rPr>
            </w:pPr>
          </w:p>
          <w:p w14:paraId="3EC9670A" w14:textId="67A9887B" w:rsidR="00132068" w:rsidRPr="00B30A2D" w:rsidRDefault="00132068" w:rsidP="00132068">
            <w:pPr>
              <w:rPr>
                <w:sz w:val="18"/>
                <w:szCs w:val="14"/>
                <w:lang w:val="fr-FR"/>
              </w:rPr>
            </w:pPr>
            <w:r w:rsidRPr="00B30A2D">
              <w:rPr>
                <w:sz w:val="18"/>
                <w:szCs w:val="14"/>
                <w:lang w:val="fr-FR" w:eastAsia="en-US"/>
              </w:rPr>
              <w:t>Un curriculum révisé</w:t>
            </w:r>
          </w:p>
        </w:tc>
        <w:tc>
          <w:tcPr>
            <w:tcW w:w="1984" w:type="dxa"/>
          </w:tcPr>
          <w:p w14:paraId="4F82B38A" w14:textId="49E7A106" w:rsidR="00132068" w:rsidRPr="00B30A2D" w:rsidRDefault="00132068" w:rsidP="00132068">
            <w:pPr>
              <w:rPr>
                <w:sz w:val="18"/>
                <w:szCs w:val="14"/>
                <w:lang w:val="fr-FR"/>
              </w:rPr>
            </w:pPr>
          </w:p>
        </w:tc>
        <w:tc>
          <w:tcPr>
            <w:tcW w:w="2693" w:type="dxa"/>
          </w:tcPr>
          <w:p w14:paraId="642E84DB" w14:textId="237D0103" w:rsidR="00132068" w:rsidRPr="00B30A2D" w:rsidRDefault="00DE3C31" w:rsidP="00132068">
            <w:pPr>
              <w:rPr>
                <w:sz w:val="18"/>
                <w:szCs w:val="14"/>
                <w:lang w:val="fr-FR"/>
              </w:rPr>
            </w:pPr>
            <w:r w:rsidRPr="00B30A2D">
              <w:rPr>
                <w:sz w:val="18"/>
                <w:szCs w:val="14"/>
                <w:lang w:val="fr-FR"/>
              </w:rPr>
              <w:t>Un curriculum révisé</w:t>
            </w:r>
          </w:p>
        </w:tc>
        <w:tc>
          <w:tcPr>
            <w:tcW w:w="2399" w:type="dxa"/>
          </w:tcPr>
          <w:p w14:paraId="67ABA996" w14:textId="77777777" w:rsidR="00132068" w:rsidRPr="00B30A2D" w:rsidRDefault="00132068" w:rsidP="00132068">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433021" w14:paraId="0CA7A1F1" w14:textId="77777777" w:rsidTr="00132068">
        <w:trPr>
          <w:trHeight w:val="422"/>
        </w:trPr>
        <w:tc>
          <w:tcPr>
            <w:tcW w:w="2269" w:type="dxa"/>
            <w:vMerge w:val="restart"/>
          </w:tcPr>
          <w:p w14:paraId="15776DBE" w14:textId="77777777" w:rsidR="00D60DC9" w:rsidRPr="00B30A2D" w:rsidRDefault="00D60DC9" w:rsidP="00D60DC9">
            <w:pPr>
              <w:rPr>
                <w:rFonts w:cs="Tahoma"/>
                <w:b/>
                <w:sz w:val="18"/>
                <w:szCs w:val="14"/>
                <w:lang w:val="fr-FR" w:eastAsia="en-US"/>
              </w:rPr>
            </w:pPr>
            <w:r w:rsidRPr="00B30A2D">
              <w:rPr>
                <w:rFonts w:cs="Tahoma"/>
                <w:b/>
                <w:sz w:val="18"/>
                <w:szCs w:val="14"/>
                <w:lang w:val="fr-FR" w:eastAsia="en-US"/>
              </w:rPr>
              <w:t>Résultat 2</w:t>
            </w:r>
          </w:p>
          <w:p w14:paraId="73249FC4" w14:textId="10651370" w:rsidR="00D60DC9" w:rsidRPr="00B30A2D" w:rsidRDefault="00D60DC9" w:rsidP="00D60DC9">
            <w:pPr>
              <w:rPr>
                <w:rFonts w:cs="Tahoma"/>
                <w:b/>
                <w:bCs/>
                <w:sz w:val="18"/>
                <w:szCs w:val="14"/>
                <w:lang w:val="fr-FR" w:eastAsia="en-US"/>
              </w:rPr>
            </w:pPr>
            <w:r w:rsidRPr="00B30A2D">
              <w:rPr>
                <w:b/>
                <w:bCs/>
                <w:sz w:val="18"/>
                <w:szCs w:val="14"/>
                <w:lang w:val="fr-FR" w:eastAsia="en-US"/>
              </w:rPr>
              <w:t xml:space="preserve">La facilitation des départs à la retraite et la gestion des ressources humaines sont efficacement assurées et contribuent à la paix et à la cohésion sociale. </w:t>
            </w:r>
          </w:p>
        </w:tc>
        <w:tc>
          <w:tcPr>
            <w:tcW w:w="2268" w:type="dxa"/>
            <w:shd w:val="clear" w:color="auto" w:fill="EEECE1"/>
          </w:tcPr>
          <w:p w14:paraId="5F12209B" w14:textId="15BF8F2B" w:rsidR="00D60DC9" w:rsidRPr="00B30A2D" w:rsidRDefault="00D60DC9" w:rsidP="00D60DC9">
            <w:pPr>
              <w:jc w:val="both"/>
              <w:rPr>
                <w:rFonts w:cs="Tahoma"/>
                <w:sz w:val="18"/>
                <w:szCs w:val="14"/>
                <w:highlight w:val="yellow"/>
                <w:lang w:val="fr-FR" w:eastAsia="en-US"/>
              </w:rPr>
            </w:pPr>
            <w:r w:rsidRPr="00B30A2D">
              <w:rPr>
                <w:rFonts w:cs="Tahoma"/>
                <w:sz w:val="18"/>
                <w:szCs w:val="14"/>
                <w:highlight w:val="yellow"/>
                <w:lang w:val="fr-FR" w:eastAsia="en-US"/>
              </w:rPr>
              <w:t>Indicateur 2.1</w:t>
            </w:r>
            <w:r w:rsidR="00650C4A" w:rsidRPr="00B30A2D">
              <w:rPr>
                <w:rFonts w:cs="Tahoma"/>
                <w:sz w:val="18"/>
                <w:szCs w:val="14"/>
                <w:highlight w:val="yellow"/>
                <w:lang w:val="fr-FR" w:eastAsia="en-US"/>
              </w:rPr>
              <w:t xml:space="preserve"> (Nouveau)</w:t>
            </w:r>
          </w:p>
          <w:p w14:paraId="79E4C418" w14:textId="4000B769" w:rsidR="00D60DC9" w:rsidRPr="00B30A2D" w:rsidRDefault="000D7645" w:rsidP="00D60DC9">
            <w:pPr>
              <w:jc w:val="both"/>
              <w:rPr>
                <w:sz w:val="18"/>
                <w:szCs w:val="14"/>
                <w:highlight w:val="yellow"/>
                <w:lang w:val="fr-FR" w:eastAsia="en-US"/>
              </w:rPr>
            </w:pPr>
            <w:r w:rsidRPr="00B30A2D">
              <w:rPr>
                <w:sz w:val="18"/>
                <w:szCs w:val="14"/>
                <w:highlight w:val="yellow"/>
                <w:lang w:val="fr-FR" w:eastAsia="en-US"/>
              </w:rPr>
              <w:t>Amélioration des compétences</w:t>
            </w:r>
            <w:r w:rsidR="00D60DC9" w:rsidRPr="00B30A2D">
              <w:rPr>
                <w:sz w:val="18"/>
                <w:szCs w:val="14"/>
                <w:highlight w:val="yellow"/>
                <w:lang w:val="fr-FR" w:eastAsia="en-US"/>
              </w:rPr>
              <w:t xml:space="preserve"> d</w:t>
            </w:r>
            <w:r w:rsidRPr="00B30A2D">
              <w:rPr>
                <w:sz w:val="18"/>
                <w:szCs w:val="14"/>
                <w:highlight w:val="yellow"/>
                <w:lang w:val="fr-FR" w:eastAsia="en-US"/>
              </w:rPr>
              <w:t>e</w:t>
            </w:r>
            <w:r w:rsidR="00D60DC9" w:rsidRPr="00B30A2D">
              <w:rPr>
                <w:sz w:val="18"/>
                <w:szCs w:val="14"/>
                <w:highlight w:val="yellow"/>
                <w:lang w:val="fr-FR" w:eastAsia="en-US"/>
              </w:rPr>
              <w:t xml:space="preserve"> gestion des ressources humaines</w:t>
            </w:r>
          </w:p>
          <w:p w14:paraId="3CD14334" w14:textId="77777777" w:rsidR="00650C4A" w:rsidRPr="00B30A2D" w:rsidRDefault="00650C4A" w:rsidP="00D60DC9">
            <w:pPr>
              <w:jc w:val="both"/>
              <w:rPr>
                <w:sz w:val="18"/>
                <w:szCs w:val="14"/>
                <w:highlight w:val="yellow"/>
                <w:lang w:val="fr-FR" w:eastAsia="en-US"/>
              </w:rPr>
            </w:pPr>
          </w:p>
          <w:p w14:paraId="417141AD" w14:textId="77777777" w:rsidR="00650C4A" w:rsidRPr="00B30A2D" w:rsidRDefault="00650C4A" w:rsidP="00D60DC9">
            <w:pPr>
              <w:jc w:val="both"/>
              <w:rPr>
                <w:sz w:val="18"/>
                <w:szCs w:val="14"/>
                <w:lang w:val="fr-FR" w:eastAsia="en-US"/>
              </w:rPr>
            </w:pPr>
            <w:r w:rsidRPr="00B30A2D">
              <w:rPr>
                <w:sz w:val="18"/>
                <w:szCs w:val="14"/>
                <w:lang w:val="fr-FR" w:eastAsia="en-US"/>
              </w:rPr>
              <w:t>Ancien indicateur :</w:t>
            </w:r>
          </w:p>
          <w:p w14:paraId="5579C4A1" w14:textId="30F15EE4" w:rsidR="00650C4A" w:rsidRPr="00B30A2D" w:rsidRDefault="00650C4A" w:rsidP="00D60DC9">
            <w:pPr>
              <w:jc w:val="both"/>
              <w:rPr>
                <w:rFonts w:cs="Tahoma"/>
                <w:strike/>
                <w:sz w:val="18"/>
                <w:szCs w:val="14"/>
                <w:highlight w:val="yellow"/>
                <w:lang w:val="fr-FR" w:eastAsia="en-US"/>
              </w:rPr>
            </w:pPr>
            <w:r w:rsidRPr="00B30A2D">
              <w:rPr>
                <w:strike/>
                <w:sz w:val="18"/>
                <w:szCs w:val="14"/>
                <w:lang w:val="fr-FR" w:eastAsia="en-US"/>
              </w:rPr>
              <w:t>Niveau de transparence</w:t>
            </w:r>
          </w:p>
        </w:tc>
        <w:tc>
          <w:tcPr>
            <w:tcW w:w="1843" w:type="dxa"/>
            <w:shd w:val="clear" w:color="auto" w:fill="EEECE1"/>
          </w:tcPr>
          <w:p w14:paraId="3FC75011" w14:textId="77777777" w:rsidR="00650C4A" w:rsidRPr="00B30A2D" w:rsidRDefault="00650C4A" w:rsidP="00D60DC9">
            <w:pPr>
              <w:rPr>
                <w:sz w:val="18"/>
                <w:szCs w:val="14"/>
                <w:highlight w:val="yellow"/>
                <w:lang w:val="fr-FR" w:eastAsia="en-US"/>
              </w:rPr>
            </w:pPr>
          </w:p>
          <w:p w14:paraId="0DDBD9A9" w14:textId="17A8BF80" w:rsidR="000D7645" w:rsidRPr="00B30A2D" w:rsidRDefault="000D7645" w:rsidP="00D60DC9">
            <w:pPr>
              <w:rPr>
                <w:sz w:val="18"/>
                <w:szCs w:val="14"/>
                <w:highlight w:val="yellow"/>
                <w:lang w:val="fr-FR" w:eastAsia="en-US"/>
              </w:rPr>
            </w:pPr>
            <w:r w:rsidRPr="00B30A2D">
              <w:rPr>
                <w:sz w:val="18"/>
                <w:szCs w:val="14"/>
                <w:highlight w:val="yellow"/>
                <w:lang w:val="fr-FR" w:eastAsia="en-US"/>
              </w:rPr>
              <w:t>Niveau de compétences très faible</w:t>
            </w:r>
          </w:p>
          <w:p w14:paraId="336A3A8F" w14:textId="77777777" w:rsidR="00650C4A" w:rsidRPr="00B30A2D" w:rsidRDefault="00650C4A" w:rsidP="00D60DC9">
            <w:pPr>
              <w:rPr>
                <w:sz w:val="18"/>
                <w:szCs w:val="14"/>
                <w:highlight w:val="yellow"/>
                <w:lang w:val="fr-FR" w:eastAsia="en-US"/>
              </w:rPr>
            </w:pPr>
          </w:p>
          <w:p w14:paraId="1A99B7A4" w14:textId="77777777" w:rsidR="00650C4A" w:rsidRPr="00B30A2D" w:rsidRDefault="00650C4A" w:rsidP="00D60DC9">
            <w:pPr>
              <w:rPr>
                <w:sz w:val="18"/>
                <w:szCs w:val="14"/>
                <w:highlight w:val="yellow"/>
                <w:lang w:val="fr-FR" w:eastAsia="en-US"/>
              </w:rPr>
            </w:pPr>
          </w:p>
          <w:p w14:paraId="3B794B07" w14:textId="1626C953" w:rsidR="00650C4A" w:rsidRPr="00B30A2D" w:rsidRDefault="00650C4A" w:rsidP="00D60DC9">
            <w:pPr>
              <w:rPr>
                <w:strike/>
                <w:sz w:val="18"/>
                <w:szCs w:val="14"/>
                <w:highlight w:val="yellow"/>
                <w:lang w:val="fr-FR"/>
              </w:rPr>
            </w:pPr>
            <w:r w:rsidRPr="00B30A2D">
              <w:rPr>
                <w:strike/>
                <w:sz w:val="18"/>
                <w:szCs w:val="14"/>
                <w:lang w:val="fr-FR" w:eastAsia="en-US"/>
              </w:rPr>
              <w:t>Faible niveau de transparence</w:t>
            </w:r>
          </w:p>
        </w:tc>
        <w:tc>
          <w:tcPr>
            <w:tcW w:w="1843" w:type="dxa"/>
            <w:shd w:val="clear" w:color="auto" w:fill="EEECE1"/>
          </w:tcPr>
          <w:p w14:paraId="20717EFC" w14:textId="77777777" w:rsidR="00650C4A" w:rsidRPr="00B30A2D" w:rsidRDefault="00650C4A" w:rsidP="00D60DC9">
            <w:pPr>
              <w:rPr>
                <w:sz w:val="18"/>
                <w:szCs w:val="14"/>
                <w:highlight w:val="yellow"/>
                <w:lang w:val="fr-FR" w:eastAsia="en-US"/>
              </w:rPr>
            </w:pPr>
          </w:p>
          <w:p w14:paraId="38033DE4" w14:textId="5C57695A" w:rsidR="000D7645" w:rsidRPr="00B30A2D" w:rsidRDefault="000D7645" w:rsidP="00D60DC9">
            <w:pPr>
              <w:rPr>
                <w:sz w:val="18"/>
                <w:szCs w:val="14"/>
                <w:highlight w:val="yellow"/>
                <w:lang w:val="fr-FR" w:eastAsia="en-US"/>
              </w:rPr>
            </w:pPr>
            <w:r w:rsidRPr="00B30A2D">
              <w:rPr>
                <w:sz w:val="18"/>
                <w:szCs w:val="14"/>
                <w:highlight w:val="yellow"/>
                <w:lang w:val="fr-FR" w:eastAsia="en-US"/>
              </w:rPr>
              <w:t>Niveau de compétences fort</w:t>
            </w:r>
          </w:p>
          <w:p w14:paraId="56F0F018" w14:textId="17137DDF" w:rsidR="00650C4A" w:rsidRPr="00B30A2D" w:rsidRDefault="00650C4A" w:rsidP="00D60DC9">
            <w:pPr>
              <w:rPr>
                <w:sz w:val="18"/>
                <w:szCs w:val="14"/>
                <w:highlight w:val="yellow"/>
                <w:lang w:val="fr-FR" w:eastAsia="en-US"/>
              </w:rPr>
            </w:pPr>
          </w:p>
          <w:p w14:paraId="61D0822A" w14:textId="171E8144" w:rsidR="00650C4A" w:rsidRPr="00B30A2D" w:rsidRDefault="00650C4A" w:rsidP="00D60DC9">
            <w:pPr>
              <w:rPr>
                <w:sz w:val="18"/>
                <w:szCs w:val="14"/>
                <w:highlight w:val="yellow"/>
                <w:lang w:val="fr-FR" w:eastAsia="en-US"/>
              </w:rPr>
            </w:pPr>
          </w:p>
          <w:p w14:paraId="0851D8C9" w14:textId="77777777" w:rsidR="00650C4A" w:rsidRPr="00B30A2D" w:rsidRDefault="00650C4A" w:rsidP="00D60DC9">
            <w:pPr>
              <w:rPr>
                <w:sz w:val="18"/>
                <w:szCs w:val="14"/>
                <w:highlight w:val="yellow"/>
                <w:lang w:val="fr-FR" w:eastAsia="en-US"/>
              </w:rPr>
            </w:pPr>
          </w:p>
          <w:p w14:paraId="37400CA8" w14:textId="7437B1B1" w:rsidR="00650C4A" w:rsidRPr="00B30A2D" w:rsidRDefault="00650C4A" w:rsidP="00D60DC9">
            <w:pPr>
              <w:rPr>
                <w:strike/>
                <w:sz w:val="18"/>
                <w:szCs w:val="14"/>
                <w:highlight w:val="yellow"/>
                <w:lang w:val="fr-FR"/>
              </w:rPr>
            </w:pPr>
            <w:r w:rsidRPr="00B30A2D">
              <w:rPr>
                <w:strike/>
                <w:sz w:val="18"/>
                <w:szCs w:val="14"/>
                <w:lang w:val="fr-FR" w:eastAsia="en-US"/>
              </w:rPr>
              <w:t>Amélioration du niveau de transparence</w:t>
            </w:r>
          </w:p>
        </w:tc>
        <w:tc>
          <w:tcPr>
            <w:tcW w:w="1984" w:type="dxa"/>
          </w:tcPr>
          <w:p w14:paraId="2F325CF4" w14:textId="77777777" w:rsidR="00D60DC9" w:rsidRPr="00B30A2D" w:rsidRDefault="00D60DC9" w:rsidP="00D60DC9">
            <w:pPr>
              <w:rPr>
                <w:sz w:val="18"/>
                <w:szCs w:val="14"/>
                <w:lang w:val="fr-FR"/>
              </w:rPr>
            </w:pPr>
            <w:r w:rsidRPr="00B30A2D">
              <w:rPr>
                <w:sz w:val="18"/>
                <w:szCs w:val="14"/>
                <w:lang w:val="fr-FR"/>
              </w:rPr>
              <w:fldChar w:fldCharType="begin">
                <w:ffData>
                  <w:name w:val=""/>
                  <w:enabled/>
                  <w:calcOnExit w:val="0"/>
                  <w:textInput>
                    <w:maxLength w:val="300"/>
                  </w:textInput>
                </w:ffData>
              </w:fldChar>
            </w:r>
            <w:r w:rsidRPr="00B30A2D">
              <w:rPr>
                <w:sz w:val="18"/>
                <w:szCs w:val="14"/>
                <w:lang w:val="fr-FR"/>
              </w:rPr>
              <w:instrText xml:space="preserve"> FORMTEXT </w:instrText>
            </w:r>
            <w:r w:rsidRPr="00B30A2D">
              <w:rPr>
                <w:sz w:val="18"/>
                <w:szCs w:val="14"/>
                <w:lang w:val="fr-FR"/>
              </w:rPr>
            </w:r>
            <w:r w:rsidRPr="00B30A2D">
              <w:rPr>
                <w:sz w:val="18"/>
                <w:szCs w:val="14"/>
                <w:lang w:val="fr-FR"/>
              </w:rPr>
              <w:fldChar w:fldCharType="separate"/>
            </w:r>
            <w:r w:rsidRPr="00B30A2D">
              <w:rPr>
                <w:sz w:val="18"/>
                <w:szCs w:val="14"/>
                <w:lang w:val="fr-FR"/>
              </w:rPr>
              <w:t> </w:t>
            </w:r>
            <w:r w:rsidRPr="00B30A2D">
              <w:rPr>
                <w:sz w:val="18"/>
                <w:szCs w:val="14"/>
                <w:lang w:val="fr-FR"/>
              </w:rPr>
              <w:t> </w:t>
            </w:r>
            <w:r w:rsidRPr="00B30A2D">
              <w:rPr>
                <w:sz w:val="18"/>
                <w:szCs w:val="14"/>
                <w:lang w:val="fr-FR"/>
              </w:rPr>
              <w:t> </w:t>
            </w:r>
            <w:r w:rsidRPr="00B30A2D">
              <w:rPr>
                <w:sz w:val="18"/>
                <w:szCs w:val="14"/>
                <w:lang w:val="fr-FR"/>
              </w:rPr>
              <w:t> </w:t>
            </w:r>
            <w:r w:rsidRPr="00B30A2D">
              <w:rPr>
                <w:sz w:val="18"/>
                <w:szCs w:val="14"/>
                <w:lang w:val="fr-FR"/>
              </w:rPr>
              <w:t> </w:t>
            </w:r>
            <w:r w:rsidRPr="00B30A2D">
              <w:rPr>
                <w:sz w:val="18"/>
                <w:szCs w:val="14"/>
                <w:lang w:val="fr-FR"/>
              </w:rPr>
              <w:fldChar w:fldCharType="end"/>
            </w:r>
          </w:p>
        </w:tc>
        <w:tc>
          <w:tcPr>
            <w:tcW w:w="2693" w:type="dxa"/>
          </w:tcPr>
          <w:p w14:paraId="6F05D563" w14:textId="7689169A" w:rsidR="00D60DC9" w:rsidRPr="00B30A2D" w:rsidRDefault="000D7645" w:rsidP="00D60DC9">
            <w:pPr>
              <w:rPr>
                <w:sz w:val="18"/>
                <w:szCs w:val="14"/>
                <w:highlight w:val="yellow"/>
                <w:lang w:val="fr-FR"/>
              </w:rPr>
            </w:pPr>
            <w:r w:rsidRPr="00B30A2D">
              <w:rPr>
                <w:sz w:val="18"/>
                <w:szCs w:val="14"/>
                <w:highlight w:val="yellow"/>
                <w:lang w:val="fr-FR"/>
              </w:rPr>
              <w:t>Niveau de compétences moyen pour les agents et cadres des Forces de Sécurité Intérieure chargés de la gestion des ressources</w:t>
            </w:r>
          </w:p>
          <w:p w14:paraId="1A3C6974" w14:textId="77777777" w:rsidR="000D7645" w:rsidRPr="00B30A2D" w:rsidRDefault="000D7645" w:rsidP="00D60DC9">
            <w:pPr>
              <w:rPr>
                <w:sz w:val="18"/>
                <w:szCs w:val="14"/>
                <w:highlight w:val="yellow"/>
                <w:lang w:val="fr-FR"/>
              </w:rPr>
            </w:pPr>
            <w:r w:rsidRPr="00B30A2D">
              <w:rPr>
                <w:sz w:val="18"/>
                <w:szCs w:val="14"/>
                <w:highlight w:val="yellow"/>
                <w:lang w:val="fr-FR"/>
              </w:rPr>
              <w:t>Niveau de compétences fort pour les responsables GRH</w:t>
            </w:r>
          </w:p>
          <w:p w14:paraId="7D9F9368" w14:textId="77777777" w:rsidR="0039662C" w:rsidRPr="00B30A2D" w:rsidRDefault="0039662C" w:rsidP="00D60DC9">
            <w:pPr>
              <w:rPr>
                <w:sz w:val="18"/>
                <w:szCs w:val="14"/>
                <w:highlight w:val="yellow"/>
                <w:lang w:val="fr-FR"/>
              </w:rPr>
            </w:pPr>
          </w:p>
          <w:p w14:paraId="3A24C0E7" w14:textId="68CC387A" w:rsidR="000D7645" w:rsidRPr="00B30A2D" w:rsidRDefault="000D7645" w:rsidP="00D60DC9">
            <w:pPr>
              <w:rPr>
                <w:sz w:val="18"/>
                <w:szCs w:val="14"/>
                <w:highlight w:val="yellow"/>
                <w:lang w:val="fr-FR"/>
              </w:rPr>
            </w:pPr>
            <w:r w:rsidRPr="00B30A2D">
              <w:rPr>
                <w:sz w:val="18"/>
                <w:szCs w:val="14"/>
                <w:highlight w:val="yellow"/>
                <w:lang w:val="fr-FR"/>
              </w:rPr>
              <w:t>Source : Rapport consultant GRH suite à des tests de prérequis et en fin de cycle.</w:t>
            </w:r>
          </w:p>
        </w:tc>
        <w:tc>
          <w:tcPr>
            <w:tcW w:w="2399" w:type="dxa"/>
          </w:tcPr>
          <w:p w14:paraId="2F09239A" w14:textId="28F61300" w:rsidR="00D60DC9" w:rsidRPr="00B30A2D" w:rsidRDefault="000D7645" w:rsidP="00D60DC9">
            <w:pPr>
              <w:rPr>
                <w:sz w:val="18"/>
                <w:szCs w:val="14"/>
                <w:lang w:val="fr-FR"/>
              </w:rPr>
            </w:pPr>
            <w:r w:rsidRPr="00B30A2D">
              <w:rPr>
                <w:sz w:val="18"/>
                <w:szCs w:val="14"/>
                <w:lang w:val="fr-FR" w:eastAsia="en-US"/>
              </w:rPr>
              <w:t>Suite aux difficultés de mesurer l’ancien indicateur de ce résultat, une proposition de modification de l’indicateur est proposée ci-contre.</w:t>
            </w:r>
          </w:p>
        </w:tc>
      </w:tr>
      <w:tr w:rsidR="00D60DC9" w:rsidRPr="00B30A2D" w14:paraId="6DDA32A5" w14:textId="77777777" w:rsidTr="00132068">
        <w:trPr>
          <w:trHeight w:val="422"/>
        </w:trPr>
        <w:tc>
          <w:tcPr>
            <w:tcW w:w="2269" w:type="dxa"/>
            <w:vMerge/>
          </w:tcPr>
          <w:p w14:paraId="15FC499C" w14:textId="77777777" w:rsidR="00D60DC9" w:rsidRPr="00B30A2D" w:rsidRDefault="00D60DC9" w:rsidP="00D60DC9">
            <w:pPr>
              <w:rPr>
                <w:rFonts w:cs="Tahoma"/>
                <w:sz w:val="18"/>
                <w:szCs w:val="14"/>
                <w:lang w:val="fr-FR" w:eastAsia="en-US"/>
              </w:rPr>
            </w:pPr>
          </w:p>
        </w:tc>
        <w:tc>
          <w:tcPr>
            <w:tcW w:w="2268" w:type="dxa"/>
            <w:shd w:val="clear" w:color="auto" w:fill="EEECE1"/>
          </w:tcPr>
          <w:p w14:paraId="0AA09BD9"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2.2</w:t>
            </w:r>
          </w:p>
          <w:p w14:paraId="4E8793D2" w14:textId="58DA47F2" w:rsidR="00D60DC9" w:rsidRPr="00B30A2D" w:rsidRDefault="00D60DC9" w:rsidP="00D60DC9">
            <w:pPr>
              <w:jc w:val="both"/>
              <w:rPr>
                <w:rFonts w:cs="Tahoma"/>
                <w:sz w:val="18"/>
                <w:szCs w:val="14"/>
                <w:lang w:val="fr-FR" w:eastAsia="en-US"/>
              </w:rPr>
            </w:pPr>
            <w:r w:rsidRPr="00B30A2D">
              <w:rPr>
                <w:sz w:val="18"/>
                <w:szCs w:val="14"/>
                <w:lang w:val="fr-FR" w:eastAsia="en-US"/>
              </w:rPr>
              <w:t>Nombre des policiers et gendarmes facilités à la retraite dans la paix.</w:t>
            </w:r>
          </w:p>
        </w:tc>
        <w:tc>
          <w:tcPr>
            <w:tcW w:w="1843" w:type="dxa"/>
            <w:shd w:val="clear" w:color="auto" w:fill="EEECE1"/>
          </w:tcPr>
          <w:p w14:paraId="4BD7D132" w14:textId="77777777" w:rsidR="002124C9" w:rsidRPr="00B30A2D" w:rsidRDefault="002124C9" w:rsidP="00D60DC9">
            <w:pPr>
              <w:rPr>
                <w:sz w:val="18"/>
                <w:szCs w:val="14"/>
                <w:lang w:val="fr-FR" w:eastAsia="en-US"/>
              </w:rPr>
            </w:pPr>
          </w:p>
          <w:p w14:paraId="423EBDC6" w14:textId="05BD57A4" w:rsidR="00D60DC9" w:rsidRPr="00B30A2D" w:rsidRDefault="00D60DC9" w:rsidP="00D60DC9">
            <w:pPr>
              <w:rPr>
                <w:sz w:val="18"/>
                <w:szCs w:val="14"/>
                <w:lang w:val="fr-FR"/>
              </w:rPr>
            </w:pPr>
            <w:r w:rsidRPr="00B30A2D">
              <w:rPr>
                <w:sz w:val="18"/>
                <w:szCs w:val="14"/>
                <w:lang w:val="fr-FR" w:eastAsia="en-US"/>
              </w:rPr>
              <w:t>0 policier et 0 gendarme admis à la retraite</w:t>
            </w:r>
          </w:p>
        </w:tc>
        <w:tc>
          <w:tcPr>
            <w:tcW w:w="1843" w:type="dxa"/>
            <w:shd w:val="clear" w:color="auto" w:fill="EEECE1"/>
          </w:tcPr>
          <w:p w14:paraId="46C84E77" w14:textId="77777777" w:rsidR="002124C9" w:rsidRPr="00B30A2D" w:rsidRDefault="002124C9" w:rsidP="00D60DC9">
            <w:pPr>
              <w:rPr>
                <w:sz w:val="18"/>
                <w:szCs w:val="14"/>
                <w:lang w:val="fr-FR" w:eastAsia="en-US"/>
              </w:rPr>
            </w:pPr>
          </w:p>
          <w:p w14:paraId="7C0330A3" w14:textId="318141DB" w:rsidR="00D60DC9" w:rsidRPr="00B30A2D" w:rsidRDefault="00D60DC9" w:rsidP="00D60DC9">
            <w:pPr>
              <w:rPr>
                <w:sz w:val="18"/>
                <w:szCs w:val="14"/>
                <w:lang w:val="fr-FR"/>
              </w:rPr>
            </w:pPr>
            <w:r w:rsidRPr="00B30A2D">
              <w:rPr>
                <w:sz w:val="18"/>
                <w:szCs w:val="14"/>
                <w:lang w:val="fr-FR" w:eastAsia="en-US"/>
              </w:rPr>
              <w:t>500 policiers et gendarmes admis à la retraite</w:t>
            </w:r>
          </w:p>
        </w:tc>
        <w:tc>
          <w:tcPr>
            <w:tcW w:w="1984" w:type="dxa"/>
          </w:tcPr>
          <w:p w14:paraId="216DEA02" w14:textId="41D4A060" w:rsidR="00D60DC9" w:rsidRPr="00B30A2D" w:rsidRDefault="00D60DC9" w:rsidP="00D60DC9">
            <w:pPr>
              <w:rPr>
                <w:sz w:val="18"/>
                <w:szCs w:val="14"/>
                <w:lang w:val="fr-FR"/>
              </w:rPr>
            </w:pPr>
          </w:p>
        </w:tc>
        <w:tc>
          <w:tcPr>
            <w:tcW w:w="2693" w:type="dxa"/>
          </w:tcPr>
          <w:p w14:paraId="10B70DE5" w14:textId="3C474757" w:rsidR="00D60DC9" w:rsidRPr="00B30A2D" w:rsidRDefault="00D60DC9" w:rsidP="00D60DC9">
            <w:pPr>
              <w:rPr>
                <w:sz w:val="18"/>
                <w:szCs w:val="14"/>
                <w:lang w:val="fr-FR"/>
              </w:rPr>
            </w:pPr>
            <w:r w:rsidRPr="00B30A2D">
              <w:rPr>
                <w:sz w:val="18"/>
                <w:szCs w:val="14"/>
                <w:lang w:val="fr-FR"/>
              </w:rPr>
              <w:t>439 dont 59 femmes (58 femmes à la police et 01 femme à la gendarmerie) ont été appuyés pour la facilitation de départ à la retraite</w:t>
            </w:r>
          </w:p>
        </w:tc>
        <w:tc>
          <w:tcPr>
            <w:tcW w:w="2399" w:type="dxa"/>
          </w:tcPr>
          <w:p w14:paraId="599CC263"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433021" w14:paraId="24D5CF99" w14:textId="77777777" w:rsidTr="00132068">
        <w:trPr>
          <w:trHeight w:val="422"/>
        </w:trPr>
        <w:tc>
          <w:tcPr>
            <w:tcW w:w="2269" w:type="dxa"/>
            <w:vMerge w:val="restart"/>
          </w:tcPr>
          <w:p w14:paraId="26C8010E" w14:textId="77777777" w:rsidR="00D60DC9" w:rsidRPr="00B30A2D" w:rsidRDefault="00D60DC9" w:rsidP="00D60DC9">
            <w:pPr>
              <w:rPr>
                <w:rFonts w:cs="Tahoma"/>
                <w:sz w:val="18"/>
                <w:szCs w:val="14"/>
                <w:lang w:val="fr-FR" w:eastAsia="en-US"/>
              </w:rPr>
            </w:pPr>
            <w:r w:rsidRPr="00B30A2D">
              <w:rPr>
                <w:rFonts w:cs="Tahoma"/>
                <w:sz w:val="18"/>
                <w:szCs w:val="14"/>
                <w:lang w:val="fr-FR" w:eastAsia="en-US"/>
              </w:rPr>
              <w:t>Produit 2.1</w:t>
            </w:r>
          </w:p>
          <w:p w14:paraId="0075BE1D" w14:textId="1341C40D" w:rsidR="00D60DC9" w:rsidRPr="00B30A2D" w:rsidRDefault="00D60DC9" w:rsidP="00D60DC9">
            <w:pPr>
              <w:rPr>
                <w:rFonts w:cs="Tahoma"/>
                <w:b/>
                <w:sz w:val="18"/>
                <w:szCs w:val="14"/>
                <w:lang w:val="fr-FR" w:eastAsia="en-US"/>
              </w:rPr>
            </w:pPr>
            <w:r w:rsidRPr="00B30A2D">
              <w:rPr>
                <w:sz w:val="18"/>
                <w:szCs w:val="14"/>
                <w:lang w:val="fr-FR" w:eastAsia="en-US"/>
              </w:rPr>
              <w:t>Le départ à la retraite est facilité à travers le paiement d’une prime et le renforcement des mécanismes de gestion des ressources humaines.</w:t>
            </w:r>
          </w:p>
        </w:tc>
        <w:tc>
          <w:tcPr>
            <w:tcW w:w="2268" w:type="dxa"/>
            <w:shd w:val="clear" w:color="auto" w:fill="EEECE1"/>
          </w:tcPr>
          <w:p w14:paraId="400B06FF"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2.1.1</w:t>
            </w:r>
          </w:p>
          <w:p w14:paraId="021841C7" w14:textId="3E7200A1" w:rsidR="00D60DC9" w:rsidRPr="00B30A2D" w:rsidRDefault="00D60DC9" w:rsidP="00D60DC9">
            <w:pPr>
              <w:jc w:val="both"/>
              <w:rPr>
                <w:rFonts w:cs="Tahoma"/>
                <w:sz w:val="18"/>
                <w:szCs w:val="14"/>
                <w:lang w:val="fr-FR" w:eastAsia="en-US"/>
              </w:rPr>
            </w:pPr>
            <w:r w:rsidRPr="00B30A2D">
              <w:rPr>
                <w:sz w:val="18"/>
                <w:szCs w:val="14"/>
                <w:lang w:val="fr-FR" w:eastAsia="en-US"/>
              </w:rPr>
              <w:t>Nombre de personnes mises à la retraite effectivement à travers le paiement des arriérés par le projet.</w:t>
            </w:r>
          </w:p>
        </w:tc>
        <w:tc>
          <w:tcPr>
            <w:tcW w:w="1843" w:type="dxa"/>
            <w:shd w:val="clear" w:color="auto" w:fill="EEECE1"/>
          </w:tcPr>
          <w:p w14:paraId="0E2A26FC" w14:textId="77777777" w:rsidR="002124C9" w:rsidRPr="00B30A2D" w:rsidRDefault="002124C9" w:rsidP="00D60DC9">
            <w:pPr>
              <w:rPr>
                <w:sz w:val="18"/>
                <w:szCs w:val="14"/>
                <w:lang w:val="fr-FR" w:eastAsia="en-US"/>
              </w:rPr>
            </w:pPr>
          </w:p>
          <w:p w14:paraId="77A025C3" w14:textId="1D8EE66A" w:rsidR="00D60DC9" w:rsidRPr="00B30A2D" w:rsidRDefault="00D60DC9" w:rsidP="00D60DC9">
            <w:pPr>
              <w:rPr>
                <w:sz w:val="18"/>
                <w:szCs w:val="14"/>
                <w:lang w:val="fr-FR"/>
              </w:rPr>
            </w:pPr>
            <w:r w:rsidRPr="00B30A2D">
              <w:rPr>
                <w:sz w:val="18"/>
                <w:szCs w:val="14"/>
                <w:lang w:val="fr-FR" w:eastAsia="en-US"/>
              </w:rPr>
              <w:t>Pas de départ à la retraite depuis 2010</w:t>
            </w:r>
          </w:p>
        </w:tc>
        <w:tc>
          <w:tcPr>
            <w:tcW w:w="1843" w:type="dxa"/>
            <w:shd w:val="clear" w:color="auto" w:fill="EEECE1"/>
          </w:tcPr>
          <w:p w14:paraId="1180655D" w14:textId="77777777" w:rsidR="002124C9" w:rsidRPr="00B30A2D" w:rsidRDefault="002124C9" w:rsidP="00D60DC9">
            <w:pPr>
              <w:rPr>
                <w:sz w:val="18"/>
                <w:szCs w:val="14"/>
                <w:lang w:val="fr-FR" w:eastAsia="en-US"/>
              </w:rPr>
            </w:pPr>
          </w:p>
          <w:p w14:paraId="55D5AC11" w14:textId="0226470D" w:rsidR="00D60DC9" w:rsidRPr="00B30A2D" w:rsidRDefault="00D60DC9" w:rsidP="00D60DC9">
            <w:pPr>
              <w:rPr>
                <w:sz w:val="18"/>
                <w:szCs w:val="14"/>
                <w:lang w:val="fr-FR"/>
              </w:rPr>
            </w:pPr>
            <w:r w:rsidRPr="00B30A2D">
              <w:rPr>
                <w:sz w:val="18"/>
                <w:szCs w:val="14"/>
                <w:lang w:val="fr-FR" w:eastAsia="en-US"/>
              </w:rPr>
              <w:t>500 départs à la retraite</w:t>
            </w:r>
          </w:p>
        </w:tc>
        <w:tc>
          <w:tcPr>
            <w:tcW w:w="1984" w:type="dxa"/>
          </w:tcPr>
          <w:p w14:paraId="0136ED42" w14:textId="066F1C6B" w:rsidR="00D60DC9" w:rsidRPr="00B30A2D" w:rsidRDefault="00D60DC9" w:rsidP="00D60DC9">
            <w:pPr>
              <w:rPr>
                <w:sz w:val="18"/>
                <w:szCs w:val="14"/>
                <w:lang w:val="fr-FR"/>
              </w:rPr>
            </w:pPr>
          </w:p>
        </w:tc>
        <w:tc>
          <w:tcPr>
            <w:tcW w:w="2693" w:type="dxa"/>
          </w:tcPr>
          <w:p w14:paraId="3338B1BA" w14:textId="7CCB3344" w:rsidR="00D60DC9" w:rsidRPr="00B30A2D" w:rsidRDefault="00D60DC9" w:rsidP="00D60DC9">
            <w:pPr>
              <w:rPr>
                <w:sz w:val="18"/>
                <w:szCs w:val="14"/>
                <w:lang w:val="fr-FR"/>
              </w:rPr>
            </w:pPr>
            <w:r w:rsidRPr="00B30A2D">
              <w:rPr>
                <w:sz w:val="18"/>
                <w:szCs w:val="14"/>
                <w:lang w:val="fr-FR"/>
              </w:rPr>
              <w:t>Sur un total de 446, 439 dont 59 femmes (58 femmes à la police et 01 femme à la gendarmerie) ont été appuyés pour la facilitation de départ à la retraite</w:t>
            </w:r>
          </w:p>
        </w:tc>
        <w:tc>
          <w:tcPr>
            <w:tcW w:w="2399" w:type="dxa"/>
          </w:tcPr>
          <w:p w14:paraId="2107019E" w14:textId="1661DAFC" w:rsidR="00D60DC9" w:rsidRPr="00B30A2D" w:rsidRDefault="00D60DC9" w:rsidP="00D60DC9">
            <w:pPr>
              <w:rPr>
                <w:sz w:val="18"/>
                <w:szCs w:val="14"/>
                <w:lang w:val="fr-FR"/>
              </w:rPr>
            </w:pPr>
            <w:r w:rsidRPr="00B30A2D">
              <w:rPr>
                <w:sz w:val="18"/>
                <w:szCs w:val="14"/>
                <w:lang w:val="fr-FR"/>
              </w:rPr>
              <w:t>07</w:t>
            </w:r>
            <w:r w:rsidRPr="00B30A2D">
              <w:rPr>
                <w:sz w:val="18"/>
                <w:szCs w:val="14"/>
                <w:lang w:val="fr-FR" w:eastAsia="en-US"/>
              </w:rPr>
              <w:t xml:space="preserve"> personnes ou leurs ayants droit n'ayant pas encore présenté les documents nécessaires</w:t>
            </w:r>
          </w:p>
        </w:tc>
      </w:tr>
      <w:tr w:rsidR="00D60DC9" w:rsidRPr="00B30A2D" w14:paraId="3E4237A1" w14:textId="77777777" w:rsidTr="00132068">
        <w:trPr>
          <w:trHeight w:val="458"/>
        </w:trPr>
        <w:tc>
          <w:tcPr>
            <w:tcW w:w="2269" w:type="dxa"/>
            <w:vMerge/>
          </w:tcPr>
          <w:p w14:paraId="3989DD76" w14:textId="77777777" w:rsidR="00D60DC9" w:rsidRPr="00B30A2D" w:rsidRDefault="00D60DC9" w:rsidP="00D60DC9">
            <w:pPr>
              <w:rPr>
                <w:rFonts w:cs="Tahoma"/>
                <w:b/>
                <w:sz w:val="18"/>
                <w:szCs w:val="14"/>
                <w:lang w:val="fr-FR" w:eastAsia="en-US"/>
              </w:rPr>
            </w:pPr>
          </w:p>
        </w:tc>
        <w:tc>
          <w:tcPr>
            <w:tcW w:w="2268" w:type="dxa"/>
            <w:shd w:val="clear" w:color="auto" w:fill="EEECE1"/>
          </w:tcPr>
          <w:p w14:paraId="7901D4E3"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2.1.2</w:t>
            </w:r>
          </w:p>
          <w:p w14:paraId="565108E4" w14:textId="7C5F0808" w:rsidR="00D60DC9" w:rsidRPr="00B30A2D" w:rsidRDefault="00D60DC9" w:rsidP="00D60DC9">
            <w:pPr>
              <w:jc w:val="both"/>
              <w:rPr>
                <w:rFonts w:cs="Tahoma"/>
                <w:sz w:val="18"/>
                <w:szCs w:val="14"/>
                <w:lang w:val="fr-FR" w:eastAsia="en-US"/>
              </w:rPr>
            </w:pPr>
            <w:r w:rsidRPr="00B30A2D">
              <w:rPr>
                <w:sz w:val="18"/>
                <w:szCs w:val="14"/>
                <w:lang w:val="fr-FR" w:eastAsia="en-US"/>
              </w:rPr>
              <w:t>Nombre d’audit réalisé</w:t>
            </w:r>
          </w:p>
        </w:tc>
        <w:tc>
          <w:tcPr>
            <w:tcW w:w="1843" w:type="dxa"/>
            <w:shd w:val="clear" w:color="auto" w:fill="EEECE1"/>
          </w:tcPr>
          <w:p w14:paraId="27F916C9" w14:textId="77777777" w:rsidR="002124C9" w:rsidRPr="00B30A2D" w:rsidRDefault="002124C9" w:rsidP="00D60DC9">
            <w:pPr>
              <w:rPr>
                <w:sz w:val="18"/>
                <w:szCs w:val="14"/>
                <w:lang w:val="fr-FR" w:eastAsia="en-US"/>
              </w:rPr>
            </w:pPr>
          </w:p>
          <w:p w14:paraId="7DCEF98D" w14:textId="463630C0" w:rsidR="00D60DC9" w:rsidRPr="00B30A2D" w:rsidRDefault="00D60DC9" w:rsidP="00D60DC9">
            <w:pPr>
              <w:rPr>
                <w:sz w:val="18"/>
                <w:szCs w:val="14"/>
                <w:lang w:val="fr-FR"/>
              </w:rPr>
            </w:pPr>
            <w:r w:rsidRPr="00B30A2D">
              <w:rPr>
                <w:sz w:val="18"/>
                <w:szCs w:val="14"/>
                <w:lang w:val="fr-FR" w:eastAsia="en-US"/>
              </w:rPr>
              <w:t>Aucun audit</w:t>
            </w:r>
          </w:p>
        </w:tc>
        <w:tc>
          <w:tcPr>
            <w:tcW w:w="1843" w:type="dxa"/>
            <w:shd w:val="clear" w:color="auto" w:fill="EEECE1"/>
          </w:tcPr>
          <w:p w14:paraId="07F4FAF1" w14:textId="77777777" w:rsidR="002124C9" w:rsidRPr="00B30A2D" w:rsidRDefault="002124C9" w:rsidP="00D60DC9">
            <w:pPr>
              <w:rPr>
                <w:sz w:val="18"/>
                <w:szCs w:val="14"/>
                <w:lang w:val="fr-FR" w:eastAsia="en-US"/>
              </w:rPr>
            </w:pPr>
          </w:p>
          <w:p w14:paraId="0848978D" w14:textId="19EBD91D" w:rsidR="00D60DC9" w:rsidRPr="00B30A2D" w:rsidRDefault="00D60DC9" w:rsidP="00D60DC9">
            <w:pPr>
              <w:rPr>
                <w:sz w:val="18"/>
                <w:szCs w:val="14"/>
                <w:lang w:val="fr-FR"/>
              </w:rPr>
            </w:pPr>
            <w:r w:rsidRPr="00B30A2D">
              <w:rPr>
                <w:sz w:val="18"/>
                <w:szCs w:val="14"/>
                <w:lang w:val="fr-FR" w:eastAsia="en-US"/>
              </w:rPr>
              <w:t>Un audit</w:t>
            </w:r>
          </w:p>
        </w:tc>
        <w:tc>
          <w:tcPr>
            <w:tcW w:w="1984" w:type="dxa"/>
          </w:tcPr>
          <w:p w14:paraId="63EAC37A"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c>
          <w:tcPr>
            <w:tcW w:w="2693" w:type="dxa"/>
          </w:tcPr>
          <w:p w14:paraId="405A158F" w14:textId="5A3CE16C" w:rsidR="00D60DC9" w:rsidRPr="00B30A2D" w:rsidRDefault="00D60DC9" w:rsidP="00D60DC9">
            <w:pPr>
              <w:rPr>
                <w:sz w:val="18"/>
                <w:szCs w:val="14"/>
                <w:lang w:val="fr-FR"/>
              </w:rPr>
            </w:pPr>
            <w:r w:rsidRPr="00B30A2D">
              <w:rPr>
                <w:sz w:val="18"/>
                <w:szCs w:val="14"/>
                <w:lang w:val="fr-FR"/>
              </w:rPr>
              <w:t>Audit réalisé</w:t>
            </w:r>
          </w:p>
        </w:tc>
        <w:tc>
          <w:tcPr>
            <w:tcW w:w="2399" w:type="dxa"/>
          </w:tcPr>
          <w:p w14:paraId="5AF9DA8D"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B30A2D" w14:paraId="2407E0AE" w14:textId="77777777" w:rsidTr="00132068">
        <w:trPr>
          <w:trHeight w:val="512"/>
        </w:trPr>
        <w:tc>
          <w:tcPr>
            <w:tcW w:w="2269" w:type="dxa"/>
          </w:tcPr>
          <w:p w14:paraId="3EC71105" w14:textId="77777777" w:rsidR="00D60DC9" w:rsidRPr="00B30A2D" w:rsidRDefault="00D60DC9" w:rsidP="00D60DC9">
            <w:pPr>
              <w:rPr>
                <w:rFonts w:cs="Tahoma"/>
                <w:sz w:val="18"/>
                <w:szCs w:val="14"/>
                <w:lang w:val="fr-FR" w:eastAsia="en-US"/>
              </w:rPr>
            </w:pPr>
            <w:r w:rsidRPr="00B30A2D">
              <w:rPr>
                <w:rFonts w:cs="Tahoma"/>
                <w:sz w:val="18"/>
                <w:szCs w:val="14"/>
                <w:lang w:val="fr-FR" w:eastAsia="en-US"/>
              </w:rPr>
              <w:t>Produit 2.2</w:t>
            </w:r>
          </w:p>
          <w:p w14:paraId="75E4C980" w14:textId="0B90F5CB" w:rsidR="00D60DC9" w:rsidRPr="00B30A2D" w:rsidRDefault="00D60DC9" w:rsidP="00D60DC9">
            <w:pPr>
              <w:rPr>
                <w:rFonts w:cs="Tahoma"/>
                <w:sz w:val="18"/>
                <w:szCs w:val="14"/>
                <w:lang w:val="fr-FR" w:eastAsia="en-US"/>
              </w:rPr>
            </w:pPr>
            <w:r w:rsidRPr="00B30A2D">
              <w:rPr>
                <w:sz w:val="18"/>
                <w:szCs w:val="14"/>
                <w:lang w:val="fr-FR" w:eastAsia="en-US"/>
              </w:rPr>
              <w:t>Les capacités des services des ressources humaines de la police et de la gendarmerie sont renforcées pour une intégration transparente et représentative des nouvelles recrues au sein des FSI.</w:t>
            </w:r>
          </w:p>
        </w:tc>
        <w:tc>
          <w:tcPr>
            <w:tcW w:w="2268" w:type="dxa"/>
            <w:shd w:val="clear" w:color="auto" w:fill="EEECE1"/>
          </w:tcPr>
          <w:p w14:paraId="651327C9"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2.2.1</w:t>
            </w:r>
          </w:p>
          <w:p w14:paraId="2AEA46A0" w14:textId="37BEF1D8" w:rsidR="00D60DC9" w:rsidRPr="00B30A2D" w:rsidRDefault="00D60DC9" w:rsidP="00D60DC9">
            <w:pPr>
              <w:jc w:val="both"/>
              <w:rPr>
                <w:rFonts w:cs="Tahoma"/>
                <w:sz w:val="18"/>
                <w:szCs w:val="14"/>
                <w:lang w:val="fr-FR" w:eastAsia="en-US"/>
              </w:rPr>
            </w:pPr>
            <w:r w:rsidRPr="00B30A2D">
              <w:rPr>
                <w:sz w:val="18"/>
                <w:szCs w:val="14"/>
                <w:lang w:val="fr-FR" w:eastAsia="en-US"/>
              </w:rPr>
              <w:t>% des cadres et agents des directions générales de la police et de la gendarmerie formés</w:t>
            </w:r>
          </w:p>
        </w:tc>
        <w:tc>
          <w:tcPr>
            <w:tcW w:w="1843" w:type="dxa"/>
            <w:shd w:val="clear" w:color="auto" w:fill="EEECE1"/>
          </w:tcPr>
          <w:p w14:paraId="5AA08D66" w14:textId="77777777" w:rsidR="002124C9" w:rsidRPr="00B30A2D" w:rsidRDefault="002124C9" w:rsidP="00D60DC9">
            <w:pPr>
              <w:rPr>
                <w:sz w:val="18"/>
                <w:szCs w:val="14"/>
                <w:lang w:val="fr-FR" w:eastAsia="en-US"/>
              </w:rPr>
            </w:pPr>
          </w:p>
          <w:p w14:paraId="78A44495" w14:textId="5C4B9503" w:rsidR="00D60DC9" w:rsidRPr="00B30A2D" w:rsidRDefault="00D60DC9" w:rsidP="00D60DC9">
            <w:pPr>
              <w:rPr>
                <w:sz w:val="18"/>
                <w:szCs w:val="14"/>
                <w:lang w:val="fr-FR"/>
              </w:rPr>
            </w:pPr>
            <w:r w:rsidRPr="00B30A2D">
              <w:rPr>
                <w:sz w:val="18"/>
                <w:szCs w:val="14"/>
                <w:lang w:val="fr-FR" w:eastAsia="en-US"/>
              </w:rPr>
              <w:t>0 formations depuis 2010.</w:t>
            </w:r>
          </w:p>
        </w:tc>
        <w:tc>
          <w:tcPr>
            <w:tcW w:w="1843" w:type="dxa"/>
            <w:shd w:val="clear" w:color="auto" w:fill="EEECE1"/>
          </w:tcPr>
          <w:p w14:paraId="050B4CD3" w14:textId="77777777" w:rsidR="002124C9" w:rsidRPr="00B30A2D" w:rsidRDefault="002124C9" w:rsidP="00D60DC9">
            <w:pPr>
              <w:rPr>
                <w:sz w:val="18"/>
                <w:szCs w:val="14"/>
                <w:lang w:val="fr-FR" w:eastAsia="en-US"/>
              </w:rPr>
            </w:pPr>
          </w:p>
          <w:p w14:paraId="50E80DE0" w14:textId="5C5D5ED1" w:rsidR="00D60DC9" w:rsidRPr="00B30A2D" w:rsidRDefault="00D60DC9" w:rsidP="00D60DC9">
            <w:pPr>
              <w:rPr>
                <w:sz w:val="18"/>
                <w:szCs w:val="14"/>
                <w:lang w:val="fr-FR"/>
              </w:rPr>
            </w:pPr>
            <w:r w:rsidRPr="00B30A2D">
              <w:rPr>
                <w:sz w:val="18"/>
                <w:szCs w:val="14"/>
                <w:lang w:val="fr-FR" w:eastAsia="en-US"/>
              </w:rPr>
              <w:t>80% des personnels formés</w:t>
            </w:r>
          </w:p>
        </w:tc>
        <w:tc>
          <w:tcPr>
            <w:tcW w:w="1984" w:type="dxa"/>
          </w:tcPr>
          <w:p w14:paraId="71692D0E"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c>
          <w:tcPr>
            <w:tcW w:w="2693" w:type="dxa"/>
          </w:tcPr>
          <w:p w14:paraId="6AF25464" w14:textId="43001405" w:rsidR="00D60DC9" w:rsidRPr="00B30A2D" w:rsidRDefault="00D60DC9" w:rsidP="00D60DC9">
            <w:pPr>
              <w:rPr>
                <w:sz w:val="18"/>
                <w:szCs w:val="14"/>
                <w:lang w:val="fr-FR"/>
              </w:rPr>
            </w:pPr>
            <w:r w:rsidRPr="00B30A2D">
              <w:rPr>
                <w:sz w:val="18"/>
                <w:szCs w:val="14"/>
                <w:lang w:val="fr-FR"/>
              </w:rPr>
              <w:t>100% (39 personnes dont 7 femmes)</w:t>
            </w:r>
          </w:p>
        </w:tc>
        <w:tc>
          <w:tcPr>
            <w:tcW w:w="2399" w:type="dxa"/>
          </w:tcPr>
          <w:p w14:paraId="6D9C6627"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433021" w14:paraId="4D0CB0B0" w14:textId="77777777" w:rsidTr="00132068">
        <w:trPr>
          <w:trHeight w:val="458"/>
        </w:trPr>
        <w:tc>
          <w:tcPr>
            <w:tcW w:w="2269" w:type="dxa"/>
            <w:vMerge w:val="restart"/>
          </w:tcPr>
          <w:p w14:paraId="50C445A7" w14:textId="77777777" w:rsidR="00D60DC9" w:rsidRPr="00B30A2D" w:rsidRDefault="00D60DC9" w:rsidP="00D60DC9">
            <w:pPr>
              <w:rPr>
                <w:rFonts w:cs="Tahoma"/>
                <w:b/>
                <w:sz w:val="18"/>
                <w:szCs w:val="14"/>
                <w:lang w:val="fr-FR" w:eastAsia="en-US"/>
              </w:rPr>
            </w:pPr>
            <w:r w:rsidRPr="00B30A2D">
              <w:rPr>
                <w:rFonts w:cs="Tahoma"/>
                <w:b/>
                <w:sz w:val="18"/>
                <w:szCs w:val="14"/>
                <w:lang w:val="fr-FR" w:eastAsia="en-US"/>
              </w:rPr>
              <w:lastRenderedPageBreak/>
              <w:t>Résultat 3</w:t>
            </w:r>
          </w:p>
          <w:p w14:paraId="14B10969" w14:textId="02884651" w:rsidR="00D60DC9" w:rsidRPr="00B30A2D" w:rsidRDefault="00D60DC9" w:rsidP="00D60DC9">
            <w:pPr>
              <w:rPr>
                <w:rFonts w:cs="Tahoma"/>
                <w:b/>
                <w:sz w:val="18"/>
                <w:szCs w:val="14"/>
                <w:lang w:val="fr-FR" w:eastAsia="en-US"/>
              </w:rPr>
            </w:pPr>
            <w:r w:rsidRPr="00B30A2D">
              <w:rPr>
                <w:b/>
                <w:sz w:val="18"/>
                <w:szCs w:val="14"/>
                <w:lang w:val="fr-FR" w:eastAsia="en-US"/>
              </w:rPr>
              <w:t xml:space="preserve">Le plan de communication RSS favorise une meilleure connaissance de la RSS ainsi que le renforcement de la confiance entre les autorités, les populations et les FSI.  </w:t>
            </w:r>
          </w:p>
        </w:tc>
        <w:tc>
          <w:tcPr>
            <w:tcW w:w="2268" w:type="dxa"/>
            <w:shd w:val="clear" w:color="auto" w:fill="EEECE1"/>
          </w:tcPr>
          <w:p w14:paraId="66C2D0A4" w14:textId="311B7D41" w:rsidR="00D60DC9" w:rsidRPr="00B30A2D" w:rsidRDefault="00D60DC9" w:rsidP="00D60DC9">
            <w:pPr>
              <w:jc w:val="both"/>
              <w:rPr>
                <w:rFonts w:cs="Tahoma"/>
                <w:sz w:val="18"/>
                <w:szCs w:val="14"/>
                <w:highlight w:val="yellow"/>
                <w:lang w:val="fr-FR" w:eastAsia="en-US"/>
              </w:rPr>
            </w:pPr>
            <w:r w:rsidRPr="00B30A2D">
              <w:rPr>
                <w:rFonts w:cs="Tahoma"/>
                <w:sz w:val="18"/>
                <w:szCs w:val="14"/>
                <w:highlight w:val="yellow"/>
                <w:lang w:val="fr-FR" w:eastAsia="en-US"/>
              </w:rPr>
              <w:t>Indicateur 3.1</w:t>
            </w:r>
            <w:r w:rsidR="0039662C" w:rsidRPr="00B30A2D">
              <w:rPr>
                <w:rFonts w:cs="Tahoma"/>
                <w:sz w:val="18"/>
                <w:szCs w:val="14"/>
                <w:highlight w:val="yellow"/>
                <w:lang w:val="fr-FR" w:eastAsia="en-US"/>
              </w:rPr>
              <w:t xml:space="preserve"> (Nouveau)</w:t>
            </w:r>
          </w:p>
          <w:p w14:paraId="59F95BF6" w14:textId="77777777" w:rsidR="0039662C" w:rsidRPr="00B30A2D" w:rsidRDefault="00B93435" w:rsidP="00D60DC9">
            <w:pPr>
              <w:jc w:val="both"/>
              <w:rPr>
                <w:sz w:val="18"/>
                <w:szCs w:val="14"/>
                <w:highlight w:val="yellow"/>
                <w:lang w:val="fr-FR" w:eastAsia="en-US"/>
              </w:rPr>
            </w:pPr>
            <w:r w:rsidRPr="00B30A2D">
              <w:rPr>
                <w:sz w:val="18"/>
                <w:szCs w:val="14"/>
                <w:highlight w:val="yellow"/>
                <w:lang w:val="fr-FR" w:eastAsia="en-US"/>
              </w:rPr>
              <w:t>Les FSI comme acteur clé de la sécurité</w:t>
            </w:r>
          </w:p>
          <w:p w14:paraId="01E092ED" w14:textId="77777777" w:rsidR="0039662C" w:rsidRPr="00B30A2D" w:rsidRDefault="0039662C" w:rsidP="00D60DC9">
            <w:pPr>
              <w:jc w:val="both"/>
              <w:rPr>
                <w:sz w:val="18"/>
                <w:szCs w:val="14"/>
                <w:highlight w:val="yellow"/>
                <w:lang w:val="fr-FR" w:eastAsia="en-US"/>
              </w:rPr>
            </w:pPr>
          </w:p>
          <w:p w14:paraId="574F31AE" w14:textId="7B88A7C1" w:rsidR="0039662C" w:rsidRPr="00B30A2D" w:rsidRDefault="0039662C" w:rsidP="00D60DC9">
            <w:pPr>
              <w:jc w:val="both"/>
              <w:rPr>
                <w:sz w:val="18"/>
                <w:szCs w:val="14"/>
                <w:highlight w:val="yellow"/>
                <w:lang w:val="fr-FR" w:eastAsia="en-US"/>
              </w:rPr>
            </w:pPr>
          </w:p>
          <w:p w14:paraId="449883E9" w14:textId="2A095198" w:rsidR="0098684F" w:rsidRPr="00B30A2D" w:rsidRDefault="0098684F" w:rsidP="00D60DC9">
            <w:pPr>
              <w:jc w:val="both"/>
              <w:rPr>
                <w:sz w:val="18"/>
                <w:szCs w:val="14"/>
                <w:highlight w:val="yellow"/>
                <w:lang w:val="fr-FR" w:eastAsia="en-US"/>
              </w:rPr>
            </w:pPr>
          </w:p>
          <w:p w14:paraId="428C06CA" w14:textId="10ED53AB" w:rsidR="0098684F" w:rsidRPr="00B30A2D" w:rsidRDefault="0098684F" w:rsidP="00D60DC9">
            <w:pPr>
              <w:jc w:val="both"/>
              <w:rPr>
                <w:sz w:val="18"/>
                <w:szCs w:val="14"/>
                <w:highlight w:val="yellow"/>
                <w:lang w:val="fr-FR" w:eastAsia="en-US"/>
              </w:rPr>
            </w:pPr>
          </w:p>
          <w:p w14:paraId="7BAF8A41" w14:textId="77777777" w:rsidR="0098684F" w:rsidRPr="00B30A2D" w:rsidRDefault="0098684F" w:rsidP="00D60DC9">
            <w:pPr>
              <w:jc w:val="both"/>
              <w:rPr>
                <w:sz w:val="18"/>
                <w:szCs w:val="14"/>
                <w:highlight w:val="yellow"/>
                <w:lang w:val="fr-FR" w:eastAsia="en-US"/>
              </w:rPr>
            </w:pPr>
          </w:p>
          <w:p w14:paraId="3BA59E6D" w14:textId="77777777" w:rsidR="0039662C" w:rsidRPr="00B30A2D" w:rsidRDefault="0039662C" w:rsidP="0039662C">
            <w:pPr>
              <w:jc w:val="both"/>
              <w:rPr>
                <w:sz w:val="18"/>
                <w:szCs w:val="14"/>
                <w:lang w:val="fr-FR" w:eastAsia="en-US"/>
              </w:rPr>
            </w:pPr>
            <w:r w:rsidRPr="00B30A2D">
              <w:rPr>
                <w:sz w:val="18"/>
                <w:szCs w:val="14"/>
                <w:lang w:val="fr-FR" w:eastAsia="en-US"/>
              </w:rPr>
              <w:t>Ancien indicateur :</w:t>
            </w:r>
          </w:p>
          <w:p w14:paraId="5ACB1910" w14:textId="5BBB803B" w:rsidR="00D60DC9" w:rsidRPr="00B30A2D" w:rsidRDefault="0039662C" w:rsidP="0039662C">
            <w:pPr>
              <w:jc w:val="both"/>
              <w:rPr>
                <w:strike/>
                <w:sz w:val="18"/>
                <w:szCs w:val="14"/>
                <w:highlight w:val="yellow"/>
                <w:lang w:val="fr-FR" w:eastAsia="en-US"/>
              </w:rPr>
            </w:pPr>
            <w:r w:rsidRPr="00B30A2D">
              <w:rPr>
                <w:strike/>
                <w:sz w:val="18"/>
                <w:szCs w:val="14"/>
                <w:lang w:val="fr-FR" w:eastAsia="en-US"/>
              </w:rPr>
              <w:t>Niveau de connaissance des populations sur la RSS</w:t>
            </w:r>
            <w:r w:rsidR="00D60DC9" w:rsidRPr="00B30A2D">
              <w:rPr>
                <w:strike/>
                <w:sz w:val="18"/>
                <w:szCs w:val="14"/>
                <w:lang w:val="fr-FR" w:eastAsia="en-US"/>
              </w:rPr>
              <w:t xml:space="preserve"> </w:t>
            </w:r>
          </w:p>
        </w:tc>
        <w:tc>
          <w:tcPr>
            <w:tcW w:w="1843" w:type="dxa"/>
            <w:shd w:val="clear" w:color="auto" w:fill="EEECE1"/>
          </w:tcPr>
          <w:p w14:paraId="26D52EA7" w14:textId="77777777" w:rsidR="0098684F" w:rsidRPr="00B30A2D" w:rsidRDefault="0098684F" w:rsidP="00D60DC9">
            <w:pPr>
              <w:rPr>
                <w:sz w:val="18"/>
                <w:szCs w:val="14"/>
                <w:highlight w:val="yellow"/>
                <w:lang w:val="fr-FR" w:eastAsia="en-US"/>
              </w:rPr>
            </w:pPr>
          </w:p>
          <w:p w14:paraId="04D7972C" w14:textId="02D7AB59" w:rsidR="00B93435" w:rsidRPr="00B30A2D" w:rsidRDefault="00B93435" w:rsidP="00D60DC9">
            <w:pPr>
              <w:rPr>
                <w:sz w:val="18"/>
                <w:szCs w:val="14"/>
                <w:highlight w:val="yellow"/>
                <w:lang w:val="fr-FR" w:eastAsia="en-US"/>
              </w:rPr>
            </w:pPr>
            <w:r w:rsidRPr="00B30A2D">
              <w:rPr>
                <w:sz w:val="18"/>
                <w:szCs w:val="14"/>
                <w:highlight w:val="yellow"/>
                <w:lang w:val="fr-FR" w:eastAsia="en-US"/>
              </w:rPr>
              <w:t>2% de la population considère la Police comme acteur assurant sa sécurité contre 7% à la Gendarmerie</w:t>
            </w:r>
          </w:p>
          <w:p w14:paraId="711CD65A" w14:textId="77777777" w:rsidR="0039662C" w:rsidRPr="00B30A2D" w:rsidRDefault="0039662C" w:rsidP="00D60DC9">
            <w:pPr>
              <w:rPr>
                <w:sz w:val="18"/>
                <w:szCs w:val="14"/>
                <w:highlight w:val="yellow"/>
                <w:lang w:val="fr-FR" w:eastAsia="en-US"/>
              </w:rPr>
            </w:pPr>
          </w:p>
          <w:p w14:paraId="2545C1D3" w14:textId="77777777" w:rsidR="0039662C" w:rsidRPr="00B30A2D" w:rsidRDefault="0039662C" w:rsidP="00D60DC9">
            <w:pPr>
              <w:rPr>
                <w:sz w:val="18"/>
                <w:szCs w:val="14"/>
                <w:highlight w:val="yellow"/>
                <w:lang w:val="fr-FR" w:eastAsia="en-US"/>
              </w:rPr>
            </w:pPr>
          </w:p>
          <w:p w14:paraId="3C8D73D2" w14:textId="0029811D" w:rsidR="0039662C" w:rsidRPr="00B30A2D" w:rsidRDefault="0039662C" w:rsidP="00D60DC9">
            <w:pPr>
              <w:rPr>
                <w:strike/>
                <w:sz w:val="18"/>
                <w:szCs w:val="14"/>
                <w:highlight w:val="yellow"/>
                <w:lang w:val="fr-FR"/>
              </w:rPr>
            </w:pPr>
            <w:r w:rsidRPr="00B30A2D">
              <w:rPr>
                <w:strike/>
                <w:sz w:val="18"/>
                <w:szCs w:val="14"/>
                <w:lang w:val="fr-FR" w:eastAsia="en-US"/>
              </w:rPr>
              <w:t>Niveau de connaissance faible</w:t>
            </w:r>
          </w:p>
        </w:tc>
        <w:tc>
          <w:tcPr>
            <w:tcW w:w="1843" w:type="dxa"/>
            <w:shd w:val="clear" w:color="auto" w:fill="EEECE1"/>
          </w:tcPr>
          <w:p w14:paraId="46F61EC5" w14:textId="77777777" w:rsidR="002124C9" w:rsidRPr="00B30A2D" w:rsidRDefault="002124C9" w:rsidP="00D60DC9">
            <w:pPr>
              <w:rPr>
                <w:sz w:val="18"/>
                <w:szCs w:val="14"/>
                <w:highlight w:val="yellow"/>
                <w:lang w:val="fr-FR" w:eastAsia="en-US"/>
              </w:rPr>
            </w:pPr>
          </w:p>
          <w:p w14:paraId="6F70372E" w14:textId="77777777" w:rsidR="00D60DC9" w:rsidRPr="00B30A2D" w:rsidRDefault="00B93435" w:rsidP="00D60DC9">
            <w:pPr>
              <w:rPr>
                <w:sz w:val="18"/>
                <w:szCs w:val="14"/>
                <w:highlight w:val="yellow"/>
                <w:lang w:val="fr-FR" w:eastAsia="en-US"/>
              </w:rPr>
            </w:pPr>
            <w:r w:rsidRPr="00B30A2D">
              <w:rPr>
                <w:sz w:val="18"/>
                <w:szCs w:val="14"/>
                <w:highlight w:val="yellow"/>
                <w:lang w:val="fr-FR" w:eastAsia="en-US"/>
              </w:rPr>
              <w:t>Au moins 15% de la population considère les FSI comme un acteur qui assure sa sécurité</w:t>
            </w:r>
          </w:p>
          <w:p w14:paraId="45BB888C" w14:textId="77777777" w:rsidR="0039662C" w:rsidRPr="00B30A2D" w:rsidRDefault="0039662C" w:rsidP="00D60DC9">
            <w:pPr>
              <w:rPr>
                <w:sz w:val="18"/>
                <w:szCs w:val="14"/>
                <w:highlight w:val="yellow"/>
                <w:lang w:val="fr-FR" w:eastAsia="en-US"/>
              </w:rPr>
            </w:pPr>
          </w:p>
          <w:p w14:paraId="7CC23739" w14:textId="77777777" w:rsidR="0098684F" w:rsidRPr="00B30A2D" w:rsidRDefault="0098684F" w:rsidP="00D60DC9">
            <w:pPr>
              <w:rPr>
                <w:strike/>
                <w:sz w:val="18"/>
                <w:szCs w:val="14"/>
                <w:lang w:val="fr-FR" w:eastAsia="en-US"/>
              </w:rPr>
            </w:pPr>
          </w:p>
          <w:p w14:paraId="304B2997" w14:textId="77777777" w:rsidR="00B30A2D" w:rsidRDefault="00B30A2D" w:rsidP="00D60DC9">
            <w:pPr>
              <w:rPr>
                <w:strike/>
                <w:sz w:val="18"/>
                <w:szCs w:val="14"/>
                <w:lang w:val="fr-FR" w:eastAsia="en-US"/>
              </w:rPr>
            </w:pPr>
          </w:p>
          <w:p w14:paraId="19A1268B" w14:textId="1EBC13AA" w:rsidR="0039662C" w:rsidRPr="00B30A2D" w:rsidRDefault="0039662C" w:rsidP="00D60DC9">
            <w:pPr>
              <w:rPr>
                <w:sz w:val="18"/>
                <w:szCs w:val="14"/>
                <w:highlight w:val="yellow"/>
                <w:lang w:val="fr-FR"/>
              </w:rPr>
            </w:pPr>
            <w:r w:rsidRPr="00B30A2D">
              <w:rPr>
                <w:strike/>
                <w:sz w:val="18"/>
                <w:szCs w:val="14"/>
                <w:lang w:val="fr-FR" w:eastAsia="en-US"/>
              </w:rPr>
              <w:t>50% de la population cible indique une meilleure connaissance de la RSS</w:t>
            </w:r>
          </w:p>
        </w:tc>
        <w:tc>
          <w:tcPr>
            <w:tcW w:w="1984" w:type="dxa"/>
          </w:tcPr>
          <w:p w14:paraId="56506182" w14:textId="77777777" w:rsidR="00D60DC9" w:rsidRPr="00B30A2D" w:rsidRDefault="00D60DC9" w:rsidP="00D60DC9">
            <w:pPr>
              <w:rPr>
                <w:b/>
                <w:noProof/>
                <w:sz w:val="18"/>
                <w:szCs w:val="14"/>
                <w:lang w:val="fr-FR" w:eastAsia="en-US"/>
              </w:rPr>
            </w:pPr>
            <w:r w:rsidRPr="00B30A2D">
              <w:rPr>
                <w:b/>
                <w:noProof/>
                <w:sz w:val="18"/>
                <w:szCs w:val="14"/>
                <w:lang w:val="fr-FR" w:eastAsia="en-US"/>
              </w:rPr>
              <w:fldChar w:fldCharType="begin">
                <w:ffData>
                  <w:name w:val=""/>
                  <w:enabled/>
                  <w:calcOnExit w:val="0"/>
                  <w:textInput>
                    <w:maxLength w:val="300"/>
                  </w:textInput>
                </w:ffData>
              </w:fldChar>
            </w:r>
            <w:r w:rsidRPr="00B30A2D">
              <w:rPr>
                <w:b/>
                <w:noProof/>
                <w:sz w:val="18"/>
                <w:szCs w:val="14"/>
                <w:lang w:val="fr-FR" w:eastAsia="en-US"/>
              </w:rPr>
              <w:instrText xml:space="preserve"> FORMTEXT </w:instrText>
            </w:r>
            <w:r w:rsidRPr="00B30A2D">
              <w:rPr>
                <w:b/>
                <w:noProof/>
                <w:sz w:val="18"/>
                <w:szCs w:val="14"/>
                <w:lang w:val="fr-FR" w:eastAsia="en-US"/>
              </w:rPr>
            </w:r>
            <w:r w:rsidRPr="00B30A2D">
              <w:rPr>
                <w:b/>
                <w:noProof/>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fldChar w:fldCharType="end"/>
            </w:r>
          </w:p>
        </w:tc>
        <w:tc>
          <w:tcPr>
            <w:tcW w:w="2693" w:type="dxa"/>
          </w:tcPr>
          <w:p w14:paraId="6F19B157" w14:textId="77777777" w:rsidR="00B93435" w:rsidRPr="00B30A2D" w:rsidRDefault="00B93435" w:rsidP="00D60DC9">
            <w:pPr>
              <w:rPr>
                <w:sz w:val="18"/>
                <w:szCs w:val="14"/>
                <w:highlight w:val="yellow"/>
                <w:lang w:val="fr-FR" w:eastAsia="en-US"/>
              </w:rPr>
            </w:pPr>
          </w:p>
          <w:p w14:paraId="0824D7DF" w14:textId="65FAEBD7" w:rsidR="00D60DC9" w:rsidRPr="00B30A2D" w:rsidRDefault="00B93435" w:rsidP="00D60DC9">
            <w:pPr>
              <w:rPr>
                <w:b/>
                <w:sz w:val="18"/>
                <w:szCs w:val="14"/>
                <w:highlight w:val="yellow"/>
                <w:lang w:val="fr-FR" w:eastAsia="en-US"/>
              </w:rPr>
            </w:pPr>
            <w:r w:rsidRPr="00B30A2D">
              <w:rPr>
                <w:sz w:val="18"/>
                <w:szCs w:val="14"/>
                <w:highlight w:val="yellow"/>
                <w:lang w:val="fr-FR" w:eastAsia="en-US"/>
              </w:rPr>
              <w:t>5% de la population considère la Police comme acteur assurant sa sécurité contre 8% à la Gendarmerie</w:t>
            </w:r>
          </w:p>
          <w:p w14:paraId="64B9AF36" w14:textId="4D5BAFD7" w:rsidR="00B93435" w:rsidRPr="00B30A2D" w:rsidRDefault="00B93435" w:rsidP="00D60DC9">
            <w:pPr>
              <w:rPr>
                <w:bCs/>
                <w:sz w:val="18"/>
                <w:szCs w:val="14"/>
                <w:highlight w:val="yellow"/>
                <w:lang w:val="fr-FR"/>
              </w:rPr>
            </w:pPr>
            <w:r w:rsidRPr="00B30A2D">
              <w:rPr>
                <w:bCs/>
                <w:sz w:val="18"/>
                <w:szCs w:val="14"/>
                <w:highlight w:val="yellow"/>
                <w:lang w:val="fr-FR" w:eastAsia="en-US"/>
              </w:rPr>
              <w:t xml:space="preserve">(Source : Sondage HHI – </w:t>
            </w:r>
            <w:proofErr w:type="spellStart"/>
            <w:r w:rsidRPr="00B30A2D">
              <w:rPr>
                <w:bCs/>
                <w:sz w:val="18"/>
                <w:szCs w:val="14"/>
                <w:highlight w:val="yellow"/>
                <w:lang w:val="fr-FR" w:eastAsia="en-US"/>
              </w:rPr>
              <w:t>Fév</w:t>
            </w:r>
            <w:proofErr w:type="spellEnd"/>
            <w:r w:rsidRPr="00B30A2D">
              <w:rPr>
                <w:bCs/>
                <w:sz w:val="18"/>
                <w:szCs w:val="14"/>
                <w:highlight w:val="yellow"/>
                <w:lang w:val="fr-FR" w:eastAsia="en-US"/>
              </w:rPr>
              <w:t xml:space="preserve"> 2020)</w:t>
            </w:r>
          </w:p>
        </w:tc>
        <w:tc>
          <w:tcPr>
            <w:tcW w:w="2399" w:type="dxa"/>
          </w:tcPr>
          <w:p w14:paraId="5BDB0BF1" w14:textId="42B51E64" w:rsidR="00D60DC9" w:rsidRPr="00B30A2D" w:rsidRDefault="00D60DC9" w:rsidP="00D60DC9">
            <w:pPr>
              <w:rPr>
                <w:sz w:val="18"/>
                <w:szCs w:val="14"/>
                <w:lang w:val="fr-FR" w:eastAsia="en-US"/>
              </w:rPr>
            </w:pPr>
          </w:p>
          <w:p w14:paraId="4283958A" w14:textId="7D6602E6" w:rsidR="00B93435" w:rsidRPr="00B30A2D" w:rsidRDefault="00B93435" w:rsidP="00D60DC9">
            <w:pPr>
              <w:rPr>
                <w:sz w:val="18"/>
                <w:szCs w:val="14"/>
                <w:lang w:val="fr-FR"/>
              </w:rPr>
            </w:pPr>
            <w:r w:rsidRPr="00B30A2D">
              <w:rPr>
                <w:sz w:val="18"/>
                <w:szCs w:val="14"/>
                <w:lang w:val="fr-FR" w:eastAsia="en-US"/>
              </w:rPr>
              <w:t>Suite aux difficultés de mesurer l’ancien indicateur de ce résultat, une proposition de modification de l’indicateur est proposée ci-contre.</w:t>
            </w:r>
          </w:p>
        </w:tc>
      </w:tr>
      <w:tr w:rsidR="00D60DC9" w:rsidRPr="00B30A2D" w14:paraId="6F255D0F" w14:textId="77777777" w:rsidTr="00132068">
        <w:trPr>
          <w:trHeight w:val="458"/>
        </w:trPr>
        <w:tc>
          <w:tcPr>
            <w:tcW w:w="2269" w:type="dxa"/>
            <w:vMerge/>
          </w:tcPr>
          <w:p w14:paraId="7AE33CCE" w14:textId="77777777" w:rsidR="00D60DC9" w:rsidRPr="00B30A2D" w:rsidRDefault="00D60DC9" w:rsidP="00D60DC9">
            <w:pPr>
              <w:rPr>
                <w:rFonts w:cs="Tahoma"/>
                <w:sz w:val="18"/>
                <w:szCs w:val="14"/>
                <w:lang w:val="fr-FR" w:eastAsia="en-US"/>
              </w:rPr>
            </w:pPr>
          </w:p>
        </w:tc>
        <w:tc>
          <w:tcPr>
            <w:tcW w:w="2268" w:type="dxa"/>
            <w:shd w:val="clear" w:color="auto" w:fill="EEECE1"/>
          </w:tcPr>
          <w:p w14:paraId="7AA0A81D"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3.2</w:t>
            </w:r>
          </w:p>
          <w:p w14:paraId="005E555A" w14:textId="780B91A9" w:rsidR="00D60DC9" w:rsidRPr="00B30A2D" w:rsidRDefault="00D60DC9" w:rsidP="00D60DC9">
            <w:pPr>
              <w:jc w:val="both"/>
              <w:rPr>
                <w:rFonts w:cs="Tahoma"/>
                <w:sz w:val="18"/>
                <w:szCs w:val="14"/>
                <w:lang w:val="fr-FR" w:eastAsia="en-US"/>
              </w:rPr>
            </w:pPr>
            <w:r w:rsidRPr="00B30A2D">
              <w:rPr>
                <w:sz w:val="18"/>
                <w:szCs w:val="14"/>
                <w:lang w:val="fr-FR" w:eastAsia="en-US"/>
              </w:rPr>
              <w:t>Niveau de confiance entre les populations et les FSI</w:t>
            </w:r>
          </w:p>
        </w:tc>
        <w:tc>
          <w:tcPr>
            <w:tcW w:w="1843" w:type="dxa"/>
            <w:shd w:val="clear" w:color="auto" w:fill="EEECE1"/>
          </w:tcPr>
          <w:p w14:paraId="1251A932" w14:textId="77777777" w:rsidR="002124C9" w:rsidRPr="00B30A2D" w:rsidRDefault="002124C9" w:rsidP="00D60DC9">
            <w:pPr>
              <w:rPr>
                <w:sz w:val="18"/>
                <w:szCs w:val="14"/>
                <w:lang w:val="fr-FR" w:eastAsia="en-US"/>
              </w:rPr>
            </w:pPr>
          </w:p>
          <w:p w14:paraId="3DFD1811" w14:textId="6B074E3F" w:rsidR="00D60DC9" w:rsidRPr="00B30A2D" w:rsidRDefault="00D60DC9" w:rsidP="00D60DC9">
            <w:pPr>
              <w:rPr>
                <w:sz w:val="18"/>
                <w:szCs w:val="14"/>
                <w:lang w:val="fr-FR"/>
              </w:rPr>
            </w:pPr>
            <w:r w:rsidRPr="00B30A2D">
              <w:rPr>
                <w:sz w:val="18"/>
                <w:szCs w:val="14"/>
                <w:lang w:val="fr-FR" w:eastAsia="en-US"/>
              </w:rPr>
              <w:t>Niveau de confiance bas</w:t>
            </w:r>
          </w:p>
        </w:tc>
        <w:tc>
          <w:tcPr>
            <w:tcW w:w="1843" w:type="dxa"/>
            <w:shd w:val="clear" w:color="auto" w:fill="EEECE1"/>
          </w:tcPr>
          <w:p w14:paraId="356FCE8F" w14:textId="77777777" w:rsidR="002124C9" w:rsidRPr="00B30A2D" w:rsidRDefault="002124C9" w:rsidP="00D60DC9">
            <w:pPr>
              <w:rPr>
                <w:sz w:val="18"/>
                <w:szCs w:val="14"/>
                <w:lang w:val="fr-FR" w:eastAsia="en-US"/>
              </w:rPr>
            </w:pPr>
          </w:p>
          <w:p w14:paraId="31910AC3" w14:textId="61D4A2A0" w:rsidR="00D60DC9" w:rsidRPr="00B30A2D" w:rsidRDefault="00D60DC9" w:rsidP="00D60DC9">
            <w:pPr>
              <w:rPr>
                <w:sz w:val="18"/>
                <w:szCs w:val="14"/>
                <w:lang w:val="fr-FR"/>
              </w:rPr>
            </w:pPr>
            <w:r w:rsidRPr="00B30A2D">
              <w:rPr>
                <w:sz w:val="18"/>
                <w:szCs w:val="14"/>
                <w:lang w:val="fr-FR" w:eastAsia="en-US"/>
              </w:rPr>
              <w:t>50% de la population cible indique une confiance accrue aux FSI</w:t>
            </w:r>
          </w:p>
        </w:tc>
        <w:tc>
          <w:tcPr>
            <w:tcW w:w="1984" w:type="dxa"/>
          </w:tcPr>
          <w:p w14:paraId="2456A0C0"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c>
          <w:tcPr>
            <w:tcW w:w="2693" w:type="dxa"/>
          </w:tcPr>
          <w:p w14:paraId="2A61AB49" w14:textId="56541D06" w:rsidR="00D60DC9" w:rsidRPr="00B30A2D" w:rsidRDefault="00D60DC9" w:rsidP="00D60DC9">
            <w:pPr>
              <w:rPr>
                <w:sz w:val="18"/>
                <w:szCs w:val="14"/>
                <w:lang w:val="fr-FR"/>
              </w:rPr>
            </w:pPr>
            <w:r w:rsidRPr="00B30A2D">
              <w:rPr>
                <w:sz w:val="18"/>
                <w:szCs w:val="14"/>
                <w:lang w:val="fr-FR"/>
              </w:rPr>
              <w:t>72% de la population a confiance dans la police (78% Hô et 67% Femmes) et 79% dans la gendarmerie (84% Hô et 74% femmes)</w:t>
            </w:r>
            <w:r w:rsidR="000800A5" w:rsidRPr="00B30A2D">
              <w:rPr>
                <w:rStyle w:val="FootnoteReference"/>
                <w:sz w:val="18"/>
                <w:szCs w:val="14"/>
                <w:lang w:val="fr-FR"/>
              </w:rPr>
              <w:footnoteReference w:id="6"/>
            </w:r>
          </w:p>
        </w:tc>
        <w:tc>
          <w:tcPr>
            <w:tcW w:w="2399" w:type="dxa"/>
          </w:tcPr>
          <w:p w14:paraId="7FF4D892"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B30A2D" w14:paraId="5C42158F" w14:textId="77777777" w:rsidTr="00132068">
        <w:trPr>
          <w:trHeight w:val="458"/>
        </w:trPr>
        <w:tc>
          <w:tcPr>
            <w:tcW w:w="2269" w:type="dxa"/>
            <w:vMerge w:val="restart"/>
          </w:tcPr>
          <w:p w14:paraId="5AF379A3" w14:textId="77777777" w:rsidR="00D60DC9" w:rsidRPr="00B30A2D" w:rsidRDefault="00D60DC9" w:rsidP="00D60DC9">
            <w:pPr>
              <w:rPr>
                <w:rFonts w:cs="Tahoma"/>
                <w:sz w:val="18"/>
                <w:szCs w:val="14"/>
                <w:lang w:val="fr-FR" w:eastAsia="en-US"/>
              </w:rPr>
            </w:pPr>
            <w:r w:rsidRPr="00B30A2D">
              <w:rPr>
                <w:rFonts w:cs="Tahoma"/>
                <w:sz w:val="18"/>
                <w:szCs w:val="14"/>
                <w:lang w:val="fr-FR" w:eastAsia="en-US"/>
              </w:rPr>
              <w:t>Produit 3.1</w:t>
            </w:r>
          </w:p>
          <w:p w14:paraId="498E3ED3" w14:textId="62FCC0CC" w:rsidR="00D60DC9" w:rsidRPr="00B30A2D" w:rsidRDefault="00D60DC9" w:rsidP="00D60DC9">
            <w:pPr>
              <w:rPr>
                <w:rFonts w:cs="Tahoma"/>
                <w:sz w:val="18"/>
                <w:szCs w:val="14"/>
                <w:lang w:val="fr-FR" w:eastAsia="en-US"/>
              </w:rPr>
            </w:pPr>
            <w:r w:rsidRPr="00B30A2D">
              <w:rPr>
                <w:sz w:val="18"/>
                <w:szCs w:val="14"/>
                <w:lang w:val="fr-FR" w:eastAsia="en-US"/>
              </w:rPr>
              <w:t>Les capacités de communication des autorités, des médias, de la société civile (y compris les organisations de femmes et les associations des jeunes) sont renforcées.</w:t>
            </w:r>
          </w:p>
        </w:tc>
        <w:tc>
          <w:tcPr>
            <w:tcW w:w="2268" w:type="dxa"/>
            <w:shd w:val="clear" w:color="auto" w:fill="EEECE1"/>
          </w:tcPr>
          <w:p w14:paraId="710D11F8"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3.1.1</w:t>
            </w:r>
          </w:p>
          <w:p w14:paraId="1D7757D3" w14:textId="316AAF17" w:rsidR="00D60DC9" w:rsidRPr="00B30A2D" w:rsidRDefault="00D60DC9" w:rsidP="00D60DC9">
            <w:pPr>
              <w:jc w:val="both"/>
              <w:rPr>
                <w:rFonts w:cs="Tahoma"/>
                <w:sz w:val="18"/>
                <w:szCs w:val="14"/>
                <w:lang w:val="fr-FR" w:eastAsia="en-US"/>
              </w:rPr>
            </w:pPr>
            <w:r w:rsidRPr="00B30A2D">
              <w:rPr>
                <w:sz w:val="18"/>
                <w:szCs w:val="14"/>
                <w:lang w:val="fr-FR" w:eastAsia="en-US"/>
              </w:rPr>
              <w:t>Un plan de communication sur la RSS est élaboré et validé</w:t>
            </w:r>
          </w:p>
        </w:tc>
        <w:tc>
          <w:tcPr>
            <w:tcW w:w="1843" w:type="dxa"/>
            <w:shd w:val="clear" w:color="auto" w:fill="EEECE1"/>
          </w:tcPr>
          <w:p w14:paraId="3DE26D3F" w14:textId="77777777" w:rsidR="002124C9" w:rsidRPr="00B30A2D" w:rsidRDefault="002124C9" w:rsidP="00D60DC9">
            <w:pPr>
              <w:rPr>
                <w:sz w:val="18"/>
                <w:szCs w:val="14"/>
                <w:lang w:val="fr-FR" w:eastAsia="en-US"/>
              </w:rPr>
            </w:pPr>
          </w:p>
          <w:p w14:paraId="0670EF88" w14:textId="1D541626" w:rsidR="00D60DC9" w:rsidRPr="00B30A2D" w:rsidRDefault="00D60DC9" w:rsidP="00D60DC9">
            <w:pPr>
              <w:rPr>
                <w:sz w:val="18"/>
                <w:szCs w:val="14"/>
                <w:lang w:val="fr-FR"/>
              </w:rPr>
            </w:pPr>
            <w:r w:rsidRPr="00B30A2D">
              <w:rPr>
                <w:sz w:val="18"/>
                <w:szCs w:val="14"/>
                <w:lang w:val="fr-FR" w:eastAsia="en-US"/>
              </w:rPr>
              <w:t>Aucun plan de communication</w:t>
            </w:r>
          </w:p>
        </w:tc>
        <w:tc>
          <w:tcPr>
            <w:tcW w:w="1843" w:type="dxa"/>
            <w:shd w:val="clear" w:color="auto" w:fill="EEECE1"/>
          </w:tcPr>
          <w:p w14:paraId="552DABDD" w14:textId="77777777" w:rsidR="002124C9" w:rsidRPr="00B30A2D" w:rsidRDefault="002124C9" w:rsidP="00D60DC9">
            <w:pPr>
              <w:rPr>
                <w:sz w:val="18"/>
                <w:szCs w:val="14"/>
                <w:lang w:val="fr-FR" w:eastAsia="en-US"/>
              </w:rPr>
            </w:pPr>
          </w:p>
          <w:p w14:paraId="35A1D886" w14:textId="3285E1A1" w:rsidR="00D60DC9" w:rsidRPr="00B30A2D" w:rsidRDefault="00D60DC9" w:rsidP="00D60DC9">
            <w:pPr>
              <w:rPr>
                <w:sz w:val="18"/>
                <w:szCs w:val="14"/>
                <w:lang w:val="fr-FR"/>
              </w:rPr>
            </w:pPr>
            <w:r w:rsidRPr="00B30A2D">
              <w:rPr>
                <w:sz w:val="18"/>
                <w:szCs w:val="14"/>
                <w:lang w:val="fr-FR" w:eastAsia="en-US"/>
              </w:rPr>
              <w:t xml:space="preserve">1 plan de </w:t>
            </w:r>
            <w:r w:rsidR="000800A5" w:rsidRPr="00B30A2D">
              <w:rPr>
                <w:sz w:val="18"/>
                <w:szCs w:val="14"/>
                <w:lang w:val="fr-FR" w:eastAsia="en-US"/>
              </w:rPr>
              <w:t>communication disponible</w:t>
            </w:r>
          </w:p>
        </w:tc>
        <w:tc>
          <w:tcPr>
            <w:tcW w:w="1984" w:type="dxa"/>
          </w:tcPr>
          <w:p w14:paraId="1CFC554A"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c>
          <w:tcPr>
            <w:tcW w:w="2693" w:type="dxa"/>
          </w:tcPr>
          <w:p w14:paraId="1760ABBC" w14:textId="117D3CD9" w:rsidR="00D60DC9" w:rsidRPr="00B30A2D" w:rsidRDefault="00D60DC9" w:rsidP="00D60DC9">
            <w:pPr>
              <w:rPr>
                <w:sz w:val="18"/>
                <w:szCs w:val="14"/>
                <w:lang w:val="fr-FR"/>
              </w:rPr>
            </w:pPr>
            <w:r w:rsidRPr="00B30A2D">
              <w:rPr>
                <w:sz w:val="18"/>
                <w:szCs w:val="14"/>
                <w:lang w:val="fr-FR" w:eastAsia="en-US"/>
              </w:rPr>
              <w:t>Plan de communication validé, approuvé et vulgarisé</w:t>
            </w:r>
          </w:p>
        </w:tc>
        <w:tc>
          <w:tcPr>
            <w:tcW w:w="2399" w:type="dxa"/>
          </w:tcPr>
          <w:p w14:paraId="72A91972"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B30A2D" w14:paraId="100B110C" w14:textId="77777777" w:rsidTr="00132068">
        <w:trPr>
          <w:trHeight w:val="458"/>
        </w:trPr>
        <w:tc>
          <w:tcPr>
            <w:tcW w:w="2269" w:type="dxa"/>
            <w:vMerge/>
          </w:tcPr>
          <w:p w14:paraId="6E42058F" w14:textId="77777777" w:rsidR="00D60DC9" w:rsidRPr="00B30A2D" w:rsidRDefault="00D60DC9" w:rsidP="00D60DC9">
            <w:pPr>
              <w:rPr>
                <w:rFonts w:cs="Tahoma"/>
                <w:sz w:val="18"/>
                <w:szCs w:val="14"/>
                <w:lang w:val="fr-FR" w:eastAsia="en-US"/>
              </w:rPr>
            </w:pPr>
          </w:p>
        </w:tc>
        <w:tc>
          <w:tcPr>
            <w:tcW w:w="2268" w:type="dxa"/>
            <w:shd w:val="clear" w:color="auto" w:fill="EEECE1"/>
          </w:tcPr>
          <w:p w14:paraId="75DC2D64"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3.1.2</w:t>
            </w:r>
          </w:p>
          <w:p w14:paraId="1AC64BA4" w14:textId="05425C97" w:rsidR="00D60DC9" w:rsidRPr="00B30A2D" w:rsidRDefault="00D60DC9" w:rsidP="00D60DC9">
            <w:pPr>
              <w:jc w:val="both"/>
              <w:rPr>
                <w:rFonts w:cs="Tahoma"/>
                <w:sz w:val="18"/>
                <w:szCs w:val="14"/>
                <w:lang w:val="fr-FR" w:eastAsia="en-US"/>
              </w:rPr>
            </w:pPr>
            <w:r w:rsidRPr="00B30A2D">
              <w:rPr>
                <w:sz w:val="18"/>
                <w:szCs w:val="14"/>
                <w:lang w:val="fr-FR" w:eastAsia="en-US"/>
              </w:rPr>
              <w:t>Nombre de bénéficiaires formés pour communiquer sur la RSS (homme/femme)</w:t>
            </w:r>
          </w:p>
        </w:tc>
        <w:tc>
          <w:tcPr>
            <w:tcW w:w="1843" w:type="dxa"/>
            <w:shd w:val="clear" w:color="auto" w:fill="EEECE1"/>
          </w:tcPr>
          <w:p w14:paraId="7AA9388D" w14:textId="77777777" w:rsidR="002124C9" w:rsidRPr="00B30A2D" w:rsidRDefault="002124C9" w:rsidP="00D60DC9">
            <w:pPr>
              <w:rPr>
                <w:sz w:val="18"/>
                <w:szCs w:val="14"/>
                <w:lang w:val="fr-FR" w:eastAsia="en-US"/>
              </w:rPr>
            </w:pPr>
          </w:p>
          <w:p w14:paraId="4450A539" w14:textId="542716F9" w:rsidR="00D60DC9" w:rsidRPr="00B30A2D" w:rsidRDefault="00D60DC9" w:rsidP="00D60DC9">
            <w:pPr>
              <w:rPr>
                <w:sz w:val="18"/>
                <w:szCs w:val="14"/>
                <w:lang w:val="fr-FR"/>
              </w:rPr>
            </w:pPr>
            <w:r w:rsidRPr="00B30A2D">
              <w:rPr>
                <w:sz w:val="18"/>
                <w:szCs w:val="14"/>
                <w:lang w:val="fr-FR" w:eastAsia="en-US"/>
              </w:rPr>
              <w:t>Aucun bénéficiaire formé sur la communication de RSS.</w:t>
            </w:r>
          </w:p>
        </w:tc>
        <w:tc>
          <w:tcPr>
            <w:tcW w:w="1843" w:type="dxa"/>
            <w:shd w:val="clear" w:color="auto" w:fill="EEECE1"/>
          </w:tcPr>
          <w:p w14:paraId="0DC90EE6" w14:textId="77777777" w:rsidR="002124C9" w:rsidRPr="00B30A2D" w:rsidRDefault="002124C9" w:rsidP="00D60DC9">
            <w:pPr>
              <w:rPr>
                <w:sz w:val="18"/>
                <w:szCs w:val="14"/>
                <w:lang w:val="fr-FR" w:eastAsia="en-US"/>
              </w:rPr>
            </w:pPr>
          </w:p>
          <w:p w14:paraId="64DF62F5" w14:textId="48EB8138" w:rsidR="00D60DC9" w:rsidRPr="00B30A2D" w:rsidRDefault="00D60DC9" w:rsidP="00D60DC9">
            <w:pPr>
              <w:rPr>
                <w:sz w:val="18"/>
                <w:szCs w:val="14"/>
                <w:lang w:val="fr-FR"/>
              </w:rPr>
            </w:pPr>
            <w:r w:rsidRPr="00B30A2D">
              <w:rPr>
                <w:sz w:val="18"/>
                <w:szCs w:val="14"/>
                <w:lang w:val="fr-FR" w:eastAsia="en-US"/>
              </w:rPr>
              <w:t>Au moins 100 bénéficiaires directs</w:t>
            </w:r>
          </w:p>
        </w:tc>
        <w:tc>
          <w:tcPr>
            <w:tcW w:w="1984" w:type="dxa"/>
          </w:tcPr>
          <w:p w14:paraId="68E43661" w14:textId="15FB65C8" w:rsidR="00D60DC9" w:rsidRPr="00B30A2D" w:rsidRDefault="00D60DC9" w:rsidP="00D60DC9">
            <w:pPr>
              <w:rPr>
                <w:sz w:val="18"/>
                <w:szCs w:val="14"/>
                <w:lang w:val="fr-FR"/>
              </w:rPr>
            </w:pPr>
          </w:p>
        </w:tc>
        <w:tc>
          <w:tcPr>
            <w:tcW w:w="2693" w:type="dxa"/>
          </w:tcPr>
          <w:p w14:paraId="16071E3A" w14:textId="076A9FAF" w:rsidR="00D60DC9" w:rsidRPr="00B30A2D" w:rsidRDefault="000800A5" w:rsidP="00D60DC9">
            <w:pPr>
              <w:rPr>
                <w:sz w:val="18"/>
                <w:szCs w:val="14"/>
                <w:lang w:val="fr-FR"/>
              </w:rPr>
            </w:pPr>
            <w:r w:rsidRPr="00B30A2D">
              <w:rPr>
                <w:sz w:val="18"/>
                <w:szCs w:val="14"/>
                <w:lang w:val="fr-FR" w:eastAsia="en-US"/>
              </w:rPr>
              <w:t>280</w:t>
            </w:r>
          </w:p>
        </w:tc>
        <w:tc>
          <w:tcPr>
            <w:tcW w:w="2399" w:type="dxa"/>
          </w:tcPr>
          <w:p w14:paraId="2A1F5BA2"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B30A2D" w14:paraId="4A002238" w14:textId="77777777" w:rsidTr="00132068">
        <w:trPr>
          <w:trHeight w:val="458"/>
        </w:trPr>
        <w:tc>
          <w:tcPr>
            <w:tcW w:w="2269" w:type="dxa"/>
          </w:tcPr>
          <w:p w14:paraId="1399BFDF" w14:textId="77777777" w:rsidR="00D60DC9" w:rsidRPr="00B30A2D" w:rsidRDefault="00D60DC9" w:rsidP="00D60DC9">
            <w:pPr>
              <w:rPr>
                <w:rFonts w:cs="Tahoma"/>
                <w:sz w:val="18"/>
                <w:szCs w:val="14"/>
                <w:lang w:val="fr-FR" w:eastAsia="en-US"/>
              </w:rPr>
            </w:pPr>
            <w:r w:rsidRPr="00B30A2D">
              <w:rPr>
                <w:rFonts w:cs="Tahoma"/>
                <w:sz w:val="18"/>
                <w:szCs w:val="14"/>
                <w:lang w:val="fr-FR" w:eastAsia="en-US"/>
              </w:rPr>
              <w:t>Produit 3.2</w:t>
            </w:r>
          </w:p>
          <w:p w14:paraId="0C627E92" w14:textId="032504DC" w:rsidR="00D60DC9" w:rsidRPr="00B30A2D" w:rsidRDefault="00D60DC9" w:rsidP="00D60DC9">
            <w:pPr>
              <w:rPr>
                <w:rFonts w:cs="Tahoma"/>
                <w:sz w:val="18"/>
                <w:szCs w:val="14"/>
                <w:lang w:val="fr-FR" w:eastAsia="en-US"/>
              </w:rPr>
            </w:pPr>
            <w:r w:rsidRPr="00B30A2D">
              <w:rPr>
                <w:sz w:val="18"/>
                <w:szCs w:val="14"/>
                <w:lang w:val="fr-FR" w:eastAsia="en-US"/>
              </w:rPr>
              <w:t xml:space="preserve">La compréhension du rôle et des missions des FSI est améliorée, tandis que la </w:t>
            </w:r>
            <w:r w:rsidRPr="00B30A2D">
              <w:rPr>
                <w:sz w:val="18"/>
                <w:szCs w:val="14"/>
                <w:lang w:val="fr-FR" w:eastAsia="en-US"/>
              </w:rPr>
              <w:lastRenderedPageBreak/>
              <w:t>confiance entre les autorités, les populations et les FSI est renforcée.</w:t>
            </w:r>
          </w:p>
        </w:tc>
        <w:tc>
          <w:tcPr>
            <w:tcW w:w="2268" w:type="dxa"/>
            <w:shd w:val="clear" w:color="auto" w:fill="EEECE1"/>
          </w:tcPr>
          <w:p w14:paraId="399E4F20"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lastRenderedPageBreak/>
              <w:t>Indicateur 3.2.1</w:t>
            </w:r>
          </w:p>
          <w:p w14:paraId="094E5F49" w14:textId="7DBFB8BA" w:rsidR="00D60DC9" w:rsidRPr="00B30A2D" w:rsidRDefault="00D60DC9" w:rsidP="00D60DC9">
            <w:pPr>
              <w:jc w:val="both"/>
              <w:rPr>
                <w:rFonts w:cs="Tahoma"/>
                <w:sz w:val="18"/>
                <w:szCs w:val="14"/>
                <w:lang w:val="fr-FR" w:eastAsia="en-US"/>
              </w:rPr>
            </w:pPr>
            <w:r w:rsidRPr="00B30A2D">
              <w:rPr>
                <w:sz w:val="18"/>
                <w:szCs w:val="14"/>
                <w:lang w:val="fr-FR" w:eastAsia="en-US"/>
              </w:rPr>
              <w:t>Nombre de campagnes de sensibilisation.</w:t>
            </w:r>
          </w:p>
        </w:tc>
        <w:tc>
          <w:tcPr>
            <w:tcW w:w="1843" w:type="dxa"/>
            <w:shd w:val="clear" w:color="auto" w:fill="EEECE1"/>
          </w:tcPr>
          <w:p w14:paraId="2FC1C1B5" w14:textId="77777777" w:rsidR="002124C9" w:rsidRPr="00B30A2D" w:rsidRDefault="002124C9" w:rsidP="00D60DC9">
            <w:pPr>
              <w:rPr>
                <w:sz w:val="18"/>
                <w:szCs w:val="14"/>
                <w:lang w:val="fr-FR" w:eastAsia="en-US"/>
              </w:rPr>
            </w:pPr>
          </w:p>
          <w:p w14:paraId="1EAA3323" w14:textId="754D40F4" w:rsidR="00D60DC9" w:rsidRPr="00B30A2D" w:rsidRDefault="00D60DC9" w:rsidP="00D60DC9">
            <w:pPr>
              <w:rPr>
                <w:sz w:val="18"/>
                <w:szCs w:val="14"/>
                <w:lang w:val="fr-FR"/>
              </w:rPr>
            </w:pPr>
            <w:r w:rsidRPr="00B30A2D">
              <w:rPr>
                <w:sz w:val="18"/>
                <w:szCs w:val="14"/>
                <w:lang w:val="fr-FR" w:eastAsia="en-US"/>
              </w:rPr>
              <w:t xml:space="preserve">Aucune campagne de </w:t>
            </w:r>
            <w:r w:rsidR="000800A5" w:rsidRPr="00B30A2D">
              <w:rPr>
                <w:sz w:val="18"/>
                <w:szCs w:val="14"/>
                <w:lang w:val="fr-FR" w:eastAsia="en-US"/>
              </w:rPr>
              <w:t>sensibilisation sur</w:t>
            </w:r>
            <w:r w:rsidRPr="00B30A2D">
              <w:rPr>
                <w:sz w:val="18"/>
                <w:szCs w:val="14"/>
                <w:lang w:val="fr-FR" w:eastAsia="en-US"/>
              </w:rPr>
              <w:t xml:space="preserve"> le </w:t>
            </w:r>
            <w:r w:rsidRPr="00B30A2D">
              <w:rPr>
                <w:sz w:val="18"/>
                <w:szCs w:val="14"/>
                <w:lang w:val="fr-FR" w:eastAsia="en-US"/>
              </w:rPr>
              <w:lastRenderedPageBreak/>
              <w:t>rôle et les missions des FSI.</w:t>
            </w:r>
          </w:p>
        </w:tc>
        <w:tc>
          <w:tcPr>
            <w:tcW w:w="1843" w:type="dxa"/>
            <w:shd w:val="clear" w:color="auto" w:fill="EEECE1"/>
          </w:tcPr>
          <w:p w14:paraId="71CC506C" w14:textId="77777777" w:rsidR="002124C9" w:rsidRPr="00B30A2D" w:rsidRDefault="002124C9" w:rsidP="00D60DC9">
            <w:pPr>
              <w:rPr>
                <w:sz w:val="18"/>
                <w:szCs w:val="14"/>
                <w:lang w:val="fr-FR" w:eastAsia="en-US"/>
              </w:rPr>
            </w:pPr>
          </w:p>
          <w:p w14:paraId="0278815D" w14:textId="37311A57" w:rsidR="00D60DC9" w:rsidRPr="00B30A2D" w:rsidRDefault="00D60DC9" w:rsidP="00D60DC9">
            <w:pPr>
              <w:rPr>
                <w:sz w:val="18"/>
                <w:szCs w:val="14"/>
                <w:lang w:val="fr-FR"/>
              </w:rPr>
            </w:pPr>
            <w:r w:rsidRPr="00B30A2D">
              <w:rPr>
                <w:sz w:val="18"/>
                <w:szCs w:val="14"/>
                <w:lang w:val="fr-FR" w:eastAsia="en-US"/>
              </w:rPr>
              <w:t xml:space="preserve">Au </w:t>
            </w:r>
            <w:r w:rsidR="000800A5" w:rsidRPr="00B30A2D">
              <w:rPr>
                <w:sz w:val="18"/>
                <w:szCs w:val="14"/>
                <w:lang w:val="fr-FR" w:eastAsia="en-US"/>
              </w:rPr>
              <w:t>moins trois</w:t>
            </w:r>
            <w:r w:rsidRPr="00B30A2D">
              <w:rPr>
                <w:sz w:val="18"/>
                <w:szCs w:val="14"/>
                <w:lang w:val="fr-FR" w:eastAsia="en-US"/>
              </w:rPr>
              <w:t xml:space="preserve"> campagnes dans la zone cible</w:t>
            </w:r>
          </w:p>
        </w:tc>
        <w:tc>
          <w:tcPr>
            <w:tcW w:w="1984" w:type="dxa"/>
          </w:tcPr>
          <w:p w14:paraId="64077060" w14:textId="2A6526BB" w:rsidR="00D60DC9" w:rsidRPr="00B30A2D" w:rsidRDefault="00D60DC9" w:rsidP="00D60DC9">
            <w:pPr>
              <w:rPr>
                <w:sz w:val="18"/>
                <w:szCs w:val="14"/>
                <w:lang w:val="fr-FR"/>
              </w:rPr>
            </w:pPr>
          </w:p>
        </w:tc>
        <w:tc>
          <w:tcPr>
            <w:tcW w:w="2693" w:type="dxa"/>
          </w:tcPr>
          <w:p w14:paraId="0C6EF76F" w14:textId="5765FB54" w:rsidR="00D60DC9" w:rsidRPr="00B30A2D" w:rsidRDefault="000800A5" w:rsidP="00D60DC9">
            <w:pPr>
              <w:rPr>
                <w:sz w:val="18"/>
                <w:szCs w:val="14"/>
                <w:lang w:val="fr-FR" w:eastAsia="en-US"/>
              </w:rPr>
            </w:pPr>
            <w:r w:rsidRPr="00B30A2D">
              <w:rPr>
                <w:sz w:val="18"/>
                <w:szCs w:val="14"/>
                <w:lang w:val="fr-FR" w:eastAsia="en-US"/>
              </w:rPr>
              <w:t>3</w:t>
            </w:r>
          </w:p>
        </w:tc>
        <w:tc>
          <w:tcPr>
            <w:tcW w:w="2399" w:type="dxa"/>
          </w:tcPr>
          <w:p w14:paraId="18171EAA"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B30A2D" w14:paraId="3874D959" w14:textId="77777777" w:rsidTr="00132068">
        <w:trPr>
          <w:trHeight w:val="458"/>
        </w:trPr>
        <w:tc>
          <w:tcPr>
            <w:tcW w:w="2269" w:type="dxa"/>
          </w:tcPr>
          <w:p w14:paraId="796888F0" w14:textId="77777777" w:rsidR="00D60DC9" w:rsidRPr="00B30A2D" w:rsidRDefault="00D60DC9" w:rsidP="00D60DC9">
            <w:pPr>
              <w:rPr>
                <w:rFonts w:cs="Tahoma"/>
                <w:b/>
                <w:sz w:val="18"/>
                <w:szCs w:val="14"/>
                <w:lang w:val="fr-FR" w:eastAsia="en-US"/>
              </w:rPr>
            </w:pPr>
            <w:r w:rsidRPr="00B30A2D">
              <w:rPr>
                <w:rFonts w:cs="Tahoma"/>
                <w:b/>
                <w:sz w:val="18"/>
                <w:szCs w:val="14"/>
                <w:lang w:val="fr-FR" w:eastAsia="en-US"/>
              </w:rPr>
              <w:t>Résultat 4</w:t>
            </w:r>
          </w:p>
          <w:p w14:paraId="3A5A4A30" w14:textId="042132C6" w:rsidR="00D60DC9" w:rsidRPr="00B30A2D" w:rsidRDefault="00D60DC9" w:rsidP="00D60DC9">
            <w:pPr>
              <w:rPr>
                <w:rFonts w:cs="Tahoma"/>
                <w:b/>
                <w:sz w:val="18"/>
                <w:szCs w:val="14"/>
                <w:lang w:val="fr-FR" w:eastAsia="en-US"/>
              </w:rPr>
            </w:pPr>
            <w:r w:rsidRPr="00B30A2D">
              <w:rPr>
                <w:sz w:val="18"/>
                <w:szCs w:val="14"/>
                <w:lang w:val="fr-FR"/>
              </w:rPr>
              <w:t>Le déploiement des FSI et le développement d'une police de proximité permet de ren</w:t>
            </w:r>
            <w:r w:rsidR="002124C9" w:rsidRPr="00B30A2D">
              <w:rPr>
                <w:sz w:val="18"/>
                <w:szCs w:val="14"/>
                <w:lang w:val="fr-FR"/>
              </w:rPr>
              <w:t>f</w:t>
            </w:r>
            <w:r w:rsidRPr="00B30A2D">
              <w:rPr>
                <w:sz w:val="18"/>
                <w:szCs w:val="14"/>
                <w:lang w:val="fr-FR"/>
              </w:rPr>
              <w:t>orcer la sécurité et la stabilité dans les zones d'intervention des USMS</w:t>
            </w:r>
          </w:p>
        </w:tc>
        <w:tc>
          <w:tcPr>
            <w:tcW w:w="2268" w:type="dxa"/>
            <w:shd w:val="clear" w:color="auto" w:fill="EEECE1"/>
          </w:tcPr>
          <w:p w14:paraId="34DCD59A"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4.1</w:t>
            </w:r>
          </w:p>
          <w:p w14:paraId="16FB3756" w14:textId="70EED035" w:rsidR="00D60DC9" w:rsidRPr="00B30A2D" w:rsidRDefault="00D60DC9" w:rsidP="00D60DC9">
            <w:pPr>
              <w:jc w:val="both"/>
              <w:rPr>
                <w:rFonts w:cs="Tahoma"/>
                <w:sz w:val="18"/>
                <w:szCs w:val="14"/>
                <w:lang w:val="fr-FR" w:eastAsia="en-US"/>
              </w:rPr>
            </w:pPr>
            <w:r w:rsidRPr="00B30A2D">
              <w:rPr>
                <w:sz w:val="18"/>
                <w:szCs w:val="14"/>
                <w:lang w:val="fr-FR" w:eastAsia="en-US"/>
              </w:rPr>
              <w:t>Niveau de satisfaction de la population sur la prestation des FSI dans les zones cibles</w:t>
            </w:r>
          </w:p>
        </w:tc>
        <w:tc>
          <w:tcPr>
            <w:tcW w:w="1843" w:type="dxa"/>
            <w:shd w:val="clear" w:color="auto" w:fill="EEECE1"/>
          </w:tcPr>
          <w:p w14:paraId="09EF8611" w14:textId="77777777" w:rsidR="002124C9" w:rsidRPr="00B30A2D" w:rsidRDefault="002124C9" w:rsidP="00D60DC9">
            <w:pPr>
              <w:rPr>
                <w:sz w:val="18"/>
                <w:szCs w:val="14"/>
                <w:lang w:val="fr-FR" w:eastAsia="en-US"/>
              </w:rPr>
            </w:pPr>
          </w:p>
          <w:p w14:paraId="6245DEFB" w14:textId="77777777" w:rsidR="0098684F" w:rsidRPr="00B30A2D" w:rsidRDefault="00B93435" w:rsidP="00D60DC9">
            <w:pPr>
              <w:rPr>
                <w:sz w:val="18"/>
                <w:szCs w:val="14"/>
                <w:lang w:val="fr-FR" w:eastAsia="en-US"/>
              </w:rPr>
            </w:pPr>
            <w:r w:rsidRPr="00B30A2D">
              <w:rPr>
                <w:sz w:val="18"/>
                <w:szCs w:val="14"/>
                <w:lang w:val="fr-FR" w:eastAsia="en-US"/>
              </w:rPr>
              <w:t>72% pour la Police et 79% pour la Gendarmerie</w:t>
            </w:r>
          </w:p>
          <w:p w14:paraId="3E868F2C" w14:textId="2E392B7B" w:rsidR="00D60DC9" w:rsidRPr="00B30A2D" w:rsidRDefault="00B93435" w:rsidP="00D60DC9">
            <w:pPr>
              <w:rPr>
                <w:sz w:val="18"/>
                <w:szCs w:val="14"/>
                <w:lang w:val="fr-FR"/>
              </w:rPr>
            </w:pPr>
            <w:r w:rsidRPr="00B30A2D">
              <w:rPr>
                <w:sz w:val="18"/>
                <w:szCs w:val="14"/>
                <w:lang w:val="fr-FR" w:eastAsia="en-US"/>
              </w:rPr>
              <w:t>(Source : Sondage HHI – Déc 2018</w:t>
            </w:r>
            <w:r w:rsidR="00D60DC9" w:rsidRPr="00B30A2D">
              <w:rPr>
                <w:sz w:val="18"/>
                <w:szCs w:val="14"/>
                <w:lang w:val="fr-FR" w:eastAsia="en-US"/>
              </w:rPr>
              <w:t>)</w:t>
            </w:r>
          </w:p>
        </w:tc>
        <w:tc>
          <w:tcPr>
            <w:tcW w:w="1843" w:type="dxa"/>
            <w:shd w:val="clear" w:color="auto" w:fill="EEECE1"/>
          </w:tcPr>
          <w:p w14:paraId="50278FEB" w14:textId="77777777" w:rsidR="002124C9" w:rsidRPr="00B30A2D" w:rsidRDefault="002124C9" w:rsidP="00D60DC9">
            <w:pPr>
              <w:rPr>
                <w:sz w:val="18"/>
                <w:szCs w:val="14"/>
                <w:lang w:val="fr-FR" w:eastAsia="en-US"/>
              </w:rPr>
            </w:pPr>
          </w:p>
          <w:p w14:paraId="4B2F55EA" w14:textId="5A441B8C" w:rsidR="00D60DC9" w:rsidRPr="00B30A2D" w:rsidRDefault="00B93435" w:rsidP="00D60DC9">
            <w:pPr>
              <w:rPr>
                <w:sz w:val="18"/>
                <w:szCs w:val="14"/>
                <w:lang w:val="fr-FR"/>
              </w:rPr>
            </w:pPr>
            <w:r w:rsidRPr="00B30A2D">
              <w:rPr>
                <w:sz w:val="18"/>
                <w:szCs w:val="14"/>
                <w:lang w:val="fr-FR" w:eastAsia="en-US"/>
              </w:rPr>
              <w:t>80%</w:t>
            </w:r>
          </w:p>
        </w:tc>
        <w:tc>
          <w:tcPr>
            <w:tcW w:w="1984" w:type="dxa"/>
          </w:tcPr>
          <w:p w14:paraId="71FFBE0F" w14:textId="01E1BA1B" w:rsidR="00D60DC9" w:rsidRPr="00B30A2D" w:rsidRDefault="00B93435" w:rsidP="00D60DC9">
            <w:pPr>
              <w:rPr>
                <w:sz w:val="18"/>
                <w:szCs w:val="14"/>
                <w:lang w:val="fr-FR"/>
              </w:rPr>
            </w:pPr>
            <w:r w:rsidRPr="00B30A2D">
              <w:rPr>
                <w:sz w:val="18"/>
                <w:szCs w:val="14"/>
                <w:lang w:val="fr-FR"/>
              </w:rPr>
              <w:t>75% au cours de l’année 2020</w:t>
            </w:r>
          </w:p>
        </w:tc>
        <w:tc>
          <w:tcPr>
            <w:tcW w:w="2693" w:type="dxa"/>
          </w:tcPr>
          <w:p w14:paraId="7B2B2D4C" w14:textId="4BAD5508" w:rsidR="00D60DC9" w:rsidRPr="00B30A2D" w:rsidRDefault="00D60DC9" w:rsidP="00D60DC9">
            <w:pPr>
              <w:rPr>
                <w:color w:val="FF0000"/>
                <w:sz w:val="18"/>
                <w:szCs w:val="14"/>
                <w:lang w:val="fr-FR"/>
              </w:rPr>
            </w:pPr>
            <w:r w:rsidRPr="00B30A2D">
              <w:rPr>
                <w:sz w:val="18"/>
                <w:szCs w:val="14"/>
                <w:lang w:val="fr-FR"/>
              </w:rPr>
              <w:t xml:space="preserve">Non disponible - </w:t>
            </w:r>
            <w:r w:rsidR="00B93435" w:rsidRPr="00B30A2D">
              <w:rPr>
                <w:sz w:val="18"/>
                <w:szCs w:val="14"/>
                <w:lang w:val="fr-FR"/>
              </w:rPr>
              <w:t>Compilation résultats sondage 2020 en cours</w:t>
            </w:r>
          </w:p>
        </w:tc>
        <w:tc>
          <w:tcPr>
            <w:tcW w:w="2399" w:type="dxa"/>
          </w:tcPr>
          <w:p w14:paraId="4275B385"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B30A2D" w14:paraId="7179FCB9" w14:textId="77777777" w:rsidTr="00132068">
        <w:trPr>
          <w:trHeight w:val="458"/>
        </w:trPr>
        <w:tc>
          <w:tcPr>
            <w:tcW w:w="2269" w:type="dxa"/>
            <w:vMerge w:val="restart"/>
          </w:tcPr>
          <w:p w14:paraId="3573B9F9" w14:textId="77777777" w:rsidR="00D60DC9" w:rsidRPr="00B30A2D" w:rsidRDefault="00D60DC9" w:rsidP="00D60DC9">
            <w:pPr>
              <w:rPr>
                <w:rFonts w:cs="Tahoma"/>
                <w:sz w:val="18"/>
                <w:szCs w:val="14"/>
                <w:lang w:val="fr-FR" w:eastAsia="en-US"/>
              </w:rPr>
            </w:pPr>
            <w:r w:rsidRPr="00B30A2D">
              <w:rPr>
                <w:rFonts w:cs="Tahoma"/>
                <w:sz w:val="18"/>
                <w:szCs w:val="14"/>
                <w:lang w:val="fr-FR" w:eastAsia="en-US"/>
              </w:rPr>
              <w:t>Produit 4.1</w:t>
            </w:r>
          </w:p>
          <w:p w14:paraId="33B24705" w14:textId="012EDCB0" w:rsidR="00D60DC9" w:rsidRPr="00B30A2D" w:rsidRDefault="00D60DC9" w:rsidP="00D60DC9">
            <w:pPr>
              <w:rPr>
                <w:rFonts w:cs="Tahoma"/>
                <w:sz w:val="18"/>
                <w:szCs w:val="14"/>
                <w:lang w:val="fr-FR" w:eastAsia="en-US"/>
              </w:rPr>
            </w:pPr>
            <w:r w:rsidRPr="00B30A2D">
              <w:rPr>
                <w:sz w:val="18"/>
                <w:szCs w:val="14"/>
                <w:lang w:val="fr-FR"/>
              </w:rPr>
              <w:t>Le Ministère de l'</w:t>
            </w:r>
            <w:proofErr w:type="spellStart"/>
            <w:r w:rsidRPr="00B30A2D">
              <w:rPr>
                <w:sz w:val="18"/>
                <w:szCs w:val="14"/>
                <w:lang w:val="fr-FR"/>
              </w:rPr>
              <w:t>Interieur</w:t>
            </w:r>
            <w:proofErr w:type="spellEnd"/>
            <w:r w:rsidRPr="00B30A2D">
              <w:rPr>
                <w:sz w:val="18"/>
                <w:szCs w:val="14"/>
                <w:lang w:val="fr-FR"/>
              </w:rPr>
              <w:t xml:space="preserve"> chargé de la Sécurité Publique dispose d'une politique ministérielle en matière de Police de Proximité et des textes y afférents</w:t>
            </w:r>
          </w:p>
        </w:tc>
        <w:tc>
          <w:tcPr>
            <w:tcW w:w="2268" w:type="dxa"/>
            <w:shd w:val="clear" w:color="auto" w:fill="EEECE1"/>
          </w:tcPr>
          <w:p w14:paraId="595B622E"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4.1.1</w:t>
            </w:r>
          </w:p>
          <w:p w14:paraId="21D276F9" w14:textId="4EA43152" w:rsidR="00D60DC9" w:rsidRPr="00B30A2D" w:rsidRDefault="00D60DC9" w:rsidP="00D60DC9">
            <w:pPr>
              <w:jc w:val="both"/>
              <w:rPr>
                <w:rFonts w:cs="Tahoma"/>
                <w:sz w:val="18"/>
                <w:szCs w:val="14"/>
                <w:lang w:val="fr-FR" w:eastAsia="en-US"/>
              </w:rPr>
            </w:pPr>
            <w:r w:rsidRPr="00B30A2D">
              <w:rPr>
                <w:sz w:val="18"/>
                <w:szCs w:val="14"/>
                <w:lang w:val="fr-FR" w:eastAsia="en-US"/>
              </w:rPr>
              <w:t>Politique en matière de Police de proximité disponible et validée</w:t>
            </w:r>
          </w:p>
        </w:tc>
        <w:tc>
          <w:tcPr>
            <w:tcW w:w="1843" w:type="dxa"/>
            <w:shd w:val="clear" w:color="auto" w:fill="EEECE1"/>
          </w:tcPr>
          <w:p w14:paraId="7196CA17" w14:textId="77777777" w:rsidR="002124C9" w:rsidRPr="00B30A2D" w:rsidRDefault="002124C9" w:rsidP="00D60DC9">
            <w:pPr>
              <w:rPr>
                <w:sz w:val="18"/>
                <w:szCs w:val="14"/>
                <w:lang w:val="fr-FR" w:eastAsia="en-US"/>
              </w:rPr>
            </w:pPr>
          </w:p>
          <w:p w14:paraId="222AF664" w14:textId="18C8FCCC" w:rsidR="00D60DC9" w:rsidRPr="00B30A2D" w:rsidRDefault="00D60DC9" w:rsidP="00D60DC9">
            <w:pPr>
              <w:rPr>
                <w:sz w:val="18"/>
                <w:szCs w:val="14"/>
                <w:lang w:val="fr-FR"/>
              </w:rPr>
            </w:pPr>
            <w:r w:rsidRPr="00B30A2D">
              <w:rPr>
                <w:sz w:val="18"/>
                <w:szCs w:val="14"/>
                <w:lang w:val="fr-FR" w:eastAsia="en-US"/>
              </w:rPr>
              <w:t>Aucun texte disponible en matière de police de proximité</w:t>
            </w:r>
          </w:p>
        </w:tc>
        <w:tc>
          <w:tcPr>
            <w:tcW w:w="1843" w:type="dxa"/>
            <w:shd w:val="clear" w:color="auto" w:fill="EEECE1"/>
          </w:tcPr>
          <w:p w14:paraId="17637CBC" w14:textId="77777777" w:rsidR="002124C9" w:rsidRPr="00B30A2D" w:rsidRDefault="002124C9" w:rsidP="00D60DC9">
            <w:pPr>
              <w:rPr>
                <w:sz w:val="18"/>
                <w:szCs w:val="14"/>
                <w:lang w:val="fr-FR" w:eastAsia="en-US"/>
              </w:rPr>
            </w:pPr>
          </w:p>
          <w:p w14:paraId="653B1C30" w14:textId="40D3C619" w:rsidR="00D60DC9" w:rsidRPr="00B30A2D" w:rsidRDefault="000800A5" w:rsidP="00D60DC9">
            <w:pPr>
              <w:rPr>
                <w:sz w:val="18"/>
                <w:szCs w:val="14"/>
                <w:lang w:val="fr-FR"/>
              </w:rPr>
            </w:pPr>
            <w:r w:rsidRPr="00B30A2D">
              <w:rPr>
                <w:sz w:val="18"/>
                <w:szCs w:val="14"/>
                <w:lang w:val="fr-FR" w:eastAsia="en-US"/>
              </w:rPr>
              <w:t>Document</w:t>
            </w:r>
            <w:r w:rsidR="00D60DC9" w:rsidRPr="00B30A2D">
              <w:rPr>
                <w:sz w:val="18"/>
                <w:szCs w:val="14"/>
                <w:lang w:val="fr-FR" w:eastAsia="en-US"/>
              </w:rPr>
              <w:t xml:space="preserve"> de référence en matière de police de proximité élaboré et validé</w:t>
            </w:r>
          </w:p>
        </w:tc>
        <w:tc>
          <w:tcPr>
            <w:tcW w:w="1984" w:type="dxa"/>
          </w:tcPr>
          <w:p w14:paraId="27B550AE"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c>
          <w:tcPr>
            <w:tcW w:w="2693" w:type="dxa"/>
          </w:tcPr>
          <w:p w14:paraId="71E4E49F" w14:textId="64A1532D" w:rsidR="00D60DC9" w:rsidRPr="00B30A2D" w:rsidRDefault="00D60DC9" w:rsidP="00D60DC9">
            <w:pPr>
              <w:rPr>
                <w:sz w:val="18"/>
                <w:szCs w:val="14"/>
                <w:lang w:val="fr-FR"/>
              </w:rPr>
            </w:pPr>
            <w:r w:rsidRPr="00B30A2D">
              <w:rPr>
                <w:sz w:val="18"/>
                <w:szCs w:val="14"/>
                <w:lang w:val="fr-FR"/>
              </w:rPr>
              <w:t>Politique ministérielle développée et adoptée</w:t>
            </w:r>
          </w:p>
        </w:tc>
        <w:tc>
          <w:tcPr>
            <w:tcW w:w="2399" w:type="dxa"/>
          </w:tcPr>
          <w:p w14:paraId="7523978D" w14:textId="77777777" w:rsidR="00D60DC9" w:rsidRPr="00B30A2D" w:rsidRDefault="00D60DC9" w:rsidP="00D60DC9">
            <w:pPr>
              <w:rPr>
                <w:sz w:val="18"/>
                <w:szCs w:val="14"/>
                <w:lang w:val="fr-FR"/>
              </w:rPr>
            </w:pPr>
            <w:r w:rsidRPr="00B30A2D">
              <w:rPr>
                <w:b/>
                <w:sz w:val="18"/>
                <w:szCs w:val="14"/>
                <w:lang w:val="fr-FR" w:eastAsia="en-US"/>
              </w:rPr>
              <w:fldChar w:fldCharType="begin">
                <w:ffData>
                  <w:name w:val=""/>
                  <w:enabled/>
                  <w:calcOnExit w:val="0"/>
                  <w:textInput>
                    <w:maxLength w:val="300"/>
                  </w:textInput>
                </w:ffData>
              </w:fldChar>
            </w:r>
            <w:r w:rsidRPr="00B30A2D">
              <w:rPr>
                <w:b/>
                <w:sz w:val="18"/>
                <w:szCs w:val="14"/>
                <w:lang w:val="fr-FR" w:eastAsia="en-US"/>
              </w:rPr>
              <w:instrText xml:space="preserve"> FORMTEXT </w:instrText>
            </w:r>
            <w:r w:rsidRPr="00B30A2D">
              <w:rPr>
                <w:b/>
                <w:sz w:val="18"/>
                <w:szCs w:val="14"/>
                <w:lang w:val="fr-FR" w:eastAsia="en-US"/>
              </w:rPr>
            </w:r>
            <w:r w:rsidRPr="00B30A2D">
              <w:rPr>
                <w:b/>
                <w:sz w:val="18"/>
                <w:szCs w:val="14"/>
                <w:lang w:val="fr-FR" w:eastAsia="en-US"/>
              </w:rPr>
              <w:fldChar w:fldCharType="separate"/>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noProof/>
                <w:sz w:val="18"/>
                <w:szCs w:val="14"/>
                <w:lang w:val="fr-FR" w:eastAsia="en-US"/>
              </w:rPr>
              <w:t> </w:t>
            </w:r>
            <w:r w:rsidRPr="00B30A2D">
              <w:rPr>
                <w:b/>
                <w:sz w:val="18"/>
                <w:szCs w:val="14"/>
                <w:lang w:val="fr-FR" w:eastAsia="en-US"/>
              </w:rPr>
              <w:fldChar w:fldCharType="end"/>
            </w:r>
          </w:p>
        </w:tc>
      </w:tr>
      <w:tr w:rsidR="00D60DC9" w:rsidRPr="00433021" w14:paraId="5D69D53B" w14:textId="77777777" w:rsidTr="00132068">
        <w:trPr>
          <w:trHeight w:val="458"/>
        </w:trPr>
        <w:tc>
          <w:tcPr>
            <w:tcW w:w="2269" w:type="dxa"/>
            <w:vMerge/>
          </w:tcPr>
          <w:p w14:paraId="6D7C45FA" w14:textId="77777777" w:rsidR="00D60DC9" w:rsidRPr="00B30A2D" w:rsidRDefault="00D60DC9" w:rsidP="00D60DC9">
            <w:pPr>
              <w:rPr>
                <w:rFonts w:cs="Tahoma"/>
                <w:sz w:val="18"/>
                <w:szCs w:val="14"/>
                <w:lang w:val="fr-FR" w:eastAsia="en-US"/>
              </w:rPr>
            </w:pPr>
          </w:p>
        </w:tc>
        <w:tc>
          <w:tcPr>
            <w:tcW w:w="2268" w:type="dxa"/>
            <w:shd w:val="clear" w:color="auto" w:fill="EEECE1"/>
          </w:tcPr>
          <w:p w14:paraId="2243E50B"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4.1.2</w:t>
            </w:r>
          </w:p>
          <w:p w14:paraId="21B6A107" w14:textId="77777777" w:rsidR="00D60DC9" w:rsidRPr="00B30A2D" w:rsidRDefault="00D60DC9" w:rsidP="00D60DC9">
            <w:pPr>
              <w:jc w:val="both"/>
              <w:rPr>
                <w:sz w:val="18"/>
                <w:szCs w:val="14"/>
                <w:lang w:val="fr-FR" w:eastAsia="en-US"/>
              </w:rPr>
            </w:pPr>
            <w:r w:rsidRPr="00B30A2D">
              <w:rPr>
                <w:sz w:val="18"/>
                <w:szCs w:val="14"/>
                <w:lang w:val="fr-FR" w:eastAsia="en-US"/>
              </w:rPr>
              <w:t>Nombre d’unités pilotes intégrant la police de proximité</w:t>
            </w:r>
          </w:p>
          <w:p w14:paraId="53957930" w14:textId="27C5A97C" w:rsidR="00D60DC9" w:rsidRPr="00B30A2D" w:rsidRDefault="00D60DC9" w:rsidP="00D60DC9">
            <w:pPr>
              <w:jc w:val="both"/>
              <w:rPr>
                <w:rFonts w:cs="Tahoma"/>
                <w:sz w:val="18"/>
                <w:szCs w:val="14"/>
                <w:lang w:val="fr-FR" w:eastAsia="en-US"/>
              </w:rPr>
            </w:pPr>
          </w:p>
        </w:tc>
        <w:tc>
          <w:tcPr>
            <w:tcW w:w="1843" w:type="dxa"/>
            <w:shd w:val="clear" w:color="auto" w:fill="EEECE1"/>
          </w:tcPr>
          <w:p w14:paraId="5E41770A" w14:textId="77777777" w:rsidR="002124C9" w:rsidRPr="00B30A2D" w:rsidRDefault="002124C9" w:rsidP="00D60DC9">
            <w:pPr>
              <w:rPr>
                <w:bCs/>
                <w:sz w:val="18"/>
                <w:szCs w:val="14"/>
                <w:lang w:val="fr-FR" w:eastAsia="en-US"/>
              </w:rPr>
            </w:pPr>
          </w:p>
          <w:p w14:paraId="2856F989" w14:textId="5EB4EEFE" w:rsidR="00D60DC9" w:rsidRPr="00B30A2D" w:rsidRDefault="00D60DC9" w:rsidP="00D60DC9">
            <w:pPr>
              <w:rPr>
                <w:bCs/>
                <w:sz w:val="18"/>
                <w:szCs w:val="14"/>
                <w:lang w:val="fr-FR" w:eastAsia="en-US"/>
              </w:rPr>
            </w:pPr>
            <w:r w:rsidRPr="00B30A2D">
              <w:rPr>
                <w:bCs/>
                <w:sz w:val="18"/>
                <w:szCs w:val="14"/>
                <w:lang w:val="fr-FR" w:eastAsia="en-US"/>
              </w:rPr>
              <w:t>00</w:t>
            </w:r>
          </w:p>
        </w:tc>
        <w:tc>
          <w:tcPr>
            <w:tcW w:w="1843" w:type="dxa"/>
            <w:shd w:val="clear" w:color="auto" w:fill="EEECE1"/>
          </w:tcPr>
          <w:p w14:paraId="31EBFF30" w14:textId="77777777" w:rsidR="002124C9" w:rsidRPr="00B30A2D" w:rsidRDefault="002124C9" w:rsidP="00D60DC9">
            <w:pPr>
              <w:rPr>
                <w:bCs/>
                <w:sz w:val="18"/>
                <w:szCs w:val="14"/>
                <w:lang w:val="fr-FR" w:eastAsia="en-US"/>
              </w:rPr>
            </w:pPr>
          </w:p>
          <w:p w14:paraId="2BAFC11B" w14:textId="1080A2A3" w:rsidR="00D60DC9" w:rsidRPr="00B30A2D" w:rsidRDefault="00D60DC9" w:rsidP="00D60DC9">
            <w:pPr>
              <w:rPr>
                <w:bCs/>
                <w:sz w:val="18"/>
                <w:szCs w:val="14"/>
                <w:lang w:val="fr-FR" w:eastAsia="en-US"/>
              </w:rPr>
            </w:pPr>
            <w:r w:rsidRPr="00B30A2D">
              <w:rPr>
                <w:bCs/>
                <w:sz w:val="18"/>
                <w:szCs w:val="14"/>
                <w:lang w:val="fr-FR" w:eastAsia="en-US"/>
              </w:rPr>
              <w:t>04</w:t>
            </w:r>
          </w:p>
        </w:tc>
        <w:tc>
          <w:tcPr>
            <w:tcW w:w="1984" w:type="dxa"/>
          </w:tcPr>
          <w:p w14:paraId="108FF577" w14:textId="53A3E8BA" w:rsidR="00D60DC9" w:rsidRPr="00B30A2D" w:rsidRDefault="002124C9" w:rsidP="00D60DC9">
            <w:pPr>
              <w:rPr>
                <w:bCs/>
                <w:sz w:val="18"/>
                <w:szCs w:val="14"/>
                <w:lang w:val="fr-FR" w:eastAsia="en-US"/>
              </w:rPr>
            </w:pPr>
            <w:r w:rsidRPr="00B30A2D">
              <w:rPr>
                <w:bCs/>
                <w:sz w:val="18"/>
                <w:szCs w:val="14"/>
                <w:lang w:val="fr-FR" w:eastAsia="en-US"/>
              </w:rPr>
              <w:t>Un pool de 10 formateurs sera formé en 2020 pour dupliquer la formation aux FSI des villes cibles</w:t>
            </w:r>
          </w:p>
        </w:tc>
        <w:tc>
          <w:tcPr>
            <w:tcW w:w="2693" w:type="dxa"/>
          </w:tcPr>
          <w:p w14:paraId="7DC882BC" w14:textId="72D7C931" w:rsidR="00D60DC9" w:rsidRPr="00B30A2D" w:rsidRDefault="00D60DC9" w:rsidP="00D60DC9">
            <w:pPr>
              <w:rPr>
                <w:bCs/>
                <w:sz w:val="18"/>
                <w:szCs w:val="14"/>
                <w:lang w:val="fr-FR" w:eastAsia="en-US"/>
              </w:rPr>
            </w:pPr>
            <w:r w:rsidRPr="00B30A2D">
              <w:rPr>
                <w:bCs/>
                <w:sz w:val="18"/>
                <w:szCs w:val="14"/>
                <w:lang w:val="fr-FR" w:eastAsia="en-US"/>
              </w:rPr>
              <w:t>00</w:t>
            </w:r>
          </w:p>
        </w:tc>
        <w:tc>
          <w:tcPr>
            <w:tcW w:w="2399" w:type="dxa"/>
          </w:tcPr>
          <w:p w14:paraId="104C6275" w14:textId="4B95FC76" w:rsidR="00D60DC9" w:rsidRPr="00B30A2D" w:rsidRDefault="00B93435" w:rsidP="000E16A2">
            <w:pPr>
              <w:rPr>
                <w:bCs/>
                <w:sz w:val="18"/>
                <w:szCs w:val="14"/>
                <w:lang w:val="fr-FR" w:eastAsia="en-US"/>
              </w:rPr>
            </w:pPr>
            <w:r w:rsidRPr="00B30A2D">
              <w:rPr>
                <w:bCs/>
                <w:sz w:val="18"/>
                <w:szCs w:val="14"/>
                <w:lang w:val="fr-FR" w:eastAsia="en-US"/>
              </w:rPr>
              <w:t>Changement des zones d’intervention du projet</w:t>
            </w:r>
            <w:r w:rsidR="005B205D" w:rsidRPr="00B30A2D">
              <w:rPr>
                <w:bCs/>
                <w:sz w:val="18"/>
                <w:szCs w:val="14"/>
                <w:lang w:val="fr-FR" w:eastAsia="en-US"/>
              </w:rPr>
              <w:t xml:space="preserve">, voir explications </w:t>
            </w:r>
            <w:r w:rsidR="000E16A2" w:rsidRPr="00B30A2D">
              <w:rPr>
                <w:bCs/>
                <w:sz w:val="18"/>
                <w:szCs w:val="14"/>
                <w:lang w:val="fr-FR" w:eastAsia="en-US"/>
              </w:rPr>
              <w:t>ci-dessus.</w:t>
            </w:r>
          </w:p>
        </w:tc>
      </w:tr>
      <w:tr w:rsidR="00D60DC9" w:rsidRPr="00433021" w14:paraId="3A2FD794" w14:textId="77777777" w:rsidTr="00132068">
        <w:trPr>
          <w:trHeight w:val="458"/>
        </w:trPr>
        <w:tc>
          <w:tcPr>
            <w:tcW w:w="2269" w:type="dxa"/>
            <w:vMerge/>
          </w:tcPr>
          <w:p w14:paraId="6FE132D3" w14:textId="77777777" w:rsidR="00D60DC9" w:rsidRPr="00B30A2D" w:rsidRDefault="00D60DC9" w:rsidP="00D60DC9">
            <w:pPr>
              <w:rPr>
                <w:rFonts w:cs="Tahoma"/>
                <w:sz w:val="18"/>
                <w:szCs w:val="14"/>
                <w:lang w:val="fr-FR" w:eastAsia="en-US"/>
              </w:rPr>
            </w:pPr>
          </w:p>
        </w:tc>
        <w:tc>
          <w:tcPr>
            <w:tcW w:w="2268" w:type="dxa"/>
            <w:shd w:val="clear" w:color="auto" w:fill="EEECE1"/>
          </w:tcPr>
          <w:p w14:paraId="282BAA58" w14:textId="77777777" w:rsidR="002124C9" w:rsidRPr="00B30A2D" w:rsidRDefault="00D60DC9" w:rsidP="00D60DC9">
            <w:pPr>
              <w:jc w:val="both"/>
              <w:rPr>
                <w:sz w:val="18"/>
                <w:szCs w:val="14"/>
                <w:lang w:val="fr-FR"/>
              </w:rPr>
            </w:pPr>
            <w:r w:rsidRPr="00B30A2D">
              <w:rPr>
                <w:sz w:val="18"/>
                <w:szCs w:val="14"/>
                <w:lang w:val="fr-FR"/>
              </w:rPr>
              <w:t xml:space="preserve">Indicateur 4.1.3 </w:t>
            </w:r>
          </w:p>
          <w:p w14:paraId="0015DC61" w14:textId="5D693539" w:rsidR="00D60DC9" w:rsidRPr="00B30A2D" w:rsidRDefault="00D60DC9" w:rsidP="00D60DC9">
            <w:pPr>
              <w:jc w:val="both"/>
              <w:rPr>
                <w:rFonts w:cs="Tahoma"/>
                <w:sz w:val="18"/>
                <w:szCs w:val="14"/>
                <w:lang w:val="fr-FR" w:eastAsia="en-US"/>
              </w:rPr>
            </w:pPr>
            <w:r w:rsidRPr="00B30A2D">
              <w:rPr>
                <w:sz w:val="18"/>
                <w:szCs w:val="14"/>
                <w:lang w:val="fr-FR"/>
              </w:rPr>
              <w:t>Plan d’action d’intégration du genre dans les FSI</w:t>
            </w:r>
          </w:p>
        </w:tc>
        <w:tc>
          <w:tcPr>
            <w:tcW w:w="1843" w:type="dxa"/>
            <w:shd w:val="clear" w:color="auto" w:fill="EEECE1"/>
          </w:tcPr>
          <w:p w14:paraId="17C0E04A" w14:textId="77777777" w:rsidR="002124C9" w:rsidRPr="00B30A2D" w:rsidRDefault="002124C9" w:rsidP="00D60DC9">
            <w:pPr>
              <w:rPr>
                <w:sz w:val="18"/>
                <w:szCs w:val="14"/>
                <w:lang w:val="fr-FR" w:eastAsia="en-US"/>
              </w:rPr>
            </w:pPr>
          </w:p>
          <w:p w14:paraId="61B43620" w14:textId="45A9A237" w:rsidR="00D60DC9" w:rsidRPr="00B30A2D" w:rsidRDefault="00D60DC9" w:rsidP="00D60DC9">
            <w:pPr>
              <w:rPr>
                <w:sz w:val="18"/>
                <w:szCs w:val="14"/>
                <w:lang w:val="fr-FR"/>
              </w:rPr>
            </w:pPr>
            <w:r w:rsidRPr="00B30A2D">
              <w:rPr>
                <w:sz w:val="18"/>
                <w:szCs w:val="14"/>
                <w:lang w:val="fr-FR" w:eastAsia="en-US"/>
              </w:rPr>
              <w:t>Pas de plan existant</w:t>
            </w:r>
          </w:p>
        </w:tc>
        <w:tc>
          <w:tcPr>
            <w:tcW w:w="1843" w:type="dxa"/>
            <w:shd w:val="clear" w:color="auto" w:fill="EEECE1"/>
          </w:tcPr>
          <w:p w14:paraId="6A605CCC" w14:textId="77777777" w:rsidR="002124C9" w:rsidRPr="00B30A2D" w:rsidRDefault="002124C9" w:rsidP="00D60DC9">
            <w:pPr>
              <w:rPr>
                <w:sz w:val="18"/>
                <w:szCs w:val="14"/>
                <w:lang w:val="fr-FR"/>
              </w:rPr>
            </w:pPr>
          </w:p>
          <w:p w14:paraId="598D4F01" w14:textId="2E32B541" w:rsidR="00D60DC9" w:rsidRPr="00B30A2D" w:rsidRDefault="00D60DC9" w:rsidP="00D60DC9">
            <w:pPr>
              <w:rPr>
                <w:sz w:val="18"/>
                <w:szCs w:val="14"/>
                <w:lang w:val="fr-FR"/>
              </w:rPr>
            </w:pPr>
            <w:r w:rsidRPr="00B30A2D">
              <w:rPr>
                <w:sz w:val="18"/>
                <w:szCs w:val="14"/>
                <w:lang w:val="fr-FR"/>
              </w:rPr>
              <w:t>Plan d’action d’intégration du genre dans les FSI développé.</w:t>
            </w:r>
          </w:p>
        </w:tc>
        <w:tc>
          <w:tcPr>
            <w:tcW w:w="1984" w:type="dxa"/>
          </w:tcPr>
          <w:p w14:paraId="1D1CB7A0" w14:textId="5403172E" w:rsidR="00D60DC9" w:rsidRPr="00B30A2D" w:rsidRDefault="00C134C2" w:rsidP="00D60DC9">
            <w:pPr>
              <w:rPr>
                <w:bCs/>
                <w:sz w:val="18"/>
                <w:szCs w:val="14"/>
                <w:lang w:val="fr-FR"/>
              </w:rPr>
            </w:pPr>
            <w:r w:rsidRPr="00B30A2D">
              <w:rPr>
                <w:bCs/>
                <w:sz w:val="18"/>
                <w:szCs w:val="14"/>
                <w:lang w:val="fr-FR" w:eastAsia="en-US"/>
              </w:rPr>
              <w:t>Un rapport sur l’état des lieux finalisé et approuvé en début 2020</w:t>
            </w:r>
          </w:p>
        </w:tc>
        <w:tc>
          <w:tcPr>
            <w:tcW w:w="2693" w:type="dxa"/>
          </w:tcPr>
          <w:p w14:paraId="71BD3BEE" w14:textId="367E319D" w:rsidR="00D60DC9" w:rsidRPr="00B30A2D" w:rsidRDefault="00D60DC9" w:rsidP="00D60DC9">
            <w:pPr>
              <w:rPr>
                <w:bCs/>
                <w:sz w:val="18"/>
                <w:szCs w:val="14"/>
                <w:lang w:val="fr-FR"/>
              </w:rPr>
            </w:pPr>
            <w:r w:rsidRPr="00B30A2D">
              <w:rPr>
                <w:bCs/>
                <w:sz w:val="18"/>
                <w:szCs w:val="14"/>
                <w:lang w:val="fr-FR" w:eastAsia="en-US"/>
              </w:rPr>
              <w:t>00</w:t>
            </w:r>
          </w:p>
        </w:tc>
        <w:tc>
          <w:tcPr>
            <w:tcW w:w="2399" w:type="dxa"/>
          </w:tcPr>
          <w:p w14:paraId="03B10C41" w14:textId="159D1129" w:rsidR="00D60DC9" w:rsidRPr="00B30A2D" w:rsidRDefault="00B93435" w:rsidP="00D60DC9">
            <w:pPr>
              <w:rPr>
                <w:bCs/>
                <w:sz w:val="18"/>
                <w:szCs w:val="14"/>
                <w:lang w:val="fr-FR"/>
              </w:rPr>
            </w:pPr>
            <w:r w:rsidRPr="00B30A2D">
              <w:rPr>
                <w:bCs/>
                <w:sz w:val="18"/>
                <w:szCs w:val="14"/>
                <w:lang w:val="fr-FR" w:eastAsia="en-US"/>
              </w:rPr>
              <w:t>Activité décalée suite aux restrictions liées au COVID-19</w:t>
            </w:r>
            <w:r w:rsidR="000E16A2" w:rsidRPr="00B30A2D">
              <w:rPr>
                <w:bCs/>
                <w:sz w:val="18"/>
                <w:szCs w:val="14"/>
                <w:lang w:val="fr-FR" w:eastAsia="en-US"/>
              </w:rPr>
              <w:t xml:space="preserve"> voir explications ci-dessus.</w:t>
            </w:r>
          </w:p>
        </w:tc>
      </w:tr>
      <w:tr w:rsidR="0098684F" w:rsidRPr="00433021" w14:paraId="40A7EB21" w14:textId="77777777" w:rsidTr="00132068">
        <w:trPr>
          <w:trHeight w:val="458"/>
        </w:trPr>
        <w:tc>
          <w:tcPr>
            <w:tcW w:w="2269" w:type="dxa"/>
          </w:tcPr>
          <w:p w14:paraId="586E2AEC" w14:textId="77777777" w:rsidR="0098684F" w:rsidRPr="00B30A2D" w:rsidRDefault="0098684F" w:rsidP="0098684F">
            <w:pPr>
              <w:rPr>
                <w:rFonts w:cs="Tahoma"/>
                <w:sz w:val="18"/>
                <w:szCs w:val="14"/>
                <w:lang w:val="fr-FR" w:eastAsia="en-US"/>
              </w:rPr>
            </w:pPr>
            <w:r w:rsidRPr="00B30A2D">
              <w:rPr>
                <w:rFonts w:cs="Tahoma"/>
                <w:sz w:val="18"/>
                <w:szCs w:val="14"/>
                <w:lang w:val="fr-FR" w:eastAsia="en-US"/>
              </w:rPr>
              <w:t>Produit 4.2</w:t>
            </w:r>
          </w:p>
          <w:p w14:paraId="157177A1" w14:textId="01C3C382" w:rsidR="0098684F" w:rsidRPr="00B30A2D" w:rsidRDefault="0098684F" w:rsidP="0098684F">
            <w:pPr>
              <w:rPr>
                <w:rFonts w:cs="Tahoma"/>
                <w:sz w:val="18"/>
                <w:szCs w:val="14"/>
                <w:lang w:val="fr-FR" w:eastAsia="en-US"/>
              </w:rPr>
            </w:pPr>
            <w:r w:rsidRPr="00B30A2D">
              <w:rPr>
                <w:sz w:val="18"/>
                <w:szCs w:val="14"/>
                <w:lang w:val="fr-FR"/>
              </w:rPr>
              <w:t>Le redéploiement des FSI est appuyé au niveau des régions de Bouar, Ndélé et Bangassou</w:t>
            </w:r>
          </w:p>
        </w:tc>
        <w:tc>
          <w:tcPr>
            <w:tcW w:w="2268" w:type="dxa"/>
            <w:shd w:val="clear" w:color="auto" w:fill="EEECE1"/>
          </w:tcPr>
          <w:p w14:paraId="3D071170" w14:textId="77777777" w:rsidR="0098684F" w:rsidRPr="00B30A2D" w:rsidRDefault="0098684F" w:rsidP="0098684F">
            <w:pPr>
              <w:jc w:val="both"/>
              <w:rPr>
                <w:rFonts w:cs="Tahoma"/>
                <w:sz w:val="18"/>
                <w:szCs w:val="14"/>
                <w:lang w:val="fr-FR" w:eastAsia="en-US"/>
              </w:rPr>
            </w:pPr>
            <w:r w:rsidRPr="00B30A2D">
              <w:rPr>
                <w:rFonts w:cs="Tahoma"/>
                <w:sz w:val="18"/>
                <w:szCs w:val="14"/>
                <w:lang w:val="fr-FR" w:eastAsia="en-US"/>
              </w:rPr>
              <w:t>Indicateur 4.2.1</w:t>
            </w:r>
          </w:p>
          <w:p w14:paraId="5334C722" w14:textId="45A81661" w:rsidR="0098684F" w:rsidRPr="00B30A2D" w:rsidRDefault="0098684F" w:rsidP="0098684F">
            <w:pPr>
              <w:jc w:val="both"/>
              <w:rPr>
                <w:rFonts w:cs="Tahoma"/>
                <w:sz w:val="18"/>
                <w:szCs w:val="14"/>
                <w:lang w:val="fr-FR" w:eastAsia="en-US"/>
              </w:rPr>
            </w:pPr>
            <w:r w:rsidRPr="00B30A2D">
              <w:rPr>
                <w:sz w:val="18"/>
                <w:szCs w:val="14"/>
                <w:lang w:val="fr-FR" w:eastAsia="en-US"/>
              </w:rPr>
              <w:t>Nombre des FSI déployés dans les villes cibles</w:t>
            </w:r>
          </w:p>
        </w:tc>
        <w:tc>
          <w:tcPr>
            <w:tcW w:w="1843" w:type="dxa"/>
            <w:shd w:val="clear" w:color="auto" w:fill="EEECE1"/>
          </w:tcPr>
          <w:p w14:paraId="1290D693" w14:textId="77777777" w:rsidR="0098684F" w:rsidRPr="00B30A2D" w:rsidRDefault="0098684F" w:rsidP="0098684F">
            <w:pPr>
              <w:rPr>
                <w:sz w:val="18"/>
                <w:szCs w:val="14"/>
                <w:lang w:val="fr-FR" w:eastAsia="en-US"/>
              </w:rPr>
            </w:pPr>
          </w:p>
          <w:p w14:paraId="598474AE" w14:textId="77777777" w:rsidR="0098684F" w:rsidRPr="00B30A2D" w:rsidRDefault="0098684F" w:rsidP="0098684F">
            <w:pPr>
              <w:rPr>
                <w:sz w:val="18"/>
                <w:szCs w:val="14"/>
                <w:lang w:val="fr-FR" w:eastAsia="en-US"/>
              </w:rPr>
            </w:pPr>
            <w:r w:rsidRPr="00B30A2D">
              <w:rPr>
                <w:sz w:val="18"/>
                <w:szCs w:val="14"/>
                <w:lang w:val="fr-FR" w:eastAsia="en-US"/>
              </w:rPr>
              <w:t>20</w:t>
            </w:r>
          </w:p>
          <w:p w14:paraId="2AC84E33" w14:textId="497D28A7" w:rsidR="0098684F" w:rsidRPr="00B30A2D" w:rsidRDefault="0098684F" w:rsidP="0098684F">
            <w:pPr>
              <w:rPr>
                <w:sz w:val="18"/>
                <w:szCs w:val="14"/>
                <w:lang w:val="fr-FR"/>
              </w:rPr>
            </w:pPr>
            <w:r w:rsidRPr="00B30A2D">
              <w:rPr>
                <w:sz w:val="18"/>
                <w:szCs w:val="14"/>
                <w:lang w:val="fr-FR" w:eastAsia="en-US"/>
              </w:rPr>
              <w:t>12 Police et 08 Gendarmerie</w:t>
            </w:r>
          </w:p>
        </w:tc>
        <w:tc>
          <w:tcPr>
            <w:tcW w:w="1843" w:type="dxa"/>
            <w:shd w:val="clear" w:color="auto" w:fill="EEECE1"/>
          </w:tcPr>
          <w:p w14:paraId="08F4D4A5" w14:textId="77777777" w:rsidR="0098684F" w:rsidRPr="00B30A2D" w:rsidRDefault="0098684F" w:rsidP="0098684F">
            <w:pPr>
              <w:rPr>
                <w:sz w:val="18"/>
                <w:szCs w:val="14"/>
                <w:lang w:val="fr-FR" w:eastAsia="en-US"/>
              </w:rPr>
            </w:pPr>
          </w:p>
          <w:p w14:paraId="338E68BA" w14:textId="77777777" w:rsidR="0098684F" w:rsidRPr="00B30A2D" w:rsidRDefault="0098684F" w:rsidP="0098684F">
            <w:pPr>
              <w:rPr>
                <w:sz w:val="18"/>
                <w:szCs w:val="14"/>
                <w:lang w:val="fr-FR" w:eastAsia="en-US"/>
              </w:rPr>
            </w:pPr>
            <w:r w:rsidRPr="00B30A2D">
              <w:rPr>
                <w:sz w:val="18"/>
                <w:szCs w:val="14"/>
                <w:lang w:val="fr-FR" w:eastAsia="en-US"/>
              </w:rPr>
              <w:t xml:space="preserve">54 </w:t>
            </w:r>
          </w:p>
          <w:p w14:paraId="616CD51D" w14:textId="7954768B" w:rsidR="0098684F" w:rsidRPr="00B30A2D" w:rsidRDefault="0098684F" w:rsidP="0098684F">
            <w:pPr>
              <w:rPr>
                <w:sz w:val="18"/>
                <w:szCs w:val="14"/>
                <w:lang w:val="fr-FR"/>
              </w:rPr>
            </w:pPr>
            <w:r w:rsidRPr="00B30A2D">
              <w:rPr>
                <w:sz w:val="18"/>
                <w:szCs w:val="14"/>
                <w:lang w:val="fr-FR" w:eastAsia="en-US"/>
              </w:rPr>
              <w:t>(40% des prévisions du PGRR)</w:t>
            </w:r>
          </w:p>
        </w:tc>
        <w:tc>
          <w:tcPr>
            <w:tcW w:w="1984" w:type="dxa"/>
          </w:tcPr>
          <w:p w14:paraId="4CA7C2F5" w14:textId="77777777" w:rsidR="0098684F" w:rsidRPr="00B30A2D" w:rsidRDefault="0098684F" w:rsidP="0098684F">
            <w:pPr>
              <w:rPr>
                <w:sz w:val="18"/>
                <w:szCs w:val="14"/>
                <w:lang w:val="fr-FR"/>
              </w:rPr>
            </w:pPr>
          </w:p>
          <w:p w14:paraId="2738AA87" w14:textId="13F2AC96" w:rsidR="0098684F" w:rsidRPr="00B30A2D" w:rsidRDefault="0098684F" w:rsidP="0098684F">
            <w:pPr>
              <w:rPr>
                <w:color w:val="FF0000"/>
                <w:sz w:val="18"/>
                <w:szCs w:val="14"/>
                <w:lang w:val="fr-FR"/>
              </w:rPr>
            </w:pPr>
            <w:r w:rsidRPr="00B30A2D">
              <w:rPr>
                <w:sz w:val="18"/>
                <w:szCs w:val="14"/>
                <w:lang w:val="fr-FR"/>
              </w:rPr>
              <w:t>Au moins 10 personnes additionnelles seront déployées avant la fin de l’année.</w:t>
            </w:r>
          </w:p>
        </w:tc>
        <w:tc>
          <w:tcPr>
            <w:tcW w:w="2693" w:type="dxa"/>
          </w:tcPr>
          <w:p w14:paraId="56B1E6C2" w14:textId="77777777" w:rsidR="0098684F" w:rsidRPr="00B30A2D" w:rsidRDefault="0098684F" w:rsidP="0098684F">
            <w:pPr>
              <w:rPr>
                <w:bCs/>
                <w:sz w:val="18"/>
                <w:szCs w:val="14"/>
                <w:lang w:val="fr-FR" w:eastAsia="en-US"/>
              </w:rPr>
            </w:pPr>
          </w:p>
          <w:p w14:paraId="01EE839C" w14:textId="77777777" w:rsidR="0098684F" w:rsidRPr="00B30A2D" w:rsidRDefault="0098684F" w:rsidP="0098684F">
            <w:pPr>
              <w:rPr>
                <w:bCs/>
                <w:sz w:val="18"/>
                <w:szCs w:val="14"/>
                <w:lang w:val="fr-FR" w:eastAsia="en-US"/>
              </w:rPr>
            </w:pPr>
            <w:r w:rsidRPr="00B30A2D">
              <w:rPr>
                <w:bCs/>
                <w:sz w:val="18"/>
                <w:szCs w:val="14"/>
                <w:lang w:val="fr-FR" w:eastAsia="en-US"/>
              </w:rPr>
              <w:t>32</w:t>
            </w:r>
          </w:p>
          <w:p w14:paraId="43F2D396" w14:textId="363BB710" w:rsidR="0098684F" w:rsidRPr="00B30A2D" w:rsidRDefault="0098684F" w:rsidP="0098684F">
            <w:pPr>
              <w:rPr>
                <w:sz w:val="18"/>
                <w:szCs w:val="14"/>
                <w:lang w:val="fr-FR"/>
              </w:rPr>
            </w:pPr>
            <w:r w:rsidRPr="00B30A2D">
              <w:rPr>
                <w:bCs/>
                <w:sz w:val="18"/>
                <w:szCs w:val="14"/>
                <w:lang w:val="fr-FR" w:eastAsia="en-US"/>
              </w:rPr>
              <w:t>17 Police et 15 Gendarmerie</w:t>
            </w:r>
          </w:p>
        </w:tc>
        <w:tc>
          <w:tcPr>
            <w:tcW w:w="2399" w:type="dxa"/>
          </w:tcPr>
          <w:p w14:paraId="651ED754" w14:textId="77777777" w:rsidR="0098684F" w:rsidRPr="00B30A2D" w:rsidRDefault="0098684F" w:rsidP="0098684F">
            <w:pPr>
              <w:rPr>
                <w:sz w:val="18"/>
                <w:szCs w:val="14"/>
                <w:lang w:val="fr-FR"/>
              </w:rPr>
            </w:pPr>
            <w:r w:rsidRPr="00B30A2D">
              <w:rPr>
                <w:sz w:val="18"/>
                <w:szCs w:val="14"/>
                <w:lang w:val="fr-FR"/>
              </w:rPr>
              <w:t xml:space="preserve">Les villes initialement choisies sont celles de </w:t>
            </w:r>
            <w:proofErr w:type="spellStart"/>
            <w:r w:rsidRPr="00B30A2D">
              <w:rPr>
                <w:sz w:val="18"/>
                <w:szCs w:val="14"/>
                <w:lang w:val="fr-FR"/>
              </w:rPr>
              <w:t>Bocaranga</w:t>
            </w:r>
            <w:proofErr w:type="spellEnd"/>
            <w:r w:rsidRPr="00B30A2D">
              <w:rPr>
                <w:sz w:val="18"/>
                <w:szCs w:val="14"/>
                <w:lang w:val="fr-FR"/>
              </w:rPr>
              <w:t xml:space="preserve">, </w:t>
            </w:r>
            <w:proofErr w:type="spellStart"/>
            <w:r w:rsidRPr="00B30A2D">
              <w:rPr>
                <w:sz w:val="18"/>
                <w:szCs w:val="14"/>
                <w:lang w:val="fr-FR"/>
              </w:rPr>
              <w:t>Ippy</w:t>
            </w:r>
            <w:proofErr w:type="spellEnd"/>
            <w:r w:rsidRPr="00B30A2D">
              <w:rPr>
                <w:sz w:val="18"/>
                <w:szCs w:val="14"/>
                <w:lang w:val="fr-FR"/>
              </w:rPr>
              <w:t xml:space="preserve">, Bria et </w:t>
            </w:r>
            <w:proofErr w:type="spellStart"/>
            <w:r w:rsidRPr="00B30A2D">
              <w:rPr>
                <w:sz w:val="18"/>
                <w:szCs w:val="14"/>
                <w:lang w:val="fr-FR"/>
              </w:rPr>
              <w:t>Kaga-Bandoro</w:t>
            </w:r>
            <w:proofErr w:type="spellEnd"/>
            <w:r w:rsidRPr="00B30A2D">
              <w:rPr>
                <w:sz w:val="18"/>
                <w:szCs w:val="14"/>
                <w:lang w:val="fr-FR"/>
              </w:rPr>
              <w:t>.</w:t>
            </w:r>
          </w:p>
          <w:p w14:paraId="55ABF376" w14:textId="6B378BE0" w:rsidR="0098684F" w:rsidRPr="00B30A2D" w:rsidRDefault="0098684F" w:rsidP="0098684F">
            <w:pPr>
              <w:rPr>
                <w:sz w:val="18"/>
                <w:szCs w:val="14"/>
                <w:lang w:val="fr-FR"/>
              </w:rPr>
            </w:pPr>
            <w:r w:rsidRPr="00B30A2D">
              <w:rPr>
                <w:sz w:val="18"/>
                <w:szCs w:val="14"/>
                <w:lang w:val="fr-FR"/>
              </w:rPr>
              <w:t xml:space="preserve">Suite à la mission d'identification des besoins et le retard enregistré dans la mise en place des USMS, le projet a soumis une proposition de réorientation </w:t>
            </w:r>
            <w:r w:rsidRPr="00B30A2D">
              <w:rPr>
                <w:sz w:val="18"/>
                <w:szCs w:val="14"/>
                <w:lang w:val="fr-FR"/>
              </w:rPr>
              <w:lastRenderedPageBreak/>
              <w:t>de l’appui pour le redéploiement des FSI dans les villes de Bouca, Bocaranga, Bozum et Batangafo.</w:t>
            </w:r>
          </w:p>
        </w:tc>
      </w:tr>
      <w:tr w:rsidR="00D60DC9" w:rsidRPr="00B30A2D" w14:paraId="1DCE9A40" w14:textId="77777777" w:rsidTr="00132068">
        <w:trPr>
          <w:trHeight w:val="458"/>
        </w:trPr>
        <w:tc>
          <w:tcPr>
            <w:tcW w:w="2269" w:type="dxa"/>
          </w:tcPr>
          <w:p w14:paraId="4A0E5F1B" w14:textId="77777777" w:rsidR="00D60DC9" w:rsidRPr="00B30A2D" w:rsidRDefault="00D60DC9" w:rsidP="00D60DC9">
            <w:pPr>
              <w:rPr>
                <w:rFonts w:cs="Tahoma"/>
                <w:sz w:val="18"/>
                <w:szCs w:val="14"/>
                <w:lang w:val="fr-FR" w:eastAsia="en-US"/>
              </w:rPr>
            </w:pPr>
            <w:r w:rsidRPr="00B30A2D">
              <w:rPr>
                <w:rFonts w:cs="Tahoma"/>
                <w:sz w:val="18"/>
                <w:szCs w:val="14"/>
                <w:lang w:val="fr-FR" w:eastAsia="en-US"/>
              </w:rPr>
              <w:lastRenderedPageBreak/>
              <w:t>Produit 4.3</w:t>
            </w:r>
          </w:p>
          <w:p w14:paraId="24635A0A" w14:textId="627DAF72" w:rsidR="00D60DC9" w:rsidRPr="00B30A2D" w:rsidRDefault="00D60DC9" w:rsidP="00D60DC9">
            <w:pPr>
              <w:rPr>
                <w:rFonts w:cs="Tahoma"/>
                <w:sz w:val="18"/>
                <w:szCs w:val="14"/>
                <w:lang w:val="fr-FR" w:eastAsia="en-US"/>
              </w:rPr>
            </w:pPr>
            <w:r w:rsidRPr="00B30A2D">
              <w:rPr>
                <w:sz w:val="18"/>
                <w:szCs w:val="14"/>
                <w:lang w:val="fr-FR"/>
              </w:rPr>
              <w:t>La formation des FSI est systématisée et modernisée</w:t>
            </w:r>
          </w:p>
        </w:tc>
        <w:tc>
          <w:tcPr>
            <w:tcW w:w="2268" w:type="dxa"/>
            <w:shd w:val="clear" w:color="auto" w:fill="EEECE1"/>
          </w:tcPr>
          <w:p w14:paraId="1281F333" w14:textId="77777777" w:rsidR="00D60DC9" w:rsidRPr="00B30A2D" w:rsidRDefault="00D60DC9" w:rsidP="00D60DC9">
            <w:pPr>
              <w:jc w:val="both"/>
              <w:rPr>
                <w:rFonts w:cs="Tahoma"/>
                <w:sz w:val="18"/>
                <w:szCs w:val="14"/>
                <w:lang w:val="fr-FR" w:eastAsia="en-US"/>
              </w:rPr>
            </w:pPr>
            <w:r w:rsidRPr="00B30A2D">
              <w:rPr>
                <w:rFonts w:cs="Tahoma"/>
                <w:sz w:val="18"/>
                <w:szCs w:val="14"/>
                <w:lang w:val="fr-FR" w:eastAsia="en-US"/>
              </w:rPr>
              <w:t>Indicateur 4.3.1</w:t>
            </w:r>
          </w:p>
          <w:p w14:paraId="1E5B9C88" w14:textId="0D36AC5D" w:rsidR="00D60DC9" w:rsidRPr="00B30A2D" w:rsidRDefault="00D60DC9" w:rsidP="00D60DC9">
            <w:pPr>
              <w:jc w:val="both"/>
              <w:rPr>
                <w:rFonts w:cs="Tahoma"/>
                <w:sz w:val="18"/>
                <w:szCs w:val="14"/>
                <w:lang w:val="fr-FR" w:eastAsia="en-US"/>
              </w:rPr>
            </w:pPr>
            <w:r w:rsidRPr="00B30A2D">
              <w:rPr>
                <w:sz w:val="18"/>
                <w:szCs w:val="14"/>
                <w:lang w:val="fr-FR" w:eastAsia="en-US"/>
              </w:rPr>
              <w:t xml:space="preserve">Les référentiels métiers des FSI sont élaborés </w:t>
            </w:r>
          </w:p>
        </w:tc>
        <w:tc>
          <w:tcPr>
            <w:tcW w:w="1843" w:type="dxa"/>
            <w:shd w:val="clear" w:color="auto" w:fill="EEECE1"/>
          </w:tcPr>
          <w:p w14:paraId="1E117489" w14:textId="77777777" w:rsidR="002124C9" w:rsidRPr="00B30A2D" w:rsidRDefault="002124C9" w:rsidP="00D60DC9">
            <w:pPr>
              <w:rPr>
                <w:sz w:val="18"/>
                <w:szCs w:val="14"/>
                <w:lang w:val="fr-FR" w:eastAsia="en-US"/>
              </w:rPr>
            </w:pPr>
          </w:p>
          <w:p w14:paraId="3B90DF4E" w14:textId="138630F9" w:rsidR="00D60DC9" w:rsidRPr="00B30A2D" w:rsidRDefault="00D60DC9" w:rsidP="00D60DC9">
            <w:pPr>
              <w:rPr>
                <w:sz w:val="18"/>
                <w:szCs w:val="14"/>
                <w:lang w:val="fr-FR"/>
              </w:rPr>
            </w:pPr>
            <w:r w:rsidRPr="00B30A2D">
              <w:rPr>
                <w:sz w:val="18"/>
                <w:szCs w:val="14"/>
                <w:lang w:val="fr-FR" w:eastAsia="en-US"/>
              </w:rPr>
              <w:t xml:space="preserve">Inexistence de référentiel métier pour l’élaboration du matériel de la formation  </w:t>
            </w:r>
          </w:p>
        </w:tc>
        <w:tc>
          <w:tcPr>
            <w:tcW w:w="1843" w:type="dxa"/>
            <w:shd w:val="clear" w:color="auto" w:fill="EEECE1"/>
          </w:tcPr>
          <w:p w14:paraId="70A455A6" w14:textId="77777777" w:rsidR="002124C9" w:rsidRPr="00B30A2D" w:rsidRDefault="002124C9" w:rsidP="00D60DC9">
            <w:pPr>
              <w:rPr>
                <w:sz w:val="18"/>
                <w:szCs w:val="14"/>
                <w:lang w:val="fr-FR" w:eastAsia="en-US"/>
              </w:rPr>
            </w:pPr>
          </w:p>
          <w:p w14:paraId="3FD37B44" w14:textId="22775545" w:rsidR="00D60DC9" w:rsidRPr="00B30A2D" w:rsidRDefault="00D60DC9" w:rsidP="00D60DC9">
            <w:pPr>
              <w:rPr>
                <w:sz w:val="18"/>
                <w:szCs w:val="14"/>
                <w:lang w:val="fr-FR"/>
              </w:rPr>
            </w:pPr>
            <w:r w:rsidRPr="00B30A2D">
              <w:rPr>
                <w:sz w:val="18"/>
                <w:szCs w:val="14"/>
                <w:lang w:val="fr-FR" w:eastAsia="en-US"/>
              </w:rPr>
              <w:t>Un référentiel de métier développé</w:t>
            </w:r>
          </w:p>
        </w:tc>
        <w:tc>
          <w:tcPr>
            <w:tcW w:w="1984" w:type="dxa"/>
          </w:tcPr>
          <w:p w14:paraId="2F2CC7EE" w14:textId="43BF7DC3" w:rsidR="00D60DC9" w:rsidRPr="00B30A2D" w:rsidRDefault="00366B12" w:rsidP="00A0706D">
            <w:pPr>
              <w:rPr>
                <w:bCs/>
                <w:sz w:val="18"/>
                <w:szCs w:val="14"/>
                <w:lang w:val="fr-FR"/>
              </w:rPr>
            </w:pPr>
            <w:r w:rsidRPr="00B30A2D">
              <w:rPr>
                <w:bCs/>
                <w:sz w:val="18"/>
                <w:szCs w:val="14"/>
                <w:lang w:val="fr-FR" w:eastAsia="en-US"/>
              </w:rPr>
              <w:t xml:space="preserve">Un état des lieux dressé </w:t>
            </w:r>
            <w:r w:rsidR="00A0706D" w:rsidRPr="00B30A2D">
              <w:rPr>
                <w:bCs/>
                <w:sz w:val="18"/>
                <w:szCs w:val="14"/>
                <w:lang w:val="fr-FR" w:eastAsia="en-US"/>
              </w:rPr>
              <w:t>au</w:t>
            </w:r>
            <w:r w:rsidRPr="00B30A2D">
              <w:rPr>
                <w:bCs/>
                <w:sz w:val="18"/>
                <w:szCs w:val="14"/>
                <w:lang w:val="fr-FR" w:eastAsia="en-US"/>
              </w:rPr>
              <w:t xml:space="preserve"> début du 2</w:t>
            </w:r>
            <w:r w:rsidRPr="00B30A2D">
              <w:rPr>
                <w:bCs/>
                <w:sz w:val="18"/>
                <w:szCs w:val="14"/>
                <w:vertAlign w:val="superscript"/>
                <w:lang w:val="fr-FR" w:eastAsia="en-US"/>
              </w:rPr>
              <w:t>ème</w:t>
            </w:r>
            <w:r w:rsidRPr="00B30A2D">
              <w:rPr>
                <w:bCs/>
                <w:sz w:val="18"/>
                <w:szCs w:val="14"/>
                <w:lang w:val="fr-FR" w:eastAsia="en-US"/>
              </w:rPr>
              <w:t xml:space="preserve"> semestre </w:t>
            </w:r>
          </w:p>
        </w:tc>
        <w:tc>
          <w:tcPr>
            <w:tcW w:w="2693" w:type="dxa"/>
          </w:tcPr>
          <w:p w14:paraId="63FEC256" w14:textId="2F825F88" w:rsidR="00D60DC9" w:rsidRPr="00B30A2D" w:rsidRDefault="00D60DC9" w:rsidP="00D60DC9">
            <w:pPr>
              <w:rPr>
                <w:sz w:val="18"/>
                <w:szCs w:val="14"/>
                <w:lang w:val="fr-FR"/>
              </w:rPr>
            </w:pPr>
            <w:r w:rsidRPr="00B30A2D">
              <w:rPr>
                <w:b/>
                <w:sz w:val="18"/>
                <w:szCs w:val="14"/>
                <w:lang w:val="fr-FR" w:eastAsia="en-US"/>
              </w:rPr>
              <w:t>00</w:t>
            </w:r>
          </w:p>
        </w:tc>
        <w:tc>
          <w:tcPr>
            <w:tcW w:w="2399" w:type="dxa"/>
          </w:tcPr>
          <w:p w14:paraId="3F724505" w14:textId="3490AE74" w:rsidR="00D60DC9" w:rsidRPr="00B30A2D" w:rsidRDefault="000800A5" w:rsidP="00D60DC9">
            <w:pPr>
              <w:rPr>
                <w:sz w:val="18"/>
                <w:szCs w:val="14"/>
                <w:lang w:val="fr-FR"/>
              </w:rPr>
            </w:pPr>
            <w:r w:rsidRPr="00B30A2D">
              <w:rPr>
                <w:sz w:val="18"/>
                <w:szCs w:val="14"/>
                <w:lang w:val="fr-FR"/>
              </w:rPr>
              <w:t>Le projet a identifié un consultant pour mener cette activité mais les restrictions lié</w:t>
            </w:r>
            <w:r w:rsidR="00B4006C" w:rsidRPr="00B30A2D">
              <w:rPr>
                <w:sz w:val="18"/>
                <w:szCs w:val="14"/>
                <w:lang w:val="fr-FR"/>
              </w:rPr>
              <w:t>e</w:t>
            </w:r>
            <w:r w:rsidRPr="00B30A2D">
              <w:rPr>
                <w:sz w:val="18"/>
                <w:szCs w:val="14"/>
                <w:lang w:val="fr-FR"/>
              </w:rPr>
              <w:t>s au COVID ont empêché son déploiement en RCA. Activité prévue pour le 2ème semestre 2020.</w:t>
            </w:r>
          </w:p>
        </w:tc>
      </w:tr>
    </w:tbl>
    <w:p w14:paraId="3F1ED818" w14:textId="77777777" w:rsidR="00675507" w:rsidRDefault="00675507" w:rsidP="0078600B">
      <w:pPr>
        <w:jc w:val="both"/>
        <w:rPr>
          <w:b/>
          <w:lang w:val="en-US" w:eastAsia="en-US"/>
        </w:rPr>
      </w:pPr>
    </w:p>
    <w:sectPr w:rsidR="00675507" w:rsidSect="00970F4C">
      <w:headerReference w:type="default" r:id="rId15"/>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C3FFB" w14:textId="77777777" w:rsidR="00F7255E" w:rsidRDefault="00F7255E" w:rsidP="00E76CA1">
      <w:r>
        <w:separator/>
      </w:r>
    </w:p>
  </w:endnote>
  <w:endnote w:type="continuationSeparator" w:id="0">
    <w:p w14:paraId="4D2D594C" w14:textId="77777777" w:rsidR="00F7255E" w:rsidRDefault="00F7255E"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DE51B4" w:rsidRDefault="00DE51B4">
    <w:pPr>
      <w:pStyle w:val="Footer"/>
      <w:jc w:val="center"/>
    </w:pPr>
    <w:r>
      <w:fldChar w:fldCharType="begin"/>
    </w:r>
    <w:r>
      <w:instrText xml:space="preserve"> PAGE   \* MERGEFORMAT </w:instrText>
    </w:r>
    <w:r>
      <w:fldChar w:fldCharType="separate"/>
    </w:r>
    <w:r w:rsidR="00EA506C">
      <w:rPr>
        <w:noProof/>
      </w:rPr>
      <w:t>11</w:t>
    </w:r>
    <w:r>
      <w:fldChar w:fldCharType="end"/>
    </w:r>
  </w:p>
  <w:p w14:paraId="6E791841" w14:textId="77777777" w:rsidR="00DE51B4" w:rsidRDefault="00DE5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37DEA" w14:textId="77777777" w:rsidR="00F7255E" w:rsidRDefault="00F7255E" w:rsidP="00E76CA1">
      <w:r>
        <w:separator/>
      </w:r>
    </w:p>
  </w:footnote>
  <w:footnote w:type="continuationSeparator" w:id="0">
    <w:p w14:paraId="18CBED78" w14:textId="77777777" w:rsidR="00F7255E" w:rsidRDefault="00F7255E" w:rsidP="00E76CA1">
      <w:r>
        <w:continuationSeparator/>
      </w:r>
    </w:p>
  </w:footnote>
  <w:footnote w:id="1">
    <w:p w14:paraId="16B419F3" w14:textId="48CE62EF" w:rsidR="00DE51B4" w:rsidRPr="00EC7338" w:rsidRDefault="00DE51B4">
      <w:pPr>
        <w:pStyle w:val="FootnoteText"/>
        <w:rPr>
          <w:lang w:val="fr-FR"/>
        </w:rPr>
      </w:pPr>
      <w:r>
        <w:rPr>
          <w:rStyle w:val="FootnoteReference"/>
        </w:rPr>
        <w:footnoteRef/>
      </w:r>
      <w:r w:rsidRPr="00EC7338">
        <w:rPr>
          <w:lang w:val="fr-FR"/>
        </w:rPr>
        <w:t xml:space="preserve"> </w:t>
      </w:r>
      <w:r>
        <w:rPr>
          <w:lang w:val="fr-FR"/>
        </w:rPr>
        <w:t>On note que c</w:t>
      </w:r>
      <w:r w:rsidRPr="006B26C5">
        <w:rPr>
          <w:lang w:val="fr-FR"/>
        </w:rPr>
        <w:t>es activités o</w:t>
      </w:r>
      <w:r>
        <w:rPr>
          <w:lang w:val="fr-FR"/>
        </w:rPr>
        <w:t>nt été tenues en décembre 2019 mais non reportées dans le précédent rapport finalisé en novembre 2019. En outre, à cause d’un coût moindre que prévu l’output a un reliquat.</w:t>
      </w:r>
    </w:p>
  </w:footnote>
  <w:footnote w:id="2">
    <w:p w14:paraId="4E196B48" w14:textId="5B82A8EE" w:rsidR="00DE51B4" w:rsidRPr="00DE3C31" w:rsidRDefault="00DE51B4" w:rsidP="00DE3C31">
      <w:pPr>
        <w:pStyle w:val="FootnoteText"/>
        <w:jc w:val="both"/>
        <w:rPr>
          <w:sz w:val="18"/>
          <w:szCs w:val="18"/>
          <w:lang w:val="fr-FR"/>
        </w:rPr>
      </w:pPr>
      <w:r w:rsidRPr="00DE3C31">
        <w:rPr>
          <w:rStyle w:val="FootnoteReference"/>
          <w:sz w:val="18"/>
          <w:szCs w:val="18"/>
        </w:rPr>
        <w:footnoteRef/>
      </w:r>
      <w:r w:rsidRPr="00DE3C31">
        <w:rPr>
          <w:sz w:val="18"/>
          <w:szCs w:val="18"/>
          <w:lang w:val="fr-FR"/>
        </w:rPr>
        <w:t xml:space="preserve"> Dans le cadre de l’opérationnalisation du Plan de Renforcement des Capacités (PRCD), un Plan Global de Redimensionnement et de Redéploiement (PGRR) des FSI 2018-2023 a été élaboré et signé le 11 avril 2018 par le Ministre de l’Intérieur en charge de la Sécurité Publique (MISP). A cet effet, il a été créé par les arrêtés Nº10 et 11/MISP/DIRCAB/SP.18 du Ministre de l’Intérieur et de la Sécurité Publique, un comité de coordination et de suivi de la mise en œuvre de la réforme des FSI (CCS) avec un secrétariat permanent. La mission première de ce comité sectoriel est la mise en œuvre de la stratégie nationale RSS avec l’implication de tous les partenaires.</w:t>
      </w:r>
    </w:p>
  </w:footnote>
  <w:footnote w:id="3">
    <w:p w14:paraId="2A345174" w14:textId="4A8F4E28" w:rsidR="00DE51B4" w:rsidRPr="00DE3C31" w:rsidRDefault="00DE51B4" w:rsidP="00DE3C31">
      <w:pPr>
        <w:jc w:val="both"/>
        <w:rPr>
          <w:sz w:val="18"/>
          <w:szCs w:val="18"/>
          <w:lang w:val="fr-FR"/>
        </w:rPr>
      </w:pPr>
      <w:r w:rsidRPr="00DE3C31">
        <w:rPr>
          <w:rStyle w:val="FootnoteReference"/>
          <w:sz w:val="18"/>
          <w:szCs w:val="18"/>
        </w:rPr>
        <w:footnoteRef/>
      </w:r>
      <w:r w:rsidRPr="00DE3C31">
        <w:rPr>
          <w:sz w:val="18"/>
          <w:szCs w:val="18"/>
          <w:lang w:val="fr-FR"/>
        </w:rPr>
        <w:t xml:space="preserve"> Suite à la création du CCS, il est également créé des structures connexes, tels que le secrétariat permanent, les comités techniques de pilotage et surtout des groupes thématiques, véritables outils d’exécution. Il existe 5 groupes thématiques chargé de : (i) cadre légal et règlementaire, (ii) ressources humaines, (iii) Formation et Opérations, (iv) conduite et discipline et (v) logistique.</w:t>
      </w:r>
    </w:p>
  </w:footnote>
  <w:footnote w:id="4">
    <w:p w14:paraId="32D70C28" w14:textId="136BC678" w:rsidR="00EA506C" w:rsidRPr="00EA506C" w:rsidRDefault="00EA506C">
      <w:pPr>
        <w:pStyle w:val="FootnoteText"/>
        <w:rPr>
          <w:lang w:val="fr-FR"/>
        </w:rPr>
      </w:pPr>
      <w:r>
        <w:rPr>
          <w:rStyle w:val="FootnoteReference"/>
        </w:rPr>
        <w:footnoteRef/>
      </w:r>
      <w:r w:rsidRPr="00EA506C">
        <w:rPr>
          <w:lang w:val="fr-FR"/>
        </w:rPr>
        <w:t xml:space="preserve"> </w:t>
      </w:r>
      <w:r w:rsidRPr="00EA506C">
        <w:rPr>
          <w:sz w:val="18"/>
          <w:szCs w:val="18"/>
          <w:lang w:val="fr-FR"/>
        </w:rPr>
        <w:t>En discussion et accord avec le Ministère, et en train d’être formalisé avec PBSO à travers la NCE.</w:t>
      </w:r>
    </w:p>
  </w:footnote>
  <w:footnote w:id="5">
    <w:p w14:paraId="42D6B5CF" w14:textId="45860852" w:rsidR="00DE51B4" w:rsidRPr="00DE3C31" w:rsidRDefault="00DE51B4" w:rsidP="00DE3C31">
      <w:pPr>
        <w:pStyle w:val="FootnoteText"/>
        <w:jc w:val="both"/>
        <w:rPr>
          <w:sz w:val="18"/>
          <w:szCs w:val="18"/>
          <w:lang w:val="fr-FR"/>
        </w:rPr>
      </w:pPr>
      <w:r w:rsidRPr="00DE3C31">
        <w:rPr>
          <w:rStyle w:val="FootnoteReference"/>
          <w:sz w:val="18"/>
          <w:szCs w:val="18"/>
        </w:rPr>
        <w:footnoteRef/>
      </w:r>
      <w:r w:rsidRPr="00DE3C31">
        <w:rPr>
          <w:sz w:val="18"/>
          <w:szCs w:val="18"/>
          <w:lang w:val="fr-FR"/>
        </w:rPr>
        <w:t xml:space="preserve"> Selon un sondage de satisfaction fait en août 2018 auprès des 500 élèves femmes et hommes, 59.03 % estimaient que les conditions de formation sont très satisfaisantes (52% pour les femmes), 40.57% étaient satisfaits (46.9% pour les femmes) et 0.41% étaient insatisfaits (0.8% pour les femmes)</w:t>
      </w:r>
    </w:p>
  </w:footnote>
  <w:footnote w:id="6">
    <w:p w14:paraId="73EA6078" w14:textId="27EBA3E6" w:rsidR="00DE51B4" w:rsidRPr="000800A5" w:rsidRDefault="00DE51B4" w:rsidP="000800A5">
      <w:pPr>
        <w:pStyle w:val="FootnoteText"/>
        <w:rPr>
          <w:lang w:val="fr-FR"/>
        </w:rPr>
      </w:pPr>
      <w:r>
        <w:rPr>
          <w:rStyle w:val="FootnoteReference"/>
        </w:rPr>
        <w:footnoteRef/>
      </w:r>
      <w:r w:rsidRPr="000800A5">
        <w:rPr>
          <w:lang w:val="fr-FR"/>
        </w:rPr>
        <w:t xml:space="preserve"> </w:t>
      </w:r>
      <w:r>
        <w:rPr>
          <w:lang w:val="fr-FR"/>
        </w:rPr>
        <w:t>Une nouvelle enquête de perception sur la confiance dans les FSI a été menée au cours du mois de février 2020. Les résultats sont encore en cours de compilation et seront présentés lors du prochain 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DE51B4" w:rsidRDefault="00DE51B4">
    <w:pPr>
      <w:pStyle w:val="Header"/>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915A" w14:textId="77777777" w:rsidR="00DE51B4" w:rsidRDefault="00DE51B4">
    <w:pPr>
      <w:pStyle w:val="Header"/>
    </w:pPr>
    <w:r>
      <w:rPr>
        <w:rFonts w:ascii="Arial Narrow" w:hAnsi="Arial Narrow"/>
        <w:b/>
        <w:noProof/>
        <w:sz w:val="22"/>
        <w:szCs w:val="22"/>
      </w:rPr>
      <w:drawing>
        <wp:anchor distT="0" distB="0" distL="114300" distR="114300" simplePos="0" relativeHeight="251661312" behindDoc="0" locked="0" layoutInCell="1" allowOverlap="1" wp14:anchorId="1272184B" wp14:editId="32D9EBF9">
          <wp:simplePos x="0" y="0"/>
          <wp:positionH relativeFrom="margin">
            <wp:align>right</wp:align>
          </wp:positionH>
          <wp:positionV relativeFrom="paragraph">
            <wp:posOffset>-205361</wp:posOffset>
          </wp:positionV>
          <wp:extent cx="1105535" cy="1122045"/>
          <wp:effectExtent l="0" t="0" r="0" b="190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9295E"/>
    <w:multiLevelType w:val="hybridMultilevel"/>
    <w:tmpl w:val="476200F0"/>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1F7427F"/>
    <w:multiLevelType w:val="hybridMultilevel"/>
    <w:tmpl w:val="D76A75AC"/>
    <w:lvl w:ilvl="0" w:tplc="73223C3A">
      <w:numFmt w:val="bullet"/>
      <w:lvlText w:val="-"/>
      <w:lvlJc w:val="left"/>
      <w:pPr>
        <w:ind w:left="720" w:hanging="360"/>
      </w:pPr>
      <w:rPr>
        <w:rFonts w:ascii="Calibri" w:eastAsia="Calibri" w:hAnsi="Calibri" w:cs="Times New Roman" w:hint="default"/>
        <w:color w:val="auto"/>
      </w:rPr>
    </w:lvl>
    <w:lvl w:ilvl="1" w:tplc="73223C3A">
      <w:numFmt w:val="bullet"/>
      <w:lvlText w:val="-"/>
      <w:lvlJc w:val="left"/>
      <w:pPr>
        <w:ind w:left="1440" w:hanging="360"/>
      </w:pPr>
      <w:rPr>
        <w:rFonts w:ascii="Calibri" w:eastAsia="Calibri" w:hAnsi="Calibri" w:cs="Times New Roman" w:hint="default"/>
        <w:color w:val="auto"/>
      </w:rPr>
    </w:lvl>
    <w:lvl w:ilvl="2" w:tplc="73223C3A">
      <w:numFmt w:val="bullet"/>
      <w:lvlText w:val="-"/>
      <w:lvlJc w:val="left"/>
      <w:pPr>
        <w:ind w:left="2160" w:hanging="360"/>
      </w:pPr>
      <w:rPr>
        <w:rFonts w:ascii="Calibri" w:eastAsia="Calibri" w:hAnsi="Calibri" w:cs="Times New Roman" w:hint="default"/>
        <w:color w:val="auto"/>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7"/>
  </w:num>
  <w:num w:numId="4">
    <w:abstractNumId w:val="8"/>
  </w:num>
  <w:num w:numId="5">
    <w:abstractNumId w:val="14"/>
  </w:num>
  <w:num w:numId="6">
    <w:abstractNumId w:val="39"/>
  </w:num>
  <w:num w:numId="7">
    <w:abstractNumId w:val="37"/>
  </w:num>
  <w:num w:numId="8">
    <w:abstractNumId w:val="47"/>
  </w:num>
  <w:num w:numId="9">
    <w:abstractNumId w:val="19"/>
  </w:num>
  <w:num w:numId="10">
    <w:abstractNumId w:val="33"/>
  </w:num>
  <w:num w:numId="11">
    <w:abstractNumId w:val="5"/>
  </w:num>
  <w:num w:numId="12">
    <w:abstractNumId w:val="34"/>
  </w:num>
  <w:num w:numId="13">
    <w:abstractNumId w:val="36"/>
  </w:num>
  <w:num w:numId="14">
    <w:abstractNumId w:val="46"/>
  </w:num>
  <w:num w:numId="15">
    <w:abstractNumId w:val="42"/>
  </w:num>
  <w:num w:numId="16">
    <w:abstractNumId w:val="28"/>
  </w:num>
  <w:num w:numId="17">
    <w:abstractNumId w:val="12"/>
  </w:num>
  <w:num w:numId="18">
    <w:abstractNumId w:val="9"/>
  </w:num>
  <w:num w:numId="19">
    <w:abstractNumId w:val="30"/>
  </w:num>
  <w:num w:numId="20">
    <w:abstractNumId w:val="22"/>
  </w:num>
  <w:num w:numId="21">
    <w:abstractNumId w:val="6"/>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20"/>
  </w:num>
  <w:num w:numId="30">
    <w:abstractNumId w:val="13"/>
  </w:num>
  <w:num w:numId="31">
    <w:abstractNumId w:val="7"/>
  </w:num>
  <w:num w:numId="32">
    <w:abstractNumId w:val="10"/>
  </w:num>
  <w:num w:numId="33">
    <w:abstractNumId w:val="40"/>
  </w:num>
  <w:num w:numId="34">
    <w:abstractNumId w:val="32"/>
  </w:num>
  <w:num w:numId="35">
    <w:abstractNumId w:val="25"/>
  </w:num>
  <w:num w:numId="36">
    <w:abstractNumId w:val="3"/>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4"/>
  </w:num>
  <w:num w:numId="41">
    <w:abstractNumId w:val="23"/>
  </w:num>
  <w:num w:numId="42">
    <w:abstractNumId w:val="24"/>
  </w:num>
  <w:num w:numId="43">
    <w:abstractNumId w:val="35"/>
  </w:num>
  <w:num w:numId="44">
    <w:abstractNumId w:val="44"/>
  </w:num>
  <w:num w:numId="45">
    <w:abstractNumId w:val="11"/>
  </w:num>
  <w:num w:numId="46">
    <w:abstractNumId w:val="41"/>
  </w:num>
  <w:num w:numId="47">
    <w:abstractNumId w:val="1"/>
  </w:num>
  <w:num w:numId="48">
    <w:abstractNumId w:val="18"/>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DBE"/>
    <w:rsid w:val="00006EC0"/>
    <w:rsid w:val="00010EB0"/>
    <w:rsid w:val="0001109A"/>
    <w:rsid w:val="00013D36"/>
    <w:rsid w:val="00013D69"/>
    <w:rsid w:val="00014B13"/>
    <w:rsid w:val="0002294A"/>
    <w:rsid w:val="00025EFA"/>
    <w:rsid w:val="00031640"/>
    <w:rsid w:val="00045C24"/>
    <w:rsid w:val="00050759"/>
    <w:rsid w:val="00051F71"/>
    <w:rsid w:val="0005216F"/>
    <w:rsid w:val="00052745"/>
    <w:rsid w:val="00052DE5"/>
    <w:rsid w:val="000554F8"/>
    <w:rsid w:val="00063017"/>
    <w:rsid w:val="00070581"/>
    <w:rsid w:val="000731D0"/>
    <w:rsid w:val="0007336B"/>
    <w:rsid w:val="00075D98"/>
    <w:rsid w:val="000800A5"/>
    <w:rsid w:val="0008134A"/>
    <w:rsid w:val="0008233D"/>
    <w:rsid w:val="00082738"/>
    <w:rsid w:val="00084F64"/>
    <w:rsid w:val="00091CFD"/>
    <w:rsid w:val="00092442"/>
    <w:rsid w:val="000A45F4"/>
    <w:rsid w:val="000A4660"/>
    <w:rsid w:val="000A51DA"/>
    <w:rsid w:val="000A61DF"/>
    <w:rsid w:val="000A6719"/>
    <w:rsid w:val="000B2535"/>
    <w:rsid w:val="000B4E5C"/>
    <w:rsid w:val="000B7954"/>
    <w:rsid w:val="000C7EA0"/>
    <w:rsid w:val="000D4F4B"/>
    <w:rsid w:val="000D7645"/>
    <w:rsid w:val="000E05AE"/>
    <w:rsid w:val="000E16A2"/>
    <w:rsid w:val="000E6A96"/>
    <w:rsid w:val="000E6F2A"/>
    <w:rsid w:val="000F05A2"/>
    <w:rsid w:val="000F13B1"/>
    <w:rsid w:val="000F43A8"/>
    <w:rsid w:val="00102C0E"/>
    <w:rsid w:val="001064F1"/>
    <w:rsid w:val="00112741"/>
    <w:rsid w:val="00113D2B"/>
    <w:rsid w:val="00113EC4"/>
    <w:rsid w:val="00116449"/>
    <w:rsid w:val="0011666C"/>
    <w:rsid w:val="00121B2D"/>
    <w:rsid w:val="001307FA"/>
    <w:rsid w:val="00131824"/>
    <w:rsid w:val="00132068"/>
    <w:rsid w:val="0013697E"/>
    <w:rsid w:val="00136B32"/>
    <w:rsid w:val="001444EE"/>
    <w:rsid w:val="00145766"/>
    <w:rsid w:val="001458E9"/>
    <w:rsid w:val="0015239A"/>
    <w:rsid w:val="00153CD9"/>
    <w:rsid w:val="00156AFA"/>
    <w:rsid w:val="00156C4C"/>
    <w:rsid w:val="00157BF2"/>
    <w:rsid w:val="001607B2"/>
    <w:rsid w:val="0016088D"/>
    <w:rsid w:val="00161D02"/>
    <w:rsid w:val="00174A69"/>
    <w:rsid w:val="0018095F"/>
    <w:rsid w:val="0018313E"/>
    <w:rsid w:val="0018321D"/>
    <w:rsid w:val="001833B0"/>
    <w:rsid w:val="0018446E"/>
    <w:rsid w:val="00185425"/>
    <w:rsid w:val="00186529"/>
    <w:rsid w:val="00192F1D"/>
    <w:rsid w:val="001948EA"/>
    <w:rsid w:val="00194D4C"/>
    <w:rsid w:val="00196AA8"/>
    <w:rsid w:val="001A1E86"/>
    <w:rsid w:val="001A3157"/>
    <w:rsid w:val="001A374F"/>
    <w:rsid w:val="001A4786"/>
    <w:rsid w:val="001B1EAF"/>
    <w:rsid w:val="001B458D"/>
    <w:rsid w:val="001B5D16"/>
    <w:rsid w:val="001B6DFD"/>
    <w:rsid w:val="001C174D"/>
    <w:rsid w:val="001C3BFA"/>
    <w:rsid w:val="001C4484"/>
    <w:rsid w:val="001C46E9"/>
    <w:rsid w:val="001C5691"/>
    <w:rsid w:val="001C56B8"/>
    <w:rsid w:val="001C5B82"/>
    <w:rsid w:val="001D1C14"/>
    <w:rsid w:val="001D575F"/>
    <w:rsid w:val="001D6683"/>
    <w:rsid w:val="001D67F9"/>
    <w:rsid w:val="001E0BB3"/>
    <w:rsid w:val="001E660A"/>
    <w:rsid w:val="001F308A"/>
    <w:rsid w:val="001F35F3"/>
    <w:rsid w:val="0020130A"/>
    <w:rsid w:val="00205EB7"/>
    <w:rsid w:val="0020791D"/>
    <w:rsid w:val="002124C9"/>
    <w:rsid w:val="002129DA"/>
    <w:rsid w:val="0021550A"/>
    <w:rsid w:val="00215F41"/>
    <w:rsid w:val="00217A2E"/>
    <w:rsid w:val="00217EB6"/>
    <w:rsid w:val="002247C2"/>
    <w:rsid w:val="00231927"/>
    <w:rsid w:val="002322E6"/>
    <w:rsid w:val="00233827"/>
    <w:rsid w:val="00234A5E"/>
    <w:rsid w:val="00234AE5"/>
    <w:rsid w:val="00236072"/>
    <w:rsid w:val="0023672E"/>
    <w:rsid w:val="00236AB3"/>
    <w:rsid w:val="002436F0"/>
    <w:rsid w:val="00245E73"/>
    <w:rsid w:val="00246135"/>
    <w:rsid w:val="00247F4E"/>
    <w:rsid w:val="00251E92"/>
    <w:rsid w:val="0025220B"/>
    <w:rsid w:val="00252B39"/>
    <w:rsid w:val="0025405F"/>
    <w:rsid w:val="00254AC2"/>
    <w:rsid w:val="0025525B"/>
    <w:rsid w:val="002640B1"/>
    <w:rsid w:val="0027242A"/>
    <w:rsid w:val="00272A58"/>
    <w:rsid w:val="00273AD0"/>
    <w:rsid w:val="002769D0"/>
    <w:rsid w:val="00280FEA"/>
    <w:rsid w:val="002822AF"/>
    <w:rsid w:val="002822E9"/>
    <w:rsid w:val="00282BD9"/>
    <w:rsid w:val="00284B45"/>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374E"/>
    <w:rsid w:val="002E41B3"/>
    <w:rsid w:val="002E5250"/>
    <w:rsid w:val="002E61AA"/>
    <w:rsid w:val="002E6F58"/>
    <w:rsid w:val="002E745D"/>
    <w:rsid w:val="002F10F6"/>
    <w:rsid w:val="002F15D9"/>
    <w:rsid w:val="002F26EC"/>
    <w:rsid w:val="002F42EA"/>
    <w:rsid w:val="003040D8"/>
    <w:rsid w:val="0030455E"/>
    <w:rsid w:val="00305626"/>
    <w:rsid w:val="00316D58"/>
    <w:rsid w:val="003206B7"/>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66B12"/>
    <w:rsid w:val="00372156"/>
    <w:rsid w:val="003722AE"/>
    <w:rsid w:val="0037561F"/>
    <w:rsid w:val="0037563A"/>
    <w:rsid w:val="00380849"/>
    <w:rsid w:val="003818DB"/>
    <w:rsid w:val="00382E31"/>
    <w:rsid w:val="003834CD"/>
    <w:rsid w:val="00383908"/>
    <w:rsid w:val="00391614"/>
    <w:rsid w:val="00391BF0"/>
    <w:rsid w:val="0039662C"/>
    <w:rsid w:val="003966E6"/>
    <w:rsid w:val="003968D7"/>
    <w:rsid w:val="003A613D"/>
    <w:rsid w:val="003A6341"/>
    <w:rsid w:val="003B3A5F"/>
    <w:rsid w:val="003B4F6E"/>
    <w:rsid w:val="003B5338"/>
    <w:rsid w:val="003C5283"/>
    <w:rsid w:val="003C5CC6"/>
    <w:rsid w:val="003D12C7"/>
    <w:rsid w:val="003D228B"/>
    <w:rsid w:val="003D4CD7"/>
    <w:rsid w:val="003D4D7C"/>
    <w:rsid w:val="003E04CE"/>
    <w:rsid w:val="003E511E"/>
    <w:rsid w:val="003F08B1"/>
    <w:rsid w:val="003F21BE"/>
    <w:rsid w:val="003F36FB"/>
    <w:rsid w:val="003F660A"/>
    <w:rsid w:val="004017BD"/>
    <w:rsid w:val="00402083"/>
    <w:rsid w:val="004023AC"/>
    <w:rsid w:val="00402514"/>
    <w:rsid w:val="0040513F"/>
    <w:rsid w:val="00405DE7"/>
    <w:rsid w:val="00411A5F"/>
    <w:rsid w:val="00412B4F"/>
    <w:rsid w:val="00412F6F"/>
    <w:rsid w:val="00413EAF"/>
    <w:rsid w:val="00414097"/>
    <w:rsid w:val="004154D4"/>
    <w:rsid w:val="004213AF"/>
    <w:rsid w:val="00424C37"/>
    <w:rsid w:val="00425AF8"/>
    <w:rsid w:val="00433021"/>
    <w:rsid w:val="00437FF5"/>
    <w:rsid w:val="0046101E"/>
    <w:rsid w:val="00461944"/>
    <w:rsid w:val="00464188"/>
    <w:rsid w:val="00470EC3"/>
    <w:rsid w:val="00476758"/>
    <w:rsid w:val="00477CF8"/>
    <w:rsid w:val="004807EE"/>
    <w:rsid w:val="00480A02"/>
    <w:rsid w:val="0048168F"/>
    <w:rsid w:val="00484092"/>
    <w:rsid w:val="00484169"/>
    <w:rsid w:val="00495AC5"/>
    <w:rsid w:val="004965A3"/>
    <w:rsid w:val="004A210E"/>
    <w:rsid w:val="004A49E6"/>
    <w:rsid w:val="004A55E1"/>
    <w:rsid w:val="004A792E"/>
    <w:rsid w:val="004B1E1E"/>
    <w:rsid w:val="004B5601"/>
    <w:rsid w:val="004B5B20"/>
    <w:rsid w:val="004C3DC3"/>
    <w:rsid w:val="004C4F3B"/>
    <w:rsid w:val="004C5899"/>
    <w:rsid w:val="004D141E"/>
    <w:rsid w:val="004E1416"/>
    <w:rsid w:val="004E33A8"/>
    <w:rsid w:val="004E3B3E"/>
    <w:rsid w:val="004E3BD7"/>
    <w:rsid w:val="004E4D23"/>
    <w:rsid w:val="004E5595"/>
    <w:rsid w:val="004E6614"/>
    <w:rsid w:val="004F016F"/>
    <w:rsid w:val="004F4AE4"/>
    <w:rsid w:val="004F7D22"/>
    <w:rsid w:val="00500587"/>
    <w:rsid w:val="0050113B"/>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3CDE"/>
    <w:rsid w:val="00595DBA"/>
    <w:rsid w:val="005A11CC"/>
    <w:rsid w:val="005A2661"/>
    <w:rsid w:val="005A26F8"/>
    <w:rsid w:val="005A56E0"/>
    <w:rsid w:val="005B205D"/>
    <w:rsid w:val="005B2F1F"/>
    <w:rsid w:val="005B50BC"/>
    <w:rsid w:val="005C187A"/>
    <w:rsid w:val="005C1FC7"/>
    <w:rsid w:val="005C2880"/>
    <w:rsid w:val="005C4963"/>
    <w:rsid w:val="005C4BBA"/>
    <w:rsid w:val="005C68B4"/>
    <w:rsid w:val="005D15A3"/>
    <w:rsid w:val="005D2343"/>
    <w:rsid w:val="005D545C"/>
    <w:rsid w:val="005D5A4A"/>
    <w:rsid w:val="005E389E"/>
    <w:rsid w:val="005E3B28"/>
    <w:rsid w:val="005E75DE"/>
    <w:rsid w:val="005F0CC2"/>
    <w:rsid w:val="005F1B85"/>
    <w:rsid w:val="005F439F"/>
    <w:rsid w:val="005F77DA"/>
    <w:rsid w:val="00602E31"/>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0C4A"/>
    <w:rsid w:val="00651323"/>
    <w:rsid w:val="00653D8B"/>
    <w:rsid w:val="00656A65"/>
    <w:rsid w:val="006578BB"/>
    <w:rsid w:val="00657A0B"/>
    <w:rsid w:val="00657A0F"/>
    <w:rsid w:val="006645BE"/>
    <w:rsid w:val="006648F5"/>
    <w:rsid w:val="00664EA0"/>
    <w:rsid w:val="0067044E"/>
    <w:rsid w:val="00670D17"/>
    <w:rsid w:val="00671040"/>
    <w:rsid w:val="0067321D"/>
    <w:rsid w:val="006734B3"/>
    <w:rsid w:val="0067356E"/>
    <w:rsid w:val="00673D6E"/>
    <w:rsid w:val="00675331"/>
    <w:rsid w:val="00675507"/>
    <w:rsid w:val="0068069D"/>
    <w:rsid w:val="006811AD"/>
    <w:rsid w:val="00683CF3"/>
    <w:rsid w:val="006907EE"/>
    <w:rsid w:val="00691C2F"/>
    <w:rsid w:val="006947B7"/>
    <w:rsid w:val="006969E7"/>
    <w:rsid w:val="006A07CA"/>
    <w:rsid w:val="006A207B"/>
    <w:rsid w:val="006A2E42"/>
    <w:rsid w:val="006A5032"/>
    <w:rsid w:val="006A5B0E"/>
    <w:rsid w:val="006B1BF5"/>
    <w:rsid w:val="006B26C5"/>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565F"/>
    <w:rsid w:val="006F690E"/>
    <w:rsid w:val="006F74C9"/>
    <w:rsid w:val="007065B1"/>
    <w:rsid w:val="007073F6"/>
    <w:rsid w:val="00707B5A"/>
    <w:rsid w:val="007118F5"/>
    <w:rsid w:val="0071286E"/>
    <w:rsid w:val="007133CF"/>
    <w:rsid w:val="0071506D"/>
    <w:rsid w:val="00715EC6"/>
    <w:rsid w:val="00720431"/>
    <w:rsid w:val="007254BC"/>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33F0"/>
    <w:rsid w:val="00785E5E"/>
    <w:rsid w:val="0078600B"/>
    <w:rsid w:val="00790676"/>
    <w:rsid w:val="00791410"/>
    <w:rsid w:val="0079230B"/>
    <w:rsid w:val="007937AE"/>
    <w:rsid w:val="00793DE6"/>
    <w:rsid w:val="00793E8B"/>
    <w:rsid w:val="007958F2"/>
    <w:rsid w:val="007A1B5F"/>
    <w:rsid w:val="007A4F3E"/>
    <w:rsid w:val="007A5985"/>
    <w:rsid w:val="007A5FAC"/>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111B"/>
    <w:rsid w:val="007F4C86"/>
    <w:rsid w:val="007F6F6D"/>
    <w:rsid w:val="007F7257"/>
    <w:rsid w:val="00805ADB"/>
    <w:rsid w:val="008116A8"/>
    <w:rsid w:val="00812452"/>
    <w:rsid w:val="00826923"/>
    <w:rsid w:val="0083461E"/>
    <w:rsid w:val="00834A9F"/>
    <w:rsid w:val="008364E5"/>
    <w:rsid w:val="0083682D"/>
    <w:rsid w:val="00837B04"/>
    <w:rsid w:val="0084221C"/>
    <w:rsid w:val="0084393C"/>
    <w:rsid w:val="00847A89"/>
    <w:rsid w:val="00853068"/>
    <w:rsid w:val="00861669"/>
    <w:rsid w:val="00861E16"/>
    <w:rsid w:val="008632DB"/>
    <w:rsid w:val="008640A5"/>
    <w:rsid w:val="00865821"/>
    <w:rsid w:val="00865AFA"/>
    <w:rsid w:val="00865FA0"/>
    <w:rsid w:val="008664A8"/>
    <w:rsid w:val="00866E96"/>
    <w:rsid w:val="00874634"/>
    <w:rsid w:val="008748AE"/>
    <w:rsid w:val="00875EA5"/>
    <w:rsid w:val="0087600B"/>
    <w:rsid w:val="00877C02"/>
    <w:rsid w:val="00881D4B"/>
    <w:rsid w:val="00890A2A"/>
    <w:rsid w:val="00891AE7"/>
    <w:rsid w:val="008A1155"/>
    <w:rsid w:val="008A3181"/>
    <w:rsid w:val="008B1B75"/>
    <w:rsid w:val="008B3518"/>
    <w:rsid w:val="008B408E"/>
    <w:rsid w:val="008B5A12"/>
    <w:rsid w:val="008B7E23"/>
    <w:rsid w:val="008C782A"/>
    <w:rsid w:val="008E1083"/>
    <w:rsid w:val="008E3872"/>
    <w:rsid w:val="008E729D"/>
    <w:rsid w:val="008F5112"/>
    <w:rsid w:val="008F6703"/>
    <w:rsid w:val="008F6C23"/>
    <w:rsid w:val="00900D78"/>
    <w:rsid w:val="00901C1E"/>
    <w:rsid w:val="0090623A"/>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68EF"/>
    <w:rsid w:val="00956B79"/>
    <w:rsid w:val="00965F6B"/>
    <w:rsid w:val="00970F4C"/>
    <w:rsid w:val="0097130A"/>
    <w:rsid w:val="009725F1"/>
    <w:rsid w:val="00974D94"/>
    <w:rsid w:val="009774FE"/>
    <w:rsid w:val="009832F8"/>
    <w:rsid w:val="009839DA"/>
    <w:rsid w:val="00985E49"/>
    <w:rsid w:val="0098684F"/>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0706D"/>
    <w:rsid w:val="00A10DAC"/>
    <w:rsid w:val="00A31988"/>
    <w:rsid w:val="00A338D3"/>
    <w:rsid w:val="00A34FE2"/>
    <w:rsid w:val="00A35FDA"/>
    <w:rsid w:val="00A360E8"/>
    <w:rsid w:val="00A36236"/>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2BA5"/>
    <w:rsid w:val="00A64309"/>
    <w:rsid w:val="00A64A02"/>
    <w:rsid w:val="00A656C0"/>
    <w:rsid w:val="00A66688"/>
    <w:rsid w:val="00A77540"/>
    <w:rsid w:val="00A81DF0"/>
    <w:rsid w:val="00A8266F"/>
    <w:rsid w:val="00A843B5"/>
    <w:rsid w:val="00A855EA"/>
    <w:rsid w:val="00A86B3F"/>
    <w:rsid w:val="00A86F4D"/>
    <w:rsid w:val="00A9067B"/>
    <w:rsid w:val="00A90E80"/>
    <w:rsid w:val="00A91E7E"/>
    <w:rsid w:val="00A91FCD"/>
    <w:rsid w:val="00A96579"/>
    <w:rsid w:val="00A9791E"/>
    <w:rsid w:val="00AA1DFA"/>
    <w:rsid w:val="00AA363D"/>
    <w:rsid w:val="00AA7C77"/>
    <w:rsid w:val="00AB06F3"/>
    <w:rsid w:val="00AB1368"/>
    <w:rsid w:val="00AB37F4"/>
    <w:rsid w:val="00AB6561"/>
    <w:rsid w:val="00AB6BAD"/>
    <w:rsid w:val="00AB7A53"/>
    <w:rsid w:val="00AC0FA8"/>
    <w:rsid w:val="00AC41F4"/>
    <w:rsid w:val="00AC433F"/>
    <w:rsid w:val="00AC4B04"/>
    <w:rsid w:val="00AC5D55"/>
    <w:rsid w:val="00AD0A31"/>
    <w:rsid w:val="00AD1B06"/>
    <w:rsid w:val="00AD6104"/>
    <w:rsid w:val="00AD6C55"/>
    <w:rsid w:val="00AD73D3"/>
    <w:rsid w:val="00AE0D84"/>
    <w:rsid w:val="00AF2D89"/>
    <w:rsid w:val="00AF3D69"/>
    <w:rsid w:val="00AF7DA4"/>
    <w:rsid w:val="00B00EBD"/>
    <w:rsid w:val="00B0370E"/>
    <w:rsid w:val="00B03E68"/>
    <w:rsid w:val="00B05E35"/>
    <w:rsid w:val="00B124BD"/>
    <w:rsid w:val="00B12FB8"/>
    <w:rsid w:val="00B17559"/>
    <w:rsid w:val="00B208F3"/>
    <w:rsid w:val="00B22390"/>
    <w:rsid w:val="00B244A1"/>
    <w:rsid w:val="00B24F72"/>
    <w:rsid w:val="00B27419"/>
    <w:rsid w:val="00B30A2D"/>
    <w:rsid w:val="00B329B9"/>
    <w:rsid w:val="00B34A85"/>
    <w:rsid w:val="00B37406"/>
    <w:rsid w:val="00B4006C"/>
    <w:rsid w:val="00B404DF"/>
    <w:rsid w:val="00B419C8"/>
    <w:rsid w:val="00B4227A"/>
    <w:rsid w:val="00B43B8D"/>
    <w:rsid w:val="00B43EEA"/>
    <w:rsid w:val="00B43F6D"/>
    <w:rsid w:val="00B442A2"/>
    <w:rsid w:val="00B46712"/>
    <w:rsid w:val="00B6401E"/>
    <w:rsid w:val="00B652A1"/>
    <w:rsid w:val="00B702C0"/>
    <w:rsid w:val="00B735DD"/>
    <w:rsid w:val="00B737D1"/>
    <w:rsid w:val="00B7459B"/>
    <w:rsid w:val="00B749E2"/>
    <w:rsid w:val="00B74CE9"/>
    <w:rsid w:val="00B7553C"/>
    <w:rsid w:val="00B75C20"/>
    <w:rsid w:val="00B82635"/>
    <w:rsid w:val="00B82C51"/>
    <w:rsid w:val="00B91F39"/>
    <w:rsid w:val="00B93435"/>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24ED"/>
    <w:rsid w:val="00BF41E2"/>
    <w:rsid w:val="00BF43F8"/>
    <w:rsid w:val="00BF4E1E"/>
    <w:rsid w:val="00C030C7"/>
    <w:rsid w:val="00C0373E"/>
    <w:rsid w:val="00C0670D"/>
    <w:rsid w:val="00C07A0C"/>
    <w:rsid w:val="00C107F6"/>
    <w:rsid w:val="00C12D6A"/>
    <w:rsid w:val="00C134C2"/>
    <w:rsid w:val="00C13590"/>
    <w:rsid w:val="00C145CF"/>
    <w:rsid w:val="00C16867"/>
    <w:rsid w:val="00C221D7"/>
    <w:rsid w:val="00C2331C"/>
    <w:rsid w:val="00C265AE"/>
    <w:rsid w:val="00C27302"/>
    <w:rsid w:val="00C30188"/>
    <w:rsid w:val="00C30F72"/>
    <w:rsid w:val="00C312C0"/>
    <w:rsid w:val="00C327CA"/>
    <w:rsid w:val="00C41926"/>
    <w:rsid w:val="00C42FB9"/>
    <w:rsid w:val="00C52BDA"/>
    <w:rsid w:val="00C53442"/>
    <w:rsid w:val="00C578BE"/>
    <w:rsid w:val="00C61129"/>
    <w:rsid w:val="00C640B2"/>
    <w:rsid w:val="00C64751"/>
    <w:rsid w:val="00C64DDC"/>
    <w:rsid w:val="00C65BED"/>
    <w:rsid w:val="00C70EEE"/>
    <w:rsid w:val="00C72CF8"/>
    <w:rsid w:val="00C74E37"/>
    <w:rsid w:val="00C846A4"/>
    <w:rsid w:val="00C847EE"/>
    <w:rsid w:val="00C853D5"/>
    <w:rsid w:val="00C96336"/>
    <w:rsid w:val="00CA1B43"/>
    <w:rsid w:val="00CA6C99"/>
    <w:rsid w:val="00CB02F7"/>
    <w:rsid w:val="00CB10AD"/>
    <w:rsid w:val="00CB25A2"/>
    <w:rsid w:val="00CB4B5C"/>
    <w:rsid w:val="00CC2015"/>
    <w:rsid w:val="00CC26EB"/>
    <w:rsid w:val="00CC59E5"/>
    <w:rsid w:val="00CD2F67"/>
    <w:rsid w:val="00CD3754"/>
    <w:rsid w:val="00CD5E04"/>
    <w:rsid w:val="00CD5E74"/>
    <w:rsid w:val="00CE0239"/>
    <w:rsid w:val="00CE132D"/>
    <w:rsid w:val="00CE24BA"/>
    <w:rsid w:val="00CE3BEA"/>
    <w:rsid w:val="00CE499C"/>
    <w:rsid w:val="00CE7C3A"/>
    <w:rsid w:val="00CF04AE"/>
    <w:rsid w:val="00D03D06"/>
    <w:rsid w:val="00D06A43"/>
    <w:rsid w:val="00D079BC"/>
    <w:rsid w:val="00D12CC9"/>
    <w:rsid w:val="00D13792"/>
    <w:rsid w:val="00D147C9"/>
    <w:rsid w:val="00D21E2D"/>
    <w:rsid w:val="00D226D5"/>
    <w:rsid w:val="00D22B42"/>
    <w:rsid w:val="00D25502"/>
    <w:rsid w:val="00D26972"/>
    <w:rsid w:val="00D30647"/>
    <w:rsid w:val="00D3351A"/>
    <w:rsid w:val="00D34147"/>
    <w:rsid w:val="00D36AF6"/>
    <w:rsid w:val="00D36E09"/>
    <w:rsid w:val="00D41969"/>
    <w:rsid w:val="00D44632"/>
    <w:rsid w:val="00D450BB"/>
    <w:rsid w:val="00D51949"/>
    <w:rsid w:val="00D5552B"/>
    <w:rsid w:val="00D557FD"/>
    <w:rsid w:val="00D569A1"/>
    <w:rsid w:val="00D60DC9"/>
    <w:rsid w:val="00D625DA"/>
    <w:rsid w:val="00D632A3"/>
    <w:rsid w:val="00D65589"/>
    <w:rsid w:val="00D65BB5"/>
    <w:rsid w:val="00D6788F"/>
    <w:rsid w:val="00D70EC5"/>
    <w:rsid w:val="00D755D9"/>
    <w:rsid w:val="00D76947"/>
    <w:rsid w:val="00D82C29"/>
    <w:rsid w:val="00D84A39"/>
    <w:rsid w:val="00D85131"/>
    <w:rsid w:val="00DA064C"/>
    <w:rsid w:val="00DA2795"/>
    <w:rsid w:val="00DA2CD8"/>
    <w:rsid w:val="00DA487B"/>
    <w:rsid w:val="00DA7B93"/>
    <w:rsid w:val="00DB5EEE"/>
    <w:rsid w:val="00DC1151"/>
    <w:rsid w:val="00DC3579"/>
    <w:rsid w:val="00DC3612"/>
    <w:rsid w:val="00DC4D0A"/>
    <w:rsid w:val="00DC5066"/>
    <w:rsid w:val="00DE2383"/>
    <w:rsid w:val="00DE3C31"/>
    <w:rsid w:val="00DE51B4"/>
    <w:rsid w:val="00DF3624"/>
    <w:rsid w:val="00DF5EB7"/>
    <w:rsid w:val="00DF5FD1"/>
    <w:rsid w:val="00DF6A23"/>
    <w:rsid w:val="00E021C1"/>
    <w:rsid w:val="00E04A24"/>
    <w:rsid w:val="00E0564D"/>
    <w:rsid w:val="00E06813"/>
    <w:rsid w:val="00E07987"/>
    <w:rsid w:val="00E10926"/>
    <w:rsid w:val="00E13590"/>
    <w:rsid w:val="00E13F53"/>
    <w:rsid w:val="00E1497A"/>
    <w:rsid w:val="00E26D31"/>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243"/>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A130A"/>
    <w:rsid w:val="00EA1485"/>
    <w:rsid w:val="00EA506C"/>
    <w:rsid w:val="00EB1536"/>
    <w:rsid w:val="00EB1C20"/>
    <w:rsid w:val="00EB2B6A"/>
    <w:rsid w:val="00EB4C46"/>
    <w:rsid w:val="00EC18C3"/>
    <w:rsid w:val="00EC19E1"/>
    <w:rsid w:val="00EC3396"/>
    <w:rsid w:val="00EC5F32"/>
    <w:rsid w:val="00EC5F36"/>
    <w:rsid w:val="00EC6E52"/>
    <w:rsid w:val="00EC7338"/>
    <w:rsid w:val="00ED1554"/>
    <w:rsid w:val="00ED6399"/>
    <w:rsid w:val="00ED7365"/>
    <w:rsid w:val="00ED7FBD"/>
    <w:rsid w:val="00EE0A91"/>
    <w:rsid w:val="00EE28CD"/>
    <w:rsid w:val="00EE2B50"/>
    <w:rsid w:val="00EE3144"/>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1D2"/>
    <w:rsid w:val="00F5578A"/>
    <w:rsid w:val="00F60934"/>
    <w:rsid w:val="00F63B1C"/>
    <w:rsid w:val="00F63FBE"/>
    <w:rsid w:val="00F71684"/>
    <w:rsid w:val="00F7255E"/>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693"/>
    <w:rsid w:val="00FB1CB1"/>
    <w:rsid w:val="00FB27F5"/>
    <w:rsid w:val="00FB5C17"/>
    <w:rsid w:val="00FC14D4"/>
    <w:rsid w:val="00FC1C72"/>
    <w:rsid w:val="00FC5060"/>
    <w:rsid w:val="00FC7475"/>
    <w:rsid w:val="00FD00AA"/>
    <w:rsid w:val="00FD0B1C"/>
    <w:rsid w:val="00FD2745"/>
    <w:rsid w:val="00FD7A4A"/>
    <w:rsid w:val="00FD7C2E"/>
    <w:rsid w:val="00FE2242"/>
    <w:rsid w:val="00FE41B0"/>
    <w:rsid w:val="00FE475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8D306D8F-D892-4593-9174-F410A675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apis Bulleted List,List Paragraph (numbered (a)),References,Paragraphe  revu,lp1,ReferencesCxSpLast,Numbered List Paragraph,Bullets,Title Style 1,Medium Grid 1 - Accent 21,List Paragraph1,List Paragraph nowy,Liste 1,List Bullet Mary"/>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Mentionnonrsolue1">
    <w:name w:val="Mention non résolue1"/>
    <w:basedOn w:val="DefaultParagraphFont"/>
    <w:uiPriority w:val="99"/>
    <w:semiHidden/>
    <w:unhideWhenUsed/>
    <w:rsid w:val="00B208F3"/>
    <w:rPr>
      <w:color w:val="605E5C"/>
      <w:shd w:val="clear" w:color="auto" w:fill="E1DFDD"/>
    </w:rPr>
  </w:style>
  <w:style w:type="character" w:customStyle="1" w:styleId="ListParagraphChar">
    <w:name w:val="List Paragraph Char"/>
    <w:aliases w:val="Lapis Bulleted List Char,List Paragraph (numbered (a)) Char,References Char,Paragraphe  revu Char,lp1 Char,ReferencesCxSpLast Char,Numbered List Paragraph Char,Bullets Char,Title Style 1 Char,Medium Grid 1 - Accent 21 Char"/>
    <w:link w:val="ListParagraph"/>
    <w:uiPriority w:val="34"/>
    <w:qFormat/>
    <w:locked/>
    <w:rsid w:val="00C0373E"/>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29547959">
      <w:bodyDiv w:val="1"/>
      <w:marLeft w:val="0"/>
      <w:marRight w:val="0"/>
      <w:marTop w:val="0"/>
      <w:marBottom w:val="0"/>
      <w:divBdr>
        <w:top w:val="none" w:sz="0" w:space="0" w:color="auto"/>
        <w:left w:val="none" w:sz="0" w:space="0" w:color="auto"/>
        <w:bottom w:val="none" w:sz="0" w:space="0" w:color="auto"/>
        <w:right w:val="none" w:sz="0" w:space="0" w:color="auto"/>
      </w:divBdr>
    </w:div>
    <w:div w:id="444664014">
      <w:bodyDiv w:val="1"/>
      <w:marLeft w:val="0"/>
      <w:marRight w:val="0"/>
      <w:marTop w:val="0"/>
      <w:marBottom w:val="0"/>
      <w:divBdr>
        <w:top w:val="none" w:sz="0" w:space="0" w:color="auto"/>
        <w:left w:val="none" w:sz="0" w:space="0" w:color="auto"/>
        <w:bottom w:val="none" w:sz="0" w:space="0" w:color="auto"/>
        <w:right w:val="none" w:sz="0" w:space="0" w:color="auto"/>
      </w:divBdr>
    </w:div>
    <w:div w:id="544948911">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05693627">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63591332">
      <w:bodyDiv w:val="1"/>
      <w:marLeft w:val="0"/>
      <w:marRight w:val="0"/>
      <w:marTop w:val="0"/>
      <w:marBottom w:val="0"/>
      <w:divBdr>
        <w:top w:val="none" w:sz="0" w:space="0" w:color="auto"/>
        <w:left w:val="none" w:sz="0" w:space="0" w:color="auto"/>
        <w:bottom w:val="none" w:sz="0" w:space="0" w:color="auto"/>
        <w:right w:val="none" w:sz="0" w:space="0" w:color="auto"/>
      </w:divBdr>
    </w:div>
    <w:div w:id="1162038911">
      <w:bodyDiv w:val="1"/>
      <w:marLeft w:val="0"/>
      <w:marRight w:val="0"/>
      <w:marTop w:val="0"/>
      <w:marBottom w:val="0"/>
      <w:divBdr>
        <w:top w:val="none" w:sz="0" w:space="0" w:color="auto"/>
        <w:left w:val="none" w:sz="0" w:space="0" w:color="auto"/>
        <w:bottom w:val="none" w:sz="0" w:space="0" w:color="auto"/>
        <w:right w:val="none" w:sz="0" w:space="0" w:color="auto"/>
      </w:divBdr>
    </w:div>
    <w:div w:id="144048746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58651605">
      <w:bodyDiv w:val="1"/>
      <w:marLeft w:val="0"/>
      <w:marRight w:val="0"/>
      <w:marTop w:val="0"/>
      <w:marBottom w:val="0"/>
      <w:divBdr>
        <w:top w:val="none" w:sz="0" w:space="0" w:color="auto"/>
        <w:left w:val="none" w:sz="0" w:space="0" w:color="auto"/>
        <w:bottom w:val="none" w:sz="0" w:space="0" w:color="auto"/>
        <w:right w:val="none" w:sz="0" w:space="0" w:color="auto"/>
      </w:divBdr>
    </w:div>
    <w:div w:id="1960987351">
      <w:bodyDiv w:val="1"/>
      <w:marLeft w:val="0"/>
      <w:marRight w:val="0"/>
      <w:marTop w:val="0"/>
      <w:marBottom w:val="0"/>
      <w:divBdr>
        <w:top w:val="none" w:sz="0" w:space="0" w:color="auto"/>
        <w:left w:val="none" w:sz="0" w:space="0" w:color="auto"/>
        <w:bottom w:val="none" w:sz="0" w:space="0" w:color="auto"/>
        <w:right w:val="none" w:sz="0" w:space="0" w:color="auto"/>
      </w:divBdr>
    </w:div>
    <w:div w:id="21085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gd/pafub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2C69C14-2CD7-423E-8B92-1147071D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5117</Words>
  <Characters>29172</Characters>
  <Application>Microsoft Office Word</Application>
  <DocSecurity>0</DocSecurity>
  <Lines>243</Lines>
  <Paragraphs>68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Natacha Kunama</cp:lastModifiedBy>
  <cp:revision>2</cp:revision>
  <cp:lastPrinted>2014-02-10T17:12:00Z</cp:lastPrinted>
  <dcterms:created xsi:type="dcterms:W3CDTF">2020-07-05T13:29:00Z</dcterms:created>
  <dcterms:modified xsi:type="dcterms:W3CDTF">2020-07-05T13:29:00Z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