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6F711F17"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5B300A" w:rsidRPr="005B300A">
        <w:rPr>
          <w:bCs/>
          <w:iCs/>
          <w:snapToGrid w:val="0"/>
          <w:szCs w:val="28"/>
          <w:lang w:val="fr-FR"/>
        </w:rPr>
        <w:t>REPUBLIQUE CENTRAFRICAINE</w:t>
      </w:r>
    </w:p>
    <w:p w14:paraId="35B8BCCA" w14:textId="411AA98B" w:rsidR="000F43A8" w:rsidRPr="00EC1880"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7F50BD">
        <w:rPr>
          <w:b/>
          <w:sz w:val="22"/>
          <w:szCs w:val="22"/>
          <w:lang w:val="fr-FR"/>
        </w:rPr>
        <w:t>Semestriel</w:t>
      </w:r>
    </w:p>
    <w:p w14:paraId="0B2F56D8" w14:textId="1A9995BA" w:rsidR="000554F8" w:rsidRDefault="00500587" w:rsidP="000F43A8">
      <w:pPr>
        <w:jc w:val="center"/>
        <w:rPr>
          <w:bCs/>
          <w:iCs/>
          <w:snapToGrid w:val="0"/>
          <w:szCs w:val="28"/>
        </w:rPr>
      </w:pPr>
      <w:r>
        <w:rPr>
          <w:b/>
          <w:bCs/>
          <w:caps/>
        </w:rPr>
        <w:t>ANNEE</w:t>
      </w:r>
      <w:r w:rsidR="000F43A8">
        <w:rPr>
          <w:b/>
          <w:bCs/>
          <w:caps/>
        </w:rPr>
        <w:t xml:space="preserve"> DE RAPPORT: </w:t>
      </w:r>
      <w:r w:rsidR="005B300A">
        <w:rPr>
          <w:bCs/>
          <w:iCs/>
          <w:snapToGrid w:val="0"/>
          <w:szCs w:val="28"/>
        </w:rPr>
        <w:t>2020</w:t>
      </w:r>
    </w:p>
    <w:p w14:paraId="32235E8F" w14:textId="77777777" w:rsidR="000F43A8" w:rsidRPr="00627A1C" w:rsidRDefault="000F43A8" w:rsidP="000F43A8">
      <w:pPr>
        <w:jc w:val="center"/>
        <w:rPr>
          <w:b/>
          <w:bCs/>
          <w:caps/>
        </w:rPr>
      </w:pPr>
      <w:bookmarkStart w:id="0" w:name="_GoBack"/>
      <w:bookmarkEnd w:id="0"/>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B780C" w14:paraId="26E9F2DE" w14:textId="77777777" w:rsidTr="00F23D0F">
        <w:trPr>
          <w:trHeight w:val="422"/>
        </w:trPr>
        <w:tc>
          <w:tcPr>
            <w:tcW w:w="10080" w:type="dxa"/>
            <w:gridSpan w:val="2"/>
          </w:tcPr>
          <w:p w14:paraId="11EF4F5F" w14:textId="794C559B" w:rsidR="000F43A8" w:rsidRPr="005B300A"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5B300A" w:rsidRPr="005B300A">
              <w:rPr>
                <w:b/>
                <w:szCs w:val="24"/>
                <w:lang w:val="fr-FR"/>
              </w:rPr>
              <w:t>A</w:t>
            </w:r>
            <w:r w:rsidR="005B300A">
              <w:rPr>
                <w:b/>
                <w:szCs w:val="24"/>
                <w:lang w:val="fr-FR"/>
              </w:rPr>
              <w:t>PPUI A LA MEDIATION ET AU DIALOGUE POUR UNE PAIX DURABLE</w:t>
            </w:r>
          </w:p>
          <w:p w14:paraId="24C4A490" w14:textId="6153EC02" w:rsidR="00793DE6" w:rsidRPr="00A130CA" w:rsidRDefault="000F43A8" w:rsidP="000F43A8">
            <w:pPr>
              <w:rPr>
                <w:b/>
                <w:lang w:val="en-CA"/>
              </w:rPr>
            </w:pPr>
            <w:proofErr w:type="spellStart"/>
            <w:r w:rsidRPr="00A130CA">
              <w:rPr>
                <w:b/>
                <w:lang w:val="en-CA"/>
              </w:rPr>
              <w:t>Numéro</w:t>
            </w:r>
            <w:proofErr w:type="spellEnd"/>
            <w:r w:rsidRPr="00A130CA">
              <w:rPr>
                <w:b/>
                <w:lang w:val="en-CA"/>
              </w:rPr>
              <w:t xml:space="preserve"> </w:t>
            </w:r>
            <w:proofErr w:type="spellStart"/>
            <w:r w:rsidRPr="00A130CA">
              <w:rPr>
                <w:b/>
                <w:lang w:val="en-CA"/>
              </w:rPr>
              <w:t>Projet</w:t>
            </w:r>
            <w:proofErr w:type="spellEnd"/>
            <w:r w:rsidRPr="00A130CA">
              <w:rPr>
                <w:b/>
                <w:lang w:val="en-CA"/>
              </w:rPr>
              <w:t xml:space="preserve"> / MPTF Gateway</w:t>
            </w:r>
            <w:r w:rsidR="00793DE6" w:rsidRPr="00A130CA">
              <w:rPr>
                <w:b/>
                <w:lang w:val="en-CA"/>
              </w:rPr>
              <w:t xml:space="preserve">: </w:t>
            </w:r>
            <w:r w:rsidR="009D138C" w:rsidRPr="00A130CA">
              <w:rPr>
                <w:b/>
                <w:lang w:val="en-CA"/>
              </w:rPr>
              <w:t>PBF-</w:t>
            </w:r>
            <w:r w:rsidR="00C6777D">
              <w:rPr>
                <w:b/>
              </w:rPr>
              <w:fldChar w:fldCharType="begin">
                <w:ffData>
                  <w:name w:val="projtype"/>
                  <w:enabled/>
                  <w:calcOnExit w:val="0"/>
                  <w:ddList>
                    <w:listEntry w:val="IRF"/>
                    <w:listEntry w:val="PRF"/>
                    <w:listEntry w:val="Veuillez sélectionner"/>
                  </w:ddList>
                </w:ffData>
              </w:fldChar>
            </w:r>
            <w:bookmarkStart w:id="1" w:name="projtype"/>
            <w:r w:rsidR="00C6777D">
              <w:rPr>
                <w:b/>
              </w:rPr>
              <w:instrText xml:space="preserve"> FORMDROPDOWN </w:instrText>
            </w:r>
            <w:r w:rsidR="003805A5">
              <w:rPr>
                <w:b/>
              </w:rPr>
            </w:r>
            <w:r w:rsidR="003805A5">
              <w:rPr>
                <w:b/>
              </w:rPr>
              <w:fldChar w:fldCharType="separate"/>
            </w:r>
            <w:r w:rsidR="00C6777D">
              <w:rPr>
                <w:b/>
              </w:rPr>
              <w:fldChar w:fldCharType="end"/>
            </w:r>
            <w:bookmarkEnd w:id="1"/>
            <w:r w:rsidR="009D138C">
              <w:rPr>
                <w:b/>
              </w:rPr>
              <w:t>-187/</w:t>
            </w:r>
            <w:r w:rsidR="00A43B9C" w:rsidRPr="00A130CA">
              <w:rPr>
                <w:b/>
                <w:lang w:val="en-CA"/>
              </w:rPr>
              <w:t xml:space="preserve"> </w:t>
            </w:r>
            <w:r w:rsidR="00967405" w:rsidRPr="00A130CA">
              <w:rPr>
                <w:b/>
                <w:lang w:val="en-CA"/>
              </w:rPr>
              <w:t>00106981</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3805A5">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3805A5">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19AEB120" w14:textId="77777777" w:rsidR="00EC1880" w:rsidRDefault="00EC1880"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RUNO: </w:t>
            </w:r>
            <w:r w:rsidR="00A43B9C" w:rsidRPr="00627A1C">
              <w:rPr>
                <w:rFonts w:ascii="Times New Roman" w:hAnsi="Times New Roman" w:cs="Times New Roman"/>
                <w:b/>
                <w:sz w:val="24"/>
                <w:szCs w:val="24"/>
              </w:rPr>
              <w:t xml:space="preserve">    </w:t>
            </w:r>
            <w:proofErr w:type="gramStart"/>
            <w:r w:rsidR="005B300A">
              <w:rPr>
                <w:rFonts w:ascii="Times New Roman" w:hAnsi="Times New Roman" w:cs="Times New Roman"/>
                <w:b/>
                <w:sz w:val="24"/>
                <w:szCs w:val="24"/>
              </w:rPr>
              <w:t>PNUD</w:t>
            </w:r>
            <w:r w:rsidR="00A43B9C" w:rsidRPr="00627A1C">
              <w:rPr>
                <w:rFonts w:ascii="Times New Roman" w:hAnsi="Times New Roman" w:cs="Times New Roman"/>
                <w:b/>
                <w:sz w:val="24"/>
                <w:szCs w:val="24"/>
              </w:rPr>
              <w:t xml:space="preserve">  (</w:t>
            </w:r>
            <w:proofErr w:type="spellStart"/>
            <w:proofErr w:type="gramEnd"/>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Pr>
                <w:rFonts w:ascii="Times New Roman" w:hAnsi="Times New Roman" w:cs="Times New Roman"/>
                <w:b/>
                <w:sz w:val="24"/>
                <w:szCs w:val="24"/>
              </w:rPr>
              <w:t>)</w:t>
            </w:r>
          </w:p>
          <w:p w14:paraId="28F5F181" w14:textId="155D26C6" w:rsidR="00A43B9C" w:rsidRPr="00627A1C" w:rsidRDefault="00EC1880"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sidR="005B300A">
              <w:rPr>
                <w:rFonts w:ascii="Times New Roman" w:hAnsi="Times New Roman" w:cs="Times New Roman"/>
                <w:b/>
                <w:sz w:val="24"/>
                <w:szCs w:val="24"/>
              </w:rPr>
              <w:t>OIM</w:t>
            </w:r>
          </w:p>
          <w:p w14:paraId="46214C2B" w14:textId="26E3AD31" w:rsidR="00A43B9C" w:rsidRPr="00627A1C" w:rsidRDefault="00A43B9C" w:rsidP="005E0678">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p w14:paraId="0673E8AA" w14:textId="4A58F69B"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BB780C" w14:paraId="72CE853D" w14:textId="77777777" w:rsidTr="00F23D0F">
        <w:trPr>
          <w:trHeight w:val="368"/>
        </w:trPr>
        <w:tc>
          <w:tcPr>
            <w:tcW w:w="10080" w:type="dxa"/>
            <w:gridSpan w:val="2"/>
          </w:tcPr>
          <w:p w14:paraId="5C2804C5" w14:textId="3C250C5D" w:rsidR="00793DE6" w:rsidRPr="00967405"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9D138C">
              <w:rPr>
                <w:b/>
                <w:bCs/>
                <w:iCs/>
                <w:lang w:val="fr-FR"/>
              </w:rPr>
              <w:t xml:space="preserve">21 </w:t>
            </w:r>
            <w:r w:rsidR="00967405" w:rsidRPr="00967405">
              <w:rPr>
                <w:bCs/>
                <w:iCs/>
                <w:snapToGrid w:val="0"/>
                <w:lang w:val="fr-FR"/>
              </w:rPr>
              <w:t>S</w:t>
            </w:r>
            <w:r w:rsidR="00967405">
              <w:rPr>
                <w:bCs/>
                <w:iCs/>
                <w:snapToGrid w:val="0"/>
                <w:lang w:val="fr-FR"/>
              </w:rPr>
              <w:t>eptembre 2017</w:t>
            </w:r>
          </w:p>
          <w:p w14:paraId="064BF427" w14:textId="7D400787"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967405">
              <w:rPr>
                <w:b/>
                <w:bCs/>
                <w:iCs/>
                <w:lang w:val="fr-FR"/>
              </w:rPr>
              <w:t>Juin 2020</w:t>
            </w:r>
            <w:r w:rsidR="009D138C">
              <w:rPr>
                <w:b/>
                <w:bCs/>
                <w:iCs/>
                <w:lang w:val="fr-FR"/>
              </w:rPr>
              <w:t xml:space="preserve"> + 5 mois (nouvelle date de fin de projet : 30 novembre 2020</w:t>
            </w:r>
            <w:r w:rsidR="009D138C" w:rsidRPr="00A130CA">
              <w:rPr>
                <w:bCs/>
                <w:iCs/>
                <w:snapToGrid w:val="0"/>
                <w:lang w:val="fr-FR"/>
              </w:rPr>
              <w:t>)</w:t>
            </w:r>
            <w:r w:rsidR="0025220B" w:rsidRPr="000F43A8">
              <w:rPr>
                <w:bCs/>
                <w:iCs/>
                <w:snapToGrid w:val="0"/>
                <w:lang w:val="fr-FR"/>
              </w:rPr>
              <w:t xml:space="preserve">     </w:t>
            </w:r>
          </w:p>
          <w:p w14:paraId="2AE235F0" w14:textId="5D477F34"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proofErr w:type="spellStart"/>
            <w:r w:rsidR="00967405">
              <w:rPr>
                <w:bCs/>
                <w:iCs/>
                <w:snapToGrid w:val="0"/>
              </w:rPr>
              <w:t>Oui</w:t>
            </w:r>
            <w:proofErr w:type="spellEnd"/>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805A5">
              <w:rPr>
                <w:lang w:val="fr-FR"/>
              </w:rPr>
            </w:r>
            <w:r w:rsidR="003805A5">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805A5">
              <w:rPr>
                <w:lang w:val="fr-FR"/>
              </w:rPr>
            </w:r>
            <w:r w:rsidR="003805A5">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805A5">
              <w:rPr>
                <w:lang w:val="fr-FR"/>
              </w:rPr>
            </w:r>
            <w:r w:rsidR="003805A5">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805A5">
              <w:rPr>
                <w:lang w:val="fr-FR"/>
              </w:rPr>
            </w:r>
            <w:r w:rsidR="003805A5">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A130CA"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2"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2"/>
          <w:p w14:paraId="61353E95" w14:textId="758267BE" w:rsidR="00793DE6" w:rsidRPr="007C7B57" w:rsidRDefault="00916B0A" w:rsidP="00F23D0F">
            <w:pPr>
              <w:rPr>
                <w:iCs/>
                <w:lang w:val="fr-FR"/>
              </w:rPr>
            </w:pPr>
            <w:r w:rsidRPr="00916B0A">
              <w:rPr>
                <w:bCs/>
                <w:iCs/>
                <w:snapToGrid w:val="0"/>
                <w:lang w:val="fr-FR"/>
              </w:rPr>
              <w:t>PNUD</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916B0A">
              <w:rPr>
                <w:bCs/>
                <w:iCs/>
                <w:snapToGrid w:val="0"/>
                <w:lang w:val="fr-FR"/>
              </w:rPr>
              <w:t>3 858 032</w:t>
            </w:r>
          </w:p>
          <w:p w14:paraId="52AEBA43" w14:textId="2CE0C828" w:rsidR="00793DE6" w:rsidRPr="007C7B57" w:rsidRDefault="00916B0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916B0A">
              <w:rPr>
                <w:rFonts w:ascii="Times New Roman" w:hAnsi="Times New Roman" w:cs="Times New Roman"/>
                <w:bCs/>
                <w:iCs/>
                <w:snapToGrid w:val="0"/>
                <w:sz w:val="24"/>
                <w:szCs w:val="24"/>
                <w:lang w:val="fr-FR"/>
              </w:rPr>
              <w:t>OI</w:t>
            </w:r>
            <w:r>
              <w:rPr>
                <w:rFonts w:ascii="Times New Roman" w:hAnsi="Times New Roman" w:cs="Times New Roman"/>
                <w:bCs/>
                <w:iCs/>
                <w:snapToGrid w:val="0"/>
                <w:sz w:val="24"/>
                <w:szCs w:val="24"/>
                <w:lang w:val="fr-FR"/>
              </w:rPr>
              <w:t>M</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EE03D8">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A130CA">
              <w:rPr>
                <w:rFonts w:ascii="Times New Roman" w:hAnsi="Times New Roman" w:cs="Times New Roman"/>
                <w:bCs/>
                <w:iCs/>
                <w:snapToGrid w:val="0"/>
                <w:sz w:val="24"/>
                <w:szCs w:val="24"/>
                <w:lang w:val="fr-FR"/>
              </w:rPr>
              <w:t>665 765</w:t>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3F9A887B"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00916B0A" w:rsidRPr="00A130CA">
              <w:rPr>
                <w:rFonts w:ascii="Times New Roman" w:hAnsi="Times New Roman" w:cs="Times New Roman"/>
                <w:bCs/>
                <w:iCs/>
                <w:snapToGrid w:val="0"/>
                <w:sz w:val="24"/>
                <w:szCs w:val="24"/>
                <w:lang w:val="fr-FR"/>
              </w:rPr>
              <w:t>4 503 996</w:t>
            </w:r>
            <w:r w:rsidR="00C12D6A" w:rsidRPr="007C7B57">
              <w:rPr>
                <w:rFonts w:ascii="Times New Roman" w:hAnsi="Times New Roman" w:cs="Times New Roman"/>
                <w:bCs/>
                <w:iCs/>
                <w:snapToGrid w:val="0"/>
                <w:sz w:val="24"/>
                <w:szCs w:val="24"/>
                <w:lang w:val="fr-FR"/>
              </w:rPr>
              <w:t xml:space="preserve"> </w:t>
            </w:r>
          </w:p>
          <w:p w14:paraId="5324AF29" w14:textId="21C82515"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71208F">
              <w:rPr>
                <w:rFonts w:ascii="Times New Roman" w:hAnsi="Times New Roman" w:cs="Times New Roman"/>
                <w:bCs/>
                <w:iCs/>
                <w:snapToGrid w:val="0"/>
                <w:sz w:val="24"/>
                <w:szCs w:val="24"/>
                <w:lang w:val="fr-FR"/>
              </w:rPr>
              <w:t>73%</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16621A05"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916B0A" w:rsidRPr="007A471F">
              <w:rPr>
                <w:b/>
                <w:bCs/>
                <w:sz w:val="22"/>
                <w:szCs w:val="22"/>
                <w:lang w:val="fr-FR"/>
              </w:rPr>
              <w:t>17% soit 791,060.23 USD</w:t>
            </w:r>
          </w:p>
          <w:p w14:paraId="00AF6414" w14:textId="33BC6581"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BB4F22" w:rsidRPr="00A130CA">
              <w:rPr>
                <w:b/>
                <w:bCs/>
                <w:lang w:val="fr-FR"/>
              </w:rPr>
              <w:t xml:space="preserve">$ </w:t>
            </w:r>
            <w:r w:rsidR="001077F6" w:rsidRPr="00A130CA">
              <w:rPr>
                <w:b/>
                <w:bCs/>
                <w:lang w:val="fr-FR"/>
              </w:rPr>
              <w:t>336</w:t>
            </w:r>
            <w:r w:rsidR="00BB4F22" w:rsidRPr="00A130CA">
              <w:rPr>
                <w:b/>
                <w:bCs/>
                <w:lang w:val="fr-FR"/>
              </w:rPr>
              <w:t xml:space="preserve"> 258,83</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A130CA" w14:paraId="0DF7F010" w14:textId="77777777" w:rsidTr="00F23D0F">
        <w:trPr>
          <w:trHeight w:val="1124"/>
        </w:trPr>
        <w:tc>
          <w:tcPr>
            <w:tcW w:w="10080" w:type="dxa"/>
            <w:gridSpan w:val="2"/>
          </w:tcPr>
          <w:p w14:paraId="0084A294" w14:textId="7A329A5D" w:rsidR="009B18EB" w:rsidRPr="00916B0A"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916B0A" w:rsidRPr="00916B0A">
              <w:rPr>
                <w:b/>
                <w:bCs/>
                <w:iCs/>
                <w:lang w:val="fr-FR"/>
              </w:rPr>
              <w:t>G</w:t>
            </w:r>
            <w:r w:rsidR="00916B0A">
              <w:rPr>
                <w:b/>
                <w:bCs/>
                <w:iCs/>
                <w:lang w:val="fr-FR"/>
              </w:rPr>
              <w:t>M1</w:t>
            </w:r>
          </w:p>
          <w:p w14:paraId="7B5DB9E4" w14:textId="20BD0FA6" w:rsidR="009B18EB" w:rsidRPr="00916B0A"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916B0A" w:rsidRPr="00916B0A">
              <w:rPr>
                <w:b/>
                <w:bCs/>
                <w:iCs/>
                <w:lang w:val="fr-FR"/>
              </w:rPr>
              <w:t>E</w:t>
            </w:r>
            <w:r w:rsidR="00916B0A">
              <w:rPr>
                <w:b/>
                <w:bCs/>
                <w:iCs/>
                <w:lang w:val="fr-FR"/>
              </w:rPr>
              <w:t>levé</w:t>
            </w:r>
          </w:p>
          <w:p w14:paraId="55B14D86" w14:textId="34589D73" w:rsidR="009B18EB" w:rsidRPr="00916B0A"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916B0A" w:rsidRPr="00916B0A">
              <w:rPr>
                <w:b/>
                <w:bCs/>
                <w:iCs/>
                <w:lang w:val="fr-FR"/>
              </w:rPr>
              <w:t>(</w:t>
            </w:r>
            <w:r w:rsidR="00916B0A">
              <w:rPr>
                <w:b/>
                <w:bCs/>
                <w:iCs/>
                <w:lang w:val="fr-FR"/>
              </w:rPr>
              <w:t>1.4) Dialogue politique</w:t>
            </w:r>
          </w:p>
        </w:tc>
      </w:tr>
      <w:tr w:rsidR="00793DE6" w:rsidRPr="00A130CA"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Préparation du rapport:</w:t>
            </w:r>
          </w:p>
          <w:p w14:paraId="43FCACD6" w14:textId="068C8770" w:rsidR="000F43A8" w:rsidRPr="00826923" w:rsidRDefault="000F43A8" w:rsidP="000F43A8">
            <w:pPr>
              <w:rPr>
                <w:lang w:val="fr-FR"/>
              </w:rPr>
            </w:pPr>
            <w:r w:rsidRPr="00826923">
              <w:rPr>
                <w:lang w:val="fr-FR"/>
              </w:rPr>
              <w:t xml:space="preserve">Rapport préparé par: </w:t>
            </w:r>
            <w:r w:rsidR="003E64D1">
              <w:rPr>
                <w:lang w:val="fr-FR"/>
              </w:rPr>
              <w:t xml:space="preserve">Malika Groga-Bada, spécialiste Réconciliation </w:t>
            </w:r>
          </w:p>
          <w:p w14:paraId="4F7F6063" w14:textId="5834799A" w:rsidR="000F43A8" w:rsidRPr="00826923" w:rsidRDefault="000F43A8" w:rsidP="000F43A8">
            <w:pPr>
              <w:rPr>
                <w:lang w:val="fr-FR"/>
              </w:rPr>
            </w:pPr>
            <w:r w:rsidRPr="00826923">
              <w:rPr>
                <w:lang w:val="fr-FR"/>
              </w:rPr>
              <w:t xml:space="preserve">Rapport approuvé par: </w:t>
            </w:r>
            <w:r w:rsidR="003E64D1">
              <w:rPr>
                <w:lang w:val="fr-FR"/>
              </w:rPr>
              <w:t>Natalie Boucly, Représentante résidente</w:t>
            </w:r>
          </w:p>
          <w:p w14:paraId="64A19D37" w14:textId="7029DF56" w:rsidR="000F43A8" w:rsidRPr="005E0678" w:rsidRDefault="000F43A8" w:rsidP="000F43A8">
            <w:pPr>
              <w:rPr>
                <w:lang w:val="fr-FR"/>
              </w:rPr>
            </w:pPr>
            <w:r w:rsidRPr="00826923">
              <w:rPr>
                <w:lang w:val="fr-FR"/>
              </w:rPr>
              <w:t>Le Secrétariat PBF a-t-il revu le rapport</w:t>
            </w:r>
            <w:r w:rsidRPr="00136BFF">
              <w:rPr>
                <w:sz w:val="22"/>
                <w:lang w:val="fr-FR"/>
              </w:rPr>
              <w:t xml:space="preserve">: </w:t>
            </w:r>
            <w:r w:rsidR="005E0678" w:rsidRPr="00A130CA">
              <w:rPr>
                <w:lang w:val="fr-FR"/>
              </w:rPr>
              <w:t>O</w:t>
            </w:r>
            <w:r w:rsidR="005E0678">
              <w:rPr>
                <w:lang w:val="fr-FR"/>
              </w:rPr>
              <w:t>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1FA7A48" w14:textId="1532A39B" w:rsidR="00540AA6" w:rsidRPr="00BD34B1" w:rsidRDefault="00F778A1" w:rsidP="00BD34B1">
      <w:pPr>
        <w:ind w:left="-810"/>
        <w:jc w:val="both"/>
        <w:rPr>
          <w:rFonts w:ascii="Arial Narrow" w:hAnsi="Arial Narrow"/>
          <w:b/>
          <w:i/>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5B300A">
        <w:rPr>
          <w:lang w:val="fr-FR"/>
        </w:rPr>
        <w:t xml:space="preserve">(limite de 1500 caractères): </w:t>
      </w:r>
      <w:bookmarkStart w:id="3" w:name="_Hlk42297555"/>
      <w:bookmarkStart w:id="4" w:name="_Hlk42270293"/>
      <w:r w:rsidR="00540AA6" w:rsidRPr="00BD34B1">
        <w:rPr>
          <w:rFonts w:ascii="Arial Narrow" w:hAnsi="Arial Narrow"/>
          <w:b/>
          <w:i/>
          <w:lang w:val="fr-FR"/>
        </w:rPr>
        <w:t>Conformément à ses objectifs, le projet a apporté un appui technique et opérationnel à la médiation de l’Union africaine ayant abouti à l’Accord politique pour la paix et la réconciliation (APPR) en février 2019. Le projet s’est par la suite orienté vers le soutien aux organes de gouvernance de l’APPR, dont le Secrétariat technique du Comité exécutif de suivi (ST-CES, au niveau central), les Comités de mise en œuvre préfectoraux (CMOP) et les comités techniques de sécurité (CTS) au niveau préfectoral. Seize experts ont été recrutés et déployés à Bangui et dans 14 préfectures (sur 1</w:t>
      </w:r>
      <w:r w:rsidR="003E64D1">
        <w:rPr>
          <w:rFonts w:ascii="Arial Narrow" w:hAnsi="Arial Narrow"/>
          <w:b/>
          <w:i/>
          <w:lang w:val="fr-FR"/>
        </w:rPr>
        <w:t>6</w:t>
      </w:r>
      <w:r w:rsidR="00540AA6" w:rsidRPr="00BD34B1">
        <w:rPr>
          <w:rFonts w:ascii="Arial Narrow" w:hAnsi="Arial Narrow"/>
          <w:b/>
          <w:i/>
          <w:lang w:val="fr-FR"/>
        </w:rPr>
        <w:t xml:space="preserve">). En complément de l’appui holistique de la MINUSCA, ils soutiennent l’organisation concrète des travaux de ces comités, font de la formation et assurent la communication entre le niveau local et central.  Le budget de l’Etat n’étant pas en mesure d’assurer une prise en charge totale des mécanismes, les missions, réunions et une partie du fonctionnement sont assurées par le projet. </w:t>
      </w:r>
    </w:p>
    <w:p w14:paraId="3F439276" w14:textId="34E8CC82" w:rsidR="00540AA6" w:rsidRPr="00BD34B1" w:rsidRDefault="00540AA6" w:rsidP="00BD34B1">
      <w:pPr>
        <w:ind w:left="-810"/>
        <w:jc w:val="both"/>
        <w:rPr>
          <w:rFonts w:ascii="Arial Narrow" w:hAnsi="Arial Narrow"/>
          <w:b/>
          <w:i/>
          <w:lang w:val="fr-FR"/>
        </w:rPr>
      </w:pPr>
      <w:r w:rsidRPr="00BD34B1">
        <w:rPr>
          <w:rFonts w:ascii="Arial Narrow" w:hAnsi="Arial Narrow"/>
          <w:b/>
          <w:i/>
          <w:lang w:val="fr-FR"/>
        </w:rPr>
        <w:t>Le Conseil national de médiation (CNM) a constitué la base de l’établissement d’une communauté de pratique (</w:t>
      </w:r>
      <w:proofErr w:type="spellStart"/>
      <w:r w:rsidRPr="00BD34B1">
        <w:rPr>
          <w:rFonts w:ascii="Arial Narrow" w:hAnsi="Arial Narrow"/>
          <w:b/>
          <w:i/>
          <w:lang w:val="fr-FR"/>
        </w:rPr>
        <w:t>CoP</w:t>
      </w:r>
      <w:proofErr w:type="spellEnd"/>
      <w:r w:rsidRPr="00BD34B1">
        <w:rPr>
          <w:rFonts w:ascii="Arial Narrow" w:hAnsi="Arial Narrow"/>
          <w:b/>
          <w:i/>
          <w:lang w:val="fr-FR"/>
        </w:rPr>
        <w:t xml:space="preserve">) de 24 médiateurs internes (dont 9 femmes) et ses interventions ont été alignées sur les priorités de l’APPR, à savoir mener la réflexion nationale sur l’inclusivité, la citoyenneté, la protection des minorités. Le projet étant en phase de clôture, les mesures sont prises pour faciliter sa sortie, en sécurisant les process des CMOP et des CTS aves les préfets et secrétaires généraux de préfecture. </w:t>
      </w:r>
    </w:p>
    <w:bookmarkEnd w:id="3"/>
    <w:p w14:paraId="702DD954" w14:textId="77777777" w:rsidR="00F778A1" w:rsidRPr="005B300A" w:rsidRDefault="00F778A1" w:rsidP="005B300A">
      <w:pPr>
        <w:ind w:left="-810"/>
        <w:jc w:val="both"/>
        <w:rPr>
          <w:lang w:val="fr-FR"/>
        </w:rPr>
      </w:pPr>
    </w:p>
    <w:bookmarkEnd w:id="4"/>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144B1F40" w14:textId="4A80E3F2" w:rsidR="00161D02" w:rsidRPr="004C6424" w:rsidRDefault="008538BF" w:rsidP="004C6424">
      <w:pPr>
        <w:pStyle w:val="Paragraphedeliste"/>
        <w:numPr>
          <w:ilvl w:val="0"/>
          <w:numId w:val="44"/>
        </w:numPr>
        <w:jc w:val="both"/>
        <w:rPr>
          <w:rFonts w:ascii="Arial Narrow" w:hAnsi="Arial Narrow"/>
          <w:lang w:val="fr-FR"/>
        </w:rPr>
      </w:pPr>
      <w:r w:rsidRPr="004C6424">
        <w:rPr>
          <w:rFonts w:ascii="Arial Narrow" w:hAnsi="Arial Narrow"/>
          <w:b/>
          <w:i/>
          <w:lang w:val="fr-FR"/>
        </w:rPr>
        <w:t xml:space="preserve">L’évènement majeur prévu est la remise officielle des travaux de la communauté de pratique sur la laïcité, l’inclusivité, la protection des minorités et la citoyenneté, au Président de la République. Selon le calendrier des travaux, les rapports seront finalisés en juillet 2020, la cérémonie de transmission au chef de l’Etat et aux institutions de la République en aout, selon </w:t>
      </w:r>
      <w:r w:rsidR="003E64D1">
        <w:rPr>
          <w:rFonts w:ascii="Arial Narrow" w:hAnsi="Arial Narrow"/>
          <w:b/>
          <w:i/>
          <w:lang w:val="fr-FR"/>
        </w:rPr>
        <w:t>leur</w:t>
      </w:r>
      <w:r w:rsidRPr="004C6424">
        <w:rPr>
          <w:rFonts w:ascii="Arial Narrow" w:hAnsi="Arial Narrow"/>
          <w:b/>
          <w:i/>
          <w:lang w:val="fr-FR"/>
        </w:rPr>
        <w:t xml:space="preserve"> disponibilité. </w:t>
      </w:r>
    </w:p>
    <w:p w14:paraId="39DAD730" w14:textId="4D659BC3" w:rsidR="004C6424" w:rsidRPr="004C6424" w:rsidRDefault="004C6424" w:rsidP="004C6424">
      <w:pPr>
        <w:pStyle w:val="Paragraphedeliste"/>
        <w:numPr>
          <w:ilvl w:val="0"/>
          <w:numId w:val="44"/>
        </w:numPr>
        <w:jc w:val="both"/>
        <w:rPr>
          <w:rFonts w:ascii="Arial Narrow" w:hAnsi="Arial Narrow"/>
          <w:lang w:val="fr-FR"/>
        </w:rPr>
      </w:pPr>
      <w:r>
        <w:rPr>
          <w:rFonts w:ascii="Arial Narrow" w:hAnsi="Arial Narrow"/>
          <w:b/>
          <w:i/>
          <w:lang w:val="fr-FR"/>
        </w:rPr>
        <w:t xml:space="preserve">La remise officielle de la radio communautaire de Bangassou </w:t>
      </w:r>
      <w:r w:rsidR="003E64D1">
        <w:rPr>
          <w:rFonts w:ascii="Arial Narrow" w:hAnsi="Arial Narrow"/>
          <w:b/>
          <w:i/>
          <w:lang w:val="fr-FR"/>
        </w:rPr>
        <w:t xml:space="preserve">- </w:t>
      </w:r>
      <w:r>
        <w:rPr>
          <w:rFonts w:ascii="Arial Narrow" w:hAnsi="Arial Narrow"/>
          <w:b/>
          <w:i/>
          <w:lang w:val="fr-FR"/>
        </w:rPr>
        <w:t xml:space="preserve">initiée dans une démarche conjointe </w:t>
      </w:r>
      <w:r w:rsidR="00204945">
        <w:rPr>
          <w:rFonts w:ascii="Arial Narrow" w:hAnsi="Arial Narrow"/>
          <w:b/>
          <w:i/>
          <w:lang w:val="fr-FR"/>
        </w:rPr>
        <w:t xml:space="preserve">avec la </w:t>
      </w:r>
      <w:r>
        <w:rPr>
          <w:rFonts w:ascii="Arial Narrow" w:hAnsi="Arial Narrow"/>
          <w:b/>
          <w:i/>
          <w:lang w:val="fr-FR"/>
        </w:rPr>
        <w:t>MINUSCA pour lutter contre les rumeurs et la prolifération de la désinformation sur le processus de paix</w:t>
      </w:r>
      <w:r w:rsidR="003E64D1">
        <w:rPr>
          <w:rFonts w:ascii="Arial Narrow" w:hAnsi="Arial Narrow"/>
          <w:b/>
          <w:i/>
          <w:lang w:val="fr-FR"/>
        </w:rPr>
        <w:t xml:space="preserve"> – </w:t>
      </w:r>
      <w:r w:rsidR="00204945">
        <w:rPr>
          <w:rFonts w:ascii="Arial Narrow" w:hAnsi="Arial Narrow"/>
          <w:b/>
          <w:i/>
          <w:lang w:val="fr-FR"/>
        </w:rPr>
        <w:t xml:space="preserve">est </w:t>
      </w:r>
      <w:r w:rsidR="003E64D1">
        <w:rPr>
          <w:rFonts w:ascii="Arial Narrow" w:hAnsi="Arial Narrow"/>
          <w:b/>
          <w:i/>
          <w:lang w:val="fr-FR"/>
        </w:rPr>
        <w:t xml:space="preserve">prévue </w:t>
      </w:r>
      <w:r>
        <w:rPr>
          <w:rFonts w:ascii="Arial Narrow" w:hAnsi="Arial Narrow"/>
          <w:b/>
          <w:i/>
          <w:lang w:val="fr-FR"/>
        </w:rPr>
        <w:t>pour Juillet 2020</w:t>
      </w:r>
      <w:r w:rsidR="003E64D1">
        <w:rPr>
          <w:rFonts w:ascii="Arial Narrow" w:hAnsi="Arial Narrow"/>
          <w:b/>
          <w:i/>
          <w:lang w:val="fr-FR"/>
        </w:rPr>
        <w:t xml:space="preserve"> (</w:t>
      </w:r>
      <w:r>
        <w:rPr>
          <w:rFonts w:ascii="Arial Narrow" w:hAnsi="Arial Narrow"/>
          <w:b/>
          <w:i/>
          <w:lang w:val="fr-FR"/>
        </w:rPr>
        <w:t>date à déterminer</w:t>
      </w:r>
      <w:r w:rsidR="003E64D1">
        <w:rPr>
          <w:rFonts w:ascii="Arial Narrow" w:hAnsi="Arial Narrow"/>
          <w:b/>
          <w:i/>
          <w:lang w:val="fr-FR"/>
        </w:rPr>
        <w:t>)</w:t>
      </w:r>
      <w:r>
        <w:rPr>
          <w:rFonts w:ascii="Arial Narrow" w:hAnsi="Arial Narrow"/>
          <w:b/>
          <w:i/>
          <w:lang w:val="fr-FR"/>
        </w:rPr>
        <w:t xml:space="preserve">. </w:t>
      </w:r>
    </w:p>
    <w:p w14:paraId="20FA9EBD" w14:textId="77777777" w:rsidR="00161D02" w:rsidRPr="0028019C"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28019C"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28019C">
        <w:rPr>
          <w:lang w:val="fr-FR"/>
        </w:rPr>
        <w:t>(</w:t>
      </w:r>
      <w:proofErr w:type="gramStart"/>
      <w:r w:rsidR="008C782A" w:rsidRPr="0028019C">
        <w:rPr>
          <w:lang w:val="fr-FR"/>
        </w:rPr>
        <w:t>limit</w:t>
      </w:r>
      <w:r w:rsidRPr="0028019C">
        <w:rPr>
          <w:lang w:val="fr-FR"/>
        </w:rPr>
        <w:t>e</w:t>
      </w:r>
      <w:proofErr w:type="gramEnd"/>
      <w:r w:rsidRPr="0028019C">
        <w:rPr>
          <w:lang w:val="fr-FR"/>
        </w:rPr>
        <w:t xml:space="preserve"> de 1500 </w:t>
      </w:r>
      <w:r w:rsidRPr="00F778A1">
        <w:rPr>
          <w:lang w:val="fr-FR"/>
        </w:rPr>
        <w:t>caractères</w:t>
      </w:r>
      <w:r w:rsidR="008C782A" w:rsidRPr="0028019C">
        <w:rPr>
          <w:lang w:val="fr-FR"/>
        </w:rPr>
        <w:t xml:space="preserve">): </w:t>
      </w:r>
    </w:p>
    <w:p w14:paraId="2EC46E43" w14:textId="4E157143" w:rsidR="00476758" w:rsidRPr="0028019C" w:rsidRDefault="006408BF" w:rsidP="0028019C">
      <w:pPr>
        <w:ind w:left="-810"/>
        <w:jc w:val="both"/>
        <w:rPr>
          <w:rFonts w:ascii="Arial Narrow" w:hAnsi="Arial Narrow"/>
          <w:b/>
          <w:bCs/>
          <w:i/>
          <w:iCs/>
          <w:lang w:val="fr-FR"/>
        </w:rPr>
      </w:pPr>
      <w:r w:rsidRPr="00A130CA">
        <w:rPr>
          <w:rFonts w:ascii="Arial Narrow" w:hAnsi="Arial Narrow"/>
          <w:b/>
          <w:bCs/>
          <w:i/>
          <w:iCs/>
          <w:lang w:val="fr-FR"/>
        </w:rPr>
        <w:t xml:space="preserve"> </w:t>
      </w:r>
    </w:p>
    <w:p w14:paraId="72B70DBC" w14:textId="77777777" w:rsidR="006408BF" w:rsidRDefault="006408BF" w:rsidP="006408BF">
      <w:pPr>
        <w:ind w:left="-720"/>
        <w:jc w:val="both"/>
        <w:rPr>
          <w:rFonts w:ascii="Arial Narrow" w:hAnsi="Arial Narrow"/>
          <w:b/>
          <w:bCs/>
          <w:i/>
          <w:iCs/>
          <w:lang w:val="fr-FR"/>
        </w:rPr>
      </w:pPr>
      <w:r>
        <w:rPr>
          <w:rFonts w:ascii="Arial Narrow" w:hAnsi="Arial Narrow"/>
          <w:b/>
          <w:bCs/>
          <w:i/>
          <w:iCs/>
          <w:lang w:val="fr-FR"/>
        </w:rPr>
        <w:t xml:space="preserve">De manière directe, le projet a contribué à la signature de l’accord politique pour la paix et la réconciliation (APPR) qui constitue le seul accord obtenu lors des discussions directes entre les </w:t>
      </w:r>
      <w:r>
        <w:rPr>
          <w:rFonts w:ascii="Arial Narrow" w:hAnsi="Arial Narrow"/>
          <w:b/>
          <w:bCs/>
          <w:i/>
          <w:iCs/>
          <w:lang w:val="fr-FR"/>
        </w:rPr>
        <w:lastRenderedPageBreak/>
        <w:t xml:space="preserve">parties au conflit et qui indique clairement les sanctions encourues pour non- respect des engagements. Aussi l’accord instaure un cadre d’échange permanent entre les parties au conflit qui continue de fonctionner, grâce à son haut niveau de représentativité (chef de l’Etat ou Premier ministre, chefs de groupes armés, chefs de missions diplomatiques et PTF). </w:t>
      </w:r>
    </w:p>
    <w:p w14:paraId="7396DB3B" w14:textId="77777777" w:rsidR="006408BF" w:rsidRDefault="006408BF" w:rsidP="006408BF">
      <w:pPr>
        <w:ind w:left="-720"/>
        <w:jc w:val="both"/>
        <w:rPr>
          <w:rFonts w:ascii="Arial Narrow" w:hAnsi="Arial Narrow"/>
          <w:b/>
          <w:bCs/>
          <w:i/>
          <w:iCs/>
          <w:lang w:val="fr-FR"/>
        </w:rPr>
      </w:pPr>
      <w:r>
        <w:rPr>
          <w:rFonts w:ascii="Arial Narrow" w:hAnsi="Arial Narrow"/>
          <w:b/>
          <w:bCs/>
          <w:i/>
          <w:iCs/>
          <w:lang w:val="fr-FR"/>
        </w:rPr>
        <w:t xml:space="preserve">En dépit des violences très localisées qui peuvent éclater, les violences de masse ont été réduites de façon significative et le mouvement de redéploiement de l’administration se poursuit sans entrave de la part des groupes armés. </w:t>
      </w:r>
    </w:p>
    <w:p w14:paraId="40C6D250" w14:textId="77777777" w:rsidR="00476758" w:rsidRPr="0028019C" w:rsidRDefault="00476758" w:rsidP="008C782A">
      <w:pPr>
        <w:ind w:left="-810"/>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18DF54FA" w14:textId="3BB90D7E" w:rsidR="00F373FF" w:rsidRDefault="008538BF" w:rsidP="001623C8">
      <w:pPr>
        <w:ind w:left="-810"/>
        <w:jc w:val="both"/>
        <w:rPr>
          <w:rFonts w:ascii="Arial Narrow" w:hAnsi="Arial Narrow"/>
          <w:b/>
          <w:bCs/>
          <w:i/>
          <w:iCs/>
          <w:lang w:val="fr-FR"/>
        </w:rPr>
      </w:pPr>
      <w:r w:rsidRPr="00087F02">
        <w:rPr>
          <w:rFonts w:ascii="Arial Narrow" w:hAnsi="Arial Narrow"/>
          <w:b/>
          <w:bCs/>
          <w:i/>
          <w:iCs/>
          <w:lang w:val="fr-FR"/>
        </w:rPr>
        <w:t>Le projet a eu un impact réel sur le processus de stabilisation de la RCA 1) en créant le cadre d’un dialogue permanent entre le gouvernement, les groupes armés et les forces vives de la nation,</w:t>
      </w:r>
      <w:r w:rsidR="00087F02" w:rsidRPr="00087F02">
        <w:rPr>
          <w:rFonts w:ascii="Arial Narrow" w:hAnsi="Arial Narrow"/>
          <w:b/>
          <w:bCs/>
          <w:i/>
          <w:iCs/>
          <w:lang w:val="fr-FR"/>
        </w:rPr>
        <w:t xml:space="preserve"> entrainant une amélioration globale de la situation sécuritaire ; </w:t>
      </w:r>
      <w:r w:rsidRPr="00087F02">
        <w:rPr>
          <w:rFonts w:ascii="Arial Narrow" w:hAnsi="Arial Narrow"/>
          <w:b/>
          <w:bCs/>
          <w:i/>
          <w:iCs/>
          <w:lang w:val="fr-FR"/>
        </w:rPr>
        <w:t xml:space="preserve"> </w:t>
      </w:r>
      <w:r w:rsidR="00087F02" w:rsidRPr="00087F02">
        <w:rPr>
          <w:rFonts w:ascii="Arial Narrow" w:hAnsi="Arial Narrow"/>
          <w:b/>
          <w:bCs/>
          <w:i/>
          <w:iCs/>
          <w:lang w:val="fr-FR"/>
        </w:rPr>
        <w:t>2) en donnant les moyens techniques, opérationnels et financier</w:t>
      </w:r>
      <w:r w:rsidR="003E14B5">
        <w:rPr>
          <w:rFonts w:ascii="Arial Narrow" w:hAnsi="Arial Narrow"/>
          <w:b/>
          <w:bCs/>
          <w:i/>
          <w:iCs/>
          <w:lang w:val="fr-FR"/>
        </w:rPr>
        <w:t>s</w:t>
      </w:r>
      <w:r w:rsidR="00087F02" w:rsidRPr="00087F02">
        <w:rPr>
          <w:rFonts w:ascii="Arial Narrow" w:hAnsi="Arial Narrow"/>
          <w:b/>
          <w:bCs/>
          <w:i/>
          <w:iCs/>
          <w:lang w:val="fr-FR"/>
        </w:rPr>
        <w:t xml:space="preserve"> </w:t>
      </w:r>
      <w:r w:rsidR="00645126">
        <w:rPr>
          <w:rFonts w:ascii="Arial Narrow" w:hAnsi="Arial Narrow"/>
          <w:b/>
          <w:bCs/>
          <w:i/>
          <w:iCs/>
          <w:lang w:val="fr-FR"/>
        </w:rPr>
        <w:t xml:space="preserve">pour </w:t>
      </w:r>
      <w:r w:rsidR="003E14B5">
        <w:rPr>
          <w:rFonts w:ascii="Arial Narrow" w:hAnsi="Arial Narrow"/>
          <w:b/>
          <w:bCs/>
          <w:i/>
          <w:iCs/>
          <w:lang w:val="fr-FR"/>
        </w:rPr>
        <w:t xml:space="preserve">piloter </w:t>
      </w:r>
      <w:r w:rsidR="00087F02" w:rsidRPr="00087F02">
        <w:rPr>
          <w:rFonts w:ascii="Arial Narrow" w:hAnsi="Arial Narrow"/>
          <w:b/>
          <w:bCs/>
          <w:i/>
          <w:iCs/>
          <w:lang w:val="fr-FR"/>
        </w:rPr>
        <w:t xml:space="preserve">la mise en œuvre et </w:t>
      </w:r>
      <w:r w:rsidR="003E14B5">
        <w:rPr>
          <w:rFonts w:ascii="Arial Narrow" w:hAnsi="Arial Narrow"/>
          <w:b/>
          <w:bCs/>
          <w:i/>
          <w:iCs/>
          <w:lang w:val="fr-FR"/>
        </w:rPr>
        <w:t>le</w:t>
      </w:r>
      <w:r w:rsidR="00087F02" w:rsidRPr="00087F02">
        <w:rPr>
          <w:rFonts w:ascii="Arial Narrow" w:hAnsi="Arial Narrow"/>
          <w:b/>
          <w:bCs/>
          <w:i/>
          <w:iCs/>
          <w:lang w:val="fr-FR"/>
        </w:rPr>
        <w:t xml:space="preserve"> monitoring de l’APPR, </w:t>
      </w:r>
      <w:r w:rsidR="00F373FF">
        <w:rPr>
          <w:rFonts w:ascii="Arial Narrow" w:hAnsi="Arial Narrow"/>
          <w:b/>
          <w:bCs/>
          <w:i/>
          <w:iCs/>
          <w:lang w:val="fr-FR"/>
        </w:rPr>
        <w:t xml:space="preserve"> </w:t>
      </w:r>
      <w:r w:rsidR="00087F02" w:rsidRPr="00087F02">
        <w:rPr>
          <w:rFonts w:ascii="Arial Narrow" w:hAnsi="Arial Narrow"/>
          <w:b/>
          <w:bCs/>
          <w:i/>
          <w:iCs/>
          <w:lang w:val="fr-FR"/>
        </w:rPr>
        <w:t>alors que l’ensemble des partenaires techniques et financiers ont orienté leur contribution sur des aspects plus visibles (tels que le DDR</w:t>
      </w:r>
      <w:r w:rsidR="003E64D1">
        <w:rPr>
          <w:rFonts w:ascii="Arial Narrow" w:hAnsi="Arial Narrow"/>
          <w:b/>
          <w:bCs/>
          <w:i/>
          <w:iCs/>
          <w:lang w:val="fr-FR"/>
        </w:rPr>
        <w:t>R</w:t>
      </w:r>
      <w:r w:rsidR="00087F02" w:rsidRPr="00087F02">
        <w:rPr>
          <w:rFonts w:ascii="Arial Narrow" w:hAnsi="Arial Narrow"/>
          <w:b/>
          <w:bCs/>
          <w:i/>
          <w:iCs/>
          <w:lang w:val="fr-FR"/>
        </w:rPr>
        <w:t>)</w:t>
      </w:r>
      <w:r w:rsidR="00F373FF">
        <w:rPr>
          <w:rFonts w:ascii="Arial Narrow" w:hAnsi="Arial Narrow"/>
          <w:b/>
          <w:bCs/>
          <w:i/>
          <w:iCs/>
          <w:lang w:val="fr-FR"/>
        </w:rPr>
        <w:t xml:space="preserve">, </w:t>
      </w:r>
      <w:r w:rsidR="00087F02" w:rsidRPr="00087F02">
        <w:rPr>
          <w:rFonts w:ascii="Arial Narrow" w:hAnsi="Arial Narrow"/>
          <w:b/>
          <w:bCs/>
          <w:i/>
          <w:iCs/>
          <w:lang w:val="fr-FR"/>
        </w:rPr>
        <w:t> ; 3) en permettant à la Communauté économique des Etats d’Afrique centrale (CEEAC) et à la Conférence internationale sur la régions des Grands-Lacs (CIRGL) d’assurer leur mission de garants de l’accord de paix et de conduire des actions de prévention et</w:t>
      </w:r>
      <w:r w:rsidR="003E14B5">
        <w:rPr>
          <w:rFonts w:ascii="Arial Narrow" w:hAnsi="Arial Narrow"/>
          <w:b/>
          <w:bCs/>
          <w:i/>
          <w:iCs/>
          <w:lang w:val="fr-FR"/>
        </w:rPr>
        <w:t xml:space="preserve"> de</w:t>
      </w:r>
      <w:r w:rsidR="00087F02" w:rsidRPr="00087F02">
        <w:rPr>
          <w:rFonts w:ascii="Arial Narrow" w:hAnsi="Arial Narrow"/>
          <w:b/>
          <w:bCs/>
          <w:i/>
          <w:iCs/>
          <w:lang w:val="fr-FR"/>
        </w:rPr>
        <w:t xml:space="preserve"> désescalade des tensions</w:t>
      </w:r>
      <w:r w:rsidR="00087F02">
        <w:rPr>
          <w:rFonts w:ascii="Arial Narrow" w:hAnsi="Arial Narrow"/>
          <w:b/>
          <w:bCs/>
          <w:i/>
          <w:iCs/>
          <w:lang w:val="fr-FR"/>
        </w:rPr>
        <w:t xml:space="preserve">; 4) et enfin, de susciter </w:t>
      </w:r>
      <w:r w:rsidR="001623C8">
        <w:rPr>
          <w:rFonts w:ascii="Arial Narrow" w:hAnsi="Arial Narrow"/>
          <w:b/>
          <w:bCs/>
          <w:i/>
          <w:iCs/>
          <w:lang w:val="fr-FR"/>
        </w:rPr>
        <w:t>l’intérêt et l’</w:t>
      </w:r>
      <w:r w:rsidR="00AD1F57">
        <w:rPr>
          <w:rFonts w:ascii="Arial Narrow" w:hAnsi="Arial Narrow"/>
          <w:b/>
          <w:bCs/>
          <w:i/>
          <w:iCs/>
          <w:lang w:val="fr-FR"/>
        </w:rPr>
        <w:t xml:space="preserve">engagement des populations en faveur de </w:t>
      </w:r>
      <w:r w:rsidR="001623C8">
        <w:rPr>
          <w:rFonts w:ascii="Arial Narrow" w:hAnsi="Arial Narrow"/>
          <w:b/>
          <w:bCs/>
          <w:i/>
          <w:iCs/>
          <w:lang w:val="fr-FR"/>
        </w:rPr>
        <w:t>cet accord de paix</w:t>
      </w:r>
      <w:r w:rsidR="00AD1F57">
        <w:rPr>
          <w:rFonts w:ascii="Arial Narrow" w:hAnsi="Arial Narrow"/>
          <w:b/>
          <w:bCs/>
          <w:i/>
          <w:iCs/>
          <w:lang w:val="fr-FR"/>
        </w:rPr>
        <w:t xml:space="preserve"> alors que peu d’entre </w:t>
      </w:r>
      <w:r w:rsidR="002A385C">
        <w:rPr>
          <w:rFonts w:ascii="Arial Narrow" w:hAnsi="Arial Narrow"/>
          <w:b/>
          <w:bCs/>
          <w:i/>
          <w:iCs/>
          <w:lang w:val="fr-FR"/>
        </w:rPr>
        <w:t>elles y accordaient de l’importance</w:t>
      </w:r>
      <w:r w:rsidR="00087F02">
        <w:rPr>
          <w:rFonts w:ascii="Arial Narrow" w:hAnsi="Arial Narrow"/>
          <w:b/>
          <w:bCs/>
          <w:i/>
          <w:iCs/>
          <w:lang w:val="fr-FR"/>
        </w:rPr>
        <w:t>.</w:t>
      </w:r>
      <w:r w:rsidR="001623C8">
        <w:rPr>
          <w:rFonts w:ascii="Arial Narrow" w:hAnsi="Arial Narrow"/>
          <w:b/>
          <w:bCs/>
          <w:i/>
          <w:iCs/>
          <w:lang w:val="fr-FR"/>
        </w:rPr>
        <w:t xml:space="preserve"> </w:t>
      </w:r>
      <w:r w:rsidR="00AD1F57">
        <w:rPr>
          <w:rFonts w:ascii="Arial Narrow" w:hAnsi="Arial Narrow"/>
          <w:b/>
          <w:bCs/>
          <w:i/>
          <w:iCs/>
          <w:lang w:val="fr-FR"/>
        </w:rPr>
        <w:t>Les sondages de perceptions réalisés en 2020 dans le cadre du monitoring des interventions du PNUD et de la MINUSCA indiquent que 67 % des Centrafricain (e) s ont entendu parler de l’APPR (dont 75% d’hommes et 58% de femmes)</w:t>
      </w:r>
      <w:r w:rsidR="00AB3AD5">
        <w:rPr>
          <w:rFonts w:ascii="Arial Narrow" w:hAnsi="Arial Narrow"/>
          <w:b/>
          <w:bCs/>
          <w:i/>
          <w:iCs/>
          <w:lang w:val="fr-FR"/>
        </w:rPr>
        <w:t xml:space="preserve"> et plus de la moitié témoignent d’une amélioration des conditions de </w:t>
      </w:r>
      <w:r w:rsidR="00CB2A9B">
        <w:rPr>
          <w:rFonts w:ascii="Arial Narrow" w:hAnsi="Arial Narrow"/>
          <w:b/>
          <w:bCs/>
          <w:i/>
          <w:iCs/>
          <w:lang w:val="fr-FR"/>
        </w:rPr>
        <w:t>vie dans</w:t>
      </w:r>
      <w:r w:rsidR="00AB3AD5">
        <w:rPr>
          <w:rFonts w:ascii="Arial Narrow" w:hAnsi="Arial Narrow"/>
          <w:b/>
          <w:bCs/>
          <w:i/>
          <w:iCs/>
          <w:lang w:val="fr-FR"/>
        </w:rPr>
        <w:t xml:space="preserve"> leur communauté depuis </w:t>
      </w:r>
      <w:r w:rsidR="003E14B5">
        <w:rPr>
          <w:rFonts w:ascii="Arial Narrow" w:hAnsi="Arial Narrow"/>
          <w:b/>
          <w:bCs/>
          <w:i/>
          <w:iCs/>
          <w:lang w:val="fr-FR"/>
        </w:rPr>
        <w:t>s</w:t>
      </w:r>
      <w:r w:rsidR="00AB3AD5">
        <w:rPr>
          <w:rFonts w:ascii="Arial Narrow" w:hAnsi="Arial Narrow"/>
          <w:b/>
          <w:bCs/>
          <w:i/>
          <w:iCs/>
          <w:lang w:val="fr-FR"/>
        </w:rPr>
        <w:t>a signature (59% sur la libre circulation, 55% sur la sécurité)</w:t>
      </w:r>
      <w:r w:rsidR="00BA17CD">
        <w:rPr>
          <w:rFonts w:ascii="Arial Narrow" w:hAnsi="Arial Narrow"/>
          <w:b/>
          <w:bCs/>
          <w:i/>
          <w:iCs/>
          <w:lang w:val="fr-FR"/>
        </w:rPr>
        <w:t xml:space="preserve">. Cependant, seulement </w:t>
      </w:r>
      <w:r w:rsidR="00AD1F57">
        <w:rPr>
          <w:rFonts w:ascii="Arial Narrow" w:hAnsi="Arial Narrow"/>
          <w:b/>
          <w:bCs/>
          <w:i/>
          <w:iCs/>
          <w:lang w:val="fr-FR"/>
        </w:rPr>
        <w:t>28% d’entre eux croient</w:t>
      </w:r>
      <w:r w:rsidR="009F61E5">
        <w:rPr>
          <w:rFonts w:ascii="Arial Narrow" w:hAnsi="Arial Narrow"/>
          <w:b/>
          <w:bCs/>
          <w:i/>
          <w:iCs/>
          <w:lang w:val="fr-FR"/>
        </w:rPr>
        <w:t xml:space="preserve"> au retour définitif de la </w:t>
      </w:r>
      <w:r w:rsidR="00AD1F57">
        <w:rPr>
          <w:rFonts w:ascii="Arial Narrow" w:hAnsi="Arial Narrow"/>
          <w:b/>
          <w:bCs/>
          <w:i/>
          <w:iCs/>
          <w:lang w:val="fr-FR"/>
        </w:rPr>
        <w:t>paix</w:t>
      </w:r>
      <w:r w:rsidR="00BA17CD">
        <w:rPr>
          <w:rFonts w:ascii="Arial Narrow" w:hAnsi="Arial Narrow"/>
          <w:b/>
          <w:bCs/>
          <w:i/>
          <w:iCs/>
          <w:lang w:val="fr-FR"/>
        </w:rPr>
        <w:t xml:space="preserve"> sans la justice (75%) et le DDRR (70%)</w:t>
      </w:r>
      <w:r w:rsidR="00AB3AD5">
        <w:rPr>
          <w:rFonts w:ascii="Arial Narrow" w:hAnsi="Arial Narrow"/>
          <w:b/>
          <w:bCs/>
          <w:i/>
          <w:iCs/>
          <w:lang w:val="fr-FR"/>
        </w:rPr>
        <w:t>.</w:t>
      </w:r>
    </w:p>
    <w:p w14:paraId="32BFF355" w14:textId="77108AA9" w:rsidR="008538BF" w:rsidRDefault="00AB3AD5" w:rsidP="001623C8">
      <w:pPr>
        <w:ind w:left="-810"/>
        <w:jc w:val="both"/>
        <w:rPr>
          <w:rFonts w:ascii="Arial Narrow" w:hAnsi="Arial Narrow"/>
          <w:b/>
          <w:bCs/>
          <w:i/>
          <w:iCs/>
          <w:lang w:val="fr-FR"/>
        </w:rPr>
      </w:pPr>
      <w:r>
        <w:rPr>
          <w:rFonts w:ascii="Arial Narrow" w:hAnsi="Arial Narrow"/>
          <w:b/>
          <w:bCs/>
          <w:i/>
          <w:iCs/>
          <w:lang w:val="fr-FR"/>
        </w:rPr>
        <w:t>L</w:t>
      </w:r>
      <w:r w:rsidR="003E14B5">
        <w:rPr>
          <w:rFonts w:ascii="Arial Narrow" w:hAnsi="Arial Narrow"/>
          <w:b/>
          <w:bCs/>
          <w:i/>
          <w:iCs/>
          <w:lang w:val="fr-FR"/>
        </w:rPr>
        <w:t xml:space="preserve">es tensions qui persistent dans le nord-ouest et le nord-est, et les violences qui ont éclaté dans le sud-est en avril 2020 </w:t>
      </w:r>
      <w:proofErr w:type="gramStart"/>
      <w:r w:rsidR="003E14B5">
        <w:rPr>
          <w:rFonts w:ascii="Arial Narrow" w:hAnsi="Arial Narrow"/>
          <w:b/>
          <w:bCs/>
          <w:i/>
          <w:iCs/>
          <w:lang w:val="fr-FR"/>
        </w:rPr>
        <w:t xml:space="preserve">témoignent </w:t>
      </w:r>
      <w:r w:rsidR="00F373FF">
        <w:rPr>
          <w:rFonts w:ascii="Arial Narrow" w:hAnsi="Arial Narrow"/>
          <w:b/>
          <w:bCs/>
          <w:i/>
          <w:iCs/>
          <w:lang w:val="fr-FR"/>
        </w:rPr>
        <w:t xml:space="preserve"> </w:t>
      </w:r>
      <w:r w:rsidR="003E14B5">
        <w:rPr>
          <w:rFonts w:ascii="Arial Narrow" w:hAnsi="Arial Narrow"/>
          <w:b/>
          <w:bCs/>
          <w:i/>
          <w:iCs/>
          <w:lang w:val="fr-FR"/>
        </w:rPr>
        <w:t>de</w:t>
      </w:r>
      <w:proofErr w:type="gramEnd"/>
      <w:r w:rsidR="003E14B5">
        <w:rPr>
          <w:rFonts w:ascii="Arial Narrow" w:hAnsi="Arial Narrow"/>
          <w:b/>
          <w:bCs/>
          <w:i/>
          <w:iCs/>
          <w:lang w:val="fr-FR"/>
        </w:rPr>
        <w:t xml:space="preserve"> la fragilité de la </w:t>
      </w:r>
      <w:r w:rsidR="00F373FF">
        <w:rPr>
          <w:rFonts w:ascii="Arial Narrow" w:hAnsi="Arial Narrow"/>
          <w:b/>
          <w:bCs/>
          <w:i/>
          <w:iCs/>
          <w:lang w:val="fr-FR"/>
        </w:rPr>
        <w:t>situation</w:t>
      </w:r>
      <w:r w:rsidR="003E14B5">
        <w:rPr>
          <w:rFonts w:ascii="Arial Narrow" w:hAnsi="Arial Narrow"/>
          <w:b/>
          <w:bCs/>
          <w:i/>
          <w:iCs/>
          <w:lang w:val="fr-FR"/>
        </w:rPr>
        <w:t xml:space="preserve">. Elles démontrent aussi de la </w:t>
      </w:r>
      <w:r w:rsidR="00F3349C">
        <w:rPr>
          <w:rFonts w:ascii="Arial Narrow" w:hAnsi="Arial Narrow"/>
          <w:b/>
          <w:bCs/>
          <w:i/>
          <w:iCs/>
          <w:lang w:val="fr-FR"/>
        </w:rPr>
        <w:t>nécessité d’une avancée concomitantes des efforts sur le DDR</w:t>
      </w:r>
      <w:r w:rsidR="003E64D1">
        <w:rPr>
          <w:rFonts w:ascii="Arial Narrow" w:hAnsi="Arial Narrow"/>
          <w:b/>
          <w:bCs/>
          <w:i/>
          <w:iCs/>
          <w:lang w:val="fr-FR"/>
        </w:rPr>
        <w:t>R</w:t>
      </w:r>
      <w:r w:rsidR="00F3349C">
        <w:rPr>
          <w:rFonts w:ascii="Arial Narrow" w:hAnsi="Arial Narrow"/>
          <w:b/>
          <w:bCs/>
          <w:i/>
          <w:iCs/>
          <w:lang w:val="fr-FR"/>
        </w:rPr>
        <w:t>, la restauration de l’autorité de l’Etat, le redéploiement de l’administration et la stabilisation communautaire.</w:t>
      </w:r>
    </w:p>
    <w:p w14:paraId="24D271E6" w14:textId="38683C61" w:rsidR="001623C8" w:rsidRDefault="001623C8" w:rsidP="001623C8">
      <w:pPr>
        <w:ind w:left="-810"/>
        <w:jc w:val="both"/>
        <w:rPr>
          <w:rFonts w:ascii="Arial Narrow" w:hAnsi="Arial Narrow"/>
          <w:b/>
          <w:bCs/>
          <w:i/>
          <w:iCs/>
          <w:lang w:val="fr-FR"/>
        </w:rPr>
      </w:pPr>
    </w:p>
    <w:p w14:paraId="1D2B2C9B" w14:textId="227BE4CE" w:rsidR="001623C8" w:rsidRPr="001623C8" w:rsidRDefault="00F373FF" w:rsidP="00F373FF">
      <w:pPr>
        <w:ind w:left="-810"/>
        <w:rPr>
          <w:rFonts w:ascii="Arial Narrow" w:hAnsi="Arial Narrow"/>
          <w:b/>
          <w:bCs/>
          <w:i/>
          <w:iCs/>
          <w:lang w:val="fr-FR"/>
        </w:rPr>
      </w:pPr>
      <w:r>
        <w:rPr>
          <w:rFonts w:ascii="Arial Narrow" w:hAnsi="Arial Narrow"/>
          <w:b/>
          <w:bCs/>
          <w:i/>
          <w:iCs/>
          <w:lang w:val="fr-FR"/>
        </w:rPr>
        <w:t xml:space="preserve">Sondages Paix, Justice, Sécurité (MINUSCA, UNDP, HHI) : </w:t>
      </w:r>
      <w:hyperlink r:id="rId14" w:history="1">
        <w:r w:rsidR="001623C8" w:rsidRPr="001623C8">
          <w:rPr>
            <w:rStyle w:val="Lienhypertexte"/>
            <w:lang w:val="fr-FR"/>
          </w:rPr>
          <w:t>http://www.peacebuildingdata.org/research/car</w:t>
        </w:r>
      </w:hyperlink>
    </w:p>
    <w:p w14:paraId="14D261C9" w14:textId="65FE163D" w:rsidR="008538BF" w:rsidRPr="008538BF" w:rsidRDefault="008538BF" w:rsidP="0078600B">
      <w:pPr>
        <w:rPr>
          <w:b/>
          <w:lang w:val="fr-FR"/>
        </w:rPr>
      </w:pPr>
    </w:p>
    <w:p w14:paraId="5FA8012B" w14:textId="77777777" w:rsidR="008538BF" w:rsidRPr="008538BF" w:rsidRDefault="008538BF"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lastRenderedPageBreak/>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34274A8E"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0023285C" w:rsidRPr="00905F04">
        <w:rPr>
          <w:lang w:val="fr-FR"/>
        </w:rPr>
        <w:t>Le soutien à la médiation intra-centrafricaine facilite la recherche d’une paix durable de manière compréhensive, transparente et concertée</w:t>
      </w:r>
    </w:p>
    <w:p w14:paraId="6A528501" w14:textId="77777777" w:rsidR="005D15A3" w:rsidRPr="00615EA3" w:rsidRDefault="005D15A3" w:rsidP="005D15A3">
      <w:pPr>
        <w:ind w:left="-720"/>
        <w:rPr>
          <w:b/>
          <w:lang w:val="fr-FR"/>
        </w:rPr>
      </w:pPr>
    </w:p>
    <w:p w14:paraId="7AC56A13" w14:textId="50A45A9F"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6D4144" w:rsidRPr="00A130CA">
        <w:rPr>
          <w:rFonts w:ascii="Arial Narrow" w:hAnsi="Arial Narrow"/>
          <w:b/>
          <w:sz w:val="22"/>
          <w:szCs w:val="22"/>
          <w:lang w:val="fr-FR"/>
        </w:rPr>
        <w:t xml:space="preserve">On </w:t>
      </w:r>
      <w:proofErr w:type="spellStart"/>
      <w:r w:rsidR="006D4144">
        <w:rPr>
          <w:rFonts w:ascii="Arial Narrow" w:hAnsi="Arial Narrow"/>
          <w:b/>
          <w:sz w:val="22"/>
          <w:szCs w:val="22"/>
          <w:lang w:val="fr-FR"/>
        </w:rPr>
        <w:t>track</w:t>
      </w:r>
      <w:proofErr w:type="spellEnd"/>
      <w:r w:rsidR="006D4144">
        <w:rPr>
          <w:rFonts w:ascii="Arial Narrow" w:hAnsi="Arial Narrow"/>
          <w:b/>
          <w:sz w:val="22"/>
          <w:szCs w:val="22"/>
          <w:lang w:val="fr-FR"/>
        </w:rPr>
        <w:t xml:space="preserve"> </w:t>
      </w:r>
      <w:proofErr w:type="spellStart"/>
      <w:r w:rsidR="006D4144">
        <w:rPr>
          <w:rFonts w:ascii="Arial Narrow" w:hAnsi="Arial Narrow"/>
          <w:b/>
          <w:sz w:val="22"/>
          <w:szCs w:val="22"/>
          <w:lang w:val="fr-FR"/>
        </w:rPr>
        <w:t>with</w:t>
      </w:r>
      <w:proofErr w:type="spellEnd"/>
      <w:r w:rsidR="006D4144">
        <w:rPr>
          <w:rFonts w:ascii="Arial Narrow" w:hAnsi="Arial Narrow"/>
          <w:b/>
          <w:sz w:val="22"/>
          <w:szCs w:val="22"/>
          <w:lang w:val="fr-FR"/>
        </w:rPr>
        <w:t xml:space="preserve"> </w:t>
      </w:r>
      <w:proofErr w:type="spellStart"/>
      <w:r w:rsidR="006D4144">
        <w:rPr>
          <w:rFonts w:ascii="Arial Narrow" w:hAnsi="Arial Narrow"/>
          <w:b/>
          <w:sz w:val="22"/>
          <w:szCs w:val="22"/>
          <w:lang w:val="fr-FR"/>
        </w:rPr>
        <w:t>significant</w:t>
      </w:r>
      <w:proofErr w:type="spellEnd"/>
      <w:r w:rsidR="006D4144">
        <w:rPr>
          <w:rFonts w:ascii="Arial Narrow" w:hAnsi="Arial Narrow"/>
          <w:b/>
          <w:sz w:val="22"/>
          <w:szCs w:val="22"/>
          <w:lang w:val="fr-FR"/>
        </w:rPr>
        <w:t xml:space="preserve"> </w:t>
      </w:r>
      <w:proofErr w:type="spellStart"/>
      <w:r w:rsidR="006D4144">
        <w:rPr>
          <w:rFonts w:ascii="Arial Narrow" w:hAnsi="Arial Narrow"/>
          <w:b/>
          <w:sz w:val="22"/>
          <w:szCs w:val="22"/>
          <w:lang w:val="fr-FR"/>
        </w:rPr>
        <w:t>peacebuilding</w:t>
      </w:r>
      <w:proofErr w:type="spellEnd"/>
      <w:r w:rsidR="006D4144">
        <w:rPr>
          <w:rFonts w:ascii="Arial Narrow" w:hAnsi="Arial Narrow"/>
          <w:b/>
          <w:sz w:val="22"/>
          <w:szCs w:val="22"/>
          <w:lang w:val="fr-FR"/>
        </w:rPr>
        <w:t xml:space="preserve"> </w:t>
      </w:r>
      <w:proofErr w:type="spellStart"/>
      <w:r w:rsidR="006D4144">
        <w:rPr>
          <w:rFonts w:ascii="Arial Narrow" w:hAnsi="Arial Narrow"/>
          <w:b/>
          <w:sz w:val="22"/>
          <w:szCs w:val="22"/>
          <w:lang w:val="fr-FR"/>
        </w:rPr>
        <w:t>results</w:t>
      </w:r>
      <w:proofErr w:type="spellEnd"/>
    </w:p>
    <w:p w14:paraId="02835EA1" w14:textId="77777777" w:rsidR="002E1CED" w:rsidRPr="005D15A3" w:rsidRDefault="002E1CED" w:rsidP="00323ABC">
      <w:pPr>
        <w:ind w:left="-720"/>
        <w:jc w:val="both"/>
        <w:rPr>
          <w:b/>
          <w:lang w:val="fr-FR"/>
        </w:rPr>
      </w:pPr>
    </w:p>
    <w:p w14:paraId="04D2068E" w14:textId="0ADBAC09" w:rsidR="005216B2" w:rsidRPr="005D15A3" w:rsidRDefault="00213900" w:rsidP="005D15A3">
      <w:pPr>
        <w:ind w:left="-720"/>
        <w:jc w:val="both"/>
        <w:rPr>
          <w:i/>
          <w:lang w:val="fr-FR"/>
        </w:rPr>
      </w:pPr>
      <w:r w:rsidRPr="005D15A3">
        <w:rPr>
          <w:b/>
          <w:lang w:val="fr-FR"/>
        </w:rPr>
        <w:t>Résumé</w:t>
      </w:r>
      <w:r w:rsidR="005D15A3" w:rsidRPr="005D15A3">
        <w:rPr>
          <w:b/>
          <w:lang w:val="fr-FR"/>
        </w:rPr>
        <w:t xml:space="preserve"> de </w:t>
      </w:r>
      <w:r w:rsidR="005D15A3" w:rsidRPr="005D15A3">
        <w:rPr>
          <w:rFonts w:ascii="inherit" w:hAnsi="inherit"/>
          <w:b/>
          <w:bCs/>
          <w:color w:val="212121"/>
          <w:lang w:val="fr-FR"/>
        </w:rPr>
        <w:t>progrès</w:t>
      </w:r>
      <w:r w:rsidR="003235DF" w:rsidRPr="005D15A3">
        <w:rPr>
          <w:b/>
          <w:lang w:val="fr-FR"/>
        </w:rPr>
        <w:t xml:space="preserve">: </w:t>
      </w:r>
      <w:r w:rsidR="005D15A3">
        <w:rPr>
          <w:rFonts w:ascii="inherit" w:hAnsi="inherit"/>
          <w:color w:val="212121"/>
          <w:lang w:val="fr-FR"/>
        </w:rPr>
        <w:t>(Limite de 3000 caractères)</w:t>
      </w:r>
    </w:p>
    <w:p w14:paraId="2A1871E1" w14:textId="4BCEC054" w:rsidR="006D335C" w:rsidRDefault="006D335C" w:rsidP="006D335C">
      <w:pPr>
        <w:ind w:left="-810"/>
        <w:jc w:val="both"/>
        <w:rPr>
          <w:rFonts w:ascii="Arial Narrow" w:hAnsi="Arial Narrow"/>
          <w:b/>
          <w:i/>
          <w:iCs/>
          <w:lang w:val="fr-FR"/>
        </w:rPr>
      </w:pPr>
      <w:bookmarkStart w:id="5" w:name="_Hlk43313466"/>
      <w:r w:rsidRPr="00813768">
        <w:rPr>
          <w:rFonts w:ascii="Arial Narrow" w:hAnsi="Arial Narrow"/>
          <w:b/>
          <w:bCs/>
          <w:i/>
          <w:iCs/>
          <w:lang w:val="fr-FR"/>
        </w:rPr>
        <w:t xml:space="preserve">Le </w:t>
      </w:r>
      <w:r>
        <w:rPr>
          <w:rFonts w:ascii="Arial Narrow" w:hAnsi="Arial Narrow"/>
          <w:b/>
          <w:bCs/>
          <w:i/>
          <w:iCs/>
          <w:lang w:val="fr-FR"/>
        </w:rPr>
        <w:t xml:space="preserve">projet </w:t>
      </w:r>
      <w:r w:rsidRPr="00813768">
        <w:rPr>
          <w:rFonts w:ascii="Arial Narrow" w:hAnsi="Arial Narrow"/>
          <w:b/>
          <w:bCs/>
          <w:i/>
          <w:iCs/>
          <w:lang w:val="fr-FR"/>
        </w:rPr>
        <w:t xml:space="preserve">a permis aux Nations-Unies d’apporter un appui technique, financier et logistique </w:t>
      </w:r>
      <w:r>
        <w:rPr>
          <w:rFonts w:ascii="Arial Narrow" w:hAnsi="Arial Narrow"/>
          <w:b/>
          <w:bCs/>
          <w:i/>
          <w:iCs/>
          <w:lang w:val="fr-FR"/>
        </w:rPr>
        <w:t xml:space="preserve">à la conduite de l’Initiative africaine qui a abouti à la signature de l’Accord politique pour la paix et la réconciliation (APPR) en février 2019. Entre 2017 et 2018, le projet a soutenu les </w:t>
      </w:r>
      <w:r w:rsidRPr="00813768">
        <w:rPr>
          <w:rFonts w:ascii="Arial Narrow" w:hAnsi="Arial Narrow"/>
          <w:b/>
          <w:bCs/>
          <w:i/>
          <w:iCs/>
          <w:lang w:val="fr-FR"/>
        </w:rPr>
        <w:t>missions du panel de facilitateurs de l’Union africaine</w:t>
      </w:r>
      <w:r>
        <w:rPr>
          <w:rFonts w:ascii="Arial Narrow" w:hAnsi="Arial Narrow"/>
          <w:b/>
          <w:bCs/>
          <w:i/>
          <w:iCs/>
          <w:lang w:val="fr-FR"/>
        </w:rPr>
        <w:t xml:space="preserve"> (UA)</w:t>
      </w:r>
      <w:r w:rsidRPr="00813768">
        <w:rPr>
          <w:rFonts w:ascii="Arial Narrow" w:hAnsi="Arial Narrow"/>
          <w:b/>
          <w:bCs/>
          <w:i/>
          <w:iCs/>
          <w:lang w:val="fr-FR"/>
        </w:rPr>
        <w:t xml:space="preserve">, </w:t>
      </w:r>
      <w:r>
        <w:rPr>
          <w:rFonts w:ascii="Arial Narrow" w:hAnsi="Arial Narrow"/>
          <w:b/>
          <w:bCs/>
          <w:i/>
          <w:iCs/>
          <w:lang w:val="fr-FR"/>
        </w:rPr>
        <w:t xml:space="preserve">les </w:t>
      </w:r>
      <w:r w:rsidRPr="00813768">
        <w:rPr>
          <w:rFonts w:ascii="Arial Narrow" w:hAnsi="Arial Narrow"/>
          <w:b/>
          <w:bCs/>
          <w:i/>
          <w:iCs/>
          <w:lang w:val="fr-FR"/>
        </w:rPr>
        <w:t xml:space="preserve">rencontres </w:t>
      </w:r>
      <w:r>
        <w:rPr>
          <w:rFonts w:ascii="Arial Narrow" w:hAnsi="Arial Narrow"/>
          <w:b/>
          <w:bCs/>
          <w:i/>
          <w:iCs/>
          <w:lang w:val="fr-FR"/>
        </w:rPr>
        <w:t xml:space="preserve">avec et </w:t>
      </w:r>
      <w:r w:rsidRPr="00813768">
        <w:rPr>
          <w:rFonts w:ascii="Arial Narrow" w:hAnsi="Arial Narrow"/>
          <w:b/>
          <w:bCs/>
          <w:i/>
          <w:iCs/>
          <w:lang w:val="fr-FR"/>
        </w:rPr>
        <w:t xml:space="preserve">entre les </w:t>
      </w:r>
      <w:r>
        <w:rPr>
          <w:rFonts w:ascii="Arial Narrow" w:hAnsi="Arial Narrow"/>
          <w:b/>
          <w:bCs/>
          <w:i/>
          <w:iCs/>
          <w:lang w:val="fr-FR"/>
        </w:rPr>
        <w:t xml:space="preserve">parties au conflit, les étapes de la conciliation et l’implication des femmes. Après la signature de l’accord les interventions se sont orientées vers les mécanismes de gouvernance et de mise en œuvre de l’APPR, le </w:t>
      </w:r>
      <w:r w:rsidRPr="0023285C">
        <w:rPr>
          <w:rFonts w:ascii="Arial Narrow" w:hAnsi="Arial Narrow"/>
          <w:b/>
          <w:i/>
          <w:iCs/>
          <w:lang w:val="fr-FR"/>
        </w:rPr>
        <w:t>Secrétariat technique du Comité exécutif de suivi (ST-CES</w:t>
      </w:r>
      <w:r>
        <w:rPr>
          <w:rFonts w:ascii="Arial Narrow" w:hAnsi="Arial Narrow"/>
          <w:b/>
          <w:i/>
          <w:iCs/>
          <w:lang w:val="fr-FR"/>
        </w:rPr>
        <w:t>), les c</w:t>
      </w:r>
      <w:r w:rsidRPr="0023285C">
        <w:rPr>
          <w:rFonts w:ascii="Arial Narrow" w:hAnsi="Arial Narrow"/>
          <w:b/>
          <w:i/>
          <w:iCs/>
          <w:lang w:val="fr-FR"/>
        </w:rPr>
        <w:t xml:space="preserve">omités de mise en œuvre préfectoraux (CMOP) et </w:t>
      </w:r>
      <w:r>
        <w:rPr>
          <w:rFonts w:ascii="Arial Narrow" w:hAnsi="Arial Narrow"/>
          <w:b/>
          <w:i/>
          <w:iCs/>
          <w:lang w:val="fr-FR"/>
        </w:rPr>
        <w:t xml:space="preserve">les </w:t>
      </w:r>
      <w:r w:rsidRPr="0023285C">
        <w:rPr>
          <w:rFonts w:ascii="Arial Narrow" w:hAnsi="Arial Narrow"/>
          <w:b/>
          <w:i/>
          <w:iCs/>
          <w:lang w:val="fr-FR"/>
        </w:rPr>
        <w:t xml:space="preserve">comités techniques de sécurité (CTS). </w:t>
      </w:r>
      <w:r>
        <w:rPr>
          <w:rFonts w:ascii="Arial Narrow" w:hAnsi="Arial Narrow"/>
          <w:b/>
          <w:i/>
          <w:iCs/>
          <w:lang w:val="fr-FR"/>
        </w:rPr>
        <w:t>Seize assistants techniques ont été recruté et déployés à Bangui et dans 14 préfectures (sur 1</w:t>
      </w:r>
      <w:r w:rsidR="003E64D1">
        <w:rPr>
          <w:rFonts w:ascii="Arial Narrow" w:hAnsi="Arial Narrow"/>
          <w:b/>
          <w:i/>
          <w:iCs/>
          <w:lang w:val="fr-FR"/>
        </w:rPr>
        <w:t>6</w:t>
      </w:r>
      <w:r>
        <w:rPr>
          <w:rFonts w:ascii="Arial Narrow" w:hAnsi="Arial Narrow"/>
          <w:b/>
          <w:i/>
          <w:iCs/>
          <w:lang w:val="fr-FR"/>
        </w:rPr>
        <w:t>). En étroite collaboration avec la MINUSCA, ces assistants facilitent l’organisation des rencontres des CMOP et CTS, font de la formation, du coaching et assurent la liaison avec le ST-CES. Avec l’éruption du Covid-19, ils interviennent aussi dans la prévention aux côtés de la MINUSCA et des humanitaires. Au total 31 mécanismes qui bénéficient de l’appui direct du projet.</w:t>
      </w:r>
    </w:p>
    <w:p w14:paraId="429F3159" w14:textId="4764115B" w:rsidR="006D335C" w:rsidRDefault="006D335C" w:rsidP="006D335C">
      <w:pPr>
        <w:ind w:left="-810"/>
        <w:jc w:val="both"/>
        <w:rPr>
          <w:rFonts w:ascii="Arial Narrow" w:hAnsi="Arial Narrow"/>
          <w:b/>
          <w:i/>
          <w:iCs/>
          <w:lang w:val="fr-FR"/>
        </w:rPr>
      </w:pPr>
      <w:r>
        <w:rPr>
          <w:rFonts w:ascii="Arial Narrow" w:hAnsi="Arial Narrow"/>
          <w:b/>
          <w:i/>
          <w:iCs/>
          <w:lang w:val="fr-FR"/>
        </w:rPr>
        <w:t xml:space="preserve">Sur le plan logistique le ST-CES a été équipé </w:t>
      </w:r>
      <w:r w:rsidRPr="00667C42">
        <w:rPr>
          <w:rFonts w:ascii="Arial Narrow" w:hAnsi="Arial Narrow"/>
          <w:b/>
          <w:i/>
          <w:iCs/>
          <w:lang w:val="fr-FR"/>
        </w:rPr>
        <w:t>(ordinateurs, laptops, imprimantes, scanners, vidéoprojecteur, disque durs externes, accessoires)</w:t>
      </w:r>
      <w:r>
        <w:rPr>
          <w:rFonts w:ascii="Arial Narrow" w:hAnsi="Arial Narrow"/>
          <w:b/>
          <w:i/>
          <w:iCs/>
          <w:lang w:val="fr-FR"/>
        </w:rPr>
        <w:t>. En préfecture, les interventions exécutées par l’OIM ont fait l’objet d’une réévaluation avec la MINUSCA pour mieux les aligner sur les priorités identifiées. Aussi, le projet s’est concentré sur la prise en charge des missions (de monitoring, de suivi et de médiations) par la mise à disposition et de carburant et/ou la location de moyens de déplacement, l’organisation des rencontres périodiques,  l’acquisition de fournitures, l’appui à la connectivité des experts, ou encore le paiement des frais de transport des membres des CMOP vivant loin des lieux de réunion.</w:t>
      </w:r>
    </w:p>
    <w:p w14:paraId="4B3190F2" w14:textId="541ACC81" w:rsidR="006D335C" w:rsidRDefault="006D335C" w:rsidP="006D335C">
      <w:pPr>
        <w:ind w:left="-810"/>
        <w:jc w:val="both"/>
        <w:rPr>
          <w:rFonts w:ascii="Arial Narrow" w:hAnsi="Arial Narrow"/>
          <w:b/>
          <w:i/>
          <w:iCs/>
          <w:lang w:val="fr-FR"/>
        </w:rPr>
      </w:pPr>
      <w:r>
        <w:rPr>
          <w:rFonts w:ascii="Arial Narrow" w:hAnsi="Arial Narrow"/>
          <w:b/>
          <w:i/>
          <w:iCs/>
          <w:lang w:val="fr-FR"/>
        </w:rPr>
        <w:t xml:space="preserve">Dans la continuité de l’appui à l’Initiative africaine, le projet soutient techniquement et financièrement le fonctionnement de la Cellule d’appui des garants, administrée par la Communauté économique des Etats d’Afrique Centrale (CEEAC). La Cellule, mise en place au lendemain de la signature de l’accord de paix et qui comprend l’Union africaine, la CEEAC et la Conférence internationale sur la région des Grands-Lacs (CIRGL) 1) a assuré la dissémination du contenu de l’APPR aux groupes armés, et dans leurs fiefs, 2) assure le monitoring de l’application de l’accord, et 3) initie des interventions de désescalade lorsque nécessaire. Au moins 10 missions de terrain ont été organisées par la Cellule, les résultats de ces missions communiquées à la MINUSCA, à l’UA, à la CIRGL et à la CEEAC, ainsi qu’au Comité exécutif de suivi pour information et/ou action. La Cellule a aussi contribué à la rédaction du régime de sanctions </w:t>
      </w:r>
      <w:r w:rsidR="00F26A1B">
        <w:rPr>
          <w:rFonts w:ascii="Arial Narrow" w:hAnsi="Arial Narrow"/>
          <w:b/>
          <w:i/>
          <w:iCs/>
          <w:lang w:val="fr-FR"/>
        </w:rPr>
        <w:t xml:space="preserve">de l’accord </w:t>
      </w:r>
      <w:r>
        <w:rPr>
          <w:rFonts w:ascii="Arial Narrow" w:hAnsi="Arial Narrow"/>
          <w:b/>
          <w:i/>
          <w:iCs/>
          <w:lang w:val="fr-FR"/>
        </w:rPr>
        <w:t xml:space="preserve">(Article 35 de l’APPR), au côté des partenaires internationaux et de la MINUSCA.  </w:t>
      </w:r>
    </w:p>
    <w:bookmarkEnd w:id="5"/>
    <w:p w14:paraId="40B96AE3" w14:textId="5D1FA583" w:rsidR="0041337F" w:rsidRPr="0023285C" w:rsidRDefault="0041337F" w:rsidP="00A0221F">
      <w:pPr>
        <w:ind w:left="-720"/>
        <w:jc w:val="both"/>
        <w:rPr>
          <w:rFonts w:ascii="Arial Narrow" w:hAnsi="Arial Narrow"/>
          <w:b/>
          <w:i/>
          <w:iCs/>
          <w:lang w:val="fr-FR"/>
        </w:rPr>
      </w:pPr>
    </w:p>
    <w:p w14:paraId="54BBBF6E" w14:textId="77777777" w:rsidR="00627A1C" w:rsidRPr="0023285C" w:rsidRDefault="00627A1C" w:rsidP="00627A1C">
      <w:pPr>
        <w:ind w:left="-720"/>
        <w:rPr>
          <w:rFonts w:ascii="Arial Narrow" w:hAnsi="Arial Narrow"/>
          <w:b/>
          <w:i/>
          <w:iCs/>
          <w:lang w:val="fr-FR"/>
        </w:rPr>
      </w:pPr>
    </w:p>
    <w:p w14:paraId="28A0293D" w14:textId="6C8F5D91" w:rsidR="00401DA6" w:rsidRPr="005D15A3" w:rsidRDefault="005D15A3" w:rsidP="00627A1C">
      <w:pPr>
        <w:ind w:left="-720"/>
        <w:rPr>
          <w:b/>
          <w:lang w:val="fr-FR"/>
        </w:rPr>
      </w:pPr>
      <w:r>
        <w:rPr>
          <w:b/>
          <w:bCs/>
          <w:color w:val="000000"/>
          <w:lang w:val="fr-FR" w:eastAsia="en-US"/>
        </w:rPr>
        <w:lastRenderedPageBreak/>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6E29529" w14:textId="7EEE16E0" w:rsidR="00401DA6" w:rsidRDefault="00401DA6" w:rsidP="00401DA6">
      <w:pPr>
        <w:ind w:left="-720"/>
        <w:jc w:val="both"/>
        <w:rPr>
          <w:rFonts w:ascii="Arial Narrow" w:hAnsi="Arial Narrow"/>
          <w:b/>
          <w:bCs/>
          <w:i/>
          <w:iCs/>
          <w:lang w:val="fr-FR"/>
        </w:rPr>
      </w:pPr>
      <w:bookmarkStart w:id="6" w:name="_Hlk43392012"/>
      <w:r>
        <w:rPr>
          <w:rFonts w:ascii="Arial Narrow" w:hAnsi="Arial Narrow"/>
          <w:b/>
          <w:bCs/>
          <w:i/>
          <w:iCs/>
          <w:lang w:val="fr-FR"/>
        </w:rPr>
        <w:t xml:space="preserve">En plus du plaidoyer ONU-Femme/MINUSCA/PNUD pour inclure 35% de femmes dans les délégations du gouvernement et des groupes armés au dialogue direct, 102 femmes leaders ont été déployées en région avec l’appui des Affaires civiles de la Mission pour collecter les </w:t>
      </w:r>
      <w:r w:rsidR="00D34041">
        <w:rPr>
          <w:rFonts w:ascii="Arial Narrow" w:hAnsi="Arial Narrow"/>
          <w:b/>
          <w:bCs/>
          <w:i/>
          <w:iCs/>
          <w:lang w:val="fr-FR"/>
        </w:rPr>
        <w:t>préoccupations</w:t>
      </w:r>
      <w:r>
        <w:rPr>
          <w:rFonts w:ascii="Arial Narrow" w:hAnsi="Arial Narrow"/>
          <w:b/>
          <w:bCs/>
          <w:i/>
          <w:iCs/>
          <w:lang w:val="fr-FR"/>
        </w:rPr>
        <w:t xml:space="preserve"> des femmes à </w:t>
      </w:r>
      <w:r w:rsidR="00D34041">
        <w:rPr>
          <w:rFonts w:ascii="Arial Narrow" w:hAnsi="Arial Narrow"/>
          <w:b/>
          <w:bCs/>
          <w:i/>
          <w:iCs/>
          <w:lang w:val="fr-FR"/>
        </w:rPr>
        <w:t>verser aux discussions</w:t>
      </w:r>
      <w:r>
        <w:rPr>
          <w:rFonts w:ascii="Arial Narrow" w:hAnsi="Arial Narrow"/>
          <w:b/>
          <w:bCs/>
          <w:i/>
          <w:iCs/>
          <w:lang w:val="fr-FR"/>
        </w:rPr>
        <w:t xml:space="preserve">. 8 fora ont réuni </w:t>
      </w:r>
      <w:r w:rsidRPr="005817E1">
        <w:rPr>
          <w:rFonts w:ascii="Arial Narrow" w:hAnsi="Arial Narrow"/>
          <w:b/>
          <w:bCs/>
          <w:i/>
          <w:iCs/>
          <w:lang w:val="fr-FR"/>
        </w:rPr>
        <w:t xml:space="preserve">679 </w:t>
      </w:r>
      <w:r>
        <w:rPr>
          <w:rFonts w:ascii="Arial Narrow" w:hAnsi="Arial Narrow"/>
          <w:b/>
          <w:bCs/>
          <w:i/>
          <w:iCs/>
          <w:lang w:val="fr-FR"/>
        </w:rPr>
        <w:t xml:space="preserve">personnes </w:t>
      </w:r>
      <w:r w:rsidR="00D34041">
        <w:rPr>
          <w:rFonts w:ascii="Arial Narrow" w:hAnsi="Arial Narrow"/>
          <w:b/>
          <w:bCs/>
          <w:i/>
          <w:iCs/>
          <w:lang w:val="fr-FR"/>
        </w:rPr>
        <w:t>(</w:t>
      </w:r>
      <w:r>
        <w:rPr>
          <w:rFonts w:ascii="Arial Narrow" w:hAnsi="Arial Narrow"/>
          <w:b/>
          <w:bCs/>
          <w:i/>
          <w:iCs/>
          <w:lang w:val="fr-FR"/>
        </w:rPr>
        <w:t xml:space="preserve">dont </w:t>
      </w:r>
      <w:r w:rsidRPr="005817E1">
        <w:rPr>
          <w:rFonts w:ascii="Arial Narrow" w:hAnsi="Arial Narrow"/>
          <w:b/>
          <w:bCs/>
          <w:i/>
          <w:iCs/>
          <w:lang w:val="fr-FR"/>
        </w:rPr>
        <w:t>489 femmes et jeunes filles</w:t>
      </w:r>
      <w:r w:rsidR="00D34041">
        <w:rPr>
          <w:rFonts w:ascii="Arial Narrow" w:hAnsi="Arial Narrow"/>
          <w:b/>
          <w:bCs/>
          <w:i/>
          <w:iCs/>
          <w:lang w:val="fr-FR"/>
        </w:rPr>
        <w:t>)</w:t>
      </w:r>
      <w:r>
        <w:rPr>
          <w:rFonts w:ascii="Arial Narrow" w:hAnsi="Arial Narrow"/>
          <w:b/>
          <w:bCs/>
          <w:i/>
          <w:iCs/>
          <w:lang w:val="fr-FR"/>
        </w:rPr>
        <w:t xml:space="preserve">. Le mémorandum issu de ces consultations a été transmis aux parties à la négociation et aux </w:t>
      </w:r>
      <w:proofErr w:type="spellStart"/>
      <w:r>
        <w:rPr>
          <w:rFonts w:ascii="Arial Narrow" w:hAnsi="Arial Narrow"/>
          <w:b/>
          <w:bCs/>
          <w:i/>
          <w:iCs/>
          <w:lang w:val="fr-FR"/>
        </w:rPr>
        <w:t>PTFs</w:t>
      </w:r>
      <w:proofErr w:type="spellEnd"/>
      <w:r>
        <w:rPr>
          <w:rFonts w:ascii="Arial Narrow" w:hAnsi="Arial Narrow"/>
          <w:b/>
          <w:bCs/>
          <w:i/>
          <w:iCs/>
          <w:lang w:val="fr-FR"/>
        </w:rPr>
        <w:t xml:space="preserve">. </w:t>
      </w:r>
    </w:p>
    <w:p w14:paraId="77E9478C" w14:textId="280BE8AA" w:rsidR="00161D02" w:rsidRDefault="00401DA6" w:rsidP="00401DA6">
      <w:pPr>
        <w:ind w:left="-720"/>
        <w:jc w:val="both"/>
        <w:rPr>
          <w:rFonts w:ascii="Arial Narrow" w:hAnsi="Arial Narrow"/>
          <w:b/>
          <w:i/>
          <w:iCs/>
          <w:lang w:val="fr-FR"/>
        </w:rPr>
      </w:pPr>
      <w:r>
        <w:rPr>
          <w:rFonts w:ascii="Arial Narrow" w:hAnsi="Arial Narrow"/>
          <w:b/>
          <w:i/>
          <w:iCs/>
          <w:lang w:val="fr-FR"/>
        </w:rPr>
        <w:t xml:space="preserve">Pour le </w:t>
      </w:r>
      <w:r w:rsidRPr="00605B90">
        <w:rPr>
          <w:rFonts w:ascii="Arial Narrow" w:hAnsi="Arial Narrow"/>
          <w:b/>
          <w:i/>
          <w:iCs/>
          <w:lang w:val="fr-FR"/>
        </w:rPr>
        <w:t>recrutement des assistants techniques</w:t>
      </w:r>
      <w:r w:rsidR="00BE0BB9">
        <w:rPr>
          <w:rFonts w:ascii="Arial Narrow" w:hAnsi="Arial Narrow"/>
          <w:b/>
          <w:i/>
          <w:iCs/>
          <w:lang w:val="fr-FR"/>
        </w:rPr>
        <w:t xml:space="preserve"> déployés auprès du ST-CES, des CMOP et CTS</w:t>
      </w:r>
      <w:r w:rsidRPr="00605B90">
        <w:rPr>
          <w:rFonts w:ascii="Arial Narrow" w:hAnsi="Arial Narrow"/>
          <w:b/>
          <w:i/>
          <w:iCs/>
          <w:lang w:val="fr-FR"/>
        </w:rPr>
        <w:t xml:space="preserve">, le projet s’est fixé pour objectif de recruter 35% de jeunes de moins de 35 ans et 35% de femmes. </w:t>
      </w:r>
      <w:r w:rsidR="00CA4D1E" w:rsidRPr="00605B90">
        <w:rPr>
          <w:rFonts w:ascii="Arial Narrow" w:hAnsi="Arial Narrow"/>
          <w:b/>
          <w:i/>
          <w:iCs/>
          <w:lang w:val="fr-FR"/>
        </w:rPr>
        <w:t xml:space="preserve">Aussi, 7 consultants sur 16 ont </w:t>
      </w:r>
      <w:r w:rsidR="0093741F" w:rsidRPr="00605B90">
        <w:rPr>
          <w:rFonts w:ascii="Arial Narrow" w:hAnsi="Arial Narrow"/>
          <w:b/>
          <w:i/>
          <w:iCs/>
          <w:lang w:val="fr-FR"/>
        </w:rPr>
        <w:t xml:space="preserve">35 ans et </w:t>
      </w:r>
      <w:r w:rsidR="00CA4D1E" w:rsidRPr="00605B90">
        <w:rPr>
          <w:rFonts w:ascii="Arial Narrow" w:hAnsi="Arial Narrow"/>
          <w:b/>
          <w:i/>
          <w:iCs/>
          <w:lang w:val="fr-FR"/>
        </w:rPr>
        <w:t xml:space="preserve">moins. En revanche, l’objectif de </w:t>
      </w:r>
      <w:r w:rsidR="0093741F" w:rsidRPr="00605B90">
        <w:rPr>
          <w:rFonts w:ascii="Arial Narrow" w:hAnsi="Arial Narrow"/>
          <w:b/>
          <w:i/>
          <w:iCs/>
          <w:lang w:val="fr-FR"/>
        </w:rPr>
        <w:t xml:space="preserve">6 </w:t>
      </w:r>
      <w:r w:rsidR="00CA4D1E" w:rsidRPr="00605B90">
        <w:rPr>
          <w:rFonts w:ascii="Arial Narrow" w:hAnsi="Arial Narrow"/>
          <w:b/>
          <w:i/>
          <w:iCs/>
          <w:lang w:val="fr-FR"/>
        </w:rPr>
        <w:t>poste</w:t>
      </w:r>
      <w:r w:rsidR="0093741F" w:rsidRPr="00605B90">
        <w:rPr>
          <w:rFonts w:ascii="Arial Narrow" w:hAnsi="Arial Narrow"/>
          <w:b/>
          <w:i/>
          <w:iCs/>
          <w:lang w:val="fr-FR"/>
        </w:rPr>
        <w:t>s</w:t>
      </w:r>
      <w:r w:rsidR="00CA4D1E" w:rsidRPr="00605B90">
        <w:rPr>
          <w:rFonts w:ascii="Arial Narrow" w:hAnsi="Arial Narrow"/>
          <w:b/>
          <w:i/>
          <w:iCs/>
          <w:lang w:val="fr-FR"/>
        </w:rPr>
        <w:t xml:space="preserve"> féminin</w:t>
      </w:r>
      <w:r w:rsidR="0093741F" w:rsidRPr="00605B90">
        <w:rPr>
          <w:rFonts w:ascii="Arial Narrow" w:hAnsi="Arial Narrow"/>
          <w:b/>
          <w:i/>
          <w:iCs/>
          <w:lang w:val="fr-FR"/>
        </w:rPr>
        <w:t>s</w:t>
      </w:r>
      <w:r w:rsidR="00CA4D1E" w:rsidRPr="00605B90">
        <w:rPr>
          <w:rFonts w:ascii="Arial Narrow" w:hAnsi="Arial Narrow"/>
          <w:b/>
          <w:i/>
          <w:iCs/>
          <w:lang w:val="fr-FR"/>
        </w:rPr>
        <w:t xml:space="preserve"> n’a pas été atteint</w:t>
      </w:r>
      <w:r w:rsidR="0093741F" w:rsidRPr="00605B90">
        <w:rPr>
          <w:rFonts w:ascii="Arial Narrow" w:hAnsi="Arial Narrow"/>
          <w:b/>
          <w:i/>
          <w:iCs/>
          <w:lang w:val="fr-FR"/>
        </w:rPr>
        <w:t>,</w:t>
      </w:r>
      <w:r w:rsidR="00CA4D1E" w:rsidRPr="00605B90">
        <w:rPr>
          <w:rFonts w:ascii="Arial Narrow" w:hAnsi="Arial Narrow"/>
          <w:b/>
          <w:i/>
          <w:iCs/>
          <w:lang w:val="fr-FR"/>
        </w:rPr>
        <w:t xml:space="preserve"> et ce en dépit de la republication des postes</w:t>
      </w:r>
      <w:r w:rsidR="0093741F" w:rsidRPr="00605B90">
        <w:rPr>
          <w:rFonts w:ascii="Arial Narrow" w:hAnsi="Arial Narrow"/>
          <w:b/>
          <w:i/>
          <w:iCs/>
          <w:lang w:val="fr-FR"/>
        </w:rPr>
        <w:t xml:space="preserve">. Seulement </w:t>
      </w:r>
      <w:r w:rsidR="00CA4D1E" w:rsidRPr="00605B90">
        <w:rPr>
          <w:rFonts w:ascii="Arial Narrow" w:hAnsi="Arial Narrow"/>
          <w:b/>
          <w:i/>
          <w:iCs/>
          <w:lang w:val="fr-FR"/>
        </w:rPr>
        <w:t>2 femmes ont été retenues,</w:t>
      </w:r>
      <w:r>
        <w:rPr>
          <w:rFonts w:ascii="Arial Narrow" w:hAnsi="Arial Narrow"/>
          <w:b/>
          <w:i/>
          <w:iCs/>
          <w:lang w:val="fr-FR"/>
        </w:rPr>
        <w:t xml:space="preserve"> </w:t>
      </w:r>
      <w:r w:rsidR="00BE0BB9">
        <w:rPr>
          <w:rFonts w:ascii="Arial Narrow" w:hAnsi="Arial Narrow"/>
          <w:b/>
          <w:i/>
          <w:iCs/>
          <w:lang w:val="fr-FR"/>
        </w:rPr>
        <w:t>les 8 autres candidates n’étant pas qualifiées pour le poste</w:t>
      </w:r>
      <w:r>
        <w:rPr>
          <w:rFonts w:ascii="Arial Narrow" w:hAnsi="Arial Narrow"/>
          <w:b/>
          <w:i/>
          <w:iCs/>
          <w:lang w:val="fr-FR"/>
        </w:rPr>
        <w:t xml:space="preserve">. </w:t>
      </w:r>
    </w:p>
    <w:p w14:paraId="5FD867A5" w14:textId="0C0D0D9F" w:rsidR="00401DA6" w:rsidRDefault="00401DA6" w:rsidP="00401DA6">
      <w:pPr>
        <w:ind w:left="-720"/>
        <w:jc w:val="both"/>
        <w:rPr>
          <w:rFonts w:ascii="Arial Narrow" w:hAnsi="Arial Narrow"/>
          <w:b/>
          <w:i/>
          <w:iCs/>
          <w:lang w:val="fr-FR"/>
        </w:rPr>
      </w:pPr>
    </w:p>
    <w:p w14:paraId="4B6AAB29" w14:textId="77777777" w:rsidR="00323ABC" w:rsidRPr="00605B90" w:rsidRDefault="00323ABC" w:rsidP="007E4FA1">
      <w:pPr>
        <w:rPr>
          <w:rFonts w:ascii="Arial Narrow" w:hAnsi="Arial Narrow"/>
          <w:b/>
          <w:i/>
          <w:iCs/>
          <w:lang w:val="fr-FR"/>
        </w:rPr>
      </w:pPr>
    </w:p>
    <w:bookmarkEnd w:id="6"/>
    <w:p w14:paraId="563533E9" w14:textId="4E579686"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667C42" w:rsidRPr="00335273">
        <w:rPr>
          <w:lang w:val="fr-FR"/>
        </w:rPr>
        <w:t>Les capacités nationales de médiation sont efficacement renforcées afin de promouvoir l’engagement national au processus de paix</w:t>
      </w:r>
    </w:p>
    <w:p w14:paraId="521560B0" w14:textId="77777777" w:rsidR="00675507" w:rsidRPr="00615EA3" w:rsidRDefault="00675507" w:rsidP="00675507">
      <w:pPr>
        <w:ind w:left="-720"/>
        <w:rPr>
          <w:b/>
          <w:lang w:val="fr-FR"/>
        </w:rPr>
      </w:pPr>
    </w:p>
    <w:p w14:paraId="192B211F" w14:textId="03A0C1A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6D4144">
        <w:rPr>
          <w:b/>
          <w:lang w:val="fr-FR"/>
        </w:rPr>
        <w:t xml:space="preserve">On </w:t>
      </w:r>
      <w:proofErr w:type="spellStart"/>
      <w:r w:rsidR="006D4144">
        <w:rPr>
          <w:b/>
          <w:lang w:val="fr-FR"/>
        </w:rPr>
        <w:t>track</w:t>
      </w:r>
      <w:proofErr w:type="spellEnd"/>
      <w:r w:rsidR="006D4144">
        <w:rPr>
          <w:b/>
          <w:lang w:val="fr-FR"/>
        </w:rPr>
        <w:t xml:space="preserve"> </w:t>
      </w:r>
    </w:p>
    <w:p w14:paraId="26A26C4B" w14:textId="77777777" w:rsidR="00675507" w:rsidRPr="005D15A3" w:rsidRDefault="00675507" w:rsidP="00675507">
      <w:pPr>
        <w:ind w:left="-720"/>
        <w:jc w:val="both"/>
        <w:rPr>
          <w:b/>
          <w:lang w:val="fr-FR"/>
        </w:rPr>
      </w:pPr>
    </w:p>
    <w:p w14:paraId="40213E68" w14:textId="6C2CA718" w:rsidR="00675507" w:rsidRPr="005D15A3" w:rsidRDefault="00435F36"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75507" w:rsidRPr="005D15A3">
        <w:rPr>
          <w:b/>
          <w:lang w:val="fr-FR"/>
        </w:rPr>
        <w:t xml:space="preserve">: </w:t>
      </w:r>
      <w:r w:rsidR="00675507">
        <w:rPr>
          <w:rFonts w:ascii="inherit" w:hAnsi="inherit"/>
          <w:color w:val="212121"/>
          <w:lang w:val="fr-FR"/>
        </w:rPr>
        <w:t>(Limite de 3000 caractères)</w:t>
      </w:r>
    </w:p>
    <w:p w14:paraId="5663E85B" w14:textId="7B29B950" w:rsidR="00675507" w:rsidRPr="009923C9" w:rsidRDefault="00667C42" w:rsidP="009923C9">
      <w:pPr>
        <w:ind w:left="-720"/>
        <w:jc w:val="both"/>
        <w:rPr>
          <w:rFonts w:ascii="Arial Narrow" w:hAnsi="Arial Narrow"/>
          <w:b/>
          <w:i/>
          <w:iCs/>
          <w:lang w:val="fr-FR"/>
        </w:rPr>
      </w:pPr>
      <w:r w:rsidRPr="00436A35">
        <w:rPr>
          <w:rFonts w:ascii="Arial Narrow" w:hAnsi="Arial Narrow"/>
          <w:b/>
          <w:i/>
          <w:iCs/>
          <w:lang w:val="fr-FR"/>
        </w:rPr>
        <w:t xml:space="preserve">Conformément aux </w:t>
      </w:r>
      <w:r w:rsidR="00436A35" w:rsidRPr="00436A35">
        <w:rPr>
          <w:rFonts w:ascii="Arial Narrow" w:hAnsi="Arial Narrow"/>
          <w:b/>
          <w:i/>
          <w:iCs/>
          <w:lang w:val="fr-FR"/>
        </w:rPr>
        <w:t>objectifs</w:t>
      </w:r>
      <w:r w:rsidRPr="00436A35">
        <w:rPr>
          <w:rFonts w:ascii="Arial Narrow" w:hAnsi="Arial Narrow"/>
          <w:b/>
          <w:i/>
          <w:iCs/>
          <w:lang w:val="fr-FR"/>
        </w:rPr>
        <w:t xml:space="preserve"> du projet, une communauté de pratique (</w:t>
      </w:r>
      <w:proofErr w:type="spellStart"/>
      <w:r w:rsidRPr="00436A35">
        <w:rPr>
          <w:rFonts w:ascii="Arial Narrow" w:hAnsi="Arial Narrow"/>
          <w:b/>
          <w:i/>
          <w:iCs/>
          <w:lang w:val="fr-FR"/>
        </w:rPr>
        <w:t>CoP</w:t>
      </w:r>
      <w:proofErr w:type="spellEnd"/>
      <w:r w:rsidRPr="00436A35">
        <w:rPr>
          <w:rFonts w:ascii="Arial Narrow" w:hAnsi="Arial Narrow"/>
          <w:b/>
          <w:i/>
          <w:iCs/>
          <w:lang w:val="fr-FR"/>
        </w:rPr>
        <w:t xml:space="preserve">) sur la médiation a été </w:t>
      </w:r>
      <w:r w:rsidRPr="009923C9">
        <w:rPr>
          <w:rFonts w:ascii="Arial Narrow" w:hAnsi="Arial Narrow"/>
          <w:b/>
          <w:i/>
          <w:iCs/>
          <w:lang w:val="fr-FR"/>
        </w:rPr>
        <w:t xml:space="preserve">mise en place et ancrée au Conseil National de Médiation </w:t>
      </w:r>
      <w:r w:rsidR="00436A35" w:rsidRPr="009923C9">
        <w:rPr>
          <w:rFonts w:ascii="Arial Narrow" w:hAnsi="Arial Narrow"/>
          <w:b/>
          <w:i/>
          <w:iCs/>
          <w:lang w:val="fr-FR"/>
        </w:rPr>
        <w:t>(CNM), institution constitutionnelle en charge d’assurer le lien entre les populations et les institutions de la République. En dépit des retard accusés dans la désignation des membres et l’élaboration de la stratégie d’</w:t>
      </w:r>
      <w:r w:rsidR="009B3D7E" w:rsidRPr="009923C9">
        <w:rPr>
          <w:rFonts w:ascii="Arial Narrow" w:hAnsi="Arial Narrow"/>
          <w:b/>
          <w:i/>
          <w:iCs/>
          <w:lang w:val="fr-FR"/>
        </w:rPr>
        <w:t>intervention</w:t>
      </w:r>
      <w:r w:rsidR="00436A35" w:rsidRPr="009923C9">
        <w:rPr>
          <w:rFonts w:ascii="Arial Narrow" w:hAnsi="Arial Narrow"/>
          <w:b/>
          <w:i/>
          <w:iCs/>
          <w:lang w:val="fr-FR"/>
        </w:rPr>
        <w:t xml:space="preserve">, la </w:t>
      </w:r>
      <w:proofErr w:type="spellStart"/>
      <w:r w:rsidR="00436A35" w:rsidRPr="009923C9">
        <w:rPr>
          <w:rFonts w:ascii="Arial Narrow" w:hAnsi="Arial Narrow"/>
          <w:b/>
          <w:i/>
          <w:iCs/>
          <w:lang w:val="fr-FR"/>
        </w:rPr>
        <w:t>CoP</w:t>
      </w:r>
      <w:proofErr w:type="spellEnd"/>
      <w:r w:rsidR="00436A35" w:rsidRPr="009923C9">
        <w:rPr>
          <w:rFonts w:ascii="Arial Narrow" w:hAnsi="Arial Narrow"/>
          <w:b/>
          <w:i/>
          <w:iCs/>
          <w:lang w:val="fr-FR"/>
        </w:rPr>
        <w:t xml:space="preserve"> est opérationnelle</w:t>
      </w:r>
      <w:r w:rsidR="009923C9" w:rsidRPr="009923C9">
        <w:rPr>
          <w:rFonts w:ascii="Arial Narrow" w:hAnsi="Arial Narrow"/>
          <w:b/>
          <w:i/>
          <w:iCs/>
          <w:lang w:val="fr-FR"/>
        </w:rPr>
        <w:t>. Elle est</w:t>
      </w:r>
      <w:r w:rsidR="00436A35" w:rsidRPr="009923C9">
        <w:rPr>
          <w:rFonts w:ascii="Arial Narrow" w:hAnsi="Arial Narrow"/>
          <w:b/>
          <w:i/>
          <w:iCs/>
          <w:lang w:val="fr-FR"/>
        </w:rPr>
        <w:t xml:space="preserve"> composée de 24 membres (dont 9 femmes), représentant les organisations de la société civile intervenant dans la résolution des conflits (y compris des organisations de femmes et de jeunes, les personnes vivant avec un handicap), des chercheurs (sociologues et anthropologues), les leaders religieux, les institutions telles que la Haute autorité pour la bonne gouvernance, le Conseil supérieur de la magistrature ou le Conseil économique et social.</w:t>
      </w:r>
    </w:p>
    <w:p w14:paraId="2E67F6CB" w14:textId="1159ABF2" w:rsidR="00217A62" w:rsidRPr="009923C9" w:rsidRDefault="009B3D7E" w:rsidP="009923C9">
      <w:pPr>
        <w:ind w:left="-720"/>
        <w:jc w:val="both"/>
        <w:rPr>
          <w:rFonts w:ascii="Arial Narrow" w:hAnsi="Arial Narrow"/>
          <w:b/>
          <w:i/>
          <w:iCs/>
          <w:lang w:val="fr-FR"/>
        </w:rPr>
      </w:pPr>
      <w:r w:rsidRPr="009923C9">
        <w:rPr>
          <w:rFonts w:ascii="Arial Narrow" w:hAnsi="Arial Narrow"/>
          <w:b/>
          <w:i/>
          <w:iCs/>
          <w:lang w:val="fr-FR"/>
        </w:rPr>
        <w:t>Sous le leadership du CNM</w:t>
      </w:r>
      <w:r w:rsidR="00217A62" w:rsidRPr="009923C9">
        <w:rPr>
          <w:rFonts w:ascii="Arial Narrow" w:hAnsi="Arial Narrow"/>
          <w:b/>
          <w:i/>
          <w:iCs/>
          <w:lang w:val="fr-FR"/>
        </w:rPr>
        <w:t>,</w:t>
      </w:r>
      <w:r w:rsidRPr="009923C9">
        <w:rPr>
          <w:rFonts w:ascii="Arial Narrow" w:hAnsi="Arial Narrow"/>
          <w:b/>
          <w:i/>
          <w:iCs/>
          <w:lang w:val="fr-FR"/>
        </w:rPr>
        <w:t xml:space="preserve"> et en étroite collaboration avec la Commission nationale des droits de l’Homme et des libertés fondamentales (CNDHLF), la </w:t>
      </w:r>
      <w:proofErr w:type="spellStart"/>
      <w:r w:rsidRPr="009923C9">
        <w:rPr>
          <w:rFonts w:ascii="Arial Narrow" w:hAnsi="Arial Narrow"/>
          <w:b/>
          <w:i/>
          <w:iCs/>
          <w:lang w:val="fr-FR"/>
        </w:rPr>
        <w:t>CoP</w:t>
      </w:r>
      <w:proofErr w:type="spellEnd"/>
      <w:r w:rsidRPr="009923C9">
        <w:rPr>
          <w:rFonts w:ascii="Arial Narrow" w:hAnsi="Arial Narrow"/>
          <w:b/>
          <w:i/>
          <w:iCs/>
          <w:lang w:val="fr-FR"/>
        </w:rPr>
        <w:t xml:space="preserve"> a initié </w:t>
      </w:r>
      <w:r w:rsidR="00217A62" w:rsidRPr="009923C9">
        <w:rPr>
          <w:rFonts w:ascii="Arial Narrow" w:hAnsi="Arial Narrow"/>
          <w:b/>
          <w:i/>
          <w:iCs/>
          <w:lang w:val="fr-FR"/>
        </w:rPr>
        <w:t xml:space="preserve">les travaux </w:t>
      </w:r>
      <w:r w:rsidRPr="009923C9">
        <w:rPr>
          <w:rFonts w:ascii="Arial Narrow" w:hAnsi="Arial Narrow"/>
          <w:b/>
          <w:i/>
          <w:iCs/>
          <w:lang w:val="fr-FR"/>
        </w:rPr>
        <w:t xml:space="preserve">visant 1) à favoriser l’échange des bonnes pratiques en matière de médiation et de facilitation du dialogue au niveau communautaire et intermédiaire, 2) à </w:t>
      </w:r>
      <w:r w:rsidR="00217A62" w:rsidRPr="009923C9">
        <w:rPr>
          <w:rFonts w:ascii="Arial Narrow" w:hAnsi="Arial Narrow"/>
          <w:b/>
          <w:i/>
          <w:iCs/>
          <w:lang w:val="fr-FR"/>
        </w:rPr>
        <w:t xml:space="preserve">produire les rapports sur le l’inclusivité, la laïcité, la citoyenneté et la protection des minorité prévus dans le cadre de l’APPR. </w:t>
      </w:r>
    </w:p>
    <w:p w14:paraId="16C29624" w14:textId="3693C08E" w:rsidR="007C4EA2" w:rsidRDefault="00217A62" w:rsidP="009923C9">
      <w:pPr>
        <w:ind w:left="-720"/>
        <w:jc w:val="both"/>
        <w:rPr>
          <w:rFonts w:ascii="Arial Narrow" w:hAnsi="Arial Narrow"/>
          <w:b/>
          <w:i/>
          <w:iCs/>
          <w:lang w:val="fr-FR"/>
        </w:rPr>
      </w:pPr>
      <w:r w:rsidRPr="009923C9">
        <w:rPr>
          <w:rFonts w:ascii="Arial Narrow" w:hAnsi="Arial Narrow"/>
          <w:b/>
          <w:i/>
          <w:iCs/>
          <w:lang w:val="fr-FR"/>
        </w:rPr>
        <w:t>Dans le cadre de cette dernière initiative, le groupe de travail a entamé les travaux en utilisant les techniques d’analyse des conflits. Outre les travaux de recherche</w:t>
      </w:r>
      <w:r w:rsidR="00D71FF9" w:rsidRPr="009923C9">
        <w:rPr>
          <w:rFonts w:ascii="Arial Narrow" w:hAnsi="Arial Narrow"/>
          <w:b/>
          <w:i/>
          <w:iCs/>
          <w:lang w:val="fr-FR"/>
        </w:rPr>
        <w:t xml:space="preserve"> documentaire</w:t>
      </w:r>
      <w:r w:rsidRPr="009923C9">
        <w:rPr>
          <w:rFonts w:ascii="Arial Narrow" w:hAnsi="Arial Narrow"/>
          <w:b/>
          <w:i/>
          <w:iCs/>
          <w:lang w:val="fr-FR"/>
        </w:rPr>
        <w:t xml:space="preserve">, la </w:t>
      </w:r>
      <w:proofErr w:type="spellStart"/>
      <w:r w:rsidRPr="009923C9">
        <w:rPr>
          <w:rFonts w:ascii="Arial Narrow" w:hAnsi="Arial Narrow"/>
          <w:b/>
          <w:i/>
          <w:iCs/>
          <w:lang w:val="fr-FR"/>
        </w:rPr>
        <w:t>CoP</w:t>
      </w:r>
      <w:proofErr w:type="spellEnd"/>
      <w:r w:rsidRPr="009923C9">
        <w:rPr>
          <w:rFonts w:ascii="Arial Narrow" w:hAnsi="Arial Narrow"/>
          <w:b/>
          <w:i/>
          <w:iCs/>
          <w:lang w:val="fr-FR"/>
        </w:rPr>
        <w:t xml:space="preserve"> </w:t>
      </w:r>
      <w:r w:rsidR="00D71FF9" w:rsidRPr="009923C9">
        <w:rPr>
          <w:rFonts w:ascii="Arial Narrow" w:hAnsi="Arial Narrow"/>
          <w:b/>
          <w:i/>
          <w:iCs/>
          <w:lang w:val="fr-FR"/>
        </w:rPr>
        <w:t>appuie ses travaux sur les missions d</w:t>
      </w:r>
      <w:r w:rsidR="007C4EA2">
        <w:rPr>
          <w:rFonts w:ascii="Arial Narrow" w:hAnsi="Arial Narrow"/>
          <w:b/>
          <w:i/>
          <w:iCs/>
          <w:lang w:val="fr-FR"/>
        </w:rPr>
        <w:t>’évaluation et de promotion du dialogue locale</w:t>
      </w:r>
      <w:r w:rsidR="00D71FF9" w:rsidRPr="009923C9">
        <w:rPr>
          <w:rFonts w:ascii="Arial Narrow" w:hAnsi="Arial Narrow"/>
          <w:b/>
          <w:i/>
          <w:iCs/>
          <w:lang w:val="fr-FR"/>
        </w:rPr>
        <w:t xml:space="preserve"> organisées</w:t>
      </w:r>
      <w:r w:rsidR="007C4EA2">
        <w:rPr>
          <w:rFonts w:ascii="Arial Narrow" w:hAnsi="Arial Narrow"/>
          <w:b/>
          <w:i/>
          <w:iCs/>
          <w:lang w:val="fr-FR"/>
        </w:rPr>
        <w:t xml:space="preserve"> avec le </w:t>
      </w:r>
      <w:r w:rsidR="00D71FF9" w:rsidRPr="009923C9">
        <w:rPr>
          <w:rFonts w:ascii="Arial Narrow" w:hAnsi="Arial Narrow"/>
          <w:b/>
          <w:i/>
          <w:iCs/>
          <w:lang w:val="fr-FR"/>
        </w:rPr>
        <w:t xml:space="preserve">CNM </w:t>
      </w:r>
      <w:r w:rsidR="007C4EA2">
        <w:rPr>
          <w:rFonts w:ascii="Arial Narrow" w:hAnsi="Arial Narrow"/>
          <w:b/>
          <w:i/>
          <w:iCs/>
          <w:lang w:val="fr-FR"/>
        </w:rPr>
        <w:t xml:space="preserve">(Mbaïki, </w:t>
      </w:r>
      <w:proofErr w:type="spellStart"/>
      <w:r w:rsidR="007C4EA2">
        <w:rPr>
          <w:rFonts w:ascii="Arial Narrow" w:hAnsi="Arial Narrow"/>
          <w:b/>
          <w:i/>
          <w:iCs/>
          <w:lang w:val="fr-FR"/>
        </w:rPr>
        <w:t>Boda</w:t>
      </w:r>
      <w:proofErr w:type="spellEnd"/>
      <w:r w:rsidR="007C4EA2">
        <w:rPr>
          <w:rFonts w:ascii="Arial Narrow" w:hAnsi="Arial Narrow"/>
          <w:b/>
          <w:i/>
          <w:iCs/>
          <w:lang w:val="fr-FR"/>
        </w:rPr>
        <w:t xml:space="preserve">, Bambari, Bouar, Nola, Bossangoa, Sibut, </w:t>
      </w:r>
      <w:proofErr w:type="spellStart"/>
      <w:r w:rsidR="007C4EA2">
        <w:rPr>
          <w:rFonts w:ascii="Arial Narrow" w:hAnsi="Arial Narrow"/>
          <w:b/>
          <w:i/>
          <w:iCs/>
          <w:lang w:val="fr-FR"/>
        </w:rPr>
        <w:t>Yaloke</w:t>
      </w:r>
      <w:proofErr w:type="spellEnd"/>
      <w:r w:rsidR="007C4EA2">
        <w:rPr>
          <w:rFonts w:ascii="Arial Narrow" w:hAnsi="Arial Narrow"/>
          <w:b/>
          <w:i/>
          <w:iCs/>
          <w:lang w:val="fr-FR"/>
        </w:rPr>
        <w:t xml:space="preserve">) pour 1) renforcer la cohésion sociale dans l’ouest et le centre du pays et analyser les dynamiques locales et proposer des solutions de règlement aux autorités </w:t>
      </w:r>
      <w:r w:rsidR="00D71FF9" w:rsidRPr="009923C9">
        <w:rPr>
          <w:rFonts w:ascii="Arial Narrow" w:hAnsi="Arial Narrow"/>
          <w:b/>
          <w:i/>
          <w:iCs/>
          <w:lang w:val="fr-FR"/>
        </w:rPr>
        <w:t>avec l’appui du projet pour collecter les préoccupations des populations en préparation du dialogue politique</w:t>
      </w:r>
      <w:r w:rsidR="00801839" w:rsidRPr="009923C9">
        <w:rPr>
          <w:rFonts w:ascii="Arial Narrow" w:hAnsi="Arial Narrow"/>
          <w:b/>
          <w:i/>
          <w:iCs/>
          <w:lang w:val="fr-FR"/>
        </w:rPr>
        <w:t xml:space="preserve">. </w:t>
      </w:r>
    </w:p>
    <w:p w14:paraId="4FF82DE1" w14:textId="73AEDF8A" w:rsidR="009B3D7E" w:rsidRPr="009923C9" w:rsidRDefault="00801839" w:rsidP="009923C9">
      <w:pPr>
        <w:ind w:left="-720"/>
        <w:jc w:val="both"/>
        <w:rPr>
          <w:rFonts w:ascii="Arial Narrow" w:hAnsi="Arial Narrow"/>
          <w:b/>
          <w:i/>
          <w:iCs/>
          <w:lang w:val="fr-FR"/>
        </w:rPr>
      </w:pPr>
      <w:r w:rsidRPr="009923C9">
        <w:rPr>
          <w:rFonts w:ascii="Arial Narrow" w:hAnsi="Arial Narrow"/>
          <w:b/>
          <w:i/>
          <w:iCs/>
          <w:lang w:val="fr-FR"/>
        </w:rPr>
        <w:t xml:space="preserve">Aussi, la </w:t>
      </w:r>
      <w:proofErr w:type="spellStart"/>
      <w:r w:rsidRPr="009923C9">
        <w:rPr>
          <w:rFonts w:ascii="Arial Narrow" w:hAnsi="Arial Narrow"/>
          <w:b/>
          <w:i/>
          <w:iCs/>
          <w:lang w:val="fr-FR"/>
        </w:rPr>
        <w:t>CoP</w:t>
      </w:r>
      <w:proofErr w:type="spellEnd"/>
      <w:r w:rsidRPr="009923C9">
        <w:rPr>
          <w:rFonts w:ascii="Arial Narrow" w:hAnsi="Arial Narrow"/>
          <w:b/>
          <w:i/>
          <w:iCs/>
          <w:lang w:val="fr-FR"/>
        </w:rPr>
        <w:t xml:space="preserve"> </w:t>
      </w:r>
      <w:r w:rsidR="00217A62" w:rsidRPr="009923C9">
        <w:rPr>
          <w:rFonts w:ascii="Arial Narrow" w:hAnsi="Arial Narrow"/>
          <w:b/>
          <w:i/>
          <w:iCs/>
          <w:lang w:val="fr-FR"/>
        </w:rPr>
        <w:t xml:space="preserve">procède par </w:t>
      </w:r>
      <w:r w:rsidRPr="009923C9">
        <w:rPr>
          <w:rFonts w:ascii="Arial Narrow" w:hAnsi="Arial Narrow"/>
          <w:b/>
          <w:i/>
          <w:iCs/>
          <w:lang w:val="fr-FR"/>
        </w:rPr>
        <w:t xml:space="preserve">des </w:t>
      </w:r>
      <w:r w:rsidR="00217A62" w:rsidRPr="009923C9">
        <w:rPr>
          <w:rFonts w:ascii="Arial Narrow" w:hAnsi="Arial Narrow"/>
          <w:b/>
          <w:i/>
          <w:iCs/>
          <w:lang w:val="fr-FR"/>
        </w:rPr>
        <w:t>consultations (restreintes, compte tenu de la pandémie du Covid-19) avec les groupes cibles identifiés par thématique. Pour la conduite de cette initiative, l</w:t>
      </w:r>
      <w:r w:rsidR="00D71FF9" w:rsidRPr="009923C9">
        <w:rPr>
          <w:rFonts w:ascii="Arial Narrow" w:hAnsi="Arial Narrow"/>
          <w:b/>
          <w:i/>
          <w:iCs/>
          <w:lang w:val="fr-FR"/>
        </w:rPr>
        <w:t xml:space="preserve">e projet a aussi associé la Division des droits de l’Homme (MINUSCA) et du Centre pour le dialogue humanitaire (CDH)  dont l’appui technique permettra de rehausser la qualité du travail accompli. </w:t>
      </w:r>
      <w:r w:rsidR="009923C9">
        <w:rPr>
          <w:rFonts w:ascii="Arial Narrow" w:hAnsi="Arial Narrow"/>
          <w:b/>
          <w:i/>
          <w:iCs/>
          <w:lang w:val="fr-FR"/>
        </w:rPr>
        <w:t xml:space="preserve">Les travaux de la </w:t>
      </w:r>
      <w:proofErr w:type="spellStart"/>
      <w:r w:rsidR="009923C9">
        <w:rPr>
          <w:rFonts w:ascii="Arial Narrow" w:hAnsi="Arial Narrow"/>
          <w:b/>
          <w:i/>
          <w:iCs/>
          <w:lang w:val="fr-FR"/>
        </w:rPr>
        <w:t>CoP</w:t>
      </w:r>
      <w:proofErr w:type="spellEnd"/>
      <w:r w:rsidR="009923C9">
        <w:rPr>
          <w:rFonts w:ascii="Arial Narrow" w:hAnsi="Arial Narrow"/>
          <w:b/>
          <w:i/>
          <w:iCs/>
          <w:lang w:val="fr-FR"/>
        </w:rPr>
        <w:t xml:space="preserve"> ayant été lancés avec l’approbation du chef de l’Etat, les résultats des </w:t>
      </w:r>
      <w:r w:rsidR="009923C9">
        <w:rPr>
          <w:rFonts w:ascii="Arial Narrow" w:hAnsi="Arial Narrow"/>
          <w:b/>
          <w:i/>
          <w:iCs/>
          <w:lang w:val="fr-FR"/>
        </w:rPr>
        <w:lastRenderedPageBreak/>
        <w:t xml:space="preserve">recherches lui seront remis lors d’une cérémonie officielle prévue pour se tenir en aout, selon une date à déterminer. </w:t>
      </w:r>
    </w:p>
    <w:p w14:paraId="6EF5EFDB" w14:textId="49BEFBF9" w:rsidR="00436A35" w:rsidRPr="009923C9" w:rsidRDefault="009923C9" w:rsidP="009923C9">
      <w:pPr>
        <w:ind w:left="-720"/>
        <w:jc w:val="both"/>
        <w:rPr>
          <w:rFonts w:ascii="Arial Narrow" w:hAnsi="Arial Narrow"/>
          <w:b/>
          <w:i/>
          <w:iCs/>
          <w:lang w:val="fr-FR"/>
        </w:rPr>
      </w:pPr>
      <w:r w:rsidRPr="009923C9">
        <w:rPr>
          <w:rFonts w:ascii="Arial Narrow" w:hAnsi="Arial Narrow"/>
          <w:b/>
          <w:i/>
          <w:iCs/>
          <w:lang w:val="fr-FR"/>
        </w:rPr>
        <w:t xml:space="preserve">La sortie du projet ne devrait pas freiner ses activités, une dynamique positive s’étant créée dès les premières rencontres entre les différents acteurs. La présence de chercheurs et d’enseignants parmi les membres de la </w:t>
      </w:r>
      <w:proofErr w:type="spellStart"/>
      <w:r w:rsidRPr="009923C9">
        <w:rPr>
          <w:rFonts w:ascii="Arial Narrow" w:hAnsi="Arial Narrow"/>
          <w:b/>
          <w:i/>
          <w:iCs/>
          <w:lang w:val="fr-FR"/>
        </w:rPr>
        <w:t>CoP</w:t>
      </w:r>
      <w:proofErr w:type="spellEnd"/>
      <w:r w:rsidRPr="009923C9">
        <w:rPr>
          <w:rFonts w:ascii="Arial Narrow" w:hAnsi="Arial Narrow"/>
          <w:b/>
          <w:i/>
          <w:iCs/>
          <w:lang w:val="fr-FR"/>
        </w:rPr>
        <w:t xml:space="preserve"> suscite un environnement propice aux échanges et à la réflexion, ce qui cadre parfaitement avec les objectifs espérés par le projet. </w:t>
      </w:r>
    </w:p>
    <w:p w14:paraId="51D5DD53" w14:textId="3043D27A" w:rsidR="00675507" w:rsidRPr="009923C9" w:rsidRDefault="00675507" w:rsidP="009923C9">
      <w:pPr>
        <w:ind w:left="-720"/>
        <w:jc w:val="both"/>
        <w:rPr>
          <w:rFonts w:ascii="Arial Narrow" w:hAnsi="Arial Narrow"/>
          <w:b/>
          <w:i/>
          <w:iCs/>
          <w:lang w:val="fr-FR"/>
        </w:rPr>
      </w:pPr>
    </w:p>
    <w:p w14:paraId="5A10F5C9" w14:textId="57B21954" w:rsidR="00667C42" w:rsidRDefault="00667C42" w:rsidP="00675507">
      <w:pPr>
        <w:ind w:left="-720"/>
        <w:rPr>
          <w:b/>
          <w:lang w:val="fr-FR"/>
        </w:rPr>
      </w:pPr>
    </w:p>
    <w:p w14:paraId="14989312" w14:textId="2552FB93"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DB57B98" w14:textId="77777777" w:rsidR="00010AEF" w:rsidRDefault="009A4E6E" w:rsidP="00D057A0">
      <w:pPr>
        <w:ind w:left="-720"/>
        <w:jc w:val="both"/>
        <w:rPr>
          <w:rFonts w:ascii="Arial Narrow" w:hAnsi="Arial Narrow"/>
          <w:b/>
          <w:i/>
          <w:iCs/>
          <w:lang w:val="fr-FR"/>
        </w:rPr>
      </w:pPr>
      <w:r w:rsidRPr="00D057A0">
        <w:rPr>
          <w:rFonts w:ascii="Arial Narrow" w:hAnsi="Arial Narrow"/>
          <w:b/>
          <w:i/>
          <w:iCs/>
          <w:lang w:val="fr-FR"/>
        </w:rPr>
        <w:t xml:space="preserve">La communauté de pratique compte 9 femmes. Outre les organisations de la société civile militant pour le leadership féminin, </w:t>
      </w:r>
      <w:r w:rsidR="00010AEF">
        <w:rPr>
          <w:rFonts w:ascii="Arial Narrow" w:hAnsi="Arial Narrow"/>
          <w:b/>
          <w:i/>
          <w:iCs/>
          <w:lang w:val="fr-FR"/>
        </w:rPr>
        <w:t xml:space="preserve">des femmes </w:t>
      </w:r>
      <w:r w:rsidRPr="00D057A0">
        <w:rPr>
          <w:rFonts w:ascii="Arial Narrow" w:hAnsi="Arial Narrow"/>
          <w:b/>
          <w:i/>
          <w:iCs/>
          <w:lang w:val="fr-FR"/>
        </w:rPr>
        <w:t>représent</w:t>
      </w:r>
      <w:r w:rsidR="00D057A0">
        <w:rPr>
          <w:rFonts w:ascii="Arial Narrow" w:hAnsi="Arial Narrow"/>
          <w:b/>
          <w:i/>
          <w:iCs/>
          <w:lang w:val="fr-FR"/>
        </w:rPr>
        <w:t>e</w:t>
      </w:r>
      <w:r w:rsidRPr="00D057A0">
        <w:rPr>
          <w:rFonts w:ascii="Arial Narrow" w:hAnsi="Arial Narrow"/>
          <w:b/>
          <w:i/>
          <w:iCs/>
          <w:lang w:val="fr-FR"/>
        </w:rPr>
        <w:t xml:space="preserve">nt </w:t>
      </w:r>
      <w:r w:rsidR="00D057A0">
        <w:rPr>
          <w:rFonts w:ascii="Arial Narrow" w:hAnsi="Arial Narrow"/>
          <w:b/>
          <w:i/>
          <w:iCs/>
          <w:lang w:val="fr-FR"/>
        </w:rPr>
        <w:t xml:space="preserve">– entre autres – </w:t>
      </w:r>
      <w:r w:rsidRPr="00D057A0">
        <w:rPr>
          <w:rFonts w:ascii="Arial Narrow" w:hAnsi="Arial Narrow"/>
          <w:b/>
          <w:i/>
          <w:iCs/>
          <w:lang w:val="fr-FR"/>
        </w:rPr>
        <w:t xml:space="preserve">le Conseil national de la magistrature, la </w:t>
      </w:r>
      <w:r w:rsidR="00D057A0">
        <w:rPr>
          <w:rFonts w:ascii="Arial Narrow" w:hAnsi="Arial Narrow"/>
          <w:b/>
          <w:i/>
          <w:iCs/>
          <w:lang w:val="fr-FR"/>
        </w:rPr>
        <w:t xml:space="preserve">CNDHLF et Le Conseil national de la jeunesse. Ces désignations ont été favorisées par le plaidoyer du CNM qui a su mettre en avant la nécessité d’avoir une assemblée </w:t>
      </w:r>
      <w:r w:rsidR="00010AEF">
        <w:rPr>
          <w:rFonts w:ascii="Arial Narrow" w:hAnsi="Arial Narrow"/>
          <w:b/>
          <w:i/>
          <w:iCs/>
          <w:lang w:val="fr-FR"/>
        </w:rPr>
        <w:t>laissant suffisamment d’espace pour la prise en compte des besoins spécifiques aux femmes dans chaque thématique. Aussi, les femmes ont été réparties dans les 4 sous-groupes thématiques, afin que leur vision et opinion puisse être considérées à toutes les étapes.</w:t>
      </w:r>
    </w:p>
    <w:p w14:paraId="3C4ECBD1" w14:textId="41115BC9" w:rsidR="00675507" w:rsidRPr="00D057A0" w:rsidRDefault="00010AEF" w:rsidP="00D057A0">
      <w:pPr>
        <w:ind w:left="-720"/>
        <w:jc w:val="both"/>
        <w:rPr>
          <w:rFonts w:ascii="Arial Narrow" w:hAnsi="Arial Narrow"/>
          <w:b/>
          <w:i/>
          <w:iCs/>
          <w:lang w:val="fr-FR"/>
        </w:rPr>
      </w:pPr>
      <w:r>
        <w:rPr>
          <w:rFonts w:ascii="Arial Narrow" w:hAnsi="Arial Narrow"/>
          <w:b/>
          <w:i/>
          <w:iCs/>
          <w:lang w:val="fr-FR"/>
        </w:rPr>
        <w:t>L</w:t>
      </w:r>
      <w:r w:rsidR="00D057A0">
        <w:rPr>
          <w:rFonts w:ascii="Arial Narrow" w:hAnsi="Arial Narrow"/>
          <w:b/>
          <w:i/>
          <w:iCs/>
          <w:lang w:val="fr-FR"/>
        </w:rPr>
        <w:t xml:space="preserve">a répartition par tranche </w:t>
      </w:r>
      <w:r w:rsidR="00927817">
        <w:rPr>
          <w:rFonts w:ascii="Arial Narrow" w:hAnsi="Arial Narrow"/>
          <w:b/>
          <w:i/>
          <w:iCs/>
          <w:lang w:val="fr-FR"/>
        </w:rPr>
        <w:t>d’âge</w:t>
      </w:r>
      <w:r w:rsidR="00D057A0">
        <w:rPr>
          <w:rFonts w:ascii="Arial Narrow" w:hAnsi="Arial Narrow"/>
          <w:b/>
          <w:i/>
          <w:iCs/>
          <w:lang w:val="fr-FR"/>
        </w:rPr>
        <w:t xml:space="preserve"> </w:t>
      </w:r>
      <w:r w:rsidR="00927817">
        <w:rPr>
          <w:rFonts w:ascii="Arial Narrow" w:hAnsi="Arial Narrow"/>
          <w:b/>
          <w:i/>
          <w:iCs/>
          <w:lang w:val="fr-FR"/>
        </w:rPr>
        <w:t xml:space="preserve">est </w:t>
      </w:r>
      <w:r>
        <w:rPr>
          <w:rFonts w:ascii="Arial Narrow" w:hAnsi="Arial Narrow"/>
          <w:b/>
          <w:i/>
          <w:iCs/>
          <w:lang w:val="fr-FR"/>
        </w:rPr>
        <w:t xml:space="preserve">de la </w:t>
      </w:r>
      <w:proofErr w:type="spellStart"/>
      <w:r>
        <w:rPr>
          <w:rFonts w:ascii="Arial Narrow" w:hAnsi="Arial Narrow"/>
          <w:b/>
          <w:i/>
          <w:iCs/>
          <w:lang w:val="fr-FR"/>
        </w:rPr>
        <w:t>CoP</w:t>
      </w:r>
      <w:proofErr w:type="spellEnd"/>
      <w:r>
        <w:rPr>
          <w:rFonts w:ascii="Arial Narrow" w:hAnsi="Arial Narrow"/>
          <w:b/>
          <w:i/>
          <w:iCs/>
          <w:lang w:val="fr-FR"/>
        </w:rPr>
        <w:t xml:space="preserve"> est la suivante </w:t>
      </w:r>
      <w:r w:rsidR="00D057A0">
        <w:rPr>
          <w:rFonts w:ascii="Arial Narrow" w:hAnsi="Arial Narrow"/>
          <w:b/>
          <w:i/>
          <w:iCs/>
          <w:lang w:val="fr-FR"/>
        </w:rPr>
        <w:t xml:space="preserve">: 7 membres </w:t>
      </w:r>
      <w:r>
        <w:rPr>
          <w:rFonts w:ascii="Arial Narrow" w:hAnsi="Arial Narrow"/>
          <w:b/>
          <w:i/>
          <w:iCs/>
          <w:lang w:val="fr-FR"/>
        </w:rPr>
        <w:t>de moins de 35 ans</w:t>
      </w:r>
      <w:r w:rsidR="00D057A0">
        <w:rPr>
          <w:rFonts w:ascii="Arial Narrow" w:hAnsi="Arial Narrow"/>
          <w:b/>
          <w:i/>
          <w:iCs/>
          <w:lang w:val="fr-FR"/>
        </w:rPr>
        <w:t xml:space="preserve">, </w:t>
      </w:r>
      <w:r w:rsidR="00927817">
        <w:rPr>
          <w:rFonts w:ascii="Arial Narrow" w:hAnsi="Arial Narrow"/>
          <w:b/>
          <w:i/>
          <w:iCs/>
          <w:lang w:val="fr-FR"/>
        </w:rPr>
        <w:t xml:space="preserve">9 </w:t>
      </w:r>
      <w:r w:rsidR="00D057A0">
        <w:rPr>
          <w:rFonts w:ascii="Arial Narrow" w:hAnsi="Arial Narrow"/>
          <w:b/>
          <w:i/>
          <w:iCs/>
          <w:lang w:val="fr-FR"/>
        </w:rPr>
        <w:t xml:space="preserve">membres </w:t>
      </w:r>
      <w:r w:rsidR="00927817">
        <w:rPr>
          <w:rFonts w:ascii="Arial Narrow" w:hAnsi="Arial Narrow"/>
          <w:b/>
          <w:i/>
          <w:iCs/>
          <w:lang w:val="fr-FR"/>
        </w:rPr>
        <w:t xml:space="preserve">appartiennent à la tranche </w:t>
      </w:r>
      <w:r w:rsidR="00D057A0">
        <w:rPr>
          <w:rFonts w:ascii="Arial Narrow" w:hAnsi="Arial Narrow"/>
          <w:b/>
          <w:i/>
          <w:iCs/>
          <w:lang w:val="fr-FR"/>
        </w:rPr>
        <w:t>35</w:t>
      </w:r>
      <w:r w:rsidR="00927817">
        <w:rPr>
          <w:rFonts w:ascii="Arial Narrow" w:hAnsi="Arial Narrow"/>
          <w:b/>
          <w:i/>
          <w:iCs/>
          <w:lang w:val="fr-FR"/>
        </w:rPr>
        <w:t>-</w:t>
      </w:r>
      <w:r w:rsidR="00D057A0">
        <w:rPr>
          <w:rFonts w:ascii="Arial Narrow" w:hAnsi="Arial Narrow"/>
          <w:b/>
          <w:i/>
          <w:iCs/>
          <w:lang w:val="fr-FR"/>
        </w:rPr>
        <w:t xml:space="preserve">45 ans, </w:t>
      </w:r>
      <w:r w:rsidR="00927817">
        <w:rPr>
          <w:rFonts w:ascii="Arial Narrow" w:hAnsi="Arial Narrow"/>
          <w:b/>
          <w:i/>
          <w:iCs/>
          <w:lang w:val="fr-FR"/>
        </w:rPr>
        <w:t xml:space="preserve">3 membres ont entre 45 et 55 ans et 5 membres sont âgés de plus de 55 ans. </w:t>
      </w:r>
    </w:p>
    <w:p w14:paraId="35EDE632" w14:textId="77777777" w:rsidR="00627A1C" w:rsidRPr="009A4E6E" w:rsidRDefault="00627A1C" w:rsidP="00627A1C">
      <w:pPr>
        <w:ind w:left="-720"/>
        <w:rPr>
          <w:b/>
          <w:lang w:val="fr-FR"/>
        </w:rPr>
      </w:pPr>
    </w:p>
    <w:p w14:paraId="02A4DAC5" w14:textId="0EB07CA5"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4F117B" w:rsidRPr="00905F04">
        <w:rPr>
          <w:lang w:val="fr-FR"/>
        </w:rPr>
        <w:t>La politique de communication du gouvernement centrafricain sur la médiation et le dialogue est établie et mise en œuvre pour favoriser un meilleur niveau d’information des populations et partenaires sur le processus de paix</w:t>
      </w:r>
    </w:p>
    <w:p w14:paraId="09695970" w14:textId="77777777" w:rsidR="00675507" w:rsidRPr="00615EA3" w:rsidRDefault="00675507" w:rsidP="00675507">
      <w:pPr>
        <w:ind w:left="-720"/>
        <w:rPr>
          <w:b/>
          <w:lang w:val="fr-FR"/>
        </w:rPr>
      </w:pPr>
    </w:p>
    <w:p w14:paraId="2998D510" w14:textId="4931ADEF" w:rsidR="00675507" w:rsidRPr="00EC4A1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EC4A13" w:rsidRPr="00A130CA">
        <w:rPr>
          <w:rFonts w:ascii="Arial Narrow" w:hAnsi="Arial Narrow"/>
          <w:b/>
          <w:sz w:val="22"/>
          <w:szCs w:val="22"/>
          <w:lang w:val="fr-FR"/>
        </w:rPr>
        <w:t>O</w:t>
      </w:r>
      <w:r w:rsidR="00EC4A13">
        <w:rPr>
          <w:rFonts w:ascii="Arial Narrow" w:hAnsi="Arial Narrow"/>
          <w:b/>
          <w:sz w:val="22"/>
          <w:szCs w:val="22"/>
          <w:lang w:val="fr-FR"/>
        </w:rPr>
        <w:t xml:space="preserve">n </w:t>
      </w:r>
      <w:proofErr w:type="spellStart"/>
      <w:r w:rsidR="00EC4A13">
        <w:rPr>
          <w:rFonts w:ascii="Arial Narrow" w:hAnsi="Arial Narrow"/>
          <w:b/>
          <w:sz w:val="22"/>
          <w:szCs w:val="22"/>
          <w:lang w:val="fr-FR"/>
        </w:rPr>
        <w:t>track</w:t>
      </w:r>
      <w:proofErr w:type="spellEnd"/>
    </w:p>
    <w:p w14:paraId="5F01F7E7" w14:textId="7E483E3E" w:rsidR="004C6424" w:rsidRDefault="004C6424" w:rsidP="004C6424">
      <w:pPr>
        <w:jc w:val="both"/>
        <w:rPr>
          <w:b/>
          <w:lang w:val="fr-FR"/>
        </w:rPr>
      </w:pPr>
    </w:p>
    <w:p w14:paraId="53EA3D80" w14:textId="77777777" w:rsidR="00E72C4F" w:rsidRPr="005D15A3" w:rsidRDefault="00E72C4F" w:rsidP="00E72C4F">
      <w:pPr>
        <w:ind w:left="-720"/>
        <w:jc w:val="both"/>
        <w:rPr>
          <w:i/>
          <w:lang w:val="fr-FR"/>
        </w:rPr>
      </w:pPr>
      <w:r w:rsidRPr="005D15A3">
        <w:rPr>
          <w:b/>
          <w:lang w:val="fr-FR"/>
        </w:rPr>
        <w:t xml:space="preserve">Résumé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D7B2F66" w14:textId="003E8036" w:rsidR="004C6424" w:rsidRPr="000776E6" w:rsidRDefault="004C6424" w:rsidP="004C6424">
      <w:pPr>
        <w:ind w:left="-720"/>
        <w:jc w:val="both"/>
        <w:rPr>
          <w:rFonts w:ascii="Arial Narrow" w:hAnsi="Arial Narrow"/>
          <w:b/>
          <w:bCs/>
          <w:i/>
          <w:iCs/>
          <w:lang w:val="fr-FR"/>
        </w:rPr>
      </w:pPr>
      <w:r w:rsidRPr="000776E6">
        <w:rPr>
          <w:rFonts w:ascii="Arial Narrow" w:hAnsi="Arial Narrow"/>
          <w:b/>
          <w:bCs/>
          <w:i/>
          <w:iCs/>
          <w:lang w:val="fr-FR"/>
        </w:rPr>
        <w:t xml:space="preserve">Le lancement du projet Communication et sensibilisation pour la cohésion sociale (UNFPA, ONU-Femmes, SFCG) a permis de renforcer la communication sur le processus de paix et la mise en œuvre de l’APPR en RCA, en bâtissant et mettant à l’échelle les interventions du présent projet. </w:t>
      </w:r>
    </w:p>
    <w:p w14:paraId="5BEE3EDA" w14:textId="3070D77E" w:rsidR="004C6424" w:rsidRPr="000776E6" w:rsidRDefault="004C6424" w:rsidP="004C6424">
      <w:pPr>
        <w:ind w:left="-720"/>
        <w:rPr>
          <w:rFonts w:ascii="Arial Narrow" w:hAnsi="Arial Narrow"/>
          <w:b/>
          <w:bCs/>
          <w:i/>
          <w:iCs/>
          <w:lang w:val="fr-FR"/>
        </w:rPr>
      </w:pPr>
      <w:r w:rsidRPr="000776E6">
        <w:rPr>
          <w:rFonts w:ascii="Arial Narrow" w:hAnsi="Arial Narrow"/>
          <w:b/>
          <w:bCs/>
          <w:i/>
          <w:iCs/>
          <w:lang w:val="fr-FR"/>
        </w:rPr>
        <w:t xml:space="preserve">Dans le cadre de la mise en œuvre du projet, des interventions ont été menées au niveau stratégique, en </w:t>
      </w:r>
      <w:r w:rsidR="008F5ECA">
        <w:rPr>
          <w:rFonts w:ascii="Arial Narrow" w:hAnsi="Arial Narrow"/>
          <w:b/>
          <w:bCs/>
          <w:i/>
          <w:iCs/>
          <w:lang w:val="fr-FR"/>
        </w:rPr>
        <w:t xml:space="preserve">particulier par l’appui au </w:t>
      </w:r>
      <w:r w:rsidRPr="000776E6">
        <w:rPr>
          <w:rFonts w:ascii="Arial Narrow" w:hAnsi="Arial Narrow"/>
          <w:b/>
          <w:bCs/>
          <w:i/>
          <w:iCs/>
          <w:lang w:val="fr-FR"/>
        </w:rPr>
        <w:t>Ministère de la Communication et des Médias dans l’élaboration de la stratégie de communication sur l’APPR</w:t>
      </w:r>
      <w:r w:rsidR="008F5ECA">
        <w:rPr>
          <w:rFonts w:ascii="Arial Narrow" w:hAnsi="Arial Narrow"/>
          <w:b/>
          <w:bCs/>
          <w:i/>
          <w:iCs/>
          <w:lang w:val="fr-FR"/>
        </w:rPr>
        <w:t xml:space="preserve"> – et ce</w:t>
      </w:r>
      <w:r w:rsidRPr="000776E6">
        <w:rPr>
          <w:rFonts w:ascii="Arial Narrow" w:hAnsi="Arial Narrow"/>
          <w:b/>
          <w:bCs/>
          <w:i/>
          <w:iCs/>
          <w:lang w:val="fr-FR"/>
        </w:rPr>
        <w:t xml:space="preserve"> en étroite collaboration avec la MINUSCA</w:t>
      </w:r>
      <w:r w:rsidR="008F5ECA">
        <w:rPr>
          <w:rFonts w:ascii="Arial Narrow" w:hAnsi="Arial Narrow"/>
          <w:b/>
          <w:bCs/>
          <w:i/>
          <w:iCs/>
          <w:lang w:val="fr-FR"/>
        </w:rPr>
        <w:t xml:space="preserve"> – </w:t>
      </w:r>
      <w:r w:rsidRPr="000776E6">
        <w:rPr>
          <w:rFonts w:ascii="Arial Narrow" w:hAnsi="Arial Narrow"/>
          <w:b/>
          <w:bCs/>
          <w:i/>
          <w:iCs/>
          <w:lang w:val="fr-FR"/>
        </w:rPr>
        <w:t xml:space="preserve">et </w:t>
      </w:r>
      <w:r w:rsidR="008F5ECA">
        <w:rPr>
          <w:rFonts w:ascii="Arial Narrow" w:hAnsi="Arial Narrow"/>
          <w:b/>
          <w:bCs/>
          <w:i/>
          <w:iCs/>
          <w:lang w:val="fr-FR"/>
        </w:rPr>
        <w:t>par le soutien à</w:t>
      </w:r>
      <w:r w:rsidRPr="000776E6">
        <w:rPr>
          <w:rFonts w:ascii="Arial Narrow" w:hAnsi="Arial Narrow"/>
          <w:b/>
          <w:bCs/>
          <w:i/>
          <w:iCs/>
          <w:lang w:val="fr-FR"/>
        </w:rPr>
        <w:t xml:space="preserve"> la mise en œuvre de la</w:t>
      </w:r>
      <w:r w:rsidR="00EA79C6" w:rsidRPr="000776E6">
        <w:rPr>
          <w:rFonts w:ascii="Arial Narrow" w:hAnsi="Arial Narrow"/>
          <w:b/>
          <w:bCs/>
          <w:i/>
          <w:iCs/>
          <w:lang w:val="fr-FR"/>
        </w:rPr>
        <w:t>dite</w:t>
      </w:r>
      <w:r w:rsidRPr="000776E6">
        <w:rPr>
          <w:rFonts w:ascii="Arial Narrow" w:hAnsi="Arial Narrow"/>
          <w:b/>
          <w:bCs/>
          <w:i/>
          <w:iCs/>
          <w:lang w:val="fr-FR"/>
        </w:rPr>
        <w:t xml:space="preserve"> stratégie</w:t>
      </w:r>
      <w:r w:rsidR="008F5ECA">
        <w:rPr>
          <w:rFonts w:ascii="Arial Narrow" w:hAnsi="Arial Narrow"/>
          <w:b/>
          <w:bCs/>
          <w:i/>
          <w:iCs/>
          <w:lang w:val="fr-FR"/>
        </w:rPr>
        <w:t xml:space="preserve">, avec pour cible principale </w:t>
      </w:r>
      <w:r w:rsidRPr="000776E6">
        <w:rPr>
          <w:rFonts w:ascii="Arial Narrow" w:hAnsi="Arial Narrow"/>
          <w:b/>
          <w:bCs/>
          <w:i/>
          <w:iCs/>
          <w:lang w:val="fr-FR"/>
        </w:rPr>
        <w:t>les médias, les femmes et les organisations de la société civile de l’ouest du pays.</w:t>
      </w:r>
    </w:p>
    <w:p w14:paraId="193F8D16" w14:textId="2126221C" w:rsidR="00EA79C6" w:rsidRPr="000776E6" w:rsidRDefault="00EA79C6" w:rsidP="00EA79C6">
      <w:pPr>
        <w:pStyle w:val="Paragraphedeliste"/>
        <w:numPr>
          <w:ilvl w:val="0"/>
          <w:numId w:val="44"/>
        </w:numPr>
        <w:jc w:val="both"/>
        <w:rPr>
          <w:rFonts w:ascii="Arial Narrow" w:hAnsi="Arial Narrow"/>
          <w:b/>
          <w:bCs/>
          <w:i/>
          <w:iCs/>
          <w:lang w:val="fr-FR"/>
        </w:rPr>
      </w:pPr>
      <w:r w:rsidRPr="000776E6">
        <w:rPr>
          <w:rFonts w:ascii="Arial Narrow" w:hAnsi="Arial Narrow"/>
          <w:b/>
          <w:bCs/>
          <w:i/>
          <w:iCs/>
          <w:lang w:val="fr-FR"/>
        </w:rPr>
        <w:t xml:space="preserve">Ainsi, des séances de vulgarisation de l’accord ont été organisées à l’intention des leaders locaux et traditionnels, des associations de base et des leaders de jeunesse dans les 8 arrondissements de Bangui, Bimbo, </w:t>
      </w:r>
      <w:proofErr w:type="spellStart"/>
      <w:r w:rsidRPr="000776E6">
        <w:rPr>
          <w:rFonts w:ascii="Arial Narrow" w:hAnsi="Arial Narrow"/>
          <w:b/>
          <w:bCs/>
          <w:i/>
          <w:iCs/>
          <w:lang w:val="fr-FR"/>
        </w:rPr>
        <w:t>Bégoua</w:t>
      </w:r>
      <w:proofErr w:type="spellEnd"/>
      <w:r w:rsidRPr="000776E6">
        <w:rPr>
          <w:rFonts w:ascii="Arial Narrow" w:hAnsi="Arial Narrow"/>
          <w:b/>
          <w:bCs/>
          <w:i/>
          <w:iCs/>
          <w:lang w:val="fr-FR"/>
        </w:rPr>
        <w:t>, Mbaïki (</w:t>
      </w:r>
      <w:proofErr w:type="spellStart"/>
      <w:r w:rsidRPr="000776E6">
        <w:rPr>
          <w:rFonts w:ascii="Arial Narrow" w:hAnsi="Arial Narrow"/>
          <w:b/>
          <w:bCs/>
          <w:i/>
          <w:iCs/>
          <w:lang w:val="fr-FR"/>
        </w:rPr>
        <w:t>Ombella-Mpoko</w:t>
      </w:r>
      <w:proofErr w:type="spellEnd"/>
      <w:r w:rsidRPr="000776E6">
        <w:rPr>
          <w:rFonts w:ascii="Arial Narrow" w:hAnsi="Arial Narrow"/>
          <w:b/>
          <w:bCs/>
          <w:i/>
          <w:iCs/>
          <w:lang w:val="fr-FR"/>
        </w:rPr>
        <w:t xml:space="preserve">), </w:t>
      </w:r>
      <w:proofErr w:type="spellStart"/>
      <w:r w:rsidRPr="000776E6">
        <w:rPr>
          <w:rFonts w:ascii="Arial Narrow" w:hAnsi="Arial Narrow"/>
          <w:b/>
          <w:bCs/>
          <w:i/>
          <w:iCs/>
          <w:lang w:val="fr-FR"/>
        </w:rPr>
        <w:t>Boda</w:t>
      </w:r>
      <w:proofErr w:type="spellEnd"/>
      <w:r w:rsidRPr="000776E6">
        <w:rPr>
          <w:rFonts w:ascii="Arial Narrow" w:hAnsi="Arial Narrow"/>
          <w:b/>
          <w:bCs/>
          <w:i/>
          <w:iCs/>
          <w:lang w:val="fr-FR"/>
        </w:rPr>
        <w:t xml:space="preserve"> (</w:t>
      </w:r>
      <w:proofErr w:type="spellStart"/>
      <w:r w:rsidRPr="000776E6">
        <w:rPr>
          <w:rFonts w:ascii="Arial Narrow" w:hAnsi="Arial Narrow"/>
          <w:b/>
          <w:bCs/>
          <w:i/>
          <w:iCs/>
          <w:lang w:val="fr-FR"/>
        </w:rPr>
        <w:t>Lobaye</w:t>
      </w:r>
      <w:proofErr w:type="spellEnd"/>
      <w:r w:rsidRPr="000776E6">
        <w:rPr>
          <w:rFonts w:ascii="Arial Narrow" w:hAnsi="Arial Narrow"/>
          <w:b/>
          <w:bCs/>
          <w:i/>
          <w:iCs/>
          <w:lang w:val="fr-FR"/>
        </w:rPr>
        <w:t>), Carnot (</w:t>
      </w:r>
      <w:proofErr w:type="spellStart"/>
      <w:r w:rsidRPr="000776E6">
        <w:rPr>
          <w:rFonts w:ascii="Arial Narrow" w:hAnsi="Arial Narrow"/>
          <w:b/>
          <w:bCs/>
          <w:i/>
          <w:iCs/>
          <w:lang w:val="fr-FR"/>
        </w:rPr>
        <w:t>Mambéré-Kadéi</w:t>
      </w:r>
      <w:proofErr w:type="spellEnd"/>
      <w:r w:rsidRPr="000776E6">
        <w:rPr>
          <w:rFonts w:ascii="Arial Narrow" w:hAnsi="Arial Narrow"/>
          <w:b/>
          <w:bCs/>
          <w:i/>
          <w:iCs/>
          <w:lang w:val="fr-FR"/>
        </w:rPr>
        <w:t xml:space="preserve">), Bambari (Ouaka), Bria (Haute-Kotto) et </w:t>
      </w:r>
      <w:proofErr w:type="spellStart"/>
      <w:r w:rsidRPr="000776E6">
        <w:rPr>
          <w:rFonts w:ascii="Arial Narrow" w:hAnsi="Arial Narrow"/>
          <w:b/>
          <w:bCs/>
          <w:i/>
          <w:iCs/>
          <w:lang w:val="fr-FR"/>
        </w:rPr>
        <w:t>Kaga</w:t>
      </w:r>
      <w:proofErr w:type="spellEnd"/>
      <w:r w:rsidRPr="000776E6">
        <w:rPr>
          <w:rFonts w:ascii="Arial Narrow" w:hAnsi="Arial Narrow"/>
          <w:b/>
          <w:bCs/>
          <w:i/>
          <w:iCs/>
          <w:lang w:val="fr-FR"/>
        </w:rPr>
        <w:t xml:space="preserve"> </w:t>
      </w:r>
      <w:proofErr w:type="spellStart"/>
      <w:r w:rsidRPr="000776E6">
        <w:rPr>
          <w:rFonts w:ascii="Arial Narrow" w:hAnsi="Arial Narrow"/>
          <w:b/>
          <w:bCs/>
          <w:i/>
          <w:iCs/>
          <w:lang w:val="fr-FR"/>
        </w:rPr>
        <w:t>Bandoro</w:t>
      </w:r>
      <w:proofErr w:type="spellEnd"/>
      <w:r w:rsidRPr="000776E6">
        <w:rPr>
          <w:rFonts w:ascii="Arial Narrow" w:hAnsi="Arial Narrow"/>
          <w:b/>
          <w:bCs/>
          <w:i/>
          <w:iCs/>
          <w:lang w:val="fr-FR"/>
        </w:rPr>
        <w:t xml:space="preserve"> (Nana-</w:t>
      </w:r>
      <w:proofErr w:type="spellStart"/>
      <w:r w:rsidRPr="000776E6">
        <w:rPr>
          <w:rFonts w:ascii="Arial Narrow" w:hAnsi="Arial Narrow"/>
          <w:b/>
          <w:bCs/>
          <w:i/>
          <w:iCs/>
          <w:lang w:val="fr-FR"/>
        </w:rPr>
        <w:t>Gr</w:t>
      </w:r>
      <w:r w:rsidR="003E64D1">
        <w:rPr>
          <w:rFonts w:ascii="Arial Narrow" w:hAnsi="Arial Narrow"/>
          <w:b/>
          <w:bCs/>
          <w:i/>
          <w:iCs/>
          <w:lang w:val="fr-FR"/>
        </w:rPr>
        <w:t>i</w:t>
      </w:r>
      <w:r w:rsidRPr="000776E6">
        <w:rPr>
          <w:rFonts w:ascii="Arial Narrow" w:hAnsi="Arial Narrow"/>
          <w:b/>
          <w:bCs/>
          <w:i/>
          <w:iCs/>
          <w:lang w:val="fr-FR"/>
        </w:rPr>
        <w:t>bizi</w:t>
      </w:r>
      <w:proofErr w:type="spellEnd"/>
      <w:r w:rsidRPr="000776E6">
        <w:rPr>
          <w:rFonts w:ascii="Arial Narrow" w:hAnsi="Arial Narrow"/>
          <w:b/>
          <w:bCs/>
          <w:i/>
          <w:iCs/>
          <w:lang w:val="fr-FR"/>
        </w:rPr>
        <w:t>) et Sibut (</w:t>
      </w:r>
      <w:proofErr w:type="spellStart"/>
      <w:r w:rsidRPr="000776E6">
        <w:rPr>
          <w:rFonts w:ascii="Arial Narrow" w:hAnsi="Arial Narrow"/>
          <w:b/>
          <w:bCs/>
          <w:i/>
          <w:iCs/>
          <w:lang w:val="fr-FR"/>
        </w:rPr>
        <w:t>Kemo</w:t>
      </w:r>
      <w:proofErr w:type="spellEnd"/>
      <w:r w:rsidRPr="000776E6">
        <w:rPr>
          <w:rFonts w:ascii="Arial Narrow" w:hAnsi="Arial Narrow"/>
          <w:b/>
          <w:bCs/>
          <w:i/>
          <w:iCs/>
          <w:lang w:val="fr-FR"/>
        </w:rPr>
        <w:t xml:space="preserve">), </w:t>
      </w:r>
    </w:p>
    <w:p w14:paraId="2C68EF34" w14:textId="77777777" w:rsidR="008F5ECA" w:rsidRDefault="00EA79C6" w:rsidP="008F5ECA">
      <w:pPr>
        <w:pStyle w:val="Paragraphedeliste"/>
        <w:numPr>
          <w:ilvl w:val="0"/>
          <w:numId w:val="44"/>
        </w:numPr>
        <w:jc w:val="both"/>
        <w:rPr>
          <w:rFonts w:ascii="Arial Narrow" w:hAnsi="Arial Narrow"/>
          <w:b/>
          <w:bCs/>
          <w:i/>
          <w:iCs/>
          <w:lang w:val="fr-FR"/>
        </w:rPr>
      </w:pPr>
      <w:proofErr w:type="gramStart"/>
      <w:r w:rsidRPr="000776E6">
        <w:rPr>
          <w:rFonts w:ascii="Arial Narrow" w:hAnsi="Arial Narrow"/>
          <w:b/>
          <w:bCs/>
          <w:i/>
          <w:iCs/>
          <w:lang w:val="fr-FR"/>
        </w:rPr>
        <w:t>des</w:t>
      </w:r>
      <w:proofErr w:type="gramEnd"/>
      <w:r w:rsidRPr="000776E6">
        <w:rPr>
          <w:rFonts w:ascii="Arial Narrow" w:hAnsi="Arial Narrow"/>
          <w:b/>
          <w:bCs/>
          <w:i/>
          <w:iCs/>
          <w:lang w:val="fr-FR"/>
        </w:rPr>
        <w:t xml:space="preserve"> sessions de formation et d’information organisées pour les points focaux et chargés de communication des ministères et institutions de la République, les professionnels des médias et journalistes, les opérateurs culturels, les organisations de jeunesse pour leur expliciter l’accord de paix et faciliter la diffusion d’informations pertinentes sur les avancées ; </w:t>
      </w:r>
    </w:p>
    <w:p w14:paraId="6AABFB3B" w14:textId="655AA8AC" w:rsidR="00EA79C6" w:rsidRDefault="00E72C4F" w:rsidP="008F5ECA">
      <w:pPr>
        <w:pStyle w:val="Paragraphedeliste"/>
        <w:numPr>
          <w:ilvl w:val="0"/>
          <w:numId w:val="44"/>
        </w:numPr>
        <w:jc w:val="both"/>
        <w:rPr>
          <w:rFonts w:ascii="Arial Narrow" w:hAnsi="Arial Narrow"/>
          <w:b/>
          <w:bCs/>
          <w:i/>
          <w:iCs/>
          <w:lang w:val="fr-FR"/>
        </w:rPr>
      </w:pPr>
      <w:bookmarkStart w:id="7" w:name="_Hlk43396976"/>
      <w:r w:rsidRPr="008F5ECA">
        <w:rPr>
          <w:rFonts w:ascii="Arial Narrow" w:hAnsi="Arial Narrow"/>
          <w:b/>
          <w:bCs/>
          <w:i/>
          <w:iCs/>
          <w:lang w:val="fr-FR"/>
        </w:rPr>
        <w:t xml:space="preserve">En plus de campagnes d’informations conjointes menées avec </w:t>
      </w:r>
      <w:proofErr w:type="spellStart"/>
      <w:r w:rsidRPr="008F5ECA">
        <w:rPr>
          <w:rFonts w:ascii="Arial Narrow" w:hAnsi="Arial Narrow"/>
          <w:b/>
          <w:bCs/>
          <w:i/>
          <w:iCs/>
          <w:lang w:val="fr-FR"/>
        </w:rPr>
        <w:t>Onufemmes</w:t>
      </w:r>
      <w:proofErr w:type="spellEnd"/>
      <w:r w:rsidRPr="008F5ECA">
        <w:rPr>
          <w:rFonts w:ascii="Arial Narrow" w:hAnsi="Arial Narrow"/>
          <w:b/>
          <w:bCs/>
          <w:i/>
          <w:iCs/>
          <w:lang w:val="fr-FR"/>
        </w:rPr>
        <w:t xml:space="preserve"> dans le centre du pays, le projet a soutenu, aux côté de</w:t>
      </w:r>
      <w:r w:rsidR="00EA79C6" w:rsidRPr="008F5ECA">
        <w:rPr>
          <w:rFonts w:ascii="Arial Narrow" w:hAnsi="Arial Narrow"/>
          <w:b/>
          <w:bCs/>
          <w:i/>
          <w:iCs/>
          <w:lang w:val="fr-FR"/>
        </w:rPr>
        <w:t xml:space="preserve"> l'unité Genre de la MINUSCA</w:t>
      </w:r>
      <w:r w:rsidRPr="008F5ECA">
        <w:rPr>
          <w:rFonts w:ascii="Arial Narrow" w:hAnsi="Arial Narrow"/>
          <w:b/>
          <w:bCs/>
          <w:i/>
          <w:iCs/>
          <w:lang w:val="fr-FR"/>
        </w:rPr>
        <w:t xml:space="preserve"> </w:t>
      </w:r>
      <w:r w:rsidR="00EA79C6" w:rsidRPr="008F5ECA">
        <w:rPr>
          <w:rFonts w:ascii="Arial Narrow" w:hAnsi="Arial Narrow"/>
          <w:b/>
          <w:bCs/>
          <w:i/>
          <w:iCs/>
          <w:lang w:val="fr-FR"/>
        </w:rPr>
        <w:t>l’</w:t>
      </w:r>
      <w:proofErr w:type="spellStart"/>
      <w:r w:rsidR="00EA79C6" w:rsidRPr="008F5ECA">
        <w:rPr>
          <w:rFonts w:ascii="Arial Narrow" w:hAnsi="Arial Narrow"/>
          <w:b/>
          <w:bCs/>
          <w:i/>
          <w:iCs/>
          <w:lang w:val="fr-FR"/>
        </w:rPr>
        <w:t>African</w:t>
      </w:r>
      <w:proofErr w:type="spellEnd"/>
      <w:r w:rsidR="00EA79C6" w:rsidRPr="008F5ECA">
        <w:rPr>
          <w:rFonts w:ascii="Arial Narrow" w:hAnsi="Arial Narrow"/>
          <w:b/>
          <w:bCs/>
          <w:i/>
          <w:iCs/>
          <w:lang w:val="fr-FR"/>
        </w:rPr>
        <w:t xml:space="preserve"> </w:t>
      </w:r>
      <w:proofErr w:type="spellStart"/>
      <w:r w:rsidR="00EA79C6" w:rsidRPr="008F5ECA">
        <w:rPr>
          <w:rFonts w:ascii="Arial Narrow" w:hAnsi="Arial Narrow"/>
          <w:b/>
          <w:bCs/>
          <w:i/>
          <w:iCs/>
          <w:lang w:val="fr-FR"/>
        </w:rPr>
        <w:t>African</w:t>
      </w:r>
      <w:proofErr w:type="spellEnd"/>
      <w:r w:rsidR="00EA79C6" w:rsidRPr="008F5ECA">
        <w:rPr>
          <w:rFonts w:ascii="Arial Narrow" w:hAnsi="Arial Narrow"/>
          <w:b/>
          <w:bCs/>
          <w:i/>
          <w:iCs/>
          <w:lang w:val="fr-FR"/>
        </w:rPr>
        <w:t xml:space="preserve"> </w:t>
      </w:r>
      <w:proofErr w:type="spellStart"/>
      <w:r w:rsidR="00EA79C6" w:rsidRPr="008F5ECA">
        <w:rPr>
          <w:rFonts w:ascii="Arial Narrow" w:hAnsi="Arial Narrow"/>
          <w:b/>
          <w:bCs/>
          <w:i/>
          <w:iCs/>
          <w:lang w:val="fr-FR"/>
        </w:rPr>
        <w:t>Women</w:t>
      </w:r>
      <w:proofErr w:type="spellEnd"/>
      <w:r w:rsidR="00EA79C6" w:rsidRPr="008F5ECA">
        <w:rPr>
          <w:rFonts w:ascii="Arial Narrow" w:hAnsi="Arial Narrow"/>
          <w:b/>
          <w:bCs/>
          <w:i/>
          <w:iCs/>
          <w:lang w:val="fr-FR"/>
        </w:rPr>
        <w:t xml:space="preserve"> Leaders Network (AWLN) section Centrafrique, dans la conduite de campagnes </w:t>
      </w:r>
      <w:r w:rsidR="00EA79C6" w:rsidRPr="008F5ECA">
        <w:rPr>
          <w:rFonts w:ascii="Arial Narrow" w:hAnsi="Arial Narrow"/>
          <w:b/>
          <w:bCs/>
          <w:i/>
          <w:iCs/>
          <w:lang w:val="fr-FR"/>
        </w:rPr>
        <w:lastRenderedPageBreak/>
        <w:t>d’information sur les dispositions de l’accord dans les 16 capitales de préfectures (à savoir Bossangoa, Ndele, Ber</w:t>
      </w:r>
      <w:r w:rsidR="001D0DC8">
        <w:rPr>
          <w:rFonts w:ascii="Arial Narrow" w:hAnsi="Arial Narrow"/>
          <w:b/>
          <w:bCs/>
          <w:i/>
          <w:iCs/>
          <w:lang w:val="fr-FR"/>
        </w:rPr>
        <w:t>b</w:t>
      </w:r>
      <w:r w:rsidR="00EA79C6" w:rsidRPr="008F5ECA">
        <w:rPr>
          <w:rFonts w:ascii="Arial Narrow" w:hAnsi="Arial Narrow"/>
          <w:b/>
          <w:bCs/>
          <w:i/>
          <w:iCs/>
          <w:lang w:val="fr-FR"/>
        </w:rPr>
        <w:t>erati, Bangassou, Kaga-Bandoro, Ba</w:t>
      </w:r>
      <w:r w:rsidR="0062655F" w:rsidRPr="008F5ECA">
        <w:rPr>
          <w:rFonts w:ascii="Arial Narrow" w:hAnsi="Arial Narrow"/>
          <w:b/>
          <w:bCs/>
          <w:i/>
          <w:iCs/>
          <w:lang w:val="fr-FR"/>
        </w:rPr>
        <w:t>m</w:t>
      </w:r>
      <w:r w:rsidR="00EA79C6" w:rsidRPr="008F5ECA">
        <w:rPr>
          <w:rFonts w:ascii="Arial Narrow" w:hAnsi="Arial Narrow"/>
          <w:b/>
          <w:bCs/>
          <w:i/>
          <w:iCs/>
          <w:lang w:val="fr-FR"/>
        </w:rPr>
        <w:t xml:space="preserve">bari, Birao, Nola, Mobaye, Mbaïki, Bouar, </w:t>
      </w:r>
      <w:proofErr w:type="spellStart"/>
      <w:r w:rsidR="00EA79C6" w:rsidRPr="008F5ECA">
        <w:rPr>
          <w:rFonts w:ascii="Arial Narrow" w:hAnsi="Arial Narrow"/>
          <w:b/>
          <w:bCs/>
          <w:i/>
          <w:iCs/>
          <w:lang w:val="fr-FR"/>
        </w:rPr>
        <w:t>Paoua</w:t>
      </w:r>
      <w:proofErr w:type="spellEnd"/>
      <w:r w:rsidR="00EA79C6" w:rsidRPr="008F5ECA">
        <w:rPr>
          <w:rFonts w:ascii="Arial Narrow" w:hAnsi="Arial Narrow"/>
          <w:b/>
          <w:bCs/>
          <w:i/>
          <w:iCs/>
          <w:lang w:val="fr-FR"/>
        </w:rPr>
        <w:t xml:space="preserve">, </w:t>
      </w:r>
      <w:proofErr w:type="spellStart"/>
      <w:r w:rsidR="00EA79C6" w:rsidRPr="008F5ECA">
        <w:rPr>
          <w:rFonts w:ascii="Arial Narrow" w:hAnsi="Arial Narrow"/>
          <w:b/>
          <w:bCs/>
          <w:i/>
          <w:iCs/>
          <w:lang w:val="fr-FR"/>
        </w:rPr>
        <w:t>Bossembélé</w:t>
      </w:r>
      <w:proofErr w:type="spellEnd"/>
      <w:r w:rsidR="00EA79C6" w:rsidRPr="008F5ECA">
        <w:rPr>
          <w:rFonts w:ascii="Arial Narrow" w:hAnsi="Arial Narrow"/>
          <w:b/>
          <w:bCs/>
          <w:i/>
          <w:iCs/>
          <w:lang w:val="fr-FR"/>
        </w:rPr>
        <w:t>, Sibut, Bria et Obo)</w:t>
      </w:r>
      <w:r w:rsidR="0062655F" w:rsidRPr="008F5ECA">
        <w:rPr>
          <w:rFonts w:ascii="Arial Narrow" w:hAnsi="Arial Narrow"/>
          <w:b/>
          <w:bCs/>
          <w:i/>
          <w:iCs/>
          <w:lang w:val="fr-FR"/>
        </w:rPr>
        <w:t>.</w:t>
      </w:r>
    </w:p>
    <w:bookmarkEnd w:id="7"/>
    <w:p w14:paraId="26FCF375" w14:textId="62199B13" w:rsidR="008F5ECA" w:rsidRPr="008F5ECA" w:rsidRDefault="008F5ECA" w:rsidP="008F5ECA">
      <w:pPr>
        <w:pStyle w:val="Paragraphedeliste"/>
        <w:numPr>
          <w:ilvl w:val="0"/>
          <w:numId w:val="44"/>
        </w:numPr>
        <w:jc w:val="both"/>
        <w:rPr>
          <w:rFonts w:ascii="Arial Narrow" w:hAnsi="Arial Narrow"/>
          <w:b/>
          <w:bCs/>
          <w:i/>
          <w:iCs/>
          <w:lang w:val="fr-FR"/>
        </w:rPr>
      </w:pPr>
      <w:r>
        <w:rPr>
          <w:rFonts w:ascii="Arial Narrow" w:hAnsi="Arial Narrow"/>
          <w:b/>
          <w:bCs/>
          <w:i/>
          <w:iCs/>
          <w:lang w:val="fr-FR"/>
        </w:rPr>
        <w:t>Au cours du projet,</w:t>
      </w:r>
      <w:r w:rsidR="000223DD">
        <w:rPr>
          <w:rFonts w:ascii="Arial Narrow" w:hAnsi="Arial Narrow"/>
          <w:b/>
          <w:bCs/>
          <w:i/>
          <w:iCs/>
          <w:lang w:val="fr-FR"/>
        </w:rPr>
        <w:t xml:space="preserve"> ce sont au total</w:t>
      </w:r>
      <w:r>
        <w:rPr>
          <w:rFonts w:ascii="Arial Narrow" w:hAnsi="Arial Narrow"/>
          <w:b/>
          <w:bCs/>
          <w:i/>
          <w:iCs/>
          <w:lang w:val="fr-FR"/>
        </w:rPr>
        <w:t xml:space="preserve"> </w:t>
      </w:r>
      <w:r w:rsidR="006901EF">
        <w:rPr>
          <w:rFonts w:ascii="Arial Narrow" w:hAnsi="Arial Narrow"/>
          <w:b/>
          <w:bCs/>
          <w:i/>
          <w:iCs/>
          <w:lang w:val="fr-FR"/>
        </w:rPr>
        <w:t>9</w:t>
      </w:r>
      <w:r>
        <w:rPr>
          <w:rFonts w:ascii="Arial Narrow" w:hAnsi="Arial Narrow"/>
          <w:b/>
          <w:bCs/>
          <w:i/>
          <w:iCs/>
          <w:lang w:val="fr-FR"/>
        </w:rPr>
        <w:t xml:space="preserve"> campagnes de sensibilisation radiophoniques </w:t>
      </w:r>
      <w:r w:rsidR="00EC4A13">
        <w:rPr>
          <w:rFonts w:ascii="Arial Narrow" w:hAnsi="Arial Narrow"/>
          <w:b/>
          <w:bCs/>
          <w:i/>
          <w:iCs/>
          <w:lang w:val="fr-FR"/>
        </w:rPr>
        <w:t xml:space="preserve">qui </w:t>
      </w:r>
      <w:r>
        <w:rPr>
          <w:rFonts w:ascii="Arial Narrow" w:hAnsi="Arial Narrow"/>
          <w:b/>
          <w:bCs/>
          <w:i/>
          <w:iCs/>
          <w:lang w:val="fr-FR"/>
        </w:rPr>
        <w:t>ont été mises en œuvre avec le Réseau des Médias Communautaires de Centrafrique (RMCC, anciennement Association des radios communautaires)</w:t>
      </w:r>
      <w:r w:rsidR="006901EF">
        <w:rPr>
          <w:rFonts w:ascii="Arial Narrow" w:hAnsi="Arial Narrow"/>
          <w:b/>
          <w:bCs/>
          <w:i/>
          <w:iCs/>
          <w:lang w:val="fr-FR"/>
        </w:rPr>
        <w:t xml:space="preserve">. 2 spots de sensibilisation </w:t>
      </w:r>
      <w:r>
        <w:rPr>
          <w:rFonts w:ascii="Arial Narrow" w:hAnsi="Arial Narrow"/>
          <w:b/>
          <w:bCs/>
          <w:i/>
          <w:iCs/>
          <w:lang w:val="fr-FR"/>
        </w:rPr>
        <w:t>sur l’Initiative africaine et le processus de paix</w:t>
      </w:r>
      <w:r w:rsidR="006901EF">
        <w:rPr>
          <w:rFonts w:ascii="Arial Narrow" w:hAnsi="Arial Narrow"/>
          <w:b/>
          <w:bCs/>
          <w:i/>
          <w:iCs/>
          <w:lang w:val="fr-FR"/>
        </w:rPr>
        <w:t xml:space="preserve"> ont été élaborés et diffusés durant </w:t>
      </w:r>
      <w:r w:rsidR="000223DD">
        <w:rPr>
          <w:rFonts w:ascii="Arial Narrow" w:hAnsi="Arial Narrow"/>
          <w:b/>
          <w:bCs/>
          <w:i/>
          <w:iCs/>
          <w:lang w:val="fr-FR"/>
        </w:rPr>
        <w:t>1</w:t>
      </w:r>
      <w:r w:rsidR="006901EF">
        <w:rPr>
          <w:rFonts w:ascii="Arial Narrow" w:hAnsi="Arial Narrow"/>
          <w:b/>
          <w:bCs/>
          <w:i/>
          <w:iCs/>
          <w:lang w:val="fr-FR"/>
        </w:rPr>
        <w:t xml:space="preserve">2 </w:t>
      </w:r>
      <w:r w:rsidR="000223DD">
        <w:rPr>
          <w:rFonts w:ascii="Arial Narrow" w:hAnsi="Arial Narrow"/>
          <w:b/>
          <w:bCs/>
          <w:i/>
          <w:iCs/>
          <w:lang w:val="fr-FR"/>
        </w:rPr>
        <w:t>semaines</w:t>
      </w:r>
      <w:r>
        <w:rPr>
          <w:rFonts w:ascii="Arial Narrow" w:hAnsi="Arial Narrow"/>
          <w:b/>
          <w:bCs/>
          <w:i/>
          <w:iCs/>
          <w:lang w:val="fr-FR"/>
        </w:rPr>
        <w:t xml:space="preserve">, </w:t>
      </w:r>
      <w:r w:rsidR="006901EF">
        <w:rPr>
          <w:rFonts w:ascii="Arial Narrow" w:hAnsi="Arial Narrow"/>
          <w:b/>
          <w:bCs/>
          <w:i/>
          <w:iCs/>
          <w:lang w:val="fr-FR"/>
        </w:rPr>
        <w:t>7 émissions itinérantes produites et rediffusées sur le réseau (23 radios) pour vulgariser l’accord et informer sur la mise en œuvre</w:t>
      </w:r>
      <w:r w:rsidR="000223DD">
        <w:rPr>
          <w:rFonts w:ascii="Arial Narrow" w:hAnsi="Arial Narrow"/>
          <w:b/>
          <w:bCs/>
          <w:i/>
          <w:iCs/>
          <w:lang w:val="fr-FR"/>
        </w:rPr>
        <w:t xml:space="preserve"> (diffusion en continu)</w:t>
      </w:r>
      <w:r w:rsidR="006901EF">
        <w:rPr>
          <w:rFonts w:ascii="Arial Narrow" w:hAnsi="Arial Narrow"/>
          <w:b/>
          <w:bCs/>
          <w:i/>
          <w:iCs/>
          <w:lang w:val="fr-FR"/>
        </w:rPr>
        <w:t xml:space="preserve">. </w:t>
      </w:r>
    </w:p>
    <w:p w14:paraId="09D00483" w14:textId="1C199754" w:rsidR="004C6424" w:rsidRPr="000776E6" w:rsidRDefault="00E72C4F" w:rsidP="00E72C4F">
      <w:pPr>
        <w:ind w:left="-720"/>
        <w:jc w:val="both"/>
        <w:rPr>
          <w:rFonts w:ascii="Arial Narrow" w:hAnsi="Arial Narrow"/>
          <w:b/>
          <w:bCs/>
          <w:i/>
          <w:iCs/>
          <w:lang w:val="fr-FR"/>
        </w:rPr>
      </w:pPr>
      <w:r w:rsidRPr="000776E6">
        <w:rPr>
          <w:rFonts w:ascii="Arial Narrow" w:hAnsi="Arial Narrow"/>
          <w:b/>
          <w:bCs/>
          <w:i/>
          <w:iCs/>
          <w:lang w:val="fr-FR"/>
        </w:rPr>
        <w:t xml:space="preserve">Par ailleurs, la réhabilitation de la radio communautaire </w:t>
      </w:r>
      <w:proofErr w:type="spellStart"/>
      <w:r w:rsidRPr="000776E6">
        <w:rPr>
          <w:rFonts w:ascii="Arial Narrow" w:hAnsi="Arial Narrow"/>
          <w:b/>
          <w:bCs/>
          <w:i/>
          <w:iCs/>
          <w:lang w:val="fr-FR"/>
        </w:rPr>
        <w:t>Mbari</w:t>
      </w:r>
      <w:proofErr w:type="spellEnd"/>
      <w:r w:rsidRPr="000776E6">
        <w:rPr>
          <w:rFonts w:ascii="Arial Narrow" w:hAnsi="Arial Narrow"/>
          <w:b/>
          <w:bCs/>
          <w:i/>
          <w:iCs/>
          <w:lang w:val="fr-FR"/>
        </w:rPr>
        <w:t xml:space="preserve"> de Bangassou (Mbomou) est en cours de finalisation et constitue une initiative conjointe menée avec la MINUSCA (office of the SRSG, office of the DSRSG-</w:t>
      </w:r>
      <w:proofErr w:type="spellStart"/>
      <w:r w:rsidRPr="000776E6">
        <w:rPr>
          <w:rFonts w:ascii="Arial Narrow" w:hAnsi="Arial Narrow"/>
          <w:b/>
          <w:bCs/>
          <w:i/>
          <w:iCs/>
          <w:lang w:val="fr-FR"/>
        </w:rPr>
        <w:t>Political</w:t>
      </w:r>
      <w:proofErr w:type="spellEnd"/>
      <w:r w:rsidRPr="000776E6">
        <w:rPr>
          <w:rFonts w:ascii="Arial Narrow" w:hAnsi="Arial Narrow"/>
          <w:b/>
          <w:bCs/>
          <w:i/>
          <w:iCs/>
          <w:lang w:val="fr-FR"/>
        </w:rPr>
        <w:t xml:space="preserve">, Strategic communication) et le Réseau des Médias communautaires de Centrafrique (RMCC) pour freiner la désinformation sur la mise en œuvre de l’accord et réduire les risques de reprise de violences dans la préfecture. </w:t>
      </w:r>
    </w:p>
    <w:p w14:paraId="3D56D4C8" w14:textId="472DD60C" w:rsidR="004C6424" w:rsidRDefault="004C6424" w:rsidP="00675507">
      <w:pPr>
        <w:ind w:left="-720"/>
        <w:jc w:val="both"/>
        <w:rPr>
          <w:b/>
          <w:lang w:val="fr-FR"/>
        </w:rPr>
      </w:pPr>
    </w:p>
    <w:p w14:paraId="44795896" w14:textId="77777777" w:rsidR="004C6424" w:rsidRPr="005D15A3" w:rsidRDefault="004C6424" w:rsidP="00675507">
      <w:pPr>
        <w:ind w:left="-720"/>
        <w:jc w:val="both"/>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A419ADB" w14:textId="6FD55A0F" w:rsidR="00DE01B0" w:rsidRPr="00363A36" w:rsidRDefault="00DE01B0" w:rsidP="00DE01B0">
      <w:pPr>
        <w:ind w:left="-720"/>
        <w:jc w:val="both"/>
        <w:rPr>
          <w:rFonts w:ascii="Arial Narrow" w:hAnsi="Arial Narrow"/>
          <w:b/>
          <w:bCs/>
          <w:i/>
          <w:iCs/>
          <w:lang w:val="fr-FR"/>
        </w:rPr>
      </w:pPr>
      <w:r w:rsidRPr="00363A36">
        <w:rPr>
          <w:rFonts w:ascii="Arial Narrow" w:hAnsi="Arial Narrow"/>
          <w:b/>
          <w:bCs/>
          <w:i/>
          <w:iCs/>
          <w:lang w:val="fr-FR"/>
        </w:rPr>
        <w:t xml:space="preserve">Avec ONU-Femme et la </w:t>
      </w:r>
      <w:r>
        <w:rPr>
          <w:rFonts w:ascii="Arial Narrow" w:hAnsi="Arial Narrow"/>
          <w:b/>
          <w:bCs/>
          <w:i/>
          <w:iCs/>
          <w:lang w:val="fr-FR"/>
        </w:rPr>
        <w:t>P</w:t>
      </w:r>
      <w:r w:rsidRPr="00363A36">
        <w:rPr>
          <w:rFonts w:ascii="Arial Narrow" w:hAnsi="Arial Narrow"/>
          <w:b/>
          <w:bCs/>
          <w:i/>
          <w:iCs/>
          <w:lang w:val="fr-FR"/>
        </w:rPr>
        <w:t>lateforme des confessions religieuses</w:t>
      </w:r>
      <w:r>
        <w:rPr>
          <w:rFonts w:ascii="Arial Narrow" w:hAnsi="Arial Narrow"/>
          <w:b/>
          <w:bCs/>
          <w:i/>
          <w:iCs/>
          <w:lang w:val="fr-FR"/>
        </w:rPr>
        <w:t xml:space="preserve"> – </w:t>
      </w:r>
      <w:r w:rsidRPr="00363A36">
        <w:rPr>
          <w:rFonts w:ascii="Arial Narrow" w:hAnsi="Arial Narrow"/>
          <w:b/>
          <w:bCs/>
          <w:i/>
          <w:iCs/>
          <w:lang w:val="fr-FR"/>
        </w:rPr>
        <w:t xml:space="preserve">et en complément des activités menées par l’Union africaine </w:t>
      </w:r>
      <w:r>
        <w:rPr>
          <w:rFonts w:ascii="Arial Narrow" w:hAnsi="Arial Narrow"/>
          <w:b/>
          <w:bCs/>
          <w:i/>
          <w:iCs/>
          <w:lang w:val="fr-FR"/>
        </w:rPr>
        <w:t xml:space="preserve">et la CEEAC </w:t>
      </w:r>
      <w:r w:rsidRPr="00363A36">
        <w:rPr>
          <w:rFonts w:ascii="Arial Narrow" w:hAnsi="Arial Narrow"/>
          <w:b/>
          <w:bCs/>
          <w:i/>
          <w:iCs/>
          <w:lang w:val="fr-FR"/>
        </w:rPr>
        <w:t xml:space="preserve">– deux campagnes conjointes ont été organisées à Bambari, Carnot, Berberati et Grimari avec les communautés villageoises pour les informer sur le contenu de l’accord de paix, en particulier les dispositions relatives </w:t>
      </w:r>
      <w:r>
        <w:rPr>
          <w:rFonts w:ascii="Arial Narrow" w:hAnsi="Arial Narrow"/>
          <w:b/>
          <w:bCs/>
          <w:i/>
          <w:iCs/>
          <w:lang w:val="fr-FR"/>
        </w:rPr>
        <w:t>au retour de la sécurité et la</w:t>
      </w:r>
      <w:r w:rsidRPr="00363A36">
        <w:rPr>
          <w:rFonts w:ascii="Arial Narrow" w:hAnsi="Arial Narrow"/>
          <w:b/>
          <w:bCs/>
          <w:i/>
          <w:iCs/>
          <w:lang w:val="fr-FR"/>
        </w:rPr>
        <w:t xml:space="preserve"> mise en place de la C</w:t>
      </w:r>
      <w:r>
        <w:rPr>
          <w:rFonts w:ascii="Arial Narrow" w:hAnsi="Arial Narrow"/>
          <w:b/>
          <w:bCs/>
          <w:i/>
          <w:iCs/>
          <w:lang w:val="fr-FR"/>
        </w:rPr>
        <w:t>ommission vérité</w:t>
      </w:r>
      <w:r w:rsidRPr="00363A36">
        <w:rPr>
          <w:rFonts w:ascii="Arial Narrow" w:hAnsi="Arial Narrow"/>
          <w:b/>
          <w:bCs/>
          <w:i/>
          <w:iCs/>
          <w:lang w:val="fr-FR"/>
        </w:rPr>
        <w:t>. Ce sont au total</w:t>
      </w:r>
      <w:r>
        <w:rPr>
          <w:rFonts w:ascii="Arial Narrow" w:hAnsi="Arial Narrow"/>
          <w:b/>
          <w:bCs/>
          <w:i/>
          <w:iCs/>
          <w:lang w:val="fr-FR"/>
        </w:rPr>
        <w:t xml:space="preserve"> </w:t>
      </w:r>
      <w:r w:rsidRPr="00363A36">
        <w:rPr>
          <w:rFonts w:ascii="Arial Narrow" w:hAnsi="Arial Narrow"/>
          <w:b/>
          <w:bCs/>
          <w:i/>
          <w:iCs/>
          <w:lang w:val="fr-FR"/>
        </w:rPr>
        <w:t>1202 personnes (dont 715 femmes) qui ont participé</w:t>
      </w:r>
      <w:r>
        <w:rPr>
          <w:rFonts w:ascii="Arial Narrow" w:hAnsi="Arial Narrow"/>
          <w:b/>
          <w:bCs/>
          <w:i/>
          <w:iCs/>
          <w:lang w:val="fr-FR"/>
        </w:rPr>
        <w:t xml:space="preserve"> aux sessions. </w:t>
      </w:r>
      <w:r w:rsidRPr="00363A36">
        <w:rPr>
          <w:rFonts w:ascii="Arial Narrow" w:hAnsi="Arial Narrow"/>
          <w:b/>
          <w:bCs/>
          <w:i/>
          <w:iCs/>
          <w:lang w:val="fr-FR"/>
        </w:rPr>
        <w:t>Avec l’unité genre de la MINUSCA, le projet a soutenu l'initiative de l’</w:t>
      </w:r>
      <w:proofErr w:type="spellStart"/>
      <w:r w:rsidRPr="00363A36">
        <w:rPr>
          <w:rFonts w:ascii="Arial Narrow" w:hAnsi="Arial Narrow"/>
          <w:b/>
          <w:bCs/>
          <w:i/>
          <w:iCs/>
          <w:lang w:val="fr-FR"/>
        </w:rPr>
        <w:t>African</w:t>
      </w:r>
      <w:proofErr w:type="spellEnd"/>
      <w:r w:rsidRPr="00363A36">
        <w:rPr>
          <w:rFonts w:ascii="Arial Narrow" w:hAnsi="Arial Narrow"/>
          <w:b/>
          <w:bCs/>
          <w:i/>
          <w:iCs/>
          <w:lang w:val="fr-FR"/>
        </w:rPr>
        <w:t xml:space="preserve"> </w:t>
      </w:r>
      <w:proofErr w:type="spellStart"/>
      <w:r w:rsidRPr="00363A36">
        <w:rPr>
          <w:rFonts w:ascii="Arial Narrow" w:hAnsi="Arial Narrow"/>
          <w:b/>
          <w:bCs/>
          <w:i/>
          <w:iCs/>
          <w:lang w:val="fr-FR"/>
        </w:rPr>
        <w:t>Women</w:t>
      </w:r>
      <w:proofErr w:type="spellEnd"/>
      <w:r w:rsidRPr="00363A36">
        <w:rPr>
          <w:rFonts w:ascii="Arial Narrow" w:hAnsi="Arial Narrow"/>
          <w:b/>
          <w:bCs/>
          <w:i/>
          <w:iCs/>
          <w:lang w:val="fr-FR"/>
        </w:rPr>
        <w:t xml:space="preserve"> Leaders Network (AWLN) section Centrafrique, dans la conduite de campagnes d’information sur les dispositions de l’accord dans les 16 capitales de préfectures (à savoir Bossangoa, Ndele, </w:t>
      </w:r>
      <w:proofErr w:type="spellStart"/>
      <w:r w:rsidRPr="00363A36">
        <w:rPr>
          <w:rFonts w:ascii="Arial Narrow" w:hAnsi="Arial Narrow"/>
          <w:b/>
          <w:bCs/>
          <w:i/>
          <w:iCs/>
          <w:lang w:val="fr-FR"/>
        </w:rPr>
        <w:t>Bererati</w:t>
      </w:r>
      <w:proofErr w:type="spellEnd"/>
      <w:r w:rsidRPr="00363A36">
        <w:rPr>
          <w:rFonts w:ascii="Arial Narrow" w:hAnsi="Arial Narrow"/>
          <w:b/>
          <w:bCs/>
          <w:i/>
          <w:iCs/>
          <w:lang w:val="fr-FR"/>
        </w:rPr>
        <w:t xml:space="preserve">, Bangassou, </w:t>
      </w:r>
      <w:proofErr w:type="spellStart"/>
      <w:r w:rsidRPr="00363A36">
        <w:rPr>
          <w:rFonts w:ascii="Arial Narrow" w:hAnsi="Arial Narrow"/>
          <w:b/>
          <w:bCs/>
          <w:i/>
          <w:iCs/>
          <w:lang w:val="fr-FR"/>
        </w:rPr>
        <w:t>Kaga-Bandoro</w:t>
      </w:r>
      <w:proofErr w:type="spellEnd"/>
      <w:r w:rsidRPr="00363A36">
        <w:rPr>
          <w:rFonts w:ascii="Arial Narrow" w:hAnsi="Arial Narrow"/>
          <w:b/>
          <w:bCs/>
          <w:i/>
          <w:iCs/>
          <w:lang w:val="fr-FR"/>
        </w:rPr>
        <w:t xml:space="preserve">, Bambari, Birao, Nola, Mobaye, Mbaïki, Bouar, </w:t>
      </w:r>
      <w:proofErr w:type="spellStart"/>
      <w:r w:rsidRPr="00363A36">
        <w:rPr>
          <w:rFonts w:ascii="Arial Narrow" w:hAnsi="Arial Narrow"/>
          <w:b/>
          <w:bCs/>
          <w:i/>
          <w:iCs/>
          <w:lang w:val="fr-FR"/>
        </w:rPr>
        <w:t>Paoua</w:t>
      </w:r>
      <w:proofErr w:type="spellEnd"/>
      <w:r w:rsidRPr="00363A36">
        <w:rPr>
          <w:rFonts w:ascii="Arial Narrow" w:hAnsi="Arial Narrow"/>
          <w:b/>
          <w:bCs/>
          <w:i/>
          <w:iCs/>
          <w:lang w:val="fr-FR"/>
        </w:rPr>
        <w:t xml:space="preserve">, </w:t>
      </w:r>
      <w:proofErr w:type="spellStart"/>
      <w:r w:rsidRPr="00363A36">
        <w:rPr>
          <w:rFonts w:ascii="Arial Narrow" w:hAnsi="Arial Narrow"/>
          <w:b/>
          <w:bCs/>
          <w:i/>
          <w:iCs/>
          <w:lang w:val="fr-FR"/>
        </w:rPr>
        <w:t>Bossembélé</w:t>
      </w:r>
      <w:proofErr w:type="spellEnd"/>
      <w:r w:rsidRPr="00363A36">
        <w:rPr>
          <w:rFonts w:ascii="Arial Narrow" w:hAnsi="Arial Narrow"/>
          <w:b/>
          <w:bCs/>
          <w:i/>
          <w:iCs/>
          <w:lang w:val="fr-FR"/>
        </w:rPr>
        <w:t>, Sibut, Bria et Obo) pour une participation totale de 1027 participantes.</w:t>
      </w:r>
    </w:p>
    <w:p w14:paraId="54CA5451" w14:textId="611C9DB1" w:rsidR="00675507" w:rsidRPr="00A130CA" w:rsidRDefault="00675507" w:rsidP="00675507">
      <w:pPr>
        <w:ind w:left="-720"/>
        <w:rPr>
          <w:b/>
          <w:lang w:val="fr-FR"/>
        </w:rPr>
      </w:pPr>
    </w:p>
    <w:p w14:paraId="7111774C" w14:textId="77777777" w:rsidR="00627A1C" w:rsidRPr="00A130CA"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3805A5">
        <w:rPr>
          <w:rFonts w:ascii="Arial Narrow" w:hAnsi="Arial Narrow"/>
          <w:b/>
          <w:sz w:val="22"/>
          <w:szCs w:val="22"/>
        </w:rPr>
      </w:r>
      <w:r w:rsidR="003805A5">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A130CA"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lastRenderedPageBreak/>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77777777" w:rsidR="00997347" w:rsidRPr="00627A1C" w:rsidRDefault="007118F5" w:rsidP="00234A5E">
            <w:pPr>
              <w:rPr>
                <w:i/>
              </w:rPr>
            </w:pPr>
            <w:r w:rsidRPr="00627A1C">
              <w:rPr>
                <w:i/>
                <w:iCs/>
              </w:rPr>
              <w:fldChar w:fldCharType="begin">
                <w:ffData>
                  <w:name w:val="Text52"/>
                  <w:enabled/>
                  <w:calcOnExit w:val="0"/>
                  <w:textInput>
                    <w:maxLength w:val="1000"/>
                  </w:textInput>
                </w:ffData>
              </w:fldChar>
            </w:r>
            <w:bookmarkStart w:id="8" w:name="Text52"/>
            <w:r w:rsidRPr="00627A1C">
              <w:rPr>
                <w:i/>
                <w:iCs/>
              </w:rPr>
              <w:instrText xml:space="preserve"> FORMTEXT </w:instrText>
            </w:r>
            <w:r w:rsidRPr="00627A1C">
              <w:rPr>
                <w:i/>
                <w:iCs/>
              </w:rPr>
            </w:r>
            <w:r w:rsidRPr="00627A1C">
              <w:rPr>
                <w:i/>
                <w:iCs/>
              </w:rPr>
              <w:fldChar w:fldCharType="separate"/>
            </w:r>
            <w:r w:rsidRPr="00627A1C">
              <w:rPr>
                <w:i/>
                <w:iCs/>
                <w:noProof/>
              </w:rPr>
              <w:t> </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end"/>
            </w:r>
            <w:bookmarkEnd w:id="8"/>
            <w:r w:rsidR="006C1819" w:rsidRPr="00627A1C">
              <w:rPr>
                <w:i/>
              </w:rPr>
              <w:t xml:space="preserve"> </w:t>
            </w:r>
          </w:p>
          <w:p w14:paraId="21BD62AD" w14:textId="77777777" w:rsidR="007118F5" w:rsidRPr="00627A1C" w:rsidRDefault="007118F5" w:rsidP="00234A5E"/>
        </w:tc>
        <w:tc>
          <w:tcPr>
            <w:tcW w:w="5940" w:type="dxa"/>
            <w:shd w:val="clear" w:color="auto" w:fill="auto"/>
          </w:tcPr>
          <w:p w14:paraId="797F499B" w14:textId="769F4DEC"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AB24CA">
              <w:fldChar w:fldCharType="begin">
                <w:ffData>
                  <w:name w:val="Dropdown3"/>
                  <w:enabled/>
                  <w:calcOnExit w:val="0"/>
                  <w:ddList>
                    <w:listEntry w:val="Oui"/>
                    <w:listEntry w:val="Veuillez sélectionner"/>
                    <w:listEntry w:val="Non"/>
                  </w:ddList>
                </w:ffData>
              </w:fldChar>
            </w:r>
            <w:bookmarkStart w:id="9" w:name="Dropdown3"/>
            <w:r w:rsidR="00AB24CA" w:rsidRPr="00A130CA">
              <w:rPr>
                <w:lang w:val="fr-FR"/>
              </w:rPr>
              <w:instrText xml:space="preserve"> FORMDROPDOWN </w:instrText>
            </w:r>
            <w:r w:rsidR="003805A5">
              <w:fldChar w:fldCharType="separate"/>
            </w:r>
            <w:r w:rsidR="00AB24CA">
              <w:fldChar w:fldCharType="end"/>
            </w:r>
            <w:bookmarkEnd w:id="9"/>
          </w:p>
          <w:p w14:paraId="2337B972" w14:textId="77777777" w:rsidR="007118F5" w:rsidRPr="00675507" w:rsidRDefault="007118F5" w:rsidP="00AD73D3">
            <w:pPr>
              <w:rPr>
                <w:lang w:val="fr-FR"/>
              </w:rPr>
            </w:pPr>
          </w:p>
          <w:p w14:paraId="4881C0BC" w14:textId="77777777" w:rsidR="00AB24CA"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F3726B">
              <w:rPr>
                <w:lang w:val="fr-FR"/>
              </w:rPr>
              <w:t xml:space="preserve">Oui. </w:t>
            </w:r>
          </w:p>
          <w:p w14:paraId="0AD01A9F" w14:textId="77777777" w:rsidR="00AB24CA" w:rsidRDefault="00AB24CA" w:rsidP="00AD73D3">
            <w:pPr>
              <w:rPr>
                <w:lang w:val="fr-FR"/>
              </w:rPr>
            </w:pPr>
          </w:p>
          <w:p w14:paraId="22E87ECD" w14:textId="1150F65B" w:rsidR="000F46B7" w:rsidRDefault="000F46B7" w:rsidP="000F46B7">
            <w:pPr>
              <w:jc w:val="both"/>
              <w:rPr>
                <w:lang w:val="fr-FR"/>
              </w:rPr>
            </w:pPr>
            <w:r w:rsidRPr="00991A92">
              <w:rPr>
                <w:lang w:val="fr-FR"/>
              </w:rPr>
              <w:t>Le projet a contribué</w:t>
            </w:r>
            <w:r w:rsidR="00431B4A">
              <w:rPr>
                <w:lang w:val="fr-FR"/>
              </w:rPr>
              <w:t xml:space="preserve"> </w:t>
            </w:r>
            <w:r w:rsidRPr="00991A92">
              <w:rPr>
                <w:lang w:val="fr-FR"/>
              </w:rPr>
              <w:t>technique</w:t>
            </w:r>
            <w:r w:rsidR="00431B4A">
              <w:rPr>
                <w:lang w:val="fr-FR"/>
              </w:rPr>
              <w:t>ment</w:t>
            </w:r>
            <w:r w:rsidRPr="00991A92">
              <w:rPr>
                <w:lang w:val="fr-FR"/>
              </w:rPr>
              <w:t xml:space="preserve"> et </w:t>
            </w:r>
            <w:r w:rsidR="00431B4A" w:rsidRPr="00991A92">
              <w:rPr>
                <w:lang w:val="fr-FR"/>
              </w:rPr>
              <w:t>financièr</w:t>
            </w:r>
            <w:r w:rsidR="00431B4A">
              <w:rPr>
                <w:lang w:val="fr-FR"/>
              </w:rPr>
              <w:t>ement</w:t>
            </w:r>
            <w:r w:rsidRPr="00991A92">
              <w:rPr>
                <w:lang w:val="fr-FR"/>
              </w:rPr>
              <w:t xml:space="preserve"> aux études de perceptions sur la paix, la sécurité et la justice (MINUSCA, PNUD, HHI) pour établir des </w:t>
            </w:r>
            <w:proofErr w:type="spellStart"/>
            <w:r w:rsidRPr="00991A92">
              <w:rPr>
                <w:lang w:val="fr-FR"/>
              </w:rPr>
              <w:t>baselines</w:t>
            </w:r>
            <w:proofErr w:type="spellEnd"/>
            <w:r w:rsidRPr="00991A92">
              <w:rPr>
                <w:lang w:val="fr-FR"/>
              </w:rPr>
              <w:t xml:space="preserve"> et mesurer l</w:t>
            </w:r>
            <w:r w:rsidR="00516C68">
              <w:rPr>
                <w:lang w:val="fr-FR"/>
              </w:rPr>
              <w:t>’impact</w:t>
            </w:r>
            <w:r w:rsidRPr="00991A92">
              <w:rPr>
                <w:lang w:val="fr-FR"/>
              </w:rPr>
              <w:t xml:space="preserve"> des interventions. </w:t>
            </w:r>
            <w:r w:rsidR="00F46810">
              <w:rPr>
                <w:lang w:val="fr-FR"/>
              </w:rPr>
              <w:t xml:space="preserve">4 sondages réalisés </w:t>
            </w:r>
            <w:r w:rsidR="00516C68">
              <w:rPr>
                <w:lang w:val="fr-FR"/>
              </w:rPr>
              <w:t xml:space="preserve">à </w:t>
            </w:r>
            <w:r w:rsidR="00F46810">
              <w:rPr>
                <w:lang w:val="fr-FR"/>
              </w:rPr>
              <w:t>date</w:t>
            </w:r>
            <w:r w:rsidR="00516C68">
              <w:rPr>
                <w:lang w:val="fr-FR"/>
              </w:rPr>
              <w:t> ;</w:t>
            </w:r>
          </w:p>
          <w:p w14:paraId="0952DC72" w14:textId="66AC976D" w:rsidR="00944EAF" w:rsidRDefault="00944EAF" w:rsidP="00944EAF">
            <w:pPr>
              <w:jc w:val="both"/>
              <w:rPr>
                <w:lang w:val="fr-FR"/>
              </w:rPr>
            </w:pPr>
            <w:r w:rsidRPr="006408BF">
              <w:rPr>
                <w:lang w:val="fr-FR"/>
              </w:rPr>
              <w:t>Des missions de suivi d</w:t>
            </w:r>
            <w:r w:rsidR="000F46B7">
              <w:rPr>
                <w:lang w:val="fr-FR"/>
              </w:rPr>
              <w:t>’</w:t>
            </w:r>
            <w:r w:rsidRPr="006408BF">
              <w:rPr>
                <w:lang w:val="fr-FR"/>
              </w:rPr>
              <w:t xml:space="preserve">activités ont été organisées,  </w:t>
            </w:r>
            <w:r w:rsidRPr="00944EAF">
              <w:rPr>
                <w:lang w:val="fr-FR"/>
              </w:rPr>
              <w:t xml:space="preserve">notamment à </w:t>
            </w:r>
            <w:r w:rsidR="000B5B8A" w:rsidRPr="00944EAF">
              <w:rPr>
                <w:lang w:val="fr-FR"/>
              </w:rPr>
              <w:t>Bambari, Bangassou, Berberati, Bouar, Ndélé et Sibut</w:t>
            </w:r>
            <w:r w:rsidR="00516C68">
              <w:rPr>
                <w:lang w:val="fr-FR"/>
              </w:rPr>
              <w:t> ;</w:t>
            </w:r>
          </w:p>
          <w:p w14:paraId="2486855B" w14:textId="72576597" w:rsidR="00516C68" w:rsidRPr="006408BF" w:rsidRDefault="00516C68" w:rsidP="00A130CA">
            <w:pPr>
              <w:jc w:val="both"/>
              <w:rPr>
                <w:lang w:val="fr-FR"/>
              </w:rPr>
            </w:pPr>
            <w:r>
              <w:rPr>
                <w:lang w:val="fr-FR"/>
              </w:rPr>
              <w:t>Une évaluation de la contribution des experts à la mise en œuvre de l’APPR a été réalisée ;</w:t>
            </w:r>
          </w:p>
          <w:p w14:paraId="01B6DBAC" w14:textId="3B9DC1ED" w:rsidR="000B5B8A" w:rsidRDefault="000B5B8A" w:rsidP="00944EAF">
            <w:pPr>
              <w:jc w:val="both"/>
              <w:rPr>
                <w:lang w:val="fr-FR"/>
              </w:rPr>
            </w:pPr>
            <w:r>
              <w:rPr>
                <w:lang w:val="fr-FR"/>
              </w:rPr>
              <w:t xml:space="preserve">Des rencontres trimestrielles entre parties prenantes du projet se sont tenues (PNUD, IOM, </w:t>
            </w:r>
            <w:proofErr w:type="spellStart"/>
            <w:r>
              <w:rPr>
                <w:lang w:val="fr-FR"/>
              </w:rPr>
              <w:t>Political</w:t>
            </w:r>
            <w:proofErr w:type="spellEnd"/>
            <w:r>
              <w:rPr>
                <w:lang w:val="fr-FR"/>
              </w:rPr>
              <w:t xml:space="preserve"> </w:t>
            </w:r>
            <w:proofErr w:type="spellStart"/>
            <w:r>
              <w:rPr>
                <w:lang w:val="fr-FR"/>
              </w:rPr>
              <w:t>Affairs</w:t>
            </w:r>
            <w:proofErr w:type="spellEnd"/>
            <w:r>
              <w:rPr>
                <w:lang w:val="fr-FR"/>
              </w:rPr>
              <w:t xml:space="preserve"> division, Field Office Coordination, ST-CES) ainsi que des rencontres </w:t>
            </w:r>
            <w:proofErr w:type="spellStart"/>
            <w:r>
              <w:rPr>
                <w:lang w:val="fr-FR"/>
              </w:rPr>
              <w:t>ad’hoc</w:t>
            </w:r>
            <w:proofErr w:type="spellEnd"/>
            <w:r>
              <w:rPr>
                <w:lang w:val="fr-FR"/>
              </w:rPr>
              <w:t xml:space="preserve"> </w:t>
            </w:r>
            <w:r w:rsidR="00516C68">
              <w:rPr>
                <w:lang w:val="fr-FR"/>
              </w:rPr>
              <w:t>sur des questions spécifiques (</w:t>
            </w:r>
            <w:r>
              <w:rPr>
                <w:lang w:val="fr-FR"/>
              </w:rPr>
              <w:t xml:space="preserve"> y compris avec la participation du Secrétariat technique du PBF au besoin</w:t>
            </w:r>
            <w:r w:rsidR="00516C68">
              <w:rPr>
                <w:lang w:val="fr-FR"/>
              </w:rPr>
              <w:t>)</w:t>
            </w:r>
            <w:r>
              <w:rPr>
                <w:lang w:val="fr-FR"/>
              </w:rPr>
              <w:t xml:space="preserve">. </w:t>
            </w:r>
            <w:r w:rsidR="00944EAF">
              <w:rPr>
                <w:lang w:val="fr-FR"/>
              </w:rPr>
              <w:t>Depuis 2020 et l’éruption du Covid-19, elle se sont tenues par vidéo-conférence</w:t>
            </w:r>
          </w:p>
          <w:p w14:paraId="47442C7F" w14:textId="20A5618F" w:rsidR="00523D17" w:rsidRDefault="00523D17" w:rsidP="00A130CA">
            <w:pPr>
              <w:jc w:val="both"/>
              <w:rPr>
                <w:lang w:val="fr-FR"/>
              </w:rPr>
            </w:pPr>
            <w:r>
              <w:rPr>
                <w:lang w:val="fr-FR"/>
              </w:rPr>
              <w:t>Les rapports mandataires du projet ont été produits et communiqués au secrétariat technique du PBF</w:t>
            </w:r>
            <w:r w:rsidR="00E9069B">
              <w:rPr>
                <w:lang w:val="fr-FR"/>
              </w:rPr>
              <w:t> ;</w:t>
            </w:r>
          </w:p>
          <w:p w14:paraId="2BD200E3" w14:textId="1B2F3DF9" w:rsidR="00F3726B" w:rsidRPr="009D1852" w:rsidRDefault="00F3726B" w:rsidP="006408BF">
            <w:pPr>
              <w:rPr>
                <w:lang w:val="fr-FR"/>
              </w:rPr>
            </w:pPr>
          </w:p>
        </w:tc>
      </w:tr>
      <w:tr w:rsidR="006C1819" w:rsidRPr="00A130CA"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16436AED" w:rsidR="007118F5" w:rsidRPr="00627A1C" w:rsidRDefault="0071208F" w:rsidP="007118F5">
            <w:proofErr w:type="spellStart"/>
            <w:r>
              <w:t>Oui</w:t>
            </w:r>
            <w:proofErr w:type="spellEnd"/>
            <w:r>
              <w:t>, Evaluation a mi-</w:t>
            </w:r>
            <w:proofErr w:type="spellStart"/>
            <w:r>
              <w:t>parcours</w:t>
            </w:r>
            <w:proofErr w:type="spellEnd"/>
          </w:p>
        </w:tc>
        <w:tc>
          <w:tcPr>
            <w:tcW w:w="5940" w:type="dxa"/>
            <w:shd w:val="clear" w:color="auto" w:fill="auto"/>
          </w:tcPr>
          <w:p w14:paraId="56E8EAF3" w14:textId="77777777" w:rsidR="00F3726B"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p>
          <w:p w14:paraId="7B8CF898" w14:textId="24BA22E2" w:rsidR="006C1819" w:rsidRPr="009D1852" w:rsidRDefault="009D1852" w:rsidP="00E76CA1">
            <w:pPr>
              <w:rPr>
                <w:lang w:val="fr-FR"/>
              </w:rPr>
            </w:pPr>
            <w:r w:rsidRPr="009D1852">
              <w:rPr>
                <w:lang w:val="fr-FR"/>
              </w:rPr>
              <w:t>4</w:t>
            </w:r>
            <w:r>
              <w:rPr>
                <w:lang w:val="fr-FR"/>
              </w:rPr>
              <w:t>0,000 $</w:t>
            </w:r>
            <w:r w:rsidR="00F3726B">
              <w:rPr>
                <w:lang w:val="fr-FR"/>
              </w:rPr>
              <w:t xml:space="preserve"> ont été budgétisés pour l’évaluation finale du projet</w:t>
            </w:r>
            <w:r w:rsidR="00782847">
              <w:rPr>
                <w:lang w:val="fr-FR"/>
              </w:rPr>
              <w:t xml:space="preserve">. </w:t>
            </w:r>
          </w:p>
          <w:p w14:paraId="6A29E557" w14:textId="77777777" w:rsidR="004D141E" w:rsidRPr="00675507" w:rsidRDefault="004D141E" w:rsidP="00E76CA1">
            <w:pPr>
              <w:rPr>
                <w:lang w:val="fr-FR"/>
              </w:rPr>
            </w:pPr>
          </w:p>
          <w:p w14:paraId="645019D6" w14:textId="13D8F180" w:rsidR="004D141E"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p>
          <w:p w14:paraId="04B5743A" w14:textId="39AF8863" w:rsidR="00D5212D" w:rsidRDefault="00D5212D" w:rsidP="00A130CA">
            <w:pPr>
              <w:jc w:val="both"/>
              <w:rPr>
                <w:lang w:val="fr-FR"/>
              </w:rPr>
            </w:pPr>
            <w:r>
              <w:rPr>
                <w:lang w:val="fr-FR"/>
              </w:rPr>
              <w:t>Une évaluation à mi-parcours du projet a été effectuée en 2019, les recommandations de l’évaluation relatives aux RUNO mises en œuvre</w:t>
            </w:r>
            <w:r w:rsidR="00E9069B">
              <w:rPr>
                <w:lang w:val="fr-FR"/>
              </w:rPr>
              <w:t xml:space="preserve"> (amélioration de la </w:t>
            </w:r>
            <w:r w:rsidR="00431B4A">
              <w:rPr>
                <w:lang w:val="fr-FR"/>
              </w:rPr>
              <w:t xml:space="preserve">circulation de l’info et l’élaboration </w:t>
            </w:r>
            <w:r w:rsidR="00E9069B">
              <w:rPr>
                <w:lang w:val="fr-FR"/>
              </w:rPr>
              <w:t>des interventions</w:t>
            </w:r>
            <w:r w:rsidR="00431B4A">
              <w:rPr>
                <w:lang w:val="fr-FR"/>
              </w:rPr>
              <w:t xml:space="preserve"> avec la partie nationale</w:t>
            </w:r>
            <w:r w:rsidR="00E9069B">
              <w:rPr>
                <w:lang w:val="fr-FR"/>
              </w:rPr>
              <w:t>)</w:t>
            </w:r>
            <w:r>
              <w:rPr>
                <w:lang w:val="fr-FR"/>
              </w:rPr>
              <w:t xml:space="preserve">. </w:t>
            </w:r>
          </w:p>
          <w:p w14:paraId="13840144" w14:textId="08B3D114" w:rsidR="00F3726B" w:rsidRDefault="00E9069B" w:rsidP="00D5212D">
            <w:pPr>
              <w:jc w:val="both"/>
              <w:rPr>
                <w:lang w:val="fr-FR"/>
              </w:rPr>
            </w:pPr>
            <w:r>
              <w:rPr>
                <w:lang w:val="fr-FR"/>
              </w:rPr>
              <w:t>Le budget est sécurisé, mais l</w:t>
            </w:r>
            <w:r w:rsidR="00431B4A">
              <w:rPr>
                <w:lang w:val="fr-FR"/>
              </w:rPr>
              <w:t>’évaluation finale du projet p</w:t>
            </w:r>
            <w:r w:rsidR="00782847">
              <w:rPr>
                <w:lang w:val="fr-FR"/>
              </w:rPr>
              <w:t xml:space="preserve">révue </w:t>
            </w:r>
            <w:r>
              <w:rPr>
                <w:lang w:val="fr-FR"/>
              </w:rPr>
              <w:t xml:space="preserve">en </w:t>
            </w:r>
            <w:r w:rsidR="00782847">
              <w:rPr>
                <w:lang w:val="fr-FR"/>
              </w:rPr>
              <w:t>Juin 2020</w:t>
            </w:r>
            <w:r w:rsidR="00431B4A">
              <w:rPr>
                <w:lang w:val="fr-FR"/>
              </w:rPr>
              <w:t xml:space="preserve"> est reportée à Octobre</w:t>
            </w:r>
            <w:r w:rsidR="00782847">
              <w:rPr>
                <w:lang w:val="fr-FR"/>
              </w:rPr>
              <w:t xml:space="preserve">, en raison du Covid-19 (l’équipe sera composée d’un expert international et un expert national). </w:t>
            </w:r>
          </w:p>
          <w:p w14:paraId="315CFE80" w14:textId="40F07A42" w:rsidR="00782847" w:rsidRDefault="00782847" w:rsidP="00A130CA">
            <w:pPr>
              <w:jc w:val="both"/>
              <w:rPr>
                <w:lang w:val="fr-FR"/>
              </w:rPr>
            </w:pPr>
            <w:r>
              <w:rPr>
                <w:lang w:val="fr-FR"/>
              </w:rPr>
              <w:t xml:space="preserve">Les </w:t>
            </w:r>
            <w:r w:rsidR="00431B4A">
              <w:rPr>
                <w:lang w:val="fr-FR"/>
              </w:rPr>
              <w:t xml:space="preserve">partenaires de mise en œuvre du projet </w:t>
            </w:r>
            <w:r w:rsidR="00E9069B">
              <w:rPr>
                <w:lang w:val="fr-FR"/>
              </w:rPr>
              <w:t xml:space="preserve">sont informés et préparés à participer à l’évaluation, y compris les </w:t>
            </w:r>
            <w:r>
              <w:rPr>
                <w:lang w:val="fr-FR"/>
              </w:rPr>
              <w:t>RUNO (PNUD et OIM)</w:t>
            </w:r>
            <w:r w:rsidR="00E9069B">
              <w:rPr>
                <w:lang w:val="fr-FR"/>
              </w:rPr>
              <w:t xml:space="preserve">, </w:t>
            </w:r>
            <w:r>
              <w:rPr>
                <w:lang w:val="fr-FR"/>
              </w:rPr>
              <w:t>la MINUSCA</w:t>
            </w:r>
            <w:r w:rsidR="00E9069B">
              <w:rPr>
                <w:lang w:val="fr-FR"/>
              </w:rPr>
              <w:t>, la CEEAC, les acteurs étatiques (ST-CES, CMON) et de la société civile</w:t>
            </w:r>
            <w:r>
              <w:rPr>
                <w:lang w:val="fr-FR"/>
              </w:rPr>
              <w:t>;</w:t>
            </w:r>
          </w:p>
          <w:p w14:paraId="5B344956" w14:textId="78122131" w:rsidR="00F3726B" w:rsidRDefault="00F3726B" w:rsidP="00A130CA">
            <w:pPr>
              <w:jc w:val="both"/>
              <w:rPr>
                <w:lang w:val="fr-FR"/>
              </w:rPr>
            </w:pPr>
            <w:r w:rsidRPr="00F3726B">
              <w:rPr>
                <w:lang w:val="fr-FR"/>
              </w:rPr>
              <w:lastRenderedPageBreak/>
              <w:t xml:space="preserve">Les rapports narratifs et </w:t>
            </w:r>
            <w:r>
              <w:rPr>
                <w:lang w:val="fr-FR"/>
              </w:rPr>
              <w:t>financiers du projet sont</w:t>
            </w:r>
            <w:r w:rsidR="00E9069B">
              <w:rPr>
                <w:lang w:val="fr-FR"/>
              </w:rPr>
              <w:t xml:space="preserve"> aussi</w:t>
            </w:r>
            <w:r>
              <w:rPr>
                <w:lang w:val="fr-FR"/>
              </w:rPr>
              <w:t xml:space="preserve"> disponibles pour consultations ;</w:t>
            </w:r>
          </w:p>
          <w:p w14:paraId="6FFC21C6" w14:textId="057451B6" w:rsidR="009D1852" w:rsidRPr="009D1852" w:rsidRDefault="009D1852" w:rsidP="00A130CA">
            <w:pPr>
              <w:jc w:val="both"/>
              <w:rPr>
                <w:lang w:val="fr-FR"/>
              </w:rPr>
            </w:pPr>
          </w:p>
        </w:tc>
      </w:tr>
      <w:tr w:rsidR="00997347" w:rsidRPr="00A130CA"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37C7CB45" w:rsidR="00997347" w:rsidRPr="00A130CA" w:rsidRDefault="00675507" w:rsidP="00156C4C">
            <w:pPr>
              <w:rPr>
                <w:lang w:val="fr-FR"/>
              </w:rPr>
            </w:pPr>
            <w:r w:rsidRPr="00A130CA">
              <w:rPr>
                <w:lang w:val="fr-FR"/>
              </w:rPr>
              <w:t xml:space="preserve">Nom de </w:t>
            </w:r>
            <w:r w:rsidR="00EC1880" w:rsidRPr="00A130CA">
              <w:rPr>
                <w:lang w:val="fr-FR"/>
              </w:rPr>
              <w:t>donat</w:t>
            </w:r>
            <w:r w:rsidR="00E9069B">
              <w:rPr>
                <w:lang w:val="fr-FR"/>
              </w:rPr>
              <w:t>eu</w:t>
            </w:r>
            <w:r w:rsidR="00EC1880" w:rsidRPr="00A130CA">
              <w:rPr>
                <w:lang w:val="fr-FR"/>
              </w:rPr>
              <w:t>r</w:t>
            </w:r>
            <w:r w:rsidR="00156C4C" w:rsidRPr="00A130CA">
              <w:rPr>
                <w:lang w:val="fr-FR"/>
              </w:rPr>
              <w:t xml:space="preserve">:     </w:t>
            </w:r>
            <w:r w:rsidRPr="00A130CA">
              <w:rPr>
                <w:lang w:val="fr-FR"/>
              </w:rPr>
              <w:t>Montant ($)</w:t>
            </w:r>
            <w:r w:rsidR="00156C4C" w:rsidRPr="00A130CA">
              <w:rPr>
                <w:lang w:val="fr-FR"/>
              </w:rPr>
              <w:t>:</w:t>
            </w:r>
          </w:p>
          <w:p w14:paraId="274723E2" w14:textId="665AABC2" w:rsidR="00E9069B" w:rsidRDefault="00E9069B" w:rsidP="00156C4C">
            <w:pPr>
              <w:rPr>
                <w:lang w:val="fr-FR"/>
              </w:rPr>
            </w:pPr>
          </w:p>
          <w:p w14:paraId="22DECB95" w14:textId="46F731DE" w:rsidR="00C653B5" w:rsidRDefault="0022203D" w:rsidP="00156C4C">
            <w:pPr>
              <w:rPr>
                <w:lang w:val="fr-FR"/>
              </w:rPr>
            </w:pPr>
            <w:r w:rsidRPr="00A130CA">
              <w:rPr>
                <w:lang w:val="fr-FR"/>
              </w:rPr>
              <w:t>De manière indirecte, le pr</w:t>
            </w:r>
            <w:r>
              <w:rPr>
                <w:lang w:val="fr-FR"/>
              </w:rPr>
              <w:t xml:space="preserve">ojet a permis </w:t>
            </w:r>
            <w:r w:rsidR="00C653B5">
              <w:rPr>
                <w:lang w:val="fr-FR"/>
              </w:rPr>
              <w:t xml:space="preserve">la levée </w:t>
            </w:r>
            <w:r>
              <w:rPr>
                <w:lang w:val="fr-FR"/>
              </w:rPr>
              <w:t xml:space="preserve">de fonds </w:t>
            </w:r>
            <w:r w:rsidR="00E9069B">
              <w:rPr>
                <w:lang w:val="fr-FR"/>
              </w:rPr>
              <w:t>additionnels</w:t>
            </w:r>
            <w:r>
              <w:rPr>
                <w:lang w:val="fr-FR"/>
              </w:rPr>
              <w:t xml:space="preserve"> pour </w:t>
            </w:r>
            <w:r w:rsidR="00C653B5">
              <w:rPr>
                <w:lang w:val="fr-FR"/>
              </w:rPr>
              <w:t>soutenir l’Initiative africaine puis la Cellule d’appui aux garants (par la CEEAC) et la communication sur l’accord de paix (par le Ministère de la Communication :</w:t>
            </w:r>
          </w:p>
          <w:p w14:paraId="7CDC0CA8" w14:textId="77777777" w:rsidR="00C653B5" w:rsidRDefault="00C653B5" w:rsidP="00156C4C">
            <w:pPr>
              <w:rPr>
                <w:lang w:val="fr-FR"/>
              </w:rPr>
            </w:pPr>
          </w:p>
          <w:p w14:paraId="0C5E466F" w14:textId="20705614" w:rsidR="00C653B5" w:rsidRDefault="00C653B5" w:rsidP="00A130CA">
            <w:pPr>
              <w:pStyle w:val="Paragraphedeliste"/>
              <w:numPr>
                <w:ilvl w:val="0"/>
                <w:numId w:val="49"/>
              </w:numPr>
              <w:rPr>
                <w:lang w:val="fr-FR"/>
              </w:rPr>
            </w:pPr>
            <w:r w:rsidRPr="006408BF">
              <w:rPr>
                <w:lang w:val="fr-FR"/>
              </w:rPr>
              <w:t>Union européenne </w:t>
            </w:r>
            <w:r w:rsidRPr="00C653B5">
              <w:rPr>
                <w:lang w:val="fr-FR"/>
              </w:rPr>
              <w:t>(Initiative africaine) :</w:t>
            </w:r>
            <w:r w:rsidR="00B12142">
              <w:rPr>
                <w:lang w:val="fr-FR"/>
              </w:rPr>
              <w:t xml:space="preserve"> montant non précisé</w:t>
            </w:r>
          </w:p>
          <w:p w14:paraId="58F6DDD1" w14:textId="14BF6EC9" w:rsidR="00C653B5" w:rsidRPr="00C653B5" w:rsidRDefault="00C653B5" w:rsidP="00A130CA">
            <w:pPr>
              <w:pStyle w:val="Paragraphedeliste"/>
              <w:numPr>
                <w:ilvl w:val="0"/>
                <w:numId w:val="49"/>
              </w:numPr>
              <w:rPr>
                <w:lang w:val="fr-FR"/>
              </w:rPr>
            </w:pPr>
            <w:r w:rsidRPr="006408BF">
              <w:rPr>
                <w:lang w:val="fr-FR"/>
              </w:rPr>
              <w:t>Etats-Uni</w:t>
            </w:r>
            <w:r w:rsidRPr="00C653B5">
              <w:rPr>
                <w:lang w:val="fr-FR"/>
              </w:rPr>
              <w:t xml:space="preserve">s (Initiative africaine) 500 000 </w:t>
            </w:r>
            <w:r w:rsidR="0022203D" w:rsidRPr="00C653B5">
              <w:rPr>
                <w:lang w:val="fr-FR"/>
              </w:rPr>
              <w:t>USD</w:t>
            </w:r>
          </w:p>
          <w:p w14:paraId="7A86368E" w14:textId="0F09C7F9" w:rsidR="00C653B5" w:rsidRPr="006408BF" w:rsidRDefault="00C653B5" w:rsidP="00A130CA">
            <w:pPr>
              <w:rPr>
                <w:lang w:val="fr-FR"/>
              </w:rPr>
            </w:pPr>
            <w:r w:rsidRPr="00C653B5">
              <w:rPr>
                <w:lang w:val="fr-FR"/>
              </w:rPr>
              <w:t>France (APPR) : 900 000 € dont 300 000 € d’appui direct au Ministère de la Communication et des Médias)</w:t>
            </w:r>
          </w:p>
          <w:p w14:paraId="5EA842B9" w14:textId="74FE919D" w:rsidR="00156C4C" w:rsidRPr="00A130CA" w:rsidRDefault="00C653B5" w:rsidP="006408BF">
            <w:pPr>
              <w:rPr>
                <w:lang w:val="fr-FR"/>
              </w:rPr>
            </w:pPr>
            <w:r>
              <w:rPr>
                <w:lang w:val="fr-FR"/>
              </w:rPr>
              <w:t xml:space="preserve">MINUSCA </w:t>
            </w:r>
            <w:r w:rsidR="00B12142">
              <w:rPr>
                <w:lang w:val="fr-FR"/>
              </w:rPr>
              <w:t xml:space="preserve">O-SRSG : </w:t>
            </w:r>
            <w:r>
              <w:rPr>
                <w:lang w:val="fr-FR"/>
              </w:rPr>
              <w:t>in-</w:t>
            </w:r>
            <w:proofErr w:type="spellStart"/>
            <w:r>
              <w:rPr>
                <w:lang w:val="fr-FR"/>
              </w:rPr>
              <w:t>kind</w:t>
            </w:r>
            <w:proofErr w:type="spellEnd"/>
            <w:r w:rsidR="00B12142">
              <w:rPr>
                <w:lang w:val="fr-FR"/>
              </w:rPr>
              <w:t xml:space="preserve">, </w:t>
            </w:r>
            <w:r>
              <w:rPr>
                <w:lang w:val="fr-FR"/>
              </w:rPr>
              <w:t>mise à disposition d’un P5 pour la Cellule d’appui aux garants</w:t>
            </w:r>
          </w:p>
        </w:tc>
      </w:tr>
      <w:tr w:rsidR="002C187A" w:rsidRPr="00A130CA" w14:paraId="04EF3772" w14:textId="77777777" w:rsidTr="007F7257">
        <w:tc>
          <w:tcPr>
            <w:tcW w:w="4230" w:type="dxa"/>
            <w:shd w:val="clear" w:color="auto" w:fill="auto"/>
          </w:tcPr>
          <w:p w14:paraId="493CE278" w14:textId="77777777" w:rsidR="002C187A" w:rsidRPr="00675507" w:rsidRDefault="00675507" w:rsidP="001A1E86">
            <w:pPr>
              <w:rPr>
                <w:lang w:val="fr-FR"/>
              </w:rPr>
            </w:pPr>
            <w:bookmarkStart w:id="10" w:name="_Hlk43831016"/>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78383B54" w14:textId="77777777" w:rsidR="003E04C5" w:rsidRDefault="003E04C5" w:rsidP="00A130CA">
            <w:pPr>
              <w:jc w:val="both"/>
              <w:rPr>
                <w:lang w:val="fr-FR"/>
              </w:rPr>
            </w:pPr>
            <w:r>
              <w:rPr>
                <w:lang w:val="fr-FR"/>
              </w:rPr>
              <w:t xml:space="preserve">La mise en œuvre de l’accord de paix est un défi continu et les </w:t>
            </w:r>
            <w:r w:rsidRPr="00662CEC">
              <w:rPr>
                <w:lang w:val="fr-FR"/>
              </w:rPr>
              <w:t xml:space="preserve">partenaires </w:t>
            </w:r>
            <w:r>
              <w:rPr>
                <w:lang w:val="fr-FR"/>
              </w:rPr>
              <w:t>techniques et financiers de la RCA sont très engagés pour soutenir sa mise en œuvre, en particulier le désarmement, la démobilisation, le rapatriement et la réintégration des ex-combattants. Mais l’éruption du Covid-19 – qui réduit considérablement les activités dans le pays – et la préparation des élections ont tendance à détourner l’attention des mécanismes de gouvernance de l’accord qui, sans ressources humaines et financières supplémentaires, auront du mal à assurer leurs missions de suivi et de coordination de sa mise en œuvre.</w:t>
            </w:r>
          </w:p>
          <w:p w14:paraId="58A7852C" w14:textId="567BE80A" w:rsidR="00F75660" w:rsidRDefault="003E04C5" w:rsidP="00A130CA">
            <w:pPr>
              <w:jc w:val="both"/>
              <w:rPr>
                <w:lang w:val="fr-FR"/>
              </w:rPr>
            </w:pPr>
            <w:r>
              <w:rPr>
                <w:lang w:val="fr-FR"/>
              </w:rPr>
              <w:t xml:space="preserve">Le PNUD, la MINUSCA et l’OIM prennent toutes les mesures possibles pour un transfert de compétences rapides à l’administration locale pour que la sortie du projet s’opère dans les meilleures conditions. Le déploiement en cours des nouveaux préfets, sous-préfets et secrétaires généraux de préfecture (nommés en février et mars 2020) et l’extension de projet accordée jusqu’à novembre 2020 facilite cette transmission. Le PNUD en particulier continue son plaidoyer auprès des plus hautes autorités nationales pour la mobilisation de ressources internes et envisage de relancer les discussions avec les partenaires traditionnels du pays pour augmenter l’appui déjà engagé avec ce projet. </w:t>
            </w:r>
          </w:p>
          <w:p w14:paraId="4187770E" w14:textId="6252B8EA" w:rsidR="002C187A" w:rsidRPr="005345BB" w:rsidRDefault="002C187A" w:rsidP="00E76CA1">
            <w:pPr>
              <w:rPr>
                <w:lang w:val="fr-FR"/>
              </w:rPr>
            </w:pPr>
          </w:p>
        </w:tc>
      </w:tr>
      <w:bookmarkEnd w:id="10"/>
    </w:tbl>
    <w:p w14:paraId="682EBE58" w14:textId="77777777" w:rsidR="00673D6E" w:rsidRPr="005345BB" w:rsidRDefault="00673D6E" w:rsidP="00E76CA1">
      <w:pPr>
        <w:rPr>
          <w:b/>
          <w:lang w:val="fr-FR"/>
        </w:rPr>
      </w:pPr>
    </w:p>
    <w:p w14:paraId="3BD5EC59" w14:textId="77777777" w:rsidR="004E3B3E" w:rsidRDefault="004E3B3E" w:rsidP="009D1852">
      <w:pPr>
        <w:rPr>
          <w:lang w:val="fr-FR"/>
        </w:rPr>
      </w:pPr>
    </w:p>
    <w:p w14:paraId="54762AD4" w14:textId="77777777" w:rsidR="00F75660" w:rsidRDefault="00F75660" w:rsidP="009D1852">
      <w:pPr>
        <w:rPr>
          <w:lang w:val="fr-FR"/>
        </w:rPr>
      </w:pPr>
    </w:p>
    <w:p w14:paraId="63ED12FA" w14:textId="451C6E56" w:rsidR="00F75660" w:rsidRPr="009D1852" w:rsidRDefault="00F75660" w:rsidP="00F75660">
      <w:pPr>
        <w:rPr>
          <w:lang w:val="fr-FR"/>
        </w:rPr>
        <w:sectPr w:rsidR="00F75660" w:rsidRPr="009D1852" w:rsidSect="0078600B">
          <w:pgSz w:w="11906" w:h="16838"/>
          <w:pgMar w:top="1440" w:right="1800" w:bottom="1440" w:left="1800" w:header="720" w:footer="720" w:gutter="0"/>
          <w:cols w:space="720"/>
          <w:docGrid w:linePitch="360"/>
        </w:sectPr>
      </w:pPr>
    </w:p>
    <w:p w14:paraId="18FE000D"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660"/>
        <w:gridCol w:w="1985"/>
        <w:gridCol w:w="1843"/>
        <w:gridCol w:w="2551"/>
        <w:gridCol w:w="3391"/>
      </w:tblGrid>
      <w:tr w:rsidR="00826923" w:rsidRPr="00A130CA" w14:paraId="55AC7DE0" w14:textId="77777777" w:rsidTr="00A1255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66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985"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1843"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551"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3391"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A130CA" w14:paraId="66F874FD" w14:textId="77777777" w:rsidTr="00A12553">
        <w:trPr>
          <w:trHeight w:val="548"/>
        </w:trPr>
        <w:tc>
          <w:tcPr>
            <w:tcW w:w="1530" w:type="dxa"/>
            <w:vMerge w:val="restart"/>
          </w:tcPr>
          <w:p w14:paraId="5565D14A" w14:textId="77777777" w:rsidR="00826923" w:rsidRPr="0024222C" w:rsidRDefault="00826923" w:rsidP="00826923">
            <w:pPr>
              <w:rPr>
                <w:rFonts w:cs="Tahoma"/>
                <w:b/>
                <w:lang w:val="fr-FR" w:eastAsia="en-US"/>
              </w:rPr>
            </w:pPr>
            <w:r w:rsidRPr="0024222C">
              <w:rPr>
                <w:rFonts w:cs="Tahoma"/>
                <w:b/>
                <w:lang w:val="fr-FR" w:eastAsia="en-US"/>
              </w:rPr>
              <w:t>Résultat 1</w:t>
            </w:r>
          </w:p>
          <w:p w14:paraId="3E1AF8B2" w14:textId="68FC6B53" w:rsidR="00826923" w:rsidRPr="00263BCE" w:rsidRDefault="00263BCE" w:rsidP="00826923">
            <w:pPr>
              <w:rPr>
                <w:rFonts w:cs="Tahoma"/>
                <w:b/>
                <w:sz w:val="22"/>
                <w:szCs w:val="22"/>
                <w:lang w:val="fr-FR" w:eastAsia="en-US"/>
              </w:rPr>
            </w:pPr>
            <w:r w:rsidRPr="0024222C">
              <w:rPr>
                <w:lang w:val="fr-FR" w:eastAsia="en-US"/>
              </w:rPr>
              <w:t>Le soutien à la médiation intra-centrafricaine facilite la recherche d’une paix durable de manière compréhensive, transparente et concertée</w:t>
            </w:r>
          </w:p>
        </w:tc>
        <w:tc>
          <w:tcPr>
            <w:tcW w:w="2070" w:type="dxa"/>
            <w:shd w:val="clear" w:color="auto" w:fill="EEECE1"/>
          </w:tcPr>
          <w:p w14:paraId="2BC3A553" w14:textId="77777777" w:rsidR="00826923" w:rsidRPr="0024222C" w:rsidRDefault="00826923" w:rsidP="00826923">
            <w:pPr>
              <w:jc w:val="both"/>
              <w:rPr>
                <w:rFonts w:cs="Tahoma"/>
                <w:sz w:val="22"/>
                <w:szCs w:val="22"/>
                <w:lang w:val="fr-FR" w:eastAsia="en-US"/>
              </w:rPr>
            </w:pPr>
            <w:r w:rsidRPr="0024222C">
              <w:rPr>
                <w:rFonts w:cs="Tahoma"/>
                <w:sz w:val="22"/>
                <w:szCs w:val="22"/>
                <w:lang w:val="fr-FR" w:eastAsia="en-US"/>
              </w:rPr>
              <w:t>Indicateur 1.1</w:t>
            </w:r>
          </w:p>
          <w:p w14:paraId="0BAA20C5" w14:textId="2E45259C" w:rsidR="00826923" w:rsidRPr="0024222C" w:rsidRDefault="00263BCE" w:rsidP="00826923">
            <w:pPr>
              <w:jc w:val="both"/>
              <w:rPr>
                <w:rFonts w:cs="Tahoma"/>
                <w:sz w:val="22"/>
                <w:szCs w:val="22"/>
                <w:lang w:val="fr-FR" w:eastAsia="en-US"/>
              </w:rPr>
            </w:pPr>
            <w:r w:rsidRPr="0024222C">
              <w:rPr>
                <w:sz w:val="22"/>
                <w:szCs w:val="22"/>
                <w:lang w:val="fr-FR" w:eastAsia="en-US"/>
              </w:rPr>
              <w:t>Aboutissement de la médiation à un accord de paix</w:t>
            </w:r>
          </w:p>
        </w:tc>
        <w:tc>
          <w:tcPr>
            <w:tcW w:w="1660" w:type="dxa"/>
            <w:shd w:val="clear" w:color="auto" w:fill="EEECE1"/>
          </w:tcPr>
          <w:p w14:paraId="18B7E136" w14:textId="1FE57CCB" w:rsidR="00826923" w:rsidRPr="0024222C" w:rsidRDefault="00263BCE" w:rsidP="00826923">
            <w:pPr>
              <w:rPr>
                <w:rFonts w:cs="Tahoma"/>
                <w:sz w:val="22"/>
                <w:szCs w:val="22"/>
                <w:lang w:val="fr-FR" w:eastAsia="en-US"/>
              </w:rPr>
            </w:pPr>
            <w:r w:rsidRPr="0024222C">
              <w:rPr>
                <w:sz w:val="22"/>
                <w:szCs w:val="22"/>
                <w:lang w:val="fr-FR" w:eastAsia="en-US"/>
              </w:rPr>
              <w:t xml:space="preserve">Accords de Brazzaville ; Pacte républicain du Forum de Bangui et accord DDR issu du Forum de Bangui ; Entente de </w:t>
            </w:r>
            <w:proofErr w:type="spellStart"/>
            <w:r w:rsidRPr="0024222C">
              <w:rPr>
                <w:sz w:val="22"/>
                <w:szCs w:val="22"/>
                <w:lang w:val="fr-FR" w:eastAsia="en-US"/>
              </w:rPr>
              <w:t>Sant’Egidio</w:t>
            </w:r>
            <w:proofErr w:type="spellEnd"/>
          </w:p>
        </w:tc>
        <w:tc>
          <w:tcPr>
            <w:tcW w:w="1985" w:type="dxa"/>
            <w:shd w:val="clear" w:color="auto" w:fill="EEECE1"/>
          </w:tcPr>
          <w:p w14:paraId="61479E92" w14:textId="5CF3EE80" w:rsidR="00826923" w:rsidRPr="0024222C" w:rsidRDefault="00CC3F6C" w:rsidP="00826923">
            <w:pPr>
              <w:rPr>
                <w:sz w:val="22"/>
                <w:szCs w:val="22"/>
                <w:lang w:val="fr-FR"/>
              </w:rPr>
            </w:pPr>
            <w:r w:rsidRPr="0024222C">
              <w:rPr>
                <w:sz w:val="22"/>
                <w:szCs w:val="22"/>
                <w:lang w:val="fr-FR" w:eastAsia="en-US"/>
              </w:rPr>
              <w:t>1 Signature d’un accord de paix entre les groupes armés et le gouvernement</w:t>
            </w:r>
          </w:p>
        </w:tc>
        <w:tc>
          <w:tcPr>
            <w:tcW w:w="1843" w:type="dxa"/>
          </w:tcPr>
          <w:p w14:paraId="139B2B99" w14:textId="6C024065" w:rsidR="00826923" w:rsidRPr="0024222C" w:rsidRDefault="0022203D" w:rsidP="00826923">
            <w:pPr>
              <w:rPr>
                <w:sz w:val="22"/>
                <w:szCs w:val="22"/>
                <w:lang w:val="fr-FR"/>
              </w:rPr>
            </w:pPr>
            <w:r>
              <w:rPr>
                <w:b/>
                <w:sz w:val="22"/>
                <w:szCs w:val="22"/>
                <w:lang w:val="fr-FR" w:eastAsia="en-US"/>
              </w:rPr>
              <w:t>N/A</w:t>
            </w:r>
          </w:p>
        </w:tc>
        <w:tc>
          <w:tcPr>
            <w:tcW w:w="2551" w:type="dxa"/>
          </w:tcPr>
          <w:p w14:paraId="42E436EB" w14:textId="7351AED1" w:rsidR="00826923" w:rsidRPr="0024222C" w:rsidRDefault="00CC3F6C" w:rsidP="00826923">
            <w:pPr>
              <w:rPr>
                <w:sz w:val="22"/>
                <w:szCs w:val="22"/>
                <w:lang w:val="fr-FR"/>
              </w:rPr>
            </w:pPr>
            <w:r w:rsidRPr="0024222C">
              <w:rPr>
                <w:sz w:val="22"/>
                <w:szCs w:val="22"/>
                <w:lang w:val="fr-FR" w:eastAsia="en-US"/>
              </w:rPr>
              <w:t xml:space="preserve">Accord politique pour la paix et la réconciliation (APPR) signé le 6 février 2019 à </w:t>
            </w:r>
            <w:proofErr w:type="spellStart"/>
            <w:r w:rsidRPr="0024222C">
              <w:rPr>
                <w:sz w:val="22"/>
                <w:szCs w:val="22"/>
                <w:lang w:val="fr-FR" w:eastAsia="en-US"/>
              </w:rPr>
              <w:t>Bangu</w:t>
            </w:r>
            <w:proofErr w:type="spellEnd"/>
          </w:p>
        </w:tc>
        <w:tc>
          <w:tcPr>
            <w:tcW w:w="3391" w:type="dxa"/>
          </w:tcPr>
          <w:p w14:paraId="481BA0E6" w14:textId="1D373EBB" w:rsidR="00826923" w:rsidRPr="0024222C" w:rsidRDefault="00EE03D8" w:rsidP="00826923">
            <w:pPr>
              <w:rPr>
                <w:bCs/>
                <w:sz w:val="22"/>
                <w:szCs w:val="22"/>
                <w:lang w:val="fr-FR"/>
              </w:rPr>
            </w:pPr>
            <w:r w:rsidRPr="0024222C">
              <w:rPr>
                <w:bCs/>
                <w:sz w:val="22"/>
                <w:szCs w:val="22"/>
                <w:lang w:val="fr-FR" w:eastAsia="en-US"/>
              </w:rPr>
              <w:t>L’accord a été signé en Février 2019, à Bangui</w:t>
            </w:r>
          </w:p>
        </w:tc>
      </w:tr>
      <w:tr w:rsidR="00826923" w:rsidRPr="00A130CA" w14:paraId="08556BB5" w14:textId="77777777" w:rsidTr="00A12553">
        <w:trPr>
          <w:trHeight w:val="548"/>
        </w:trPr>
        <w:tc>
          <w:tcPr>
            <w:tcW w:w="1530" w:type="dxa"/>
            <w:vMerge/>
          </w:tcPr>
          <w:p w14:paraId="64ACFB27" w14:textId="77777777" w:rsidR="00826923" w:rsidRPr="00263BCE" w:rsidRDefault="00826923" w:rsidP="00826923">
            <w:pPr>
              <w:rPr>
                <w:rFonts w:cs="Tahoma"/>
                <w:b/>
                <w:sz w:val="22"/>
                <w:szCs w:val="22"/>
                <w:lang w:val="fr-FR" w:eastAsia="en-US"/>
              </w:rPr>
            </w:pPr>
          </w:p>
        </w:tc>
        <w:tc>
          <w:tcPr>
            <w:tcW w:w="2070" w:type="dxa"/>
            <w:shd w:val="clear" w:color="auto" w:fill="EEECE1"/>
          </w:tcPr>
          <w:p w14:paraId="5B2C00ED" w14:textId="77777777" w:rsidR="00826923" w:rsidRPr="0024222C" w:rsidRDefault="00826923" w:rsidP="00826923">
            <w:pPr>
              <w:jc w:val="both"/>
              <w:rPr>
                <w:rFonts w:cs="Tahoma"/>
                <w:sz w:val="22"/>
                <w:szCs w:val="22"/>
                <w:lang w:val="fr-FR" w:eastAsia="en-US"/>
              </w:rPr>
            </w:pPr>
            <w:r w:rsidRPr="0024222C">
              <w:rPr>
                <w:rFonts w:cs="Tahoma"/>
                <w:sz w:val="22"/>
                <w:szCs w:val="22"/>
                <w:lang w:val="fr-FR" w:eastAsia="en-US"/>
              </w:rPr>
              <w:t>Indicateur 1.2</w:t>
            </w:r>
          </w:p>
          <w:p w14:paraId="422C644E" w14:textId="03FE352D" w:rsidR="00826923" w:rsidRPr="0024222C" w:rsidRDefault="00CC3F6C" w:rsidP="00826923">
            <w:pPr>
              <w:jc w:val="both"/>
              <w:rPr>
                <w:rFonts w:cs="Tahoma"/>
                <w:sz w:val="22"/>
                <w:szCs w:val="22"/>
                <w:lang w:val="fr-FR" w:eastAsia="en-US"/>
              </w:rPr>
            </w:pPr>
            <w:r w:rsidRPr="0024222C">
              <w:rPr>
                <w:sz w:val="22"/>
                <w:szCs w:val="22"/>
                <w:lang w:val="fr-FR" w:eastAsia="en-US"/>
              </w:rPr>
              <w:t>% du dialogue qui comprend la représentation des femmes, des jeunes et des groupes marginalisés.</w:t>
            </w:r>
          </w:p>
        </w:tc>
        <w:tc>
          <w:tcPr>
            <w:tcW w:w="1660" w:type="dxa"/>
            <w:shd w:val="clear" w:color="auto" w:fill="EEECE1"/>
          </w:tcPr>
          <w:p w14:paraId="3C10E6DE" w14:textId="39D70E66" w:rsidR="00826923" w:rsidRPr="0024222C" w:rsidRDefault="00CC3F6C" w:rsidP="00826923">
            <w:pPr>
              <w:rPr>
                <w:sz w:val="22"/>
                <w:szCs w:val="22"/>
                <w:lang w:val="fr-FR"/>
              </w:rPr>
            </w:pPr>
            <w:r w:rsidRPr="0024222C">
              <w:rPr>
                <w:sz w:val="22"/>
                <w:szCs w:val="22"/>
                <w:lang w:val="fr-FR" w:eastAsia="en-US"/>
              </w:rPr>
              <w:t>Etude de base pour l’établissement du niveau de référence</w:t>
            </w:r>
          </w:p>
        </w:tc>
        <w:tc>
          <w:tcPr>
            <w:tcW w:w="1985" w:type="dxa"/>
            <w:shd w:val="clear" w:color="auto" w:fill="EEECE1"/>
          </w:tcPr>
          <w:p w14:paraId="6F75A704" w14:textId="7E1F2FE3" w:rsidR="00826923" w:rsidRPr="0024222C" w:rsidRDefault="00CC3F6C" w:rsidP="00826923">
            <w:pPr>
              <w:rPr>
                <w:sz w:val="22"/>
                <w:szCs w:val="22"/>
                <w:lang w:val="fr-FR"/>
              </w:rPr>
            </w:pPr>
            <w:r w:rsidRPr="0024222C">
              <w:rPr>
                <w:sz w:val="22"/>
                <w:szCs w:val="22"/>
                <w:lang w:val="fr-FR" w:eastAsia="en-US"/>
              </w:rPr>
              <w:t>Au moins 30 % des femmes, des jeunes et groupes marginalisé</w:t>
            </w:r>
          </w:p>
        </w:tc>
        <w:tc>
          <w:tcPr>
            <w:tcW w:w="1843" w:type="dxa"/>
          </w:tcPr>
          <w:p w14:paraId="0F953287" w14:textId="2D6D4766" w:rsidR="00826923" w:rsidRPr="0024222C" w:rsidRDefault="0022203D" w:rsidP="00826923">
            <w:pPr>
              <w:rPr>
                <w:sz w:val="22"/>
                <w:szCs w:val="22"/>
                <w:lang w:val="fr-FR"/>
              </w:rPr>
            </w:pPr>
            <w:r>
              <w:rPr>
                <w:b/>
                <w:sz w:val="22"/>
                <w:szCs w:val="22"/>
                <w:lang w:val="fr-FR" w:eastAsia="en-US"/>
              </w:rPr>
              <w:t>N/A</w:t>
            </w:r>
          </w:p>
        </w:tc>
        <w:tc>
          <w:tcPr>
            <w:tcW w:w="2551" w:type="dxa"/>
          </w:tcPr>
          <w:p w14:paraId="69C01213" w14:textId="0919DAE3" w:rsidR="00826923" w:rsidRPr="0024222C" w:rsidRDefault="00C834E0" w:rsidP="00826923">
            <w:pPr>
              <w:rPr>
                <w:sz w:val="22"/>
                <w:szCs w:val="22"/>
                <w:lang w:val="fr-FR"/>
              </w:rPr>
            </w:pPr>
            <w:r w:rsidRPr="0024222C">
              <w:rPr>
                <w:sz w:val="22"/>
                <w:szCs w:val="22"/>
                <w:lang w:val="fr-FR" w:eastAsia="en-US"/>
              </w:rPr>
              <w:t xml:space="preserve">Au moins </w:t>
            </w:r>
            <w:r w:rsidR="00EE03D8" w:rsidRPr="0024222C">
              <w:rPr>
                <w:sz w:val="22"/>
                <w:szCs w:val="22"/>
                <w:lang w:val="fr-FR" w:eastAsia="en-US"/>
              </w:rPr>
              <w:t>15,68</w:t>
            </w:r>
            <w:r w:rsidRPr="0024222C">
              <w:rPr>
                <w:sz w:val="22"/>
                <w:szCs w:val="22"/>
                <w:lang w:val="fr-FR" w:eastAsia="en-US"/>
              </w:rPr>
              <w:t xml:space="preserve"> % des femmes, des jeunes et groupes marginalisé</w:t>
            </w:r>
            <w:r w:rsidRPr="0024222C">
              <w:rPr>
                <w:b/>
                <w:sz w:val="22"/>
                <w:szCs w:val="22"/>
                <w:lang w:val="fr-FR" w:eastAsia="en-US"/>
              </w:rPr>
              <w:t xml:space="preserve"> </w:t>
            </w:r>
            <w:r w:rsidR="00826923" w:rsidRPr="0024222C">
              <w:rPr>
                <w:b/>
                <w:sz w:val="22"/>
                <w:szCs w:val="22"/>
                <w:lang w:val="fr-FR" w:eastAsia="en-US"/>
              </w:rPr>
              <w:fldChar w:fldCharType="begin">
                <w:ffData>
                  <w:name w:val=""/>
                  <w:enabled/>
                  <w:calcOnExit w:val="0"/>
                  <w:textInput>
                    <w:maxLength w:val="300"/>
                  </w:textInput>
                </w:ffData>
              </w:fldChar>
            </w:r>
            <w:r w:rsidR="00826923" w:rsidRPr="0024222C">
              <w:rPr>
                <w:b/>
                <w:sz w:val="22"/>
                <w:szCs w:val="22"/>
                <w:lang w:val="fr-FR" w:eastAsia="en-US"/>
              </w:rPr>
              <w:instrText xml:space="preserve"> FORMTEXT </w:instrText>
            </w:r>
            <w:r w:rsidR="00826923" w:rsidRPr="0024222C">
              <w:rPr>
                <w:b/>
                <w:sz w:val="22"/>
                <w:szCs w:val="22"/>
                <w:lang w:val="fr-FR" w:eastAsia="en-US"/>
              </w:rPr>
            </w:r>
            <w:r w:rsidR="00826923" w:rsidRPr="0024222C">
              <w:rPr>
                <w:b/>
                <w:sz w:val="22"/>
                <w:szCs w:val="22"/>
                <w:lang w:val="fr-FR" w:eastAsia="en-US"/>
              </w:rPr>
              <w:fldChar w:fldCharType="separate"/>
            </w:r>
            <w:r w:rsidR="00826923" w:rsidRPr="0024222C">
              <w:rPr>
                <w:b/>
                <w:noProof/>
                <w:sz w:val="22"/>
                <w:szCs w:val="22"/>
                <w:lang w:val="fr-FR" w:eastAsia="en-US"/>
              </w:rPr>
              <w:t> </w:t>
            </w:r>
            <w:r w:rsidR="00826923" w:rsidRPr="0024222C">
              <w:rPr>
                <w:b/>
                <w:noProof/>
                <w:sz w:val="22"/>
                <w:szCs w:val="22"/>
                <w:lang w:val="fr-FR" w:eastAsia="en-US"/>
              </w:rPr>
              <w:t> </w:t>
            </w:r>
            <w:r w:rsidR="00826923" w:rsidRPr="0024222C">
              <w:rPr>
                <w:b/>
                <w:noProof/>
                <w:sz w:val="22"/>
                <w:szCs w:val="22"/>
                <w:lang w:val="fr-FR" w:eastAsia="en-US"/>
              </w:rPr>
              <w:t> </w:t>
            </w:r>
            <w:r w:rsidR="00826923" w:rsidRPr="0024222C">
              <w:rPr>
                <w:b/>
                <w:noProof/>
                <w:sz w:val="22"/>
                <w:szCs w:val="22"/>
                <w:lang w:val="fr-FR" w:eastAsia="en-US"/>
              </w:rPr>
              <w:t> </w:t>
            </w:r>
            <w:r w:rsidR="00826923" w:rsidRPr="0024222C">
              <w:rPr>
                <w:b/>
                <w:noProof/>
                <w:sz w:val="22"/>
                <w:szCs w:val="22"/>
                <w:lang w:val="fr-FR" w:eastAsia="en-US"/>
              </w:rPr>
              <w:t> </w:t>
            </w:r>
            <w:r w:rsidR="00826923" w:rsidRPr="0024222C">
              <w:rPr>
                <w:b/>
                <w:sz w:val="22"/>
                <w:szCs w:val="22"/>
                <w:lang w:val="fr-FR" w:eastAsia="en-US"/>
              </w:rPr>
              <w:fldChar w:fldCharType="end"/>
            </w:r>
          </w:p>
        </w:tc>
        <w:tc>
          <w:tcPr>
            <w:tcW w:w="3391" w:type="dxa"/>
          </w:tcPr>
          <w:p w14:paraId="0882431D" w14:textId="7A34CA9A" w:rsidR="00826923" w:rsidRPr="0024222C" w:rsidRDefault="00C834E0" w:rsidP="00826923">
            <w:pPr>
              <w:rPr>
                <w:sz w:val="22"/>
                <w:szCs w:val="22"/>
                <w:lang w:val="fr-FR"/>
              </w:rPr>
            </w:pPr>
            <w:r w:rsidRPr="0024222C">
              <w:rPr>
                <w:sz w:val="22"/>
                <w:szCs w:val="22"/>
                <w:lang w:val="fr-FR" w:eastAsia="en-US"/>
              </w:rPr>
              <w:t>L</w:t>
            </w:r>
            <w:r w:rsidR="00EE03D8" w:rsidRPr="0024222C">
              <w:rPr>
                <w:sz w:val="22"/>
                <w:szCs w:val="22"/>
                <w:lang w:val="fr-FR" w:eastAsia="en-US"/>
              </w:rPr>
              <w:t xml:space="preserve">e </w:t>
            </w:r>
            <w:r w:rsidRPr="0024222C">
              <w:rPr>
                <w:sz w:val="22"/>
                <w:szCs w:val="22"/>
                <w:lang w:val="fr-FR" w:eastAsia="en-US"/>
              </w:rPr>
              <w:t xml:space="preserve">dialogue politique a </w:t>
            </w:r>
            <w:r w:rsidR="00EE03D8" w:rsidRPr="0024222C">
              <w:rPr>
                <w:sz w:val="22"/>
                <w:szCs w:val="22"/>
                <w:lang w:val="fr-FR" w:eastAsia="en-US"/>
              </w:rPr>
              <w:t>privilégié</w:t>
            </w:r>
            <w:r w:rsidRPr="0024222C">
              <w:rPr>
                <w:sz w:val="22"/>
                <w:szCs w:val="22"/>
                <w:lang w:val="fr-FR" w:eastAsia="en-US"/>
              </w:rPr>
              <w:t xml:space="preserve"> la présence des parties au conflit (</w:t>
            </w:r>
            <w:r w:rsidR="00EE03D8" w:rsidRPr="0024222C">
              <w:rPr>
                <w:sz w:val="22"/>
                <w:szCs w:val="22"/>
                <w:lang w:val="fr-FR" w:eastAsia="en-US"/>
              </w:rPr>
              <w:t>G</w:t>
            </w:r>
            <w:r w:rsidRPr="0024222C">
              <w:rPr>
                <w:sz w:val="22"/>
                <w:szCs w:val="22"/>
                <w:lang w:val="fr-FR" w:eastAsia="en-US"/>
              </w:rPr>
              <w:t xml:space="preserve">ouv et GA). Sur une délégation de 22 personnes, 7 femmes côté </w:t>
            </w:r>
            <w:proofErr w:type="spellStart"/>
            <w:r w:rsidRPr="0024222C">
              <w:rPr>
                <w:sz w:val="22"/>
                <w:szCs w:val="22"/>
                <w:lang w:val="fr-FR" w:eastAsia="en-US"/>
              </w:rPr>
              <w:t>GoCAR</w:t>
            </w:r>
            <w:proofErr w:type="spellEnd"/>
            <w:r w:rsidRPr="0024222C">
              <w:rPr>
                <w:sz w:val="22"/>
                <w:szCs w:val="22"/>
                <w:lang w:val="fr-FR" w:eastAsia="en-US"/>
              </w:rPr>
              <w:t>. 1 femme du côté des GA pour 29 personnes.</w:t>
            </w:r>
            <w:r w:rsidRPr="0024222C">
              <w:rPr>
                <w:sz w:val="22"/>
                <w:szCs w:val="22"/>
                <w:lang w:val="fr-FR"/>
              </w:rPr>
              <w:t xml:space="preserve"> </w:t>
            </w:r>
            <w:r w:rsidRPr="0024222C">
              <w:rPr>
                <w:sz w:val="22"/>
                <w:szCs w:val="22"/>
                <w:lang w:val="fr-FR" w:eastAsia="en-US"/>
              </w:rPr>
              <w:t xml:space="preserve">Le projet a initié </w:t>
            </w:r>
            <w:r w:rsidR="00EE03D8" w:rsidRPr="0024222C">
              <w:rPr>
                <w:sz w:val="22"/>
                <w:szCs w:val="22"/>
                <w:lang w:val="fr-FR" w:eastAsia="en-US"/>
              </w:rPr>
              <w:t xml:space="preserve">la </w:t>
            </w:r>
            <w:proofErr w:type="gramStart"/>
            <w:r w:rsidR="00EE03D8" w:rsidRPr="0024222C">
              <w:rPr>
                <w:sz w:val="22"/>
                <w:szCs w:val="22"/>
                <w:lang w:val="fr-FR" w:eastAsia="en-US"/>
              </w:rPr>
              <w:t xml:space="preserve">collecte </w:t>
            </w:r>
            <w:r w:rsidRPr="0024222C">
              <w:rPr>
                <w:sz w:val="22"/>
                <w:szCs w:val="22"/>
                <w:lang w:val="fr-FR" w:eastAsia="en-US"/>
              </w:rPr>
              <w:t xml:space="preserve"> les</w:t>
            </w:r>
            <w:proofErr w:type="gramEnd"/>
            <w:r w:rsidRPr="0024222C">
              <w:rPr>
                <w:sz w:val="22"/>
                <w:szCs w:val="22"/>
                <w:lang w:val="fr-FR" w:eastAsia="en-US"/>
              </w:rPr>
              <w:t xml:space="preserve"> revendications et recommandations des femmes dans les préfecture et facilité la transmission au panel de l'</w:t>
            </w:r>
            <w:r w:rsidR="00EE03D8" w:rsidRPr="0024222C">
              <w:rPr>
                <w:sz w:val="22"/>
                <w:szCs w:val="22"/>
                <w:lang w:val="fr-FR" w:eastAsia="en-US"/>
              </w:rPr>
              <w:t>U</w:t>
            </w:r>
            <w:r w:rsidRPr="0024222C">
              <w:rPr>
                <w:sz w:val="22"/>
                <w:szCs w:val="22"/>
                <w:lang w:val="fr-FR" w:eastAsia="en-US"/>
              </w:rPr>
              <w:t>A</w:t>
            </w:r>
            <w:r w:rsidRPr="0024222C">
              <w:rPr>
                <w:b/>
                <w:sz w:val="22"/>
                <w:szCs w:val="22"/>
                <w:lang w:val="fr-FR" w:eastAsia="en-US"/>
              </w:rPr>
              <w:t xml:space="preserve"> </w:t>
            </w:r>
            <w:r w:rsidR="00826923" w:rsidRPr="0024222C">
              <w:rPr>
                <w:b/>
                <w:sz w:val="22"/>
                <w:szCs w:val="22"/>
                <w:lang w:val="fr-FR" w:eastAsia="en-US"/>
              </w:rPr>
              <w:fldChar w:fldCharType="begin">
                <w:ffData>
                  <w:name w:val=""/>
                  <w:enabled/>
                  <w:calcOnExit w:val="0"/>
                  <w:textInput>
                    <w:maxLength w:val="300"/>
                  </w:textInput>
                </w:ffData>
              </w:fldChar>
            </w:r>
            <w:r w:rsidR="00826923" w:rsidRPr="0024222C">
              <w:rPr>
                <w:b/>
                <w:sz w:val="22"/>
                <w:szCs w:val="22"/>
                <w:lang w:val="fr-FR" w:eastAsia="en-US"/>
              </w:rPr>
              <w:instrText xml:space="preserve"> FORMTEXT </w:instrText>
            </w:r>
            <w:r w:rsidR="00826923" w:rsidRPr="0024222C">
              <w:rPr>
                <w:b/>
                <w:sz w:val="22"/>
                <w:szCs w:val="22"/>
                <w:lang w:val="fr-FR" w:eastAsia="en-US"/>
              </w:rPr>
            </w:r>
            <w:r w:rsidR="00826923" w:rsidRPr="0024222C">
              <w:rPr>
                <w:b/>
                <w:sz w:val="22"/>
                <w:szCs w:val="22"/>
                <w:lang w:val="fr-FR" w:eastAsia="en-US"/>
              </w:rPr>
              <w:fldChar w:fldCharType="separate"/>
            </w:r>
            <w:r w:rsidR="00826923" w:rsidRPr="0024222C">
              <w:rPr>
                <w:b/>
                <w:noProof/>
                <w:sz w:val="22"/>
                <w:szCs w:val="22"/>
                <w:lang w:val="fr-FR" w:eastAsia="en-US"/>
              </w:rPr>
              <w:t> </w:t>
            </w:r>
            <w:r w:rsidR="00826923" w:rsidRPr="0024222C">
              <w:rPr>
                <w:b/>
                <w:noProof/>
                <w:sz w:val="22"/>
                <w:szCs w:val="22"/>
                <w:lang w:val="fr-FR" w:eastAsia="en-US"/>
              </w:rPr>
              <w:t> </w:t>
            </w:r>
            <w:r w:rsidR="00826923" w:rsidRPr="0024222C">
              <w:rPr>
                <w:b/>
                <w:noProof/>
                <w:sz w:val="22"/>
                <w:szCs w:val="22"/>
                <w:lang w:val="fr-FR" w:eastAsia="en-US"/>
              </w:rPr>
              <w:t> </w:t>
            </w:r>
            <w:r w:rsidR="00826923" w:rsidRPr="0024222C">
              <w:rPr>
                <w:b/>
                <w:noProof/>
                <w:sz w:val="22"/>
                <w:szCs w:val="22"/>
                <w:lang w:val="fr-FR" w:eastAsia="en-US"/>
              </w:rPr>
              <w:t> </w:t>
            </w:r>
            <w:r w:rsidR="00826923" w:rsidRPr="0024222C">
              <w:rPr>
                <w:b/>
                <w:noProof/>
                <w:sz w:val="22"/>
                <w:szCs w:val="22"/>
                <w:lang w:val="fr-FR" w:eastAsia="en-US"/>
              </w:rPr>
              <w:t> </w:t>
            </w:r>
            <w:r w:rsidR="00826923" w:rsidRPr="0024222C">
              <w:rPr>
                <w:b/>
                <w:sz w:val="22"/>
                <w:szCs w:val="22"/>
                <w:lang w:val="fr-FR" w:eastAsia="en-US"/>
              </w:rPr>
              <w:fldChar w:fldCharType="end"/>
            </w:r>
          </w:p>
        </w:tc>
      </w:tr>
      <w:tr w:rsidR="00826923" w:rsidRPr="00263BCE" w14:paraId="6A860399" w14:textId="77777777" w:rsidTr="00A12553">
        <w:trPr>
          <w:trHeight w:val="548"/>
        </w:trPr>
        <w:tc>
          <w:tcPr>
            <w:tcW w:w="1530" w:type="dxa"/>
            <w:vMerge/>
          </w:tcPr>
          <w:p w14:paraId="5011ACC2" w14:textId="77777777" w:rsidR="00826923" w:rsidRPr="00263BCE" w:rsidRDefault="00826923" w:rsidP="00826923">
            <w:pPr>
              <w:rPr>
                <w:rFonts w:cs="Tahoma"/>
                <w:sz w:val="22"/>
                <w:szCs w:val="22"/>
                <w:lang w:val="fr-FR" w:eastAsia="en-US"/>
              </w:rPr>
            </w:pPr>
          </w:p>
        </w:tc>
        <w:tc>
          <w:tcPr>
            <w:tcW w:w="2070" w:type="dxa"/>
            <w:shd w:val="clear" w:color="auto" w:fill="EEECE1"/>
          </w:tcPr>
          <w:p w14:paraId="511D7C8C" w14:textId="77777777" w:rsidR="00826923" w:rsidRPr="0024222C" w:rsidRDefault="00826923" w:rsidP="00826923">
            <w:pPr>
              <w:jc w:val="both"/>
              <w:rPr>
                <w:rFonts w:cs="Tahoma"/>
                <w:sz w:val="22"/>
                <w:szCs w:val="22"/>
                <w:lang w:val="fr-FR" w:eastAsia="en-US"/>
              </w:rPr>
            </w:pPr>
            <w:r w:rsidRPr="0024222C">
              <w:rPr>
                <w:rFonts w:cs="Tahoma"/>
                <w:sz w:val="22"/>
                <w:szCs w:val="22"/>
                <w:lang w:val="fr-FR" w:eastAsia="en-US"/>
              </w:rPr>
              <w:t>Indicateur 1.3</w:t>
            </w:r>
          </w:p>
          <w:p w14:paraId="733FDA2D" w14:textId="6B2ED07F" w:rsidR="00826923" w:rsidRPr="0024222C" w:rsidRDefault="00C834E0" w:rsidP="00826923">
            <w:pPr>
              <w:jc w:val="both"/>
              <w:rPr>
                <w:rFonts w:cs="Tahoma"/>
                <w:sz w:val="22"/>
                <w:szCs w:val="22"/>
                <w:lang w:val="fr-FR" w:eastAsia="en-US"/>
              </w:rPr>
            </w:pPr>
            <w:r w:rsidRPr="0024222C">
              <w:rPr>
                <w:sz w:val="22"/>
                <w:szCs w:val="22"/>
                <w:lang w:val="fr-FR" w:eastAsia="en-US"/>
              </w:rPr>
              <w:t>% de la population qui perçoit une amélioration sécuritaire grâce à la mise en œuvre de l’APPR</w:t>
            </w:r>
          </w:p>
        </w:tc>
        <w:tc>
          <w:tcPr>
            <w:tcW w:w="1660" w:type="dxa"/>
            <w:shd w:val="clear" w:color="auto" w:fill="EEECE1"/>
          </w:tcPr>
          <w:p w14:paraId="73A1EFF3" w14:textId="411F723F" w:rsidR="00826923" w:rsidRPr="0024222C" w:rsidRDefault="00C834E0" w:rsidP="00826923">
            <w:pPr>
              <w:rPr>
                <w:sz w:val="22"/>
                <w:szCs w:val="22"/>
                <w:lang w:val="fr-FR"/>
              </w:rPr>
            </w:pPr>
            <w:r w:rsidRPr="0024222C">
              <w:rPr>
                <w:sz w:val="22"/>
                <w:szCs w:val="22"/>
                <w:lang w:val="fr-FR" w:eastAsia="en-US"/>
              </w:rPr>
              <w:t>0%</w:t>
            </w:r>
          </w:p>
        </w:tc>
        <w:tc>
          <w:tcPr>
            <w:tcW w:w="1985" w:type="dxa"/>
            <w:shd w:val="clear" w:color="auto" w:fill="EEECE1"/>
          </w:tcPr>
          <w:p w14:paraId="267F2402" w14:textId="5CD31F81" w:rsidR="00826923" w:rsidRPr="0024222C" w:rsidRDefault="00C834E0" w:rsidP="00826923">
            <w:pPr>
              <w:rPr>
                <w:sz w:val="22"/>
                <w:szCs w:val="22"/>
                <w:lang w:val="fr-FR"/>
              </w:rPr>
            </w:pPr>
            <w:r w:rsidRPr="0024222C">
              <w:rPr>
                <w:sz w:val="22"/>
                <w:szCs w:val="22"/>
                <w:lang w:val="fr-FR" w:eastAsia="en-US"/>
              </w:rPr>
              <w:t>60% (H/F)</w:t>
            </w:r>
          </w:p>
        </w:tc>
        <w:tc>
          <w:tcPr>
            <w:tcW w:w="1843" w:type="dxa"/>
          </w:tcPr>
          <w:p w14:paraId="76951566" w14:textId="5458CC53" w:rsidR="00826923" w:rsidRPr="0024222C" w:rsidRDefault="0022203D" w:rsidP="00826923">
            <w:pPr>
              <w:rPr>
                <w:sz w:val="22"/>
                <w:szCs w:val="22"/>
                <w:lang w:val="fr-FR"/>
              </w:rPr>
            </w:pPr>
            <w:r>
              <w:rPr>
                <w:sz w:val="22"/>
                <w:szCs w:val="22"/>
                <w:lang w:val="fr-FR" w:eastAsia="en-US"/>
              </w:rPr>
              <w:t>N/A</w:t>
            </w:r>
          </w:p>
        </w:tc>
        <w:tc>
          <w:tcPr>
            <w:tcW w:w="2551" w:type="dxa"/>
          </w:tcPr>
          <w:p w14:paraId="5062DE7E" w14:textId="048425F5" w:rsidR="00826923" w:rsidRPr="0024222C" w:rsidRDefault="00C834E0" w:rsidP="00826923">
            <w:pPr>
              <w:rPr>
                <w:sz w:val="22"/>
                <w:szCs w:val="22"/>
                <w:lang w:val="fr-FR"/>
              </w:rPr>
            </w:pPr>
            <w:r w:rsidRPr="0024222C">
              <w:rPr>
                <w:sz w:val="22"/>
                <w:szCs w:val="22"/>
                <w:lang w:val="fr-FR" w:eastAsia="en-US"/>
              </w:rPr>
              <w:t>87% (89% des hommes : 86% des femmes indiquent une amélioration de la situation sécuritaire depuis la signature de l’accord)</w:t>
            </w:r>
          </w:p>
        </w:tc>
        <w:tc>
          <w:tcPr>
            <w:tcW w:w="3391" w:type="dxa"/>
          </w:tcPr>
          <w:p w14:paraId="7BFE6C19" w14:textId="77777777" w:rsidR="00826923" w:rsidRPr="0024222C" w:rsidRDefault="00826923" w:rsidP="00826923">
            <w:pPr>
              <w:rPr>
                <w:sz w:val="22"/>
                <w:szCs w:val="22"/>
                <w:lang w:val="fr-FR"/>
              </w:rPr>
            </w:pPr>
            <w:r w:rsidRPr="0024222C">
              <w:rPr>
                <w:sz w:val="22"/>
                <w:szCs w:val="22"/>
                <w:lang w:val="fr-FR" w:eastAsia="en-US"/>
              </w:rPr>
              <w:fldChar w:fldCharType="begin">
                <w:ffData>
                  <w:name w:val=""/>
                  <w:enabled/>
                  <w:calcOnExit w:val="0"/>
                  <w:textInput>
                    <w:maxLength w:val="300"/>
                  </w:textInput>
                </w:ffData>
              </w:fldChar>
            </w:r>
            <w:r w:rsidRPr="0024222C">
              <w:rPr>
                <w:sz w:val="22"/>
                <w:szCs w:val="22"/>
                <w:lang w:val="fr-FR" w:eastAsia="en-US"/>
              </w:rPr>
              <w:instrText xml:space="preserve"> FORMTEXT </w:instrText>
            </w:r>
            <w:r w:rsidRPr="0024222C">
              <w:rPr>
                <w:sz w:val="22"/>
                <w:szCs w:val="22"/>
                <w:lang w:val="fr-FR" w:eastAsia="en-US"/>
              </w:rPr>
            </w:r>
            <w:r w:rsidRPr="0024222C">
              <w:rPr>
                <w:sz w:val="22"/>
                <w:szCs w:val="22"/>
                <w:lang w:val="fr-FR" w:eastAsia="en-US"/>
              </w:rPr>
              <w:fldChar w:fldCharType="separate"/>
            </w:r>
            <w:r w:rsidRPr="0024222C">
              <w:rPr>
                <w:noProof/>
                <w:sz w:val="22"/>
                <w:szCs w:val="22"/>
                <w:lang w:val="fr-FR" w:eastAsia="en-US"/>
              </w:rPr>
              <w:t> </w:t>
            </w:r>
            <w:r w:rsidRPr="0024222C">
              <w:rPr>
                <w:noProof/>
                <w:sz w:val="22"/>
                <w:szCs w:val="22"/>
                <w:lang w:val="fr-FR" w:eastAsia="en-US"/>
              </w:rPr>
              <w:t> </w:t>
            </w:r>
            <w:r w:rsidRPr="0024222C">
              <w:rPr>
                <w:noProof/>
                <w:sz w:val="22"/>
                <w:szCs w:val="22"/>
                <w:lang w:val="fr-FR" w:eastAsia="en-US"/>
              </w:rPr>
              <w:t> </w:t>
            </w:r>
            <w:r w:rsidRPr="0024222C">
              <w:rPr>
                <w:noProof/>
                <w:sz w:val="22"/>
                <w:szCs w:val="22"/>
                <w:lang w:val="fr-FR" w:eastAsia="en-US"/>
              </w:rPr>
              <w:t> </w:t>
            </w:r>
            <w:r w:rsidRPr="0024222C">
              <w:rPr>
                <w:noProof/>
                <w:sz w:val="22"/>
                <w:szCs w:val="22"/>
                <w:lang w:val="fr-FR" w:eastAsia="en-US"/>
              </w:rPr>
              <w:t> </w:t>
            </w:r>
            <w:r w:rsidRPr="0024222C">
              <w:rPr>
                <w:sz w:val="22"/>
                <w:szCs w:val="22"/>
                <w:lang w:val="fr-FR" w:eastAsia="en-US"/>
              </w:rPr>
              <w:fldChar w:fldCharType="end"/>
            </w:r>
          </w:p>
        </w:tc>
      </w:tr>
      <w:tr w:rsidR="00826923" w:rsidRPr="00263BCE" w14:paraId="5804B447" w14:textId="77777777" w:rsidTr="00A12553">
        <w:trPr>
          <w:trHeight w:val="548"/>
        </w:trPr>
        <w:tc>
          <w:tcPr>
            <w:tcW w:w="1530" w:type="dxa"/>
            <w:vMerge w:val="restart"/>
          </w:tcPr>
          <w:p w14:paraId="324502FD" w14:textId="77777777" w:rsidR="00826923" w:rsidRPr="00263BCE" w:rsidRDefault="00826923" w:rsidP="004C35F4">
            <w:pPr>
              <w:rPr>
                <w:rFonts w:cs="Tahoma"/>
                <w:sz w:val="22"/>
                <w:szCs w:val="22"/>
                <w:lang w:val="fr-FR" w:eastAsia="en-US"/>
              </w:rPr>
            </w:pPr>
            <w:r w:rsidRPr="00263BCE">
              <w:rPr>
                <w:rFonts w:cs="Tahoma"/>
                <w:sz w:val="22"/>
                <w:szCs w:val="22"/>
                <w:lang w:val="fr-FR" w:eastAsia="en-US"/>
              </w:rPr>
              <w:t>Produit 1.1</w:t>
            </w:r>
          </w:p>
          <w:p w14:paraId="6AEAC650" w14:textId="6DD9A84E" w:rsidR="00826923" w:rsidRPr="00263BCE" w:rsidRDefault="004C35F4" w:rsidP="004C35F4">
            <w:pPr>
              <w:rPr>
                <w:rFonts w:cs="Tahoma"/>
                <w:b/>
                <w:sz w:val="22"/>
                <w:szCs w:val="22"/>
                <w:lang w:val="fr-FR" w:eastAsia="en-US"/>
              </w:rPr>
            </w:pPr>
            <w:r w:rsidRPr="002D15CA">
              <w:rPr>
                <w:lang w:val="fr-FR" w:eastAsia="en-US"/>
              </w:rPr>
              <w:t xml:space="preserve">La médiation </w:t>
            </w:r>
            <w:proofErr w:type="spellStart"/>
            <w:r w:rsidRPr="002D15CA">
              <w:rPr>
                <w:lang w:val="fr-FR" w:eastAsia="en-US"/>
              </w:rPr>
              <w:t>intracentrafricaine</w:t>
            </w:r>
            <w:proofErr w:type="spellEnd"/>
            <w:r w:rsidRPr="002D15CA">
              <w:rPr>
                <w:lang w:val="fr-FR" w:eastAsia="en-US"/>
              </w:rPr>
              <w:t xml:space="preserve"> est soutenue à travers un appui technique efficace</w:t>
            </w:r>
            <w:r w:rsidRPr="00263BCE">
              <w:rPr>
                <w:rFonts w:cs="Tahoma"/>
                <w:b/>
                <w:sz w:val="22"/>
                <w:szCs w:val="22"/>
                <w:lang w:val="fr-FR" w:eastAsia="en-US"/>
              </w:rPr>
              <w:t xml:space="preserve"> </w:t>
            </w:r>
          </w:p>
        </w:tc>
        <w:tc>
          <w:tcPr>
            <w:tcW w:w="2070" w:type="dxa"/>
            <w:shd w:val="clear" w:color="auto" w:fill="EEECE1"/>
          </w:tcPr>
          <w:p w14:paraId="4BC6D6A9" w14:textId="77777777" w:rsidR="00826923" w:rsidRPr="0024222C" w:rsidRDefault="00826923" w:rsidP="004C35F4">
            <w:pPr>
              <w:rPr>
                <w:rFonts w:cs="Tahoma"/>
                <w:sz w:val="22"/>
                <w:szCs w:val="22"/>
                <w:lang w:val="fr-FR" w:eastAsia="en-US"/>
              </w:rPr>
            </w:pPr>
            <w:proofErr w:type="gramStart"/>
            <w:r w:rsidRPr="0024222C">
              <w:rPr>
                <w:rFonts w:cs="Tahoma"/>
                <w:sz w:val="22"/>
                <w:szCs w:val="22"/>
                <w:lang w:val="fr-FR" w:eastAsia="en-US"/>
              </w:rPr>
              <w:t>Indicateur  1.1.1</w:t>
            </w:r>
            <w:proofErr w:type="gramEnd"/>
          </w:p>
          <w:p w14:paraId="2625E4F1" w14:textId="5235F722" w:rsidR="00826923" w:rsidRPr="0024222C" w:rsidRDefault="004C35F4" w:rsidP="004C35F4">
            <w:pPr>
              <w:rPr>
                <w:rFonts w:cs="Tahoma"/>
                <w:sz w:val="22"/>
                <w:szCs w:val="22"/>
                <w:lang w:val="fr-FR" w:eastAsia="en-US"/>
              </w:rPr>
            </w:pPr>
            <w:r w:rsidRPr="0024222C">
              <w:rPr>
                <w:sz w:val="22"/>
                <w:szCs w:val="22"/>
                <w:lang w:val="fr-FR" w:eastAsia="en-US"/>
              </w:rPr>
              <w:t>Existence d’un accord entre les parties sur le processus et l’agenda de médiation</w:t>
            </w:r>
          </w:p>
        </w:tc>
        <w:tc>
          <w:tcPr>
            <w:tcW w:w="1660" w:type="dxa"/>
            <w:shd w:val="clear" w:color="auto" w:fill="EEECE1"/>
          </w:tcPr>
          <w:p w14:paraId="16CCB956" w14:textId="2FA6CE27" w:rsidR="00826923" w:rsidRPr="0024222C" w:rsidRDefault="004C35F4" w:rsidP="004C35F4">
            <w:pPr>
              <w:rPr>
                <w:sz w:val="22"/>
                <w:szCs w:val="22"/>
                <w:lang w:val="fr-FR"/>
              </w:rPr>
            </w:pPr>
            <w:r w:rsidRPr="0024222C">
              <w:rPr>
                <w:sz w:val="22"/>
                <w:szCs w:val="22"/>
                <w:lang w:val="fr-FR" w:eastAsia="en-US"/>
              </w:rPr>
              <w:t xml:space="preserve">Un draft de feuille de route et des thèmes à traiter </w:t>
            </w:r>
            <w:proofErr w:type="spellStart"/>
            <w:r w:rsidRPr="0024222C">
              <w:rPr>
                <w:sz w:val="22"/>
                <w:szCs w:val="22"/>
                <w:lang w:val="fr-FR" w:eastAsia="en-US"/>
              </w:rPr>
              <w:t>exist</w:t>
            </w:r>
            <w:proofErr w:type="spellEnd"/>
          </w:p>
        </w:tc>
        <w:tc>
          <w:tcPr>
            <w:tcW w:w="1985" w:type="dxa"/>
            <w:shd w:val="clear" w:color="auto" w:fill="EEECE1"/>
          </w:tcPr>
          <w:p w14:paraId="46EECC2B" w14:textId="0922CC9C" w:rsidR="00826923" w:rsidRPr="0024222C" w:rsidRDefault="004C35F4" w:rsidP="004C35F4">
            <w:pPr>
              <w:rPr>
                <w:sz w:val="22"/>
                <w:szCs w:val="22"/>
                <w:lang w:val="fr-FR"/>
              </w:rPr>
            </w:pPr>
            <w:r w:rsidRPr="0024222C">
              <w:rPr>
                <w:sz w:val="22"/>
                <w:szCs w:val="22"/>
                <w:lang w:val="fr-FR" w:eastAsia="en-US"/>
              </w:rPr>
              <w:t>La feuille de route est adoptée par les parties</w:t>
            </w:r>
          </w:p>
        </w:tc>
        <w:tc>
          <w:tcPr>
            <w:tcW w:w="1843" w:type="dxa"/>
          </w:tcPr>
          <w:p w14:paraId="521B62BD" w14:textId="6DA375CC" w:rsidR="00826923" w:rsidRPr="0024222C" w:rsidRDefault="0022203D" w:rsidP="004C35F4">
            <w:pPr>
              <w:rPr>
                <w:sz w:val="22"/>
                <w:szCs w:val="22"/>
                <w:lang w:val="fr-FR"/>
              </w:rPr>
            </w:pPr>
            <w:r>
              <w:rPr>
                <w:b/>
                <w:sz w:val="22"/>
                <w:szCs w:val="22"/>
                <w:lang w:val="fr-FR" w:eastAsia="en-US"/>
              </w:rPr>
              <w:t>N/A</w:t>
            </w:r>
          </w:p>
        </w:tc>
        <w:tc>
          <w:tcPr>
            <w:tcW w:w="2551" w:type="dxa"/>
          </w:tcPr>
          <w:p w14:paraId="7FA7D3AF" w14:textId="1797095E" w:rsidR="00826923" w:rsidRPr="0024222C" w:rsidRDefault="00DA4336" w:rsidP="004C35F4">
            <w:pPr>
              <w:rPr>
                <w:sz w:val="22"/>
                <w:szCs w:val="22"/>
                <w:lang w:val="fr-FR"/>
              </w:rPr>
            </w:pPr>
            <w:r w:rsidRPr="0024222C">
              <w:rPr>
                <w:sz w:val="22"/>
                <w:szCs w:val="22"/>
                <w:lang w:val="fr-FR" w:eastAsia="en-US"/>
              </w:rPr>
              <w:t>La feuille de route de l'Initiative africaine a été adoptée par les autorités et les groupes armé</w:t>
            </w:r>
            <w:r w:rsidRPr="0024222C">
              <w:rPr>
                <w:sz w:val="22"/>
                <w:szCs w:val="22"/>
                <w:lang w:val="fr-FR"/>
              </w:rPr>
              <w:t>s</w:t>
            </w:r>
          </w:p>
        </w:tc>
        <w:tc>
          <w:tcPr>
            <w:tcW w:w="3391" w:type="dxa"/>
          </w:tcPr>
          <w:p w14:paraId="6470D769" w14:textId="77777777" w:rsidR="00826923" w:rsidRPr="0024222C" w:rsidRDefault="00826923" w:rsidP="004C35F4">
            <w:pPr>
              <w:rPr>
                <w:sz w:val="22"/>
                <w:szCs w:val="22"/>
                <w:lang w:val="fr-FR"/>
              </w:rPr>
            </w:pPr>
            <w:r w:rsidRPr="0024222C">
              <w:rPr>
                <w:b/>
                <w:sz w:val="22"/>
                <w:szCs w:val="22"/>
                <w:lang w:val="fr-FR" w:eastAsia="en-US"/>
              </w:rPr>
              <w:fldChar w:fldCharType="begin">
                <w:ffData>
                  <w:name w:val=""/>
                  <w:enabled/>
                  <w:calcOnExit w:val="0"/>
                  <w:textInput>
                    <w:maxLength w:val="300"/>
                  </w:textInput>
                </w:ffData>
              </w:fldChar>
            </w:r>
            <w:r w:rsidRPr="0024222C">
              <w:rPr>
                <w:b/>
                <w:sz w:val="22"/>
                <w:szCs w:val="22"/>
                <w:lang w:val="fr-FR" w:eastAsia="en-US"/>
              </w:rPr>
              <w:instrText xml:space="preserve"> FORMTEXT </w:instrText>
            </w:r>
            <w:r w:rsidRPr="0024222C">
              <w:rPr>
                <w:b/>
                <w:sz w:val="22"/>
                <w:szCs w:val="22"/>
                <w:lang w:val="fr-FR" w:eastAsia="en-US"/>
              </w:rPr>
            </w:r>
            <w:r w:rsidRPr="0024222C">
              <w:rPr>
                <w:b/>
                <w:sz w:val="22"/>
                <w:szCs w:val="22"/>
                <w:lang w:val="fr-FR" w:eastAsia="en-US"/>
              </w:rPr>
              <w:fldChar w:fldCharType="separate"/>
            </w:r>
            <w:r w:rsidRPr="0024222C">
              <w:rPr>
                <w:b/>
                <w:noProof/>
                <w:sz w:val="22"/>
                <w:szCs w:val="22"/>
                <w:lang w:val="fr-FR" w:eastAsia="en-US"/>
              </w:rPr>
              <w:t> </w:t>
            </w:r>
            <w:r w:rsidRPr="0024222C">
              <w:rPr>
                <w:b/>
                <w:noProof/>
                <w:sz w:val="22"/>
                <w:szCs w:val="22"/>
                <w:lang w:val="fr-FR" w:eastAsia="en-US"/>
              </w:rPr>
              <w:t> </w:t>
            </w:r>
            <w:r w:rsidRPr="0024222C">
              <w:rPr>
                <w:b/>
                <w:noProof/>
                <w:sz w:val="22"/>
                <w:szCs w:val="22"/>
                <w:lang w:val="fr-FR" w:eastAsia="en-US"/>
              </w:rPr>
              <w:t> </w:t>
            </w:r>
            <w:r w:rsidRPr="0024222C">
              <w:rPr>
                <w:b/>
                <w:noProof/>
                <w:sz w:val="22"/>
                <w:szCs w:val="22"/>
                <w:lang w:val="fr-FR" w:eastAsia="en-US"/>
              </w:rPr>
              <w:t> </w:t>
            </w:r>
            <w:r w:rsidRPr="0024222C">
              <w:rPr>
                <w:b/>
                <w:noProof/>
                <w:sz w:val="22"/>
                <w:szCs w:val="22"/>
                <w:lang w:val="fr-FR" w:eastAsia="en-US"/>
              </w:rPr>
              <w:t> </w:t>
            </w:r>
            <w:r w:rsidRPr="0024222C">
              <w:rPr>
                <w:b/>
                <w:sz w:val="22"/>
                <w:szCs w:val="22"/>
                <w:lang w:val="fr-FR" w:eastAsia="en-US"/>
              </w:rPr>
              <w:fldChar w:fldCharType="end"/>
            </w:r>
          </w:p>
        </w:tc>
      </w:tr>
      <w:tr w:rsidR="00826923" w:rsidRPr="005A6420" w14:paraId="15BD3BE2" w14:textId="77777777" w:rsidTr="00A1255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408334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04885E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7E94F7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33E898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7D3282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B2EE17F" w14:textId="77777777" w:rsidTr="00A12553">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4E047363" w:rsidR="00826923" w:rsidRPr="005A6420" w:rsidRDefault="00DA4336" w:rsidP="00826923">
            <w:pPr>
              <w:rPr>
                <w:rFonts w:cs="Tahoma"/>
                <w:szCs w:val="20"/>
                <w:lang w:val="fr-FR" w:eastAsia="en-US"/>
              </w:rPr>
            </w:pPr>
            <w:r w:rsidRPr="002D15CA">
              <w:rPr>
                <w:lang w:val="fr-FR" w:eastAsia="en-US"/>
              </w:rPr>
              <w:t xml:space="preserve">La médiation </w:t>
            </w:r>
            <w:proofErr w:type="spellStart"/>
            <w:r w:rsidRPr="002D15CA">
              <w:rPr>
                <w:lang w:val="fr-FR" w:eastAsia="en-US"/>
              </w:rPr>
              <w:t>intracentrafricaine</w:t>
            </w:r>
            <w:proofErr w:type="spellEnd"/>
            <w:r w:rsidRPr="002D15CA">
              <w:rPr>
                <w:lang w:val="fr-FR" w:eastAsia="en-US"/>
              </w:rPr>
              <w:t xml:space="preserve"> est soutenue avec un </w:t>
            </w:r>
            <w:r w:rsidRPr="002D15CA">
              <w:rPr>
                <w:lang w:val="fr-FR" w:eastAsia="en-US"/>
              </w:rPr>
              <w:lastRenderedPageBreak/>
              <w:t>appui logistique</w:t>
            </w:r>
          </w:p>
        </w:tc>
        <w:tc>
          <w:tcPr>
            <w:tcW w:w="2070" w:type="dxa"/>
            <w:shd w:val="clear" w:color="auto" w:fill="EEECE1"/>
          </w:tcPr>
          <w:p w14:paraId="61FE57A5" w14:textId="77777777" w:rsidR="00826923" w:rsidRPr="0024222C" w:rsidRDefault="00826923" w:rsidP="00826923">
            <w:pPr>
              <w:jc w:val="both"/>
              <w:rPr>
                <w:rFonts w:cs="Tahoma"/>
                <w:sz w:val="22"/>
                <w:szCs w:val="22"/>
                <w:lang w:val="fr-FR" w:eastAsia="en-US"/>
              </w:rPr>
            </w:pPr>
            <w:proofErr w:type="gramStart"/>
            <w:r w:rsidRPr="0024222C">
              <w:rPr>
                <w:rFonts w:cs="Tahoma"/>
                <w:sz w:val="22"/>
                <w:szCs w:val="22"/>
                <w:lang w:val="fr-FR" w:eastAsia="en-US"/>
              </w:rPr>
              <w:lastRenderedPageBreak/>
              <w:t>Indicateur  1.2.1</w:t>
            </w:r>
            <w:proofErr w:type="gramEnd"/>
          </w:p>
          <w:p w14:paraId="7575463B" w14:textId="0FE8715E" w:rsidR="00826923" w:rsidRPr="0024222C" w:rsidRDefault="00DA4336" w:rsidP="00826923">
            <w:pPr>
              <w:jc w:val="both"/>
              <w:rPr>
                <w:rFonts w:cs="Tahoma"/>
                <w:sz w:val="22"/>
                <w:szCs w:val="22"/>
                <w:lang w:val="fr-FR" w:eastAsia="en-US"/>
              </w:rPr>
            </w:pPr>
            <w:r w:rsidRPr="0024222C">
              <w:rPr>
                <w:sz w:val="22"/>
                <w:szCs w:val="22"/>
                <w:lang w:val="fr-FR" w:eastAsia="en-US"/>
              </w:rPr>
              <w:t>Nb de rencontre entre les parties à la médiation</w:t>
            </w:r>
          </w:p>
        </w:tc>
        <w:tc>
          <w:tcPr>
            <w:tcW w:w="1660" w:type="dxa"/>
            <w:shd w:val="clear" w:color="auto" w:fill="EEECE1"/>
          </w:tcPr>
          <w:p w14:paraId="2F1437DA" w14:textId="2B96FB29" w:rsidR="00826923" w:rsidRPr="0024222C" w:rsidRDefault="00DA4336" w:rsidP="00826923">
            <w:pPr>
              <w:rPr>
                <w:sz w:val="22"/>
                <w:szCs w:val="22"/>
                <w:lang w:val="fr-FR"/>
              </w:rPr>
            </w:pPr>
            <w:r w:rsidRPr="0024222C">
              <w:rPr>
                <w:sz w:val="22"/>
                <w:szCs w:val="22"/>
                <w:lang w:val="fr-FR" w:eastAsia="en-US"/>
              </w:rPr>
              <w:t>Aucune réunion tenue dans le cadre de l’IA</w:t>
            </w:r>
          </w:p>
        </w:tc>
        <w:tc>
          <w:tcPr>
            <w:tcW w:w="1985" w:type="dxa"/>
            <w:shd w:val="clear" w:color="auto" w:fill="EEECE1"/>
          </w:tcPr>
          <w:p w14:paraId="35AF67C2" w14:textId="239F19D9" w:rsidR="00826923" w:rsidRPr="0024222C" w:rsidRDefault="00DA4336" w:rsidP="00826923">
            <w:pPr>
              <w:rPr>
                <w:sz w:val="22"/>
                <w:szCs w:val="22"/>
                <w:lang w:val="fr-FR"/>
              </w:rPr>
            </w:pPr>
            <w:r w:rsidRPr="0024222C">
              <w:rPr>
                <w:sz w:val="22"/>
                <w:szCs w:val="22"/>
                <w:lang w:val="fr-FR" w:eastAsia="en-US"/>
              </w:rPr>
              <w:t>Au minimum 6 rencontres entre les parties pendant la durée du projet</w:t>
            </w:r>
          </w:p>
        </w:tc>
        <w:tc>
          <w:tcPr>
            <w:tcW w:w="1843" w:type="dxa"/>
          </w:tcPr>
          <w:p w14:paraId="252C54D8" w14:textId="32EB17A9" w:rsidR="00826923" w:rsidRPr="0024222C" w:rsidRDefault="0022203D" w:rsidP="00826923">
            <w:pPr>
              <w:rPr>
                <w:sz w:val="22"/>
                <w:szCs w:val="22"/>
                <w:lang w:val="fr-FR"/>
              </w:rPr>
            </w:pPr>
            <w:r>
              <w:rPr>
                <w:b/>
                <w:sz w:val="22"/>
                <w:szCs w:val="22"/>
                <w:lang w:val="fr-FR" w:eastAsia="en-US"/>
              </w:rPr>
              <w:t>N/A</w:t>
            </w:r>
          </w:p>
        </w:tc>
        <w:tc>
          <w:tcPr>
            <w:tcW w:w="2551" w:type="dxa"/>
          </w:tcPr>
          <w:p w14:paraId="30BFB45E" w14:textId="260D3673" w:rsidR="00826923" w:rsidRPr="0024222C" w:rsidRDefault="00DA4336" w:rsidP="00826923">
            <w:pPr>
              <w:rPr>
                <w:sz w:val="22"/>
                <w:szCs w:val="22"/>
                <w:lang w:val="fr-FR"/>
              </w:rPr>
            </w:pPr>
            <w:r w:rsidRPr="0024222C">
              <w:rPr>
                <w:sz w:val="22"/>
                <w:szCs w:val="22"/>
                <w:lang w:val="fr-FR"/>
              </w:rPr>
              <w:t>1</w:t>
            </w:r>
            <w:r w:rsidRPr="0024222C">
              <w:rPr>
                <w:sz w:val="22"/>
                <w:szCs w:val="22"/>
                <w:lang w:val="fr-FR" w:eastAsia="en-US"/>
              </w:rPr>
              <w:t>3 rencontres entre le panel et les groupes armés; 6 rencontres du panel ou du président du panel, du rep du STIA avec le chef de l'Etat; aucune rencontre directe entre les parties en conflit</w:t>
            </w:r>
          </w:p>
        </w:tc>
        <w:tc>
          <w:tcPr>
            <w:tcW w:w="3391" w:type="dxa"/>
          </w:tcPr>
          <w:p w14:paraId="45774214" w14:textId="1941219E" w:rsidR="00826923" w:rsidRPr="005A6420" w:rsidRDefault="00263BCE" w:rsidP="00826923">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r>
      <w:tr w:rsidR="00826923" w:rsidRPr="005A6420" w14:paraId="3F95CC23" w14:textId="77777777" w:rsidTr="00A12553">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DC6638" w:rsidRDefault="00826923" w:rsidP="00826923">
            <w:pPr>
              <w:jc w:val="both"/>
              <w:rPr>
                <w:rFonts w:cs="Tahoma"/>
                <w:sz w:val="22"/>
                <w:szCs w:val="22"/>
                <w:lang w:val="fr-FR" w:eastAsia="en-US"/>
              </w:rPr>
            </w:pPr>
            <w:r w:rsidRPr="00DC6638">
              <w:rPr>
                <w:rFonts w:cs="Tahoma"/>
                <w:sz w:val="22"/>
                <w:szCs w:val="22"/>
                <w:lang w:val="fr-FR" w:eastAsia="en-US"/>
              </w:rPr>
              <w:t>Indicateur 1.2.2</w:t>
            </w:r>
          </w:p>
          <w:p w14:paraId="5F819A0F" w14:textId="26D6E16E" w:rsidR="00826923" w:rsidRPr="00DC6638" w:rsidRDefault="00DA4336" w:rsidP="00826923">
            <w:pPr>
              <w:jc w:val="both"/>
              <w:rPr>
                <w:rFonts w:cs="Tahoma"/>
                <w:sz w:val="22"/>
                <w:szCs w:val="22"/>
                <w:lang w:val="fr-FR" w:eastAsia="en-US"/>
              </w:rPr>
            </w:pPr>
            <w:r w:rsidRPr="00DC6638">
              <w:rPr>
                <w:sz w:val="22"/>
                <w:szCs w:val="22"/>
                <w:lang w:val="fr-FR" w:eastAsia="en-US"/>
              </w:rPr>
              <w:t>Capacité de répondre aux besoins logistiques</w:t>
            </w:r>
          </w:p>
        </w:tc>
        <w:tc>
          <w:tcPr>
            <w:tcW w:w="1660" w:type="dxa"/>
            <w:shd w:val="clear" w:color="auto" w:fill="EEECE1"/>
          </w:tcPr>
          <w:p w14:paraId="0A000B97" w14:textId="2D097263" w:rsidR="00826923" w:rsidRPr="00DC6638" w:rsidRDefault="00DA4336" w:rsidP="00826923">
            <w:pPr>
              <w:rPr>
                <w:sz w:val="22"/>
                <w:szCs w:val="22"/>
                <w:lang w:val="fr-FR"/>
              </w:rPr>
            </w:pPr>
            <w:r w:rsidRPr="00DC6638">
              <w:rPr>
                <w:sz w:val="22"/>
                <w:szCs w:val="22"/>
                <w:lang w:val="fr-FR" w:eastAsia="en-US"/>
              </w:rPr>
              <w:t>Local disponibilité par l'UA</w:t>
            </w:r>
          </w:p>
        </w:tc>
        <w:tc>
          <w:tcPr>
            <w:tcW w:w="1985" w:type="dxa"/>
            <w:shd w:val="clear" w:color="auto" w:fill="EEECE1"/>
          </w:tcPr>
          <w:p w14:paraId="1ED7EF6E" w14:textId="77777777" w:rsidR="00DA4336" w:rsidRPr="00DC6638" w:rsidRDefault="00DA4336" w:rsidP="00DA4336">
            <w:pPr>
              <w:rPr>
                <w:sz w:val="22"/>
                <w:szCs w:val="22"/>
                <w:lang w:val="fr-FR" w:eastAsia="en-US"/>
              </w:rPr>
            </w:pPr>
            <w:r w:rsidRPr="00DC6638">
              <w:rPr>
                <w:sz w:val="22"/>
                <w:szCs w:val="22"/>
                <w:lang w:val="fr-FR" w:eastAsia="en-US"/>
              </w:rPr>
              <w:t>La documentation pour les réunions des parties est préparée</w:t>
            </w:r>
          </w:p>
          <w:p w14:paraId="3EC9670A" w14:textId="5D08FF23" w:rsidR="00826923" w:rsidRPr="00DC6638" w:rsidRDefault="00DA4336" w:rsidP="00DA4336">
            <w:pPr>
              <w:rPr>
                <w:sz w:val="22"/>
                <w:szCs w:val="22"/>
                <w:lang w:val="fr-FR"/>
              </w:rPr>
            </w:pPr>
            <w:r w:rsidRPr="00DC6638">
              <w:rPr>
                <w:sz w:val="22"/>
                <w:szCs w:val="22"/>
                <w:lang w:val="fr-FR" w:eastAsia="en-US"/>
              </w:rPr>
              <w:t>Les rapports des réunions des parties sont rédigés</w:t>
            </w:r>
          </w:p>
        </w:tc>
        <w:tc>
          <w:tcPr>
            <w:tcW w:w="1843" w:type="dxa"/>
          </w:tcPr>
          <w:p w14:paraId="4F82B38A" w14:textId="7FF76E4E" w:rsidR="00826923" w:rsidRPr="00DC6638" w:rsidRDefault="0022203D" w:rsidP="00826923">
            <w:pPr>
              <w:rPr>
                <w:sz w:val="22"/>
                <w:szCs w:val="22"/>
                <w:lang w:val="fr-FR"/>
              </w:rPr>
            </w:pPr>
            <w:r>
              <w:rPr>
                <w:b/>
                <w:sz w:val="22"/>
                <w:szCs w:val="22"/>
                <w:lang w:val="fr-FR" w:eastAsia="en-US"/>
              </w:rPr>
              <w:t>N/A</w:t>
            </w:r>
          </w:p>
        </w:tc>
        <w:tc>
          <w:tcPr>
            <w:tcW w:w="2551" w:type="dxa"/>
          </w:tcPr>
          <w:p w14:paraId="29FFE072" w14:textId="77777777" w:rsidR="00DA4336" w:rsidRPr="00DC6638" w:rsidRDefault="00DA4336" w:rsidP="00DA4336">
            <w:pPr>
              <w:rPr>
                <w:sz w:val="22"/>
                <w:szCs w:val="22"/>
                <w:lang w:val="fr-FR" w:eastAsia="en-US"/>
              </w:rPr>
            </w:pPr>
            <w:r w:rsidRPr="00DC6638">
              <w:rPr>
                <w:sz w:val="22"/>
                <w:szCs w:val="22"/>
                <w:lang w:val="fr-FR" w:eastAsia="en-US"/>
              </w:rPr>
              <w:t xml:space="preserve">STIA staffé et équipé (chef STIA+ </w:t>
            </w:r>
            <w:proofErr w:type="spellStart"/>
            <w:r w:rsidRPr="00DC6638">
              <w:rPr>
                <w:sz w:val="22"/>
                <w:szCs w:val="22"/>
                <w:lang w:val="fr-FR" w:eastAsia="en-US"/>
              </w:rPr>
              <w:t>logistic</w:t>
            </w:r>
            <w:proofErr w:type="spellEnd"/>
            <w:r w:rsidRPr="00DC6638">
              <w:rPr>
                <w:sz w:val="22"/>
                <w:szCs w:val="22"/>
                <w:lang w:val="fr-FR" w:eastAsia="en-US"/>
              </w:rPr>
              <w:t xml:space="preserve"> ; 2 </w:t>
            </w:r>
            <w:proofErr w:type="gramStart"/>
            <w:r w:rsidRPr="00DC6638">
              <w:rPr>
                <w:sz w:val="22"/>
                <w:szCs w:val="22"/>
                <w:lang w:val="fr-FR" w:eastAsia="en-US"/>
              </w:rPr>
              <w:t>ordi;</w:t>
            </w:r>
            <w:proofErr w:type="gramEnd"/>
            <w:r w:rsidRPr="00DC6638">
              <w:rPr>
                <w:sz w:val="22"/>
                <w:szCs w:val="22"/>
                <w:lang w:val="fr-FR" w:eastAsia="en-US"/>
              </w:rPr>
              <w:t xml:space="preserve"> 1 imprimante, fournitures de bureau) </w:t>
            </w:r>
          </w:p>
          <w:p w14:paraId="58524E81" w14:textId="77777777" w:rsidR="00DA4336" w:rsidRPr="00DC6638" w:rsidRDefault="00DA4336" w:rsidP="00DA4336">
            <w:pPr>
              <w:rPr>
                <w:sz w:val="22"/>
                <w:szCs w:val="22"/>
                <w:lang w:val="fr-FR" w:eastAsia="en-US"/>
              </w:rPr>
            </w:pPr>
            <w:r w:rsidRPr="00DC6638">
              <w:rPr>
                <w:sz w:val="22"/>
                <w:szCs w:val="22"/>
                <w:lang w:val="fr-FR" w:eastAsia="en-US"/>
              </w:rPr>
              <w:t>- documents de supports et rapports des réunions disponibles ;</w:t>
            </w:r>
          </w:p>
          <w:p w14:paraId="689A8394" w14:textId="77777777" w:rsidR="00DA4336" w:rsidRPr="00DC6638" w:rsidRDefault="00DA4336" w:rsidP="00DA4336">
            <w:pPr>
              <w:rPr>
                <w:sz w:val="22"/>
                <w:szCs w:val="22"/>
                <w:lang w:val="fr-FR" w:eastAsia="en-US"/>
              </w:rPr>
            </w:pPr>
            <w:r w:rsidRPr="00DC6638">
              <w:rPr>
                <w:sz w:val="22"/>
                <w:szCs w:val="22"/>
                <w:lang w:val="fr-FR" w:eastAsia="en-US"/>
              </w:rPr>
              <w:t>- déplacements et prise en charge du panel des facilitateurs</w:t>
            </w:r>
          </w:p>
          <w:p w14:paraId="642E84DB" w14:textId="0AB6A102" w:rsidR="00826923" w:rsidRPr="00DC6638" w:rsidRDefault="00DA4336" w:rsidP="00DA4336">
            <w:pPr>
              <w:rPr>
                <w:sz w:val="22"/>
                <w:szCs w:val="22"/>
                <w:lang w:val="fr-FR"/>
              </w:rPr>
            </w:pPr>
            <w:proofErr w:type="gramStart"/>
            <w:r w:rsidRPr="00DC6638">
              <w:rPr>
                <w:sz w:val="22"/>
                <w:szCs w:val="22"/>
                <w:lang w:val="fr-FR" w:eastAsia="en-US"/>
              </w:rPr>
              <w:t>assurée</w:t>
            </w:r>
            <w:proofErr w:type="gramEnd"/>
          </w:p>
        </w:tc>
        <w:tc>
          <w:tcPr>
            <w:tcW w:w="3391"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130CA" w14:paraId="4CC8423E" w14:textId="77777777" w:rsidTr="00A12553">
        <w:trPr>
          <w:trHeight w:val="422"/>
        </w:trPr>
        <w:tc>
          <w:tcPr>
            <w:tcW w:w="1530"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143778C6" w:rsidR="00826923" w:rsidRPr="005A6420" w:rsidRDefault="00DA4336" w:rsidP="00826923">
            <w:pPr>
              <w:rPr>
                <w:rFonts w:cs="Tahoma"/>
                <w:szCs w:val="20"/>
                <w:lang w:val="fr-FR" w:eastAsia="en-US"/>
              </w:rPr>
            </w:pPr>
            <w:r>
              <w:rPr>
                <w:lang w:val="fr-FR" w:eastAsia="en-US"/>
              </w:rPr>
              <w:t xml:space="preserve">Le </w:t>
            </w:r>
            <w:r w:rsidRPr="007D74CE">
              <w:rPr>
                <w:lang w:val="fr-FR" w:eastAsia="en-US"/>
              </w:rPr>
              <w:t xml:space="preserve">ST-CES, les 16 Comités préfectoraux de mise en œuvre (CMOP) et les Comités techniques de sécurité (CTS) bénéficient d’un appui technique </w:t>
            </w:r>
            <w:r w:rsidRPr="007D74CE">
              <w:rPr>
                <w:lang w:val="fr-FR" w:eastAsia="en-US"/>
              </w:rPr>
              <w:lastRenderedPageBreak/>
              <w:t>pour faciliter la mise en œuvre et le suivi de l’accord politique pour la paix et la réconciliation au nivea</w:t>
            </w:r>
            <w:r>
              <w:rPr>
                <w:lang w:val="fr-FR" w:eastAsia="en-US"/>
              </w:rPr>
              <w:t>u préfectoral</w:t>
            </w:r>
          </w:p>
        </w:tc>
        <w:tc>
          <w:tcPr>
            <w:tcW w:w="2070" w:type="dxa"/>
            <w:shd w:val="clear" w:color="auto" w:fill="EEECE1"/>
          </w:tcPr>
          <w:p w14:paraId="05C5E529" w14:textId="77777777" w:rsidR="00826923" w:rsidRPr="00751EBE" w:rsidRDefault="00826923" w:rsidP="00826923">
            <w:pPr>
              <w:jc w:val="both"/>
              <w:rPr>
                <w:rFonts w:cs="Tahoma"/>
                <w:sz w:val="22"/>
                <w:szCs w:val="22"/>
                <w:lang w:val="fr-FR" w:eastAsia="en-US"/>
              </w:rPr>
            </w:pPr>
            <w:r w:rsidRPr="00751EBE">
              <w:rPr>
                <w:rFonts w:cs="Tahoma"/>
                <w:sz w:val="22"/>
                <w:szCs w:val="22"/>
                <w:lang w:val="fr-FR" w:eastAsia="en-US"/>
              </w:rPr>
              <w:lastRenderedPageBreak/>
              <w:t>Indicateur 1.3.1</w:t>
            </w:r>
          </w:p>
          <w:p w14:paraId="13F4F9B7" w14:textId="3E64C8E7" w:rsidR="00826923" w:rsidRPr="00751EBE" w:rsidRDefault="00DA4336" w:rsidP="00826923">
            <w:pPr>
              <w:jc w:val="both"/>
              <w:rPr>
                <w:rFonts w:cs="Tahoma"/>
                <w:sz w:val="22"/>
                <w:szCs w:val="22"/>
                <w:lang w:val="fr-FR" w:eastAsia="en-US"/>
              </w:rPr>
            </w:pPr>
            <w:r w:rsidRPr="00751EBE">
              <w:rPr>
                <w:sz w:val="22"/>
                <w:szCs w:val="22"/>
                <w:lang w:val="fr-FR" w:eastAsia="en-US"/>
              </w:rPr>
              <w:t>Nombre de mécanismes appuyés et opérationnels</w:t>
            </w:r>
          </w:p>
        </w:tc>
        <w:tc>
          <w:tcPr>
            <w:tcW w:w="1660" w:type="dxa"/>
            <w:shd w:val="clear" w:color="auto" w:fill="EEECE1"/>
          </w:tcPr>
          <w:p w14:paraId="381C8E37" w14:textId="72B4A58A" w:rsidR="00826923" w:rsidRPr="00751EBE" w:rsidRDefault="00DA4336" w:rsidP="00826923">
            <w:pPr>
              <w:rPr>
                <w:sz w:val="22"/>
                <w:szCs w:val="22"/>
                <w:lang w:val="fr-FR"/>
              </w:rPr>
            </w:pPr>
            <w:r w:rsidRPr="00751EBE">
              <w:rPr>
                <w:sz w:val="22"/>
                <w:szCs w:val="22"/>
                <w:lang w:val="fr-FR" w:eastAsia="en-US"/>
              </w:rPr>
              <w:t>0</w:t>
            </w:r>
          </w:p>
        </w:tc>
        <w:tc>
          <w:tcPr>
            <w:tcW w:w="1985" w:type="dxa"/>
            <w:shd w:val="clear" w:color="auto" w:fill="EEECE1"/>
          </w:tcPr>
          <w:p w14:paraId="67CF71CB" w14:textId="2AD5D8FA" w:rsidR="00DA4336" w:rsidRPr="00751EBE" w:rsidRDefault="00DA4336" w:rsidP="00DA4336">
            <w:pPr>
              <w:rPr>
                <w:sz w:val="22"/>
                <w:szCs w:val="22"/>
                <w:lang w:val="fr-FR" w:eastAsia="en-US"/>
              </w:rPr>
            </w:pPr>
            <w:r w:rsidRPr="00751EBE">
              <w:rPr>
                <w:sz w:val="22"/>
                <w:szCs w:val="22"/>
                <w:lang w:val="fr-FR" w:eastAsia="en-US"/>
              </w:rPr>
              <w:t xml:space="preserve">1 secrétariat technique du Comité exécutif de suivi installé ; </w:t>
            </w:r>
          </w:p>
          <w:p w14:paraId="3A889851" w14:textId="21997B8A" w:rsidR="00826923" w:rsidRPr="00751EBE" w:rsidRDefault="00DA4336" w:rsidP="00C465DA">
            <w:pPr>
              <w:pStyle w:val="Paragraphedeliste"/>
              <w:numPr>
                <w:ilvl w:val="0"/>
                <w:numId w:val="44"/>
              </w:numPr>
              <w:ind w:hanging="32"/>
              <w:rPr>
                <w:sz w:val="22"/>
                <w:szCs w:val="22"/>
                <w:lang w:val="fr-FR"/>
              </w:rPr>
            </w:pPr>
            <w:proofErr w:type="gramStart"/>
            <w:r w:rsidRPr="00751EBE">
              <w:rPr>
                <w:sz w:val="22"/>
                <w:szCs w:val="22"/>
                <w:lang w:val="fr-FR" w:eastAsia="en-US"/>
              </w:rPr>
              <w:t>au</w:t>
            </w:r>
            <w:proofErr w:type="gramEnd"/>
            <w:r w:rsidRPr="00751EBE">
              <w:rPr>
                <w:sz w:val="22"/>
                <w:szCs w:val="22"/>
                <w:lang w:val="fr-FR" w:eastAsia="en-US"/>
              </w:rPr>
              <w:t xml:space="preserve"> </w:t>
            </w:r>
            <w:proofErr w:type="spellStart"/>
            <w:r w:rsidRPr="00751EBE">
              <w:rPr>
                <w:sz w:val="22"/>
                <w:szCs w:val="22"/>
                <w:lang w:val="fr-FR" w:eastAsia="en-US"/>
              </w:rPr>
              <w:t>mois</w:t>
            </w:r>
            <w:proofErr w:type="spellEnd"/>
            <w:r w:rsidRPr="00751EBE">
              <w:rPr>
                <w:sz w:val="22"/>
                <w:szCs w:val="22"/>
                <w:lang w:val="fr-FR" w:eastAsia="en-US"/>
              </w:rPr>
              <w:t xml:space="preserve"> 3 formations spécifiques organisées pour les membres du ST-CES ;</w:t>
            </w:r>
          </w:p>
        </w:tc>
        <w:tc>
          <w:tcPr>
            <w:tcW w:w="1843" w:type="dxa"/>
          </w:tcPr>
          <w:p w14:paraId="25482814" w14:textId="524FA437" w:rsidR="00826923" w:rsidRPr="00751EBE" w:rsidRDefault="0022203D" w:rsidP="00826923">
            <w:pPr>
              <w:rPr>
                <w:sz w:val="22"/>
                <w:szCs w:val="22"/>
                <w:lang w:val="fr-FR"/>
              </w:rPr>
            </w:pPr>
            <w:r>
              <w:rPr>
                <w:sz w:val="22"/>
                <w:szCs w:val="22"/>
                <w:lang w:val="fr-FR" w:eastAsia="en-US"/>
              </w:rPr>
              <w:t>N/A</w:t>
            </w:r>
          </w:p>
        </w:tc>
        <w:tc>
          <w:tcPr>
            <w:tcW w:w="2551" w:type="dxa"/>
          </w:tcPr>
          <w:p w14:paraId="36DA1E94" w14:textId="77777777" w:rsidR="00826923" w:rsidRPr="00751EBE" w:rsidRDefault="00C6777D" w:rsidP="00826923">
            <w:pPr>
              <w:rPr>
                <w:sz w:val="22"/>
                <w:szCs w:val="22"/>
                <w:lang w:val="fr-FR"/>
              </w:rPr>
            </w:pPr>
            <w:r w:rsidRPr="00751EBE">
              <w:rPr>
                <w:sz w:val="22"/>
                <w:szCs w:val="22"/>
                <w:lang w:val="fr-FR"/>
              </w:rPr>
              <w:t xml:space="preserve">31 mécanismes soutenus (1 </w:t>
            </w:r>
            <w:r w:rsidR="00DA4336" w:rsidRPr="00751EBE">
              <w:rPr>
                <w:sz w:val="22"/>
                <w:szCs w:val="22"/>
                <w:lang w:val="fr-FR"/>
              </w:rPr>
              <w:t>Le ST-CES est installé et opérationnel</w:t>
            </w:r>
            <w:r w:rsidRPr="00751EBE">
              <w:rPr>
                <w:sz w:val="22"/>
                <w:szCs w:val="22"/>
                <w:lang w:val="fr-FR"/>
              </w:rPr>
              <w:t> ; 14 CMOP créés et opérationnels ; 16 CTS créés)</w:t>
            </w:r>
          </w:p>
          <w:p w14:paraId="5C365A23" w14:textId="6EDC862C" w:rsidR="00C465DA" w:rsidRPr="00751EBE" w:rsidRDefault="00C465DA" w:rsidP="00C465DA">
            <w:pPr>
              <w:pStyle w:val="Paragraphedeliste"/>
              <w:numPr>
                <w:ilvl w:val="0"/>
                <w:numId w:val="44"/>
              </w:numPr>
              <w:ind w:hanging="37"/>
              <w:rPr>
                <w:sz w:val="22"/>
                <w:szCs w:val="22"/>
                <w:lang w:val="fr-FR"/>
              </w:rPr>
            </w:pPr>
            <w:r w:rsidRPr="00751EBE">
              <w:rPr>
                <w:sz w:val="22"/>
                <w:szCs w:val="22"/>
                <w:lang w:val="fr-FR"/>
              </w:rPr>
              <w:t xml:space="preserve">0 formations au ST-CES ; 11 formations aux CMOP </w:t>
            </w:r>
          </w:p>
        </w:tc>
        <w:tc>
          <w:tcPr>
            <w:tcW w:w="3391" w:type="dxa"/>
          </w:tcPr>
          <w:p w14:paraId="46C21A4D" w14:textId="77777777" w:rsidR="00826923" w:rsidRPr="00751EBE" w:rsidRDefault="00BC3D29" w:rsidP="00826923">
            <w:pPr>
              <w:rPr>
                <w:sz w:val="22"/>
                <w:szCs w:val="22"/>
                <w:lang w:val="fr-FR" w:eastAsia="en-US"/>
              </w:rPr>
            </w:pPr>
            <w:r w:rsidRPr="00751EBE">
              <w:rPr>
                <w:sz w:val="22"/>
                <w:szCs w:val="22"/>
                <w:lang w:val="fr-FR" w:eastAsia="en-US"/>
              </w:rPr>
              <w:t>Le ST-CES est à présent l’organe de coordination des interventions de terrain, le CMON étant composé des ministres, les points relatifs à la mise en œuvre de l’APPR sont débattus en réunions de cabinets et conseil des ministres ;</w:t>
            </w:r>
          </w:p>
          <w:p w14:paraId="2C2CC682" w14:textId="2C8C2F2D" w:rsidR="00BC3D29" w:rsidRPr="00751EBE" w:rsidRDefault="00BC3D29" w:rsidP="00826923">
            <w:pPr>
              <w:rPr>
                <w:sz w:val="22"/>
                <w:szCs w:val="22"/>
                <w:lang w:val="fr-FR"/>
              </w:rPr>
            </w:pPr>
            <w:r w:rsidRPr="00751EBE">
              <w:rPr>
                <w:sz w:val="22"/>
                <w:szCs w:val="22"/>
                <w:lang w:val="fr-FR" w:eastAsia="en-US"/>
              </w:rPr>
              <w:t xml:space="preserve">Pas de formations spécifiques pour le ST-CES composés d’experts du </w:t>
            </w:r>
            <w:proofErr w:type="spellStart"/>
            <w:r w:rsidRPr="00751EBE">
              <w:rPr>
                <w:sz w:val="22"/>
                <w:szCs w:val="22"/>
                <w:lang w:val="fr-FR" w:eastAsia="en-US"/>
              </w:rPr>
              <w:t>GoCAR</w:t>
            </w:r>
            <w:proofErr w:type="spellEnd"/>
            <w:r w:rsidRPr="00751EBE">
              <w:rPr>
                <w:sz w:val="22"/>
                <w:szCs w:val="22"/>
                <w:lang w:val="fr-FR" w:eastAsia="en-US"/>
              </w:rPr>
              <w:t>, mais formations aux CMOP sur le terrain, avec appui de l’OIM et MINUSCA</w:t>
            </w:r>
          </w:p>
        </w:tc>
      </w:tr>
      <w:tr w:rsidR="00826923" w:rsidRPr="005A6420" w14:paraId="00C542B2" w14:textId="77777777" w:rsidTr="00A12553">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315C59" w:rsidRDefault="00826923" w:rsidP="00826923">
            <w:pPr>
              <w:jc w:val="both"/>
              <w:rPr>
                <w:rFonts w:cs="Tahoma"/>
                <w:sz w:val="22"/>
                <w:szCs w:val="22"/>
                <w:lang w:val="fr-FR" w:eastAsia="en-US"/>
              </w:rPr>
            </w:pPr>
            <w:r w:rsidRPr="00315C59">
              <w:rPr>
                <w:rFonts w:cs="Tahoma"/>
                <w:sz w:val="22"/>
                <w:szCs w:val="22"/>
                <w:lang w:val="fr-FR" w:eastAsia="en-US"/>
              </w:rPr>
              <w:t>Indicateur 1.3.2</w:t>
            </w:r>
          </w:p>
          <w:p w14:paraId="393760B4" w14:textId="4140EBD1" w:rsidR="00826923" w:rsidRPr="00315C59" w:rsidRDefault="00DA4336" w:rsidP="00826923">
            <w:pPr>
              <w:jc w:val="both"/>
              <w:rPr>
                <w:rFonts w:cs="Tahoma"/>
                <w:sz w:val="22"/>
                <w:szCs w:val="22"/>
                <w:lang w:val="fr-FR" w:eastAsia="en-US"/>
              </w:rPr>
            </w:pPr>
            <w:r w:rsidRPr="00315C59">
              <w:rPr>
                <w:sz w:val="22"/>
                <w:szCs w:val="22"/>
                <w:lang w:val="fr-FR" w:eastAsia="en-US"/>
              </w:rPr>
              <w:t>Nombre de rapports de mission produits par les CTS</w:t>
            </w:r>
          </w:p>
        </w:tc>
        <w:tc>
          <w:tcPr>
            <w:tcW w:w="1660" w:type="dxa"/>
            <w:shd w:val="clear" w:color="auto" w:fill="EEECE1"/>
          </w:tcPr>
          <w:p w14:paraId="1C85A585" w14:textId="668B80BA" w:rsidR="00826923" w:rsidRPr="00315C59" w:rsidRDefault="00DA4336" w:rsidP="00826923">
            <w:pPr>
              <w:rPr>
                <w:sz w:val="22"/>
                <w:szCs w:val="22"/>
                <w:lang w:val="fr-FR"/>
              </w:rPr>
            </w:pPr>
            <w:r w:rsidRPr="00315C59">
              <w:rPr>
                <w:sz w:val="22"/>
                <w:szCs w:val="22"/>
                <w:lang w:val="fr-FR"/>
              </w:rPr>
              <w:t>0</w:t>
            </w:r>
          </w:p>
        </w:tc>
        <w:tc>
          <w:tcPr>
            <w:tcW w:w="1985" w:type="dxa"/>
            <w:shd w:val="clear" w:color="auto" w:fill="EEECE1"/>
          </w:tcPr>
          <w:p w14:paraId="39724C82" w14:textId="5AFBB74D" w:rsidR="00DA4336" w:rsidRPr="00315C59" w:rsidRDefault="00C465DA" w:rsidP="00DA4336">
            <w:pPr>
              <w:rPr>
                <w:sz w:val="22"/>
                <w:szCs w:val="22"/>
                <w:lang w:val="fr-FR" w:eastAsia="en-US"/>
              </w:rPr>
            </w:pPr>
            <w:r w:rsidRPr="00315C59">
              <w:rPr>
                <w:sz w:val="22"/>
                <w:szCs w:val="22"/>
                <w:lang w:val="fr-FR" w:eastAsia="en-US"/>
              </w:rPr>
              <w:t xml:space="preserve">- </w:t>
            </w:r>
            <w:r w:rsidR="00DA4336" w:rsidRPr="00315C59">
              <w:rPr>
                <w:sz w:val="22"/>
                <w:szCs w:val="22"/>
                <w:lang w:val="fr-FR" w:eastAsia="en-US"/>
              </w:rPr>
              <w:t xml:space="preserve">Au moins 10 missions de terrain organisées dans le cadre des activités </w:t>
            </w:r>
            <w:r w:rsidR="00DA4336" w:rsidRPr="00315C59">
              <w:rPr>
                <w:sz w:val="22"/>
                <w:szCs w:val="22"/>
                <w:lang w:val="fr-FR" w:eastAsia="en-US"/>
              </w:rPr>
              <w:lastRenderedPageBreak/>
              <w:t>des CMOP et des CTS ;</w:t>
            </w:r>
          </w:p>
          <w:p w14:paraId="4E2BA7C6" w14:textId="70EDF0FD" w:rsidR="00826923" w:rsidRPr="00315C59" w:rsidRDefault="00DA4336" w:rsidP="00DA4336">
            <w:pPr>
              <w:rPr>
                <w:sz w:val="22"/>
                <w:szCs w:val="22"/>
                <w:lang w:val="fr-FR"/>
              </w:rPr>
            </w:pPr>
            <w:r w:rsidRPr="00315C59">
              <w:rPr>
                <w:sz w:val="22"/>
                <w:szCs w:val="22"/>
                <w:lang w:val="fr-FR" w:eastAsia="en-US"/>
              </w:rPr>
              <w:t>-</w:t>
            </w:r>
            <w:r w:rsidRPr="00315C59">
              <w:rPr>
                <w:sz w:val="22"/>
                <w:szCs w:val="22"/>
                <w:lang w:val="fr-FR" w:eastAsia="en-US"/>
              </w:rPr>
              <w:tab/>
              <w:t>Au moins 6 formations dans les domaines spécifiques dispensés aux membres des CTS et CMOP</w:t>
            </w:r>
          </w:p>
        </w:tc>
        <w:tc>
          <w:tcPr>
            <w:tcW w:w="1843" w:type="dxa"/>
          </w:tcPr>
          <w:p w14:paraId="7BD02334" w14:textId="545BB1D0" w:rsidR="00826923" w:rsidRPr="00315C59" w:rsidRDefault="0022203D" w:rsidP="00826923">
            <w:pPr>
              <w:rPr>
                <w:sz w:val="22"/>
                <w:szCs w:val="22"/>
                <w:lang w:val="fr-FR"/>
              </w:rPr>
            </w:pPr>
            <w:r>
              <w:rPr>
                <w:b/>
                <w:sz w:val="22"/>
                <w:szCs w:val="22"/>
                <w:lang w:val="fr-FR" w:eastAsia="en-US"/>
              </w:rPr>
              <w:lastRenderedPageBreak/>
              <w:t>N/A</w:t>
            </w:r>
          </w:p>
        </w:tc>
        <w:tc>
          <w:tcPr>
            <w:tcW w:w="2551" w:type="dxa"/>
          </w:tcPr>
          <w:p w14:paraId="19FC74DD" w14:textId="77777777" w:rsidR="00E8445E" w:rsidRPr="00315C59" w:rsidRDefault="00E8445E" w:rsidP="00E8445E">
            <w:pPr>
              <w:pStyle w:val="Paragraphedeliste"/>
              <w:numPr>
                <w:ilvl w:val="0"/>
                <w:numId w:val="44"/>
              </w:numPr>
              <w:ind w:hanging="37"/>
              <w:rPr>
                <w:bCs/>
                <w:sz w:val="22"/>
                <w:szCs w:val="22"/>
                <w:lang w:val="fr-FR"/>
              </w:rPr>
            </w:pPr>
            <w:r w:rsidRPr="00315C59">
              <w:rPr>
                <w:bCs/>
                <w:sz w:val="22"/>
                <w:szCs w:val="22"/>
                <w:lang w:val="fr-FR" w:eastAsia="en-US"/>
              </w:rPr>
              <w:t>32 missions de terrains organisées et soutenues (CMOP et CTS confondues)</w:t>
            </w:r>
          </w:p>
          <w:p w14:paraId="6C431606" w14:textId="77777777" w:rsidR="00826923" w:rsidRPr="00315C59" w:rsidRDefault="00E8445E" w:rsidP="00E8445E">
            <w:pPr>
              <w:rPr>
                <w:bCs/>
                <w:sz w:val="22"/>
                <w:szCs w:val="22"/>
                <w:lang w:val="fr-FR" w:eastAsia="en-US"/>
              </w:rPr>
            </w:pPr>
            <w:r w:rsidRPr="00315C59">
              <w:rPr>
                <w:bCs/>
                <w:sz w:val="22"/>
                <w:szCs w:val="22"/>
                <w:lang w:val="fr-FR" w:eastAsia="en-US"/>
              </w:rPr>
              <w:lastRenderedPageBreak/>
              <w:t>32 rapports de missions avec recommandations transmises au ST-CES et CMON</w:t>
            </w:r>
          </w:p>
          <w:p w14:paraId="7AE37EA5" w14:textId="7743BED2" w:rsidR="00E8445E" w:rsidRPr="00315C59" w:rsidRDefault="00E8445E" w:rsidP="00E8445E">
            <w:pPr>
              <w:pStyle w:val="Paragraphedeliste"/>
              <w:numPr>
                <w:ilvl w:val="0"/>
                <w:numId w:val="44"/>
              </w:numPr>
              <w:rPr>
                <w:sz w:val="22"/>
                <w:szCs w:val="22"/>
                <w:lang w:val="fr-FR"/>
              </w:rPr>
            </w:pPr>
            <w:r w:rsidRPr="00315C59">
              <w:rPr>
                <w:sz w:val="22"/>
                <w:szCs w:val="22"/>
                <w:lang w:val="fr-FR"/>
              </w:rPr>
              <w:t>- 11 formations organisées et/ou facilitées par les experts pour le CMOP (APPR, DDRR, retour déplacés et réfugiés, VBG)</w:t>
            </w:r>
          </w:p>
        </w:tc>
        <w:tc>
          <w:tcPr>
            <w:tcW w:w="3391" w:type="dxa"/>
          </w:tcPr>
          <w:p w14:paraId="047E6A6B" w14:textId="77777777" w:rsidR="00826923" w:rsidRPr="00315C59" w:rsidRDefault="00826923" w:rsidP="00826923">
            <w:pPr>
              <w:rPr>
                <w:sz w:val="22"/>
                <w:szCs w:val="22"/>
                <w:lang w:val="fr-FR"/>
              </w:rPr>
            </w:pPr>
            <w:r w:rsidRPr="00315C59">
              <w:rPr>
                <w:b/>
                <w:sz w:val="22"/>
                <w:szCs w:val="22"/>
                <w:lang w:val="fr-FR" w:eastAsia="en-US"/>
              </w:rPr>
              <w:lastRenderedPageBreak/>
              <w:fldChar w:fldCharType="begin">
                <w:ffData>
                  <w:name w:val=""/>
                  <w:enabled/>
                  <w:calcOnExit w:val="0"/>
                  <w:textInput>
                    <w:maxLength w:val="300"/>
                  </w:textInput>
                </w:ffData>
              </w:fldChar>
            </w:r>
            <w:r w:rsidRPr="00315C59">
              <w:rPr>
                <w:b/>
                <w:sz w:val="22"/>
                <w:szCs w:val="22"/>
                <w:lang w:val="fr-FR" w:eastAsia="en-US"/>
              </w:rPr>
              <w:instrText xml:space="preserve"> FORMTEXT </w:instrText>
            </w:r>
            <w:r w:rsidRPr="00315C59">
              <w:rPr>
                <w:b/>
                <w:sz w:val="22"/>
                <w:szCs w:val="22"/>
                <w:lang w:val="fr-FR" w:eastAsia="en-US"/>
              </w:rPr>
            </w:r>
            <w:r w:rsidRPr="00315C59">
              <w:rPr>
                <w:b/>
                <w:sz w:val="22"/>
                <w:szCs w:val="22"/>
                <w:lang w:val="fr-FR" w:eastAsia="en-US"/>
              </w:rPr>
              <w:fldChar w:fldCharType="separate"/>
            </w:r>
            <w:r w:rsidRPr="00315C59">
              <w:rPr>
                <w:b/>
                <w:noProof/>
                <w:sz w:val="22"/>
                <w:szCs w:val="22"/>
                <w:lang w:val="fr-FR" w:eastAsia="en-US"/>
              </w:rPr>
              <w:t> </w:t>
            </w:r>
            <w:r w:rsidRPr="00315C59">
              <w:rPr>
                <w:b/>
                <w:noProof/>
                <w:sz w:val="22"/>
                <w:szCs w:val="22"/>
                <w:lang w:val="fr-FR" w:eastAsia="en-US"/>
              </w:rPr>
              <w:t> </w:t>
            </w:r>
            <w:r w:rsidRPr="00315C59">
              <w:rPr>
                <w:b/>
                <w:noProof/>
                <w:sz w:val="22"/>
                <w:szCs w:val="22"/>
                <w:lang w:val="fr-FR" w:eastAsia="en-US"/>
              </w:rPr>
              <w:t> </w:t>
            </w:r>
            <w:r w:rsidRPr="00315C59">
              <w:rPr>
                <w:b/>
                <w:noProof/>
                <w:sz w:val="22"/>
                <w:szCs w:val="22"/>
                <w:lang w:val="fr-FR" w:eastAsia="en-US"/>
              </w:rPr>
              <w:t> </w:t>
            </w:r>
            <w:r w:rsidRPr="00315C59">
              <w:rPr>
                <w:b/>
                <w:noProof/>
                <w:sz w:val="22"/>
                <w:szCs w:val="22"/>
                <w:lang w:val="fr-FR" w:eastAsia="en-US"/>
              </w:rPr>
              <w:t> </w:t>
            </w:r>
            <w:r w:rsidRPr="00315C59">
              <w:rPr>
                <w:b/>
                <w:sz w:val="22"/>
                <w:szCs w:val="22"/>
                <w:lang w:val="fr-FR" w:eastAsia="en-US"/>
              </w:rPr>
              <w:fldChar w:fldCharType="end"/>
            </w:r>
          </w:p>
        </w:tc>
      </w:tr>
      <w:tr w:rsidR="00826923" w:rsidRPr="00A130CA" w14:paraId="7B8139A0" w14:textId="77777777" w:rsidTr="00A12553">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42EBEAA3" w:rsidR="00826923" w:rsidRPr="005A6420" w:rsidRDefault="00DA4336" w:rsidP="00826923">
            <w:pPr>
              <w:rPr>
                <w:rFonts w:cs="Tahoma"/>
                <w:szCs w:val="20"/>
                <w:lang w:val="fr-FR" w:eastAsia="en-US"/>
              </w:rPr>
            </w:pPr>
            <w:r w:rsidRPr="007D74CE">
              <w:rPr>
                <w:lang w:val="fr-FR" w:eastAsia="en-US"/>
              </w:rPr>
              <w:t xml:space="preserve">Le Secrétariat technique du Comité Exécutif de Suivi (ST-CES), les 16 Comités préfectoraux de mise en </w:t>
            </w:r>
            <w:r w:rsidRPr="007D74CE">
              <w:rPr>
                <w:lang w:val="fr-FR" w:eastAsia="en-US"/>
              </w:rPr>
              <w:lastRenderedPageBreak/>
              <w:t>œuvre (CMOP) et les Comités techniques de sécurité (CTS) bénéficient d’un appui logistique</w:t>
            </w:r>
          </w:p>
        </w:tc>
        <w:tc>
          <w:tcPr>
            <w:tcW w:w="2070" w:type="dxa"/>
            <w:shd w:val="clear" w:color="auto" w:fill="EEECE1"/>
          </w:tcPr>
          <w:p w14:paraId="4162329A" w14:textId="77777777" w:rsidR="00826923" w:rsidRPr="00315C59" w:rsidRDefault="00826923" w:rsidP="00826923">
            <w:pPr>
              <w:jc w:val="both"/>
              <w:rPr>
                <w:rFonts w:cs="Tahoma"/>
                <w:sz w:val="22"/>
                <w:szCs w:val="22"/>
                <w:lang w:val="fr-FR" w:eastAsia="en-US"/>
              </w:rPr>
            </w:pPr>
            <w:r w:rsidRPr="00315C59">
              <w:rPr>
                <w:rFonts w:cs="Tahoma"/>
                <w:sz w:val="22"/>
                <w:szCs w:val="22"/>
                <w:lang w:val="fr-FR" w:eastAsia="en-US"/>
              </w:rPr>
              <w:lastRenderedPageBreak/>
              <w:t>Indicateur 1.4.1</w:t>
            </w:r>
          </w:p>
          <w:p w14:paraId="6F3C0BDE" w14:textId="550C28F2" w:rsidR="00826923" w:rsidRPr="00315C59" w:rsidRDefault="00DA4336" w:rsidP="00826923">
            <w:pPr>
              <w:jc w:val="both"/>
              <w:rPr>
                <w:rFonts w:cs="Tahoma"/>
                <w:sz w:val="22"/>
                <w:szCs w:val="22"/>
                <w:lang w:val="fr-FR" w:eastAsia="en-US"/>
              </w:rPr>
            </w:pPr>
            <w:r w:rsidRPr="00315C59">
              <w:rPr>
                <w:sz w:val="22"/>
                <w:szCs w:val="22"/>
                <w:lang w:val="fr-FR" w:eastAsia="en-US"/>
              </w:rPr>
              <w:t>Capacité de répondre aux besoins logistiques</w:t>
            </w:r>
          </w:p>
        </w:tc>
        <w:tc>
          <w:tcPr>
            <w:tcW w:w="1660" w:type="dxa"/>
            <w:shd w:val="clear" w:color="auto" w:fill="EEECE1"/>
          </w:tcPr>
          <w:p w14:paraId="6DA04040" w14:textId="77777777" w:rsidR="00826923" w:rsidRPr="00315C59" w:rsidRDefault="00826923" w:rsidP="00826923">
            <w:pPr>
              <w:rPr>
                <w:sz w:val="22"/>
                <w:szCs w:val="22"/>
                <w:lang w:val="fr-FR"/>
              </w:rPr>
            </w:pPr>
            <w:r w:rsidRPr="00315C59">
              <w:rPr>
                <w:b/>
                <w:sz w:val="22"/>
                <w:szCs w:val="22"/>
                <w:lang w:val="fr-FR" w:eastAsia="en-US"/>
              </w:rPr>
              <w:fldChar w:fldCharType="begin">
                <w:ffData>
                  <w:name w:val=""/>
                  <w:enabled/>
                  <w:calcOnExit w:val="0"/>
                  <w:textInput>
                    <w:maxLength w:val="300"/>
                  </w:textInput>
                </w:ffData>
              </w:fldChar>
            </w:r>
            <w:r w:rsidRPr="00315C59">
              <w:rPr>
                <w:b/>
                <w:sz w:val="22"/>
                <w:szCs w:val="22"/>
                <w:lang w:val="fr-FR" w:eastAsia="en-US"/>
              </w:rPr>
              <w:instrText xml:space="preserve"> FORMTEXT </w:instrText>
            </w:r>
            <w:r w:rsidRPr="00315C59">
              <w:rPr>
                <w:b/>
                <w:sz w:val="22"/>
                <w:szCs w:val="22"/>
                <w:lang w:val="fr-FR" w:eastAsia="en-US"/>
              </w:rPr>
            </w:r>
            <w:r w:rsidRPr="00315C59">
              <w:rPr>
                <w:b/>
                <w:sz w:val="22"/>
                <w:szCs w:val="22"/>
                <w:lang w:val="fr-FR" w:eastAsia="en-US"/>
              </w:rPr>
              <w:fldChar w:fldCharType="separate"/>
            </w:r>
            <w:r w:rsidRPr="00315C59">
              <w:rPr>
                <w:b/>
                <w:noProof/>
                <w:sz w:val="22"/>
                <w:szCs w:val="22"/>
                <w:lang w:val="fr-FR" w:eastAsia="en-US"/>
              </w:rPr>
              <w:t> </w:t>
            </w:r>
            <w:r w:rsidRPr="00315C59">
              <w:rPr>
                <w:b/>
                <w:noProof/>
                <w:sz w:val="22"/>
                <w:szCs w:val="22"/>
                <w:lang w:val="fr-FR" w:eastAsia="en-US"/>
              </w:rPr>
              <w:t> </w:t>
            </w:r>
            <w:r w:rsidRPr="00315C59">
              <w:rPr>
                <w:b/>
                <w:noProof/>
                <w:sz w:val="22"/>
                <w:szCs w:val="22"/>
                <w:lang w:val="fr-FR" w:eastAsia="en-US"/>
              </w:rPr>
              <w:t> </w:t>
            </w:r>
            <w:r w:rsidRPr="00315C59">
              <w:rPr>
                <w:b/>
                <w:noProof/>
                <w:sz w:val="22"/>
                <w:szCs w:val="22"/>
                <w:lang w:val="fr-FR" w:eastAsia="en-US"/>
              </w:rPr>
              <w:t> </w:t>
            </w:r>
            <w:r w:rsidRPr="00315C59">
              <w:rPr>
                <w:b/>
                <w:noProof/>
                <w:sz w:val="22"/>
                <w:szCs w:val="22"/>
                <w:lang w:val="fr-FR" w:eastAsia="en-US"/>
              </w:rPr>
              <w:t> </w:t>
            </w:r>
            <w:r w:rsidRPr="00315C59">
              <w:rPr>
                <w:b/>
                <w:sz w:val="22"/>
                <w:szCs w:val="22"/>
                <w:lang w:val="fr-FR" w:eastAsia="en-US"/>
              </w:rPr>
              <w:fldChar w:fldCharType="end"/>
            </w:r>
          </w:p>
        </w:tc>
        <w:tc>
          <w:tcPr>
            <w:tcW w:w="1985" w:type="dxa"/>
            <w:shd w:val="clear" w:color="auto" w:fill="EEECE1"/>
          </w:tcPr>
          <w:p w14:paraId="7C0E7DE5" w14:textId="4EC41CE0" w:rsidR="00DA4336" w:rsidRPr="00315C59" w:rsidRDefault="00A12553" w:rsidP="00DA4336">
            <w:pPr>
              <w:rPr>
                <w:sz w:val="22"/>
                <w:szCs w:val="22"/>
                <w:lang w:val="fr-FR" w:eastAsia="en-US"/>
              </w:rPr>
            </w:pPr>
            <w:r w:rsidRPr="00315C59">
              <w:rPr>
                <w:sz w:val="22"/>
                <w:szCs w:val="22"/>
                <w:lang w:val="fr-FR" w:eastAsia="en-US"/>
              </w:rPr>
              <w:t>-</w:t>
            </w:r>
            <w:r w:rsidR="00DA4336" w:rsidRPr="00315C59">
              <w:rPr>
                <w:sz w:val="22"/>
                <w:szCs w:val="22"/>
                <w:lang w:val="fr-FR" w:eastAsia="en-US"/>
              </w:rPr>
              <w:t>Au moins 10 missions de terrain soutenues ;</w:t>
            </w:r>
          </w:p>
          <w:p w14:paraId="37CDDA27" w14:textId="5300C050" w:rsidR="00826923" w:rsidRPr="00315C59" w:rsidRDefault="00DA4336" w:rsidP="00DA4336">
            <w:pPr>
              <w:rPr>
                <w:sz w:val="22"/>
                <w:szCs w:val="22"/>
                <w:lang w:val="fr-FR"/>
              </w:rPr>
            </w:pPr>
            <w:r w:rsidRPr="00315C59">
              <w:rPr>
                <w:sz w:val="22"/>
                <w:szCs w:val="22"/>
                <w:lang w:val="fr-FR" w:eastAsia="en-US"/>
              </w:rPr>
              <w:t>-</w:t>
            </w:r>
            <w:r w:rsidRPr="00315C59">
              <w:rPr>
                <w:sz w:val="22"/>
                <w:szCs w:val="22"/>
                <w:lang w:val="fr-FR" w:eastAsia="en-US"/>
              </w:rPr>
              <w:tab/>
              <w:t>Au moins 10 résultats de missions remontés au niveau local puis central</w:t>
            </w:r>
          </w:p>
        </w:tc>
        <w:tc>
          <w:tcPr>
            <w:tcW w:w="1843" w:type="dxa"/>
          </w:tcPr>
          <w:p w14:paraId="6F36CA3B" w14:textId="5CC15E9D" w:rsidR="00826923" w:rsidRPr="00315C59" w:rsidRDefault="0022203D" w:rsidP="00826923">
            <w:pPr>
              <w:rPr>
                <w:sz w:val="22"/>
                <w:szCs w:val="22"/>
                <w:lang w:val="fr-FR"/>
              </w:rPr>
            </w:pPr>
            <w:r>
              <w:rPr>
                <w:b/>
                <w:sz w:val="22"/>
                <w:szCs w:val="22"/>
                <w:lang w:val="fr-FR" w:eastAsia="en-US"/>
              </w:rPr>
              <w:t>N/A</w:t>
            </w:r>
          </w:p>
        </w:tc>
        <w:tc>
          <w:tcPr>
            <w:tcW w:w="2551" w:type="dxa"/>
          </w:tcPr>
          <w:p w14:paraId="7F270C1A" w14:textId="77777777" w:rsidR="00826923" w:rsidRPr="00315C59" w:rsidRDefault="00C465DA" w:rsidP="00C465DA">
            <w:pPr>
              <w:pStyle w:val="Paragraphedeliste"/>
              <w:numPr>
                <w:ilvl w:val="0"/>
                <w:numId w:val="44"/>
              </w:numPr>
              <w:ind w:hanging="37"/>
              <w:rPr>
                <w:bCs/>
                <w:sz w:val="22"/>
                <w:szCs w:val="22"/>
                <w:lang w:val="fr-FR"/>
              </w:rPr>
            </w:pPr>
            <w:r w:rsidRPr="00315C59">
              <w:rPr>
                <w:bCs/>
                <w:sz w:val="22"/>
                <w:szCs w:val="22"/>
                <w:lang w:val="fr-FR" w:eastAsia="en-US"/>
              </w:rPr>
              <w:t>32 missions de terrains organisées et soutenues (CMOP et CTS confondues)</w:t>
            </w:r>
          </w:p>
          <w:p w14:paraId="0DEAE828" w14:textId="77777777" w:rsidR="00C465DA" w:rsidRPr="00315C59" w:rsidRDefault="00C465DA" w:rsidP="00C465DA">
            <w:pPr>
              <w:pStyle w:val="Paragraphedeliste"/>
              <w:numPr>
                <w:ilvl w:val="0"/>
                <w:numId w:val="44"/>
              </w:numPr>
              <w:ind w:hanging="37"/>
              <w:rPr>
                <w:bCs/>
                <w:sz w:val="22"/>
                <w:szCs w:val="22"/>
                <w:lang w:val="fr-FR"/>
              </w:rPr>
            </w:pPr>
            <w:r w:rsidRPr="00315C59">
              <w:rPr>
                <w:bCs/>
                <w:sz w:val="22"/>
                <w:szCs w:val="22"/>
                <w:lang w:val="fr-FR" w:eastAsia="en-US"/>
              </w:rPr>
              <w:t xml:space="preserve">32 rapports de missions avec recommandations transmises au ST-CES et CMON </w:t>
            </w:r>
          </w:p>
          <w:p w14:paraId="641B5F4E" w14:textId="77777777" w:rsidR="00ED16E3" w:rsidRDefault="00ED16E3" w:rsidP="00C465DA">
            <w:pPr>
              <w:pStyle w:val="Paragraphedeliste"/>
              <w:numPr>
                <w:ilvl w:val="0"/>
                <w:numId w:val="44"/>
              </w:numPr>
              <w:ind w:hanging="37"/>
              <w:rPr>
                <w:bCs/>
                <w:sz w:val="22"/>
                <w:szCs w:val="22"/>
                <w:lang w:val="fr-FR"/>
              </w:rPr>
            </w:pPr>
            <w:r w:rsidRPr="00315C59">
              <w:rPr>
                <w:bCs/>
                <w:sz w:val="22"/>
                <w:szCs w:val="22"/>
                <w:lang w:val="fr-FR"/>
              </w:rPr>
              <w:t>11 formations organisées et/ou facilitées par les experts pour le CMOP (APPR, DDRR, retour déplacés et réfugiés, VBG)</w:t>
            </w:r>
          </w:p>
          <w:p w14:paraId="23F91EE3" w14:textId="06223B51" w:rsidR="00B12142" w:rsidRPr="00315C59" w:rsidRDefault="00B12142" w:rsidP="00C465DA">
            <w:pPr>
              <w:pStyle w:val="Paragraphedeliste"/>
              <w:numPr>
                <w:ilvl w:val="0"/>
                <w:numId w:val="44"/>
              </w:numPr>
              <w:ind w:hanging="37"/>
              <w:rPr>
                <w:bCs/>
                <w:sz w:val="22"/>
                <w:szCs w:val="22"/>
                <w:lang w:val="fr-FR"/>
              </w:rPr>
            </w:pPr>
            <w:r>
              <w:rPr>
                <w:bCs/>
                <w:sz w:val="22"/>
                <w:szCs w:val="22"/>
                <w:lang w:val="fr-FR"/>
              </w:rPr>
              <w:lastRenderedPageBreak/>
              <w:t>- 9 missions soutenues pour la cellule de suivi des garants</w:t>
            </w:r>
          </w:p>
        </w:tc>
        <w:tc>
          <w:tcPr>
            <w:tcW w:w="3391" w:type="dxa"/>
          </w:tcPr>
          <w:p w14:paraId="2722C235" w14:textId="79662CDB" w:rsidR="00826923" w:rsidRPr="00315C59" w:rsidRDefault="00E5479F" w:rsidP="00826923">
            <w:pPr>
              <w:rPr>
                <w:bCs/>
                <w:sz w:val="22"/>
                <w:szCs w:val="22"/>
                <w:lang w:val="fr-FR"/>
              </w:rPr>
            </w:pPr>
            <w:r w:rsidRPr="00315C59">
              <w:rPr>
                <w:bCs/>
                <w:sz w:val="22"/>
                <w:szCs w:val="22"/>
                <w:lang w:val="fr-FR" w:eastAsia="en-US"/>
              </w:rPr>
              <w:lastRenderedPageBreak/>
              <w:t>En plus de l’appui aux missions, l’appui du projet concerne aussi la mise à disposition d’outils didactiques, de nécessaire de travail (</w:t>
            </w:r>
            <w:proofErr w:type="spellStart"/>
            <w:r w:rsidRPr="00315C59">
              <w:rPr>
                <w:bCs/>
                <w:sz w:val="22"/>
                <w:szCs w:val="22"/>
                <w:lang w:val="fr-FR" w:eastAsia="en-US"/>
              </w:rPr>
              <w:t>ie</w:t>
            </w:r>
            <w:proofErr w:type="spellEnd"/>
            <w:r w:rsidRPr="00315C59">
              <w:rPr>
                <w:bCs/>
                <w:sz w:val="22"/>
                <w:szCs w:val="22"/>
                <w:lang w:val="fr-FR" w:eastAsia="en-US"/>
              </w:rPr>
              <w:t xml:space="preserve"> fournitures de bureaux), l’appui à la communication. Les bureaux de l’OIM et de la MINUSCA facilitent aussi l’accès à internet et à l’électricité, la grande partie des régions n’en disposant pas</w:t>
            </w:r>
          </w:p>
        </w:tc>
      </w:tr>
      <w:tr w:rsidR="00826923" w:rsidRPr="005A6420" w14:paraId="2A443379" w14:textId="77777777" w:rsidTr="00A12553">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130CA" w14:paraId="0CA7A1F1" w14:textId="77777777" w:rsidTr="00A12553">
        <w:trPr>
          <w:trHeight w:val="422"/>
        </w:trPr>
        <w:tc>
          <w:tcPr>
            <w:tcW w:w="1530"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73249FC4" w14:textId="3D041E20" w:rsidR="00826923" w:rsidRPr="005A6420" w:rsidRDefault="00DA4336" w:rsidP="00826923">
            <w:pPr>
              <w:rPr>
                <w:rFonts w:cs="Tahoma"/>
                <w:b/>
                <w:szCs w:val="20"/>
                <w:lang w:val="fr-FR" w:eastAsia="en-US"/>
              </w:rPr>
            </w:pPr>
            <w:r w:rsidRPr="007F1AEC">
              <w:rPr>
                <w:lang w:val="fr-FR" w:eastAsia="en-US"/>
              </w:rPr>
              <w:t>Les capacités nationales de médiation sont efficacement renforcées afin de promouvoir l’engagement national au processus de paix</w:t>
            </w:r>
            <w:r w:rsidRPr="005A6420">
              <w:rPr>
                <w:rFonts w:cs="Tahoma"/>
                <w:b/>
                <w:szCs w:val="20"/>
                <w:lang w:val="fr-FR" w:eastAsia="en-US"/>
              </w:rPr>
              <w:t xml:space="preserve"> </w:t>
            </w: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w:t>
            </w:r>
          </w:p>
          <w:p w14:paraId="5579C4A1" w14:textId="7726BC64" w:rsidR="00826923" w:rsidRPr="005A6420" w:rsidRDefault="00DA4336" w:rsidP="00826923">
            <w:pPr>
              <w:jc w:val="both"/>
              <w:rPr>
                <w:rFonts w:cs="Tahoma"/>
                <w:szCs w:val="20"/>
                <w:lang w:val="fr-FR" w:eastAsia="en-US"/>
              </w:rPr>
            </w:pPr>
            <w:r w:rsidRPr="007F1AEC">
              <w:rPr>
                <w:lang w:val="fr-FR" w:eastAsia="en-US"/>
              </w:rPr>
              <w:t>Nombre de conflits mitigés, résolus ou transformés à l’aide des médiateurs interne</w:t>
            </w:r>
          </w:p>
        </w:tc>
        <w:tc>
          <w:tcPr>
            <w:tcW w:w="1660" w:type="dxa"/>
            <w:shd w:val="clear" w:color="auto" w:fill="EEECE1"/>
          </w:tcPr>
          <w:p w14:paraId="3B794B07" w14:textId="77471768" w:rsidR="00826923" w:rsidRPr="005A6420" w:rsidRDefault="00DA4336" w:rsidP="00826923">
            <w:pPr>
              <w:rPr>
                <w:lang w:val="fr-FR"/>
              </w:rPr>
            </w:pPr>
            <w:r>
              <w:rPr>
                <w:b/>
                <w:sz w:val="22"/>
                <w:szCs w:val="22"/>
                <w:lang w:val="fr-FR" w:eastAsia="en-US"/>
              </w:rPr>
              <w:t>0</w:t>
            </w:r>
          </w:p>
        </w:tc>
        <w:tc>
          <w:tcPr>
            <w:tcW w:w="1985" w:type="dxa"/>
            <w:shd w:val="clear" w:color="auto" w:fill="EEECE1"/>
          </w:tcPr>
          <w:p w14:paraId="37400CA8" w14:textId="4E5223D3" w:rsidR="00826923" w:rsidRPr="00064659" w:rsidRDefault="00DA4336" w:rsidP="00826923">
            <w:pPr>
              <w:rPr>
                <w:sz w:val="22"/>
                <w:szCs w:val="22"/>
                <w:lang w:val="fr-FR"/>
              </w:rPr>
            </w:pPr>
            <w:r w:rsidRPr="00064659">
              <w:rPr>
                <w:sz w:val="22"/>
                <w:szCs w:val="22"/>
                <w:lang w:val="fr-FR" w:eastAsia="en-US"/>
              </w:rPr>
              <w:t>Au moins 4 conflits mitigés, résolus ou transformés à l’aide des médiateurs internes</w:t>
            </w:r>
          </w:p>
        </w:tc>
        <w:tc>
          <w:tcPr>
            <w:tcW w:w="1843" w:type="dxa"/>
          </w:tcPr>
          <w:p w14:paraId="2F325CF4" w14:textId="1822B6ED" w:rsidR="00826923" w:rsidRPr="00064659" w:rsidRDefault="00C6663B" w:rsidP="00826923">
            <w:pPr>
              <w:rPr>
                <w:sz w:val="22"/>
                <w:szCs w:val="22"/>
                <w:lang w:val="fr-FR"/>
              </w:rPr>
            </w:pPr>
            <w:r>
              <w:rPr>
                <w:sz w:val="22"/>
                <w:szCs w:val="22"/>
                <w:lang w:val="fr-FR"/>
              </w:rPr>
              <w:t>N/A</w:t>
            </w:r>
          </w:p>
        </w:tc>
        <w:tc>
          <w:tcPr>
            <w:tcW w:w="2551" w:type="dxa"/>
          </w:tcPr>
          <w:p w14:paraId="3A24C0E7" w14:textId="649A9C35" w:rsidR="00826923" w:rsidRPr="00064659" w:rsidRDefault="00C6663B" w:rsidP="00826923">
            <w:pPr>
              <w:rPr>
                <w:sz w:val="22"/>
                <w:szCs w:val="22"/>
                <w:lang w:val="fr-FR"/>
              </w:rPr>
            </w:pPr>
            <w:r w:rsidRPr="00064659">
              <w:rPr>
                <w:sz w:val="22"/>
                <w:szCs w:val="22"/>
                <w:lang w:val="fr-FR"/>
              </w:rPr>
              <w:t>1 conflit mitigé par des membres du CNM (</w:t>
            </w:r>
            <w:proofErr w:type="spellStart"/>
            <w:r w:rsidRPr="00064659">
              <w:rPr>
                <w:sz w:val="22"/>
                <w:szCs w:val="22"/>
                <w:lang w:val="fr-FR"/>
              </w:rPr>
              <w:t>Yaloké</w:t>
            </w:r>
            <w:proofErr w:type="spellEnd"/>
            <w:r w:rsidRPr="00064659">
              <w:rPr>
                <w:sz w:val="22"/>
                <w:szCs w:val="22"/>
                <w:lang w:val="fr-FR"/>
              </w:rPr>
              <w:t xml:space="preserve">) ; </w:t>
            </w:r>
            <w:r w:rsidR="00064659" w:rsidRPr="00064659">
              <w:rPr>
                <w:sz w:val="22"/>
                <w:szCs w:val="22"/>
                <w:lang w:val="fr-FR"/>
              </w:rPr>
              <w:t xml:space="preserve">3 missions de 7 étapes </w:t>
            </w:r>
            <w:r>
              <w:rPr>
                <w:sz w:val="22"/>
                <w:szCs w:val="22"/>
                <w:lang w:val="fr-FR"/>
              </w:rPr>
              <w:t xml:space="preserve">pour le </w:t>
            </w:r>
            <w:r w:rsidR="00064659" w:rsidRPr="00064659">
              <w:rPr>
                <w:sz w:val="22"/>
                <w:szCs w:val="22"/>
                <w:lang w:val="fr-FR"/>
              </w:rPr>
              <w:t xml:space="preserve">renforcement de la cohésion sociale </w:t>
            </w:r>
            <w:r>
              <w:rPr>
                <w:sz w:val="22"/>
                <w:szCs w:val="22"/>
                <w:lang w:val="fr-FR"/>
              </w:rPr>
              <w:t>à l’</w:t>
            </w:r>
            <w:r w:rsidR="00064659" w:rsidRPr="00064659">
              <w:rPr>
                <w:sz w:val="22"/>
                <w:szCs w:val="22"/>
                <w:lang w:val="fr-FR"/>
              </w:rPr>
              <w:t xml:space="preserve">ouest et </w:t>
            </w:r>
            <w:r>
              <w:rPr>
                <w:sz w:val="22"/>
                <w:szCs w:val="22"/>
                <w:lang w:val="fr-FR"/>
              </w:rPr>
              <w:t xml:space="preserve">au </w:t>
            </w:r>
            <w:r w:rsidR="00064659" w:rsidRPr="00064659">
              <w:rPr>
                <w:sz w:val="22"/>
                <w:szCs w:val="22"/>
                <w:lang w:val="fr-FR"/>
              </w:rPr>
              <w:t xml:space="preserve">centre ; </w:t>
            </w:r>
            <w:r w:rsidR="00A12553" w:rsidRPr="00064659">
              <w:rPr>
                <w:sz w:val="22"/>
                <w:szCs w:val="22"/>
                <w:lang w:val="fr-FR"/>
              </w:rPr>
              <w:t>3 missions organisées avec le Médiateur de la République</w:t>
            </w:r>
          </w:p>
        </w:tc>
        <w:tc>
          <w:tcPr>
            <w:tcW w:w="3391" w:type="dxa"/>
          </w:tcPr>
          <w:p w14:paraId="2F09239A" w14:textId="352CE5C5" w:rsidR="00826923" w:rsidRPr="00064659" w:rsidRDefault="00A12553" w:rsidP="00826923">
            <w:pPr>
              <w:rPr>
                <w:sz w:val="22"/>
                <w:szCs w:val="22"/>
                <w:lang w:val="fr-FR"/>
              </w:rPr>
            </w:pPr>
            <w:r w:rsidRPr="00064659">
              <w:rPr>
                <w:sz w:val="22"/>
                <w:szCs w:val="22"/>
                <w:lang w:val="fr-FR" w:eastAsia="en-US"/>
              </w:rPr>
              <w:t xml:space="preserve">Des missions ont été organisées </w:t>
            </w:r>
            <w:r w:rsidR="003C7270" w:rsidRPr="00064659">
              <w:rPr>
                <w:sz w:val="22"/>
                <w:szCs w:val="22"/>
                <w:lang w:val="fr-FR" w:eastAsia="en-US"/>
              </w:rPr>
              <w:t xml:space="preserve">pour </w:t>
            </w:r>
            <w:r w:rsidRPr="00064659">
              <w:rPr>
                <w:sz w:val="22"/>
                <w:szCs w:val="22"/>
                <w:lang w:val="fr-FR" w:eastAsia="en-US"/>
              </w:rPr>
              <w:t>le Médiateur à Ndélé, Birao et Bambari (</w:t>
            </w:r>
            <w:r w:rsidR="003C7270" w:rsidRPr="00064659">
              <w:rPr>
                <w:sz w:val="22"/>
                <w:szCs w:val="22"/>
                <w:lang w:val="fr-FR" w:eastAsia="en-US"/>
              </w:rPr>
              <w:t xml:space="preserve">pour le compte du </w:t>
            </w:r>
            <w:proofErr w:type="spellStart"/>
            <w:r w:rsidR="003C7270" w:rsidRPr="00064659">
              <w:rPr>
                <w:sz w:val="22"/>
                <w:szCs w:val="22"/>
                <w:lang w:val="fr-FR" w:eastAsia="en-US"/>
              </w:rPr>
              <w:t>GoCAR</w:t>
            </w:r>
            <w:proofErr w:type="spellEnd"/>
            <w:r w:rsidR="003C7270" w:rsidRPr="00064659">
              <w:rPr>
                <w:sz w:val="22"/>
                <w:szCs w:val="22"/>
                <w:lang w:val="fr-FR" w:eastAsia="en-US"/>
              </w:rPr>
              <w:t xml:space="preserve"> avec la </w:t>
            </w:r>
            <w:r w:rsidRPr="00064659">
              <w:rPr>
                <w:sz w:val="22"/>
                <w:szCs w:val="22"/>
                <w:lang w:val="fr-FR" w:eastAsia="en-US"/>
              </w:rPr>
              <w:t>MINUSCA) avec un nombre réduit de participants, compte tenu des restrictions de sécurité. Toutefois des concertations avec les OSC et représentants des régions en tension ont été facilitées par le projet</w:t>
            </w:r>
          </w:p>
        </w:tc>
      </w:tr>
      <w:tr w:rsidR="00826923" w:rsidRPr="00A130CA" w14:paraId="6DDA32A5" w14:textId="77777777" w:rsidTr="00A12553">
        <w:trPr>
          <w:trHeight w:val="422"/>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423EBD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7C0330A3" w14:textId="49B05C81" w:rsidR="00826923" w:rsidRPr="005A6420" w:rsidRDefault="00DA4336" w:rsidP="00826923">
            <w:pPr>
              <w:rPr>
                <w:lang w:val="fr-FR"/>
              </w:rPr>
            </w:pPr>
            <w:r>
              <w:rPr>
                <w:lang w:val="fr-FR" w:eastAsia="en-US"/>
              </w:rPr>
              <w:t>A</w:t>
            </w:r>
            <w:r w:rsidRPr="007F1AEC">
              <w:rPr>
                <w:lang w:val="fr-FR" w:eastAsia="en-US"/>
              </w:rPr>
              <w:t>u moins 30% des membres de la communauté de pratique sont des femmes</w:t>
            </w:r>
          </w:p>
        </w:tc>
        <w:tc>
          <w:tcPr>
            <w:tcW w:w="1843" w:type="dxa"/>
          </w:tcPr>
          <w:p w14:paraId="216DEA02" w14:textId="06D060AB" w:rsidR="00826923" w:rsidRPr="005A6420" w:rsidRDefault="0022203D" w:rsidP="00826923">
            <w:pPr>
              <w:rPr>
                <w:lang w:val="fr-FR"/>
              </w:rPr>
            </w:pPr>
            <w:r>
              <w:rPr>
                <w:b/>
                <w:sz w:val="22"/>
                <w:szCs w:val="22"/>
                <w:lang w:val="fr-FR" w:eastAsia="en-US"/>
              </w:rPr>
              <w:t>N/A</w:t>
            </w:r>
          </w:p>
        </w:tc>
        <w:tc>
          <w:tcPr>
            <w:tcW w:w="2551" w:type="dxa"/>
          </w:tcPr>
          <w:p w14:paraId="10B70DE5" w14:textId="4DEB1933" w:rsidR="00826923" w:rsidRPr="000B2588" w:rsidRDefault="00DE7E68" w:rsidP="00826923">
            <w:pPr>
              <w:rPr>
                <w:bCs/>
                <w:lang w:val="fr-FR"/>
              </w:rPr>
            </w:pPr>
            <w:r w:rsidRPr="000B2588">
              <w:rPr>
                <w:bCs/>
                <w:sz w:val="22"/>
                <w:szCs w:val="22"/>
                <w:lang w:val="fr-FR" w:eastAsia="en-US"/>
              </w:rPr>
              <w:t xml:space="preserve">37% de membres de la </w:t>
            </w:r>
            <w:proofErr w:type="spellStart"/>
            <w:r w:rsidRPr="000B2588">
              <w:rPr>
                <w:bCs/>
                <w:sz w:val="22"/>
                <w:szCs w:val="22"/>
                <w:lang w:val="fr-FR" w:eastAsia="en-US"/>
              </w:rPr>
              <w:t>CoP</w:t>
            </w:r>
            <w:proofErr w:type="spellEnd"/>
            <w:r w:rsidRPr="000B2588">
              <w:rPr>
                <w:bCs/>
                <w:sz w:val="22"/>
                <w:szCs w:val="22"/>
                <w:lang w:val="fr-FR" w:eastAsia="en-US"/>
              </w:rPr>
              <w:t xml:space="preserve"> sont des femmes (9 femmes sur 24)</w:t>
            </w:r>
          </w:p>
        </w:tc>
        <w:tc>
          <w:tcPr>
            <w:tcW w:w="3391" w:type="dxa"/>
          </w:tcPr>
          <w:p w14:paraId="599CC263" w14:textId="4ACB499D" w:rsidR="00826923" w:rsidRPr="00B65DA7" w:rsidRDefault="00B65DA7" w:rsidP="00826923">
            <w:pPr>
              <w:rPr>
                <w:bCs/>
                <w:lang w:val="fr-FR"/>
              </w:rPr>
            </w:pPr>
            <w:r w:rsidRPr="00B65DA7">
              <w:rPr>
                <w:bCs/>
                <w:sz w:val="22"/>
                <w:szCs w:val="22"/>
                <w:lang w:val="fr-FR" w:eastAsia="en-US"/>
              </w:rPr>
              <w:t xml:space="preserve">Le projet a saisi l’opportunité de la mise en place du groupe de travail laïcité, citoyenneté, inclusivité et protection des minorités de l’APPR pour rendre la </w:t>
            </w:r>
            <w:proofErr w:type="spellStart"/>
            <w:r w:rsidRPr="00B65DA7">
              <w:rPr>
                <w:bCs/>
                <w:sz w:val="22"/>
                <w:szCs w:val="22"/>
                <w:lang w:val="fr-FR" w:eastAsia="en-US"/>
              </w:rPr>
              <w:t>CoP</w:t>
            </w:r>
            <w:proofErr w:type="spellEnd"/>
            <w:r w:rsidRPr="00B65DA7">
              <w:rPr>
                <w:bCs/>
                <w:sz w:val="22"/>
                <w:szCs w:val="22"/>
                <w:lang w:val="fr-FR" w:eastAsia="en-US"/>
              </w:rPr>
              <w:t xml:space="preserve"> plus visible et constructive </w:t>
            </w:r>
          </w:p>
        </w:tc>
      </w:tr>
      <w:tr w:rsidR="00826923" w:rsidRPr="005A6420" w14:paraId="66214E5C" w14:textId="77777777" w:rsidTr="00A12553">
        <w:trPr>
          <w:trHeight w:val="422"/>
        </w:trPr>
        <w:tc>
          <w:tcPr>
            <w:tcW w:w="1530" w:type="dxa"/>
            <w:vMerge/>
          </w:tcPr>
          <w:p w14:paraId="66D5C63F" w14:textId="77777777" w:rsidR="00826923" w:rsidRPr="005A6420" w:rsidRDefault="00826923" w:rsidP="00826923">
            <w:pPr>
              <w:rPr>
                <w:rFonts w:cs="Tahoma"/>
                <w:szCs w:val="20"/>
                <w:lang w:val="fr-FR" w:eastAsia="en-US"/>
              </w:rPr>
            </w:pPr>
          </w:p>
        </w:tc>
        <w:tc>
          <w:tcPr>
            <w:tcW w:w="2070"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E0FF48E" w14:textId="77777777" w:rsidR="00826923" w:rsidRPr="005A6420" w:rsidRDefault="00826923" w:rsidP="00826923">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1525976C"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5E2EC7A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43AF0F97" w14:textId="77777777" w:rsidR="00826923" w:rsidRPr="00A551B4" w:rsidRDefault="00826923" w:rsidP="00826923">
            <w:pPr>
              <w:rPr>
                <w:bCs/>
                <w:lang w:val="fr-FR"/>
              </w:rPr>
            </w:pPr>
            <w:r w:rsidRPr="00A551B4">
              <w:rPr>
                <w:bCs/>
                <w:sz w:val="22"/>
                <w:szCs w:val="22"/>
                <w:lang w:val="fr-FR" w:eastAsia="en-US"/>
              </w:rPr>
              <w:fldChar w:fldCharType="begin">
                <w:ffData>
                  <w:name w:val=""/>
                  <w:enabled/>
                  <w:calcOnExit w:val="0"/>
                  <w:textInput>
                    <w:maxLength w:val="300"/>
                  </w:textInput>
                </w:ffData>
              </w:fldChar>
            </w:r>
            <w:r w:rsidRPr="00A551B4">
              <w:rPr>
                <w:bCs/>
                <w:sz w:val="22"/>
                <w:szCs w:val="22"/>
                <w:lang w:val="fr-FR" w:eastAsia="en-US"/>
              </w:rPr>
              <w:instrText xml:space="preserve"> FORMTEXT </w:instrText>
            </w:r>
            <w:r w:rsidRPr="00A551B4">
              <w:rPr>
                <w:bCs/>
                <w:sz w:val="22"/>
                <w:szCs w:val="22"/>
                <w:lang w:val="fr-FR" w:eastAsia="en-US"/>
              </w:rPr>
            </w:r>
            <w:r w:rsidRPr="00A551B4">
              <w:rPr>
                <w:bCs/>
                <w:sz w:val="22"/>
                <w:szCs w:val="22"/>
                <w:lang w:val="fr-FR" w:eastAsia="en-US"/>
              </w:rPr>
              <w:fldChar w:fldCharType="separate"/>
            </w:r>
            <w:r w:rsidRPr="00A551B4">
              <w:rPr>
                <w:bCs/>
                <w:noProof/>
                <w:sz w:val="22"/>
                <w:szCs w:val="22"/>
                <w:lang w:val="fr-FR" w:eastAsia="en-US"/>
              </w:rPr>
              <w:t> </w:t>
            </w:r>
            <w:r w:rsidRPr="00A551B4">
              <w:rPr>
                <w:bCs/>
                <w:noProof/>
                <w:sz w:val="22"/>
                <w:szCs w:val="22"/>
                <w:lang w:val="fr-FR" w:eastAsia="en-US"/>
              </w:rPr>
              <w:t> </w:t>
            </w:r>
            <w:r w:rsidRPr="00A551B4">
              <w:rPr>
                <w:bCs/>
                <w:noProof/>
                <w:sz w:val="22"/>
                <w:szCs w:val="22"/>
                <w:lang w:val="fr-FR" w:eastAsia="en-US"/>
              </w:rPr>
              <w:t> </w:t>
            </w:r>
            <w:r w:rsidRPr="00A551B4">
              <w:rPr>
                <w:bCs/>
                <w:noProof/>
                <w:sz w:val="22"/>
                <w:szCs w:val="22"/>
                <w:lang w:val="fr-FR" w:eastAsia="en-US"/>
              </w:rPr>
              <w:t> </w:t>
            </w:r>
            <w:r w:rsidRPr="00A551B4">
              <w:rPr>
                <w:bCs/>
                <w:noProof/>
                <w:sz w:val="22"/>
                <w:szCs w:val="22"/>
                <w:lang w:val="fr-FR" w:eastAsia="en-US"/>
              </w:rPr>
              <w:t> </w:t>
            </w:r>
            <w:r w:rsidRPr="00A551B4">
              <w:rPr>
                <w:bCs/>
                <w:sz w:val="22"/>
                <w:szCs w:val="22"/>
                <w:lang w:val="fr-FR" w:eastAsia="en-US"/>
              </w:rPr>
              <w:fldChar w:fldCharType="end"/>
            </w:r>
          </w:p>
        </w:tc>
        <w:tc>
          <w:tcPr>
            <w:tcW w:w="2551" w:type="dxa"/>
          </w:tcPr>
          <w:p w14:paraId="2DF5E23B" w14:textId="77777777" w:rsidR="00826923" w:rsidRPr="00A551B4" w:rsidRDefault="00826923" w:rsidP="00826923">
            <w:pPr>
              <w:rPr>
                <w:bCs/>
                <w:lang w:val="fr-FR"/>
              </w:rPr>
            </w:pPr>
            <w:r w:rsidRPr="00A551B4">
              <w:rPr>
                <w:bCs/>
                <w:sz w:val="22"/>
                <w:szCs w:val="22"/>
                <w:lang w:val="fr-FR" w:eastAsia="en-US"/>
              </w:rPr>
              <w:fldChar w:fldCharType="begin">
                <w:ffData>
                  <w:name w:val=""/>
                  <w:enabled/>
                  <w:calcOnExit w:val="0"/>
                  <w:textInput>
                    <w:maxLength w:val="300"/>
                  </w:textInput>
                </w:ffData>
              </w:fldChar>
            </w:r>
            <w:r w:rsidRPr="00A551B4">
              <w:rPr>
                <w:bCs/>
                <w:sz w:val="22"/>
                <w:szCs w:val="22"/>
                <w:lang w:val="fr-FR" w:eastAsia="en-US"/>
              </w:rPr>
              <w:instrText xml:space="preserve"> FORMTEXT </w:instrText>
            </w:r>
            <w:r w:rsidRPr="00A551B4">
              <w:rPr>
                <w:bCs/>
                <w:sz w:val="22"/>
                <w:szCs w:val="22"/>
                <w:lang w:val="fr-FR" w:eastAsia="en-US"/>
              </w:rPr>
            </w:r>
            <w:r w:rsidRPr="00A551B4">
              <w:rPr>
                <w:bCs/>
                <w:sz w:val="22"/>
                <w:szCs w:val="22"/>
                <w:lang w:val="fr-FR" w:eastAsia="en-US"/>
              </w:rPr>
              <w:fldChar w:fldCharType="separate"/>
            </w:r>
            <w:r w:rsidRPr="00A551B4">
              <w:rPr>
                <w:bCs/>
                <w:noProof/>
                <w:sz w:val="22"/>
                <w:szCs w:val="22"/>
                <w:lang w:val="fr-FR" w:eastAsia="en-US"/>
              </w:rPr>
              <w:t> </w:t>
            </w:r>
            <w:r w:rsidRPr="00A551B4">
              <w:rPr>
                <w:bCs/>
                <w:noProof/>
                <w:sz w:val="22"/>
                <w:szCs w:val="22"/>
                <w:lang w:val="fr-FR" w:eastAsia="en-US"/>
              </w:rPr>
              <w:t> </w:t>
            </w:r>
            <w:r w:rsidRPr="00A551B4">
              <w:rPr>
                <w:bCs/>
                <w:noProof/>
                <w:sz w:val="22"/>
                <w:szCs w:val="22"/>
                <w:lang w:val="fr-FR" w:eastAsia="en-US"/>
              </w:rPr>
              <w:t> </w:t>
            </w:r>
            <w:r w:rsidRPr="00A551B4">
              <w:rPr>
                <w:bCs/>
                <w:noProof/>
                <w:sz w:val="22"/>
                <w:szCs w:val="22"/>
                <w:lang w:val="fr-FR" w:eastAsia="en-US"/>
              </w:rPr>
              <w:t> </w:t>
            </w:r>
            <w:r w:rsidRPr="00A551B4">
              <w:rPr>
                <w:bCs/>
                <w:noProof/>
                <w:sz w:val="22"/>
                <w:szCs w:val="22"/>
                <w:lang w:val="fr-FR" w:eastAsia="en-US"/>
              </w:rPr>
              <w:t> </w:t>
            </w:r>
            <w:r w:rsidRPr="00A551B4">
              <w:rPr>
                <w:bCs/>
                <w:sz w:val="22"/>
                <w:szCs w:val="22"/>
                <w:lang w:val="fr-FR" w:eastAsia="en-US"/>
              </w:rPr>
              <w:fldChar w:fldCharType="end"/>
            </w:r>
          </w:p>
        </w:tc>
        <w:tc>
          <w:tcPr>
            <w:tcW w:w="3391" w:type="dxa"/>
          </w:tcPr>
          <w:p w14:paraId="4CF4CB1F" w14:textId="77777777" w:rsidR="00826923" w:rsidRPr="00A551B4" w:rsidRDefault="00826923" w:rsidP="00826923">
            <w:pPr>
              <w:rPr>
                <w:bCs/>
                <w:lang w:val="fr-FR"/>
              </w:rPr>
            </w:pPr>
            <w:r w:rsidRPr="00A551B4">
              <w:rPr>
                <w:bCs/>
                <w:sz w:val="22"/>
                <w:szCs w:val="22"/>
                <w:lang w:val="fr-FR" w:eastAsia="en-US"/>
              </w:rPr>
              <w:fldChar w:fldCharType="begin">
                <w:ffData>
                  <w:name w:val=""/>
                  <w:enabled/>
                  <w:calcOnExit w:val="0"/>
                  <w:textInput>
                    <w:maxLength w:val="300"/>
                  </w:textInput>
                </w:ffData>
              </w:fldChar>
            </w:r>
            <w:r w:rsidRPr="00A551B4">
              <w:rPr>
                <w:bCs/>
                <w:sz w:val="22"/>
                <w:szCs w:val="22"/>
                <w:lang w:val="fr-FR" w:eastAsia="en-US"/>
              </w:rPr>
              <w:instrText xml:space="preserve"> FORMTEXT </w:instrText>
            </w:r>
            <w:r w:rsidRPr="00A551B4">
              <w:rPr>
                <w:bCs/>
                <w:sz w:val="22"/>
                <w:szCs w:val="22"/>
                <w:lang w:val="fr-FR" w:eastAsia="en-US"/>
              </w:rPr>
            </w:r>
            <w:r w:rsidRPr="00A551B4">
              <w:rPr>
                <w:bCs/>
                <w:sz w:val="22"/>
                <w:szCs w:val="22"/>
                <w:lang w:val="fr-FR" w:eastAsia="en-US"/>
              </w:rPr>
              <w:fldChar w:fldCharType="separate"/>
            </w:r>
            <w:r w:rsidRPr="00A551B4">
              <w:rPr>
                <w:bCs/>
                <w:noProof/>
                <w:sz w:val="22"/>
                <w:szCs w:val="22"/>
                <w:lang w:val="fr-FR" w:eastAsia="en-US"/>
              </w:rPr>
              <w:t> </w:t>
            </w:r>
            <w:r w:rsidRPr="00A551B4">
              <w:rPr>
                <w:bCs/>
                <w:noProof/>
                <w:sz w:val="22"/>
                <w:szCs w:val="22"/>
                <w:lang w:val="fr-FR" w:eastAsia="en-US"/>
              </w:rPr>
              <w:t> </w:t>
            </w:r>
            <w:r w:rsidRPr="00A551B4">
              <w:rPr>
                <w:bCs/>
                <w:noProof/>
                <w:sz w:val="22"/>
                <w:szCs w:val="22"/>
                <w:lang w:val="fr-FR" w:eastAsia="en-US"/>
              </w:rPr>
              <w:t> </w:t>
            </w:r>
            <w:r w:rsidRPr="00A551B4">
              <w:rPr>
                <w:bCs/>
                <w:noProof/>
                <w:sz w:val="22"/>
                <w:szCs w:val="22"/>
                <w:lang w:val="fr-FR" w:eastAsia="en-US"/>
              </w:rPr>
              <w:t> </w:t>
            </w:r>
            <w:r w:rsidRPr="00A551B4">
              <w:rPr>
                <w:bCs/>
                <w:noProof/>
                <w:sz w:val="22"/>
                <w:szCs w:val="22"/>
                <w:lang w:val="fr-FR" w:eastAsia="en-US"/>
              </w:rPr>
              <w:t> </w:t>
            </w:r>
            <w:r w:rsidRPr="00A551B4">
              <w:rPr>
                <w:bCs/>
                <w:sz w:val="22"/>
                <w:szCs w:val="22"/>
                <w:lang w:val="fr-FR" w:eastAsia="en-US"/>
              </w:rPr>
              <w:fldChar w:fldCharType="end"/>
            </w:r>
          </w:p>
        </w:tc>
      </w:tr>
      <w:tr w:rsidR="00826923" w:rsidRPr="00A130CA" w14:paraId="24D5CF99" w14:textId="77777777" w:rsidTr="00A12553">
        <w:trPr>
          <w:trHeight w:val="422"/>
        </w:trPr>
        <w:tc>
          <w:tcPr>
            <w:tcW w:w="1530" w:type="dxa"/>
            <w:vMerge w:val="restart"/>
          </w:tcPr>
          <w:p w14:paraId="26C8010E" w14:textId="77777777" w:rsidR="00826923" w:rsidRPr="003C7270" w:rsidRDefault="00826923" w:rsidP="00826923">
            <w:pPr>
              <w:rPr>
                <w:rFonts w:cs="Tahoma"/>
                <w:sz w:val="22"/>
                <w:szCs w:val="22"/>
                <w:lang w:val="fr-FR" w:eastAsia="en-US"/>
              </w:rPr>
            </w:pPr>
            <w:r w:rsidRPr="003C7270">
              <w:rPr>
                <w:rFonts w:cs="Tahoma"/>
                <w:sz w:val="22"/>
                <w:szCs w:val="22"/>
                <w:lang w:val="fr-FR" w:eastAsia="en-US"/>
              </w:rPr>
              <w:t>Produit 2.1</w:t>
            </w:r>
          </w:p>
          <w:p w14:paraId="0075BE1D" w14:textId="168CD9B3" w:rsidR="00826923" w:rsidRPr="003C7270" w:rsidRDefault="00DE7E68" w:rsidP="00826923">
            <w:pPr>
              <w:rPr>
                <w:rFonts w:cs="Tahoma"/>
                <w:b/>
                <w:sz w:val="22"/>
                <w:szCs w:val="22"/>
                <w:lang w:val="fr-FR" w:eastAsia="en-US"/>
              </w:rPr>
            </w:pPr>
            <w:r w:rsidRPr="003C7270">
              <w:rPr>
                <w:sz w:val="22"/>
                <w:szCs w:val="22"/>
                <w:lang w:val="fr-FR" w:eastAsia="en-US"/>
              </w:rPr>
              <w:t xml:space="preserve">Une communauté de pratique de médiateurs internes du niveau intermédiaire est établie     </w:t>
            </w:r>
          </w:p>
        </w:tc>
        <w:tc>
          <w:tcPr>
            <w:tcW w:w="2070" w:type="dxa"/>
            <w:shd w:val="clear" w:color="auto" w:fill="EEECE1"/>
          </w:tcPr>
          <w:p w14:paraId="400B06FF" w14:textId="6197E892" w:rsidR="00826923" w:rsidRPr="003C7270" w:rsidRDefault="009858C6" w:rsidP="00826923">
            <w:pPr>
              <w:jc w:val="both"/>
              <w:rPr>
                <w:rFonts w:cs="Tahoma"/>
                <w:sz w:val="22"/>
                <w:szCs w:val="22"/>
                <w:lang w:val="fr-FR" w:eastAsia="en-US"/>
              </w:rPr>
            </w:pPr>
            <w:r w:rsidRPr="003C7270">
              <w:rPr>
                <w:rFonts w:cs="Tahoma"/>
                <w:sz w:val="22"/>
                <w:szCs w:val="22"/>
                <w:lang w:val="fr-FR" w:eastAsia="en-US"/>
              </w:rPr>
              <w:t>Indicateur 2.1.1</w:t>
            </w:r>
          </w:p>
          <w:p w14:paraId="021841C7" w14:textId="67A2BF2C" w:rsidR="00826923" w:rsidRPr="003C7270" w:rsidRDefault="00DE7E68" w:rsidP="00826923">
            <w:pPr>
              <w:jc w:val="both"/>
              <w:rPr>
                <w:rFonts w:cs="Tahoma"/>
                <w:sz w:val="22"/>
                <w:szCs w:val="22"/>
                <w:lang w:val="fr-FR" w:eastAsia="en-US"/>
              </w:rPr>
            </w:pPr>
            <w:r w:rsidRPr="003C7270">
              <w:rPr>
                <w:sz w:val="22"/>
                <w:szCs w:val="22"/>
                <w:lang w:val="fr-FR" w:eastAsia="en-US"/>
              </w:rPr>
              <w:t>Existence d'une communauté de pratique de médiateurs au niveau intermédiaire</w:t>
            </w:r>
          </w:p>
        </w:tc>
        <w:tc>
          <w:tcPr>
            <w:tcW w:w="1660" w:type="dxa"/>
            <w:shd w:val="clear" w:color="auto" w:fill="EEECE1"/>
          </w:tcPr>
          <w:p w14:paraId="77A025C3" w14:textId="1DE90D6D" w:rsidR="00826923" w:rsidRPr="003C7270" w:rsidRDefault="00DE7E68" w:rsidP="00826923">
            <w:pPr>
              <w:rPr>
                <w:bCs/>
                <w:sz w:val="22"/>
                <w:szCs w:val="22"/>
                <w:lang w:val="fr-FR"/>
              </w:rPr>
            </w:pPr>
            <w:r w:rsidRPr="003C7270">
              <w:rPr>
                <w:bCs/>
                <w:sz w:val="22"/>
                <w:szCs w:val="22"/>
                <w:lang w:val="fr-FR" w:eastAsia="en-US"/>
              </w:rPr>
              <w:t xml:space="preserve">1 </w:t>
            </w:r>
            <w:proofErr w:type="spellStart"/>
            <w:r w:rsidRPr="003C7270">
              <w:rPr>
                <w:bCs/>
                <w:sz w:val="22"/>
                <w:szCs w:val="22"/>
                <w:lang w:val="fr-FR" w:eastAsia="en-US"/>
              </w:rPr>
              <w:t>CoP</w:t>
            </w:r>
            <w:proofErr w:type="spellEnd"/>
            <w:r w:rsidRPr="003C7270">
              <w:rPr>
                <w:bCs/>
                <w:sz w:val="22"/>
                <w:szCs w:val="22"/>
                <w:lang w:val="fr-FR" w:eastAsia="en-US"/>
              </w:rPr>
              <w:t xml:space="preserve"> existante et coordonnée par le Conseil national de médiation</w:t>
            </w:r>
          </w:p>
        </w:tc>
        <w:tc>
          <w:tcPr>
            <w:tcW w:w="1985" w:type="dxa"/>
            <w:shd w:val="clear" w:color="auto" w:fill="EEECE1"/>
          </w:tcPr>
          <w:p w14:paraId="55D5AC11" w14:textId="41957E61" w:rsidR="00826923" w:rsidRPr="003C7270" w:rsidRDefault="00DE7E68" w:rsidP="00826923">
            <w:pPr>
              <w:rPr>
                <w:sz w:val="22"/>
                <w:szCs w:val="22"/>
                <w:lang w:val="fr-FR"/>
              </w:rPr>
            </w:pPr>
            <w:r w:rsidRPr="003C7270">
              <w:rPr>
                <w:sz w:val="22"/>
                <w:szCs w:val="22"/>
                <w:lang w:val="fr-FR"/>
              </w:rPr>
              <w:t>1</w:t>
            </w:r>
            <w:r w:rsidRPr="003C7270">
              <w:rPr>
                <w:sz w:val="22"/>
                <w:szCs w:val="22"/>
                <w:lang w:val="fr-FR" w:eastAsia="en-US"/>
              </w:rPr>
              <w:t>5-20 personnes de divers horizons identifiées et volontaires pour faire partie de la communauté de pratique (au moins 30% de femmes; 30% de membres ont moins de 40 ans)</w:t>
            </w:r>
          </w:p>
        </w:tc>
        <w:tc>
          <w:tcPr>
            <w:tcW w:w="1843" w:type="dxa"/>
          </w:tcPr>
          <w:p w14:paraId="0136ED42" w14:textId="68BD18A7" w:rsidR="00826923" w:rsidRPr="003C7270" w:rsidRDefault="00AD4F92" w:rsidP="00826923">
            <w:pPr>
              <w:rPr>
                <w:bCs/>
                <w:sz w:val="22"/>
                <w:szCs w:val="22"/>
                <w:lang w:val="fr-FR"/>
              </w:rPr>
            </w:pPr>
            <w:proofErr w:type="spellStart"/>
            <w:r w:rsidRPr="003C7270">
              <w:rPr>
                <w:bCs/>
                <w:sz w:val="22"/>
                <w:szCs w:val="22"/>
                <w:lang w:val="fr-FR" w:eastAsia="en-US"/>
              </w:rPr>
              <w:t>Tdr</w:t>
            </w:r>
            <w:proofErr w:type="spellEnd"/>
            <w:r w:rsidRPr="003C7270">
              <w:rPr>
                <w:bCs/>
                <w:sz w:val="22"/>
                <w:szCs w:val="22"/>
                <w:lang w:val="fr-FR" w:eastAsia="en-US"/>
              </w:rPr>
              <w:t xml:space="preserve"> </w:t>
            </w:r>
            <w:proofErr w:type="spellStart"/>
            <w:r w:rsidRPr="003C7270">
              <w:rPr>
                <w:bCs/>
                <w:sz w:val="22"/>
                <w:szCs w:val="22"/>
                <w:lang w:val="fr-FR" w:eastAsia="en-US"/>
              </w:rPr>
              <w:t>CoP</w:t>
            </w:r>
            <w:proofErr w:type="spellEnd"/>
            <w:r w:rsidRPr="003C7270">
              <w:rPr>
                <w:bCs/>
                <w:sz w:val="22"/>
                <w:szCs w:val="22"/>
                <w:lang w:val="fr-FR" w:eastAsia="en-US"/>
              </w:rPr>
              <w:t xml:space="preserve"> élaborés et validés en 2019</w:t>
            </w:r>
          </w:p>
        </w:tc>
        <w:tc>
          <w:tcPr>
            <w:tcW w:w="2551" w:type="dxa"/>
          </w:tcPr>
          <w:p w14:paraId="3338B1BA" w14:textId="4E9C9375" w:rsidR="00826923" w:rsidRPr="003C7270" w:rsidRDefault="00DE7E68" w:rsidP="00826923">
            <w:pPr>
              <w:rPr>
                <w:bCs/>
                <w:sz w:val="22"/>
                <w:szCs w:val="22"/>
                <w:lang w:val="fr-FR"/>
              </w:rPr>
            </w:pPr>
            <w:r w:rsidRPr="003C7270">
              <w:rPr>
                <w:bCs/>
                <w:sz w:val="22"/>
                <w:szCs w:val="22"/>
                <w:lang w:val="fr-FR" w:eastAsia="en-US"/>
              </w:rPr>
              <w:t>24 personnes identifiées (9 femmes</w:t>
            </w:r>
            <w:r w:rsidR="009858C6" w:rsidRPr="003C7270">
              <w:rPr>
                <w:bCs/>
                <w:sz w:val="22"/>
                <w:szCs w:val="22"/>
                <w:lang w:val="fr-FR" w:eastAsia="en-US"/>
              </w:rPr>
              <w:t> </w:t>
            </w:r>
            <w:proofErr w:type="gramStart"/>
            <w:r w:rsidR="009858C6" w:rsidRPr="003C7270">
              <w:rPr>
                <w:bCs/>
                <w:sz w:val="22"/>
                <w:szCs w:val="22"/>
                <w:lang w:val="fr-FR" w:eastAsia="en-US"/>
              </w:rPr>
              <w:t xml:space="preserve">;  </w:t>
            </w:r>
            <w:r w:rsidRPr="003C7270">
              <w:rPr>
                <w:bCs/>
                <w:sz w:val="22"/>
                <w:szCs w:val="22"/>
                <w:lang w:val="fr-FR" w:eastAsia="en-US"/>
              </w:rPr>
              <w:t>7</w:t>
            </w:r>
            <w:proofErr w:type="gramEnd"/>
            <w:r w:rsidRPr="003C7270">
              <w:rPr>
                <w:bCs/>
                <w:sz w:val="22"/>
                <w:szCs w:val="22"/>
                <w:lang w:val="fr-FR" w:eastAsia="en-US"/>
              </w:rPr>
              <w:t xml:space="preserve"> personnes de -35 ans, 9 entre 35-45 ans)</w:t>
            </w:r>
          </w:p>
        </w:tc>
        <w:tc>
          <w:tcPr>
            <w:tcW w:w="3391" w:type="dxa"/>
          </w:tcPr>
          <w:p w14:paraId="2107019E" w14:textId="10115404" w:rsidR="00826923" w:rsidRPr="003C7270" w:rsidRDefault="00AD4F92" w:rsidP="000B2588">
            <w:pPr>
              <w:rPr>
                <w:bCs/>
                <w:sz w:val="22"/>
                <w:szCs w:val="22"/>
                <w:lang w:val="fr-FR"/>
              </w:rPr>
            </w:pPr>
            <w:r w:rsidRPr="003C7270">
              <w:rPr>
                <w:bCs/>
                <w:sz w:val="22"/>
                <w:szCs w:val="22"/>
                <w:lang w:val="fr-FR" w:eastAsia="en-US"/>
              </w:rPr>
              <w:t xml:space="preserve">La </w:t>
            </w:r>
            <w:r w:rsidR="000B2588" w:rsidRPr="003C7270">
              <w:rPr>
                <w:bCs/>
                <w:sz w:val="22"/>
                <w:szCs w:val="22"/>
                <w:lang w:val="fr-FR" w:eastAsia="en-US"/>
              </w:rPr>
              <w:t xml:space="preserve">feuille de route de la </w:t>
            </w:r>
            <w:proofErr w:type="spellStart"/>
            <w:r w:rsidR="00AE6E37" w:rsidRPr="003C7270">
              <w:rPr>
                <w:bCs/>
                <w:sz w:val="22"/>
                <w:szCs w:val="22"/>
                <w:lang w:val="fr-FR" w:eastAsia="en-US"/>
              </w:rPr>
              <w:t>CoP</w:t>
            </w:r>
            <w:proofErr w:type="spellEnd"/>
            <w:r w:rsidR="00AE6E37" w:rsidRPr="003C7270">
              <w:rPr>
                <w:bCs/>
                <w:sz w:val="22"/>
                <w:szCs w:val="22"/>
                <w:lang w:val="fr-FR" w:eastAsia="en-US"/>
              </w:rPr>
              <w:t xml:space="preserve"> </w:t>
            </w:r>
            <w:r w:rsidRPr="003C7270">
              <w:rPr>
                <w:bCs/>
                <w:sz w:val="22"/>
                <w:szCs w:val="22"/>
                <w:lang w:val="fr-FR" w:eastAsia="en-US"/>
              </w:rPr>
              <w:t xml:space="preserve">a été </w:t>
            </w:r>
            <w:proofErr w:type="spellStart"/>
            <w:r w:rsidR="000B2588" w:rsidRPr="003C7270">
              <w:rPr>
                <w:bCs/>
                <w:sz w:val="22"/>
                <w:szCs w:val="22"/>
                <w:lang w:val="fr-FR" w:eastAsia="en-US"/>
              </w:rPr>
              <w:t>été</w:t>
            </w:r>
            <w:proofErr w:type="spellEnd"/>
            <w:r w:rsidR="000B2588" w:rsidRPr="003C7270">
              <w:rPr>
                <w:bCs/>
                <w:sz w:val="22"/>
                <w:szCs w:val="22"/>
                <w:lang w:val="fr-FR" w:eastAsia="en-US"/>
              </w:rPr>
              <w:t xml:space="preserve"> élaborés </w:t>
            </w:r>
            <w:r w:rsidRPr="003C7270">
              <w:rPr>
                <w:bCs/>
                <w:sz w:val="22"/>
                <w:szCs w:val="22"/>
                <w:lang w:val="fr-FR" w:eastAsia="en-US"/>
              </w:rPr>
              <w:t xml:space="preserve">(alignée sur APPR) </w:t>
            </w:r>
            <w:r w:rsidR="000B2588" w:rsidRPr="003C7270">
              <w:rPr>
                <w:bCs/>
                <w:sz w:val="22"/>
                <w:szCs w:val="22"/>
                <w:lang w:val="fr-FR" w:eastAsia="en-US"/>
              </w:rPr>
              <w:t xml:space="preserve">et validés au cours d’un atelier national ; Les travaux ont été lancés au cours du même atelier et </w:t>
            </w:r>
            <w:r w:rsidR="00AE6E37" w:rsidRPr="003C7270">
              <w:rPr>
                <w:bCs/>
                <w:sz w:val="22"/>
                <w:szCs w:val="22"/>
                <w:lang w:val="fr-FR" w:eastAsia="en-US"/>
              </w:rPr>
              <w:t>6 réunions de sous-groupes</w:t>
            </w:r>
            <w:r w:rsidR="000B2588" w:rsidRPr="003C7270">
              <w:rPr>
                <w:bCs/>
                <w:sz w:val="22"/>
                <w:szCs w:val="22"/>
                <w:lang w:val="fr-FR" w:eastAsia="en-US"/>
              </w:rPr>
              <w:t xml:space="preserve"> ont déjà été soutenues par le projet</w:t>
            </w:r>
          </w:p>
        </w:tc>
      </w:tr>
      <w:tr w:rsidR="00826923" w:rsidRPr="00A130CA" w14:paraId="3E4237A1" w14:textId="77777777" w:rsidTr="00A12553">
        <w:trPr>
          <w:trHeight w:val="458"/>
        </w:trPr>
        <w:tc>
          <w:tcPr>
            <w:tcW w:w="1530" w:type="dxa"/>
            <w:vMerge/>
          </w:tcPr>
          <w:p w14:paraId="3989DD76" w14:textId="77777777" w:rsidR="00826923" w:rsidRPr="003C7270" w:rsidRDefault="00826923" w:rsidP="00826923">
            <w:pPr>
              <w:rPr>
                <w:rFonts w:cs="Tahoma"/>
                <w:b/>
                <w:sz w:val="22"/>
                <w:szCs w:val="22"/>
                <w:lang w:val="fr-FR" w:eastAsia="en-US"/>
              </w:rPr>
            </w:pPr>
          </w:p>
        </w:tc>
        <w:tc>
          <w:tcPr>
            <w:tcW w:w="2070" w:type="dxa"/>
            <w:shd w:val="clear" w:color="auto" w:fill="EEECE1"/>
          </w:tcPr>
          <w:p w14:paraId="7901D4E3" w14:textId="278F44A4" w:rsidR="00826923" w:rsidRPr="003C7270" w:rsidRDefault="00605B90" w:rsidP="00826923">
            <w:pPr>
              <w:jc w:val="both"/>
              <w:rPr>
                <w:rFonts w:cs="Tahoma"/>
                <w:sz w:val="22"/>
                <w:szCs w:val="22"/>
                <w:lang w:val="fr-FR" w:eastAsia="en-US"/>
              </w:rPr>
            </w:pPr>
            <w:r w:rsidRPr="003C7270">
              <w:rPr>
                <w:rFonts w:cs="Tahoma"/>
                <w:sz w:val="22"/>
                <w:szCs w:val="22"/>
                <w:lang w:val="fr-FR" w:eastAsia="en-US"/>
              </w:rPr>
              <w:t>Indicateur 2.1.2</w:t>
            </w:r>
          </w:p>
          <w:p w14:paraId="565108E4" w14:textId="45B9362F" w:rsidR="00826923" w:rsidRPr="003C7270" w:rsidRDefault="00DE7E68" w:rsidP="00826923">
            <w:pPr>
              <w:jc w:val="both"/>
              <w:rPr>
                <w:rFonts w:cs="Tahoma"/>
                <w:sz w:val="22"/>
                <w:szCs w:val="22"/>
                <w:lang w:val="fr-FR" w:eastAsia="en-US"/>
              </w:rPr>
            </w:pPr>
            <w:r w:rsidRPr="003C7270">
              <w:rPr>
                <w:sz w:val="22"/>
                <w:szCs w:val="22"/>
                <w:lang w:val="fr-FR" w:eastAsia="en-US"/>
              </w:rPr>
              <w:t>Application pratique par les médiateurs de leur apprentissage</w:t>
            </w:r>
          </w:p>
        </w:tc>
        <w:tc>
          <w:tcPr>
            <w:tcW w:w="1660" w:type="dxa"/>
            <w:shd w:val="clear" w:color="auto" w:fill="EEECE1"/>
          </w:tcPr>
          <w:p w14:paraId="7DCEF98D" w14:textId="29479C27" w:rsidR="00826923" w:rsidRPr="003C7270" w:rsidRDefault="009A6BA1" w:rsidP="00826923">
            <w:pPr>
              <w:rPr>
                <w:sz w:val="22"/>
                <w:szCs w:val="22"/>
                <w:lang w:val="fr-FR"/>
              </w:rPr>
            </w:pPr>
            <w:r w:rsidRPr="003C7270">
              <w:rPr>
                <w:sz w:val="22"/>
                <w:szCs w:val="22"/>
                <w:lang w:val="fr-FR" w:eastAsia="en-US"/>
              </w:rPr>
              <w:t xml:space="preserve">1 cas </w:t>
            </w:r>
            <w:r w:rsidR="00AE6E37" w:rsidRPr="003C7270">
              <w:rPr>
                <w:sz w:val="22"/>
                <w:szCs w:val="22"/>
                <w:lang w:val="fr-FR" w:eastAsia="en-US"/>
              </w:rPr>
              <w:t>d'application pratique</w:t>
            </w:r>
            <w:r w:rsidRPr="003C7270">
              <w:rPr>
                <w:sz w:val="22"/>
                <w:szCs w:val="22"/>
                <w:lang w:val="fr-FR" w:eastAsia="en-US"/>
              </w:rPr>
              <w:t xml:space="preserve"> mis en œuvre de fin 2019 à mars 2020</w:t>
            </w:r>
            <w:r w:rsidR="0024222C" w:rsidRPr="003C7270">
              <w:rPr>
                <w:sz w:val="22"/>
                <w:szCs w:val="22"/>
                <w:lang w:val="fr-FR" w:eastAsia="en-US"/>
              </w:rPr>
              <w:t xml:space="preserve"> (</w:t>
            </w:r>
            <w:proofErr w:type="spellStart"/>
            <w:r w:rsidR="0024222C" w:rsidRPr="003C7270">
              <w:rPr>
                <w:sz w:val="22"/>
                <w:szCs w:val="22"/>
                <w:lang w:val="fr-FR" w:eastAsia="en-US"/>
              </w:rPr>
              <w:t>Yaloke</w:t>
            </w:r>
            <w:proofErr w:type="spellEnd"/>
            <w:r w:rsidR="0024222C" w:rsidRPr="003C7270">
              <w:rPr>
                <w:sz w:val="22"/>
                <w:szCs w:val="22"/>
                <w:lang w:val="fr-FR" w:eastAsia="en-US"/>
              </w:rPr>
              <w:t>)</w:t>
            </w:r>
          </w:p>
        </w:tc>
        <w:tc>
          <w:tcPr>
            <w:tcW w:w="1985" w:type="dxa"/>
            <w:shd w:val="clear" w:color="auto" w:fill="EEECE1"/>
          </w:tcPr>
          <w:p w14:paraId="0848978D" w14:textId="1BFE1400" w:rsidR="00826923" w:rsidRPr="003C7270" w:rsidRDefault="00AE6E37" w:rsidP="00826923">
            <w:pPr>
              <w:rPr>
                <w:sz w:val="22"/>
                <w:szCs w:val="22"/>
                <w:lang w:val="fr-FR"/>
              </w:rPr>
            </w:pPr>
            <w:r w:rsidRPr="003C7270">
              <w:rPr>
                <w:sz w:val="22"/>
                <w:szCs w:val="22"/>
                <w:lang w:val="fr-FR"/>
              </w:rPr>
              <w:t>-</w:t>
            </w:r>
            <w:r w:rsidRPr="003C7270">
              <w:rPr>
                <w:sz w:val="22"/>
                <w:szCs w:val="22"/>
                <w:lang w:val="fr-FR" w:eastAsia="en-US"/>
              </w:rPr>
              <w:t xml:space="preserve"> Des équipes mixtes de 3-4 médiateurs démontrent leurs capacités par l’application sur un cas concret, en veillant en particulier à l’aspect genre</w:t>
            </w:r>
          </w:p>
        </w:tc>
        <w:tc>
          <w:tcPr>
            <w:tcW w:w="1843" w:type="dxa"/>
          </w:tcPr>
          <w:p w14:paraId="63EAC37A" w14:textId="1D81AA75" w:rsidR="00826923" w:rsidRPr="003C7270" w:rsidRDefault="003C7270" w:rsidP="00826923">
            <w:pPr>
              <w:rPr>
                <w:sz w:val="22"/>
                <w:szCs w:val="22"/>
                <w:lang w:val="fr-FR"/>
              </w:rPr>
            </w:pPr>
            <w:r w:rsidRPr="003C7270">
              <w:rPr>
                <w:bCs/>
                <w:sz w:val="22"/>
                <w:szCs w:val="22"/>
                <w:lang w:val="fr-FR" w:eastAsia="en-US"/>
              </w:rPr>
              <w:t xml:space="preserve">1 processus </w:t>
            </w:r>
            <w:r w:rsidRPr="003C7270">
              <w:rPr>
                <w:bCs/>
                <w:sz w:val="22"/>
                <w:szCs w:val="22"/>
                <w:lang w:val="fr-FR"/>
              </w:rPr>
              <w:t xml:space="preserve">soutenu par le CNM dans la commune d'élevage de </w:t>
            </w:r>
            <w:proofErr w:type="spellStart"/>
            <w:r w:rsidRPr="003C7270">
              <w:rPr>
                <w:bCs/>
                <w:sz w:val="22"/>
                <w:szCs w:val="22"/>
                <w:lang w:val="fr-FR"/>
              </w:rPr>
              <w:t>Yaloke</w:t>
            </w:r>
            <w:proofErr w:type="spellEnd"/>
            <w:r w:rsidR="007C4EA2">
              <w:rPr>
                <w:bCs/>
                <w:sz w:val="22"/>
                <w:szCs w:val="22"/>
                <w:lang w:val="fr-FR"/>
              </w:rPr>
              <w:t xml:space="preserve"> ; </w:t>
            </w:r>
          </w:p>
        </w:tc>
        <w:tc>
          <w:tcPr>
            <w:tcW w:w="2551" w:type="dxa"/>
          </w:tcPr>
          <w:p w14:paraId="405A158F" w14:textId="29BE1D53" w:rsidR="00826923" w:rsidRPr="003C7270" w:rsidRDefault="003C7270" w:rsidP="00826923">
            <w:pPr>
              <w:rPr>
                <w:bCs/>
                <w:sz w:val="22"/>
                <w:szCs w:val="22"/>
                <w:lang w:val="fr-FR"/>
              </w:rPr>
            </w:pPr>
            <w:r>
              <w:rPr>
                <w:bCs/>
                <w:sz w:val="22"/>
                <w:szCs w:val="22"/>
                <w:lang w:val="fr-FR"/>
              </w:rPr>
              <w:t xml:space="preserve">1 seul processus soutenu sur le </w:t>
            </w:r>
            <w:r w:rsidR="00605B90">
              <w:rPr>
                <w:bCs/>
                <w:sz w:val="22"/>
                <w:szCs w:val="22"/>
                <w:lang w:val="fr-FR"/>
              </w:rPr>
              <w:t>moyen</w:t>
            </w:r>
            <w:r>
              <w:rPr>
                <w:bCs/>
                <w:sz w:val="22"/>
                <w:szCs w:val="22"/>
                <w:lang w:val="fr-FR"/>
              </w:rPr>
              <w:t xml:space="preserve"> terme par la </w:t>
            </w:r>
            <w:proofErr w:type="spellStart"/>
            <w:r>
              <w:rPr>
                <w:bCs/>
                <w:sz w:val="22"/>
                <w:szCs w:val="22"/>
                <w:lang w:val="fr-FR"/>
              </w:rPr>
              <w:t>CoP</w:t>
            </w:r>
            <w:proofErr w:type="spellEnd"/>
            <w:r w:rsidR="00605B90">
              <w:rPr>
                <w:bCs/>
                <w:sz w:val="22"/>
                <w:szCs w:val="22"/>
                <w:lang w:val="fr-FR"/>
              </w:rPr>
              <w:t xml:space="preserve"> ; </w:t>
            </w:r>
            <w:r w:rsidR="007C4EA2">
              <w:rPr>
                <w:bCs/>
                <w:sz w:val="22"/>
                <w:szCs w:val="22"/>
                <w:lang w:val="fr-FR"/>
              </w:rPr>
              <w:t xml:space="preserve">3 missions de 7 étapes renforcement de la </w:t>
            </w:r>
            <w:r w:rsidR="007C4EA2" w:rsidRPr="00B77C50">
              <w:rPr>
                <w:bCs/>
                <w:sz w:val="22"/>
                <w:szCs w:val="22"/>
                <w:lang w:val="fr-FR"/>
              </w:rPr>
              <w:t>cohésion sociale ouest et centre (</w:t>
            </w:r>
            <w:r w:rsidR="00B77C50" w:rsidRPr="00B77C50">
              <w:rPr>
                <w:bCs/>
                <w:sz w:val="22"/>
                <w:szCs w:val="22"/>
                <w:lang w:val="fr-FR"/>
              </w:rPr>
              <w:t xml:space="preserve">Mbaïki, </w:t>
            </w:r>
            <w:proofErr w:type="spellStart"/>
            <w:r w:rsidR="00B77C50" w:rsidRPr="00B77C50">
              <w:rPr>
                <w:bCs/>
                <w:sz w:val="22"/>
                <w:szCs w:val="22"/>
                <w:lang w:val="fr-FR"/>
              </w:rPr>
              <w:t>Boda</w:t>
            </w:r>
            <w:proofErr w:type="spellEnd"/>
            <w:r w:rsidR="00B77C50" w:rsidRPr="00B77C50">
              <w:rPr>
                <w:bCs/>
                <w:sz w:val="22"/>
                <w:szCs w:val="22"/>
                <w:lang w:val="fr-FR"/>
              </w:rPr>
              <w:t xml:space="preserve">, Bambari, Bouar, Nola, Bossangoa, Sibut, </w:t>
            </w:r>
            <w:proofErr w:type="spellStart"/>
            <w:r w:rsidR="00B77C50" w:rsidRPr="00B77C50">
              <w:rPr>
                <w:bCs/>
                <w:sz w:val="22"/>
                <w:szCs w:val="22"/>
                <w:lang w:val="fr-FR"/>
              </w:rPr>
              <w:t>Yaloke</w:t>
            </w:r>
            <w:proofErr w:type="spellEnd"/>
            <w:r w:rsidR="00B77C50" w:rsidRPr="00B77C50">
              <w:rPr>
                <w:bCs/>
                <w:sz w:val="22"/>
                <w:szCs w:val="22"/>
                <w:lang w:val="fr-FR"/>
              </w:rPr>
              <w:t>)</w:t>
            </w:r>
            <w:r w:rsidR="007C4EA2" w:rsidRPr="00B77C50">
              <w:rPr>
                <w:bCs/>
                <w:sz w:val="22"/>
                <w:szCs w:val="22"/>
                <w:lang w:val="fr-FR"/>
              </w:rPr>
              <w:t xml:space="preserve">) ; </w:t>
            </w:r>
            <w:r w:rsidR="00605B90" w:rsidRPr="00B77C50">
              <w:rPr>
                <w:bCs/>
                <w:sz w:val="22"/>
                <w:szCs w:val="22"/>
                <w:lang w:val="fr-FR"/>
              </w:rPr>
              <w:t xml:space="preserve">3 missions </w:t>
            </w:r>
            <w:proofErr w:type="spellStart"/>
            <w:r w:rsidR="00605B90" w:rsidRPr="00B77C50">
              <w:rPr>
                <w:bCs/>
                <w:sz w:val="22"/>
                <w:szCs w:val="22"/>
                <w:lang w:val="fr-FR"/>
              </w:rPr>
              <w:t>ad’hoc</w:t>
            </w:r>
            <w:proofErr w:type="spellEnd"/>
            <w:r w:rsidR="00605B90" w:rsidRPr="00B77C50">
              <w:rPr>
                <w:bCs/>
                <w:sz w:val="22"/>
                <w:szCs w:val="22"/>
                <w:lang w:val="fr-FR"/>
              </w:rPr>
              <w:t xml:space="preserve"> organisées</w:t>
            </w:r>
            <w:r w:rsidR="00605B90">
              <w:rPr>
                <w:bCs/>
                <w:sz w:val="22"/>
                <w:szCs w:val="22"/>
                <w:lang w:val="fr-FR"/>
              </w:rPr>
              <w:t xml:space="preserve"> pour le Médiateur de la </w:t>
            </w:r>
            <w:proofErr w:type="spellStart"/>
            <w:r w:rsidR="00605B90">
              <w:rPr>
                <w:bCs/>
                <w:sz w:val="22"/>
                <w:szCs w:val="22"/>
                <w:lang w:val="fr-FR"/>
              </w:rPr>
              <w:t>Rép</w:t>
            </w:r>
            <w:proofErr w:type="spellEnd"/>
            <w:r w:rsidR="007C4EA2">
              <w:rPr>
                <w:bCs/>
                <w:sz w:val="22"/>
                <w:szCs w:val="22"/>
                <w:lang w:val="fr-FR"/>
              </w:rPr>
              <w:t xml:space="preserve"> avec la MINUSCA</w:t>
            </w:r>
          </w:p>
        </w:tc>
        <w:tc>
          <w:tcPr>
            <w:tcW w:w="3391" w:type="dxa"/>
          </w:tcPr>
          <w:p w14:paraId="5AF9DA8D" w14:textId="0FD8EA1D" w:rsidR="00826923" w:rsidRPr="003C7270" w:rsidRDefault="00605B90" w:rsidP="00826923">
            <w:pPr>
              <w:rPr>
                <w:sz w:val="22"/>
                <w:szCs w:val="22"/>
                <w:lang w:val="fr-FR"/>
              </w:rPr>
            </w:pPr>
            <w:r>
              <w:rPr>
                <w:sz w:val="22"/>
                <w:szCs w:val="22"/>
                <w:lang w:val="fr-FR"/>
              </w:rPr>
              <w:t xml:space="preserve">Les missions </w:t>
            </w:r>
            <w:r w:rsidR="007C4EA2">
              <w:rPr>
                <w:sz w:val="22"/>
                <w:szCs w:val="22"/>
                <w:lang w:val="fr-FR"/>
              </w:rPr>
              <w:t xml:space="preserve">de terrain ont permis au CNM de mettre en application les formations dispensées sur la conduite d’un processus de pacification et d’autre part de perfectionner leurs techniques sur l’analyse des conflits, en bénéficiant du </w:t>
            </w:r>
            <w:proofErr w:type="spellStart"/>
            <w:r w:rsidR="007C4EA2">
              <w:rPr>
                <w:sz w:val="22"/>
                <w:szCs w:val="22"/>
                <w:lang w:val="fr-FR"/>
              </w:rPr>
              <w:t>coachng</w:t>
            </w:r>
            <w:proofErr w:type="spellEnd"/>
            <w:r w:rsidR="007C4EA2">
              <w:rPr>
                <w:sz w:val="22"/>
                <w:szCs w:val="22"/>
                <w:lang w:val="fr-FR"/>
              </w:rPr>
              <w:t xml:space="preserve"> d’experts en médiation communautaire </w:t>
            </w:r>
          </w:p>
        </w:tc>
      </w:tr>
      <w:tr w:rsidR="00826923" w:rsidRPr="005A6420" w14:paraId="2407E0AE" w14:textId="77777777" w:rsidTr="00A12553">
        <w:trPr>
          <w:trHeight w:val="512"/>
        </w:trPr>
        <w:tc>
          <w:tcPr>
            <w:tcW w:w="1530" w:type="dxa"/>
            <w:vMerge w:val="restart"/>
          </w:tcPr>
          <w:p w14:paraId="0D5CDE41" w14:textId="77777777" w:rsidR="00826923" w:rsidRPr="005A6420" w:rsidRDefault="00826923" w:rsidP="00826923">
            <w:pPr>
              <w:rPr>
                <w:rFonts w:cs="Tahoma"/>
                <w:b/>
                <w:szCs w:val="20"/>
                <w:lang w:val="fr-FR" w:eastAsia="en-US"/>
              </w:rPr>
            </w:pPr>
          </w:p>
          <w:p w14:paraId="3EC71105" w14:textId="77777777" w:rsidR="00826923" w:rsidRPr="005A6420" w:rsidRDefault="00826923" w:rsidP="00826923">
            <w:pPr>
              <w:rPr>
                <w:rFonts w:cs="Tahoma"/>
                <w:szCs w:val="20"/>
                <w:lang w:val="fr-FR" w:eastAsia="en-US"/>
              </w:rPr>
            </w:pPr>
            <w:r w:rsidRPr="005A6420">
              <w:rPr>
                <w:rFonts w:cs="Tahoma"/>
                <w:szCs w:val="20"/>
                <w:lang w:val="fr-FR" w:eastAsia="en-US"/>
              </w:rPr>
              <w:t>Produit 2.2</w:t>
            </w:r>
          </w:p>
          <w:p w14:paraId="75E4C980" w14:textId="67B7E6EB" w:rsidR="00826923" w:rsidRPr="005A6420" w:rsidRDefault="00AE6E37" w:rsidP="00826923">
            <w:pPr>
              <w:rPr>
                <w:rFonts w:cs="Tahoma"/>
                <w:szCs w:val="20"/>
                <w:lang w:val="fr-FR" w:eastAsia="en-US"/>
              </w:rPr>
            </w:pPr>
            <w:r w:rsidRPr="0069452A">
              <w:rPr>
                <w:lang w:val="fr-FR" w:eastAsia="en-US"/>
              </w:rPr>
              <w:t>Les médiateurs intermédiaires interviennent dans la résolution des conflits</w:t>
            </w:r>
          </w:p>
        </w:tc>
        <w:tc>
          <w:tcPr>
            <w:tcW w:w="2070" w:type="dxa"/>
            <w:shd w:val="clear" w:color="auto" w:fill="EEECE1"/>
          </w:tcPr>
          <w:p w14:paraId="651327C9"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2.2.1</w:t>
            </w:r>
            <w:proofErr w:type="gramEnd"/>
          </w:p>
          <w:p w14:paraId="2AEA46A0" w14:textId="46EF93C3" w:rsidR="00826923" w:rsidRPr="005A6420" w:rsidRDefault="00AE6E37" w:rsidP="00826923">
            <w:pPr>
              <w:jc w:val="both"/>
              <w:rPr>
                <w:rFonts w:cs="Tahoma"/>
                <w:szCs w:val="20"/>
                <w:lang w:val="fr-FR" w:eastAsia="en-US"/>
              </w:rPr>
            </w:pPr>
            <w:r w:rsidRPr="0069452A">
              <w:rPr>
                <w:lang w:val="fr-FR" w:eastAsia="en-US"/>
              </w:rPr>
              <w:t>Existence d’un rapport semestriel</w:t>
            </w:r>
          </w:p>
        </w:tc>
        <w:tc>
          <w:tcPr>
            <w:tcW w:w="1660" w:type="dxa"/>
            <w:shd w:val="clear" w:color="auto" w:fill="EEECE1"/>
          </w:tcPr>
          <w:p w14:paraId="78A44495" w14:textId="00C4F37C" w:rsidR="00826923" w:rsidRPr="005A6420" w:rsidRDefault="00AE6E37" w:rsidP="00826923">
            <w:pPr>
              <w:rPr>
                <w:lang w:val="fr-FR"/>
              </w:rPr>
            </w:pPr>
            <w:r>
              <w:rPr>
                <w:b/>
                <w:sz w:val="22"/>
                <w:szCs w:val="22"/>
                <w:lang w:val="fr-FR" w:eastAsia="en-US"/>
              </w:rPr>
              <w:t>0</w:t>
            </w:r>
          </w:p>
        </w:tc>
        <w:tc>
          <w:tcPr>
            <w:tcW w:w="1985" w:type="dxa"/>
            <w:shd w:val="clear" w:color="auto" w:fill="EEECE1"/>
          </w:tcPr>
          <w:p w14:paraId="50E80DE0" w14:textId="03193271" w:rsidR="00826923" w:rsidRPr="003E64D1" w:rsidRDefault="00B12142" w:rsidP="00826923">
            <w:pPr>
              <w:rPr>
                <w:bCs/>
                <w:lang w:val="fr-FR"/>
              </w:rPr>
            </w:pPr>
            <w:r w:rsidRPr="00A130CA">
              <w:rPr>
                <w:bCs/>
                <w:sz w:val="22"/>
                <w:szCs w:val="22"/>
                <w:lang w:val="fr-FR" w:eastAsia="en-US"/>
              </w:rPr>
              <w:t>4 rapports semestriels</w:t>
            </w:r>
          </w:p>
        </w:tc>
        <w:tc>
          <w:tcPr>
            <w:tcW w:w="1843" w:type="dxa"/>
          </w:tcPr>
          <w:p w14:paraId="71692D0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6AF25464" w14:textId="70BBAFD0" w:rsidR="00826923" w:rsidRPr="005A6420" w:rsidRDefault="00AE6E37" w:rsidP="00826923">
            <w:pPr>
              <w:rPr>
                <w:lang w:val="fr-FR"/>
              </w:rPr>
            </w:pPr>
            <w:r w:rsidRPr="0069452A">
              <w:rPr>
                <w:lang w:val="fr-FR" w:eastAsia="en-US"/>
              </w:rPr>
              <w:t>3 rapports semestriels produits et soumis aux autorités</w:t>
            </w:r>
            <w:r w:rsidR="00B6176F">
              <w:rPr>
                <w:lang w:val="fr-FR" w:eastAsia="en-US"/>
              </w:rPr>
              <w:t xml:space="preserve"> nationales</w:t>
            </w:r>
          </w:p>
        </w:tc>
        <w:tc>
          <w:tcPr>
            <w:tcW w:w="3391" w:type="dxa"/>
          </w:tcPr>
          <w:p w14:paraId="6D9C66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D3A8502" w14:textId="77777777" w:rsidTr="00A12553">
        <w:trPr>
          <w:trHeight w:val="458"/>
        </w:trPr>
        <w:tc>
          <w:tcPr>
            <w:tcW w:w="1530" w:type="dxa"/>
            <w:vMerge/>
          </w:tcPr>
          <w:p w14:paraId="5D432616" w14:textId="77777777" w:rsidR="00826923" w:rsidRPr="005A6420" w:rsidRDefault="00826923" w:rsidP="00826923">
            <w:pPr>
              <w:rPr>
                <w:rFonts w:cs="Tahoma"/>
                <w:b/>
                <w:szCs w:val="20"/>
                <w:lang w:val="fr-FR" w:eastAsia="en-US"/>
              </w:rPr>
            </w:pPr>
          </w:p>
        </w:tc>
        <w:tc>
          <w:tcPr>
            <w:tcW w:w="2070" w:type="dxa"/>
            <w:shd w:val="clear" w:color="auto" w:fill="EEECE1"/>
          </w:tcPr>
          <w:p w14:paraId="741900A4"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0585E036" w:rsidR="00826923" w:rsidRPr="005A6420" w:rsidRDefault="00AE6E37" w:rsidP="00826923">
            <w:pPr>
              <w:jc w:val="both"/>
              <w:rPr>
                <w:rFonts w:cs="Tahoma"/>
                <w:szCs w:val="20"/>
                <w:lang w:val="fr-FR" w:eastAsia="en-US"/>
              </w:rPr>
            </w:pPr>
            <w:proofErr w:type="gramStart"/>
            <w:r w:rsidRPr="0069452A">
              <w:rPr>
                <w:lang w:val="fr-FR" w:eastAsia="en-US"/>
              </w:rPr>
              <w:t>émissions</w:t>
            </w:r>
            <w:proofErr w:type="gramEnd"/>
            <w:r w:rsidRPr="0069452A">
              <w:rPr>
                <w:lang w:val="fr-FR" w:eastAsia="en-US"/>
              </w:rPr>
              <w:t xml:space="preserve"> radios sur les médiateurs internes</w:t>
            </w:r>
          </w:p>
        </w:tc>
        <w:tc>
          <w:tcPr>
            <w:tcW w:w="1660" w:type="dxa"/>
            <w:shd w:val="clear" w:color="auto" w:fill="EEECE1"/>
          </w:tcPr>
          <w:p w14:paraId="2763FB7E" w14:textId="03C30325" w:rsidR="00826923" w:rsidRPr="005A6420" w:rsidRDefault="00AE6E37" w:rsidP="00826923">
            <w:pPr>
              <w:rPr>
                <w:lang w:val="fr-FR"/>
              </w:rPr>
            </w:pPr>
            <w:r>
              <w:rPr>
                <w:b/>
                <w:sz w:val="22"/>
                <w:szCs w:val="22"/>
                <w:lang w:val="fr-FR" w:eastAsia="en-US"/>
              </w:rPr>
              <w:t>0</w:t>
            </w:r>
          </w:p>
        </w:tc>
        <w:tc>
          <w:tcPr>
            <w:tcW w:w="1985" w:type="dxa"/>
            <w:shd w:val="clear" w:color="auto" w:fill="EEECE1"/>
          </w:tcPr>
          <w:p w14:paraId="41B3D961" w14:textId="42F90E34" w:rsidR="00826923" w:rsidRPr="005A6420" w:rsidRDefault="00AE6E37" w:rsidP="00826923">
            <w:pPr>
              <w:rPr>
                <w:lang w:val="fr-FR"/>
              </w:rPr>
            </w:pPr>
            <w:r w:rsidRPr="0069452A">
              <w:rPr>
                <w:lang w:val="fr-FR" w:eastAsia="en-US"/>
              </w:rPr>
              <w:t>3 émissions radios diffusées</w:t>
            </w:r>
          </w:p>
        </w:tc>
        <w:tc>
          <w:tcPr>
            <w:tcW w:w="1843" w:type="dxa"/>
          </w:tcPr>
          <w:p w14:paraId="2BA73874" w14:textId="78B0B841" w:rsidR="00826923" w:rsidRPr="005A6420" w:rsidRDefault="00C6663B" w:rsidP="00826923">
            <w:pPr>
              <w:rPr>
                <w:lang w:val="fr-FR"/>
              </w:rPr>
            </w:pPr>
            <w:r>
              <w:rPr>
                <w:b/>
                <w:sz w:val="22"/>
                <w:szCs w:val="22"/>
                <w:lang w:val="fr-FR" w:eastAsia="en-US"/>
              </w:rPr>
              <w:t>N/A</w:t>
            </w:r>
          </w:p>
        </w:tc>
        <w:tc>
          <w:tcPr>
            <w:tcW w:w="2551" w:type="dxa"/>
          </w:tcPr>
          <w:p w14:paraId="492D884A" w14:textId="7A2C21F6" w:rsidR="00826923" w:rsidRPr="005A6420" w:rsidRDefault="00AE6E37" w:rsidP="00826923">
            <w:pPr>
              <w:rPr>
                <w:lang w:val="fr-FR"/>
              </w:rPr>
            </w:pPr>
            <w:r w:rsidRPr="0069452A">
              <w:rPr>
                <w:lang w:val="fr-FR" w:eastAsia="en-US"/>
              </w:rPr>
              <w:t>1 émission radio organisée avec le Médiateur de la République et diffusé par les radios communautaires</w:t>
            </w:r>
          </w:p>
        </w:tc>
        <w:tc>
          <w:tcPr>
            <w:tcW w:w="3391" w:type="dxa"/>
          </w:tcPr>
          <w:p w14:paraId="72D26A0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21B3FB7" w14:textId="77777777" w:rsidTr="00A12553">
        <w:trPr>
          <w:trHeight w:val="458"/>
        </w:trPr>
        <w:tc>
          <w:tcPr>
            <w:tcW w:w="1530" w:type="dxa"/>
            <w:vMerge w:val="restart"/>
          </w:tcPr>
          <w:p w14:paraId="190D57F3" w14:textId="77777777" w:rsidR="00826923" w:rsidRPr="005A6420" w:rsidRDefault="00826923" w:rsidP="00826923">
            <w:pPr>
              <w:rPr>
                <w:rFonts w:cs="Tahoma"/>
                <w:b/>
                <w:szCs w:val="20"/>
                <w:lang w:val="fr-FR" w:eastAsia="en-US"/>
              </w:rPr>
            </w:pPr>
          </w:p>
          <w:p w14:paraId="2FF3BDED" w14:textId="77777777" w:rsidR="00826923" w:rsidRPr="005A6420" w:rsidRDefault="00826923" w:rsidP="00826923">
            <w:pPr>
              <w:rPr>
                <w:rFonts w:cs="Tahoma"/>
                <w:szCs w:val="20"/>
                <w:lang w:val="fr-FR" w:eastAsia="en-US"/>
              </w:rPr>
            </w:pPr>
            <w:r w:rsidRPr="005A6420">
              <w:rPr>
                <w:rFonts w:cs="Tahoma"/>
                <w:szCs w:val="20"/>
                <w:lang w:val="fr-FR" w:eastAsia="en-US"/>
              </w:rPr>
              <w:t>Produit 2.3</w:t>
            </w:r>
          </w:p>
          <w:p w14:paraId="34C9ECDD"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2.3.1</w:t>
            </w:r>
            <w:proofErr w:type="gramEnd"/>
          </w:p>
          <w:p w14:paraId="64EB3D5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2F9DD7B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5569C4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5599AD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03AB7F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6557BDD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F9C0C94" w14:textId="77777777" w:rsidTr="00A12553">
        <w:trPr>
          <w:trHeight w:val="458"/>
        </w:trPr>
        <w:tc>
          <w:tcPr>
            <w:tcW w:w="1530" w:type="dxa"/>
            <w:vMerge/>
          </w:tcPr>
          <w:p w14:paraId="1A68426C" w14:textId="77777777" w:rsidR="00826923" w:rsidRPr="005A6420" w:rsidRDefault="00826923" w:rsidP="00826923">
            <w:pPr>
              <w:rPr>
                <w:rFonts w:cs="Tahoma"/>
                <w:b/>
                <w:szCs w:val="20"/>
                <w:lang w:val="fr-FR" w:eastAsia="en-US"/>
              </w:rPr>
            </w:pPr>
          </w:p>
        </w:tc>
        <w:tc>
          <w:tcPr>
            <w:tcW w:w="2070" w:type="dxa"/>
            <w:shd w:val="clear" w:color="auto" w:fill="EEECE1"/>
          </w:tcPr>
          <w:p w14:paraId="2CC8F54A"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4E7DE1E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4E507DA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00F1AA5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521FAAC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23E8A8A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DB2A2DA" w14:textId="77777777" w:rsidTr="00A12553">
        <w:trPr>
          <w:trHeight w:val="458"/>
        </w:trPr>
        <w:tc>
          <w:tcPr>
            <w:tcW w:w="1530" w:type="dxa"/>
            <w:vMerge w:val="restart"/>
          </w:tcPr>
          <w:p w14:paraId="109B5CCA" w14:textId="77777777" w:rsidR="00826923" w:rsidRPr="005A6420" w:rsidRDefault="00826923" w:rsidP="00826923">
            <w:pPr>
              <w:rPr>
                <w:rFonts w:cs="Tahoma"/>
                <w:b/>
                <w:szCs w:val="20"/>
                <w:lang w:val="fr-FR" w:eastAsia="en-US"/>
              </w:rPr>
            </w:pPr>
          </w:p>
          <w:p w14:paraId="33436EC0"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2C5D3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0F14645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1C59B6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38AC81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4CE950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8B8D9B" w14:textId="77777777" w:rsidTr="00A12553">
        <w:trPr>
          <w:trHeight w:val="458"/>
        </w:trPr>
        <w:tc>
          <w:tcPr>
            <w:tcW w:w="1530" w:type="dxa"/>
            <w:vMerge/>
          </w:tcPr>
          <w:p w14:paraId="391E61E2" w14:textId="77777777" w:rsidR="00826923" w:rsidRPr="005A6420" w:rsidRDefault="00826923" w:rsidP="00826923">
            <w:pPr>
              <w:rPr>
                <w:rFonts w:cs="Tahoma"/>
                <w:b/>
                <w:szCs w:val="20"/>
                <w:lang w:val="fr-FR" w:eastAsia="en-US"/>
              </w:rPr>
            </w:pPr>
          </w:p>
        </w:tc>
        <w:tc>
          <w:tcPr>
            <w:tcW w:w="2070" w:type="dxa"/>
            <w:shd w:val="clear" w:color="auto" w:fill="EEECE1"/>
          </w:tcPr>
          <w:p w14:paraId="5D9DE907"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D0CB0B0" w14:textId="77777777" w:rsidTr="00A12553">
        <w:trPr>
          <w:trHeight w:val="458"/>
        </w:trPr>
        <w:tc>
          <w:tcPr>
            <w:tcW w:w="1530" w:type="dxa"/>
            <w:vMerge w:val="restart"/>
          </w:tcPr>
          <w:p w14:paraId="50C445A7" w14:textId="77777777" w:rsidR="00826923" w:rsidRPr="005A6420" w:rsidRDefault="00826923" w:rsidP="00826923">
            <w:pPr>
              <w:rPr>
                <w:rFonts w:cs="Tahoma"/>
                <w:b/>
                <w:szCs w:val="20"/>
                <w:lang w:val="fr-FR" w:eastAsia="en-US"/>
              </w:rPr>
            </w:pPr>
            <w:r w:rsidRPr="005A6420">
              <w:rPr>
                <w:rFonts w:cs="Tahoma"/>
                <w:b/>
                <w:szCs w:val="20"/>
                <w:lang w:val="fr-FR" w:eastAsia="en-US"/>
              </w:rPr>
              <w:t>Résultat 3</w:t>
            </w:r>
          </w:p>
          <w:p w14:paraId="78F82635" w14:textId="77777777" w:rsidR="00826923" w:rsidRDefault="00AE6E37" w:rsidP="00826923">
            <w:pPr>
              <w:rPr>
                <w:lang w:val="fr-FR" w:eastAsia="en-US"/>
              </w:rPr>
            </w:pPr>
            <w:r w:rsidRPr="0069452A">
              <w:rPr>
                <w:lang w:val="fr-FR" w:eastAsia="en-US"/>
              </w:rPr>
              <w:t xml:space="preserve">La politique de communication du </w:t>
            </w:r>
            <w:r w:rsidRPr="0069452A">
              <w:rPr>
                <w:lang w:val="fr-FR" w:eastAsia="en-US"/>
              </w:rPr>
              <w:lastRenderedPageBreak/>
              <w:t xml:space="preserve">gouvernement centrafricain sur la médiation et le dialogue est établie et mise en œuvre pour favoriser un meilleur niveau d’information des populations et partenaires sur le processus de paix.     </w:t>
            </w:r>
          </w:p>
          <w:p w14:paraId="14B10969" w14:textId="0E8755ED" w:rsidR="00E77BAD" w:rsidRPr="005A6420" w:rsidRDefault="00E77BAD" w:rsidP="00826923">
            <w:pPr>
              <w:rPr>
                <w:rFonts w:cs="Tahoma"/>
                <w:b/>
                <w:szCs w:val="20"/>
                <w:lang w:val="fr-FR" w:eastAsia="en-US"/>
              </w:rPr>
            </w:pP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3.1</w:t>
            </w:r>
          </w:p>
          <w:p w14:paraId="5ACB1910"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3C8D73D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19A126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565061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64B9AF3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428395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130CA" w14:paraId="6F255D0F" w14:textId="77777777" w:rsidTr="00A12553">
        <w:trPr>
          <w:trHeight w:val="458"/>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2C0AEF" w:rsidRDefault="00826923" w:rsidP="00826923">
            <w:pPr>
              <w:jc w:val="both"/>
              <w:rPr>
                <w:rFonts w:cs="Tahoma"/>
                <w:szCs w:val="20"/>
                <w:lang w:val="fr-FR" w:eastAsia="en-US"/>
              </w:rPr>
            </w:pPr>
            <w:r w:rsidRPr="002C0AEF">
              <w:rPr>
                <w:rFonts w:cs="Tahoma"/>
                <w:szCs w:val="20"/>
                <w:lang w:val="fr-FR" w:eastAsia="en-US"/>
              </w:rPr>
              <w:t>Indicateur 3.2</w:t>
            </w:r>
          </w:p>
          <w:p w14:paraId="005E555A" w14:textId="397A9623" w:rsidR="00826923" w:rsidRPr="002C0AEF" w:rsidRDefault="00AE6E37" w:rsidP="00826923">
            <w:pPr>
              <w:jc w:val="both"/>
              <w:rPr>
                <w:rFonts w:cs="Tahoma"/>
                <w:szCs w:val="20"/>
                <w:lang w:val="fr-FR" w:eastAsia="en-US"/>
              </w:rPr>
            </w:pPr>
            <w:r w:rsidRPr="002C0AEF">
              <w:rPr>
                <w:lang w:val="fr-FR" w:eastAsia="en-US"/>
              </w:rPr>
              <w:t xml:space="preserve">Niveau de sensibilisation du public sur les </w:t>
            </w:r>
            <w:r w:rsidRPr="002C0AEF">
              <w:rPr>
                <w:lang w:val="fr-FR" w:eastAsia="en-US"/>
              </w:rPr>
              <w:lastRenderedPageBreak/>
              <w:t>accords de paix et le dialogue</w:t>
            </w:r>
          </w:p>
        </w:tc>
        <w:tc>
          <w:tcPr>
            <w:tcW w:w="1660" w:type="dxa"/>
            <w:shd w:val="clear" w:color="auto" w:fill="EEECE1"/>
          </w:tcPr>
          <w:p w14:paraId="3DFD1811" w14:textId="64692DA9" w:rsidR="00826923" w:rsidRPr="002C0AEF" w:rsidRDefault="00E77BAD" w:rsidP="00826923">
            <w:pPr>
              <w:rPr>
                <w:lang w:val="fr-FR"/>
              </w:rPr>
            </w:pPr>
            <w:r w:rsidRPr="002C0AEF">
              <w:rPr>
                <w:lang w:val="fr-FR" w:eastAsia="en-US"/>
              </w:rPr>
              <w:lastRenderedPageBreak/>
              <w:t xml:space="preserve">1% de personnes interrogées ont connaissance </w:t>
            </w:r>
            <w:r w:rsidRPr="002C0AEF">
              <w:rPr>
                <w:lang w:val="fr-FR" w:eastAsia="en-US"/>
              </w:rPr>
              <w:lastRenderedPageBreak/>
              <w:t>de l'IA (</w:t>
            </w:r>
            <w:proofErr w:type="spellStart"/>
            <w:r w:rsidRPr="002C0AEF">
              <w:rPr>
                <w:lang w:val="fr-FR" w:eastAsia="en-US"/>
              </w:rPr>
              <w:t>oct</w:t>
            </w:r>
            <w:proofErr w:type="spellEnd"/>
            <w:r w:rsidRPr="002C0AEF">
              <w:rPr>
                <w:lang w:val="fr-FR" w:eastAsia="en-US"/>
              </w:rPr>
              <w:t xml:space="preserve"> 2018)</w:t>
            </w:r>
          </w:p>
        </w:tc>
        <w:tc>
          <w:tcPr>
            <w:tcW w:w="1985" w:type="dxa"/>
            <w:shd w:val="clear" w:color="auto" w:fill="EEECE1"/>
          </w:tcPr>
          <w:p w14:paraId="31910AC3" w14:textId="7F6C5366" w:rsidR="00826923" w:rsidRPr="002C0AEF" w:rsidRDefault="00E77BAD" w:rsidP="00826923">
            <w:pPr>
              <w:rPr>
                <w:lang w:val="fr-FR"/>
              </w:rPr>
            </w:pPr>
            <w:r w:rsidRPr="002C0AEF">
              <w:rPr>
                <w:lang w:val="fr-FR" w:eastAsia="en-US"/>
              </w:rPr>
              <w:lastRenderedPageBreak/>
              <w:t xml:space="preserve">La population cible indique un niveau d’information </w:t>
            </w:r>
            <w:r w:rsidRPr="002C0AEF">
              <w:rPr>
                <w:lang w:val="fr-FR" w:eastAsia="en-US"/>
              </w:rPr>
              <w:lastRenderedPageBreak/>
              <w:t>améliorée de 30 pour cent</w:t>
            </w:r>
          </w:p>
        </w:tc>
        <w:tc>
          <w:tcPr>
            <w:tcW w:w="1843" w:type="dxa"/>
          </w:tcPr>
          <w:p w14:paraId="2456A0C0" w14:textId="2E999BB4" w:rsidR="00826923" w:rsidRPr="002C0AEF" w:rsidRDefault="00C6663B" w:rsidP="00826923">
            <w:pPr>
              <w:rPr>
                <w:lang w:val="fr-FR"/>
              </w:rPr>
            </w:pPr>
            <w:r>
              <w:rPr>
                <w:sz w:val="22"/>
                <w:szCs w:val="22"/>
                <w:lang w:val="fr-FR" w:eastAsia="en-US"/>
              </w:rPr>
              <w:lastRenderedPageBreak/>
              <w:t>N/A</w:t>
            </w:r>
          </w:p>
        </w:tc>
        <w:tc>
          <w:tcPr>
            <w:tcW w:w="2551" w:type="dxa"/>
          </w:tcPr>
          <w:p w14:paraId="2A61AB49" w14:textId="1C15D5EB" w:rsidR="00826923" w:rsidRPr="002C0AEF" w:rsidRDefault="007B08DF" w:rsidP="00826923">
            <w:pPr>
              <w:rPr>
                <w:lang w:val="fr-FR"/>
              </w:rPr>
            </w:pPr>
            <w:r w:rsidRPr="002C0AEF">
              <w:rPr>
                <w:sz w:val="22"/>
                <w:szCs w:val="22"/>
                <w:lang w:val="fr-FR" w:eastAsia="en-US"/>
              </w:rPr>
              <w:t>67% ont entendu parler de l’accord de paix (75% hommes, 58% femmes)</w:t>
            </w:r>
            <w:r w:rsidR="002C0AEF">
              <w:rPr>
                <w:sz w:val="22"/>
                <w:szCs w:val="22"/>
                <w:lang w:val="fr-FR" w:eastAsia="en-US"/>
              </w:rPr>
              <w:t> ; 41% le connaissent</w:t>
            </w:r>
          </w:p>
        </w:tc>
        <w:tc>
          <w:tcPr>
            <w:tcW w:w="3391" w:type="dxa"/>
          </w:tcPr>
          <w:p w14:paraId="7FF4D892" w14:textId="439C12D6" w:rsidR="00826923" w:rsidRPr="002C0AEF" w:rsidRDefault="007B08DF" w:rsidP="00826923">
            <w:pPr>
              <w:rPr>
                <w:lang w:val="fr-FR"/>
              </w:rPr>
            </w:pPr>
            <w:r w:rsidRPr="002C0AEF">
              <w:rPr>
                <w:sz w:val="22"/>
                <w:szCs w:val="22"/>
                <w:lang w:val="fr-FR" w:eastAsia="en-US"/>
              </w:rPr>
              <w:t xml:space="preserve">83% des répondant en ont </w:t>
            </w:r>
            <w:r w:rsidR="00BA17CD" w:rsidRPr="002C0AEF">
              <w:rPr>
                <w:sz w:val="22"/>
                <w:szCs w:val="22"/>
                <w:lang w:val="fr-FR" w:eastAsia="en-US"/>
              </w:rPr>
              <w:t>entendu de</w:t>
            </w:r>
            <w:r w:rsidRPr="002C0AEF">
              <w:rPr>
                <w:sz w:val="22"/>
                <w:szCs w:val="22"/>
                <w:lang w:val="fr-FR" w:eastAsia="en-US"/>
              </w:rPr>
              <w:t xml:space="preserve"> l’accord de paix parler à la radio</w:t>
            </w:r>
          </w:p>
        </w:tc>
      </w:tr>
      <w:tr w:rsidR="00826923" w:rsidRPr="00A130CA" w14:paraId="63E17286" w14:textId="77777777" w:rsidTr="00A12553">
        <w:trPr>
          <w:trHeight w:val="458"/>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4AB3C950" w:rsidR="00826923" w:rsidRPr="005A6420" w:rsidRDefault="00E77BAD" w:rsidP="00826923">
            <w:pPr>
              <w:jc w:val="both"/>
              <w:rPr>
                <w:rFonts w:cs="Tahoma"/>
                <w:szCs w:val="20"/>
                <w:lang w:val="fr-FR" w:eastAsia="en-US"/>
              </w:rPr>
            </w:pPr>
            <w:r w:rsidRPr="0069452A">
              <w:rPr>
                <w:lang w:val="fr-FR" w:eastAsia="en-US"/>
              </w:rPr>
              <w:t>% de personnes qui estiment que le dialogue politique est inclusif.</w:t>
            </w:r>
          </w:p>
        </w:tc>
        <w:tc>
          <w:tcPr>
            <w:tcW w:w="1660" w:type="dxa"/>
            <w:shd w:val="clear" w:color="auto" w:fill="EEECE1"/>
          </w:tcPr>
          <w:p w14:paraId="42640E94" w14:textId="68A56077" w:rsidR="00826923" w:rsidRPr="005A6420" w:rsidRDefault="00E77BAD" w:rsidP="00826923">
            <w:pPr>
              <w:rPr>
                <w:lang w:val="fr-FR"/>
              </w:rPr>
            </w:pPr>
            <w:r w:rsidRPr="001A30FF">
              <w:rPr>
                <w:lang w:val="fr-FR" w:eastAsia="en-US"/>
              </w:rPr>
              <w:t>1% de personnes interrogées ont connaissance de l'IA (</w:t>
            </w:r>
            <w:proofErr w:type="spellStart"/>
            <w:r w:rsidRPr="001A30FF">
              <w:rPr>
                <w:lang w:val="fr-FR" w:eastAsia="en-US"/>
              </w:rPr>
              <w:t>oct</w:t>
            </w:r>
            <w:proofErr w:type="spellEnd"/>
            <w:r w:rsidRPr="001A30FF">
              <w:rPr>
                <w:lang w:val="fr-FR" w:eastAsia="en-US"/>
              </w:rPr>
              <w:t xml:space="preserve"> 2018)</w:t>
            </w:r>
          </w:p>
        </w:tc>
        <w:tc>
          <w:tcPr>
            <w:tcW w:w="1985" w:type="dxa"/>
            <w:shd w:val="clear" w:color="auto" w:fill="EEECE1"/>
          </w:tcPr>
          <w:p w14:paraId="13902E51" w14:textId="25601624" w:rsidR="00826923" w:rsidRPr="005A6420" w:rsidRDefault="00E77BAD" w:rsidP="00826923">
            <w:pPr>
              <w:rPr>
                <w:lang w:val="fr-FR"/>
              </w:rPr>
            </w:pPr>
            <w:r w:rsidRPr="001A30FF">
              <w:rPr>
                <w:lang w:val="fr-FR" w:eastAsia="en-US"/>
              </w:rPr>
              <w:t>Au moins 30 % indique que le dialogue est inclusif</w:t>
            </w:r>
          </w:p>
        </w:tc>
        <w:tc>
          <w:tcPr>
            <w:tcW w:w="1843" w:type="dxa"/>
          </w:tcPr>
          <w:p w14:paraId="1D4D9825" w14:textId="55F7018F" w:rsidR="00826923" w:rsidRPr="005A6420" w:rsidRDefault="00C6663B" w:rsidP="00826923">
            <w:pPr>
              <w:rPr>
                <w:lang w:val="fr-FR"/>
              </w:rPr>
            </w:pPr>
            <w:r>
              <w:rPr>
                <w:b/>
                <w:sz w:val="22"/>
                <w:szCs w:val="22"/>
                <w:lang w:val="fr-FR" w:eastAsia="en-US"/>
              </w:rPr>
              <w:t>N/A</w:t>
            </w:r>
          </w:p>
        </w:tc>
        <w:tc>
          <w:tcPr>
            <w:tcW w:w="2551" w:type="dxa"/>
          </w:tcPr>
          <w:p w14:paraId="44D27831" w14:textId="47929ECD" w:rsidR="00826923" w:rsidRPr="00AD76D3" w:rsidRDefault="002C0AEF" w:rsidP="00826923">
            <w:pPr>
              <w:rPr>
                <w:bCs/>
                <w:lang w:val="fr-FR"/>
              </w:rPr>
            </w:pPr>
            <w:r w:rsidRPr="00AD76D3">
              <w:rPr>
                <w:bCs/>
                <w:sz w:val="22"/>
                <w:szCs w:val="22"/>
                <w:lang w:val="fr-FR" w:eastAsia="en-US"/>
              </w:rPr>
              <w:t>26% des répondants ont confiance en l’accord (30% hommes ; 28% femmes)</w:t>
            </w:r>
          </w:p>
        </w:tc>
        <w:tc>
          <w:tcPr>
            <w:tcW w:w="3391" w:type="dxa"/>
          </w:tcPr>
          <w:p w14:paraId="5959C4D8" w14:textId="3230B68E" w:rsidR="00826923" w:rsidRPr="00AD76D3" w:rsidRDefault="002C0AEF" w:rsidP="00826923">
            <w:pPr>
              <w:rPr>
                <w:bCs/>
                <w:lang w:val="fr-FR"/>
              </w:rPr>
            </w:pPr>
            <w:r w:rsidRPr="00AD76D3">
              <w:rPr>
                <w:bCs/>
                <w:sz w:val="22"/>
                <w:szCs w:val="22"/>
                <w:lang w:val="fr-FR" w:eastAsia="en-US"/>
              </w:rPr>
              <w:t>La question posée ainsi n’a pas donné de résultats au cours des sondages. En revanche 74% des interrogés pensent que le retour de la paix est impossible si les auteurs de violences sont impunis</w:t>
            </w:r>
            <w:r w:rsidR="00C64216" w:rsidRPr="00AD76D3">
              <w:rPr>
                <w:bCs/>
                <w:sz w:val="22"/>
                <w:szCs w:val="22"/>
                <w:lang w:val="fr-FR" w:eastAsia="en-US"/>
              </w:rPr>
              <w:t xml:space="preserve"> et 70% que la paix</w:t>
            </w:r>
            <w:r w:rsidR="00AD76D3">
              <w:rPr>
                <w:bCs/>
                <w:sz w:val="22"/>
                <w:szCs w:val="22"/>
                <w:lang w:val="fr-FR" w:eastAsia="en-US"/>
              </w:rPr>
              <w:t xml:space="preserve"> </w:t>
            </w:r>
            <w:r w:rsidR="00C64216" w:rsidRPr="00AD76D3">
              <w:rPr>
                <w:bCs/>
                <w:sz w:val="22"/>
                <w:szCs w:val="22"/>
                <w:lang w:val="fr-FR" w:eastAsia="en-US"/>
              </w:rPr>
              <w:t>passe par le DDRR</w:t>
            </w:r>
          </w:p>
        </w:tc>
      </w:tr>
      <w:tr w:rsidR="00826923" w:rsidRPr="00A130CA" w14:paraId="5C42158F" w14:textId="77777777" w:rsidTr="00A12553">
        <w:trPr>
          <w:trHeight w:val="458"/>
        </w:trPr>
        <w:tc>
          <w:tcPr>
            <w:tcW w:w="1530" w:type="dxa"/>
            <w:vMerge w:val="restart"/>
          </w:tcPr>
          <w:p w14:paraId="5AF379A3" w14:textId="77777777" w:rsidR="00826923" w:rsidRPr="005A6420" w:rsidRDefault="00826923" w:rsidP="00826923">
            <w:pPr>
              <w:rPr>
                <w:rFonts w:cs="Tahoma"/>
                <w:szCs w:val="20"/>
                <w:lang w:val="fr-FR" w:eastAsia="en-US"/>
              </w:rPr>
            </w:pPr>
            <w:r w:rsidRPr="005A6420">
              <w:rPr>
                <w:rFonts w:cs="Tahoma"/>
                <w:szCs w:val="20"/>
                <w:lang w:val="fr-FR" w:eastAsia="en-US"/>
              </w:rPr>
              <w:t>Produit 3.1</w:t>
            </w:r>
          </w:p>
          <w:p w14:paraId="498E3ED3" w14:textId="475D4200" w:rsidR="00826923" w:rsidRPr="005A6420" w:rsidRDefault="00E77BAD" w:rsidP="00826923">
            <w:pPr>
              <w:rPr>
                <w:rFonts w:cs="Tahoma"/>
                <w:szCs w:val="20"/>
                <w:lang w:val="fr-FR" w:eastAsia="en-US"/>
              </w:rPr>
            </w:pPr>
            <w:r w:rsidRPr="001A30FF">
              <w:rPr>
                <w:lang w:val="fr-FR" w:eastAsia="en-US"/>
              </w:rPr>
              <w:t>Les capacités de communicati</w:t>
            </w:r>
            <w:r w:rsidRPr="001A30FF">
              <w:rPr>
                <w:lang w:val="fr-FR" w:eastAsia="en-US"/>
              </w:rPr>
              <w:lastRenderedPageBreak/>
              <w:t>on des autorités centrafricaines sont renforcées</w:t>
            </w:r>
          </w:p>
        </w:tc>
        <w:tc>
          <w:tcPr>
            <w:tcW w:w="2070" w:type="dxa"/>
            <w:shd w:val="clear" w:color="auto" w:fill="EEECE1"/>
          </w:tcPr>
          <w:p w14:paraId="710D11F8"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3.1.1</w:t>
            </w:r>
          </w:p>
          <w:p w14:paraId="1D7757D3" w14:textId="0EFCA0DF" w:rsidR="00826923" w:rsidRPr="005A6420" w:rsidRDefault="00E77BAD" w:rsidP="00826923">
            <w:pPr>
              <w:jc w:val="both"/>
              <w:rPr>
                <w:rFonts w:cs="Tahoma"/>
                <w:szCs w:val="20"/>
                <w:lang w:val="fr-FR" w:eastAsia="en-US"/>
              </w:rPr>
            </w:pPr>
            <w:r w:rsidRPr="001A30FF">
              <w:rPr>
                <w:lang w:val="fr-FR" w:eastAsia="en-US"/>
              </w:rPr>
              <w:t>Existence de lignes directrice</w:t>
            </w:r>
          </w:p>
        </w:tc>
        <w:tc>
          <w:tcPr>
            <w:tcW w:w="1660" w:type="dxa"/>
            <w:shd w:val="clear" w:color="auto" w:fill="EEECE1"/>
          </w:tcPr>
          <w:p w14:paraId="0670EF88" w14:textId="65C15DD6" w:rsidR="00826923" w:rsidRPr="005A6420" w:rsidRDefault="00387A06" w:rsidP="00826923">
            <w:pPr>
              <w:rPr>
                <w:lang w:val="fr-FR"/>
              </w:rPr>
            </w:pPr>
            <w:r w:rsidRPr="001A30FF">
              <w:rPr>
                <w:lang w:val="fr-FR" w:eastAsia="en-US"/>
              </w:rPr>
              <w:t>Aucunes lignes directrices</w:t>
            </w:r>
            <w:r w:rsidR="00E77BAD" w:rsidRPr="001A30FF">
              <w:rPr>
                <w:lang w:val="fr-FR" w:eastAsia="en-US"/>
              </w:rPr>
              <w:t xml:space="preserve"> existantes</w:t>
            </w:r>
          </w:p>
        </w:tc>
        <w:tc>
          <w:tcPr>
            <w:tcW w:w="1985" w:type="dxa"/>
            <w:shd w:val="clear" w:color="auto" w:fill="EEECE1"/>
          </w:tcPr>
          <w:p w14:paraId="35A1D886" w14:textId="41F49D0E" w:rsidR="00826923" w:rsidRPr="005A6420" w:rsidRDefault="00E77BAD" w:rsidP="00826923">
            <w:pPr>
              <w:rPr>
                <w:lang w:val="fr-FR"/>
              </w:rPr>
            </w:pPr>
            <w:r w:rsidRPr="001A30FF">
              <w:rPr>
                <w:lang w:val="fr-FR" w:eastAsia="en-US"/>
              </w:rPr>
              <w:t>Ligne directrice créée</w:t>
            </w:r>
            <w:r>
              <w:t>s</w:t>
            </w:r>
          </w:p>
        </w:tc>
        <w:tc>
          <w:tcPr>
            <w:tcW w:w="1843" w:type="dxa"/>
          </w:tcPr>
          <w:p w14:paraId="1CFC554A" w14:textId="274EE353" w:rsidR="00826923" w:rsidRPr="000B5F2D" w:rsidRDefault="006E0AE4" w:rsidP="00826923">
            <w:pPr>
              <w:rPr>
                <w:bCs/>
                <w:lang w:val="fr-FR"/>
              </w:rPr>
            </w:pPr>
            <w:r w:rsidRPr="000B5F2D">
              <w:rPr>
                <w:bCs/>
                <w:sz w:val="22"/>
                <w:szCs w:val="22"/>
                <w:lang w:val="fr-FR" w:eastAsia="en-US"/>
              </w:rPr>
              <w:t>Lignes directrices adoptées en 2019</w:t>
            </w:r>
          </w:p>
        </w:tc>
        <w:tc>
          <w:tcPr>
            <w:tcW w:w="2551" w:type="dxa"/>
          </w:tcPr>
          <w:p w14:paraId="7AD8E9E4" w14:textId="77777777" w:rsidR="00E77BAD" w:rsidRPr="00F83EC2" w:rsidRDefault="00E77BAD" w:rsidP="00E77BAD">
            <w:pPr>
              <w:rPr>
                <w:lang w:val="fr-FR" w:eastAsia="en-US"/>
              </w:rPr>
            </w:pPr>
            <w:r w:rsidRPr="00F83EC2">
              <w:rPr>
                <w:lang w:val="fr-FR" w:eastAsia="en-US"/>
              </w:rPr>
              <w:t>- Une stratégie de vulgarisation de l'APPR élaborée et validée en mai 2019</w:t>
            </w:r>
          </w:p>
          <w:p w14:paraId="75BAABD9" w14:textId="77777777" w:rsidR="00826923" w:rsidRDefault="00E77BAD" w:rsidP="00E77BAD">
            <w:pPr>
              <w:rPr>
                <w:lang w:val="fr-FR" w:eastAsia="en-US"/>
              </w:rPr>
            </w:pPr>
            <w:r w:rsidRPr="00F83EC2">
              <w:rPr>
                <w:lang w:val="fr-FR" w:eastAsia="en-US"/>
              </w:rPr>
              <w:lastRenderedPageBreak/>
              <w:t>- Un cadre de coordination des partenaires mis en place et actif</w:t>
            </w:r>
          </w:p>
          <w:p w14:paraId="155F9EA4" w14:textId="3359D6A0" w:rsidR="000B5F2D" w:rsidRDefault="000B5F2D" w:rsidP="000B5F2D">
            <w:pPr>
              <w:rPr>
                <w:lang w:val="fr-FR" w:eastAsia="en-US"/>
              </w:rPr>
            </w:pPr>
            <w:r w:rsidRPr="00F83EC2">
              <w:rPr>
                <w:lang w:val="fr-FR" w:eastAsia="en-US"/>
              </w:rPr>
              <w:t xml:space="preserve">Un réseau des points focaux </w:t>
            </w:r>
            <w:r w:rsidRPr="001878CC">
              <w:rPr>
                <w:lang w:val="fr-FR"/>
              </w:rPr>
              <w:t>installé</w:t>
            </w:r>
            <w:r>
              <w:rPr>
                <w:lang w:val="fr-FR"/>
              </w:rPr>
              <w:t xml:space="preserve"> (Gouv et institutions)</w:t>
            </w:r>
          </w:p>
          <w:p w14:paraId="1760ABBC" w14:textId="581F453B" w:rsidR="000B5F2D" w:rsidRPr="005A6420" w:rsidRDefault="000B5F2D" w:rsidP="000B5F2D">
            <w:pPr>
              <w:rPr>
                <w:lang w:val="fr-FR"/>
              </w:rPr>
            </w:pPr>
            <w:r w:rsidRPr="00446FD9">
              <w:rPr>
                <w:lang w:val="fr-FR"/>
              </w:rPr>
              <w:t>- Un lexique de la paix</w:t>
            </w:r>
            <w:r>
              <w:rPr>
                <w:lang w:val="fr-FR"/>
              </w:rPr>
              <w:t xml:space="preserve"> disponible</w:t>
            </w:r>
          </w:p>
        </w:tc>
        <w:tc>
          <w:tcPr>
            <w:tcW w:w="3391" w:type="dxa"/>
          </w:tcPr>
          <w:p w14:paraId="72A91972" w14:textId="1BFDF980" w:rsidR="00826923" w:rsidRPr="005A6420" w:rsidRDefault="00E77BAD" w:rsidP="00E77BAD">
            <w:pPr>
              <w:rPr>
                <w:lang w:val="fr-FR"/>
              </w:rPr>
            </w:pPr>
            <w:r w:rsidRPr="00446FD9">
              <w:rPr>
                <w:lang w:val="fr-FR"/>
              </w:rPr>
              <w:lastRenderedPageBreak/>
              <w:t xml:space="preserve"> </w:t>
            </w:r>
          </w:p>
        </w:tc>
      </w:tr>
      <w:tr w:rsidR="00826923" w:rsidRPr="00A130CA" w14:paraId="100B110C" w14:textId="77777777" w:rsidTr="00A12553">
        <w:trPr>
          <w:trHeight w:val="458"/>
        </w:trPr>
        <w:tc>
          <w:tcPr>
            <w:tcW w:w="1530" w:type="dxa"/>
            <w:vMerge/>
          </w:tcPr>
          <w:p w14:paraId="6E42058F" w14:textId="77777777" w:rsidR="00826923" w:rsidRPr="005A6420" w:rsidRDefault="00826923" w:rsidP="00826923">
            <w:pPr>
              <w:rPr>
                <w:rFonts w:cs="Tahoma"/>
                <w:szCs w:val="20"/>
                <w:lang w:val="fr-FR" w:eastAsia="en-US"/>
              </w:rPr>
            </w:pPr>
          </w:p>
        </w:tc>
        <w:tc>
          <w:tcPr>
            <w:tcW w:w="2070" w:type="dxa"/>
            <w:shd w:val="clear" w:color="auto" w:fill="EEECE1"/>
          </w:tcPr>
          <w:p w14:paraId="75DC2D6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1AC64BA4" w14:textId="1DAD4D17" w:rsidR="00826923" w:rsidRPr="005A6420" w:rsidRDefault="008F7D84" w:rsidP="00826923">
            <w:pPr>
              <w:jc w:val="both"/>
              <w:rPr>
                <w:rFonts w:cs="Tahoma"/>
                <w:szCs w:val="20"/>
                <w:lang w:val="fr-FR" w:eastAsia="en-US"/>
              </w:rPr>
            </w:pPr>
            <w:r w:rsidRPr="001A30FF">
              <w:rPr>
                <w:lang w:val="fr-FR" w:eastAsia="en-US"/>
              </w:rPr>
              <w:t>Nb de réunions du mécanisme de coordination</w:t>
            </w:r>
          </w:p>
        </w:tc>
        <w:tc>
          <w:tcPr>
            <w:tcW w:w="1660" w:type="dxa"/>
            <w:shd w:val="clear" w:color="auto" w:fill="EEECE1"/>
          </w:tcPr>
          <w:p w14:paraId="4450A539" w14:textId="2C3B2545" w:rsidR="00826923" w:rsidRPr="005A6420" w:rsidRDefault="008F7D84" w:rsidP="00826923">
            <w:pPr>
              <w:rPr>
                <w:lang w:val="fr-FR"/>
              </w:rPr>
            </w:pPr>
            <w:r>
              <w:rPr>
                <w:lang w:val="fr-FR" w:eastAsia="en-US"/>
              </w:rPr>
              <w:t>0</w:t>
            </w:r>
          </w:p>
        </w:tc>
        <w:tc>
          <w:tcPr>
            <w:tcW w:w="1985" w:type="dxa"/>
            <w:shd w:val="clear" w:color="auto" w:fill="EEECE1"/>
          </w:tcPr>
          <w:p w14:paraId="64DF62F5" w14:textId="655EE7A4" w:rsidR="00826923" w:rsidRPr="005A6420" w:rsidRDefault="008F7D84" w:rsidP="00826923">
            <w:pPr>
              <w:rPr>
                <w:lang w:val="fr-FR"/>
              </w:rPr>
            </w:pPr>
            <w:r w:rsidRPr="00F83EC2">
              <w:rPr>
                <w:lang w:val="fr-FR" w:eastAsia="en-US"/>
              </w:rPr>
              <w:t>1 réunion par mois du mécanisme</w:t>
            </w:r>
          </w:p>
        </w:tc>
        <w:tc>
          <w:tcPr>
            <w:tcW w:w="1843" w:type="dxa"/>
          </w:tcPr>
          <w:p w14:paraId="68E43661" w14:textId="0003BB7F" w:rsidR="00826923" w:rsidRPr="005A6420" w:rsidRDefault="00C6663B" w:rsidP="00826923">
            <w:pPr>
              <w:rPr>
                <w:lang w:val="fr-FR"/>
              </w:rPr>
            </w:pPr>
            <w:r>
              <w:rPr>
                <w:b/>
                <w:sz w:val="22"/>
                <w:szCs w:val="22"/>
                <w:lang w:val="fr-FR" w:eastAsia="en-US"/>
              </w:rPr>
              <w:t>N/A</w:t>
            </w:r>
          </w:p>
        </w:tc>
        <w:tc>
          <w:tcPr>
            <w:tcW w:w="2551" w:type="dxa"/>
          </w:tcPr>
          <w:p w14:paraId="16071E3A" w14:textId="7015370D" w:rsidR="00826923" w:rsidRPr="005A6420" w:rsidRDefault="000B5F2D" w:rsidP="00826923">
            <w:pPr>
              <w:rPr>
                <w:lang w:val="fr-FR"/>
              </w:rPr>
            </w:pPr>
            <w:r>
              <w:rPr>
                <w:lang w:val="fr-FR"/>
              </w:rPr>
              <w:t>8</w:t>
            </w:r>
            <w:r w:rsidR="008F7D84" w:rsidRPr="00F83EC2">
              <w:rPr>
                <w:lang w:val="fr-FR" w:eastAsia="en-US"/>
              </w:rPr>
              <w:t xml:space="preserve"> réunions du cadre de coordination des partenaires organisées depuis la validation de la stratégie</w:t>
            </w:r>
          </w:p>
        </w:tc>
        <w:tc>
          <w:tcPr>
            <w:tcW w:w="3391" w:type="dxa"/>
          </w:tcPr>
          <w:p w14:paraId="2A1F5BA2" w14:textId="7DB64A01" w:rsidR="00826923" w:rsidRPr="000B5F2D" w:rsidRDefault="000B5F2D" w:rsidP="00826923">
            <w:pPr>
              <w:rPr>
                <w:bCs/>
                <w:lang w:val="fr-FR"/>
              </w:rPr>
            </w:pPr>
            <w:r w:rsidRPr="000B5F2D">
              <w:rPr>
                <w:bCs/>
                <w:sz w:val="22"/>
                <w:szCs w:val="22"/>
                <w:lang w:val="fr-FR" w:eastAsia="en-US"/>
              </w:rPr>
              <w:t xml:space="preserve">Réduction notable de la fréquence des rencontres </w:t>
            </w:r>
            <w:proofErr w:type="gramStart"/>
            <w:r w:rsidRPr="000B5F2D">
              <w:rPr>
                <w:bCs/>
                <w:sz w:val="22"/>
                <w:szCs w:val="22"/>
                <w:lang w:val="fr-FR" w:eastAsia="en-US"/>
              </w:rPr>
              <w:t>suite à</w:t>
            </w:r>
            <w:proofErr w:type="gramEnd"/>
            <w:r w:rsidRPr="000B5F2D">
              <w:rPr>
                <w:bCs/>
                <w:sz w:val="22"/>
                <w:szCs w:val="22"/>
                <w:lang w:val="fr-FR" w:eastAsia="en-US"/>
              </w:rPr>
              <w:t xml:space="preserve"> la pandémie Covid-19</w:t>
            </w:r>
          </w:p>
        </w:tc>
      </w:tr>
      <w:tr w:rsidR="00826923" w:rsidRPr="00B578D6" w14:paraId="4A002238" w14:textId="77777777" w:rsidTr="00A12553">
        <w:trPr>
          <w:trHeight w:val="458"/>
        </w:trPr>
        <w:tc>
          <w:tcPr>
            <w:tcW w:w="1530" w:type="dxa"/>
            <w:vMerge w:val="restart"/>
          </w:tcPr>
          <w:p w14:paraId="1399BFDF" w14:textId="77777777" w:rsidR="00826923" w:rsidRPr="005A6420" w:rsidRDefault="00826923" w:rsidP="00826923">
            <w:pPr>
              <w:rPr>
                <w:rFonts w:cs="Tahoma"/>
                <w:szCs w:val="20"/>
                <w:lang w:val="fr-FR" w:eastAsia="en-US"/>
              </w:rPr>
            </w:pPr>
            <w:r w:rsidRPr="005A6420">
              <w:rPr>
                <w:rFonts w:cs="Tahoma"/>
                <w:szCs w:val="20"/>
                <w:lang w:val="fr-FR" w:eastAsia="en-US"/>
              </w:rPr>
              <w:t>Produit 3.2</w:t>
            </w:r>
          </w:p>
          <w:p w14:paraId="0C627E92" w14:textId="1C7DC4E9" w:rsidR="00826923" w:rsidRPr="005A6420" w:rsidRDefault="008F7D84" w:rsidP="00826923">
            <w:pPr>
              <w:rPr>
                <w:rFonts w:cs="Tahoma"/>
                <w:szCs w:val="20"/>
                <w:lang w:val="fr-FR" w:eastAsia="en-US"/>
              </w:rPr>
            </w:pPr>
            <w:r w:rsidRPr="00F83EC2">
              <w:rPr>
                <w:lang w:val="fr-FR" w:eastAsia="en-US"/>
              </w:rPr>
              <w:t xml:space="preserve">Le rôle de la société civile et des médias, en particulier des radios communautaires dans la promotion de </w:t>
            </w:r>
            <w:r w:rsidRPr="00F83EC2">
              <w:rPr>
                <w:lang w:val="fr-FR" w:eastAsia="en-US"/>
              </w:rPr>
              <w:lastRenderedPageBreak/>
              <w:t>la paix, est renforcé</w:t>
            </w:r>
          </w:p>
        </w:tc>
        <w:tc>
          <w:tcPr>
            <w:tcW w:w="2070" w:type="dxa"/>
            <w:shd w:val="clear" w:color="auto" w:fill="EEECE1"/>
          </w:tcPr>
          <w:p w14:paraId="399E4F20" w14:textId="77777777" w:rsidR="00826923" w:rsidRPr="00B87CD1" w:rsidRDefault="00826923" w:rsidP="00826923">
            <w:pPr>
              <w:jc w:val="both"/>
              <w:rPr>
                <w:rFonts w:cs="Tahoma"/>
                <w:sz w:val="22"/>
                <w:szCs w:val="22"/>
                <w:lang w:val="fr-FR" w:eastAsia="en-US"/>
              </w:rPr>
            </w:pPr>
            <w:r w:rsidRPr="00B87CD1">
              <w:rPr>
                <w:rFonts w:cs="Tahoma"/>
                <w:sz w:val="22"/>
                <w:szCs w:val="22"/>
                <w:lang w:val="fr-FR" w:eastAsia="en-US"/>
              </w:rPr>
              <w:lastRenderedPageBreak/>
              <w:t>Indicateur 3.2.1</w:t>
            </w:r>
          </w:p>
          <w:p w14:paraId="094E5F49" w14:textId="0E65431A" w:rsidR="00826923" w:rsidRPr="00B87CD1" w:rsidRDefault="008F7D84" w:rsidP="00826923">
            <w:pPr>
              <w:jc w:val="both"/>
              <w:rPr>
                <w:rFonts w:cs="Tahoma"/>
                <w:sz w:val="22"/>
                <w:szCs w:val="22"/>
                <w:lang w:val="fr-FR" w:eastAsia="en-US"/>
              </w:rPr>
            </w:pPr>
            <w:r w:rsidRPr="00B87CD1">
              <w:rPr>
                <w:sz w:val="22"/>
                <w:szCs w:val="22"/>
                <w:lang w:val="fr-FR" w:eastAsia="en-US"/>
              </w:rPr>
              <w:t>Nb de messages diffusés</w:t>
            </w:r>
          </w:p>
        </w:tc>
        <w:tc>
          <w:tcPr>
            <w:tcW w:w="1660" w:type="dxa"/>
            <w:shd w:val="clear" w:color="auto" w:fill="EEECE1"/>
          </w:tcPr>
          <w:p w14:paraId="1EAA3323" w14:textId="1680F716" w:rsidR="00826923" w:rsidRPr="00B87CD1" w:rsidRDefault="008F7D84" w:rsidP="00826923">
            <w:pPr>
              <w:rPr>
                <w:sz w:val="22"/>
                <w:szCs w:val="22"/>
                <w:lang w:val="fr-FR"/>
              </w:rPr>
            </w:pPr>
            <w:r w:rsidRPr="00B87CD1">
              <w:rPr>
                <w:sz w:val="22"/>
                <w:szCs w:val="22"/>
                <w:lang w:val="fr-FR" w:eastAsia="en-US"/>
              </w:rPr>
              <w:t>Analyse pour l’établissement du niveau de référence</w:t>
            </w:r>
          </w:p>
        </w:tc>
        <w:tc>
          <w:tcPr>
            <w:tcW w:w="1985" w:type="dxa"/>
            <w:shd w:val="clear" w:color="auto" w:fill="EEECE1"/>
          </w:tcPr>
          <w:p w14:paraId="0278815D" w14:textId="0B669BDA" w:rsidR="00826923" w:rsidRPr="00B87CD1" w:rsidRDefault="008F7D84" w:rsidP="00826923">
            <w:pPr>
              <w:rPr>
                <w:sz w:val="22"/>
                <w:szCs w:val="22"/>
                <w:lang w:val="fr-FR"/>
              </w:rPr>
            </w:pPr>
            <w:r w:rsidRPr="00B87CD1">
              <w:rPr>
                <w:sz w:val="22"/>
                <w:szCs w:val="22"/>
                <w:lang w:val="fr-FR" w:eastAsia="en-US"/>
              </w:rPr>
              <w:t>8 programmes diffusé</w:t>
            </w:r>
          </w:p>
        </w:tc>
        <w:tc>
          <w:tcPr>
            <w:tcW w:w="1843" w:type="dxa"/>
          </w:tcPr>
          <w:p w14:paraId="64077060" w14:textId="2A3CA3DF" w:rsidR="00826923" w:rsidRPr="00B87CD1" w:rsidRDefault="00C6663B" w:rsidP="00826923">
            <w:pPr>
              <w:rPr>
                <w:sz w:val="22"/>
                <w:szCs w:val="22"/>
                <w:lang w:val="fr-FR"/>
              </w:rPr>
            </w:pPr>
            <w:r>
              <w:rPr>
                <w:b/>
                <w:sz w:val="22"/>
                <w:szCs w:val="22"/>
                <w:lang w:val="fr-FR" w:eastAsia="en-US"/>
              </w:rPr>
              <w:t>N/A</w:t>
            </w:r>
          </w:p>
        </w:tc>
        <w:tc>
          <w:tcPr>
            <w:tcW w:w="2551" w:type="dxa"/>
          </w:tcPr>
          <w:p w14:paraId="0C6EF76F" w14:textId="79226B1B" w:rsidR="00826923" w:rsidRPr="00B87CD1" w:rsidRDefault="008F7D84" w:rsidP="00826923">
            <w:pPr>
              <w:rPr>
                <w:sz w:val="22"/>
                <w:szCs w:val="22"/>
                <w:lang w:val="fr-FR"/>
              </w:rPr>
            </w:pPr>
            <w:r w:rsidRPr="00B87CD1">
              <w:rPr>
                <w:sz w:val="22"/>
                <w:szCs w:val="22"/>
                <w:lang w:val="fr-FR" w:eastAsia="en-US"/>
              </w:rPr>
              <w:t>7 émissions radio itinérantes enregistrées et diffusées sur 23 radios communautaire</w:t>
            </w:r>
            <w:r w:rsidR="00B578D6" w:rsidRPr="00B87CD1">
              <w:rPr>
                <w:sz w:val="22"/>
                <w:szCs w:val="22"/>
                <w:lang w:val="fr-FR" w:eastAsia="en-US"/>
              </w:rPr>
              <w:t xml:space="preserve"> (2 émissions à Bangui, 1 à Bouar, </w:t>
            </w:r>
            <w:proofErr w:type="spellStart"/>
            <w:r w:rsidR="00B578D6" w:rsidRPr="00B87CD1">
              <w:rPr>
                <w:sz w:val="22"/>
                <w:szCs w:val="22"/>
                <w:lang w:val="fr-FR" w:eastAsia="en-US"/>
              </w:rPr>
              <w:t>Boali</w:t>
            </w:r>
            <w:proofErr w:type="spellEnd"/>
            <w:r w:rsidR="00B578D6" w:rsidRPr="00B87CD1">
              <w:rPr>
                <w:sz w:val="22"/>
                <w:szCs w:val="22"/>
                <w:lang w:val="fr-FR" w:eastAsia="en-US"/>
              </w:rPr>
              <w:t>, Sibut, Berberati, Carnot).; 2 spots radio diffusés sur 12 semaine</w:t>
            </w:r>
          </w:p>
        </w:tc>
        <w:tc>
          <w:tcPr>
            <w:tcW w:w="3391" w:type="dxa"/>
          </w:tcPr>
          <w:p w14:paraId="18171EAA" w14:textId="23C44672" w:rsidR="00826923" w:rsidRPr="00B87CD1" w:rsidRDefault="005C6C84" w:rsidP="00826923">
            <w:pPr>
              <w:rPr>
                <w:sz w:val="22"/>
                <w:szCs w:val="22"/>
                <w:lang w:val="fr-FR"/>
              </w:rPr>
            </w:pPr>
            <w:r>
              <w:rPr>
                <w:sz w:val="22"/>
                <w:szCs w:val="22"/>
                <w:lang w:val="fr-FR"/>
              </w:rPr>
              <w:t xml:space="preserve">Les programmes ont été mis à la disposition gratuite de toutes les radios communautaires opérationnelles par le RMCC – celles-ci les rediffusent selon les disponibilités de leur grille de programme. En Mars 2020, 102 diffusions ont été </w:t>
            </w:r>
            <w:proofErr w:type="spellStart"/>
            <w:r>
              <w:rPr>
                <w:sz w:val="22"/>
                <w:szCs w:val="22"/>
                <w:lang w:val="fr-FR"/>
              </w:rPr>
              <w:t>duement</w:t>
            </w:r>
            <w:proofErr w:type="spellEnd"/>
            <w:r>
              <w:rPr>
                <w:sz w:val="22"/>
                <w:szCs w:val="22"/>
                <w:lang w:val="fr-FR"/>
              </w:rPr>
              <w:t xml:space="preserve"> monitorées</w:t>
            </w:r>
          </w:p>
        </w:tc>
      </w:tr>
      <w:tr w:rsidR="009C7CF4" w:rsidRPr="00A130CA" w14:paraId="4E815455" w14:textId="77777777" w:rsidTr="00A12553">
        <w:trPr>
          <w:trHeight w:val="458"/>
        </w:trPr>
        <w:tc>
          <w:tcPr>
            <w:tcW w:w="1530" w:type="dxa"/>
            <w:vMerge/>
          </w:tcPr>
          <w:p w14:paraId="022D9C9C" w14:textId="77777777" w:rsidR="009C7CF4" w:rsidRPr="005A6420" w:rsidRDefault="009C7CF4" w:rsidP="009C7CF4">
            <w:pPr>
              <w:rPr>
                <w:rFonts w:cs="Tahoma"/>
                <w:b/>
                <w:szCs w:val="20"/>
                <w:lang w:val="fr-FR" w:eastAsia="en-US"/>
              </w:rPr>
            </w:pPr>
          </w:p>
        </w:tc>
        <w:tc>
          <w:tcPr>
            <w:tcW w:w="2070" w:type="dxa"/>
            <w:shd w:val="clear" w:color="auto" w:fill="EEECE1"/>
          </w:tcPr>
          <w:p w14:paraId="2ADDAD1E"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3.2.2</w:t>
            </w:r>
          </w:p>
          <w:p w14:paraId="15472455" w14:textId="546AF2BD" w:rsidR="009C7CF4" w:rsidRPr="005A6420" w:rsidRDefault="009C7CF4" w:rsidP="009C7CF4">
            <w:pPr>
              <w:jc w:val="both"/>
              <w:rPr>
                <w:rFonts w:cs="Tahoma"/>
                <w:szCs w:val="20"/>
                <w:lang w:val="fr-FR" w:eastAsia="en-US"/>
              </w:rPr>
            </w:pPr>
            <w:r w:rsidRPr="00F83EC2">
              <w:rPr>
                <w:lang w:val="fr-FR" w:eastAsia="en-US"/>
              </w:rPr>
              <w:t xml:space="preserve">Nb de personnes atteintes par la </w:t>
            </w:r>
            <w:r w:rsidRPr="00F83EC2">
              <w:rPr>
                <w:lang w:val="fr-FR" w:eastAsia="en-US"/>
              </w:rPr>
              <w:lastRenderedPageBreak/>
              <w:t>distribution des messages</w:t>
            </w:r>
          </w:p>
        </w:tc>
        <w:tc>
          <w:tcPr>
            <w:tcW w:w="1660" w:type="dxa"/>
            <w:shd w:val="clear" w:color="auto" w:fill="EEECE1"/>
          </w:tcPr>
          <w:p w14:paraId="65497F7B" w14:textId="46004C8C" w:rsidR="009C7CF4" w:rsidRPr="005A6420" w:rsidRDefault="009C7CF4" w:rsidP="009C7CF4">
            <w:pPr>
              <w:rPr>
                <w:lang w:val="fr-FR"/>
              </w:rPr>
            </w:pPr>
            <w:r w:rsidRPr="00F83EC2">
              <w:rPr>
                <w:lang w:val="fr-FR" w:eastAsia="en-US"/>
              </w:rPr>
              <w:lastRenderedPageBreak/>
              <w:t>Analyse pour l’établissemen</w:t>
            </w:r>
            <w:r w:rsidRPr="00F83EC2">
              <w:rPr>
                <w:lang w:val="fr-FR" w:eastAsia="en-US"/>
              </w:rPr>
              <w:lastRenderedPageBreak/>
              <w:t>t du niveau de référence</w:t>
            </w:r>
          </w:p>
        </w:tc>
        <w:tc>
          <w:tcPr>
            <w:tcW w:w="1985" w:type="dxa"/>
            <w:shd w:val="clear" w:color="auto" w:fill="EEECE1"/>
          </w:tcPr>
          <w:p w14:paraId="4FAC9123" w14:textId="3DCEE0B2" w:rsidR="009C7CF4" w:rsidRPr="005A6420" w:rsidRDefault="009C7CF4" w:rsidP="009C7CF4">
            <w:pPr>
              <w:rPr>
                <w:lang w:val="fr-FR"/>
              </w:rPr>
            </w:pPr>
            <w:r w:rsidRPr="00F83EC2">
              <w:rPr>
                <w:lang w:val="fr-FR" w:eastAsia="en-US"/>
              </w:rPr>
              <w:lastRenderedPageBreak/>
              <w:t>3000 personnes</w:t>
            </w:r>
          </w:p>
        </w:tc>
        <w:tc>
          <w:tcPr>
            <w:tcW w:w="1843" w:type="dxa"/>
          </w:tcPr>
          <w:p w14:paraId="2A48C46E" w14:textId="6D18D63F" w:rsidR="009C7CF4" w:rsidRPr="005A6420" w:rsidRDefault="009C7CF4" w:rsidP="009C7CF4">
            <w:pPr>
              <w:rPr>
                <w:lang w:val="fr-FR"/>
              </w:rPr>
            </w:pPr>
            <w:r w:rsidRPr="00F83EC2">
              <w:rPr>
                <w:lang w:val="fr-FR" w:eastAsia="en-US"/>
              </w:rPr>
              <w:t xml:space="preserve">Audiences potentielles des programmes est </w:t>
            </w:r>
            <w:r w:rsidRPr="00F83EC2">
              <w:rPr>
                <w:lang w:val="fr-FR" w:eastAsia="en-US"/>
              </w:rPr>
              <w:lastRenderedPageBreak/>
              <w:t>de 14000 personnes sur le réseau des 23 radios communautaires actives</w:t>
            </w:r>
          </w:p>
        </w:tc>
        <w:tc>
          <w:tcPr>
            <w:tcW w:w="2551" w:type="dxa"/>
          </w:tcPr>
          <w:p w14:paraId="00E9A0A4" w14:textId="77777777" w:rsidR="009C7CF4" w:rsidRDefault="009C7CF4" w:rsidP="009C7CF4">
            <w:pPr>
              <w:rPr>
                <w:sz w:val="22"/>
                <w:szCs w:val="22"/>
                <w:lang w:val="fr-FR" w:eastAsia="en-US"/>
              </w:rPr>
            </w:pPr>
            <w:r w:rsidRPr="002C0AEF">
              <w:rPr>
                <w:sz w:val="22"/>
                <w:szCs w:val="22"/>
                <w:lang w:val="fr-FR" w:eastAsia="en-US"/>
              </w:rPr>
              <w:lastRenderedPageBreak/>
              <w:t xml:space="preserve">67% ont entendu parler de l’accord de paix (75% </w:t>
            </w:r>
            <w:r w:rsidRPr="002C0AEF">
              <w:rPr>
                <w:sz w:val="22"/>
                <w:szCs w:val="22"/>
                <w:lang w:val="fr-FR" w:eastAsia="en-US"/>
              </w:rPr>
              <w:lastRenderedPageBreak/>
              <w:t>hommes, 58% femmes)</w:t>
            </w:r>
            <w:r>
              <w:rPr>
                <w:sz w:val="22"/>
                <w:szCs w:val="22"/>
                <w:lang w:val="fr-FR" w:eastAsia="en-US"/>
              </w:rPr>
              <w:t> ; 41% le connaissent</w:t>
            </w:r>
          </w:p>
          <w:p w14:paraId="44A48C33" w14:textId="5BCC6353" w:rsidR="009C7CF4" w:rsidRPr="009C7CF4" w:rsidRDefault="009C7CF4" w:rsidP="009C7CF4">
            <w:pPr>
              <w:rPr>
                <w:i/>
                <w:iCs/>
                <w:lang w:val="fr-FR"/>
              </w:rPr>
            </w:pPr>
            <w:r w:rsidRPr="009C7CF4">
              <w:rPr>
                <w:i/>
                <w:iCs/>
                <w:sz w:val="22"/>
                <w:szCs w:val="22"/>
                <w:lang w:val="fr-FR" w:eastAsia="en-US"/>
              </w:rPr>
              <w:t xml:space="preserve">(Etude </w:t>
            </w:r>
            <w:r w:rsidR="004F6A60">
              <w:rPr>
                <w:i/>
                <w:iCs/>
                <w:sz w:val="22"/>
                <w:szCs w:val="22"/>
                <w:lang w:val="fr-FR" w:eastAsia="en-US"/>
              </w:rPr>
              <w:t xml:space="preserve">2020 </w:t>
            </w:r>
            <w:r w:rsidRPr="009C7CF4">
              <w:rPr>
                <w:i/>
                <w:iCs/>
                <w:sz w:val="22"/>
                <w:szCs w:val="22"/>
                <w:lang w:val="fr-FR" w:eastAsia="en-US"/>
              </w:rPr>
              <w:t xml:space="preserve">réalisée sur un échantillon de 5206 personnes </w:t>
            </w:r>
            <w:r w:rsidR="004F6A60">
              <w:rPr>
                <w:i/>
                <w:iCs/>
                <w:sz w:val="22"/>
                <w:szCs w:val="22"/>
                <w:lang w:val="fr-FR" w:eastAsia="en-US"/>
              </w:rPr>
              <w:t xml:space="preserve">réparties </w:t>
            </w:r>
            <w:r w:rsidRPr="009C7CF4">
              <w:rPr>
                <w:i/>
                <w:iCs/>
                <w:sz w:val="22"/>
                <w:szCs w:val="22"/>
                <w:lang w:val="fr-FR" w:eastAsia="en-US"/>
              </w:rPr>
              <w:t>sur 13 préfectures)</w:t>
            </w:r>
          </w:p>
        </w:tc>
        <w:tc>
          <w:tcPr>
            <w:tcW w:w="3391" w:type="dxa"/>
          </w:tcPr>
          <w:p w14:paraId="77A34B01" w14:textId="03DDE011" w:rsidR="009C7CF4" w:rsidRPr="005A6420" w:rsidRDefault="009C7CF4" w:rsidP="009C7CF4">
            <w:pPr>
              <w:rPr>
                <w:lang w:val="fr-FR"/>
              </w:rPr>
            </w:pPr>
            <w:r>
              <w:rPr>
                <w:lang w:val="fr-FR"/>
              </w:rPr>
              <w:lastRenderedPageBreak/>
              <w:t xml:space="preserve">Des difficultés ont été constatées dans </w:t>
            </w:r>
            <w:r w:rsidR="007466FD">
              <w:rPr>
                <w:lang w:val="fr-FR"/>
              </w:rPr>
              <w:t xml:space="preserve">le dénombrement exact des auditeurs radios en RCA. </w:t>
            </w:r>
            <w:r w:rsidR="005B4D1B">
              <w:rPr>
                <w:lang w:val="fr-FR"/>
              </w:rPr>
              <w:t xml:space="preserve">En </w:t>
            </w:r>
            <w:r w:rsidR="005B4D1B">
              <w:rPr>
                <w:lang w:val="fr-FR"/>
              </w:rPr>
              <w:lastRenderedPageBreak/>
              <w:t>2018, l</w:t>
            </w:r>
            <w:r w:rsidR="007466FD">
              <w:rPr>
                <w:lang w:val="fr-FR"/>
              </w:rPr>
              <w:t xml:space="preserve">es sondages de perception ont toutefois établi que </w:t>
            </w:r>
            <w:r w:rsidR="005B4D1B">
              <w:rPr>
                <w:lang w:val="fr-FR"/>
              </w:rPr>
              <w:t>67% des Centrafricains s’informent par la radio</w:t>
            </w:r>
          </w:p>
        </w:tc>
      </w:tr>
      <w:tr w:rsidR="009C7CF4" w:rsidRPr="005A6420" w14:paraId="43035B13" w14:textId="77777777" w:rsidTr="00A12553">
        <w:trPr>
          <w:trHeight w:val="458"/>
        </w:trPr>
        <w:tc>
          <w:tcPr>
            <w:tcW w:w="1530" w:type="dxa"/>
            <w:vMerge w:val="restart"/>
          </w:tcPr>
          <w:p w14:paraId="528D1B2B" w14:textId="77777777" w:rsidR="009C7CF4" w:rsidRPr="005A6420" w:rsidRDefault="009C7CF4" w:rsidP="009C7CF4">
            <w:pPr>
              <w:rPr>
                <w:rFonts w:cs="Tahoma"/>
                <w:szCs w:val="20"/>
                <w:lang w:val="fr-FR" w:eastAsia="en-US"/>
              </w:rPr>
            </w:pPr>
            <w:r w:rsidRPr="005A6420">
              <w:rPr>
                <w:rFonts w:cs="Tahoma"/>
                <w:szCs w:val="20"/>
                <w:lang w:val="fr-FR" w:eastAsia="en-US"/>
              </w:rPr>
              <w:lastRenderedPageBreak/>
              <w:t>Produit 3.3</w:t>
            </w:r>
          </w:p>
          <w:p w14:paraId="0A5815BE" w14:textId="77777777" w:rsidR="009C7CF4" w:rsidRPr="005A6420" w:rsidRDefault="009C7CF4" w:rsidP="009C7CF4">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3.3.1</w:t>
            </w:r>
          </w:p>
          <w:p w14:paraId="69406269"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660C3347"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7D182286"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21F178ED"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47B8D485"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18BDC38B"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5A09C3B1" w14:textId="77777777" w:rsidTr="00A12553">
        <w:trPr>
          <w:trHeight w:val="458"/>
        </w:trPr>
        <w:tc>
          <w:tcPr>
            <w:tcW w:w="1530" w:type="dxa"/>
            <w:vMerge/>
          </w:tcPr>
          <w:p w14:paraId="72C9CEDA" w14:textId="77777777" w:rsidR="009C7CF4" w:rsidRPr="005A6420" w:rsidRDefault="009C7CF4" w:rsidP="009C7CF4">
            <w:pPr>
              <w:rPr>
                <w:rFonts w:cs="Tahoma"/>
                <w:b/>
                <w:szCs w:val="20"/>
                <w:lang w:val="fr-FR" w:eastAsia="en-US"/>
              </w:rPr>
            </w:pPr>
          </w:p>
        </w:tc>
        <w:tc>
          <w:tcPr>
            <w:tcW w:w="2070" w:type="dxa"/>
            <w:shd w:val="clear" w:color="auto" w:fill="EEECE1"/>
          </w:tcPr>
          <w:p w14:paraId="43117110"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3.3.2</w:t>
            </w:r>
          </w:p>
          <w:p w14:paraId="0F2B53FF"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0C4227AB"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60F89047"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3AC3E6BC"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08778634"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6C642C70"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12D62A20" w14:textId="77777777" w:rsidTr="00A12553">
        <w:trPr>
          <w:trHeight w:val="458"/>
        </w:trPr>
        <w:tc>
          <w:tcPr>
            <w:tcW w:w="1530" w:type="dxa"/>
            <w:vMerge w:val="restart"/>
          </w:tcPr>
          <w:p w14:paraId="43A532A5" w14:textId="77777777" w:rsidR="009C7CF4" w:rsidRPr="005A6420" w:rsidRDefault="009C7CF4" w:rsidP="009C7CF4">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9C7CF4" w:rsidRPr="005A6420" w:rsidRDefault="009C7CF4" w:rsidP="009C7CF4">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1C3354F4"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784EC2F1"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0099A17F"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20D5480D"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3139D611"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61404373" w14:textId="77777777" w:rsidTr="00A12553">
        <w:trPr>
          <w:trHeight w:val="458"/>
        </w:trPr>
        <w:tc>
          <w:tcPr>
            <w:tcW w:w="1530" w:type="dxa"/>
            <w:vMerge/>
          </w:tcPr>
          <w:p w14:paraId="3D1AC496" w14:textId="77777777" w:rsidR="009C7CF4" w:rsidRPr="005A6420" w:rsidRDefault="009C7CF4" w:rsidP="009C7CF4">
            <w:pPr>
              <w:rPr>
                <w:rFonts w:cs="Tahoma"/>
                <w:b/>
                <w:szCs w:val="20"/>
                <w:lang w:val="fr-FR" w:eastAsia="en-US"/>
              </w:rPr>
            </w:pPr>
          </w:p>
        </w:tc>
        <w:tc>
          <w:tcPr>
            <w:tcW w:w="2070" w:type="dxa"/>
            <w:shd w:val="clear" w:color="auto" w:fill="EEECE1"/>
          </w:tcPr>
          <w:p w14:paraId="46F47E1A"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285B5279" w14:textId="77777777" w:rsidR="009C7CF4" w:rsidRPr="005A6420" w:rsidRDefault="009C7CF4" w:rsidP="009C7CF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5277BE87" w14:textId="77777777" w:rsidR="009C7CF4" w:rsidRPr="005A6420" w:rsidRDefault="009C7CF4" w:rsidP="009C7CF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56D52153" w14:textId="77777777" w:rsidR="009C7CF4" w:rsidRPr="005A6420" w:rsidRDefault="009C7CF4" w:rsidP="009C7CF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496C56A7" w14:textId="77777777" w:rsidR="009C7CF4" w:rsidRPr="005A6420" w:rsidRDefault="009C7CF4" w:rsidP="009C7CF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5C4514EA" w14:textId="77777777" w:rsidR="009C7CF4" w:rsidRPr="005A6420" w:rsidRDefault="009C7CF4" w:rsidP="009C7CF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3874D959" w14:textId="77777777" w:rsidTr="00A12553">
        <w:trPr>
          <w:trHeight w:val="458"/>
        </w:trPr>
        <w:tc>
          <w:tcPr>
            <w:tcW w:w="1530" w:type="dxa"/>
            <w:vMerge w:val="restart"/>
          </w:tcPr>
          <w:p w14:paraId="796888F0" w14:textId="77777777" w:rsidR="009C7CF4" w:rsidRPr="005A6420" w:rsidRDefault="009C7CF4" w:rsidP="009C7CF4">
            <w:pPr>
              <w:rPr>
                <w:rFonts w:cs="Tahoma"/>
                <w:b/>
                <w:szCs w:val="20"/>
                <w:lang w:val="fr-FR" w:eastAsia="en-US"/>
              </w:rPr>
            </w:pPr>
            <w:r w:rsidRPr="005A6420">
              <w:rPr>
                <w:rFonts w:cs="Tahoma"/>
                <w:b/>
                <w:szCs w:val="20"/>
                <w:lang w:val="fr-FR" w:eastAsia="en-US"/>
              </w:rPr>
              <w:t>Résultat 4</w:t>
            </w:r>
          </w:p>
          <w:p w14:paraId="3A5A4A30" w14:textId="77777777" w:rsidR="009C7CF4" w:rsidRPr="005A6420" w:rsidRDefault="009C7CF4" w:rsidP="009C7CF4">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4.1</w:t>
            </w:r>
          </w:p>
          <w:p w14:paraId="16FB3756"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3E868F2C"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4B2F55EA"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71FFBE0F"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7B2B2D4C"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4275B385"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520AABF6" w14:textId="77777777" w:rsidTr="00A12553">
        <w:trPr>
          <w:trHeight w:val="458"/>
        </w:trPr>
        <w:tc>
          <w:tcPr>
            <w:tcW w:w="1530" w:type="dxa"/>
            <w:vMerge/>
          </w:tcPr>
          <w:p w14:paraId="75C2F19D" w14:textId="77777777" w:rsidR="009C7CF4" w:rsidRPr="005A6420" w:rsidRDefault="009C7CF4" w:rsidP="009C7CF4">
            <w:pPr>
              <w:rPr>
                <w:rFonts w:cs="Tahoma"/>
                <w:szCs w:val="20"/>
                <w:lang w:val="fr-FR" w:eastAsia="en-US"/>
              </w:rPr>
            </w:pPr>
          </w:p>
        </w:tc>
        <w:tc>
          <w:tcPr>
            <w:tcW w:w="2070" w:type="dxa"/>
            <w:shd w:val="clear" w:color="auto" w:fill="EEECE1"/>
          </w:tcPr>
          <w:p w14:paraId="52BBFC69"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4.2</w:t>
            </w:r>
          </w:p>
          <w:p w14:paraId="10CF2309"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757FD068"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436B1234"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7DA6286F"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6A6A1877"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03398E09"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6C7090E6" w14:textId="77777777" w:rsidTr="00A12553">
        <w:trPr>
          <w:trHeight w:val="458"/>
        </w:trPr>
        <w:tc>
          <w:tcPr>
            <w:tcW w:w="1530" w:type="dxa"/>
            <w:vMerge/>
          </w:tcPr>
          <w:p w14:paraId="7E73DB26" w14:textId="77777777" w:rsidR="009C7CF4" w:rsidRPr="005A6420" w:rsidRDefault="009C7CF4" w:rsidP="009C7CF4">
            <w:pPr>
              <w:rPr>
                <w:rFonts w:cs="Tahoma"/>
                <w:szCs w:val="20"/>
                <w:lang w:val="fr-FR" w:eastAsia="en-US"/>
              </w:rPr>
            </w:pPr>
          </w:p>
        </w:tc>
        <w:tc>
          <w:tcPr>
            <w:tcW w:w="2070" w:type="dxa"/>
            <w:shd w:val="clear" w:color="auto" w:fill="EEECE1"/>
          </w:tcPr>
          <w:p w14:paraId="3DAB4F65"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4.3</w:t>
            </w:r>
          </w:p>
          <w:p w14:paraId="7011A2A4"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6F995C52" w14:textId="77777777" w:rsidR="009C7CF4" w:rsidRPr="005A6420" w:rsidRDefault="009C7CF4" w:rsidP="009C7CF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6977A19C" w14:textId="77777777" w:rsidR="009C7CF4" w:rsidRPr="005A6420" w:rsidRDefault="009C7CF4" w:rsidP="009C7CF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2D7FC633" w14:textId="77777777" w:rsidR="009C7CF4" w:rsidRPr="005A6420" w:rsidRDefault="009C7CF4" w:rsidP="009C7CF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19E354EB" w14:textId="77777777" w:rsidR="009C7CF4" w:rsidRPr="005A6420" w:rsidRDefault="009C7CF4" w:rsidP="009C7CF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413D6C4D" w14:textId="77777777" w:rsidR="009C7CF4" w:rsidRPr="005A6420" w:rsidRDefault="009C7CF4" w:rsidP="009C7CF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7179FCB9" w14:textId="77777777" w:rsidTr="00A12553">
        <w:trPr>
          <w:trHeight w:val="458"/>
        </w:trPr>
        <w:tc>
          <w:tcPr>
            <w:tcW w:w="1530" w:type="dxa"/>
            <w:vMerge w:val="restart"/>
          </w:tcPr>
          <w:p w14:paraId="3573B9F9" w14:textId="77777777" w:rsidR="009C7CF4" w:rsidRPr="005A6420" w:rsidRDefault="009C7CF4" w:rsidP="009C7CF4">
            <w:pPr>
              <w:rPr>
                <w:rFonts w:cs="Tahoma"/>
                <w:szCs w:val="20"/>
                <w:lang w:val="fr-FR" w:eastAsia="en-US"/>
              </w:rPr>
            </w:pPr>
            <w:r w:rsidRPr="005A6420">
              <w:rPr>
                <w:rFonts w:cs="Tahoma"/>
                <w:szCs w:val="20"/>
                <w:lang w:val="fr-FR" w:eastAsia="en-US"/>
              </w:rPr>
              <w:t>Produit 4.1</w:t>
            </w:r>
          </w:p>
          <w:p w14:paraId="33B24705" w14:textId="77777777" w:rsidR="009C7CF4" w:rsidRPr="005A6420" w:rsidRDefault="009C7CF4" w:rsidP="009C7CF4">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4.1.1</w:t>
            </w:r>
          </w:p>
          <w:p w14:paraId="21D276F9"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222AF664"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653B1C30"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27B550AE"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71E4E49F"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7523978D"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3A2FD794" w14:textId="77777777" w:rsidTr="00A12553">
        <w:trPr>
          <w:trHeight w:val="458"/>
        </w:trPr>
        <w:tc>
          <w:tcPr>
            <w:tcW w:w="1530" w:type="dxa"/>
            <w:vMerge/>
          </w:tcPr>
          <w:p w14:paraId="6FE132D3" w14:textId="77777777" w:rsidR="009C7CF4" w:rsidRPr="005A6420" w:rsidRDefault="009C7CF4" w:rsidP="009C7CF4">
            <w:pPr>
              <w:rPr>
                <w:rFonts w:cs="Tahoma"/>
                <w:szCs w:val="20"/>
                <w:lang w:val="fr-FR" w:eastAsia="en-US"/>
              </w:rPr>
            </w:pPr>
          </w:p>
        </w:tc>
        <w:tc>
          <w:tcPr>
            <w:tcW w:w="2070" w:type="dxa"/>
            <w:shd w:val="clear" w:color="auto" w:fill="EEECE1"/>
          </w:tcPr>
          <w:p w14:paraId="2D67BEF7"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4.1.2</w:t>
            </w:r>
          </w:p>
          <w:p w14:paraId="0015DC61"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61B43620"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598D4F01"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1D1CB7A0"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71BD3BEE"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03B10C41"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40A7EB21" w14:textId="77777777" w:rsidTr="00A12553">
        <w:trPr>
          <w:trHeight w:val="458"/>
        </w:trPr>
        <w:tc>
          <w:tcPr>
            <w:tcW w:w="1530" w:type="dxa"/>
            <w:vMerge w:val="restart"/>
          </w:tcPr>
          <w:p w14:paraId="586E2AEC" w14:textId="77777777" w:rsidR="009C7CF4" w:rsidRPr="005A6420" w:rsidRDefault="009C7CF4" w:rsidP="009C7CF4">
            <w:pPr>
              <w:rPr>
                <w:rFonts w:cs="Tahoma"/>
                <w:szCs w:val="20"/>
                <w:lang w:val="fr-FR" w:eastAsia="en-US"/>
              </w:rPr>
            </w:pPr>
            <w:r w:rsidRPr="005A6420">
              <w:rPr>
                <w:rFonts w:cs="Tahoma"/>
                <w:szCs w:val="20"/>
                <w:lang w:val="fr-FR" w:eastAsia="en-US"/>
              </w:rPr>
              <w:t>Produit 4.2</w:t>
            </w:r>
          </w:p>
          <w:p w14:paraId="157177A1" w14:textId="77777777" w:rsidR="009C7CF4" w:rsidRPr="005A6420" w:rsidRDefault="009C7CF4" w:rsidP="009C7CF4">
            <w:pPr>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9C7CF4" w:rsidRPr="005A6420" w:rsidRDefault="009C7CF4" w:rsidP="009C7CF4">
            <w:pPr>
              <w:jc w:val="both"/>
              <w:rPr>
                <w:rFonts w:cs="Tahoma"/>
                <w:szCs w:val="20"/>
                <w:lang w:val="fr-FR" w:eastAsia="en-US"/>
              </w:rPr>
            </w:pPr>
            <w:r w:rsidRPr="005A6420">
              <w:rPr>
                <w:rFonts w:cs="Tahoma"/>
                <w:szCs w:val="20"/>
                <w:lang w:val="fr-FR" w:eastAsia="en-US"/>
              </w:rPr>
              <w:lastRenderedPageBreak/>
              <w:t>Indicateur 4.2.1</w:t>
            </w:r>
          </w:p>
          <w:p w14:paraId="5334C722" w14:textId="77777777" w:rsidR="009C7CF4" w:rsidRPr="005A6420" w:rsidRDefault="009C7CF4" w:rsidP="009C7CF4">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2AC84E33" w14:textId="77777777" w:rsidR="009C7CF4" w:rsidRPr="005A6420" w:rsidRDefault="009C7CF4" w:rsidP="009C7CF4">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616CD51D"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2738AA87"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43F2D396"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55ABF376"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292D4DCC" w14:textId="77777777" w:rsidTr="00A12553">
        <w:trPr>
          <w:trHeight w:val="458"/>
        </w:trPr>
        <w:tc>
          <w:tcPr>
            <w:tcW w:w="1530" w:type="dxa"/>
            <w:vMerge/>
          </w:tcPr>
          <w:p w14:paraId="04F43519" w14:textId="77777777" w:rsidR="009C7CF4" w:rsidRPr="005A6420" w:rsidRDefault="009C7CF4" w:rsidP="009C7CF4">
            <w:pPr>
              <w:rPr>
                <w:rFonts w:cs="Tahoma"/>
                <w:b/>
                <w:szCs w:val="20"/>
                <w:lang w:val="fr-FR" w:eastAsia="en-US"/>
              </w:rPr>
            </w:pPr>
          </w:p>
        </w:tc>
        <w:tc>
          <w:tcPr>
            <w:tcW w:w="2070" w:type="dxa"/>
            <w:shd w:val="clear" w:color="auto" w:fill="EEECE1"/>
          </w:tcPr>
          <w:p w14:paraId="27A5A6F9"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4.2.2</w:t>
            </w:r>
          </w:p>
          <w:p w14:paraId="19035C5A"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30FA9D85"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1979D355"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71AD1973"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18B64C1D"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2492A76A"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1DCE9A40" w14:textId="77777777" w:rsidTr="00A12553">
        <w:trPr>
          <w:trHeight w:val="458"/>
        </w:trPr>
        <w:tc>
          <w:tcPr>
            <w:tcW w:w="1530" w:type="dxa"/>
            <w:vMerge w:val="restart"/>
          </w:tcPr>
          <w:p w14:paraId="4A0E5F1B" w14:textId="77777777" w:rsidR="009C7CF4" w:rsidRPr="005A6420" w:rsidRDefault="009C7CF4" w:rsidP="009C7CF4">
            <w:pPr>
              <w:rPr>
                <w:rFonts w:cs="Tahoma"/>
                <w:szCs w:val="20"/>
                <w:lang w:val="fr-FR" w:eastAsia="en-US"/>
              </w:rPr>
            </w:pPr>
            <w:r w:rsidRPr="005A6420">
              <w:rPr>
                <w:rFonts w:cs="Tahoma"/>
                <w:szCs w:val="20"/>
                <w:lang w:val="fr-FR" w:eastAsia="en-US"/>
              </w:rPr>
              <w:t>Produit 4.3</w:t>
            </w:r>
          </w:p>
          <w:p w14:paraId="24635A0A" w14:textId="77777777" w:rsidR="009C7CF4" w:rsidRPr="005A6420" w:rsidRDefault="009C7CF4" w:rsidP="009C7CF4">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4.3.1</w:t>
            </w:r>
          </w:p>
          <w:p w14:paraId="1E5B9C88"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3B90DF4E"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3FD37B44"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2F2CC7EE"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63FEC256"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3F724505"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5C18505F" w14:textId="77777777" w:rsidTr="00A12553">
        <w:trPr>
          <w:trHeight w:val="458"/>
        </w:trPr>
        <w:tc>
          <w:tcPr>
            <w:tcW w:w="1530" w:type="dxa"/>
            <w:vMerge/>
          </w:tcPr>
          <w:p w14:paraId="1A003D07" w14:textId="77777777" w:rsidR="009C7CF4" w:rsidRPr="005A6420" w:rsidRDefault="009C7CF4" w:rsidP="009C7CF4">
            <w:pPr>
              <w:rPr>
                <w:rFonts w:cs="Tahoma"/>
                <w:b/>
                <w:szCs w:val="20"/>
                <w:lang w:val="fr-FR" w:eastAsia="en-US"/>
              </w:rPr>
            </w:pPr>
          </w:p>
        </w:tc>
        <w:tc>
          <w:tcPr>
            <w:tcW w:w="2070" w:type="dxa"/>
            <w:shd w:val="clear" w:color="auto" w:fill="EEECE1"/>
          </w:tcPr>
          <w:p w14:paraId="1631FCBA"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 4.3.2</w:t>
            </w:r>
          </w:p>
          <w:p w14:paraId="16B9347A"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5A1EFC0B"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71B81606"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3E31D0D3"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1825172E"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61F70218"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6ACAFFBB" w14:textId="77777777" w:rsidTr="00A12553">
        <w:trPr>
          <w:trHeight w:val="458"/>
        </w:trPr>
        <w:tc>
          <w:tcPr>
            <w:tcW w:w="1530" w:type="dxa"/>
            <w:vMerge w:val="restart"/>
          </w:tcPr>
          <w:p w14:paraId="2BD03DCE" w14:textId="77777777" w:rsidR="009C7CF4" w:rsidRPr="005A6420" w:rsidRDefault="009C7CF4" w:rsidP="009C7CF4">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9C7CF4" w:rsidRPr="005A6420" w:rsidRDefault="009C7CF4" w:rsidP="009C7CF4">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279EE66A"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15FA2FD3"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3A0977C9"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18453476"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31FA4F8F"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C7CF4" w:rsidRPr="005A6420" w14:paraId="6EFB70AF" w14:textId="77777777" w:rsidTr="00A12553">
        <w:trPr>
          <w:trHeight w:val="458"/>
        </w:trPr>
        <w:tc>
          <w:tcPr>
            <w:tcW w:w="1530" w:type="dxa"/>
            <w:vMerge/>
          </w:tcPr>
          <w:p w14:paraId="08C1A086" w14:textId="77777777" w:rsidR="009C7CF4" w:rsidRPr="005A6420" w:rsidRDefault="009C7CF4" w:rsidP="009C7CF4">
            <w:pPr>
              <w:rPr>
                <w:rFonts w:cs="Tahoma"/>
                <w:b/>
                <w:szCs w:val="20"/>
                <w:lang w:val="fr-FR" w:eastAsia="en-US"/>
              </w:rPr>
            </w:pPr>
          </w:p>
        </w:tc>
        <w:tc>
          <w:tcPr>
            <w:tcW w:w="2070" w:type="dxa"/>
            <w:shd w:val="clear" w:color="auto" w:fill="EEECE1"/>
          </w:tcPr>
          <w:p w14:paraId="0737E443" w14:textId="77777777" w:rsidR="009C7CF4" w:rsidRPr="005A6420" w:rsidRDefault="009C7CF4" w:rsidP="009C7CF4">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9C7CF4" w:rsidRPr="005A6420" w:rsidRDefault="009C7CF4" w:rsidP="009C7CF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60" w:type="dxa"/>
            <w:shd w:val="clear" w:color="auto" w:fill="EEECE1"/>
          </w:tcPr>
          <w:p w14:paraId="5EA9D9F7"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5" w:type="dxa"/>
            <w:shd w:val="clear" w:color="auto" w:fill="EEECE1"/>
          </w:tcPr>
          <w:p w14:paraId="351BB9D7"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tcPr>
          <w:p w14:paraId="03B5302C"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551" w:type="dxa"/>
          </w:tcPr>
          <w:p w14:paraId="5905AAE6"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1" w:type="dxa"/>
          </w:tcPr>
          <w:p w14:paraId="497A2C1F" w14:textId="77777777" w:rsidR="009C7CF4" w:rsidRPr="005A6420" w:rsidRDefault="009C7CF4" w:rsidP="009C7CF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F8F3" w14:textId="77777777" w:rsidR="003805A5" w:rsidRDefault="003805A5" w:rsidP="00E76CA1">
      <w:r>
        <w:separator/>
      </w:r>
    </w:p>
  </w:endnote>
  <w:endnote w:type="continuationSeparator" w:id="0">
    <w:p w14:paraId="41880844" w14:textId="77777777" w:rsidR="003805A5" w:rsidRDefault="003805A5"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3E64D1" w:rsidRDefault="003E64D1">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3E64D1" w:rsidRDefault="003E64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CEC99" w14:textId="77777777" w:rsidR="003805A5" w:rsidRDefault="003805A5" w:rsidP="00E76CA1">
      <w:r>
        <w:separator/>
      </w:r>
    </w:p>
  </w:footnote>
  <w:footnote w:type="continuationSeparator" w:id="0">
    <w:p w14:paraId="6FA41025" w14:textId="77777777" w:rsidR="003805A5" w:rsidRDefault="003805A5"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3E64D1" w:rsidRDefault="003E64D1">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71EAF"/>
    <w:multiLevelType w:val="hybridMultilevel"/>
    <w:tmpl w:val="9A66E950"/>
    <w:lvl w:ilvl="0" w:tplc="2922847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65463"/>
    <w:multiLevelType w:val="hybridMultilevel"/>
    <w:tmpl w:val="5150C324"/>
    <w:lvl w:ilvl="0" w:tplc="2922847E">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E324BD"/>
    <w:multiLevelType w:val="hybridMultilevel"/>
    <w:tmpl w:val="740431AE"/>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6"/>
  </w:num>
  <w:num w:numId="4">
    <w:abstractNumId w:val="8"/>
  </w:num>
  <w:num w:numId="5">
    <w:abstractNumId w:val="14"/>
  </w:num>
  <w:num w:numId="6">
    <w:abstractNumId w:val="38"/>
  </w:num>
  <w:num w:numId="7">
    <w:abstractNumId w:val="36"/>
  </w:num>
  <w:num w:numId="8">
    <w:abstractNumId w:val="47"/>
  </w:num>
  <w:num w:numId="9">
    <w:abstractNumId w:val="18"/>
  </w:num>
  <w:num w:numId="10">
    <w:abstractNumId w:val="32"/>
  </w:num>
  <w:num w:numId="11">
    <w:abstractNumId w:val="4"/>
  </w:num>
  <w:num w:numId="12">
    <w:abstractNumId w:val="33"/>
  </w:num>
  <w:num w:numId="13">
    <w:abstractNumId w:val="35"/>
  </w:num>
  <w:num w:numId="14">
    <w:abstractNumId w:val="46"/>
  </w:num>
  <w:num w:numId="15">
    <w:abstractNumId w:val="41"/>
  </w:num>
  <w:num w:numId="16">
    <w:abstractNumId w:val="27"/>
  </w:num>
  <w:num w:numId="17">
    <w:abstractNumId w:val="12"/>
  </w:num>
  <w:num w:numId="18">
    <w:abstractNumId w:val="9"/>
  </w:num>
  <w:num w:numId="19">
    <w:abstractNumId w:val="29"/>
  </w:num>
  <w:num w:numId="20">
    <w:abstractNumId w:val="21"/>
  </w:num>
  <w:num w:numId="21">
    <w:abstractNumId w:val="6"/>
  </w:num>
  <w:num w:numId="22">
    <w:abstractNumId w:val="30"/>
  </w:num>
  <w:num w:numId="23">
    <w:abstractNumId w:val="42"/>
  </w:num>
  <w:num w:numId="24">
    <w:abstractNumId w:val="16"/>
  </w:num>
  <w:num w:numId="25">
    <w:abstractNumId w:val="25"/>
  </w:num>
  <w:num w:numId="26">
    <w:abstractNumId w:val="48"/>
  </w:num>
  <w:num w:numId="27">
    <w:abstractNumId w:val="20"/>
  </w:num>
  <w:num w:numId="28">
    <w:abstractNumId w:val="37"/>
  </w:num>
  <w:num w:numId="29">
    <w:abstractNumId w:val="19"/>
  </w:num>
  <w:num w:numId="30">
    <w:abstractNumId w:val="13"/>
  </w:num>
  <w:num w:numId="31">
    <w:abstractNumId w:val="7"/>
  </w:num>
  <w:num w:numId="32">
    <w:abstractNumId w:val="10"/>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8"/>
  </w:num>
  <w:num w:numId="40">
    <w:abstractNumId w:val="3"/>
  </w:num>
  <w:num w:numId="41">
    <w:abstractNumId w:val="22"/>
  </w:num>
  <w:num w:numId="42">
    <w:abstractNumId w:val="23"/>
  </w:num>
  <w:num w:numId="43">
    <w:abstractNumId w:val="34"/>
  </w:num>
  <w:num w:numId="44">
    <w:abstractNumId w:val="44"/>
  </w:num>
  <w:num w:numId="45">
    <w:abstractNumId w:val="11"/>
  </w:num>
  <w:num w:numId="46">
    <w:abstractNumId w:val="40"/>
  </w:num>
  <w:num w:numId="47">
    <w:abstractNumId w:val="1"/>
  </w:num>
  <w:num w:numId="48">
    <w:abstractNumId w:val="4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532"/>
    <w:rsid w:val="000022C4"/>
    <w:rsid w:val="00002815"/>
    <w:rsid w:val="00005737"/>
    <w:rsid w:val="00006DBE"/>
    <w:rsid w:val="00006EC0"/>
    <w:rsid w:val="00010AEF"/>
    <w:rsid w:val="00010EB0"/>
    <w:rsid w:val="0001109A"/>
    <w:rsid w:val="00013D36"/>
    <w:rsid w:val="00013D69"/>
    <w:rsid w:val="00014B13"/>
    <w:rsid w:val="00015DC2"/>
    <w:rsid w:val="000223DD"/>
    <w:rsid w:val="00025EFA"/>
    <w:rsid w:val="00031640"/>
    <w:rsid w:val="00045C24"/>
    <w:rsid w:val="00050759"/>
    <w:rsid w:val="00051F71"/>
    <w:rsid w:val="0005216F"/>
    <w:rsid w:val="00052745"/>
    <w:rsid w:val="00052DE5"/>
    <w:rsid w:val="000554F8"/>
    <w:rsid w:val="00063017"/>
    <w:rsid w:val="00064659"/>
    <w:rsid w:val="000731D0"/>
    <w:rsid w:val="00075D98"/>
    <w:rsid w:val="000776E6"/>
    <w:rsid w:val="0008134A"/>
    <w:rsid w:val="0008233D"/>
    <w:rsid w:val="00082738"/>
    <w:rsid w:val="00084F64"/>
    <w:rsid w:val="00087F02"/>
    <w:rsid w:val="00091CFD"/>
    <w:rsid w:val="00092442"/>
    <w:rsid w:val="00096482"/>
    <w:rsid w:val="000A1E7A"/>
    <w:rsid w:val="000A45F4"/>
    <w:rsid w:val="000A4660"/>
    <w:rsid w:val="000A51DA"/>
    <w:rsid w:val="000A6719"/>
    <w:rsid w:val="000B2588"/>
    <w:rsid w:val="000B4E5C"/>
    <w:rsid w:val="000B5B8A"/>
    <w:rsid w:val="000B5F2D"/>
    <w:rsid w:val="000B7954"/>
    <w:rsid w:val="000C7EA0"/>
    <w:rsid w:val="000D4F4B"/>
    <w:rsid w:val="000E05AE"/>
    <w:rsid w:val="000E6A96"/>
    <w:rsid w:val="000F05A2"/>
    <w:rsid w:val="000F13B1"/>
    <w:rsid w:val="000F43A8"/>
    <w:rsid w:val="000F46B7"/>
    <w:rsid w:val="00102C0E"/>
    <w:rsid w:val="00103F65"/>
    <w:rsid w:val="001077F6"/>
    <w:rsid w:val="00112741"/>
    <w:rsid w:val="00113D2B"/>
    <w:rsid w:val="00113EC4"/>
    <w:rsid w:val="00116449"/>
    <w:rsid w:val="0011666C"/>
    <w:rsid w:val="00121B2D"/>
    <w:rsid w:val="0013068A"/>
    <w:rsid w:val="001307FA"/>
    <w:rsid w:val="00131824"/>
    <w:rsid w:val="00134DE4"/>
    <w:rsid w:val="0013532F"/>
    <w:rsid w:val="00136B32"/>
    <w:rsid w:val="00137262"/>
    <w:rsid w:val="001444EE"/>
    <w:rsid w:val="00145766"/>
    <w:rsid w:val="001458E9"/>
    <w:rsid w:val="00146905"/>
    <w:rsid w:val="00153CD9"/>
    <w:rsid w:val="00156AFA"/>
    <w:rsid w:val="00156C4C"/>
    <w:rsid w:val="00157BF2"/>
    <w:rsid w:val="001607B2"/>
    <w:rsid w:val="0016088D"/>
    <w:rsid w:val="00161D02"/>
    <w:rsid w:val="001623C8"/>
    <w:rsid w:val="0018095F"/>
    <w:rsid w:val="0018179A"/>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5D16"/>
    <w:rsid w:val="001B6DFD"/>
    <w:rsid w:val="001C4484"/>
    <w:rsid w:val="001C46E9"/>
    <w:rsid w:val="001C5691"/>
    <w:rsid w:val="001C56B8"/>
    <w:rsid w:val="001C5B82"/>
    <w:rsid w:val="001D0DC8"/>
    <w:rsid w:val="001D1C14"/>
    <w:rsid w:val="001D575F"/>
    <w:rsid w:val="001D6683"/>
    <w:rsid w:val="001D67F9"/>
    <w:rsid w:val="001E660A"/>
    <w:rsid w:val="001F308A"/>
    <w:rsid w:val="0020130A"/>
    <w:rsid w:val="00204945"/>
    <w:rsid w:val="00205EB7"/>
    <w:rsid w:val="0020791D"/>
    <w:rsid w:val="002129DA"/>
    <w:rsid w:val="00213900"/>
    <w:rsid w:val="0021550A"/>
    <w:rsid w:val="00215F41"/>
    <w:rsid w:val="00217A2E"/>
    <w:rsid w:val="00217A62"/>
    <w:rsid w:val="00217EB6"/>
    <w:rsid w:val="0022203D"/>
    <w:rsid w:val="002247C2"/>
    <w:rsid w:val="002322E6"/>
    <w:rsid w:val="0023285C"/>
    <w:rsid w:val="00233827"/>
    <w:rsid w:val="00234A5E"/>
    <w:rsid w:val="00236072"/>
    <w:rsid w:val="0023672E"/>
    <w:rsid w:val="00236AB3"/>
    <w:rsid w:val="0024222C"/>
    <w:rsid w:val="002436F0"/>
    <w:rsid w:val="00245E73"/>
    <w:rsid w:val="00246135"/>
    <w:rsid w:val="00247F4E"/>
    <w:rsid w:val="00251E92"/>
    <w:rsid w:val="0025220B"/>
    <w:rsid w:val="00252B39"/>
    <w:rsid w:val="00254AC2"/>
    <w:rsid w:val="0025525B"/>
    <w:rsid w:val="00263BCE"/>
    <w:rsid w:val="0027242A"/>
    <w:rsid w:val="00272A58"/>
    <w:rsid w:val="00273AD0"/>
    <w:rsid w:val="00274EC3"/>
    <w:rsid w:val="0028019C"/>
    <w:rsid w:val="00280FEA"/>
    <w:rsid w:val="002822AF"/>
    <w:rsid w:val="00282BD9"/>
    <w:rsid w:val="00286F66"/>
    <w:rsid w:val="00287878"/>
    <w:rsid w:val="002940E8"/>
    <w:rsid w:val="00296C15"/>
    <w:rsid w:val="002A1877"/>
    <w:rsid w:val="002A385C"/>
    <w:rsid w:val="002B3207"/>
    <w:rsid w:val="002B346A"/>
    <w:rsid w:val="002B351E"/>
    <w:rsid w:val="002B4426"/>
    <w:rsid w:val="002B5F4F"/>
    <w:rsid w:val="002B740B"/>
    <w:rsid w:val="002C0AEF"/>
    <w:rsid w:val="002C187A"/>
    <w:rsid w:val="002C20A8"/>
    <w:rsid w:val="002C5DD0"/>
    <w:rsid w:val="002C7051"/>
    <w:rsid w:val="002D2FBB"/>
    <w:rsid w:val="002D4247"/>
    <w:rsid w:val="002D68D7"/>
    <w:rsid w:val="002E10E6"/>
    <w:rsid w:val="002E1CED"/>
    <w:rsid w:val="002E41B3"/>
    <w:rsid w:val="002E5250"/>
    <w:rsid w:val="002E61AA"/>
    <w:rsid w:val="002E6F58"/>
    <w:rsid w:val="002E745D"/>
    <w:rsid w:val="002F10F6"/>
    <w:rsid w:val="002F15D9"/>
    <w:rsid w:val="002F26EC"/>
    <w:rsid w:val="002F42EA"/>
    <w:rsid w:val="003040D8"/>
    <w:rsid w:val="0030455E"/>
    <w:rsid w:val="00305626"/>
    <w:rsid w:val="00315C59"/>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5A5"/>
    <w:rsid w:val="00380849"/>
    <w:rsid w:val="003818DB"/>
    <w:rsid w:val="003834CD"/>
    <w:rsid w:val="00383908"/>
    <w:rsid w:val="00387A06"/>
    <w:rsid w:val="00391614"/>
    <w:rsid w:val="0039542E"/>
    <w:rsid w:val="003966E6"/>
    <w:rsid w:val="003968D7"/>
    <w:rsid w:val="003A613D"/>
    <w:rsid w:val="003A6341"/>
    <w:rsid w:val="003B3A5F"/>
    <w:rsid w:val="003B4F6E"/>
    <w:rsid w:val="003B5338"/>
    <w:rsid w:val="003C5283"/>
    <w:rsid w:val="003C5CC6"/>
    <w:rsid w:val="003C7270"/>
    <w:rsid w:val="003D12C7"/>
    <w:rsid w:val="003D228B"/>
    <w:rsid w:val="003D4CD7"/>
    <w:rsid w:val="003D4D7C"/>
    <w:rsid w:val="003D734B"/>
    <w:rsid w:val="003E04C5"/>
    <w:rsid w:val="003E14B5"/>
    <w:rsid w:val="003E64D1"/>
    <w:rsid w:val="003F08B1"/>
    <w:rsid w:val="003F21BE"/>
    <w:rsid w:val="003F36FB"/>
    <w:rsid w:val="003F660A"/>
    <w:rsid w:val="004017BD"/>
    <w:rsid w:val="00401DA6"/>
    <w:rsid w:val="00402083"/>
    <w:rsid w:val="004023AC"/>
    <w:rsid w:val="00402514"/>
    <w:rsid w:val="0040513F"/>
    <w:rsid w:val="00405DE7"/>
    <w:rsid w:val="00411A5F"/>
    <w:rsid w:val="0041337F"/>
    <w:rsid w:val="00413EAF"/>
    <w:rsid w:val="00414097"/>
    <w:rsid w:val="004213AF"/>
    <w:rsid w:val="00425AF8"/>
    <w:rsid w:val="00431B4A"/>
    <w:rsid w:val="00435F36"/>
    <w:rsid w:val="00436A35"/>
    <w:rsid w:val="00437FF5"/>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A57FB"/>
    <w:rsid w:val="004B1E1E"/>
    <w:rsid w:val="004B5601"/>
    <w:rsid w:val="004B5B20"/>
    <w:rsid w:val="004C35F4"/>
    <w:rsid w:val="004C3DC3"/>
    <w:rsid w:val="004C4F3B"/>
    <w:rsid w:val="004C6424"/>
    <w:rsid w:val="004D141E"/>
    <w:rsid w:val="004D6774"/>
    <w:rsid w:val="004E33A8"/>
    <w:rsid w:val="004E3B3E"/>
    <w:rsid w:val="004E3BD7"/>
    <w:rsid w:val="004E6614"/>
    <w:rsid w:val="004F016F"/>
    <w:rsid w:val="004F117B"/>
    <w:rsid w:val="004F6A60"/>
    <w:rsid w:val="004F7D22"/>
    <w:rsid w:val="00500587"/>
    <w:rsid w:val="00505758"/>
    <w:rsid w:val="005129DA"/>
    <w:rsid w:val="00513612"/>
    <w:rsid w:val="00513D8E"/>
    <w:rsid w:val="00515EEF"/>
    <w:rsid w:val="00516C68"/>
    <w:rsid w:val="005174D6"/>
    <w:rsid w:val="0051786C"/>
    <w:rsid w:val="005208FF"/>
    <w:rsid w:val="00521468"/>
    <w:rsid w:val="005216B2"/>
    <w:rsid w:val="00523D17"/>
    <w:rsid w:val="00526655"/>
    <w:rsid w:val="00526735"/>
    <w:rsid w:val="00526B32"/>
    <w:rsid w:val="0053126F"/>
    <w:rsid w:val="005345BB"/>
    <w:rsid w:val="00535054"/>
    <w:rsid w:val="005357D9"/>
    <w:rsid w:val="00536175"/>
    <w:rsid w:val="00540AA6"/>
    <w:rsid w:val="00541F2E"/>
    <w:rsid w:val="0054416C"/>
    <w:rsid w:val="00544390"/>
    <w:rsid w:val="00544781"/>
    <w:rsid w:val="005460E0"/>
    <w:rsid w:val="005470AF"/>
    <w:rsid w:val="00550982"/>
    <w:rsid w:val="0055185F"/>
    <w:rsid w:val="00553A7C"/>
    <w:rsid w:val="00553D53"/>
    <w:rsid w:val="0056086D"/>
    <w:rsid w:val="00561C6B"/>
    <w:rsid w:val="0057086A"/>
    <w:rsid w:val="005718ED"/>
    <w:rsid w:val="0058153F"/>
    <w:rsid w:val="00581594"/>
    <w:rsid w:val="0058301B"/>
    <w:rsid w:val="00590937"/>
    <w:rsid w:val="0059166A"/>
    <w:rsid w:val="00592733"/>
    <w:rsid w:val="00593B59"/>
    <w:rsid w:val="00595DBA"/>
    <w:rsid w:val="005A2661"/>
    <w:rsid w:val="005A26F8"/>
    <w:rsid w:val="005A56E0"/>
    <w:rsid w:val="005B300A"/>
    <w:rsid w:val="005B4D1B"/>
    <w:rsid w:val="005C187A"/>
    <w:rsid w:val="005C1FC7"/>
    <w:rsid w:val="005C4963"/>
    <w:rsid w:val="005C4BBA"/>
    <w:rsid w:val="005C68B4"/>
    <w:rsid w:val="005C6C84"/>
    <w:rsid w:val="005D15A3"/>
    <w:rsid w:val="005D21B0"/>
    <w:rsid w:val="005D2343"/>
    <w:rsid w:val="005D545C"/>
    <w:rsid w:val="005D5A4A"/>
    <w:rsid w:val="005E0678"/>
    <w:rsid w:val="005E3B28"/>
    <w:rsid w:val="005F0CC2"/>
    <w:rsid w:val="005F439F"/>
    <w:rsid w:val="005F4A6A"/>
    <w:rsid w:val="005F6F25"/>
    <w:rsid w:val="005F77DA"/>
    <w:rsid w:val="00605275"/>
    <w:rsid w:val="00605B90"/>
    <w:rsid w:val="006073A2"/>
    <w:rsid w:val="006073AB"/>
    <w:rsid w:val="0060796B"/>
    <w:rsid w:val="006100F5"/>
    <w:rsid w:val="0061467E"/>
    <w:rsid w:val="00615C30"/>
    <w:rsid w:val="00624881"/>
    <w:rsid w:val="00624B2F"/>
    <w:rsid w:val="00624F31"/>
    <w:rsid w:val="0062655F"/>
    <w:rsid w:val="00626B3F"/>
    <w:rsid w:val="00627A1C"/>
    <w:rsid w:val="00632971"/>
    <w:rsid w:val="00635112"/>
    <w:rsid w:val="006408BF"/>
    <w:rsid w:val="00643A9E"/>
    <w:rsid w:val="00645126"/>
    <w:rsid w:val="00646FF7"/>
    <w:rsid w:val="006500AC"/>
    <w:rsid w:val="00651323"/>
    <w:rsid w:val="00656A65"/>
    <w:rsid w:val="006578BB"/>
    <w:rsid w:val="00657A0F"/>
    <w:rsid w:val="006645BE"/>
    <w:rsid w:val="006648F5"/>
    <w:rsid w:val="00664EA0"/>
    <w:rsid w:val="00667C42"/>
    <w:rsid w:val="0067044E"/>
    <w:rsid w:val="00670D17"/>
    <w:rsid w:val="00671040"/>
    <w:rsid w:val="0067321D"/>
    <w:rsid w:val="006734B3"/>
    <w:rsid w:val="0067356E"/>
    <w:rsid w:val="00673D6E"/>
    <w:rsid w:val="00675507"/>
    <w:rsid w:val="006811AD"/>
    <w:rsid w:val="00687AAE"/>
    <w:rsid w:val="006901EF"/>
    <w:rsid w:val="006907EE"/>
    <w:rsid w:val="00691C2F"/>
    <w:rsid w:val="006947B7"/>
    <w:rsid w:val="006969E7"/>
    <w:rsid w:val="006A07CA"/>
    <w:rsid w:val="006A207B"/>
    <w:rsid w:val="006A2E42"/>
    <w:rsid w:val="006A5032"/>
    <w:rsid w:val="006A5B0E"/>
    <w:rsid w:val="006A5FBC"/>
    <w:rsid w:val="006B4DED"/>
    <w:rsid w:val="006C1819"/>
    <w:rsid w:val="006C29FB"/>
    <w:rsid w:val="006D0366"/>
    <w:rsid w:val="006D335C"/>
    <w:rsid w:val="006D3593"/>
    <w:rsid w:val="006D3F0B"/>
    <w:rsid w:val="006D4144"/>
    <w:rsid w:val="006D5799"/>
    <w:rsid w:val="006D60AB"/>
    <w:rsid w:val="006D6B92"/>
    <w:rsid w:val="006E0AE4"/>
    <w:rsid w:val="006E10BF"/>
    <w:rsid w:val="006E1209"/>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08F"/>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466FD"/>
    <w:rsid w:val="00751279"/>
    <w:rsid w:val="00751324"/>
    <w:rsid w:val="00751DAF"/>
    <w:rsid w:val="00751EBE"/>
    <w:rsid w:val="00753159"/>
    <w:rsid w:val="007569BB"/>
    <w:rsid w:val="00761508"/>
    <w:rsid w:val="007626C9"/>
    <w:rsid w:val="00764773"/>
    <w:rsid w:val="00764B9C"/>
    <w:rsid w:val="0076624E"/>
    <w:rsid w:val="007712FB"/>
    <w:rsid w:val="007717E2"/>
    <w:rsid w:val="007740D4"/>
    <w:rsid w:val="007756B0"/>
    <w:rsid w:val="00782847"/>
    <w:rsid w:val="00782E30"/>
    <w:rsid w:val="00785E5E"/>
    <w:rsid w:val="0078600B"/>
    <w:rsid w:val="00790676"/>
    <w:rsid w:val="00791410"/>
    <w:rsid w:val="007937AE"/>
    <w:rsid w:val="00793DE6"/>
    <w:rsid w:val="00793E8B"/>
    <w:rsid w:val="007958F2"/>
    <w:rsid w:val="007A1B5F"/>
    <w:rsid w:val="007A4F3E"/>
    <w:rsid w:val="007A5985"/>
    <w:rsid w:val="007A777F"/>
    <w:rsid w:val="007B08DF"/>
    <w:rsid w:val="007B10F6"/>
    <w:rsid w:val="007B1BE5"/>
    <w:rsid w:val="007B368E"/>
    <w:rsid w:val="007B5B14"/>
    <w:rsid w:val="007B5D05"/>
    <w:rsid w:val="007C304F"/>
    <w:rsid w:val="007C4EA2"/>
    <w:rsid w:val="007C78D3"/>
    <w:rsid w:val="007C7B57"/>
    <w:rsid w:val="007D127B"/>
    <w:rsid w:val="007D2DD6"/>
    <w:rsid w:val="007D5138"/>
    <w:rsid w:val="007D6A05"/>
    <w:rsid w:val="007D6E52"/>
    <w:rsid w:val="007E1330"/>
    <w:rsid w:val="007E3EB8"/>
    <w:rsid w:val="007E4FA1"/>
    <w:rsid w:val="007E7BE8"/>
    <w:rsid w:val="007F4C86"/>
    <w:rsid w:val="007F50BD"/>
    <w:rsid w:val="007F6F6D"/>
    <w:rsid w:val="007F7257"/>
    <w:rsid w:val="00801839"/>
    <w:rsid w:val="00805ADB"/>
    <w:rsid w:val="00812452"/>
    <w:rsid w:val="00826923"/>
    <w:rsid w:val="0083461E"/>
    <w:rsid w:val="008347C1"/>
    <w:rsid w:val="00834A9F"/>
    <w:rsid w:val="008364E5"/>
    <w:rsid w:val="00837B04"/>
    <w:rsid w:val="0084221C"/>
    <w:rsid w:val="0084393C"/>
    <w:rsid w:val="00847A89"/>
    <w:rsid w:val="00853068"/>
    <w:rsid w:val="008538BF"/>
    <w:rsid w:val="00855788"/>
    <w:rsid w:val="00861669"/>
    <w:rsid w:val="008632DB"/>
    <w:rsid w:val="008640A5"/>
    <w:rsid w:val="00865821"/>
    <w:rsid w:val="00865AFA"/>
    <w:rsid w:val="00865FA0"/>
    <w:rsid w:val="008664A8"/>
    <w:rsid w:val="00866E96"/>
    <w:rsid w:val="00873DC7"/>
    <w:rsid w:val="00874634"/>
    <w:rsid w:val="00875EA5"/>
    <w:rsid w:val="00881D4B"/>
    <w:rsid w:val="00891AE7"/>
    <w:rsid w:val="008A1155"/>
    <w:rsid w:val="008A3181"/>
    <w:rsid w:val="008B1B75"/>
    <w:rsid w:val="008B3518"/>
    <w:rsid w:val="008B5A12"/>
    <w:rsid w:val="008B7E23"/>
    <w:rsid w:val="008C09D1"/>
    <w:rsid w:val="008C782A"/>
    <w:rsid w:val="008E0D85"/>
    <w:rsid w:val="008E1083"/>
    <w:rsid w:val="008E3872"/>
    <w:rsid w:val="008E5296"/>
    <w:rsid w:val="008E729D"/>
    <w:rsid w:val="008F5112"/>
    <w:rsid w:val="008F5ECA"/>
    <w:rsid w:val="008F6703"/>
    <w:rsid w:val="008F7D84"/>
    <w:rsid w:val="00900D78"/>
    <w:rsid w:val="00901C1E"/>
    <w:rsid w:val="00910FE1"/>
    <w:rsid w:val="0091229B"/>
    <w:rsid w:val="00912D25"/>
    <w:rsid w:val="00915C96"/>
    <w:rsid w:val="00915D77"/>
    <w:rsid w:val="00916B0A"/>
    <w:rsid w:val="00916DF8"/>
    <w:rsid w:val="0091758E"/>
    <w:rsid w:val="009216A8"/>
    <w:rsid w:val="00921C68"/>
    <w:rsid w:val="0092673B"/>
    <w:rsid w:val="00927817"/>
    <w:rsid w:val="0093134E"/>
    <w:rsid w:val="00931786"/>
    <w:rsid w:val="0093741F"/>
    <w:rsid w:val="00937ABE"/>
    <w:rsid w:val="00944EAF"/>
    <w:rsid w:val="00945925"/>
    <w:rsid w:val="009507F4"/>
    <w:rsid w:val="00952DE4"/>
    <w:rsid w:val="0095648A"/>
    <w:rsid w:val="009568EF"/>
    <w:rsid w:val="00956B79"/>
    <w:rsid w:val="00965F6B"/>
    <w:rsid w:val="00967405"/>
    <w:rsid w:val="00970F4C"/>
    <w:rsid w:val="0097130A"/>
    <w:rsid w:val="00974D94"/>
    <w:rsid w:val="009774FE"/>
    <w:rsid w:val="009832F8"/>
    <w:rsid w:val="009839DA"/>
    <w:rsid w:val="009858C6"/>
    <w:rsid w:val="00985E49"/>
    <w:rsid w:val="00991418"/>
    <w:rsid w:val="009923C9"/>
    <w:rsid w:val="00994476"/>
    <w:rsid w:val="00994B0E"/>
    <w:rsid w:val="0099700D"/>
    <w:rsid w:val="00997347"/>
    <w:rsid w:val="009A012A"/>
    <w:rsid w:val="009A1CD3"/>
    <w:rsid w:val="009A44A4"/>
    <w:rsid w:val="009A4A5D"/>
    <w:rsid w:val="009A4E6E"/>
    <w:rsid w:val="009A5EEF"/>
    <w:rsid w:val="009A6BA1"/>
    <w:rsid w:val="009B18EB"/>
    <w:rsid w:val="009B3D7E"/>
    <w:rsid w:val="009B5D1A"/>
    <w:rsid w:val="009C153E"/>
    <w:rsid w:val="009C28DE"/>
    <w:rsid w:val="009C2C5E"/>
    <w:rsid w:val="009C2DE8"/>
    <w:rsid w:val="009C7CF4"/>
    <w:rsid w:val="009D0838"/>
    <w:rsid w:val="009D0C9F"/>
    <w:rsid w:val="009D10B2"/>
    <w:rsid w:val="009D138C"/>
    <w:rsid w:val="009D1852"/>
    <w:rsid w:val="009D2543"/>
    <w:rsid w:val="009D64E4"/>
    <w:rsid w:val="009E20F1"/>
    <w:rsid w:val="009E38EA"/>
    <w:rsid w:val="009E5332"/>
    <w:rsid w:val="009E5594"/>
    <w:rsid w:val="009F517D"/>
    <w:rsid w:val="009F61E5"/>
    <w:rsid w:val="009F6554"/>
    <w:rsid w:val="009F7F98"/>
    <w:rsid w:val="00A0221F"/>
    <w:rsid w:val="00A02F58"/>
    <w:rsid w:val="00A032AE"/>
    <w:rsid w:val="00A10BEF"/>
    <w:rsid w:val="00A10DAC"/>
    <w:rsid w:val="00A12553"/>
    <w:rsid w:val="00A130CA"/>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51B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24CA"/>
    <w:rsid w:val="00AB37F4"/>
    <w:rsid w:val="00AB3AD5"/>
    <w:rsid w:val="00AB6561"/>
    <w:rsid w:val="00AB6BAD"/>
    <w:rsid w:val="00AC433F"/>
    <w:rsid w:val="00AC4B04"/>
    <w:rsid w:val="00AC5D55"/>
    <w:rsid w:val="00AD0A31"/>
    <w:rsid w:val="00AD1B06"/>
    <w:rsid w:val="00AD1F57"/>
    <w:rsid w:val="00AD4F92"/>
    <w:rsid w:val="00AD6104"/>
    <w:rsid w:val="00AD6C55"/>
    <w:rsid w:val="00AD73D3"/>
    <w:rsid w:val="00AD76D3"/>
    <w:rsid w:val="00AE0D84"/>
    <w:rsid w:val="00AE6E37"/>
    <w:rsid w:val="00AF2D89"/>
    <w:rsid w:val="00AF7DA4"/>
    <w:rsid w:val="00B00EBD"/>
    <w:rsid w:val="00B0370E"/>
    <w:rsid w:val="00B03E68"/>
    <w:rsid w:val="00B05E35"/>
    <w:rsid w:val="00B12142"/>
    <w:rsid w:val="00B124BD"/>
    <w:rsid w:val="00B12FB8"/>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78D6"/>
    <w:rsid w:val="00B60BAF"/>
    <w:rsid w:val="00B6176F"/>
    <w:rsid w:val="00B6401E"/>
    <w:rsid w:val="00B652A1"/>
    <w:rsid w:val="00B65DA7"/>
    <w:rsid w:val="00B702C0"/>
    <w:rsid w:val="00B735DD"/>
    <w:rsid w:val="00B737D1"/>
    <w:rsid w:val="00B7459B"/>
    <w:rsid w:val="00B749E2"/>
    <w:rsid w:val="00B74CE9"/>
    <w:rsid w:val="00B7553C"/>
    <w:rsid w:val="00B75C20"/>
    <w:rsid w:val="00B77C50"/>
    <w:rsid w:val="00B82635"/>
    <w:rsid w:val="00B82C51"/>
    <w:rsid w:val="00B87CD1"/>
    <w:rsid w:val="00B91F39"/>
    <w:rsid w:val="00BA17CD"/>
    <w:rsid w:val="00BA4F96"/>
    <w:rsid w:val="00BA5D85"/>
    <w:rsid w:val="00BA6688"/>
    <w:rsid w:val="00BA6F4B"/>
    <w:rsid w:val="00BB4F22"/>
    <w:rsid w:val="00BB780C"/>
    <w:rsid w:val="00BC1A5D"/>
    <w:rsid w:val="00BC3065"/>
    <w:rsid w:val="00BC34D3"/>
    <w:rsid w:val="00BC3D29"/>
    <w:rsid w:val="00BC6808"/>
    <w:rsid w:val="00BC71E1"/>
    <w:rsid w:val="00BD2962"/>
    <w:rsid w:val="00BD34B1"/>
    <w:rsid w:val="00BD5D49"/>
    <w:rsid w:val="00BD643D"/>
    <w:rsid w:val="00BE0BB9"/>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0786"/>
    <w:rsid w:val="00C221D7"/>
    <w:rsid w:val="00C2331C"/>
    <w:rsid w:val="00C27302"/>
    <w:rsid w:val="00C30188"/>
    <w:rsid w:val="00C30F72"/>
    <w:rsid w:val="00C312C0"/>
    <w:rsid w:val="00C36D1B"/>
    <w:rsid w:val="00C41926"/>
    <w:rsid w:val="00C42FB9"/>
    <w:rsid w:val="00C465DA"/>
    <w:rsid w:val="00C52AC9"/>
    <w:rsid w:val="00C52BDA"/>
    <w:rsid w:val="00C578BE"/>
    <w:rsid w:val="00C61129"/>
    <w:rsid w:val="00C640B2"/>
    <w:rsid w:val="00C64216"/>
    <w:rsid w:val="00C653B5"/>
    <w:rsid w:val="00C6663B"/>
    <w:rsid w:val="00C6777D"/>
    <w:rsid w:val="00C72CF8"/>
    <w:rsid w:val="00C74E37"/>
    <w:rsid w:val="00C834E0"/>
    <w:rsid w:val="00C846A4"/>
    <w:rsid w:val="00C847EE"/>
    <w:rsid w:val="00C853D5"/>
    <w:rsid w:val="00C96336"/>
    <w:rsid w:val="00CA1B43"/>
    <w:rsid w:val="00CA4D1E"/>
    <w:rsid w:val="00CA6C99"/>
    <w:rsid w:val="00CB02F7"/>
    <w:rsid w:val="00CB25A2"/>
    <w:rsid w:val="00CB2A9B"/>
    <w:rsid w:val="00CB4B5C"/>
    <w:rsid w:val="00CC2015"/>
    <w:rsid w:val="00CC26EB"/>
    <w:rsid w:val="00CC3F6C"/>
    <w:rsid w:val="00CC59E5"/>
    <w:rsid w:val="00CD2F67"/>
    <w:rsid w:val="00CD3754"/>
    <w:rsid w:val="00CD5E04"/>
    <w:rsid w:val="00CD5E74"/>
    <w:rsid w:val="00CE0239"/>
    <w:rsid w:val="00CE132D"/>
    <w:rsid w:val="00CE3BEA"/>
    <w:rsid w:val="00CE499C"/>
    <w:rsid w:val="00CE7C3A"/>
    <w:rsid w:val="00CF04AE"/>
    <w:rsid w:val="00CF69A9"/>
    <w:rsid w:val="00D03D06"/>
    <w:rsid w:val="00D057A0"/>
    <w:rsid w:val="00D06A43"/>
    <w:rsid w:val="00D079BC"/>
    <w:rsid w:val="00D12CC9"/>
    <w:rsid w:val="00D13792"/>
    <w:rsid w:val="00D147C9"/>
    <w:rsid w:val="00D1618F"/>
    <w:rsid w:val="00D21E2D"/>
    <w:rsid w:val="00D22B42"/>
    <w:rsid w:val="00D26972"/>
    <w:rsid w:val="00D2783E"/>
    <w:rsid w:val="00D30647"/>
    <w:rsid w:val="00D3351A"/>
    <w:rsid w:val="00D34041"/>
    <w:rsid w:val="00D34147"/>
    <w:rsid w:val="00D36AF6"/>
    <w:rsid w:val="00D36E09"/>
    <w:rsid w:val="00D41969"/>
    <w:rsid w:val="00D44632"/>
    <w:rsid w:val="00D450BB"/>
    <w:rsid w:val="00D5212D"/>
    <w:rsid w:val="00D5552B"/>
    <w:rsid w:val="00D557FD"/>
    <w:rsid w:val="00D569A1"/>
    <w:rsid w:val="00D632A3"/>
    <w:rsid w:val="00D649BF"/>
    <w:rsid w:val="00D65589"/>
    <w:rsid w:val="00D65BB5"/>
    <w:rsid w:val="00D6788F"/>
    <w:rsid w:val="00D70EC5"/>
    <w:rsid w:val="00D71FF9"/>
    <w:rsid w:val="00D755D9"/>
    <w:rsid w:val="00D76947"/>
    <w:rsid w:val="00D82C29"/>
    <w:rsid w:val="00D84A39"/>
    <w:rsid w:val="00D85131"/>
    <w:rsid w:val="00DA064C"/>
    <w:rsid w:val="00DA2795"/>
    <w:rsid w:val="00DA2CD8"/>
    <w:rsid w:val="00DA4336"/>
    <w:rsid w:val="00DA7B93"/>
    <w:rsid w:val="00DC1151"/>
    <w:rsid w:val="00DC3579"/>
    <w:rsid w:val="00DC3612"/>
    <w:rsid w:val="00DC4D0A"/>
    <w:rsid w:val="00DC5066"/>
    <w:rsid w:val="00DC6638"/>
    <w:rsid w:val="00DD2C61"/>
    <w:rsid w:val="00DD708A"/>
    <w:rsid w:val="00DE01B0"/>
    <w:rsid w:val="00DE2383"/>
    <w:rsid w:val="00DE7E68"/>
    <w:rsid w:val="00DF3624"/>
    <w:rsid w:val="00DF5EB7"/>
    <w:rsid w:val="00DF5FD1"/>
    <w:rsid w:val="00DF6A23"/>
    <w:rsid w:val="00E021C1"/>
    <w:rsid w:val="00E04A24"/>
    <w:rsid w:val="00E0564D"/>
    <w:rsid w:val="00E07987"/>
    <w:rsid w:val="00E10926"/>
    <w:rsid w:val="00E12B99"/>
    <w:rsid w:val="00E13590"/>
    <w:rsid w:val="00E31B37"/>
    <w:rsid w:val="00E33CB7"/>
    <w:rsid w:val="00E34912"/>
    <w:rsid w:val="00E3564C"/>
    <w:rsid w:val="00E35E72"/>
    <w:rsid w:val="00E41079"/>
    <w:rsid w:val="00E42721"/>
    <w:rsid w:val="00E43490"/>
    <w:rsid w:val="00E44AF0"/>
    <w:rsid w:val="00E5082E"/>
    <w:rsid w:val="00E513CC"/>
    <w:rsid w:val="00E51A66"/>
    <w:rsid w:val="00E5415A"/>
    <w:rsid w:val="00E5479F"/>
    <w:rsid w:val="00E5487E"/>
    <w:rsid w:val="00E54C30"/>
    <w:rsid w:val="00E55243"/>
    <w:rsid w:val="00E55349"/>
    <w:rsid w:val="00E55557"/>
    <w:rsid w:val="00E62ED2"/>
    <w:rsid w:val="00E658A1"/>
    <w:rsid w:val="00E671FC"/>
    <w:rsid w:val="00E72C4F"/>
    <w:rsid w:val="00E75D3B"/>
    <w:rsid w:val="00E76BB5"/>
    <w:rsid w:val="00E76CA1"/>
    <w:rsid w:val="00E76F75"/>
    <w:rsid w:val="00E77BAD"/>
    <w:rsid w:val="00E82567"/>
    <w:rsid w:val="00E8445E"/>
    <w:rsid w:val="00E84BB9"/>
    <w:rsid w:val="00E84FA2"/>
    <w:rsid w:val="00E876A0"/>
    <w:rsid w:val="00E9069B"/>
    <w:rsid w:val="00E928D7"/>
    <w:rsid w:val="00E97C4A"/>
    <w:rsid w:val="00EA0448"/>
    <w:rsid w:val="00EA77A1"/>
    <w:rsid w:val="00EA79C6"/>
    <w:rsid w:val="00EB1536"/>
    <w:rsid w:val="00EB1C20"/>
    <w:rsid w:val="00EB2B6A"/>
    <w:rsid w:val="00EB4C46"/>
    <w:rsid w:val="00EC1880"/>
    <w:rsid w:val="00EC18C3"/>
    <w:rsid w:val="00EC19E1"/>
    <w:rsid w:val="00EC3396"/>
    <w:rsid w:val="00EC4A13"/>
    <w:rsid w:val="00EC5F32"/>
    <w:rsid w:val="00EC5F36"/>
    <w:rsid w:val="00EC6E52"/>
    <w:rsid w:val="00ED1554"/>
    <w:rsid w:val="00ED16E3"/>
    <w:rsid w:val="00ED6399"/>
    <w:rsid w:val="00ED645D"/>
    <w:rsid w:val="00ED7365"/>
    <w:rsid w:val="00ED7FBD"/>
    <w:rsid w:val="00EE03D8"/>
    <w:rsid w:val="00EE0A91"/>
    <w:rsid w:val="00EE28CD"/>
    <w:rsid w:val="00EE45FD"/>
    <w:rsid w:val="00EE5DF0"/>
    <w:rsid w:val="00EE6B58"/>
    <w:rsid w:val="00EF10E8"/>
    <w:rsid w:val="00EF34F7"/>
    <w:rsid w:val="00EF3746"/>
    <w:rsid w:val="00F00AF8"/>
    <w:rsid w:val="00F05682"/>
    <w:rsid w:val="00F17161"/>
    <w:rsid w:val="00F177AC"/>
    <w:rsid w:val="00F20F55"/>
    <w:rsid w:val="00F2227D"/>
    <w:rsid w:val="00F2233A"/>
    <w:rsid w:val="00F23D0F"/>
    <w:rsid w:val="00F2629E"/>
    <w:rsid w:val="00F26A1B"/>
    <w:rsid w:val="00F3224D"/>
    <w:rsid w:val="00F32725"/>
    <w:rsid w:val="00F3349C"/>
    <w:rsid w:val="00F34857"/>
    <w:rsid w:val="00F3653F"/>
    <w:rsid w:val="00F36B57"/>
    <w:rsid w:val="00F3726B"/>
    <w:rsid w:val="00F373FF"/>
    <w:rsid w:val="00F434C7"/>
    <w:rsid w:val="00F46810"/>
    <w:rsid w:val="00F5504F"/>
    <w:rsid w:val="00F5578A"/>
    <w:rsid w:val="00F57276"/>
    <w:rsid w:val="00F63B1C"/>
    <w:rsid w:val="00F63FBE"/>
    <w:rsid w:val="00F71684"/>
    <w:rsid w:val="00F746FE"/>
    <w:rsid w:val="00F75660"/>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B1C"/>
    <w:rsid w:val="00FD2745"/>
    <w:rsid w:val="00FD7A4A"/>
    <w:rsid w:val="00FE2242"/>
    <w:rsid w:val="00FE41B0"/>
    <w:rsid w:val="00FE4B5F"/>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5E"/>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uiPriority w:val="59"/>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12239029">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eacebuildingdata.org/research/c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E841A3AD-AA85-4F44-9577-E6A7EAB8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6938</Words>
  <Characters>38160</Characters>
  <Application>Microsoft Office Word</Application>
  <DocSecurity>0</DocSecurity>
  <Lines>318</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natacha kunama</cp:lastModifiedBy>
  <cp:revision>4</cp:revision>
  <cp:lastPrinted>2014-02-10T17:12:00Z</cp:lastPrinted>
  <dcterms:created xsi:type="dcterms:W3CDTF">2020-07-05T13:41:00Z</dcterms:created>
  <dcterms:modified xsi:type="dcterms:W3CDTF">2020-08-14T12:34:00Z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